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CB8E5" w14:textId="77777777" w:rsidR="001B0666" w:rsidRDefault="001B0666" w:rsidP="001B0666">
      <w:pPr>
        <w:spacing w:after="0" w:line="480" w:lineRule="auto"/>
        <w:jc w:val="center"/>
        <w:rPr>
          <w:rFonts w:asciiTheme="majorBidi" w:hAnsiTheme="majorBidi" w:cstheme="majorBidi"/>
          <w:b/>
          <w:bCs/>
          <w:sz w:val="28"/>
          <w:szCs w:val="28"/>
        </w:rPr>
      </w:pPr>
      <w:bookmarkStart w:id="0" w:name="_GoBack"/>
      <w:bookmarkEnd w:id="0"/>
      <w:r w:rsidRPr="004E5C84">
        <w:rPr>
          <w:rFonts w:asciiTheme="majorBidi" w:hAnsiTheme="majorBidi" w:cstheme="majorBidi"/>
          <w:b/>
          <w:bCs/>
          <w:sz w:val="28"/>
          <w:szCs w:val="28"/>
        </w:rPr>
        <w:t>The Effect of Vice-Chancellor Characteristics and Internal Governance Mechanisms on Voluntary Disclosures in UK Higher Education Institutions</w:t>
      </w:r>
    </w:p>
    <w:p w14:paraId="3E4DEA88" w14:textId="77777777" w:rsidR="001B0666" w:rsidRDefault="001B0666" w:rsidP="001B0666">
      <w:pPr>
        <w:spacing w:after="0" w:line="480" w:lineRule="auto"/>
        <w:jc w:val="center"/>
        <w:rPr>
          <w:rFonts w:ascii="Times New Roman" w:eastAsia="SimSun" w:hAnsi="Times New Roman" w:cs="Times New Roman"/>
          <w:sz w:val="24"/>
          <w:szCs w:val="24"/>
          <w:lang w:val="en-US" w:eastAsia="zh-CN"/>
        </w:rPr>
      </w:pPr>
    </w:p>
    <w:p w14:paraId="4E2B25DE" w14:textId="77777777" w:rsidR="001B0666" w:rsidRPr="006264C6" w:rsidRDefault="001B0666" w:rsidP="001B0666">
      <w:pPr>
        <w:spacing w:after="0" w:line="480" w:lineRule="auto"/>
        <w:jc w:val="center"/>
        <w:rPr>
          <w:rFonts w:ascii="Times New Roman" w:eastAsia="SimSun" w:hAnsi="Times New Roman" w:cs="Times New Roman"/>
          <w:sz w:val="28"/>
          <w:szCs w:val="28"/>
          <w:lang w:val="en-US" w:eastAsia="zh-CN"/>
        </w:rPr>
      </w:pPr>
      <w:r w:rsidRPr="006C72E9">
        <w:rPr>
          <w:rFonts w:ascii="Times New Roman" w:eastAsia="SimSun" w:hAnsi="Times New Roman" w:cs="Times New Roman"/>
          <w:sz w:val="28"/>
          <w:szCs w:val="28"/>
          <w:lang w:val="en-US" w:eastAsia="zh-CN"/>
        </w:rPr>
        <w:t>Mohamed H. Elmagrhi</w:t>
      </w:r>
      <w:r w:rsidRPr="006C72E9">
        <w:rPr>
          <w:rFonts w:ascii="Times New Roman" w:eastAsia="SimSun" w:hAnsi="Times New Roman" w:cs="Times New Roman"/>
          <w:sz w:val="28"/>
          <w:szCs w:val="28"/>
          <w:vertAlign w:val="superscript"/>
          <w:lang w:val="en-US" w:eastAsia="zh-CN"/>
        </w:rPr>
        <w:t>1</w:t>
      </w:r>
      <w:r w:rsidRPr="006C72E9">
        <w:rPr>
          <w:rFonts w:ascii="Times New Roman" w:eastAsia="SimSun" w:hAnsi="Times New Roman" w:cs="Times New Roman"/>
          <w:sz w:val="28"/>
          <w:szCs w:val="28"/>
          <w:lang w:val="en-US" w:eastAsia="zh-CN"/>
        </w:rPr>
        <w:t>, Collins G. Ntim</w:t>
      </w:r>
      <w:r w:rsidRPr="006C72E9">
        <w:rPr>
          <w:rFonts w:ascii="Times New Roman" w:eastAsia="SimSun" w:hAnsi="Times New Roman" w:cs="Times New Roman"/>
          <w:sz w:val="28"/>
          <w:szCs w:val="28"/>
          <w:vertAlign w:val="superscript"/>
          <w:lang w:val="en-US" w:eastAsia="zh-CN"/>
        </w:rPr>
        <w:t>2</w:t>
      </w:r>
      <w:r w:rsidRPr="006C72E9">
        <w:rPr>
          <w:rFonts w:ascii="Times New Roman" w:eastAsia="SimSun" w:hAnsi="Times New Roman" w:cs="Times New Roman"/>
          <w:sz w:val="28"/>
          <w:szCs w:val="28"/>
          <w:lang w:val="en-US" w:eastAsia="zh-CN"/>
        </w:rPr>
        <w:t>, Yan Wang</w:t>
      </w:r>
      <w:r w:rsidRPr="006C72E9">
        <w:rPr>
          <w:rFonts w:ascii="Times New Roman" w:eastAsia="SimSun" w:hAnsi="Times New Roman" w:cs="Times New Roman"/>
          <w:sz w:val="28"/>
          <w:szCs w:val="28"/>
          <w:vertAlign w:val="superscript"/>
          <w:lang w:val="en-US" w:eastAsia="zh-CN"/>
        </w:rPr>
        <w:t>3</w:t>
      </w:r>
      <w:r w:rsidRPr="006C72E9">
        <w:rPr>
          <w:rFonts w:ascii="Times New Roman" w:eastAsia="SimSun" w:hAnsi="Times New Roman" w:cs="Times New Roman"/>
          <w:b/>
          <w:sz w:val="28"/>
          <w:szCs w:val="28"/>
          <w:vertAlign w:val="superscript"/>
          <w:lang w:eastAsia="zh-CN"/>
        </w:rPr>
        <w:footnoteReference w:customMarkFollows="1" w:id="1"/>
        <w:sym w:font="Symbol" w:char="F0B7"/>
      </w:r>
      <w:r w:rsidRPr="006C72E9">
        <w:rPr>
          <w:rFonts w:ascii="Times New Roman" w:eastAsia="SimSun" w:hAnsi="Times New Roman" w:cs="Times New Roman"/>
          <w:sz w:val="28"/>
          <w:szCs w:val="28"/>
          <w:lang w:val="en-US" w:eastAsia="zh-CN"/>
        </w:rPr>
        <w:t>, Ahmed A. Elamer</w:t>
      </w:r>
      <w:r w:rsidRPr="006C72E9">
        <w:rPr>
          <w:rFonts w:ascii="Times New Roman" w:eastAsia="SimSun" w:hAnsi="Times New Roman" w:cs="Times New Roman"/>
          <w:sz w:val="28"/>
          <w:szCs w:val="28"/>
          <w:vertAlign w:val="superscript"/>
          <w:lang w:val="en-US" w:eastAsia="zh-CN"/>
        </w:rPr>
        <w:t>4</w:t>
      </w:r>
      <w:r w:rsidRPr="006C72E9">
        <w:rPr>
          <w:rFonts w:ascii="Times New Roman" w:eastAsia="SimSun" w:hAnsi="Times New Roman" w:cs="Times New Roman"/>
          <w:sz w:val="28"/>
          <w:szCs w:val="28"/>
          <w:lang w:val="en-US" w:eastAsia="zh-CN"/>
        </w:rPr>
        <w:t xml:space="preserve"> and Richard Crossley</w:t>
      </w:r>
      <w:r>
        <w:rPr>
          <w:rFonts w:ascii="Times New Roman" w:eastAsia="SimSun" w:hAnsi="Times New Roman" w:cs="Times New Roman"/>
          <w:sz w:val="28"/>
          <w:szCs w:val="28"/>
          <w:vertAlign w:val="superscript"/>
          <w:lang w:val="en-US" w:eastAsia="zh-CN"/>
        </w:rPr>
        <w:t>5</w:t>
      </w:r>
      <w:r w:rsidRPr="006C72E9">
        <w:rPr>
          <w:rFonts w:ascii="Times New Roman" w:eastAsia="SimSun" w:hAnsi="Times New Roman" w:cs="Times New Roman"/>
          <w:sz w:val="28"/>
          <w:szCs w:val="28"/>
          <w:vertAlign w:val="superscript"/>
          <w:lang w:val="en-US" w:eastAsia="zh-CN"/>
        </w:rPr>
        <w:t xml:space="preserve"> </w:t>
      </w:r>
    </w:p>
    <w:p w14:paraId="685893E8" w14:textId="77777777" w:rsidR="001B0666" w:rsidRDefault="001B0666" w:rsidP="001B0666">
      <w:pPr>
        <w:rPr>
          <w:lang w:val="en-US"/>
        </w:rPr>
      </w:pPr>
    </w:p>
    <w:p w14:paraId="292F1874" w14:textId="77777777" w:rsidR="001B0666" w:rsidRDefault="001B0666" w:rsidP="001B0666">
      <w:pPr>
        <w:spacing w:after="0" w:line="240" w:lineRule="auto"/>
        <w:rPr>
          <w:rFonts w:ascii="Times New Roman" w:eastAsia="SimSun" w:hAnsi="Times New Roman" w:cs="Times New Roman"/>
          <w:sz w:val="24"/>
          <w:szCs w:val="24"/>
          <w:lang w:val="en-US" w:eastAsia="zh-CN"/>
        </w:rPr>
      </w:pPr>
    </w:p>
    <w:p w14:paraId="0EC9E692" w14:textId="77777777" w:rsidR="001B0666" w:rsidRPr="004E5C84" w:rsidRDefault="001B0666" w:rsidP="001B0666">
      <w:pPr>
        <w:spacing w:after="0" w:line="240" w:lineRule="auto"/>
        <w:jc w:val="center"/>
        <w:rPr>
          <w:rFonts w:ascii="Times New Roman" w:eastAsia="SimSun" w:hAnsi="Times New Roman" w:cs="Times New Roman"/>
          <w:sz w:val="24"/>
          <w:szCs w:val="24"/>
          <w:lang w:val="en-US" w:eastAsia="zh-CN"/>
        </w:rPr>
      </w:pPr>
      <w:r w:rsidRPr="00B72C9B">
        <w:rPr>
          <w:rFonts w:ascii="Times New Roman" w:eastAsia="SimSun" w:hAnsi="Times New Roman" w:cs="Times New Roman"/>
          <w:sz w:val="24"/>
          <w:szCs w:val="24"/>
          <w:vertAlign w:val="superscript"/>
          <w:lang w:val="en-US" w:eastAsia="zh-CN"/>
        </w:rPr>
        <w:t>1</w:t>
      </w:r>
      <w:r w:rsidRPr="004E5C84">
        <w:rPr>
          <w:rFonts w:ascii="Times New Roman" w:eastAsia="SimSun" w:hAnsi="Times New Roman" w:cs="Times New Roman"/>
          <w:sz w:val="24"/>
          <w:szCs w:val="24"/>
          <w:lang w:val="en-US" w:eastAsia="zh-CN"/>
        </w:rPr>
        <w:t>Hawkes Centre for Empirical Finance</w:t>
      </w:r>
    </w:p>
    <w:p w14:paraId="729F2D01" w14:textId="77777777" w:rsidR="001B0666" w:rsidRDefault="001B0666" w:rsidP="001B0666">
      <w:pPr>
        <w:spacing w:after="0" w:line="240" w:lineRule="auto"/>
        <w:jc w:val="center"/>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Department of Accounting and Finance</w:t>
      </w:r>
    </w:p>
    <w:p w14:paraId="5F8E6185" w14:textId="77777777" w:rsidR="001B0666" w:rsidRDefault="001B0666" w:rsidP="001B0666">
      <w:pPr>
        <w:spacing w:after="0" w:line="240" w:lineRule="auto"/>
        <w:jc w:val="center"/>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School of Management</w:t>
      </w:r>
    </w:p>
    <w:p w14:paraId="7440035B" w14:textId="77777777" w:rsidR="001B0666" w:rsidRDefault="001B0666" w:rsidP="001B0666">
      <w:pPr>
        <w:spacing w:after="0" w:line="240" w:lineRule="auto"/>
        <w:jc w:val="center"/>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Swansea University </w:t>
      </w:r>
    </w:p>
    <w:p w14:paraId="56CDA44E" w14:textId="77777777" w:rsidR="001B0666" w:rsidRDefault="001B0666" w:rsidP="001B0666">
      <w:pPr>
        <w:spacing w:after="0" w:line="240" w:lineRule="auto"/>
        <w:jc w:val="center"/>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Swansea, UK</w:t>
      </w:r>
    </w:p>
    <w:p w14:paraId="2A25340E" w14:textId="77777777" w:rsidR="001B0666" w:rsidRDefault="001B0666" w:rsidP="001B0666">
      <w:pPr>
        <w:spacing w:after="0" w:line="240" w:lineRule="auto"/>
        <w:rPr>
          <w:rFonts w:ascii="Times New Roman" w:eastAsia="SimSun" w:hAnsi="Times New Roman" w:cs="Times New Roman"/>
          <w:sz w:val="24"/>
          <w:szCs w:val="24"/>
          <w:lang w:val="en-US" w:eastAsia="zh-CN"/>
        </w:rPr>
      </w:pPr>
    </w:p>
    <w:p w14:paraId="704AD041" w14:textId="77777777" w:rsidR="001B0666" w:rsidRDefault="001B0666" w:rsidP="001B0666">
      <w:pPr>
        <w:spacing w:after="0" w:line="240" w:lineRule="auto"/>
        <w:jc w:val="center"/>
        <w:rPr>
          <w:rFonts w:ascii="Times New Roman" w:eastAsia="SimSun" w:hAnsi="Times New Roman" w:cs="Times New Roman"/>
          <w:sz w:val="24"/>
          <w:szCs w:val="24"/>
          <w:lang w:val="en-US" w:eastAsia="zh-CN"/>
        </w:rPr>
      </w:pPr>
    </w:p>
    <w:p w14:paraId="01243F49" w14:textId="77777777" w:rsidR="001B0666"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heme="majorBidi" w:hAnsiTheme="majorBidi" w:cstheme="majorBidi"/>
          <w:b/>
          <w:bCs/>
          <w:szCs w:val="24"/>
          <w:lang w:val="en-US"/>
        </w:rPr>
        <w:t xml:space="preserve"> </w:t>
      </w:r>
      <w:r>
        <w:rPr>
          <w:rFonts w:ascii="Times New Roman" w:hAnsi="Times New Roman" w:cs="Times New Roman"/>
          <w:szCs w:val="24"/>
          <w:vertAlign w:val="superscript"/>
        </w:rPr>
        <w:t>2</w:t>
      </w:r>
      <w:r>
        <w:rPr>
          <w:rFonts w:ascii="Times New Roman" w:hAnsi="Times New Roman" w:cs="Times New Roman"/>
          <w:szCs w:val="24"/>
        </w:rPr>
        <w:t>Centre for Research in Accounting, Accountability and Governance</w:t>
      </w:r>
    </w:p>
    <w:p w14:paraId="669C75C2" w14:textId="77777777" w:rsidR="001B0666"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rPr>
        <w:t>Department of Accounting</w:t>
      </w:r>
    </w:p>
    <w:p w14:paraId="1B5E940F" w14:textId="77777777" w:rsidR="001B0666"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rPr>
        <w:t>Southampton Business School</w:t>
      </w:r>
    </w:p>
    <w:p w14:paraId="1662B6B4" w14:textId="77777777" w:rsidR="001B0666"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rPr>
        <w:t>University of Southampton</w:t>
      </w:r>
    </w:p>
    <w:p w14:paraId="6407D428" w14:textId="77777777" w:rsidR="001B0666"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rPr>
        <w:t>Southampton, UK</w:t>
      </w:r>
    </w:p>
    <w:p w14:paraId="1B62E849" w14:textId="77777777" w:rsidR="001B0666" w:rsidRDefault="001B0666" w:rsidP="001B0666">
      <w:pPr>
        <w:jc w:val="center"/>
        <w:rPr>
          <w:rFonts w:asciiTheme="majorBidi" w:hAnsiTheme="majorBidi" w:cstheme="majorBidi"/>
          <w:b/>
          <w:bCs/>
          <w:sz w:val="24"/>
          <w:szCs w:val="24"/>
        </w:rPr>
      </w:pPr>
    </w:p>
    <w:p w14:paraId="3C76059F" w14:textId="77777777" w:rsidR="001B0666"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vertAlign w:val="superscript"/>
        </w:rPr>
        <w:t>3</w:t>
      </w:r>
      <w:r>
        <w:rPr>
          <w:rFonts w:ascii="Times New Roman" w:hAnsi="Times New Roman" w:cs="Times New Roman"/>
          <w:szCs w:val="24"/>
        </w:rPr>
        <w:t>Department of Accounting and Finance</w:t>
      </w:r>
    </w:p>
    <w:p w14:paraId="16C27B15" w14:textId="77777777" w:rsidR="001B0666"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rPr>
        <w:t>Nottingham Business School</w:t>
      </w:r>
    </w:p>
    <w:p w14:paraId="3DF891B2" w14:textId="77777777" w:rsidR="001B0666"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rPr>
        <w:t>Nottingham Trent University</w:t>
      </w:r>
    </w:p>
    <w:p w14:paraId="03FA34EE" w14:textId="77777777" w:rsidR="001B0666"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rPr>
        <w:t>Nottingham, UK</w:t>
      </w:r>
    </w:p>
    <w:p w14:paraId="30CD4B14" w14:textId="77777777" w:rsidR="001B0666"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p>
    <w:p w14:paraId="4EC61615" w14:textId="77777777" w:rsidR="001B0666"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p>
    <w:p w14:paraId="2049F8F9" w14:textId="77777777" w:rsidR="001B0666"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vertAlign w:val="superscript"/>
        </w:rPr>
        <w:t>4</w:t>
      </w:r>
      <w:r>
        <w:rPr>
          <w:rFonts w:ascii="Times New Roman" w:hAnsi="Times New Roman" w:cs="Times New Roman"/>
          <w:szCs w:val="24"/>
        </w:rPr>
        <w:t>Brunel Business School</w:t>
      </w:r>
    </w:p>
    <w:p w14:paraId="50E13E06" w14:textId="77777777" w:rsidR="001B0666"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sidRPr="001D5777">
        <w:rPr>
          <w:rFonts w:ascii="Times New Roman" w:hAnsi="Times New Roman" w:cs="Times New Roman"/>
          <w:szCs w:val="24"/>
        </w:rPr>
        <w:t>Brunel University London</w:t>
      </w:r>
    </w:p>
    <w:p w14:paraId="6C1556A7" w14:textId="77777777" w:rsidR="001B0666"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sidRPr="001D5777">
        <w:rPr>
          <w:rFonts w:ascii="Times New Roman" w:hAnsi="Times New Roman" w:cs="Times New Roman"/>
          <w:szCs w:val="24"/>
        </w:rPr>
        <w:t>Middlesex</w:t>
      </w:r>
      <w:r>
        <w:rPr>
          <w:rFonts w:ascii="Times New Roman" w:hAnsi="Times New Roman" w:cs="Times New Roman"/>
          <w:szCs w:val="24"/>
        </w:rPr>
        <w:t>, UK</w:t>
      </w:r>
    </w:p>
    <w:p w14:paraId="09AA22C8" w14:textId="77777777" w:rsidR="001B0666"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p>
    <w:p w14:paraId="5F050B86" w14:textId="77777777" w:rsidR="001B0666"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p>
    <w:p w14:paraId="5F980EB6" w14:textId="6D00FDD0" w:rsidR="001B0666"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sidRPr="00B72C9B">
        <w:rPr>
          <w:rFonts w:ascii="Times New Roman" w:hAnsi="Times New Roman" w:cs="Times New Roman"/>
          <w:szCs w:val="24"/>
          <w:vertAlign w:val="superscript"/>
        </w:rPr>
        <w:t>5</w:t>
      </w:r>
      <w:r>
        <w:rPr>
          <w:rFonts w:ascii="Times New Roman" w:hAnsi="Times New Roman" w:cs="Times New Roman"/>
          <w:szCs w:val="24"/>
        </w:rPr>
        <w:t>Department of Accounting and Finance</w:t>
      </w:r>
    </w:p>
    <w:p w14:paraId="67793FB2" w14:textId="77777777" w:rsidR="001B0666"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rPr>
        <w:t>Leeds University Business School</w:t>
      </w:r>
    </w:p>
    <w:p w14:paraId="318D78DD" w14:textId="77777777" w:rsidR="001B0666"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rPr>
        <w:t>University of Leeds</w:t>
      </w:r>
    </w:p>
    <w:p w14:paraId="1B629107" w14:textId="77777777" w:rsidR="001B0666" w:rsidRPr="00B72C9B" w:rsidRDefault="001B0666" w:rsidP="001B066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rPr>
        <w:t>Leeds, UK</w:t>
      </w:r>
    </w:p>
    <w:p w14:paraId="0D090FF7" w14:textId="77777777" w:rsidR="001B0666" w:rsidRDefault="001B0666" w:rsidP="006C4A4D">
      <w:pPr>
        <w:spacing w:line="240" w:lineRule="auto"/>
        <w:jc w:val="center"/>
        <w:rPr>
          <w:rFonts w:asciiTheme="majorBidi" w:eastAsia="PMingLiU" w:hAnsiTheme="majorBidi" w:cstheme="majorBidi"/>
          <w:b/>
          <w:bCs/>
          <w:sz w:val="28"/>
          <w:szCs w:val="28"/>
        </w:rPr>
      </w:pPr>
    </w:p>
    <w:p w14:paraId="23D5446F" w14:textId="0DF794C3" w:rsidR="00A34290" w:rsidRDefault="008B2230" w:rsidP="006C4A4D">
      <w:pPr>
        <w:spacing w:line="240" w:lineRule="auto"/>
        <w:jc w:val="center"/>
        <w:rPr>
          <w:rFonts w:asciiTheme="majorBidi" w:eastAsia="PMingLiU" w:hAnsiTheme="majorBidi" w:cstheme="majorBidi"/>
          <w:b/>
          <w:bCs/>
          <w:sz w:val="28"/>
          <w:szCs w:val="28"/>
        </w:rPr>
      </w:pPr>
      <w:r w:rsidRPr="006C4A4D">
        <w:rPr>
          <w:rFonts w:asciiTheme="majorBidi" w:eastAsia="PMingLiU" w:hAnsiTheme="majorBidi" w:cstheme="majorBidi"/>
          <w:b/>
          <w:bCs/>
          <w:sz w:val="28"/>
          <w:szCs w:val="28"/>
        </w:rPr>
        <w:lastRenderedPageBreak/>
        <w:t>The Effect of Vice-Chancellor Characteristics and Internal Governance Mechanisms on Voluntary Disclosures in UK Higher Education Institutions</w:t>
      </w:r>
    </w:p>
    <w:p w14:paraId="354EB86F" w14:textId="6DE8A907" w:rsidR="006C4A4D" w:rsidRPr="006C4A4D" w:rsidRDefault="006C4A4D" w:rsidP="006C4A4D">
      <w:pPr>
        <w:spacing w:line="240" w:lineRule="auto"/>
        <w:jc w:val="center"/>
        <w:rPr>
          <w:rFonts w:asciiTheme="majorBidi" w:hAnsiTheme="majorBidi" w:cstheme="majorBidi"/>
          <w:b/>
          <w:bCs/>
          <w:sz w:val="36"/>
          <w:szCs w:val="36"/>
        </w:rPr>
      </w:pPr>
    </w:p>
    <w:p w14:paraId="3B5BDC01" w14:textId="77777777" w:rsidR="002A74B0" w:rsidRPr="00511F36" w:rsidRDefault="002A74B0" w:rsidP="002A74B0">
      <w:pPr>
        <w:spacing w:line="480" w:lineRule="auto"/>
        <w:rPr>
          <w:rFonts w:asciiTheme="majorBidi" w:hAnsiTheme="majorBidi" w:cstheme="majorBidi"/>
          <w:b/>
          <w:sz w:val="24"/>
          <w:szCs w:val="24"/>
        </w:rPr>
      </w:pPr>
      <w:r>
        <w:rPr>
          <w:rFonts w:asciiTheme="majorBidi" w:hAnsiTheme="majorBidi" w:cstheme="majorBidi"/>
          <w:b/>
          <w:sz w:val="24"/>
          <w:szCs w:val="24"/>
        </w:rPr>
        <w:t>ABSTRACT</w:t>
      </w:r>
    </w:p>
    <w:p w14:paraId="6747A661" w14:textId="3E19FC00" w:rsidR="00B34CB5" w:rsidRPr="00511F36" w:rsidRDefault="00B34CB5" w:rsidP="006E15E3">
      <w:pPr>
        <w:spacing w:line="480" w:lineRule="auto"/>
        <w:jc w:val="both"/>
        <w:rPr>
          <w:rFonts w:asciiTheme="majorBidi" w:hAnsiTheme="majorBidi" w:cstheme="majorBidi"/>
          <w:sz w:val="24"/>
          <w:szCs w:val="24"/>
        </w:rPr>
      </w:pPr>
      <w:r w:rsidRPr="00511F36">
        <w:rPr>
          <w:rFonts w:asciiTheme="majorBidi" w:hAnsiTheme="majorBidi" w:cstheme="majorBidi"/>
          <w:sz w:val="24"/>
          <w:szCs w:val="24"/>
        </w:rPr>
        <w:t xml:space="preserve">This paper examines the extent to which UK higher education institutions (HEIs) voluntarily make governance disclosures, and investigates whether vice-chancellor characteristics and governing board mechanisms influence </w:t>
      </w:r>
      <w:r w:rsidR="00DE0994">
        <w:rPr>
          <w:rFonts w:asciiTheme="majorBidi" w:hAnsiTheme="majorBidi" w:cstheme="majorBidi"/>
          <w:sz w:val="24"/>
          <w:szCs w:val="24"/>
        </w:rPr>
        <w:t xml:space="preserve">such </w:t>
      </w:r>
      <w:r w:rsidRPr="00511F36">
        <w:rPr>
          <w:rFonts w:asciiTheme="majorBidi" w:hAnsiTheme="majorBidi" w:cstheme="majorBidi"/>
          <w:sz w:val="24"/>
          <w:szCs w:val="24"/>
        </w:rPr>
        <w:t xml:space="preserve">voluntary governance disclosures. Using a sample </w:t>
      </w:r>
      <w:r w:rsidR="00E314F8">
        <w:rPr>
          <w:rFonts w:asciiTheme="majorBidi" w:hAnsiTheme="majorBidi" w:cstheme="majorBidi"/>
          <w:sz w:val="24"/>
          <w:szCs w:val="24"/>
        </w:rPr>
        <w:t>of 117 UK HEIs over a 6-year period</w:t>
      </w:r>
      <w:r w:rsidR="00C10E71">
        <w:rPr>
          <w:rFonts w:asciiTheme="majorBidi" w:hAnsiTheme="majorBidi" w:cstheme="majorBidi"/>
          <w:sz w:val="24"/>
          <w:szCs w:val="24"/>
        </w:rPr>
        <w:t xml:space="preserve"> (i.e., 702 university-year observations)</w:t>
      </w:r>
      <w:r w:rsidRPr="00511F36">
        <w:rPr>
          <w:rFonts w:asciiTheme="majorBidi" w:hAnsiTheme="majorBidi" w:cstheme="majorBidi"/>
          <w:sz w:val="24"/>
          <w:szCs w:val="24"/>
        </w:rPr>
        <w:t>, we find that the level of governance disclosure</w:t>
      </w:r>
      <w:r w:rsidR="008C73F3">
        <w:rPr>
          <w:rFonts w:asciiTheme="majorBidi" w:hAnsiTheme="majorBidi" w:cstheme="majorBidi"/>
          <w:sz w:val="24"/>
          <w:szCs w:val="24"/>
        </w:rPr>
        <w:t>s</w:t>
      </w:r>
      <w:r w:rsidRPr="00511F36">
        <w:rPr>
          <w:rFonts w:asciiTheme="majorBidi" w:hAnsiTheme="majorBidi" w:cstheme="majorBidi"/>
          <w:sz w:val="24"/>
          <w:szCs w:val="24"/>
        </w:rPr>
        <w:t xml:space="preserve"> </w:t>
      </w:r>
      <w:r w:rsidR="003A5E15">
        <w:rPr>
          <w:rFonts w:asciiTheme="majorBidi" w:hAnsiTheme="majorBidi" w:cstheme="majorBidi"/>
          <w:sz w:val="24"/>
          <w:szCs w:val="24"/>
        </w:rPr>
        <w:t>among</w:t>
      </w:r>
      <w:r w:rsidR="003A5E15" w:rsidRPr="00511F36">
        <w:rPr>
          <w:rFonts w:asciiTheme="majorBidi" w:hAnsiTheme="majorBidi" w:cstheme="majorBidi"/>
          <w:sz w:val="24"/>
          <w:szCs w:val="24"/>
        </w:rPr>
        <w:t xml:space="preserve"> </w:t>
      </w:r>
      <w:r w:rsidR="00AB2165">
        <w:rPr>
          <w:rFonts w:asciiTheme="majorBidi" w:hAnsiTheme="majorBidi" w:cstheme="majorBidi"/>
          <w:sz w:val="24"/>
          <w:szCs w:val="24"/>
        </w:rPr>
        <w:t xml:space="preserve">HEIs in the UK </w:t>
      </w:r>
      <w:r w:rsidRPr="00511F36">
        <w:rPr>
          <w:rFonts w:asciiTheme="majorBidi" w:hAnsiTheme="majorBidi" w:cstheme="majorBidi"/>
          <w:sz w:val="24"/>
          <w:szCs w:val="24"/>
        </w:rPr>
        <w:t xml:space="preserve">is </w:t>
      </w:r>
      <w:r w:rsidR="006E15E3">
        <w:rPr>
          <w:rFonts w:asciiTheme="majorBidi" w:hAnsiTheme="majorBidi" w:cstheme="majorBidi"/>
          <w:sz w:val="24"/>
          <w:szCs w:val="24"/>
        </w:rPr>
        <w:t xml:space="preserve">generally </w:t>
      </w:r>
      <w:r w:rsidRPr="00511F36">
        <w:rPr>
          <w:rFonts w:asciiTheme="majorBidi" w:hAnsiTheme="majorBidi" w:cstheme="majorBidi"/>
          <w:sz w:val="24"/>
          <w:szCs w:val="24"/>
        </w:rPr>
        <w:t>low</w:t>
      </w:r>
      <w:r w:rsidR="003A5E15">
        <w:rPr>
          <w:rFonts w:asciiTheme="majorBidi" w:hAnsiTheme="majorBidi" w:cstheme="majorBidi"/>
          <w:sz w:val="24"/>
          <w:szCs w:val="24"/>
        </w:rPr>
        <w:t xml:space="preserve">, </w:t>
      </w:r>
      <w:r w:rsidR="006E15E3">
        <w:rPr>
          <w:rFonts w:asciiTheme="majorBidi" w:hAnsiTheme="majorBidi" w:cstheme="majorBidi"/>
          <w:sz w:val="24"/>
          <w:szCs w:val="24"/>
        </w:rPr>
        <w:t>which is consistent with the findings of prior studies that examined general disclosure practices among HEIs</w:t>
      </w:r>
      <w:r w:rsidR="003A5E15">
        <w:rPr>
          <w:rFonts w:asciiTheme="majorBidi" w:hAnsiTheme="majorBidi" w:cstheme="majorBidi"/>
          <w:sz w:val="24"/>
          <w:szCs w:val="24"/>
        </w:rPr>
        <w:t xml:space="preserve">. </w:t>
      </w:r>
      <w:r w:rsidRPr="00511F36">
        <w:rPr>
          <w:rFonts w:asciiTheme="majorBidi" w:hAnsiTheme="majorBidi" w:cstheme="majorBidi"/>
          <w:sz w:val="24"/>
          <w:szCs w:val="24"/>
        </w:rPr>
        <w:t xml:space="preserve">We also find that vice-chancellor characteristics and governing board mechanisms have significant impact on voluntary governance disclosures. </w:t>
      </w:r>
      <w:r w:rsidR="00F621BC" w:rsidRPr="00511F36">
        <w:rPr>
          <w:rFonts w:asciiTheme="majorBidi" w:hAnsiTheme="majorBidi" w:cstheme="majorBidi"/>
          <w:sz w:val="24"/>
          <w:szCs w:val="24"/>
        </w:rPr>
        <w:t>Specifically, we</w:t>
      </w:r>
      <w:r w:rsidR="00F71910">
        <w:rPr>
          <w:rFonts w:asciiTheme="majorBidi" w:hAnsiTheme="majorBidi" w:cstheme="majorBidi"/>
          <w:sz w:val="24"/>
          <w:szCs w:val="24"/>
        </w:rPr>
        <w:t xml:space="preserve"> find</w:t>
      </w:r>
      <w:r w:rsidR="00F621BC" w:rsidRPr="00511F36">
        <w:rPr>
          <w:rFonts w:asciiTheme="majorBidi" w:hAnsiTheme="majorBidi" w:cstheme="majorBidi"/>
          <w:sz w:val="24"/>
          <w:szCs w:val="24"/>
        </w:rPr>
        <w:t xml:space="preserve"> positive and significant association among vice-chancellor tenure, governing board independence</w:t>
      </w:r>
      <w:r w:rsidR="009C6B7A">
        <w:rPr>
          <w:rFonts w:asciiTheme="majorBidi" w:hAnsiTheme="majorBidi" w:cstheme="majorBidi"/>
          <w:sz w:val="24"/>
          <w:szCs w:val="24"/>
        </w:rPr>
        <w:t>, governing board</w:t>
      </w:r>
      <w:r w:rsidR="00F621BC" w:rsidRPr="00511F36">
        <w:rPr>
          <w:rFonts w:asciiTheme="majorBidi" w:hAnsiTheme="majorBidi" w:cstheme="majorBidi"/>
          <w:sz w:val="24"/>
          <w:szCs w:val="24"/>
        </w:rPr>
        <w:t xml:space="preserve"> meetings, </w:t>
      </w:r>
      <w:r w:rsidR="00D877D0">
        <w:rPr>
          <w:rFonts w:asciiTheme="majorBidi" w:hAnsiTheme="majorBidi" w:cstheme="majorBidi"/>
          <w:sz w:val="24"/>
          <w:szCs w:val="24"/>
        </w:rPr>
        <w:t xml:space="preserve">the presence of </w:t>
      </w:r>
      <w:r w:rsidR="00825A41">
        <w:rPr>
          <w:rFonts w:asciiTheme="majorBidi" w:hAnsiTheme="majorBidi" w:cstheme="majorBidi"/>
          <w:sz w:val="24"/>
          <w:szCs w:val="24"/>
        </w:rPr>
        <w:t xml:space="preserve">a </w:t>
      </w:r>
      <w:r w:rsidR="00F621BC" w:rsidRPr="00511F36">
        <w:rPr>
          <w:rFonts w:asciiTheme="majorBidi" w:hAnsiTheme="majorBidi" w:cstheme="majorBidi"/>
          <w:sz w:val="24"/>
          <w:szCs w:val="24"/>
        </w:rPr>
        <w:t xml:space="preserve">governance committee and voluntary governance disclosures. </w:t>
      </w:r>
      <w:r w:rsidR="00641DE9">
        <w:rPr>
          <w:rFonts w:asciiTheme="majorBidi" w:hAnsiTheme="majorBidi" w:cstheme="majorBidi"/>
          <w:sz w:val="24"/>
          <w:szCs w:val="24"/>
        </w:rPr>
        <w:t>By contrast</w:t>
      </w:r>
      <w:r w:rsidR="00F621BC" w:rsidRPr="00511F36">
        <w:rPr>
          <w:rFonts w:asciiTheme="majorBidi" w:hAnsiTheme="majorBidi" w:cstheme="majorBidi"/>
          <w:sz w:val="24"/>
          <w:szCs w:val="24"/>
        </w:rPr>
        <w:t>, we find that vice-chancellor age</w:t>
      </w:r>
      <w:r w:rsidR="00F621BC">
        <w:rPr>
          <w:rFonts w:asciiTheme="majorBidi" w:hAnsiTheme="majorBidi" w:cstheme="majorBidi"/>
          <w:sz w:val="24"/>
          <w:szCs w:val="24"/>
        </w:rPr>
        <w:t xml:space="preserve"> and </w:t>
      </w:r>
      <w:r w:rsidR="009C6B7A">
        <w:rPr>
          <w:rFonts w:asciiTheme="majorBidi" w:hAnsiTheme="majorBidi" w:cstheme="majorBidi"/>
          <w:sz w:val="24"/>
          <w:szCs w:val="24"/>
        </w:rPr>
        <w:t xml:space="preserve">governing </w:t>
      </w:r>
      <w:r w:rsidR="00F621BC" w:rsidRPr="00511F36">
        <w:rPr>
          <w:rFonts w:asciiTheme="majorBidi" w:hAnsiTheme="majorBidi" w:cstheme="majorBidi"/>
          <w:sz w:val="24"/>
          <w:szCs w:val="24"/>
        </w:rPr>
        <w:t xml:space="preserve">board </w:t>
      </w:r>
      <w:r w:rsidR="00825A41">
        <w:rPr>
          <w:rFonts w:asciiTheme="majorBidi" w:hAnsiTheme="majorBidi" w:cstheme="majorBidi"/>
          <w:sz w:val="24"/>
          <w:szCs w:val="24"/>
        </w:rPr>
        <w:t xml:space="preserve">ethnic/gender </w:t>
      </w:r>
      <w:r w:rsidR="00F621BC" w:rsidRPr="00511F36">
        <w:rPr>
          <w:rFonts w:asciiTheme="majorBidi" w:hAnsiTheme="majorBidi" w:cstheme="majorBidi"/>
          <w:sz w:val="24"/>
          <w:szCs w:val="24"/>
        </w:rPr>
        <w:t xml:space="preserve">diversity have negative association with the </w:t>
      </w:r>
      <w:r w:rsidR="00F621BC" w:rsidRPr="002B786E">
        <w:rPr>
          <w:rFonts w:asciiTheme="majorBidi" w:hAnsiTheme="majorBidi" w:cstheme="majorBidi"/>
          <w:iCs/>
          <w:sz w:val="24"/>
          <w:szCs w:val="24"/>
        </w:rPr>
        <w:t>governance disclosures</w:t>
      </w:r>
      <w:r w:rsidR="00F621BC" w:rsidRPr="00511F36">
        <w:rPr>
          <w:rFonts w:asciiTheme="majorBidi" w:hAnsiTheme="majorBidi" w:cstheme="majorBidi"/>
          <w:sz w:val="24"/>
          <w:szCs w:val="24"/>
        </w:rPr>
        <w:t>, whereas vice-chancellor gender,</w:t>
      </w:r>
      <w:r w:rsidR="00F621BC">
        <w:rPr>
          <w:rFonts w:asciiTheme="majorBidi" w:hAnsiTheme="majorBidi" w:cstheme="majorBidi"/>
          <w:sz w:val="24"/>
          <w:szCs w:val="24"/>
        </w:rPr>
        <w:t xml:space="preserve"> and</w:t>
      </w:r>
      <w:r w:rsidR="00F621BC" w:rsidRPr="00511F36">
        <w:rPr>
          <w:rFonts w:asciiTheme="majorBidi" w:hAnsiTheme="majorBidi" w:cstheme="majorBidi"/>
          <w:sz w:val="24"/>
          <w:szCs w:val="24"/>
        </w:rPr>
        <w:t xml:space="preserve"> education background have no association with the </w:t>
      </w:r>
      <w:r w:rsidR="00F621BC" w:rsidRPr="0019251C">
        <w:rPr>
          <w:rFonts w:asciiTheme="majorBidi" w:hAnsiTheme="majorBidi" w:cstheme="majorBidi"/>
          <w:iCs/>
          <w:sz w:val="24"/>
          <w:szCs w:val="24"/>
        </w:rPr>
        <w:t>governance disclosures</w:t>
      </w:r>
      <w:r w:rsidR="00F621BC" w:rsidRPr="0019251C">
        <w:rPr>
          <w:rFonts w:asciiTheme="majorBidi" w:hAnsiTheme="majorBidi" w:cstheme="majorBidi"/>
          <w:sz w:val="24"/>
          <w:szCs w:val="24"/>
        </w:rPr>
        <w:t>.</w:t>
      </w:r>
      <w:r w:rsidR="00F71910" w:rsidRPr="0019251C">
        <w:rPr>
          <w:rFonts w:asciiTheme="majorBidi" w:hAnsiTheme="majorBidi" w:cstheme="majorBidi"/>
          <w:sz w:val="24"/>
          <w:szCs w:val="24"/>
        </w:rPr>
        <w:t xml:space="preserve"> </w:t>
      </w:r>
    </w:p>
    <w:p w14:paraId="42C6C72E" w14:textId="77777777" w:rsidR="00B34CB5" w:rsidRPr="00511F36" w:rsidRDefault="00B34CB5" w:rsidP="00567D34">
      <w:pPr>
        <w:snapToGrid w:val="0"/>
        <w:spacing w:after="0" w:line="480" w:lineRule="auto"/>
        <w:jc w:val="both"/>
        <w:rPr>
          <w:rFonts w:asciiTheme="majorBidi" w:hAnsiTheme="majorBidi" w:cstheme="majorBidi"/>
          <w:sz w:val="24"/>
          <w:szCs w:val="24"/>
        </w:rPr>
      </w:pPr>
    </w:p>
    <w:p w14:paraId="09A15F54" w14:textId="40D7A22B" w:rsidR="00B34CB5" w:rsidRPr="002A74B0" w:rsidRDefault="00B34CB5" w:rsidP="00567D34">
      <w:pPr>
        <w:spacing w:line="480" w:lineRule="auto"/>
        <w:jc w:val="both"/>
        <w:rPr>
          <w:rFonts w:asciiTheme="majorBidi" w:hAnsiTheme="majorBidi" w:cstheme="majorBidi"/>
          <w:b/>
          <w:bCs/>
          <w:sz w:val="28"/>
          <w:szCs w:val="28"/>
        </w:rPr>
      </w:pPr>
      <w:r w:rsidRPr="002A74B0">
        <w:rPr>
          <w:rFonts w:asciiTheme="majorBidi" w:hAnsiTheme="majorBidi" w:cstheme="majorBidi"/>
          <w:b/>
          <w:bCs/>
          <w:iCs/>
          <w:sz w:val="24"/>
          <w:szCs w:val="24"/>
        </w:rPr>
        <w:t>Keywords</w:t>
      </w:r>
      <w:r w:rsidR="002A74B0" w:rsidRPr="002A74B0">
        <w:rPr>
          <w:rFonts w:asciiTheme="majorBidi" w:hAnsiTheme="majorBidi" w:cstheme="majorBidi"/>
          <w:b/>
          <w:bCs/>
          <w:sz w:val="24"/>
          <w:szCs w:val="24"/>
        </w:rPr>
        <w:t>:</w:t>
      </w:r>
      <w:r w:rsidR="002A74B0">
        <w:rPr>
          <w:rFonts w:asciiTheme="majorBidi" w:hAnsiTheme="majorBidi" w:cstheme="majorBidi"/>
          <w:b/>
          <w:bCs/>
          <w:sz w:val="28"/>
          <w:szCs w:val="28"/>
        </w:rPr>
        <w:t xml:space="preserve"> </w:t>
      </w:r>
      <w:r w:rsidR="00BC7D06">
        <w:rPr>
          <w:rFonts w:asciiTheme="majorBidi" w:hAnsiTheme="majorBidi" w:cstheme="majorBidi"/>
          <w:bCs/>
          <w:iCs/>
          <w:sz w:val="24"/>
          <w:szCs w:val="24"/>
        </w:rPr>
        <w:t>G</w:t>
      </w:r>
      <w:r w:rsidRPr="004165DD">
        <w:rPr>
          <w:rFonts w:asciiTheme="majorBidi" w:hAnsiTheme="majorBidi" w:cstheme="majorBidi"/>
          <w:bCs/>
          <w:iCs/>
          <w:sz w:val="24"/>
          <w:szCs w:val="24"/>
        </w:rPr>
        <w:t xml:space="preserve">overnance quality, </w:t>
      </w:r>
      <w:r w:rsidR="001632DA">
        <w:rPr>
          <w:rFonts w:asciiTheme="majorBidi" w:hAnsiTheme="majorBidi" w:cstheme="majorBidi"/>
          <w:bCs/>
          <w:iCs/>
          <w:sz w:val="24"/>
          <w:szCs w:val="24"/>
        </w:rPr>
        <w:t>V</w:t>
      </w:r>
      <w:r w:rsidRPr="004165DD">
        <w:rPr>
          <w:rFonts w:asciiTheme="majorBidi" w:hAnsiTheme="majorBidi" w:cstheme="majorBidi"/>
          <w:bCs/>
          <w:iCs/>
          <w:sz w:val="24"/>
          <w:szCs w:val="24"/>
        </w:rPr>
        <w:t xml:space="preserve">oluntary disclosure, </w:t>
      </w:r>
      <w:r w:rsidR="001632DA">
        <w:rPr>
          <w:rFonts w:asciiTheme="majorBidi" w:hAnsiTheme="majorBidi" w:cstheme="majorBidi"/>
          <w:bCs/>
          <w:iCs/>
          <w:sz w:val="24"/>
          <w:szCs w:val="24"/>
        </w:rPr>
        <w:t>R</w:t>
      </w:r>
      <w:r w:rsidRPr="004165DD">
        <w:rPr>
          <w:rFonts w:asciiTheme="majorBidi" w:hAnsiTheme="majorBidi" w:cstheme="majorBidi"/>
          <w:bCs/>
          <w:iCs/>
          <w:sz w:val="24"/>
          <w:szCs w:val="24"/>
        </w:rPr>
        <w:t>eforms, UK higher education institutions</w:t>
      </w:r>
      <w:r w:rsidR="001632DA">
        <w:rPr>
          <w:rFonts w:asciiTheme="majorBidi" w:hAnsiTheme="majorBidi" w:cstheme="majorBidi"/>
          <w:bCs/>
          <w:iCs/>
          <w:sz w:val="24"/>
          <w:szCs w:val="24"/>
        </w:rPr>
        <w:t xml:space="preserve"> (HEIs)</w:t>
      </w:r>
    </w:p>
    <w:p w14:paraId="0ED2BCCF" w14:textId="393412C4" w:rsidR="00B34CB5" w:rsidRDefault="00B34CB5" w:rsidP="00567D34">
      <w:pPr>
        <w:spacing w:line="480" w:lineRule="auto"/>
        <w:jc w:val="both"/>
        <w:rPr>
          <w:rFonts w:asciiTheme="majorBidi" w:hAnsiTheme="majorBidi" w:cstheme="majorBidi"/>
          <w:b/>
          <w:bCs/>
          <w:sz w:val="24"/>
          <w:szCs w:val="24"/>
        </w:rPr>
      </w:pPr>
    </w:p>
    <w:p w14:paraId="1AD87E0F" w14:textId="77777777" w:rsidR="00945944" w:rsidRDefault="00945944" w:rsidP="00567D34">
      <w:pPr>
        <w:spacing w:line="480" w:lineRule="auto"/>
        <w:jc w:val="both"/>
        <w:rPr>
          <w:rFonts w:asciiTheme="majorBidi" w:hAnsiTheme="majorBidi" w:cstheme="majorBidi"/>
          <w:b/>
          <w:bCs/>
          <w:sz w:val="24"/>
          <w:szCs w:val="24"/>
        </w:rPr>
        <w:sectPr w:rsidR="00945944">
          <w:footerReference w:type="default" r:id="rId8"/>
          <w:pgSz w:w="11906" w:h="16838"/>
          <w:pgMar w:top="1440" w:right="1440" w:bottom="1440" w:left="1440" w:header="708" w:footer="708" w:gutter="0"/>
          <w:cols w:space="708"/>
          <w:docGrid w:linePitch="360"/>
        </w:sectPr>
      </w:pPr>
    </w:p>
    <w:p w14:paraId="71570243" w14:textId="0BF7E1D1" w:rsidR="002A74B0" w:rsidRDefault="00B706E7" w:rsidP="00B706E7">
      <w:pPr>
        <w:spacing w:after="0" w:line="480" w:lineRule="auto"/>
        <w:jc w:val="both"/>
        <w:rPr>
          <w:rFonts w:asciiTheme="majorBidi" w:hAnsiTheme="majorBidi" w:cstheme="majorBidi"/>
          <w:b/>
          <w:sz w:val="24"/>
          <w:szCs w:val="24"/>
        </w:rPr>
      </w:pPr>
      <w:r>
        <w:rPr>
          <w:rFonts w:asciiTheme="majorBidi" w:hAnsiTheme="majorBidi" w:cstheme="majorBidi"/>
          <w:b/>
          <w:sz w:val="24"/>
          <w:szCs w:val="24"/>
        </w:rPr>
        <w:lastRenderedPageBreak/>
        <w:t xml:space="preserve">1.  </w:t>
      </w:r>
      <w:r w:rsidR="002A74B0" w:rsidRPr="00B706E7">
        <w:rPr>
          <w:rFonts w:asciiTheme="majorBidi" w:hAnsiTheme="majorBidi" w:cstheme="majorBidi"/>
          <w:b/>
          <w:sz w:val="24"/>
          <w:szCs w:val="24"/>
        </w:rPr>
        <w:t>Introduction</w:t>
      </w:r>
    </w:p>
    <w:p w14:paraId="560EBAF2" w14:textId="405100C4" w:rsidR="00E1004A" w:rsidRDefault="00E1004A" w:rsidP="00C47AC1">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T</w:t>
      </w:r>
      <w:r w:rsidRPr="00511F36">
        <w:rPr>
          <w:rFonts w:asciiTheme="majorBidi" w:hAnsiTheme="majorBidi" w:cstheme="majorBidi"/>
          <w:sz w:val="24"/>
          <w:szCs w:val="24"/>
        </w:rPr>
        <w:t xml:space="preserve">his study </w:t>
      </w:r>
      <w:r w:rsidRPr="006C7BED">
        <w:rPr>
          <w:rFonts w:asciiTheme="majorBidi" w:hAnsiTheme="majorBidi" w:cstheme="majorBidi"/>
          <w:sz w:val="24"/>
          <w:szCs w:val="24"/>
        </w:rPr>
        <w:t>follow</w:t>
      </w:r>
      <w:r>
        <w:rPr>
          <w:rFonts w:asciiTheme="majorBidi" w:hAnsiTheme="majorBidi" w:cstheme="majorBidi"/>
          <w:sz w:val="24"/>
          <w:szCs w:val="24"/>
        </w:rPr>
        <w:t>s</w:t>
      </w:r>
      <w:r w:rsidRPr="006C7BED">
        <w:rPr>
          <w:rFonts w:asciiTheme="majorBidi" w:hAnsiTheme="majorBidi" w:cstheme="majorBidi"/>
          <w:sz w:val="24"/>
          <w:szCs w:val="24"/>
        </w:rPr>
        <w:t xml:space="preserve"> the guidance of Whetten (1989) </w:t>
      </w:r>
      <w:r>
        <w:rPr>
          <w:rFonts w:asciiTheme="majorBidi" w:hAnsiTheme="majorBidi" w:cstheme="majorBidi"/>
          <w:sz w:val="24"/>
          <w:szCs w:val="24"/>
        </w:rPr>
        <w:t xml:space="preserve">and </w:t>
      </w:r>
      <w:r w:rsidRPr="006C7BED">
        <w:rPr>
          <w:rFonts w:asciiTheme="majorBidi" w:hAnsiTheme="majorBidi" w:cstheme="majorBidi"/>
          <w:sz w:val="24"/>
          <w:szCs w:val="24"/>
        </w:rPr>
        <w:t xml:space="preserve">Reay </w:t>
      </w:r>
      <w:r>
        <w:rPr>
          <w:rFonts w:asciiTheme="majorBidi" w:hAnsiTheme="majorBidi" w:cstheme="majorBidi"/>
          <w:sz w:val="24"/>
          <w:szCs w:val="24"/>
        </w:rPr>
        <w:t>and</w:t>
      </w:r>
      <w:r w:rsidRPr="006C7BED">
        <w:rPr>
          <w:rFonts w:asciiTheme="majorBidi" w:hAnsiTheme="majorBidi" w:cstheme="majorBidi"/>
          <w:sz w:val="24"/>
          <w:szCs w:val="24"/>
        </w:rPr>
        <w:t xml:space="preserve"> Whetten (2011)</w:t>
      </w:r>
      <w:r>
        <w:rPr>
          <w:rFonts w:asciiTheme="majorBidi" w:hAnsiTheme="majorBidi" w:cstheme="majorBidi"/>
          <w:sz w:val="24"/>
          <w:szCs w:val="24"/>
        </w:rPr>
        <w:t xml:space="preserve"> and </w:t>
      </w:r>
      <w:r w:rsidRPr="00511F36">
        <w:rPr>
          <w:rFonts w:asciiTheme="majorBidi" w:hAnsiTheme="majorBidi" w:cstheme="majorBidi"/>
          <w:sz w:val="24"/>
          <w:szCs w:val="24"/>
        </w:rPr>
        <w:t xml:space="preserve">seeks to </w:t>
      </w:r>
      <w:r>
        <w:rPr>
          <w:rFonts w:asciiTheme="majorBidi" w:hAnsiTheme="majorBidi" w:cstheme="majorBidi"/>
          <w:sz w:val="24"/>
          <w:szCs w:val="24"/>
        </w:rPr>
        <w:t xml:space="preserve">answer the “what” question. Specifically, we </w:t>
      </w:r>
      <w:r w:rsidRPr="00511F36">
        <w:rPr>
          <w:rFonts w:asciiTheme="majorBidi" w:hAnsiTheme="majorBidi" w:cstheme="majorBidi"/>
          <w:sz w:val="24"/>
          <w:szCs w:val="24"/>
        </w:rPr>
        <w:t>investigate the extent to which UK HEIs voluntarily engage in governance disclosure</w:t>
      </w:r>
      <w:r>
        <w:rPr>
          <w:rFonts w:asciiTheme="majorBidi" w:hAnsiTheme="majorBidi" w:cstheme="majorBidi"/>
          <w:sz w:val="24"/>
          <w:szCs w:val="24"/>
        </w:rPr>
        <w:t>s in their annual reports</w:t>
      </w:r>
      <w:r w:rsidRPr="00511F36">
        <w:rPr>
          <w:rFonts w:asciiTheme="majorBidi" w:hAnsiTheme="majorBidi" w:cstheme="majorBidi"/>
          <w:sz w:val="24"/>
          <w:szCs w:val="24"/>
        </w:rPr>
        <w:t xml:space="preserve">, and consequently examine whether vice-chancellor characteristics and governing board mechanisms can explain observable differences in </w:t>
      </w:r>
      <w:r>
        <w:rPr>
          <w:rFonts w:asciiTheme="majorBidi" w:hAnsiTheme="majorBidi" w:cstheme="majorBidi"/>
          <w:sz w:val="24"/>
          <w:szCs w:val="24"/>
        </w:rPr>
        <w:t xml:space="preserve">the extent of </w:t>
      </w:r>
      <w:r w:rsidRPr="00511F36">
        <w:rPr>
          <w:rFonts w:asciiTheme="majorBidi" w:hAnsiTheme="majorBidi" w:cstheme="majorBidi"/>
          <w:sz w:val="24"/>
          <w:szCs w:val="24"/>
        </w:rPr>
        <w:t>voluntary disclosure</w:t>
      </w:r>
      <w:r>
        <w:rPr>
          <w:rFonts w:asciiTheme="majorBidi" w:hAnsiTheme="majorBidi" w:cstheme="majorBidi"/>
          <w:sz w:val="24"/>
          <w:szCs w:val="24"/>
        </w:rPr>
        <w:t xml:space="preserve"> of such good governance practices</w:t>
      </w:r>
      <w:r w:rsidRPr="00511F36">
        <w:rPr>
          <w:rFonts w:asciiTheme="majorBidi" w:hAnsiTheme="majorBidi" w:cstheme="majorBidi"/>
          <w:sz w:val="24"/>
          <w:szCs w:val="24"/>
        </w:rPr>
        <w:t>.</w:t>
      </w:r>
      <w:r>
        <w:rPr>
          <w:rFonts w:asciiTheme="majorBidi" w:hAnsiTheme="majorBidi" w:cstheme="majorBidi"/>
          <w:sz w:val="24"/>
          <w:szCs w:val="24"/>
        </w:rPr>
        <w:t xml:space="preserve"> </w:t>
      </w:r>
    </w:p>
    <w:p w14:paraId="219DF07D" w14:textId="2CCF88BF" w:rsidR="00177AE3" w:rsidRDefault="00BE7388" w:rsidP="00C47AC1">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 xml:space="preserve">Worldwide, there has been </w:t>
      </w:r>
      <w:r w:rsidR="000B32D1">
        <w:rPr>
          <w:rFonts w:asciiTheme="majorBidi" w:hAnsiTheme="majorBidi" w:cstheme="majorBidi"/>
          <w:sz w:val="24"/>
          <w:szCs w:val="24"/>
        </w:rPr>
        <w:t>a number of</w:t>
      </w:r>
      <w:r w:rsidRPr="00511F36">
        <w:rPr>
          <w:rFonts w:asciiTheme="majorBidi" w:hAnsiTheme="majorBidi" w:cstheme="majorBidi"/>
          <w:sz w:val="24"/>
          <w:szCs w:val="24"/>
        </w:rPr>
        <w:t xml:space="preserve"> </w:t>
      </w:r>
      <w:r w:rsidR="00466658">
        <w:rPr>
          <w:rFonts w:asciiTheme="majorBidi" w:hAnsiTheme="majorBidi" w:cstheme="majorBidi"/>
          <w:sz w:val="24"/>
          <w:szCs w:val="24"/>
        </w:rPr>
        <w:t>changes</w:t>
      </w:r>
      <w:r w:rsidRPr="00511F36">
        <w:rPr>
          <w:rFonts w:asciiTheme="majorBidi" w:hAnsiTheme="majorBidi" w:cstheme="majorBidi"/>
          <w:sz w:val="24"/>
          <w:szCs w:val="24"/>
        </w:rPr>
        <w:t xml:space="preserve"> in the higher education</w:t>
      </w:r>
      <w:r w:rsidR="00601FCB">
        <w:rPr>
          <w:rFonts w:asciiTheme="majorBidi" w:hAnsiTheme="majorBidi" w:cstheme="majorBidi"/>
          <w:sz w:val="24"/>
          <w:szCs w:val="24"/>
        </w:rPr>
        <w:t xml:space="preserve"> (HE)</w:t>
      </w:r>
      <w:r w:rsidRPr="00511F36">
        <w:rPr>
          <w:rFonts w:asciiTheme="majorBidi" w:hAnsiTheme="majorBidi" w:cstheme="majorBidi"/>
          <w:sz w:val="24"/>
          <w:szCs w:val="24"/>
        </w:rPr>
        <w:t xml:space="preserve"> sector. Particularly, </w:t>
      </w:r>
      <w:r w:rsidR="008C73F3">
        <w:rPr>
          <w:rFonts w:asciiTheme="majorBidi" w:hAnsiTheme="majorBidi" w:cstheme="majorBidi"/>
          <w:sz w:val="24"/>
          <w:szCs w:val="24"/>
        </w:rPr>
        <w:t xml:space="preserve">public </w:t>
      </w:r>
      <w:r w:rsidR="008C73F3" w:rsidRPr="00511F36">
        <w:rPr>
          <w:rFonts w:asciiTheme="majorBidi" w:hAnsiTheme="majorBidi" w:cstheme="majorBidi"/>
          <w:sz w:val="24"/>
          <w:szCs w:val="24"/>
        </w:rPr>
        <w:t>funding</w:t>
      </w:r>
      <w:r w:rsidR="008C73F3">
        <w:rPr>
          <w:rFonts w:asciiTheme="majorBidi" w:hAnsiTheme="majorBidi" w:cstheme="majorBidi"/>
          <w:sz w:val="24"/>
          <w:szCs w:val="24"/>
        </w:rPr>
        <w:t xml:space="preserve"> is</w:t>
      </w:r>
      <w:r w:rsidR="008C73F3" w:rsidRPr="00511F36">
        <w:rPr>
          <w:rFonts w:asciiTheme="majorBidi" w:hAnsiTheme="majorBidi" w:cstheme="majorBidi"/>
          <w:sz w:val="24"/>
          <w:szCs w:val="24"/>
        </w:rPr>
        <w:t xml:space="preserve"> </w:t>
      </w:r>
      <w:r w:rsidR="008C73F3">
        <w:rPr>
          <w:rFonts w:asciiTheme="majorBidi" w:hAnsiTheme="majorBidi" w:cstheme="majorBidi"/>
          <w:sz w:val="24"/>
          <w:szCs w:val="24"/>
        </w:rPr>
        <w:t xml:space="preserve">increasingly </w:t>
      </w:r>
      <w:r w:rsidR="008C73F3" w:rsidRPr="00511F36">
        <w:rPr>
          <w:rFonts w:asciiTheme="majorBidi" w:hAnsiTheme="majorBidi" w:cstheme="majorBidi"/>
          <w:sz w:val="24"/>
          <w:szCs w:val="24"/>
        </w:rPr>
        <w:t>becom</w:t>
      </w:r>
      <w:r w:rsidR="008C73F3">
        <w:rPr>
          <w:rFonts w:asciiTheme="majorBidi" w:hAnsiTheme="majorBidi" w:cstheme="majorBidi"/>
          <w:sz w:val="24"/>
          <w:szCs w:val="24"/>
        </w:rPr>
        <w:t>ing</w:t>
      </w:r>
      <w:r w:rsidR="008C73F3" w:rsidRPr="00511F36">
        <w:rPr>
          <w:rFonts w:asciiTheme="majorBidi" w:hAnsiTheme="majorBidi" w:cstheme="majorBidi"/>
          <w:sz w:val="24"/>
          <w:szCs w:val="24"/>
        </w:rPr>
        <w:t xml:space="preserve"> tighter</w:t>
      </w:r>
      <w:r w:rsidR="008C73F3">
        <w:rPr>
          <w:rFonts w:asciiTheme="majorBidi" w:hAnsiTheme="majorBidi" w:cstheme="majorBidi"/>
          <w:sz w:val="24"/>
          <w:szCs w:val="24"/>
        </w:rPr>
        <w:t xml:space="preserve">, and consequently, </w:t>
      </w:r>
      <w:r w:rsidRPr="00511F36">
        <w:rPr>
          <w:rFonts w:asciiTheme="majorBidi" w:hAnsiTheme="majorBidi" w:cstheme="majorBidi"/>
          <w:sz w:val="24"/>
          <w:szCs w:val="24"/>
        </w:rPr>
        <w:t>the sector is</w:t>
      </w:r>
      <w:r w:rsidR="000B32D1">
        <w:rPr>
          <w:rFonts w:asciiTheme="majorBidi" w:hAnsiTheme="majorBidi" w:cstheme="majorBidi"/>
          <w:sz w:val="24"/>
          <w:szCs w:val="24"/>
        </w:rPr>
        <w:t xml:space="preserve"> gradually </w:t>
      </w:r>
      <w:r w:rsidR="008C73F3">
        <w:rPr>
          <w:rFonts w:asciiTheme="majorBidi" w:hAnsiTheme="majorBidi" w:cstheme="majorBidi"/>
          <w:sz w:val="24"/>
          <w:szCs w:val="24"/>
        </w:rPr>
        <w:t>moving</w:t>
      </w:r>
      <w:r w:rsidR="000B32D1">
        <w:rPr>
          <w:rFonts w:asciiTheme="majorBidi" w:hAnsiTheme="majorBidi" w:cstheme="majorBidi"/>
          <w:sz w:val="24"/>
          <w:szCs w:val="24"/>
        </w:rPr>
        <w:t xml:space="preserve"> away</w:t>
      </w:r>
      <w:r w:rsidRPr="00511F36">
        <w:rPr>
          <w:rFonts w:asciiTheme="majorBidi" w:hAnsiTheme="majorBidi" w:cstheme="majorBidi"/>
          <w:sz w:val="24"/>
          <w:szCs w:val="24"/>
        </w:rPr>
        <w:t xml:space="preserve"> from public to private</w:t>
      </w:r>
      <w:r w:rsidR="008C73F3">
        <w:rPr>
          <w:rFonts w:asciiTheme="majorBidi" w:hAnsiTheme="majorBidi" w:cstheme="majorBidi"/>
          <w:sz w:val="24"/>
          <w:szCs w:val="24"/>
        </w:rPr>
        <w:t>/hybrid</w:t>
      </w:r>
      <w:r w:rsidRPr="00511F36">
        <w:rPr>
          <w:rFonts w:asciiTheme="majorBidi" w:hAnsiTheme="majorBidi" w:cstheme="majorBidi"/>
          <w:sz w:val="24"/>
          <w:szCs w:val="24"/>
        </w:rPr>
        <w:t xml:space="preserve"> </w:t>
      </w:r>
      <w:r w:rsidR="00601FCB">
        <w:rPr>
          <w:rFonts w:asciiTheme="majorBidi" w:hAnsiTheme="majorBidi" w:cstheme="majorBidi"/>
          <w:sz w:val="24"/>
          <w:szCs w:val="24"/>
        </w:rPr>
        <w:t>source</w:t>
      </w:r>
      <w:r w:rsidR="008C73F3">
        <w:rPr>
          <w:rFonts w:asciiTheme="majorBidi" w:hAnsiTheme="majorBidi" w:cstheme="majorBidi"/>
          <w:sz w:val="24"/>
          <w:szCs w:val="24"/>
        </w:rPr>
        <w:t>s of funding</w:t>
      </w:r>
      <w:r w:rsidR="00221ED4">
        <w:rPr>
          <w:rStyle w:val="FootnoteReference"/>
          <w:rFonts w:asciiTheme="majorBidi" w:hAnsiTheme="majorBidi" w:cstheme="majorBidi"/>
          <w:sz w:val="24"/>
          <w:szCs w:val="24"/>
        </w:rPr>
        <w:footnoteReference w:id="2"/>
      </w:r>
      <w:r w:rsidR="008C73F3">
        <w:rPr>
          <w:rFonts w:asciiTheme="majorBidi" w:hAnsiTheme="majorBidi" w:cstheme="majorBidi"/>
          <w:sz w:val="24"/>
          <w:szCs w:val="24"/>
        </w:rPr>
        <w:t xml:space="preserve"> </w:t>
      </w:r>
      <w:r w:rsidR="00601FCB">
        <w:rPr>
          <w:rFonts w:asciiTheme="majorBidi" w:hAnsiTheme="majorBidi" w:cstheme="majorBidi"/>
          <w:sz w:val="24"/>
          <w:szCs w:val="24"/>
        </w:rPr>
        <w:t>(</w:t>
      </w:r>
      <w:r w:rsidR="005A3139">
        <w:rPr>
          <w:rFonts w:asciiTheme="majorBidi" w:hAnsiTheme="majorBidi" w:cstheme="majorBidi"/>
          <w:sz w:val="24"/>
          <w:szCs w:val="24"/>
        </w:rPr>
        <w:t xml:space="preserve">Du </w:t>
      </w:r>
      <w:r w:rsidR="005A3139" w:rsidRPr="005A3139">
        <w:rPr>
          <w:rFonts w:asciiTheme="majorBidi" w:hAnsiTheme="majorBidi" w:cstheme="majorBidi"/>
          <w:sz w:val="24"/>
          <w:szCs w:val="24"/>
        </w:rPr>
        <w:t>&amp; Lapsley</w:t>
      </w:r>
      <w:r w:rsidR="005A3139">
        <w:rPr>
          <w:rFonts w:asciiTheme="majorBidi" w:hAnsiTheme="majorBidi" w:cstheme="majorBidi"/>
          <w:sz w:val="24"/>
          <w:szCs w:val="24"/>
        </w:rPr>
        <w:t xml:space="preserve">, 2019; </w:t>
      </w:r>
      <w:r w:rsidR="00427F9E">
        <w:rPr>
          <w:rFonts w:asciiTheme="majorBidi" w:hAnsiTheme="majorBidi" w:cstheme="majorBidi"/>
          <w:sz w:val="24"/>
          <w:szCs w:val="24"/>
        </w:rPr>
        <w:t>Ntim,</w:t>
      </w:r>
      <w:r w:rsidR="008F28F7">
        <w:rPr>
          <w:rFonts w:asciiTheme="majorBidi" w:hAnsiTheme="majorBidi" w:cstheme="majorBidi"/>
          <w:sz w:val="24"/>
          <w:szCs w:val="24"/>
        </w:rPr>
        <w:t xml:space="preserve"> </w:t>
      </w:r>
      <w:r w:rsidR="00427F9E">
        <w:rPr>
          <w:rFonts w:asciiTheme="majorBidi" w:hAnsiTheme="majorBidi" w:cstheme="majorBidi"/>
          <w:sz w:val="24"/>
          <w:szCs w:val="24"/>
        </w:rPr>
        <w:t>20</w:t>
      </w:r>
      <w:r w:rsidR="002B786E">
        <w:rPr>
          <w:rFonts w:asciiTheme="majorBidi" w:hAnsiTheme="majorBidi" w:cstheme="majorBidi"/>
          <w:sz w:val="24"/>
          <w:szCs w:val="24"/>
        </w:rPr>
        <w:t>1</w:t>
      </w:r>
      <w:r w:rsidR="00427F9E">
        <w:rPr>
          <w:rFonts w:asciiTheme="majorBidi" w:hAnsiTheme="majorBidi" w:cstheme="majorBidi"/>
          <w:sz w:val="24"/>
          <w:szCs w:val="24"/>
        </w:rPr>
        <w:t>8</w:t>
      </w:r>
      <w:r w:rsidR="00601FCB">
        <w:rPr>
          <w:rFonts w:asciiTheme="majorBidi" w:hAnsiTheme="majorBidi" w:cstheme="majorBidi"/>
          <w:sz w:val="24"/>
          <w:szCs w:val="24"/>
        </w:rPr>
        <w:t>). At the same time,</w:t>
      </w:r>
      <w:r w:rsidR="000B32D1">
        <w:rPr>
          <w:rFonts w:asciiTheme="majorBidi" w:hAnsiTheme="majorBidi" w:cstheme="majorBidi"/>
          <w:sz w:val="24"/>
          <w:szCs w:val="24"/>
        </w:rPr>
        <w:t xml:space="preserve"> competition for</w:t>
      </w:r>
      <w:r w:rsidRPr="00511F36">
        <w:rPr>
          <w:rFonts w:asciiTheme="majorBidi" w:hAnsiTheme="majorBidi" w:cstheme="majorBidi"/>
          <w:sz w:val="24"/>
          <w:szCs w:val="24"/>
        </w:rPr>
        <w:t xml:space="preserve"> student</w:t>
      </w:r>
      <w:r w:rsidR="000B32D1">
        <w:rPr>
          <w:rFonts w:asciiTheme="majorBidi" w:hAnsiTheme="majorBidi" w:cstheme="majorBidi"/>
          <w:sz w:val="24"/>
          <w:szCs w:val="24"/>
        </w:rPr>
        <w:t>s</w:t>
      </w:r>
      <w:r w:rsidRPr="00511F36">
        <w:rPr>
          <w:rFonts w:asciiTheme="majorBidi" w:hAnsiTheme="majorBidi" w:cstheme="majorBidi"/>
          <w:sz w:val="24"/>
          <w:szCs w:val="24"/>
        </w:rPr>
        <w:t xml:space="preserve">, </w:t>
      </w:r>
      <w:r w:rsidR="00601FCB">
        <w:rPr>
          <w:rFonts w:asciiTheme="majorBidi" w:hAnsiTheme="majorBidi" w:cstheme="majorBidi"/>
          <w:sz w:val="24"/>
          <w:szCs w:val="24"/>
        </w:rPr>
        <w:t xml:space="preserve">along with ‘commodification’, </w:t>
      </w:r>
      <w:r w:rsidR="00330986" w:rsidRPr="00511F36">
        <w:rPr>
          <w:rFonts w:asciiTheme="majorBidi" w:hAnsiTheme="majorBidi" w:cstheme="majorBidi"/>
          <w:sz w:val="24"/>
          <w:szCs w:val="24"/>
        </w:rPr>
        <w:t>‘</w:t>
      </w:r>
      <w:r w:rsidRPr="00511F36">
        <w:rPr>
          <w:rFonts w:asciiTheme="majorBidi" w:hAnsiTheme="majorBidi" w:cstheme="majorBidi"/>
          <w:sz w:val="24"/>
          <w:szCs w:val="24"/>
        </w:rPr>
        <w:t>managerialism’</w:t>
      </w:r>
      <w:r w:rsidR="00330986" w:rsidRPr="00511F36">
        <w:rPr>
          <w:rFonts w:asciiTheme="majorBidi" w:hAnsiTheme="majorBidi" w:cstheme="majorBidi"/>
          <w:sz w:val="24"/>
          <w:szCs w:val="24"/>
        </w:rPr>
        <w:t>,</w:t>
      </w:r>
      <w:r w:rsidR="005061A2" w:rsidRPr="00511F36">
        <w:rPr>
          <w:rFonts w:asciiTheme="majorBidi" w:hAnsiTheme="majorBidi" w:cstheme="majorBidi"/>
          <w:sz w:val="24"/>
          <w:szCs w:val="24"/>
        </w:rPr>
        <w:t xml:space="preserve"> and </w:t>
      </w:r>
      <w:r w:rsidR="00330986" w:rsidRPr="00511F36">
        <w:rPr>
          <w:rFonts w:asciiTheme="majorBidi" w:hAnsiTheme="majorBidi" w:cstheme="majorBidi"/>
          <w:sz w:val="24"/>
          <w:szCs w:val="24"/>
        </w:rPr>
        <w:t>‘corporatisati</w:t>
      </w:r>
      <w:r w:rsidR="008257FE">
        <w:rPr>
          <w:rFonts w:asciiTheme="majorBidi" w:hAnsiTheme="majorBidi" w:cstheme="majorBidi"/>
          <w:sz w:val="24"/>
          <w:szCs w:val="24"/>
        </w:rPr>
        <w:t xml:space="preserve">on’ </w:t>
      </w:r>
      <w:r w:rsidR="00601FCB">
        <w:rPr>
          <w:rFonts w:asciiTheme="majorBidi" w:hAnsiTheme="majorBidi" w:cstheme="majorBidi"/>
          <w:sz w:val="24"/>
          <w:szCs w:val="24"/>
        </w:rPr>
        <w:t xml:space="preserve">of education </w:t>
      </w:r>
      <w:r w:rsidR="008257FE">
        <w:rPr>
          <w:rFonts w:asciiTheme="majorBidi" w:hAnsiTheme="majorBidi" w:cstheme="majorBidi"/>
          <w:sz w:val="24"/>
          <w:szCs w:val="24"/>
        </w:rPr>
        <w:t xml:space="preserve">have </w:t>
      </w:r>
      <w:r w:rsidR="000B32D1">
        <w:rPr>
          <w:rFonts w:asciiTheme="majorBidi" w:hAnsiTheme="majorBidi" w:cstheme="majorBidi"/>
          <w:sz w:val="24"/>
          <w:szCs w:val="24"/>
        </w:rPr>
        <w:t xml:space="preserve">significantly </w:t>
      </w:r>
      <w:r w:rsidR="008257FE">
        <w:rPr>
          <w:rFonts w:asciiTheme="majorBidi" w:hAnsiTheme="majorBidi" w:cstheme="majorBidi"/>
          <w:sz w:val="24"/>
          <w:szCs w:val="24"/>
        </w:rPr>
        <w:t>increased (Parker</w:t>
      </w:r>
      <w:r w:rsidR="00D51F99">
        <w:rPr>
          <w:rFonts w:asciiTheme="majorBidi" w:hAnsiTheme="majorBidi" w:cstheme="majorBidi"/>
          <w:sz w:val="24"/>
          <w:szCs w:val="24"/>
        </w:rPr>
        <w:t>,</w:t>
      </w:r>
      <w:r w:rsidR="00330986" w:rsidRPr="00511F36">
        <w:rPr>
          <w:rFonts w:asciiTheme="majorBidi" w:hAnsiTheme="majorBidi" w:cstheme="majorBidi"/>
          <w:sz w:val="24"/>
          <w:szCs w:val="24"/>
        </w:rPr>
        <w:t xml:space="preserve"> 2011, 2013). </w:t>
      </w:r>
      <w:r w:rsidR="00DD76C1" w:rsidRPr="00511F36">
        <w:rPr>
          <w:rFonts w:asciiTheme="majorBidi" w:hAnsiTheme="majorBidi" w:cstheme="majorBidi"/>
          <w:sz w:val="24"/>
          <w:szCs w:val="24"/>
        </w:rPr>
        <w:t>Noticeably, t</w:t>
      </w:r>
      <w:r w:rsidR="00355D94" w:rsidRPr="00511F36">
        <w:rPr>
          <w:rFonts w:asciiTheme="majorBidi" w:hAnsiTheme="majorBidi" w:cstheme="majorBidi"/>
          <w:sz w:val="24"/>
          <w:szCs w:val="24"/>
        </w:rPr>
        <w:t xml:space="preserve">hese reforms and </w:t>
      </w:r>
      <w:r w:rsidR="003C1D9C">
        <w:rPr>
          <w:rFonts w:asciiTheme="majorBidi" w:hAnsiTheme="majorBidi" w:cstheme="majorBidi"/>
          <w:sz w:val="24"/>
          <w:szCs w:val="24"/>
        </w:rPr>
        <w:t>pressures</w:t>
      </w:r>
      <w:r w:rsidR="003C1D9C" w:rsidRPr="00511F36">
        <w:rPr>
          <w:rFonts w:asciiTheme="majorBidi" w:hAnsiTheme="majorBidi" w:cstheme="majorBidi"/>
          <w:sz w:val="24"/>
          <w:szCs w:val="24"/>
        </w:rPr>
        <w:t xml:space="preserve"> </w:t>
      </w:r>
      <w:r w:rsidR="00355D94" w:rsidRPr="00511F36">
        <w:rPr>
          <w:rFonts w:asciiTheme="majorBidi" w:hAnsiTheme="majorBidi" w:cstheme="majorBidi"/>
          <w:sz w:val="24"/>
          <w:szCs w:val="24"/>
        </w:rPr>
        <w:t>ha</w:t>
      </w:r>
      <w:r w:rsidR="00601FCB">
        <w:rPr>
          <w:rFonts w:asciiTheme="majorBidi" w:hAnsiTheme="majorBidi" w:cstheme="majorBidi"/>
          <w:sz w:val="24"/>
          <w:szCs w:val="24"/>
        </w:rPr>
        <w:t>ve</w:t>
      </w:r>
      <w:r w:rsidR="00DD76C1" w:rsidRPr="00511F36">
        <w:rPr>
          <w:rFonts w:asciiTheme="majorBidi" w:hAnsiTheme="majorBidi" w:cstheme="majorBidi"/>
          <w:sz w:val="24"/>
          <w:szCs w:val="24"/>
        </w:rPr>
        <w:t xml:space="preserve"> </w:t>
      </w:r>
      <w:r w:rsidR="00355D94" w:rsidRPr="00511F36">
        <w:rPr>
          <w:rFonts w:asciiTheme="majorBidi" w:hAnsiTheme="majorBidi" w:cstheme="majorBidi"/>
          <w:sz w:val="24"/>
          <w:szCs w:val="24"/>
        </w:rPr>
        <w:t>increased the</w:t>
      </w:r>
      <w:r w:rsidR="007F61A5">
        <w:rPr>
          <w:rFonts w:asciiTheme="majorBidi" w:hAnsiTheme="majorBidi" w:cstheme="majorBidi"/>
          <w:sz w:val="24"/>
          <w:szCs w:val="24"/>
        </w:rPr>
        <w:t xml:space="preserve"> </w:t>
      </w:r>
      <w:r w:rsidR="003C1D9C">
        <w:rPr>
          <w:rFonts w:asciiTheme="majorBidi" w:hAnsiTheme="majorBidi" w:cstheme="majorBidi"/>
          <w:sz w:val="24"/>
          <w:szCs w:val="24"/>
        </w:rPr>
        <w:t>need</w:t>
      </w:r>
      <w:r w:rsidR="007F61A5">
        <w:rPr>
          <w:rFonts w:asciiTheme="majorBidi" w:hAnsiTheme="majorBidi" w:cstheme="majorBidi"/>
          <w:sz w:val="24"/>
          <w:szCs w:val="24"/>
        </w:rPr>
        <w:t xml:space="preserve"> to demonstrate greater governance, accountability, transparency and value for </w:t>
      </w:r>
      <w:r w:rsidR="00DB2F77">
        <w:rPr>
          <w:rFonts w:asciiTheme="majorBidi" w:hAnsiTheme="majorBidi" w:cstheme="majorBidi"/>
          <w:sz w:val="24"/>
          <w:szCs w:val="24"/>
        </w:rPr>
        <w:t>money within</w:t>
      </w:r>
      <w:r w:rsidR="00355D94" w:rsidRPr="00511F36">
        <w:rPr>
          <w:rFonts w:asciiTheme="majorBidi" w:hAnsiTheme="majorBidi" w:cstheme="majorBidi"/>
          <w:sz w:val="24"/>
          <w:szCs w:val="24"/>
        </w:rPr>
        <w:t xml:space="preserve"> the </w:t>
      </w:r>
      <w:r w:rsidR="00601FCB">
        <w:rPr>
          <w:rFonts w:asciiTheme="majorBidi" w:hAnsiTheme="majorBidi" w:cstheme="majorBidi"/>
          <w:sz w:val="24"/>
          <w:szCs w:val="24"/>
        </w:rPr>
        <w:t>HE</w:t>
      </w:r>
      <w:r w:rsidR="00355D94" w:rsidRPr="00511F36">
        <w:rPr>
          <w:rFonts w:asciiTheme="majorBidi" w:hAnsiTheme="majorBidi" w:cstheme="majorBidi"/>
          <w:sz w:val="24"/>
          <w:szCs w:val="24"/>
        </w:rPr>
        <w:t xml:space="preserve"> sector </w:t>
      </w:r>
      <w:r w:rsidR="00601FCB">
        <w:rPr>
          <w:rFonts w:asciiTheme="majorBidi" w:hAnsiTheme="majorBidi" w:cstheme="majorBidi"/>
          <w:sz w:val="24"/>
          <w:szCs w:val="24"/>
        </w:rPr>
        <w:t>in general</w:t>
      </w:r>
      <w:r w:rsidR="00DD76C1" w:rsidRPr="00511F36">
        <w:rPr>
          <w:rFonts w:asciiTheme="majorBidi" w:hAnsiTheme="majorBidi" w:cstheme="majorBidi"/>
          <w:sz w:val="24"/>
          <w:szCs w:val="24"/>
        </w:rPr>
        <w:t xml:space="preserve">, </w:t>
      </w:r>
      <w:r w:rsidR="00601FCB">
        <w:rPr>
          <w:rFonts w:asciiTheme="majorBidi" w:hAnsiTheme="majorBidi" w:cstheme="majorBidi"/>
          <w:sz w:val="24"/>
          <w:szCs w:val="24"/>
        </w:rPr>
        <w:t xml:space="preserve">but </w:t>
      </w:r>
      <w:r w:rsidR="00DD76C1" w:rsidRPr="00511F36">
        <w:rPr>
          <w:rFonts w:asciiTheme="majorBidi" w:hAnsiTheme="majorBidi" w:cstheme="majorBidi"/>
          <w:sz w:val="24"/>
          <w:szCs w:val="24"/>
        </w:rPr>
        <w:t>UK</w:t>
      </w:r>
      <w:r w:rsidR="00E171D6" w:rsidRPr="00511F36">
        <w:rPr>
          <w:rFonts w:asciiTheme="majorBidi" w:hAnsiTheme="majorBidi" w:cstheme="majorBidi"/>
          <w:sz w:val="24"/>
          <w:szCs w:val="24"/>
        </w:rPr>
        <w:t xml:space="preserve"> </w:t>
      </w:r>
      <w:r w:rsidR="00601FCB">
        <w:rPr>
          <w:rFonts w:asciiTheme="majorBidi" w:hAnsiTheme="majorBidi" w:cstheme="majorBidi"/>
          <w:sz w:val="24"/>
          <w:szCs w:val="24"/>
        </w:rPr>
        <w:t>HE</w:t>
      </w:r>
      <w:r w:rsidR="00E171D6" w:rsidRPr="00511F36">
        <w:rPr>
          <w:rFonts w:asciiTheme="majorBidi" w:hAnsiTheme="majorBidi" w:cstheme="majorBidi"/>
          <w:sz w:val="24"/>
          <w:szCs w:val="24"/>
        </w:rPr>
        <w:t xml:space="preserve"> </w:t>
      </w:r>
      <w:r w:rsidR="003567BD">
        <w:rPr>
          <w:rFonts w:asciiTheme="majorBidi" w:hAnsiTheme="majorBidi" w:cstheme="majorBidi"/>
          <w:sz w:val="24"/>
          <w:szCs w:val="24"/>
        </w:rPr>
        <w:t>context</w:t>
      </w:r>
      <w:r w:rsidR="00DD76C1" w:rsidRPr="00511F36">
        <w:rPr>
          <w:rFonts w:asciiTheme="majorBidi" w:hAnsiTheme="majorBidi" w:cstheme="majorBidi"/>
          <w:sz w:val="24"/>
          <w:szCs w:val="24"/>
        </w:rPr>
        <w:t xml:space="preserve"> in particular</w:t>
      </w:r>
      <w:r w:rsidR="00481118" w:rsidRPr="00511F36">
        <w:rPr>
          <w:rFonts w:asciiTheme="majorBidi" w:hAnsiTheme="majorBidi" w:cstheme="majorBidi"/>
          <w:sz w:val="24"/>
          <w:szCs w:val="24"/>
        </w:rPr>
        <w:t xml:space="preserve">. </w:t>
      </w:r>
      <w:r w:rsidR="00F53D81" w:rsidRPr="00511F36">
        <w:rPr>
          <w:rFonts w:asciiTheme="majorBidi" w:hAnsiTheme="majorBidi" w:cstheme="majorBidi"/>
          <w:sz w:val="24"/>
          <w:szCs w:val="24"/>
        </w:rPr>
        <w:t>For example</w:t>
      </w:r>
      <w:r w:rsidR="001E2CEB">
        <w:rPr>
          <w:rFonts w:asciiTheme="majorBidi" w:hAnsiTheme="majorBidi" w:cstheme="majorBidi"/>
          <w:sz w:val="24"/>
          <w:szCs w:val="24"/>
        </w:rPr>
        <w:t xml:space="preserve">, </w:t>
      </w:r>
      <w:r w:rsidR="00F53D81" w:rsidRPr="00511F36">
        <w:rPr>
          <w:rFonts w:asciiTheme="majorBidi" w:hAnsiTheme="majorBidi" w:cstheme="majorBidi"/>
          <w:sz w:val="24"/>
          <w:szCs w:val="24"/>
        </w:rPr>
        <w:t xml:space="preserve">the UK has been at </w:t>
      </w:r>
      <w:r w:rsidR="0039397B" w:rsidRPr="00511F36">
        <w:rPr>
          <w:rFonts w:asciiTheme="majorBidi" w:hAnsiTheme="majorBidi" w:cstheme="majorBidi"/>
          <w:sz w:val="24"/>
          <w:szCs w:val="24"/>
        </w:rPr>
        <w:t xml:space="preserve">the forefront of </w:t>
      </w:r>
      <w:r w:rsidR="00CF471E" w:rsidRPr="00511F36">
        <w:rPr>
          <w:rFonts w:asciiTheme="majorBidi" w:hAnsiTheme="majorBidi" w:cstheme="majorBidi"/>
          <w:sz w:val="24"/>
          <w:szCs w:val="24"/>
        </w:rPr>
        <w:t xml:space="preserve">developing </w:t>
      </w:r>
      <w:r w:rsidR="00601FCB">
        <w:rPr>
          <w:rFonts w:asciiTheme="majorBidi" w:hAnsiTheme="majorBidi" w:cstheme="majorBidi"/>
          <w:sz w:val="24"/>
          <w:szCs w:val="24"/>
        </w:rPr>
        <w:t>a number of</w:t>
      </w:r>
      <w:r w:rsidR="0039397B" w:rsidRPr="00511F36">
        <w:rPr>
          <w:rFonts w:asciiTheme="majorBidi" w:hAnsiTheme="majorBidi" w:cstheme="majorBidi"/>
          <w:sz w:val="24"/>
          <w:szCs w:val="24"/>
        </w:rPr>
        <w:t xml:space="preserve"> </w:t>
      </w:r>
      <w:r w:rsidR="00CF471E" w:rsidRPr="00511F36">
        <w:rPr>
          <w:rFonts w:asciiTheme="majorBidi" w:hAnsiTheme="majorBidi" w:cstheme="majorBidi"/>
          <w:sz w:val="24"/>
          <w:szCs w:val="24"/>
        </w:rPr>
        <w:t>governance codes</w:t>
      </w:r>
      <w:r w:rsidR="0039397B" w:rsidRPr="00511F36">
        <w:rPr>
          <w:rFonts w:asciiTheme="majorBidi" w:hAnsiTheme="majorBidi" w:cstheme="majorBidi"/>
          <w:sz w:val="24"/>
          <w:szCs w:val="24"/>
        </w:rPr>
        <w:t xml:space="preserve"> since 1995</w:t>
      </w:r>
      <w:r w:rsidR="00577237" w:rsidRPr="00511F36">
        <w:rPr>
          <w:rFonts w:asciiTheme="majorBidi" w:hAnsiTheme="majorBidi" w:cstheme="majorBidi"/>
          <w:sz w:val="24"/>
          <w:szCs w:val="24"/>
        </w:rPr>
        <w:t xml:space="preserve"> for over 20 years</w:t>
      </w:r>
      <w:r w:rsidR="0039397B" w:rsidRPr="00511F36">
        <w:rPr>
          <w:rFonts w:asciiTheme="majorBidi" w:hAnsiTheme="majorBidi" w:cstheme="majorBidi"/>
          <w:sz w:val="24"/>
          <w:szCs w:val="24"/>
        </w:rPr>
        <w:t xml:space="preserve"> (e.g., </w:t>
      </w:r>
      <w:r w:rsidR="0083737B">
        <w:rPr>
          <w:rFonts w:asciiTheme="majorBidi" w:hAnsiTheme="majorBidi" w:cstheme="majorBidi"/>
          <w:sz w:val="24"/>
          <w:szCs w:val="24"/>
        </w:rPr>
        <w:t xml:space="preserve">1997 </w:t>
      </w:r>
      <w:r w:rsidR="0039397B" w:rsidRPr="00511F36">
        <w:rPr>
          <w:rFonts w:asciiTheme="majorBidi" w:hAnsiTheme="majorBidi" w:cstheme="majorBidi"/>
          <w:sz w:val="24"/>
          <w:szCs w:val="24"/>
        </w:rPr>
        <w:t>Dearing report;</w:t>
      </w:r>
      <w:r w:rsidR="0083737B">
        <w:rPr>
          <w:rFonts w:asciiTheme="majorBidi" w:hAnsiTheme="majorBidi" w:cstheme="majorBidi"/>
          <w:sz w:val="24"/>
          <w:szCs w:val="24"/>
        </w:rPr>
        <w:t xml:space="preserve"> 2010 Browne Report;</w:t>
      </w:r>
      <w:r w:rsidR="0039397B" w:rsidRPr="00511F36">
        <w:rPr>
          <w:rFonts w:asciiTheme="majorBidi" w:hAnsiTheme="majorBidi" w:cstheme="majorBidi"/>
          <w:sz w:val="24"/>
          <w:szCs w:val="24"/>
        </w:rPr>
        <w:t xml:space="preserve"> </w:t>
      </w:r>
      <w:r w:rsidR="0083737B" w:rsidRPr="00511F36">
        <w:rPr>
          <w:rFonts w:asciiTheme="majorBidi" w:hAnsiTheme="majorBidi" w:cstheme="majorBidi"/>
          <w:sz w:val="24"/>
          <w:szCs w:val="24"/>
        </w:rPr>
        <w:t>2009</w:t>
      </w:r>
      <w:r w:rsidR="004B5D9D">
        <w:rPr>
          <w:rFonts w:asciiTheme="majorBidi" w:hAnsiTheme="majorBidi" w:cstheme="majorBidi"/>
          <w:sz w:val="24"/>
          <w:szCs w:val="24"/>
        </w:rPr>
        <w:t>, 2013, 2014</w:t>
      </w:r>
      <w:r w:rsidR="00B3412F">
        <w:rPr>
          <w:rFonts w:asciiTheme="majorBidi" w:hAnsiTheme="majorBidi" w:cstheme="majorBidi"/>
          <w:sz w:val="24"/>
          <w:szCs w:val="24"/>
        </w:rPr>
        <w:t>,</w:t>
      </w:r>
      <w:r w:rsidR="004B5D9D">
        <w:rPr>
          <w:rFonts w:asciiTheme="majorBidi" w:hAnsiTheme="majorBidi" w:cstheme="majorBidi"/>
          <w:sz w:val="24"/>
          <w:szCs w:val="24"/>
        </w:rPr>
        <w:t xml:space="preserve"> 2015</w:t>
      </w:r>
      <w:r w:rsidR="0083737B">
        <w:rPr>
          <w:rFonts w:asciiTheme="majorBidi" w:hAnsiTheme="majorBidi" w:cstheme="majorBidi"/>
          <w:sz w:val="24"/>
          <w:szCs w:val="24"/>
        </w:rPr>
        <w:t xml:space="preserve"> </w:t>
      </w:r>
      <w:r w:rsidR="00B3412F">
        <w:rPr>
          <w:rFonts w:asciiTheme="majorBidi" w:hAnsiTheme="majorBidi" w:cstheme="majorBidi"/>
          <w:sz w:val="24"/>
          <w:szCs w:val="24"/>
        </w:rPr>
        <w:t xml:space="preserve">and 2018 </w:t>
      </w:r>
      <w:r w:rsidR="0039397B" w:rsidRPr="00511F36">
        <w:rPr>
          <w:rFonts w:asciiTheme="majorBidi" w:hAnsiTheme="majorBidi" w:cstheme="majorBidi"/>
          <w:sz w:val="24"/>
          <w:szCs w:val="24"/>
        </w:rPr>
        <w:t>Committee of University Chairs</w:t>
      </w:r>
      <w:r w:rsidR="001818E3">
        <w:rPr>
          <w:rFonts w:asciiTheme="majorBidi" w:hAnsiTheme="majorBidi" w:cstheme="majorBidi"/>
          <w:sz w:val="24"/>
          <w:szCs w:val="24"/>
        </w:rPr>
        <w:t xml:space="preserve"> </w:t>
      </w:r>
      <w:r w:rsidR="00F374DA">
        <w:rPr>
          <w:rFonts w:asciiTheme="majorBidi" w:hAnsiTheme="majorBidi" w:cstheme="majorBidi"/>
          <w:sz w:val="24"/>
          <w:szCs w:val="24"/>
        </w:rPr>
        <w:t>G</w:t>
      </w:r>
      <w:r w:rsidR="001818E3">
        <w:rPr>
          <w:rFonts w:asciiTheme="majorBidi" w:hAnsiTheme="majorBidi" w:cstheme="majorBidi"/>
          <w:sz w:val="24"/>
          <w:szCs w:val="24"/>
        </w:rPr>
        <w:t>uidelines</w:t>
      </w:r>
      <w:r w:rsidR="0039397B" w:rsidRPr="00511F36">
        <w:rPr>
          <w:rFonts w:asciiTheme="majorBidi" w:hAnsiTheme="majorBidi" w:cstheme="majorBidi"/>
          <w:sz w:val="24"/>
          <w:szCs w:val="24"/>
        </w:rPr>
        <w:t xml:space="preserve"> – CUC). These </w:t>
      </w:r>
      <w:r w:rsidR="00CF471E" w:rsidRPr="00511F36">
        <w:rPr>
          <w:rFonts w:asciiTheme="majorBidi" w:hAnsiTheme="majorBidi" w:cstheme="majorBidi"/>
          <w:sz w:val="24"/>
          <w:szCs w:val="24"/>
        </w:rPr>
        <w:t>codes</w:t>
      </w:r>
      <w:r w:rsidR="0039397B" w:rsidRPr="00511F36">
        <w:rPr>
          <w:rFonts w:asciiTheme="majorBidi" w:hAnsiTheme="majorBidi" w:cstheme="majorBidi"/>
          <w:sz w:val="24"/>
          <w:szCs w:val="24"/>
        </w:rPr>
        <w:t xml:space="preserve"> </w:t>
      </w:r>
      <w:r w:rsidR="00601FCB">
        <w:rPr>
          <w:rFonts w:asciiTheme="majorBidi" w:hAnsiTheme="majorBidi" w:cstheme="majorBidi"/>
          <w:sz w:val="24"/>
          <w:szCs w:val="24"/>
        </w:rPr>
        <w:t xml:space="preserve">have often </w:t>
      </w:r>
      <w:r w:rsidR="0039397B" w:rsidRPr="00511F36">
        <w:rPr>
          <w:rFonts w:asciiTheme="majorBidi" w:hAnsiTheme="majorBidi" w:cstheme="majorBidi"/>
          <w:sz w:val="24"/>
          <w:szCs w:val="24"/>
        </w:rPr>
        <w:t>aim</w:t>
      </w:r>
      <w:r w:rsidR="00DB2B93" w:rsidRPr="00511F36">
        <w:rPr>
          <w:rFonts w:asciiTheme="majorBidi" w:hAnsiTheme="majorBidi" w:cstheme="majorBidi"/>
          <w:sz w:val="24"/>
          <w:szCs w:val="24"/>
        </w:rPr>
        <w:t>ed</w:t>
      </w:r>
      <w:r w:rsidR="0039397B" w:rsidRPr="00511F36">
        <w:rPr>
          <w:rFonts w:asciiTheme="majorBidi" w:hAnsiTheme="majorBidi" w:cstheme="majorBidi"/>
          <w:sz w:val="24"/>
          <w:szCs w:val="24"/>
        </w:rPr>
        <w:t xml:space="preserve"> at enhancing governance, public accountability, </w:t>
      </w:r>
      <w:r w:rsidR="00577237" w:rsidRPr="00511F36">
        <w:rPr>
          <w:rFonts w:asciiTheme="majorBidi" w:hAnsiTheme="majorBidi" w:cstheme="majorBidi"/>
          <w:sz w:val="24"/>
          <w:szCs w:val="24"/>
        </w:rPr>
        <w:t xml:space="preserve">and </w:t>
      </w:r>
      <w:r w:rsidR="0039397B" w:rsidRPr="00511F36">
        <w:rPr>
          <w:rFonts w:asciiTheme="majorBidi" w:hAnsiTheme="majorBidi" w:cstheme="majorBidi"/>
          <w:sz w:val="24"/>
          <w:szCs w:val="24"/>
        </w:rPr>
        <w:t xml:space="preserve">financial/risk management </w:t>
      </w:r>
      <w:r w:rsidR="00DB2B93" w:rsidRPr="00511F36">
        <w:rPr>
          <w:rFonts w:asciiTheme="majorBidi" w:hAnsiTheme="majorBidi" w:cstheme="majorBidi"/>
          <w:sz w:val="24"/>
          <w:szCs w:val="24"/>
        </w:rPr>
        <w:t>among</w:t>
      </w:r>
      <w:r w:rsidR="0039397B" w:rsidRPr="00511F36">
        <w:rPr>
          <w:rFonts w:asciiTheme="majorBidi" w:hAnsiTheme="majorBidi" w:cstheme="majorBidi"/>
          <w:sz w:val="24"/>
          <w:szCs w:val="24"/>
        </w:rPr>
        <w:t xml:space="preserve"> UK </w:t>
      </w:r>
      <w:r w:rsidR="00952C65" w:rsidRPr="00511F36">
        <w:rPr>
          <w:rFonts w:asciiTheme="majorBidi" w:hAnsiTheme="majorBidi" w:cstheme="majorBidi"/>
          <w:sz w:val="24"/>
          <w:szCs w:val="24"/>
        </w:rPr>
        <w:t>HEIs</w:t>
      </w:r>
      <w:r w:rsidR="00577237" w:rsidRPr="00511F36">
        <w:rPr>
          <w:rFonts w:asciiTheme="majorBidi" w:hAnsiTheme="majorBidi" w:cstheme="majorBidi"/>
          <w:sz w:val="24"/>
          <w:szCs w:val="24"/>
        </w:rPr>
        <w:t xml:space="preserve">. </w:t>
      </w:r>
    </w:p>
    <w:p w14:paraId="3074D499" w14:textId="21CF4C72" w:rsidR="00221ED4" w:rsidRDefault="00577237" w:rsidP="00C47AC1">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 xml:space="preserve">Additionally, the 2007/08 global financial crisis and the implementation of </w:t>
      </w:r>
      <w:r w:rsidR="003567BD">
        <w:rPr>
          <w:rFonts w:asciiTheme="majorBidi" w:hAnsiTheme="majorBidi" w:cstheme="majorBidi"/>
          <w:sz w:val="24"/>
          <w:szCs w:val="24"/>
        </w:rPr>
        <w:t xml:space="preserve">the </w:t>
      </w:r>
      <w:r w:rsidRPr="00511F36">
        <w:rPr>
          <w:rFonts w:asciiTheme="majorBidi" w:hAnsiTheme="majorBidi" w:cstheme="majorBidi"/>
          <w:sz w:val="24"/>
          <w:szCs w:val="24"/>
        </w:rPr>
        <w:t>Browne report (2010) recommendations</w:t>
      </w:r>
      <w:r w:rsidR="00F374DA">
        <w:rPr>
          <w:rFonts w:asciiTheme="majorBidi" w:hAnsiTheme="majorBidi" w:cstheme="majorBidi"/>
          <w:sz w:val="24"/>
          <w:szCs w:val="24"/>
        </w:rPr>
        <w:t xml:space="preserve"> along with huge challenges brought about by the </w:t>
      </w:r>
      <w:r w:rsidR="00012155">
        <w:rPr>
          <w:rFonts w:asciiTheme="majorBidi" w:hAnsiTheme="majorBidi" w:cstheme="majorBidi"/>
          <w:sz w:val="24"/>
          <w:szCs w:val="24"/>
        </w:rPr>
        <w:t xml:space="preserve">on-going </w:t>
      </w:r>
      <w:r w:rsidR="00F374DA">
        <w:rPr>
          <w:rFonts w:asciiTheme="majorBidi" w:hAnsiTheme="majorBidi" w:cstheme="majorBidi"/>
          <w:sz w:val="24"/>
          <w:szCs w:val="24"/>
        </w:rPr>
        <w:t>COVID-19 global pandemic</w:t>
      </w:r>
      <w:r w:rsidR="00443E50" w:rsidRPr="00511F36">
        <w:rPr>
          <w:rFonts w:asciiTheme="majorBidi" w:hAnsiTheme="majorBidi" w:cstheme="majorBidi"/>
          <w:sz w:val="24"/>
          <w:szCs w:val="24"/>
        </w:rPr>
        <w:t xml:space="preserve">, which </w:t>
      </w:r>
      <w:r w:rsidR="00D44B27">
        <w:rPr>
          <w:rFonts w:asciiTheme="majorBidi" w:hAnsiTheme="majorBidi" w:cstheme="majorBidi"/>
          <w:sz w:val="24"/>
          <w:szCs w:val="24"/>
        </w:rPr>
        <w:t xml:space="preserve">together has </w:t>
      </w:r>
      <w:r w:rsidR="00443E50" w:rsidRPr="00511F36">
        <w:rPr>
          <w:rFonts w:asciiTheme="majorBidi" w:hAnsiTheme="majorBidi" w:cstheme="majorBidi"/>
          <w:sz w:val="24"/>
          <w:szCs w:val="24"/>
        </w:rPr>
        <w:t>led to significant cut</w:t>
      </w:r>
      <w:r w:rsidR="00D44B27">
        <w:rPr>
          <w:rFonts w:asciiTheme="majorBidi" w:hAnsiTheme="majorBidi" w:cstheme="majorBidi"/>
          <w:sz w:val="24"/>
          <w:szCs w:val="24"/>
        </w:rPr>
        <w:t>s</w:t>
      </w:r>
      <w:r w:rsidR="00443E50" w:rsidRPr="00511F36">
        <w:rPr>
          <w:rFonts w:asciiTheme="majorBidi" w:hAnsiTheme="majorBidi" w:cstheme="majorBidi"/>
          <w:sz w:val="24"/>
          <w:szCs w:val="24"/>
        </w:rPr>
        <w:t xml:space="preserve"> in the </w:t>
      </w:r>
      <w:r w:rsidR="00AD6077">
        <w:rPr>
          <w:rFonts w:asciiTheme="majorBidi" w:hAnsiTheme="majorBidi" w:cstheme="majorBidi"/>
          <w:sz w:val="24"/>
          <w:szCs w:val="24"/>
        </w:rPr>
        <w:t>HE</w:t>
      </w:r>
      <w:r w:rsidR="00443E50" w:rsidRPr="00511F36">
        <w:rPr>
          <w:rFonts w:asciiTheme="majorBidi" w:hAnsiTheme="majorBidi" w:cstheme="majorBidi"/>
          <w:sz w:val="24"/>
          <w:szCs w:val="24"/>
        </w:rPr>
        <w:t xml:space="preserve"> budget, </w:t>
      </w:r>
      <w:r w:rsidRPr="00511F36">
        <w:rPr>
          <w:rFonts w:asciiTheme="majorBidi" w:hAnsiTheme="majorBidi" w:cstheme="majorBidi"/>
          <w:sz w:val="24"/>
          <w:szCs w:val="24"/>
        </w:rPr>
        <w:t xml:space="preserve">have </w:t>
      </w:r>
      <w:r w:rsidR="00443E50" w:rsidRPr="00511F36">
        <w:rPr>
          <w:rFonts w:asciiTheme="majorBidi" w:hAnsiTheme="majorBidi" w:cstheme="majorBidi"/>
          <w:sz w:val="24"/>
          <w:szCs w:val="24"/>
        </w:rPr>
        <w:t xml:space="preserve">further </w:t>
      </w:r>
      <w:r w:rsidR="0083737B" w:rsidRPr="00511F36">
        <w:rPr>
          <w:rFonts w:asciiTheme="majorBidi" w:hAnsiTheme="majorBidi" w:cstheme="majorBidi"/>
          <w:sz w:val="24"/>
          <w:szCs w:val="24"/>
        </w:rPr>
        <w:t>increased the</w:t>
      </w:r>
      <w:r w:rsidR="0083737B">
        <w:rPr>
          <w:rFonts w:asciiTheme="majorBidi" w:hAnsiTheme="majorBidi" w:cstheme="majorBidi"/>
          <w:sz w:val="24"/>
          <w:szCs w:val="24"/>
        </w:rPr>
        <w:t xml:space="preserve"> need for greater </w:t>
      </w:r>
      <w:r w:rsidR="001113F9">
        <w:rPr>
          <w:rFonts w:asciiTheme="majorBidi" w:hAnsiTheme="majorBidi" w:cstheme="majorBidi"/>
          <w:sz w:val="24"/>
          <w:szCs w:val="24"/>
        </w:rPr>
        <w:t xml:space="preserve">transparency, good </w:t>
      </w:r>
      <w:r w:rsidR="0083737B">
        <w:rPr>
          <w:rFonts w:asciiTheme="majorBidi" w:hAnsiTheme="majorBidi" w:cstheme="majorBidi"/>
          <w:sz w:val="24"/>
          <w:szCs w:val="24"/>
        </w:rPr>
        <w:t>governance</w:t>
      </w:r>
      <w:r w:rsidR="0083737B" w:rsidRPr="00511F36" w:rsidDel="0083737B">
        <w:rPr>
          <w:rFonts w:asciiTheme="majorBidi" w:hAnsiTheme="majorBidi" w:cstheme="majorBidi"/>
          <w:sz w:val="24"/>
          <w:szCs w:val="24"/>
        </w:rPr>
        <w:t xml:space="preserve"> </w:t>
      </w:r>
      <w:r w:rsidR="00775E90">
        <w:rPr>
          <w:rFonts w:asciiTheme="majorBidi" w:hAnsiTheme="majorBidi" w:cstheme="majorBidi"/>
          <w:sz w:val="24"/>
          <w:szCs w:val="24"/>
        </w:rPr>
        <w:t xml:space="preserve">and accountability </w:t>
      </w:r>
      <w:r w:rsidR="00443E50" w:rsidRPr="00511F36">
        <w:rPr>
          <w:rFonts w:asciiTheme="majorBidi" w:hAnsiTheme="majorBidi" w:cstheme="majorBidi"/>
          <w:sz w:val="24"/>
          <w:szCs w:val="24"/>
        </w:rPr>
        <w:t xml:space="preserve">within </w:t>
      </w:r>
      <w:r w:rsidR="00443E50" w:rsidRPr="00511F36">
        <w:rPr>
          <w:rFonts w:asciiTheme="majorBidi" w:hAnsiTheme="majorBidi" w:cstheme="majorBidi"/>
          <w:sz w:val="24"/>
          <w:szCs w:val="24"/>
        </w:rPr>
        <w:lastRenderedPageBreak/>
        <w:t xml:space="preserve">UK </w:t>
      </w:r>
      <w:r w:rsidR="00601FCB">
        <w:rPr>
          <w:rFonts w:asciiTheme="majorBidi" w:hAnsiTheme="majorBidi" w:cstheme="majorBidi"/>
          <w:sz w:val="24"/>
          <w:szCs w:val="24"/>
        </w:rPr>
        <w:t>HE</w:t>
      </w:r>
      <w:r w:rsidR="00443E50" w:rsidRPr="00511F36">
        <w:rPr>
          <w:rFonts w:asciiTheme="majorBidi" w:hAnsiTheme="majorBidi" w:cstheme="majorBidi"/>
          <w:sz w:val="24"/>
          <w:szCs w:val="24"/>
        </w:rPr>
        <w:t xml:space="preserve"> sector </w:t>
      </w:r>
      <w:r w:rsidR="005061A2" w:rsidRPr="00511F36">
        <w:rPr>
          <w:rFonts w:asciiTheme="majorBidi" w:hAnsiTheme="majorBidi" w:cstheme="majorBidi"/>
          <w:sz w:val="24"/>
          <w:szCs w:val="24"/>
        </w:rPr>
        <w:t>(</w:t>
      </w:r>
      <w:r w:rsidR="006C382E">
        <w:rPr>
          <w:rFonts w:asciiTheme="majorBidi" w:hAnsiTheme="majorBidi" w:cstheme="majorBidi"/>
          <w:sz w:val="24"/>
          <w:szCs w:val="24"/>
        </w:rPr>
        <w:t>Ntim</w:t>
      </w:r>
      <w:r w:rsidR="00E64AB1">
        <w:rPr>
          <w:rFonts w:asciiTheme="majorBidi" w:hAnsiTheme="majorBidi" w:cstheme="majorBidi"/>
          <w:sz w:val="24"/>
          <w:szCs w:val="24"/>
        </w:rPr>
        <w:t>,</w:t>
      </w:r>
      <w:r w:rsidR="002C246E">
        <w:rPr>
          <w:rFonts w:asciiTheme="majorBidi" w:hAnsiTheme="majorBidi" w:cstheme="majorBidi"/>
          <w:sz w:val="24"/>
          <w:szCs w:val="24"/>
        </w:rPr>
        <w:t xml:space="preserve"> 201</w:t>
      </w:r>
      <w:r w:rsidR="006C382E">
        <w:rPr>
          <w:rFonts w:asciiTheme="majorBidi" w:hAnsiTheme="majorBidi" w:cstheme="majorBidi"/>
          <w:sz w:val="24"/>
          <w:szCs w:val="24"/>
        </w:rPr>
        <w:t>8</w:t>
      </w:r>
      <w:r w:rsidR="005061A2" w:rsidRPr="00511F36">
        <w:rPr>
          <w:rFonts w:asciiTheme="majorBidi" w:hAnsiTheme="majorBidi" w:cstheme="majorBidi"/>
          <w:sz w:val="24"/>
          <w:szCs w:val="24"/>
        </w:rPr>
        <w:t xml:space="preserve">). Despite </w:t>
      </w:r>
      <w:r w:rsidR="003567BD">
        <w:rPr>
          <w:rFonts w:asciiTheme="majorBidi" w:hAnsiTheme="majorBidi" w:cstheme="majorBidi"/>
          <w:sz w:val="24"/>
          <w:szCs w:val="24"/>
        </w:rPr>
        <w:t xml:space="preserve">the </w:t>
      </w:r>
      <w:r w:rsidR="005061A2" w:rsidRPr="00511F36">
        <w:rPr>
          <w:rFonts w:asciiTheme="majorBidi" w:hAnsiTheme="majorBidi" w:cstheme="majorBidi"/>
          <w:sz w:val="24"/>
          <w:szCs w:val="24"/>
        </w:rPr>
        <w:t>increasing importance of</w:t>
      </w:r>
      <w:r w:rsidR="00CF471E" w:rsidRPr="00511F36">
        <w:rPr>
          <w:rFonts w:asciiTheme="majorBidi" w:hAnsiTheme="majorBidi" w:cstheme="majorBidi"/>
          <w:sz w:val="24"/>
          <w:szCs w:val="24"/>
        </w:rPr>
        <w:t xml:space="preserve"> complying with</w:t>
      </w:r>
      <w:r w:rsidR="00B10E6C" w:rsidRPr="00511F36">
        <w:rPr>
          <w:rFonts w:asciiTheme="majorBidi" w:hAnsiTheme="majorBidi" w:cstheme="majorBidi"/>
          <w:sz w:val="24"/>
          <w:szCs w:val="24"/>
        </w:rPr>
        <w:t xml:space="preserve"> good governance </w:t>
      </w:r>
      <w:r w:rsidR="005061A2" w:rsidRPr="00511F36">
        <w:rPr>
          <w:rFonts w:asciiTheme="majorBidi" w:hAnsiTheme="majorBidi" w:cstheme="majorBidi"/>
          <w:sz w:val="24"/>
          <w:szCs w:val="24"/>
        </w:rPr>
        <w:t xml:space="preserve">practices, </w:t>
      </w:r>
      <w:r w:rsidR="00623BE8">
        <w:rPr>
          <w:rFonts w:asciiTheme="majorBidi" w:hAnsiTheme="majorBidi" w:cstheme="majorBidi"/>
          <w:sz w:val="24"/>
          <w:szCs w:val="24"/>
        </w:rPr>
        <w:t xml:space="preserve">however, </w:t>
      </w:r>
      <w:r w:rsidR="00CF471E" w:rsidRPr="00511F36">
        <w:rPr>
          <w:rFonts w:asciiTheme="majorBidi" w:hAnsiTheme="majorBidi" w:cstheme="majorBidi"/>
          <w:sz w:val="24"/>
          <w:szCs w:val="24"/>
        </w:rPr>
        <w:t xml:space="preserve">no study </w:t>
      </w:r>
      <w:r w:rsidR="008A1CD3">
        <w:rPr>
          <w:rFonts w:asciiTheme="majorBidi" w:hAnsiTheme="majorBidi" w:cstheme="majorBidi"/>
          <w:sz w:val="24"/>
          <w:szCs w:val="24"/>
        </w:rPr>
        <w:t xml:space="preserve">has to-date </w:t>
      </w:r>
      <w:r w:rsidR="00CF471E" w:rsidRPr="00511F36">
        <w:rPr>
          <w:rFonts w:asciiTheme="majorBidi" w:hAnsiTheme="majorBidi" w:cstheme="majorBidi"/>
          <w:sz w:val="24"/>
          <w:szCs w:val="24"/>
        </w:rPr>
        <w:t>investigat</w:t>
      </w:r>
      <w:r w:rsidR="008A1CD3">
        <w:rPr>
          <w:rFonts w:asciiTheme="majorBidi" w:hAnsiTheme="majorBidi" w:cstheme="majorBidi"/>
          <w:sz w:val="24"/>
          <w:szCs w:val="24"/>
        </w:rPr>
        <w:t>ed</w:t>
      </w:r>
      <w:r w:rsidR="00CF471E" w:rsidRPr="00511F36">
        <w:rPr>
          <w:rFonts w:asciiTheme="majorBidi" w:hAnsiTheme="majorBidi" w:cstheme="majorBidi"/>
          <w:sz w:val="24"/>
          <w:szCs w:val="24"/>
        </w:rPr>
        <w:t xml:space="preserve"> the </w:t>
      </w:r>
      <w:r w:rsidR="00077440">
        <w:rPr>
          <w:rFonts w:asciiTheme="majorBidi" w:hAnsiTheme="majorBidi" w:cstheme="majorBidi"/>
          <w:sz w:val="24"/>
          <w:szCs w:val="24"/>
        </w:rPr>
        <w:t>levels of compliance with</w:t>
      </w:r>
      <w:r w:rsidR="00C13A44">
        <w:rPr>
          <w:rFonts w:asciiTheme="majorBidi" w:hAnsiTheme="majorBidi" w:cstheme="majorBidi"/>
          <w:sz w:val="24"/>
          <w:szCs w:val="24"/>
        </w:rPr>
        <w:t xml:space="preserve"> or</w:t>
      </w:r>
      <w:r w:rsidR="00077440">
        <w:rPr>
          <w:rFonts w:asciiTheme="majorBidi" w:hAnsiTheme="majorBidi" w:cstheme="majorBidi"/>
          <w:sz w:val="24"/>
          <w:szCs w:val="24"/>
        </w:rPr>
        <w:t xml:space="preserve"> disclosure </w:t>
      </w:r>
      <w:r w:rsidR="00C13A44">
        <w:rPr>
          <w:rFonts w:asciiTheme="majorBidi" w:hAnsiTheme="majorBidi" w:cstheme="majorBidi"/>
          <w:sz w:val="24"/>
          <w:szCs w:val="24"/>
        </w:rPr>
        <w:t>of</w:t>
      </w:r>
      <w:r w:rsidR="00817638">
        <w:rPr>
          <w:rFonts w:asciiTheme="majorBidi" w:hAnsiTheme="majorBidi" w:cstheme="majorBidi"/>
          <w:sz w:val="24"/>
          <w:szCs w:val="24"/>
        </w:rPr>
        <w:t>,</w:t>
      </w:r>
      <w:r w:rsidR="00C555B4">
        <w:rPr>
          <w:rFonts w:asciiTheme="majorBidi" w:hAnsiTheme="majorBidi" w:cstheme="majorBidi"/>
          <w:sz w:val="24"/>
          <w:szCs w:val="24"/>
        </w:rPr>
        <w:t xml:space="preserve"> </w:t>
      </w:r>
      <w:r w:rsidR="00D71BAA">
        <w:rPr>
          <w:rFonts w:asciiTheme="majorBidi" w:hAnsiTheme="majorBidi" w:cstheme="majorBidi"/>
          <w:sz w:val="24"/>
          <w:szCs w:val="24"/>
        </w:rPr>
        <w:t xml:space="preserve">the </w:t>
      </w:r>
      <w:r w:rsidR="00C555B4" w:rsidRPr="00511F36">
        <w:rPr>
          <w:rFonts w:asciiTheme="majorBidi" w:hAnsiTheme="majorBidi" w:cstheme="majorBidi"/>
          <w:sz w:val="24"/>
          <w:szCs w:val="24"/>
        </w:rPr>
        <w:t>recommendations</w:t>
      </w:r>
      <w:r w:rsidR="00CF471E" w:rsidRPr="00511F36">
        <w:rPr>
          <w:rFonts w:asciiTheme="majorBidi" w:hAnsiTheme="majorBidi" w:cstheme="majorBidi"/>
          <w:sz w:val="24"/>
          <w:szCs w:val="24"/>
        </w:rPr>
        <w:t xml:space="preserve"> relating to </w:t>
      </w:r>
      <w:r w:rsidR="00AD6077">
        <w:rPr>
          <w:rFonts w:asciiTheme="majorBidi" w:hAnsiTheme="majorBidi" w:cstheme="majorBidi"/>
          <w:sz w:val="24"/>
          <w:szCs w:val="24"/>
        </w:rPr>
        <w:t xml:space="preserve">good </w:t>
      </w:r>
      <w:r w:rsidR="00CF471E" w:rsidRPr="00511F36">
        <w:rPr>
          <w:rFonts w:asciiTheme="majorBidi" w:hAnsiTheme="majorBidi" w:cstheme="majorBidi"/>
          <w:sz w:val="24"/>
          <w:szCs w:val="24"/>
        </w:rPr>
        <w:t xml:space="preserve">corporate governance </w:t>
      </w:r>
      <w:r w:rsidR="00AD6077">
        <w:rPr>
          <w:rFonts w:asciiTheme="majorBidi" w:hAnsiTheme="majorBidi" w:cstheme="majorBidi"/>
          <w:sz w:val="24"/>
          <w:szCs w:val="24"/>
        </w:rPr>
        <w:t>practices</w:t>
      </w:r>
      <w:r w:rsidR="00CF471E" w:rsidRPr="00511F36">
        <w:rPr>
          <w:rFonts w:asciiTheme="majorBidi" w:hAnsiTheme="majorBidi" w:cstheme="majorBidi"/>
          <w:sz w:val="24"/>
          <w:szCs w:val="24"/>
        </w:rPr>
        <w:t xml:space="preserve"> in </w:t>
      </w:r>
      <w:r w:rsidR="00D71BAA">
        <w:rPr>
          <w:rFonts w:asciiTheme="majorBidi" w:hAnsiTheme="majorBidi" w:cstheme="majorBidi"/>
          <w:sz w:val="24"/>
          <w:szCs w:val="24"/>
        </w:rPr>
        <w:t xml:space="preserve">the </w:t>
      </w:r>
      <w:r w:rsidR="00CF471E" w:rsidRPr="00511F36">
        <w:rPr>
          <w:rFonts w:asciiTheme="majorBidi" w:hAnsiTheme="majorBidi" w:cstheme="majorBidi"/>
          <w:sz w:val="24"/>
          <w:szCs w:val="24"/>
        </w:rPr>
        <w:t>annual reports</w:t>
      </w:r>
      <w:r w:rsidR="00077440">
        <w:rPr>
          <w:rFonts w:asciiTheme="majorBidi" w:hAnsiTheme="majorBidi" w:cstheme="majorBidi"/>
          <w:sz w:val="24"/>
          <w:szCs w:val="24"/>
        </w:rPr>
        <w:t xml:space="preserve"> of UK HEIs</w:t>
      </w:r>
      <w:r w:rsidR="00B10E6C" w:rsidRPr="00511F36">
        <w:rPr>
          <w:rFonts w:asciiTheme="majorBidi" w:hAnsiTheme="majorBidi" w:cstheme="majorBidi"/>
          <w:sz w:val="24"/>
          <w:szCs w:val="24"/>
        </w:rPr>
        <w:t xml:space="preserve">. </w:t>
      </w:r>
    </w:p>
    <w:p w14:paraId="6D85D941" w14:textId="709E4535" w:rsidR="00971236" w:rsidRDefault="00AE0AE3" w:rsidP="00C47AC1">
      <w:pPr>
        <w:spacing w:after="0" w:line="480" w:lineRule="auto"/>
        <w:ind w:firstLine="426"/>
        <w:jc w:val="both"/>
        <w:rPr>
          <w:rFonts w:asciiTheme="majorBidi" w:hAnsiTheme="majorBidi" w:cstheme="majorBidi"/>
          <w:sz w:val="24"/>
          <w:szCs w:val="24"/>
        </w:rPr>
      </w:pPr>
      <w:r w:rsidRPr="00BA29D9">
        <w:rPr>
          <w:rFonts w:asciiTheme="majorBidi" w:hAnsiTheme="majorBidi" w:cstheme="majorBidi"/>
          <w:sz w:val="24"/>
          <w:szCs w:val="24"/>
        </w:rPr>
        <w:t xml:space="preserve">Theoretically, </w:t>
      </w:r>
      <w:r>
        <w:rPr>
          <w:rFonts w:asciiTheme="majorBidi" w:hAnsiTheme="majorBidi" w:cstheme="majorBidi"/>
          <w:sz w:val="24"/>
          <w:szCs w:val="24"/>
        </w:rPr>
        <w:t xml:space="preserve">prior studies suggest </w:t>
      </w:r>
      <w:r w:rsidRPr="00BA29D9">
        <w:rPr>
          <w:rFonts w:asciiTheme="majorBidi" w:hAnsiTheme="majorBidi" w:cstheme="majorBidi"/>
          <w:sz w:val="24"/>
          <w:szCs w:val="24"/>
        </w:rPr>
        <w:t xml:space="preserve">that </w:t>
      </w:r>
      <w:r>
        <w:rPr>
          <w:rFonts w:asciiTheme="majorBidi" w:hAnsiTheme="majorBidi" w:cstheme="majorBidi"/>
          <w:sz w:val="24"/>
          <w:szCs w:val="24"/>
        </w:rPr>
        <w:t xml:space="preserve">organisations’ commitment to good </w:t>
      </w:r>
      <w:r w:rsidR="008328C9">
        <w:rPr>
          <w:rFonts w:asciiTheme="majorBidi" w:hAnsiTheme="majorBidi" w:cstheme="majorBidi"/>
          <w:sz w:val="24"/>
          <w:szCs w:val="24"/>
        </w:rPr>
        <w:t xml:space="preserve">organisational </w:t>
      </w:r>
      <w:r>
        <w:rPr>
          <w:rFonts w:asciiTheme="majorBidi" w:hAnsiTheme="majorBidi" w:cstheme="majorBidi"/>
          <w:sz w:val="24"/>
          <w:szCs w:val="24"/>
        </w:rPr>
        <w:t xml:space="preserve">practices can be explained by their </w:t>
      </w:r>
      <w:r w:rsidRPr="00BA29D9">
        <w:rPr>
          <w:rFonts w:asciiTheme="majorBidi" w:hAnsiTheme="majorBidi" w:cstheme="majorBidi"/>
          <w:sz w:val="24"/>
          <w:szCs w:val="24"/>
        </w:rPr>
        <w:t>institutional actors</w:t>
      </w:r>
      <w:r>
        <w:rPr>
          <w:rFonts w:asciiTheme="majorBidi" w:hAnsiTheme="majorBidi" w:cstheme="majorBidi"/>
          <w:sz w:val="24"/>
          <w:szCs w:val="24"/>
        </w:rPr>
        <w:t xml:space="preserve"> (i.e., vice-chancellors and governing board)</w:t>
      </w:r>
      <w:r w:rsidRPr="00BA29D9">
        <w:rPr>
          <w:rFonts w:asciiTheme="majorBidi" w:hAnsiTheme="majorBidi" w:cstheme="majorBidi"/>
          <w:sz w:val="24"/>
          <w:szCs w:val="24"/>
        </w:rPr>
        <w:t xml:space="preserve"> and contexts </w:t>
      </w:r>
      <w:r>
        <w:rPr>
          <w:rFonts w:asciiTheme="majorBidi" w:hAnsiTheme="majorBidi" w:cstheme="majorBidi"/>
          <w:sz w:val="24"/>
          <w:szCs w:val="24"/>
        </w:rPr>
        <w:t>(</w:t>
      </w:r>
      <w:r w:rsidR="00C06F65">
        <w:rPr>
          <w:rFonts w:asciiTheme="majorBidi" w:eastAsia="Times New Roman" w:hAnsiTheme="majorBidi" w:cstheme="majorBidi"/>
          <w:sz w:val="24"/>
          <w:szCs w:val="24"/>
          <w:lang w:eastAsia="en-GB"/>
        </w:rPr>
        <w:t xml:space="preserve">Breakwell </w:t>
      </w:r>
      <w:r w:rsidR="00C06F65" w:rsidRPr="005E07D6">
        <w:rPr>
          <w:rFonts w:asciiTheme="majorBidi" w:eastAsia="Times New Roman" w:hAnsiTheme="majorBidi" w:cstheme="majorBidi"/>
          <w:sz w:val="24"/>
          <w:szCs w:val="24"/>
          <w:lang w:eastAsia="en-GB"/>
        </w:rPr>
        <w:t>&amp; Tytherleigh</w:t>
      </w:r>
      <w:r w:rsidR="00C06F65">
        <w:rPr>
          <w:rFonts w:asciiTheme="majorBidi" w:eastAsia="Times New Roman" w:hAnsiTheme="majorBidi" w:cstheme="majorBidi"/>
          <w:sz w:val="24"/>
          <w:szCs w:val="24"/>
          <w:lang w:eastAsia="en-GB"/>
        </w:rPr>
        <w:t>, 2008a</w:t>
      </w:r>
      <w:r w:rsidR="00C06F65">
        <w:rPr>
          <w:rFonts w:asciiTheme="majorBidi" w:eastAsia="Times New Roman" w:hAnsiTheme="majorBidi" w:cstheme="majorBidi"/>
          <w:sz w:val="24"/>
          <w:szCs w:val="24"/>
          <w:lang w:val="pt-PT" w:eastAsia="en-GB"/>
        </w:rPr>
        <w:t xml:space="preserve">; Gordon et al., 2002; </w:t>
      </w:r>
      <w:r w:rsidR="00C06F65" w:rsidRPr="00BF2937">
        <w:rPr>
          <w:rFonts w:asciiTheme="majorBidi" w:eastAsia="Times New Roman" w:hAnsiTheme="majorBidi" w:cstheme="majorBidi"/>
          <w:sz w:val="24"/>
          <w:szCs w:val="24"/>
          <w:lang w:eastAsia="en-GB"/>
        </w:rPr>
        <w:t>Middlehurst,</w:t>
      </w:r>
      <w:r w:rsidR="00C06F65">
        <w:rPr>
          <w:rFonts w:asciiTheme="majorBidi" w:eastAsia="Times New Roman" w:hAnsiTheme="majorBidi" w:cstheme="majorBidi"/>
          <w:sz w:val="24"/>
          <w:szCs w:val="24"/>
          <w:lang w:eastAsia="en-GB"/>
        </w:rPr>
        <w:t xml:space="preserve"> 2004; </w:t>
      </w:r>
      <w:r w:rsidR="00C06F65">
        <w:rPr>
          <w:rFonts w:asciiTheme="majorBidi" w:eastAsia="Times New Roman" w:hAnsiTheme="majorBidi" w:cstheme="majorBidi"/>
          <w:sz w:val="24"/>
          <w:szCs w:val="24"/>
          <w:lang w:val="pt-PT" w:eastAsia="en-GB"/>
        </w:rPr>
        <w:t>Ntim et al., 2017</w:t>
      </w:r>
      <w:r>
        <w:rPr>
          <w:rFonts w:asciiTheme="majorBidi" w:hAnsiTheme="majorBidi" w:cstheme="majorBidi"/>
          <w:sz w:val="24"/>
          <w:szCs w:val="24"/>
        </w:rPr>
        <w:t>)</w:t>
      </w:r>
      <w:r w:rsidRPr="00BA29D9">
        <w:rPr>
          <w:rFonts w:asciiTheme="majorBidi" w:hAnsiTheme="majorBidi" w:cstheme="majorBidi"/>
          <w:sz w:val="24"/>
          <w:szCs w:val="24"/>
        </w:rPr>
        <w:t xml:space="preserve">. Specifically, neo-institutional theorists (DiMaggio &amp; Powell, 1983, 1991; </w:t>
      </w:r>
      <w:r w:rsidR="00D03ED8" w:rsidRPr="005253EC">
        <w:rPr>
          <w:rFonts w:asciiTheme="majorBidi" w:hAnsiTheme="majorBidi" w:cstheme="majorBidi"/>
          <w:sz w:val="24"/>
          <w:szCs w:val="24"/>
        </w:rPr>
        <w:t>Meyer &amp; Rowan, 1977</w:t>
      </w:r>
      <w:r w:rsidR="00D03ED8">
        <w:rPr>
          <w:rFonts w:asciiTheme="majorBidi" w:hAnsiTheme="majorBidi" w:cstheme="majorBidi"/>
          <w:sz w:val="24"/>
          <w:szCs w:val="24"/>
        </w:rPr>
        <w:t xml:space="preserve">; </w:t>
      </w:r>
      <w:r w:rsidRPr="00BA29D9">
        <w:rPr>
          <w:rFonts w:asciiTheme="majorBidi" w:hAnsiTheme="majorBidi" w:cstheme="majorBidi"/>
          <w:sz w:val="24"/>
          <w:szCs w:val="24"/>
        </w:rPr>
        <w:t>Scott, 1987, 20</w:t>
      </w:r>
      <w:r w:rsidR="00DB71D2">
        <w:rPr>
          <w:rFonts w:asciiTheme="majorBidi" w:hAnsiTheme="majorBidi" w:cstheme="majorBidi"/>
          <w:sz w:val="24"/>
          <w:szCs w:val="24"/>
        </w:rPr>
        <w:t>1</w:t>
      </w:r>
      <w:r w:rsidR="00F55D67">
        <w:rPr>
          <w:rFonts w:asciiTheme="majorBidi" w:hAnsiTheme="majorBidi" w:cstheme="majorBidi"/>
          <w:sz w:val="24"/>
          <w:szCs w:val="24"/>
        </w:rPr>
        <w:t>4</w:t>
      </w:r>
      <w:r w:rsidRPr="00BA29D9">
        <w:rPr>
          <w:rFonts w:asciiTheme="majorBidi" w:hAnsiTheme="majorBidi" w:cstheme="majorBidi"/>
          <w:sz w:val="24"/>
          <w:szCs w:val="24"/>
        </w:rPr>
        <w:t xml:space="preserve">) </w:t>
      </w:r>
      <w:r w:rsidR="00A5449A">
        <w:rPr>
          <w:rFonts w:asciiTheme="majorBidi" w:hAnsiTheme="majorBidi" w:cstheme="majorBidi"/>
          <w:sz w:val="24"/>
          <w:szCs w:val="24"/>
        </w:rPr>
        <w:t>suggest</w:t>
      </w:r>
      <w:r w:rsidR="006546A4" w:rsidRPr="00BA29D9">
        <w:rPr>
          <w:rFonts w:asciiTheme="majorBidi" w:hAnsiTheme="majorBidi" w:cstheme="majorBidi"/>
          <w:sz w:val="24"/>
          <w:szCs w:val="24"/>
        </w:rPr>
        <w:t xml:space="preserve"> </w:t>
      </w:r>
      <w:r w:rsidRPr="00BA29D9">
        <w:rPr>
          <w:rFonts w:asciiTheme="majorBidi" w:hAnsiTheme="majorBidi" w:cstheme="majorBidi"/>
          <w:sz w:val="24"/>
          <w:szCs w:val="24"/>
        </w:rPr>
        <w:t>that</w:t>
      </w:r>
      <w:r w:rsidR="006546A4">
        <w:rPr>
          <w:rFonts w:asciiTheme="majorBidi" w:hAnsiTheme="majorBidi" w:cstheme="majorBidi"/>
          <w:sz w:val="24"/>
          <w:szCs w:val="24"/>
        </w:rPr>
        <w:t xml:space="preserve"> </w:t>
      </w:r>
      <w:r w:rsidRPr="00BA29D9">
        <w:rPr>
          <w:rFonts w:asciiTheme="majorBidi" w:hAnsiTheme="majorBidi" w:cstheme="majorBidi"/>
          <w:sz w:val="24"/>
          <w:szCs w:val="24"/>
        </w:rPr>
        <w:t xml:space="preserve">institutional </w:t>
      </w:r>
      <w:r>
        <w:rPr>
          <w:rFonts w:asciiTheme="majorBidi" w:hAnsiTheme="majorBidi" w:cstheme="majorBidi"/>
          <w:sz w:val="24"/>
          <w:szCs w:val="24"/>
        </w:rPr>
        <w:t>pressures</w:t>
      </w:r>
      <w:r w:rsidRPr="00BA29D9">
        <w:rPr>
          <w:rFonts w:asciiTheme="majorBidi" w:hAnsiTheme="majorBidi" w:cstheme="majorBidi"/>
          <w:sz w:val="24"/>
          <w:szCs w:val="24"/>
        </w:rPr>
        <w:t xml:space="preserve"> (</w:t>
      </w:r>
      <w:r w:rsidR="003F4962">
        <w:rPr>
          <w:rFonts w:asciiTheme="majorBidi" w:hAnsiTheme="majorBidi" w:cstheme="majorBidi"/>
          <w:sz w:val="24"/>
          <w:szCs w:val="24"/>
        </w:rPr>
        <w:t>normative, memetic and coercive</w:t>
      </w:r>
      <w:r w:rsidRPr="00BA29D9">
        <w:rPr>
          <w:rFonts w:asciiTheme="majorBidi" w:hAnsiTheme="majorBidi" w:cstheme="majorBidi"/>
          <w:sz w:val="24"/>
          <w:szCs w:val="24"/>
        </w:rPr>
        <w:t>)</w:t>
      </w:r>
      <w:r w:rsidR="006546A4">
        <w:rPr>
          <w:rFonts w:asciiTheme="majorBidi" w:hAnsiTheme="majorBidi" w:cstheme="majorBidi"/>
          <w:sz w:val="24"/>
          <w:szCs w:val="24"/>
        </w:rPr>
        <w:t>, which</w:t>
      </w:r>
      <w:r w:rsidRPr="00BA29D9">
        <w:rPr>
          <w:rFonts w:asciiTheme="majorBidi" w:hAnsiTheme="majorBidi" w:cstheme="majorBidi"/>
          <w:sz w:val="24"/>
          <w:szCs w:val="24"/>
        </w:rPr>
        <w:t xml:space="preserve"> </w:t>
      </w:r>
      <w:r>
        <w:rPr>
          <w:rFonts w:asciiTheme="majorBidi" w:hAnsiTheme="majorBidi" w:cstheme="majorBidi"/>
          <w:sz w:val="24"/>
          <w:szCs w:val="24"/>
        </w:rPr>
        <w:t>can facilitate and/or restrain the adoption of good organisational practices</w:t>
      </w:r>
      <w:r w:rsidR="006546A4">
        <w:rPr>
          <w:rFonts w:asciiTheme="majorBidi" w:hAnsiTheme="majorBidi" w:cstheme="majorBidi"/>
          <w:sz w:val="24"/>
          <w:szCs w:val="24"/>
        </w:rPr>
        <w:t xml:space="preserve">, are driven by </w:t>
      </w:r>
      <w:r w:rsidR="006546A4" w:rsidRPr="00BA29D9">
        <w:rPr>
          <w:rFonts w:asciiTheme="majorBidi" w:hAnsiTheme="majorBidi" w:cstheme="majorBidi"/>
          <w:sz w:val="24"/>
          <w:szCs w:val="24"/>
        </w:rPr>
        <w:t xml:space="preserve">two key </w:t>
      </w:r>
      <w:r w:rsidR="006546A4">
        <w:rPr>
          <w:rFonts w:asciiTheme="majorBidi" w:hAnsiTheme="majorBidi" w:cstheme="majorBidi"/>
          <w:sz w:val="24"/>
          <w:szCs w:val="24"/>
        </w:rPr>
        <w:t>reasons</w:t>
      </w:r>
      <w:r w:rsidR="006546A4" w:rsidRPr="00BA29D9">
        <w:rPr>
          <w:rFonts w:asciiTheme="majorBidi" w:hAnsiTheme="majorBidi" w:cstheme="majorBidi"/>
          <w:sz w:val="24"/>
          <w:szCs w:val="24"/>
        </w:rPr>
        <w:t xml:space="preserve">: </w:t>
      </w:r>
      <w:r w:rsidR="006546A4">
        <w:rPr>
          <w:rFonts w:asciiTheme="majorBidi" w:hAnsiTheme="majorBidi" w:cstheme="majorBidi"/>
          <w:sz w:val="24"/>
          <w:szCs w:val="24"/>
        </w:rPr>
        <w:t>efficiency and legitimation</w:t>
      </w:r>
      <w:r>
        <w:rPr>
          <w:rFonts w:asciiTheme="majorBidi" w:hAnsiTheme="majorBidi" w:cstheme="majorBidi"/>
          <w:sz w:val="24"/>
          <w:szCs w:val="24"/>
        </w:rPr>
        <w:t xml:space="preserve">. </w:t>
      </w:r>
    </w:p>
    <w:p w14:paraId="20B3CE77" w14:textId="37D2560C" w:rsidR="00971236" w:rsidRDefault="00177AE3" w:rsidP="00C47AC1">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Briefly, the legitimisation perspective of neo-institutional theory suggests that coercive pressures (e.g., pressures from legal mandates and organisations that HEIs</w:t>
      </w:r>
      <w:r w:rsidR="00F772AE">
        <w:rPr>
          <w:rFonts w:asciiTheme="majorBidi" w:hAnsiTheme="majorBidi" w:cstheme="majorBidi"/>
          <w:sz w:val="24"/>
          <w:szCs w:val="24"/>
        </w:rPr>
        <w:t xml:space="preserve"> are</w:t>
      </w:r>
      <w:r>
        <w:rPr>
          <w:rFonts w:asciiTheme="majorBidi" w:hAnsiTheme="majorBidi" w:cstheme="majorBidi"/>
          <w:sz w:val="24"/>
          <w:szCs w:val="24"/>
        </w:rPr>
        <w:t xml:space="preserve"> dependent upon) can encourage HEIs to comply with good practices </w:t>
      </w:r>
      <w:r w:rsidR="001B394A">
        <w:rPr>
          <w:rFonts w:asciiTheme="majorBidi" w:hAnsiTheme="majorBidi" w:cstheme="majorBidi"/>
          <w:sz w:val="24"/>
          <w:szCs w:val="24"/>
        </w:rPr>
        <w:t>in order to improve their legitimacy and meet the cultural expectations of the broader society</w:t>
      </w:r>
      <w:r w:rsidR="001B394A" w:rsidRPr="00BA29D9">
        <w:rPr>
          <w:rFonts w:asciiTheme="majorBidi" w:hAnsiTheme="majorBidi" w:cstheme="majorBidi"/>
          <w:sz w:val="24"/>
          <w:szCs w:val="24"/>
        </w:rPr>
        <w:t xml:space="preserve"> </w:t>
      </w:r>
      <w:r w:rsidRPr="00BA29D9">
        <w:rPr>
          <w:rFonts w:asciiTheme="majorBidi" w:hAnsiTheme="majorBidi" w:cstheme="majorBidi"/>
          <w:sz w:val="24"/>
          <w:szCs w:val="24"/>
        </w:rPr>
        <w:t>(</w:t>
      </w:r>
      <w:r w:rsidRPr="00013D1C">
        <w:rPr>
          <w:rFonts w:asciiTheme="majorBidi" w:hAnsiTheme="majorBidi" w:cstheme="majorBidi"/>
          <w:sz w:val="24"/>
          <w:szCs w:val="24"/>
        </w:rPr>
        <w:t>Fischer et al., 2010</w:t>
      </w:r>
      <w:r>
        <w:rPr>
          <w:rFonts w:asciiTheme="majorBidi" w:hAnsiTheme="majorBidi" w:cstheme="majorBidi"/>
          <w:sz w:val="24"/>
          <w:szCs w:val="24"/>
        </w:rPr>
        <w:t xml:space="preserve">; </w:t>
      </w:r>
      <w:r w:rsidRPr="00BA29D9">
        <w:rPr>
          <w:rFonts w:asciiTheme="majorBidi" w:hAnsiTheme="majorBidi" w:cstheme="majorBidi"/>
          <w:sz w:val="24"/>
          <w:szCs w:val="24"/>
        </w:rPr>
        <w:t>Lepori, 2016).</w:t>
      </w:r>
      <w:r w:rsidR="006546A4">
        <w:rPr>
          <w:rFonts w:asciiTheme="majorBidi" w:hAnsiTheme="majorBidi" w:cstheme="majorBidi"/>
          <w:sz w:val="24"/>
          <w:szCs w:val="24"/>
        </w:rPr>
        <w:t xml:space="preserve"> Further, </w:t>
      </w:r>
      <w:r w:rsidR="001B394A" w:rsidRPr="00BA29D9">
        <w:rPr>
          <w:rFonts w:asciiTheme="majorBidi" w:hAnsiTheme="majorBidi" w:cstheme="majorBidi"/>
          <w:sz w:val="24"/>
          <w:szCs w:val="24"/>
        </w:rPr>
        <w:t>the efficiency perspective of neo-institutional theory suggests that</w:t>
      </w:r>
      <w:r w:rsidR="001B394A">
        <w:rPr>
          <w:rFonts w:asciiTheme="majorBidi" w:hAnsiTheme="majorBidi" w:cstheme="majorBidi"/>
          <w:sz w:val="24"/>
          <w:szCs w:val="24"/>
        </w:rPr>
        <w:t xml:space="preserve"> normative, cognitive and coercive pressures can also force institutions (i.e., HEIs) to compete for crucial resources in order to maintain sustainable operations</w:t>
      </w:r>
      <w:r w:rsidR="001B394A" w:rsidRPr="00BA29D9">
        <w:rPr>
          <w:rFonts w:asciiTheme="majorBidi" w:hAnsiTheme="majorBidi" w:cstheme="majorBidi"/>
          <w:sz w:val="24"/>
          <w:szCs w:val="24"/>
        </w:rPr>
        <w:t xml:space="preserve"> (Aguilera et al., 2007; Chen &amp; Roberts, 2010).</w:t>
      </w:r>
      <w:r w:rsidR="001B394A">
        <w:rPr>
          <w:rFonts w:asciiTheme="majorBidi" w:hAnsiTheme="majorBidi" w:cstheme="majorBidi"/>
          <w:sz w:val="24"/>
          <w:szCs w:val="24"/>
        </w:rPr>
        <w:t xml:space="preserve"> Thus, engaging in high levels of governance disclosures can improve HEIs legitimacy and operational efficiency by: (i) achieving </w:t>
      </w:r>
      <w:r w:rsidR="001B394A" w:rsidRPr="00BA29D9">
        <w:rPr>
          <w:rFonts w:asciiTheme="majorBidi" w:hAnsiTheme="majorBidi" w:cstheme="majorBidi"/>
          <w:sz w:val="24"/>
          <w:szCs w:val="24"/>
        </w:rPr>
        <w:t xml:space="preserve">congruence of </w:t>
      </w:r>
      <w:r w:rsidR="001F26E8">
        <w:rPr>
          <w:rFonts w:asciiTheme="majorBidi" w:hAnsiTheme="majorBidi" w:cstheme="majorBidi"/>
          <w:sz w:val="24"/>
          <w:szCs w:val="24"/>
        </w:rPr>
        <w:t xml:space="preserve">a </w:t>
      </w:r>
      <w:r w:rsidR="001B394A" w:rsidRPr="00BA29D9">
        <w:rPr>
          <w:rFonts w:asciiTheme="majorBidi" w:hAnsiTheme="majorBidi" w:cstheme="majorBidi"/>
          <w:sz w:val="24"/>
          <w:szCs w:val="24"/>
        </w:rPr>
        <w:t>HEI</w:t>
      </w:r>
      <w:r w:rsidR="001F26E8">
        <w:rPr>
          <w:rFonts w:asciiTheme="majorBidi" w:hAnsiTheme="majorBidi" w:cstheme="majorBidi"/>
          <w:sz w:val="24"/>
          <w:szCs w:val="24"/>
        </w:rPr>
        <w:t>’s</w:t>
      </w:r>
      <w:r w:rsidR="001B394A" w:rsidRPr="00BA29D9">
        <w:rPr>
          <w:rFonts w:asciiTheme="majorBidi" w:hAnsiTheme="majorBidi" w:cstheme="majorBidi"/>
          <w:sz w:val="24"/>
          <w:szCs w:val="24"/>
        </w:rPr>
        <w:t xml:space="preserve"> goals and norms with those of the larger society</w:t>
      </w:r>
      <w:r w:rsidR="001B394A">
        <w:rPr>
          <w:rFonts w:asciiTheme="majorBidi" w:hAnsiTheme="majorBidi" w:cstheme="majorBidi"/>
          <w:sz w:val="24"/>
          <w:szCs w:val="24"/>
        </w:rPr>
        <w:t>; (ii) increasing access to vital resources</w:t>
      </w:r>
      <w:r w:rsidR="001B394A" w:rsidRPr="00BA29D9">
        <w:rPr>
          <w:rFonts w:asciiTheme="majorBidi" w:hAnsiTheme="majorBidi" w:cstheme="majorBidi"/>
          <w:sz w:val="24"/>
          <w:szCs w:val="24"/>
        </w:rPr>
        <w:t xml:space="preserve">, </w:t>
      </w:r>
      <w:r w:rsidR="001B394A">
        <w:rPr>
          <w:rFonts w:asciiTheme="majorBidi" w:hAnsiTheme="majorBidi" w:cstheme="majorBidi"/>
          <w:sz w:val="24"/>
          <w:szCs w:val="24"/>
        </w:rPr>
        <w:t>including</w:t>
      </w:r>
      <w:r w:rsidR="001B394A" w:rsidRPr="00BA29D9">
        <w:rPr>
          <w:rFonts w:asciiTheme="majorBidi" w:hAnsiTheme="majorBidi" w:cstheme="majorBidi"/>
          <w:sz w:val="24"/>
          <w:szCs w:val="24"/>
        </w:rPr>
        <w:t xml:space="preserve"> fund</w:t>
      </w:r>
      <w:r w:rsidR="001B394A">
        <w:rPr>
          <w:rFonts w:asciiTheme="majorBidi" w:hAnsiTheme="majorBidi" w:cstheme="majorBidi"/>
          <w:sz w:val="24"/>
          <w:szCs w:val="24"/>
        </w:rPr>
        <w:t>s</w:t>
      </w:r>
      <w:r w:rsidR="001B394A" w:rsidRPr="00BA29D9">
        <w:rPr>
          <w:rFonts w:asciiTheme="majorBidi" w:hAnsiTheme="majorBidi" w:cstheme="majorBidi"/>
          <w:sz w:val="24"/>
          <w:szCs w:val="24"/>
        </w:rPr>
        <w:t xml:space="preserve"> and donations</w:t>
      </w:r>
      <w:r w:rsidR="001B394A">
        <w:rPr>
          <w:rFonts w:asciiTheme="majorBidi" w:hAnsiTheme="majorBidi" w:cstheme="majorBidi"/>
          <w:sz w:val="24"/>
          <w:szCs w:val="24"/>
        </w:rPr>
        <w:t>; and (iii) reducing the</w:t>
      </w:r>
      <w:r w:rsidR="001B394A" w:rsidRPr="00BA29D9">
        <w:rPr>
          <w:rFonts w:asciiTheme="majorBidi" w:hAnsiTheme="majorBidi" w:cstheme="majorBidi"/>
          <w:sz w:val="24"/>
          <w:szCs w:val="24"/>
        </w:rPr>
        <w:t xml:space="preserve"> economi</w:t>
      </w:r>
      <w:r w:rsidR="001B394A">
        <w:rPr>
          <w:rFonts w:asciiTheme="majorBidi" w:hAnsiTheme="majorBidi" w:cstheme="majorBidi"/>
          <w:sz w:val="24"/>
          <w:szCs w:val="24"/>
        </w:rPr>
        <w:t>c, social, and political costs relating to investing in such practices.</w:t>
      </w:r>
    </w:p>
    <w:p w14:paraId="002425A7" w14:textId="6BA093B7" w:rsidR="00971236" w:rsidRDefault="00EB0181" w:rsidP="00C47AC1">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 xml:space="preserve">Empirically, </w:t>
      </w:r>
      <w:r w:rsidR="0020472A" w:rsidRPr="00FB3244">
        <w:rPr>
          <w:rFonts w:asciiTheme="majorBidi" w:hAnsiTheme="majorBidi" w:cstheme="majorBidi"/>
          <w:sz w:val="24"/>
          <w:szCs w:val="24"/>
        </w:rPr>
        <w:t xml:space="preserve">much of the existing governance </w:t>
      </w:r>
      <w:r w:rsidR="006C70A7">
        <w:rPr>
          <w:rFonts w:asciiTheme="majorBidi" w:hAnsiTheme="majorBidi" w:cstheme="majorBidi"/>
          <w:sz w:val="24"/>
          <w:szCs w:val="24"/>
        </w:rPr>
        <w:t xml:space="preserve">disclosure </w:t>
      </w:r>
      <w:r w:rsidR="0020472A" w:rsidRPr="00FB3244">
        <w:rPr>
          <w:rFonts w:asciiTheme="majorBidi" w:hAnsiTheme="majorBidi" w:cstheme="majorBidi"/>
          <w:sz w:val="24"/>
          <w:szCs w:val="24"/>
        </w:rPr>
        <w:t xml:space="preserve">literature have been conducted on profitable organisations (Barako et al., 2006; </w:t>
      </w:r>
      <w:r w:rsidR="0020472A" w:rsidRPr="006C70A7">
        <w:rPr>
          <w:rFonts w:asciiTheme="majorBidi" w:hAnsiTheme="majorBidi" w:cstheme="majorBidi"/>
          <w:sz w:val="24"/>
          <w:szCs w:val="24"/>
        </w:rPr>
        <w:t>Beekes &amp; Brown, 2006; Donnelly &amp; Mulcahy</w:t>
      </w:r>
      <w:r w:rsidR="00CC0D78">
        <w:rPr>
          <w:rFonts w:asciiTheme="majorBidi" w:hAnsiTheme="majorBidi" w:cstheme="majorBidi"/>
          <w:sz w:val="24"/>
          <w:szCs w:val="24"/>
        </w:rPr>
        <w:t>,</w:t>
      </w:r>
      <w:r w:rsidR="0020472A" w:rsidRPr="006C70A7">
        <w:rPr>
          <w:rFonts w:asciiTheme="majorBidi" w:hAnsiTheme="majorBidi" w:cstheme="majorBidi"/>
          <w:sz w:val="24"/>
          <w:szCs w:val="24"/>
        </w:rPr>
        <w:t xml:space="preserve"> </w:t>
      </w:r>
      <w:r w:rsidR="0020472A" w:rsidRPr="006C70A7">
        <w:rPr>
          <w:rFonts w:asciiTheme="majorBidi" w:hAnsiTheme="majorBidi" w:cstheme="majorBidi"/>
          <w:sz w:val="24"/>
          <w:szCs w:val="24"/>
        </w:rPr>
        <w:lastRenderedPageBreak/>
        <w:t>2008; Elmagrhi et al., 2016; Gul</w:t>
      </w:r>
      <w:r w:rsidR="0020472A" w:rsidRPr="006C70A7">
        <w:rPr>
          <w:rFonts w:asciiTheme="majorBidi" w:eastAsia="Times New Roman" w:hAnsiTheme="majorBidi" w:cstheme="majorBidi"/>
          <w:sz w:val="24"/>
          <w:szCs w:val="24"/>
          <w:lang w:eastAsia="en-GB"/>
        </w:rPr>
        <w:t xml:space="preserve"> et al., 2011; Katmon et al., 2019; Nalikka, 2009)</w:t>
      </w:r>
      <w:r w:rsidR="004D1F45" w:rsidRPr="006C70A7">
        <w:rPr>
          <w:rFonts w:asciiTheme="majorBidi" w:eastAsia="Times New Roman" w:hAnsiTheme="majorBidi" w:cstheme="majorBidi"/>
          <w:sz w:val="24"/>
          <w:szCs w:val="24"/>
          <w:lang w:eastAsia="en-GB"/>
        </w:rPr>
        <w:t xml:space="preserve">, </w:t>
      </w:r>
      <w:r w:rsidR="00C66D0B" w:rsidRPr="006C70A7">
        <w:rPr>
          <w:rFonts w:asciiTheme="majorBidi" w:eastAsia="Times New Roman" w:hAnsiTheme="majorBidi" w:cstheme="majorBidi"/>
          <w:sz w:val="24"/>
          <w:szCs w:val="24"/>
          <w:lang w:eastAsia="en-GB"/>
        </w:rPr>
        <w:t xml:space="preserve">which can </w:t>
      </w:r>
      <w:r w:rsidR="00A73366">
        <w:rPr>
          <w:rFonts w:asciiTheme="majorBidi" w:eastAsia="Times New Roman" w:hAnsiTheme="majorBidi" w:cstheme="majorBidi"/>
          <w:sz w:val="24"/>
          <w:szCs w:val="24"/>
          <w:lang w:eastAsia="en-GB"/>
        </w:rPr>
        <w:t xml:space="preserve">arguably </w:t>
      </w:r>
      <w:r w:rsidR="00C66D0B" w:rsidRPr="006C70A7">
        <w:rPr>
          <w:rFonts w:asciiTheme="majorBidi" w:eastAsia="Times New Roman" w:hAnsiTheme="majorBidi" w:cstheme="majorBidi"/>
          <w:sz w:val="24"/>
          <w:szCs w:val="24"/>
          <w:lang w:eastAsia="en-GB"/>
        </w:rPr>
        <w:t>limit</w:t>
      </w:r>
      <w:r w:rsidR="004D1F45" w:rsidRPr="006C70A7">
        <w:rPr>
          <w:rFonts w:asciiTheme="majorBidi" w:eastAsia="Times New Roman" w:hAnsiTheme="majorBidi" w:cstheme="majorBidi"/>
          <w:sz w:val="24"/>
          <w:szCs w:val="24"/>
          <w:lang w:eastAsia="en-GB"/>
        </w:rPr>
        <w:t xml:space="preserve"> the generalisability of their findings</w:t>
      </w:r>
      <w:r w:rsidR="00917E69">
        <w:rPr>
          <w:rFonts w:asciiTheme="majorBidi" w:eastAsia="Times New Roman" w:hAnsiTheme="majorBidi" w:cstheme="majorBidi"/>
          <w:sz w:val="24"/>
          <w:szCs w:val="24"/>
          <w:lang w:eastAsia="en-GB"/>
        </w:rPr>
        <w:t xml:space="preserve"> to non-profit organisations</w:t>
      </w:r>
      <w:r w:rsidR="004D1F45" w:rsidRPr="006C70A7">
        <w:rPr>
          <w:rFonts w:asciiTheme="majorBidi" w:eastAsia="Times New Roman" w:hAnsiTheme="majorBidi" w:cstheme="majorBidi"/>
          <w:sz w:val="24"/>
          <w:szCs w:val="24"/>
          <w:lang w:eastAsia="en-GB"/>
        </w:rPr>
        <w:t>.</w:t>
      </w:r>
      <w:r w:rsidR="00AF3DA4" w:rsidRPr="006C70A7">
        <w:rPr>
          <w:rFonts w:asciiTheme="majorBidi" w:eastAsia="Times New Roman" w:hAnsiTheme="majorBidi" w:cstheme="majorBidi"/>
          <w:sz w:val="24"/>
          <w:szCs w:val="24"/>
          <w:lang w:eastAsia="en-GB"/>
        </w:rPr>
        <w:t xml:space="preserve"> </w:t>
      </w:r>
      <w:r w:rsidR="00590E40">
        <w:rPr>
          <w:rFonts w:asciiTheme="majorBidi" w:hAnsiTheme="majorBidi" w:cstheme="majorBidi"/>
          <w:sz w:val="24"/>
          <w:szCs w:val="24"/>
        </w:rPr>
        <w:t>In the meantime, empirical s</w:t>
      </w:r>
      <w:r w:rsidRPr="00511F36">
        <w:rPr>
          <w:rFonts w:asciiTheme="majorBidi" w:hAnsiTheme="majorBidi" w:cstheme="majorBidi"/>
          <w:sz w:val="24"/>
          <w:szCs w:val="24"/>
        </w:rPr>
        <w:t xml:space="preserve">tudies examining issues relating to accountability, governance and transparency in </w:t>
      </w:r>
      <w:r w:rsidR="00D04B83">
        <w:rPr>
          <w:rFonts w:asciiTheme="majorBidi" w:hAnsiTheme="majorBidi" w:cstheme="majorBidi"/>
          <w:sz w:val="24"/>
          <w:szCs w:val="24"/>
        </w:rPr>
        <w:t>the HE</w:t>
      </w:r>
      <w:r w:rsidRPr="00511F36">
        <w:rPr>
          <w:rFonts w:asciiTheme="majorBidi" w:hAnsiTheme="majorBidi" w:cstheme="majorBidi"/>
          <w:sz w:val="24"/>
          <w:szCs w:val="24"/>
        </w:rPr>
        <w:t xml:space="preserve"> sector </w:t>
      </w:r>
      <w:r w:rsidR="002963E8">
        <w:rPr>
          <w:rFonts w:asciiTheme="majorBidi" w:hAnsiTheme="majorBidi" w:cstheme="majorBidi"/>
          <w:sz w:val="24"/>
          <w:szCs w:val="24"/>
        </w:rPr>
        <w:t xml:space="preserve">are not only limited </w:t>
      </w:r>
      <w:r w:rsidRPr="00511F36">
        <w:rPr>
          <w:rFonts w:asciiTheme="majorBidi" w:hAnsiTheme="majorBidi" w:cstheme="majorBidi"/>
          <w:sz w:val="24"/>
          <w:szCs w:val="24"/>
        </w:rPr>
        <w:t xml:space="preserve">(e.g., </w:t>
      </w:r>
      <w:r w:rsidR="00891EF6" w:rsidRPr="00511F36">
        <w:rPr>
          <w:rFonts w:asciiTheme="majorBidi" w:hAnsiTheme="majorBidi" w:cstheme="majorBidi"/>
          <w:sz w:val="24"/>
          <w:szCs w:val="24"/>
        </w:rPr>
        <w:t>Banks</w:t>
      </w:r>
      <w:r w:rsidR="006F69A2" w:rsidRPr="00511F36">
        <w:rPr>
          <w:rFonts w:asciiTheme="majorBidi" w:hAnsiTheme="majorBidi" w:cstheme="majorBidi"/>
          <w:sz w:val="24"/>
          <w:szCs w:val="24"/>
        </w:rPr>
        <w:t xml:space="preserve"> </w:t>
      </w:r>
      <w:r w:rsidR="000829AF">
        <w:rPr>
          <w:rFonts w:asciiTheme="majorBidi" w:hAnsiTheme="majorBidi" w:cstheme="majorBidi"/>
          <w:sz w:val="24"/>
          <w:szCs w:val="24"/>
        </w:rPr>
        <w:t>&amp;</w:t>
      </w:r>
      <w:r w:rsidR="006F69A2" w:rsidRPr="00511F36">
        <w:rPr>
          <w:rFonts w:asciiTheme="majorBidi" w:hAnsiTheme="majorBidi" w:cstheme="majorBidi"/>
          <w:sz w:val="24"/>
          <w:szCs w:val="24"/>
        </w:rPr>
        <w:t xml:space="preserve"> Nelson</w:t>
      </w:r>
      <w:r w:rsidR="000829AF">
        <w:rPr>
          <w:rFonts w:asciiTheme="majorBidi" w:hAnsiTheme="majorBidi" w:cstheme="majorBidi"/>
          <w:sz w:val="24"/>
          <w:szCs w:val="24"/>
        </w:rPr>
        <w:t>,</w:t>
      </w:r>
      <w:r w:rsidR="006F69A2" w:rsidRPr="00511F36">
        <w:rPr>
          <w:rFonts w:asciiTheme="majorBidi" w:hAnsiTheme="majorBidi" w:cstheme="majorBidi"/>
          <w:sz w:val="24"/>
          <w:szCs w:val="24"/>
        </w:rPr>
        <w:t xml:space="preserve"> 1994; Dixon </w:t>
      </w:r>
      <w:r w:rsidR="002F2FFF">
        <w:rPr>
          <w:rFonts w:asciiTheme="majorBidi" w:hAnsiTheme="majorBidi" w:cstheme="majorBidi"/>
          <w:sz w:val="24"/>
          <w:szCs w:val="24"/>
        </w:rPr>
        <w:t>&amp;</w:t>
      </w:r>
      <w:r w:rsidR="006F69A2" w:rsidRPr="00511F36">
        <w:rPr>
          <w:rFonts w:asciiTheme="majorBidi" w:hAnsiTheme="majorBidi" w:cstheme="majorBidi"/>
          <w:sz w:val="24"/>
          <w:szCs w:val="24"/>
        </w:rPr>
        <w:t xml:space="preserve"> Coy</w:t>
      </w:r>
      <w:r w:rsidR="002F2FFF">
        <w:rPr>
          <w:rFonts w:asciiTheme="majorBidi" w:hAnsiTheme="majorBidi" w:cstheme="majorBidi"/>
          <w:sz w:val="24"/>
          <w:szCs w:val="24"/>
        </w:rPr>
        <w:t>,</w:t>
      </w:r>
      <w:r w:rsidR="006F69A2" w:rsidRPr="00511F36">
        <w:rPr>
          <w:rFonts w:asciiTheme="majorBidi" w:hAnsiTheme="majorBidi" w:cstheme="majorBidi"/>
          <w:sz w:val="24"/>
          <w:szCs w:val="24"/>
        </w:rPr>
        <w:t xml:space="preserve"> 2007; </w:t>
      </w:r>
      <w:r w:rsidRPr="00511F36">
        <w:rPr>
          <w:rFonts w:asciiTheme="majorBidi" w:hAnsiTheme="majorBidi" w:cstheme="majorBidi"/>
          <w:sz w:val="24"/>
          <w:szCs w:val="24"/>
        </w:rPr>
        <w:t xml:space="preserve">Gray </w:t>
      </w:r>
      <w:r w:rsidR="00166BE1">
        <w:rPr>
          <w:rFonts w:asciiTheme="majorBidi" w:hAnsiTheme="majorBidi" w:cstheme="majorBidi"/>
          <w:sz w:val="24"/>
          <w:szCs w:val="24"/>
        </w:rPr>
        <w:t>&amp;</w:t>
      </w:r>
      <w:r w:rsidRPr="00511F36">
        <w:rPr>
          <w:rFonts w:asciiTheme="majorBidi" w:hAnsiTheme="majorBidi" w:cstheme="majorBidi"/>
          <w:sz w:val="24"/>
          <w:szCs w:val="24"/>
        </w:rPr>
        <w:t xml:space="preserve"> Haslam</w:t>
      </w:r>
      <w:r w:rsidR="00166BE1">
        <w:rPr>
          <w:rFonts w:asciiTheme="majorBidi" w:hAnsiTheme="majorBidi" w:cstheme="majorBidi"/>
          <w:sz w:val="24"/>
          <w:szCs w:val="24"/>
        </w:rPr>
        <w:t>,</w:t>
      </w:r>
      <w:r w:rsidRPr="00511F36">
        <w:rPr>
          <w:rFonts w:asciiTheme="majorBidi" w:hAnsiTheme="majorBidi" w:cstheme="majorBidi"/>
          <w:sz w:val="24"/>
          <w:szCs w:val="24"/>
        </w:rPr>
        <w:t xml:space="preserve"> 1990; </w:t>
      </w:r>
      <w:r w:rsidR="0067220E">
        <w:rPr>
          <w:rFonts w:asciiTheme="majorBidi" w:hAnsiTheme="majorBidi" w:cstheme="majorBidi"/>
          <w:sz w:val="24"/>
          <w:szCs w:val="24"/>
        </w:rPr>
        <w:t xml:space="preserve">Ntim et al., </w:t>
      </w:r>
      <w:r w:rsidR="00DF4C18">
        <w:rPr>
          <w:rFonts w:asciiTheme="majorBidi" w:hAnsiTheme="majorBidi" w:cstheme="majorBidi"/>
          <w:sz w:val="24"/>
          <w:szCs w:val="24"/>
        </w:rPr>
        <w:t>2017</w:t>
      </w:r>
      <w:r w:rsidR="00FD4EC7">
        <w:rPr>
          <w:rFonts w:asciiTheme="majorBidi" w:hAnsiTheme="majorBidi" w:cstheme="majorBidi"/>
          <w:sz w:val="24"/>
          <w:szCs w:val="24"/>
        </w:rPr>
        <w:t>; Soobaroyen et al., 2014, 2019</w:t>
      </w:r>
      <w:r w:rsidR="00E4123C" w:rsidRPr="00511F36">
        <w:rPr>
          <w:rFonts w:asciiTheme="majorBidi" w:hAnsiTheme="majorBidi" w:cstheme="majorBidi"/>
          <w:sz w:val="24"/>
          <w:szCs w:val="24"/>
        </w:rPr>
        <w:t>)</w:t>
      </w:r>
      <w:r w:rsidR="002963E8">
        <w:rPr>
          <w:rFonts w:asciiTheme="majorBidi" w:hAnsiTheme="majorBidi" w:cstheme="majorBidi"/>
          <w:sz w:val="24"/>
          <w:szCs w:val="24"/>
        </w:rPr>
        <w:t>, but also</w:t>
      </w:r>
      <w:r w:rsidR="00E4123C" w:rsidRPr="00511F36">
        <w:rPr>
          <w:rFonts w:asciiTheme="majorBidi" w:hAnsiTheme="majorBidi" w:cstheme="majorBidi"/>
          <w:sz w:val="24"/>
          <w:szCs w:val="24"/>
        </w:rPr>
        <w:t xml:space="preserve"> </w:t>
      </w:r>
      <w:r w:rsidR="002963E8">
        <w:rPr>
          <w:rFonts w:asciiTheme="majorBidi" w:hAnsiTheme="majorBidi" w:cstheme="majorBidi"/>
          <w:sz w:val="24"/>
          <w:szCs w:val="24"/>
        </w:rPr>
        <w:t xml:space="preserve">appear to </w:t>
      </w:r>
      <w:r w:rsidR="00E4123C" w:rsidRPr="00511F36">
        <w:rPr>
          <w:rFonts w:asciiTheme="majorBidi" w:hAnsiTheme="majorBidi" w:cstheme="majorBidi"/>
          <w:sz w:val="24"/>
          <w:szCs w:val="24"/>
        </w:rPr>
        <w:t xml:space="preserve">suffer from </w:t>
      </w:r>
      <w:r w:rsidR="00F63885">
        <w:rPr>
          <w:rFonts w:asciiTheme="majorBidi" w:hAnsiTheme="majorBidi" w:cstheme="majorBidi"/>
          <w:sz w:val="24"/>
          <w:szCs w:val="24"/>
        </w:rPr>
        <w:t>several</w:t>
      </w:r>
      <w:r w:rsidR="00E4123C" w:rsidRPr="00511F36">
        <w:rPr>
          <w:rFonts w:asciiTheme="majorBidi" w:hAnsiTheme="majorBidi" w:cstheme="majorBidi"/>
          <w:sz w:val="24"/>
          <w:szCs w:val="24"/>
        </w:rPr>
        <w:t xml:space="preserve"> </w:t>
      </w:r>
      <w:r w:rsidR="002963E8">
        <w:rPr>
          <w:rFonts w:asciiTheme="majorBidi" w:hAnsiTheme="majorBidi" w:cstheme="majorBidi"/>
          <w:sz w:val="24"/>
          <w:szCs w:val="24"/>
        </w:rPr>
        <w:t xml:space="preserve">observable </w:t>
      </w:r>
      <w:r w:rsidR="00F63885">
        <w:rPr>
          <w:rFonts w:asciiTheme="majorBidi" w:hAnsiTheme="majorBidi" w:cstheme="majorBidi"/>
          <w:sz w:val="24"/>
          <w:szCs w:val="24"/>
        </w:rPr>
        <w:t>weaknesses</w:t>
      </w:r>
      <w:r w:rsidR="00E4123C" w:rsidRPr="00511F36">
        <w:rPr>
          <w:rFonts w:asciiTheme="majorBidi" w:hAnsiTheme="majorBidi" w:cstheme="majorBidi"/>
          <w:sz w:val="24"/>
          <w:szCs w:val="24"/>
        </w:rPr>
        <w:t xml:space="preserve">. </w:t>
      </w:r>
    </w:p>
    <w:p w14:paraId="7203B4F9" w14:textId="05E01221" w:rsidR="00971236" w:rsidRDefault="00E4123C" w:rsidP="00C47AC1">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 xml:space="preserve">First, </w:t>
      </w:r>
      <w:r w:rsidR="002B465E" w:rsidRPr="00511F36">
        <w:rPr>
          <w:rFonts w:asciiTheme="majorBidi" w:hAnsiTheme="majorBidi" w:cstheme="majorBidi"/>
          <w:sz w:val="24"/>
          <w:szCs w:val="24"/>
        </w:rPr>
        <w:t xml:space="preserve">existing studies have </w:t>
      </w:r>
      <w:r w:rsidR="005B4C4B" w:rsidRPr="00511F36">
        <w:rPr>
          <w:rFonts w:asciiTheme="majorBidi" w:hAnsiTheme="majorBidi" w:cstheme="majorBidi"/>
          <w:sz w:val="24"/>
          <w:szCs w:val="24"/>
        </w:rPr>
        <w:t xml:space="preserve">either focused largely on the effect of general institutional </w:t>
      </w:r>
      <w:r w:rsidR="00593BC5" w:rsidRPr="00511F36">
        <w:rPr>
          <w:rFonts w:asciiTheme="majorBidi" w:hAnsiTheme="majorBidi" w:cstheme="majorBidi"/>
          <w:sz w:val="24"/>
          <w:szCs w:val="24"/>
        </w:rPr>
        <w:t>attributes</w:t>
      </w:r>
      <w:r w:rsidR="00B22F78" w:rsidRPr="00511F36">
        <w:rPr>
          <w:rFonts w:asciiTheme="majorBidi" w:hAnsiTheme="majorBidi" w:cstheme="majorBidi"/>
          <w:sz w:val="24"/>
          <w:szCs w:val="24"/>
        </w:rPr>
        <w:t xml:space="preserve"> (i.e., size and</w:t>
      </w:r>
      <w:r w:rsidR="005B4C4B" w:rsidRPr="00511F36">
        <w:rPr>
          <w:rFonts w:asciiTheme="majorBidi" w:hAnsiTheme="majorBidi" w:cstheme="majorBidi"/>
          <w:sz w:val="24"/>
          <w:szCs w:val="24"/>
        </w:rPr>
        <w:t xml:space="preserve"> age) on voluntary disclosure or have</w:t>
      </w:r>
      <w:r w:rsidR="00F10E0E" w:rsidRPr="00511F36">
        <w:rPr>
          <w:rFonts w:asciiTheme="majorBidi" w:hAnsiTheme="majorBidi" w:cstheme="majorBidi"/>
          <w:sz w:val="24"/>
          <w:szCs w:val="24"/>
        </w:rPr>
        <w:t xml:space="preserve"> mainly</w:t>
      </w:r>
      <w:r w:rsidR="00A92915" w:rsidRPr="00511F36">
        <w:rPr>
          <w:rFonts w:asciiTheme="majorBidi" w:hAnsiTheme="majorBidi" w:cstheme="majorBidi"/>
          <w:sz w:val="24"/>
          <w:szCs w:val="24"/>
        </w:rPr>
        <w:t xml:space="preserve"> </w:t>
      </w:r>
      <w:r w:rsidR="005B4C4B" w:rsidRPr="00511F36">
        <w:rPr>
          <w:rFonts w:asciiTheme="majorBidi" w:hAnsiTheme="majorBidi" w:cstheme="majorBidi"/>
          <w:sz w:val="24"/>
          <w:szCs w:val="24"/>
        </w:rPr>
        <w:t xml:space="preserve">been </w:t>
      </w:r>
      <w:r w:rsidR="00A92915" w:rsidRPr="00511F36">
        <w:rPr>
          <w:rFonts w:asciiTheme="majorBidi" w:hAnsiTheme="majorBidi" w:cstheme="majorBidi"/>
          <w:sz w:val="24"/>
          <w:szCs w:val="24"/>
        </w:rPr>
        <w:t>descriptive</w:t>
      </w:r>
      <w:r w:rsidR="005B4C4B" w:rsidRPr="00511F36">
        <w:rPr>
          <w:rFonts w:asciiTheme="majorBidi" w:hAnsiTheme="majorBidi" w:cstheme="majorBidi"/>
          <w:sz w:val="24"/>
          <w:szCs w:val="24"/>
        </w:rPr>
        <w:t xml:space="preserve"> with limited theoretical insights </w:t>
      </w:r>
      <w:r w:rsidR="002B465E" w:rsidRPr="00511F36">
        <w:rPr>
          <w:rFonts w:asciiTheme="majorBidi" w:hAnsiTheme="majorBidi" w:cstheme="majorBidi"/>
          <w:sz w:val="24"/>
          <w:szCs w:val="24"/>
        </w:rPr>
        <w:t xml:space="preserve">(Dixon </w:t>
      </w:r>
      <w:r w:rsidR="002F2FFF">
        <w:rPr>
          <w:rFonts w:asciiTheme="majorBidi" w:hAnsiTheme="majorBidi" w:cstheme="majorBidi"/>
          <w:sz w:val="24"/>
          <w:szCs w:val="24"/>
        </w:rPr>
        <w:t>&amp;</w:t>
      </w:r>
      <w:r w:rsidR="008257FE">
        <w:rPr>
          <w:rFonts w:asciiTheme="majorBidi" w:hAnsiTheme="majorBidi" w:cstheme="majorBidi"/>
          <w:sz w:val="24"/>
          <w:szCs w:val="24"/>
        </w:rPr>
        <w:t xml:space="preserve"> Coy</w:t>
      </w:r>
      <w:r w:rsidR="002F2FFF">
        <w:rPr>
          <w:rFonts w:asciiTheme="majorBidi" w:hAnsiTheme="majorBidi" w:cstheme="majorBidi"/>
          <w:sz w:val="24"/>
          <w:szCs w:val="24"/>
        </w:rPr>
        <w:t>,</w:t>
      </w:r>
      <w:r w:rsidR="002B465E" w:rsidRPr="00511F36">
        <w:rPr>
          <w:rFonts w:asciiTheme="majorBidi" w:hAnsiTheme="majorBidi" w:cstheme="majorBidi"/>
          <w:sz w:val="24"/>
          <w:szCs w:val="24"/>
        </w:rPr>
        <w:t xml:space="preserve"> 2007; </w:t>
      </w:r>
      <w:r w:rsidR="008257FE" w:rsidRPr="00030A86">
        <w:rPr>
          <w:rFonts w:asciiTheme="majorBidi" w:hAnsiTheme="majorBidi" w:cstheme="majorBidi"/>
          <w:sz w:val="24"/>
          <w:szCs w:val="24"/>
        </w:rPr>
        <w:t>Coy</w:t>
      </w:r>
      <w:r w:rsidR="002F2FFF" w:rsidRPr="00030A86">
        <w:rPr>
          <w:rFonts w:asciiTheme="majorBidi" w:hAnsiTheme="majorBidi" w:cstheme="majorBidi"/>
          <w:sz w:val="24"/>
          <w:szCs w:val="24"/>
        </w:rPr>
        <w:t xml:space="preserve"> et al., </w:t>
      </w:r>
      <w:r w:rsidR="008257FE" w:rsidRPr="00030A86">
        <w:rPr>
          <w:rFonts w:asciiTheme="majorBidi" w:hAnsiTheme="majorBidi" w:cstheme="majorBidi"/>
          <w:sz w:val="24"/>
          <w:szCs w:val="24"/>
        </w:rPr>
        <w:t>20</w:t>
      </w:r>
      <w:r w:rsidR="00877732" w:rsidRPr="00030A86">
        <w:rPr>
          <w:rFonts w:asciiTheme="majorBidi" w:hAnsiTheme="majorBidi" w:cstheme="majorBidi"/>
          <w:sz w:val="24"/>
          <w:szCs w:val="24"/>
        </w:rPr>
        <w:t>0</w:t>
      </w:r>
      <w:r w:rsidR="008257FE" w:rsidRPr="00030A86">
        <w:rPr>
          <w:rFonts w:asciiTheme="majorBidi" w:hAnsiTheme="majorBidi" w:cstheme="majorBidi"/>
          <w:sz w:val="24"/>
          <w:szCs w:val="24"/>
        </w:rPr>
        <w:t>1</w:t>
      </w:r>
      <w:r w:rsidR="008257FE">
        <w:rPr>
          <w:rFonts w:asciiTheme="majorBidi" w:hAnsiTheme="majorBidi" w:cstheme="majorBidi"/>
          <w:sz w:val="24"/>
          <w:szCs w:val="24"/>
        </w:rPr>
        <w:t xml:space="preserve">; </w:t>
      </w:r>
      <w:r w:rsidR="006B6C5B">
        <w:rPr>
          <w:rFonts w:asciiTheme="majorBidi" w:hAnsiTheme="majorBidi" w:cstheme="majorBidi"/>
          <w:sz w:val="24"/>
          <w:szCs w:val="24"/>
        </w:rPr>
        <w:t>Nelson et al., 2003</w:t>
      </w:r>
      <w:r w:rsidR="008257FE">
        <w:rPr>
          <w:rFonts w:asciiTheme="majorBidi" w:hAnsiTheme="majorBidi" w:cstheme="majorBidi"/>
          <w:sz w:val="24"/>
          <w:szCs w:val="24"/>
        </w:rPr>
        <w:t>)</w:t>
      </w:r>
      <w:r w:rsidR="005B4C4B" w:rsidRPr="00511F36">
        <w:rPr>
          <w:rFonts w:asciiTheme="majorBidi" w:hAnsiTheme="majorBidi" w:cstheme="majorBidi"/>
          <w:sz w:val="24"/>
          <w:szCs w:val="24"/>
        </w:rPr>
        <w:t xml:space="preserve">. </w:t>
      </w:r>
      <w:r w:rsidR="002B465E" w:rsidRPr="00511F36">
        <w:rPr>
          <w:rFonts w:asciiTheme="majorBidi" w:hAnsiTheme="majorBidi" w:cstheme="majorBidi"/>
          <w:sz w:val="24"/>
          <w:szCs w:val="24"/>
        </w:rPr>
        <w:t xml:space="preserve">Second, </w:t>
      </w:r>
      <w:r w:rsidR="00BD7907" w:rsidRPr="00511F36">
        <w:rPr>
          <w:rFonts w:asciiTheme="majorBidi" w:hAnsiTheme="majorBidi" w:cstheme="majorBidi"/>
          <w:sz w:val="24"/>
          <w:szCs w:val="24"/>
        </w:rPr>
        <w:t xml:space="preserve">to the best of our knowledge, none </w:t>
      </w:r>
      <w:r w:rsidR="00CF182E" w:rsidRPr="00511F36">
        <w:rPr>
          <w:rFonts w:asciiTheme="majorBidi" w:hAnsiTheme="majorBidi" w:cstheme="majorBidi"/>
          <w:sz w:val="24"/>
          <w:szCs w:val="24"/>
        </w:rPr>
        <w:t>of these existing studies has examined the extent of voluntary corporate governance disclosure</w:t>
      </w:r>
      <w:r w:rsidR="002963E8">
        <w:rPr>
          <w:rFonts w:asciiTheme="majorBidi" w:hAnsiTheme="majorBidi" w:cstheme="majorBidi"/>
          <w:sz w:val="24"/>
          <w:szCs w:val="24"/>
        </w:rPr>
        <w:t>s</w:t>
      </w:r>
      <w:r w:rsidR="00CF182E" w:rsidRPr="00511F36">
        <w:rPr>
          <w:rFonts w:asciiTheme="majorBidi" w:hAnsiTheme="majorBidi" w:cstheme="majorBidi"/>
          <w:sz w:val="24"/>
          <w:szCs w:val="24"/>
        </w:rPr>
        <w:t xml:space="preserve"> in </w:t>
      </w:r>
      <w:r w:rsidR="00952C65" w:rsidRPr="00511F36">
        <w:rPr>
          <w:rFonts w:asciiTheme="majorBidi" w:hAnsiTheme="majorBidi" w:cstheme="majorBidi"/>
          <w:sz w:val="24"/>
          <w:szCs w:val="24"/>
        </w:rPr>
        <w:t>HEIs</w:t>
      </w:r>
      <w:r w:rsidR="00F10E0E" w:rsidRPr="00511F36">
        <w:rPr>
          <w:rFonts w:asciiTheme="majorBidi" w:hAnsiTheme="majorBidi" w:cstheme="majorBidi"/>
          <w:sz w:val="24"/>
          <w:szCs w:val="24"/>
        </w:rPr>
        <w:t xml:space="preserve"> and </w:t>
      </w:r>
      <w:r w:rsidR="002963E8">
        <w:rPr>
          <w:rFonts w:asciiTheme="majorBidi" w:hAnsiTheme="majorBidi" w:cstheme="majorBidi"/>
          <w:sz w:val="24"/>
          <w:szCs w:val="24"/>
        </w:rPr>
        <w:t>their</w:t>
      </w:r>
      <w:r w:rsidR="00F10E0E" w:rsidRPr="00511F36">
        <w:rPr>
          <w:rFonts w:asciiTheme="majorBidi" w:hAnsiTheme="majorBidi" w:cstheme="majorBidi"/>
          <w:sz w:val="24"/>
          <w:szCs w:val="24"/>
        </w:rPr>
        <w:t xml:space="preserve"> determinants</w:t>
      </w:r>
      <w:r w:rsidR="00CF182E" w:rsidRPr="00511F36">
        <w:rPr>
          <w:rFonts w:asciiTheme="majorBidi" w:hAnsiTheme="majorBidi" w:cstheme="majorBidi"/>
          <w:sz w:val="24"/>
          <w:szCs w:val="24"/>
        </w:rPr>
        <w:t xml:space="preserve">. Third, </w:t>
      </w:r>
      <w:r w:rsidR="00897FBC" w:rsidRPr="00511F36">
        <w:rPr>
          <w:rFonts w:asciiTheme="majorBidi" w:hAnsiTheme="majorBidi" w:cstheme="majorBidi"/>
          <w:sz w:val="24"/>
          <w:szCs w:val="24"/>
        </w:rPr>
        <w:t>and despite</w:t>
      </w:r>
      <w:r w:rsidR="00A92915" w:rsidRPr="00511F36">
        <w:rPr>
          <w:rFonts w:asciiTheme="majorBidi" w:hAnsiTheme="majorBidi" w:cstheme="majorBidi"/>
          <w:sz w:val="24"/>
          <w:szCs w:val="24"/>
        </w:rPr>
        <w:t xml:space="preserve"> increasing empirical and theoretical </w:t>
      </w:r>
      <w:r w:rsidR="002F571A">
        <w:rPr>
          <w:rFonts w:asciiTheme="majorBidi" w:hAnsiTheme="majorBidi" w:cstheme="majorBidi"/>
          <w:sz w:val="24"/>
          <w:szCs w:val="24"/>
        </w:rPr>
        <w:t xml:space="preserve">suggestions </w:t>
      </w:r>
      <w:r w:rsidR="00A92915" w:rsidRPr="00511F36">
        <w:rPr>
          <w:rFonts w:asciiTheme="majorBidi" w:hAnsiTheme="majorBidi" w:cstheme="majorBidi"/>
          <w:sz w:val="24"/>
          <w:szCs w:val="24"/>
        </w:rPr>
        <w:t xml:space="preserve">that </w:t>
      </w:r>
      <w:r w:rsidR="00F10E0E" w:rsidRPr="00511F36">
        <w:rPr>
          <w:rFonts w:asciiTheme="majorBidi" w:hAnsiTheme="majorBidi" w:cstheme="majorBidi"/>
          <w:sz w:val="24"/>
          <w:szCs w:val="24"/>
        </w:rPr>
        <w:t>institutional decisions</w:t>
      </w:r>
      <w:r w:rsidR="00F63885">
        <w:rPr>
          <w:rFonts w:asciiTheme="majorBidi" w:hAnsiTheme="majorBidi" w:cstheme="majorBidi"/>
          <w:sz w:val="24"/>
          <w:szCs w:val="24"/>
        </w:rPr>
        <w:t xml:space="preserve"> relating to disclosures</w:t>
      </w:r>
      <w:r w:rsidR="00F10E0E" w:rsidRPr="00511F36">
        <w:rPr>
          <w:rFonts w:asciiTheme="majorBidi" w:hAnsiTheme="majorBidi" w:cstheme="majorBidi"/>
          <w:sz w:val="24"/>
          <w:szCs w:val="24"/>
        </w:rPr>
        <w:t xml:space="preserve">, including governance ones, are mainly influenced by </w:t>
      </w:r>
      <w:r w:rsidR="00A92915" w:rsidRPr="00511F36">
        <w:rPr>
          <w:rFonts w:asciiTheme="majorBidi" w:hAnsiTheme="majorBidi" w:cstheme="majorBidi"/>
          <w:sz w:val="24"/>
          <w:szCs w:val="24"/>
        </w:rPr>
        <w:t>the structure of top management team</w:t>
      </w:r>
      <w:r w:rsidR="00F10E0E" w:rsidRPr="00511F36">
        <w:rPr>
          <w:rFonts w:asciiTheme="majorBidi" w:hAnsiTheme="majorBidi" w:cstheme="majorBidi"/>
          <w:sz w:val="24"/>
          <w:szCs w:val="24"/>
        </w:rPr>
        <w:t xml:space="preserve">s </w:t>
      </w:r>
      <w:r w:rsidR="00A92915" w:rsidRPr="00511F36">
        <w:rPr>
          <w:rFonts w:asciiTheme="majorBidi" w:hAnsiTheme="majorBidi" w:cstheme="majorBidi"/>
          <w:sz w:val="24"/>
          <w:szCs w:val="24"/>
        </w:rPr>
        <w:t xml:space="preserve">(Beekes </w:t>
      </w:r>
      <w:r w:rsidR="003446F9">
        <w:rPr>
          <w:rFonts w:asciiTheme="majorBidi" w:hAnsiTheme="majorBidi" w:cstheme="majorBidi"/>
          <w:sz w:val="24"/>
          <w:szCs w:val="24"/>
        </w:rPr>
        <w:t>&amp;</w:t>
      </w:r>
      <w:r w:rsidR="008257FE">
        <w:rPr>
          <w:rFonts w:asciiTheme="majorBidi" w:hAnsiTheme="majorBidi" w:cstheme="majorBidi"/>
          <w:sz w:val="24"/>
          <w:szCs w:val="24"/>
        </w:rPr>
        <w:t xml:space="preserve"> Brown</w:t>
      </w:r>
      <w:r w:rsidR="003446F9">
        <w:rPr>
          <w:rFonts w:asciiTheme="majorBidi" w:hAnsiTheme="majorBidi" w:cstheme="majorBidi"/>
          <w:sz w:val="24"/>
          <w:szCs w:val="24"/>
        </w:rPr>
        <w:t>,</w:t>
      </w:r>
      <w:r w:rsidR="00A92915" w:rsidRPr="00511F36">
        <w:rPr>
          <w:rFonts w:asciiTheme="majorBidi" w:hAnsiTheme="majorBidi" w:cstheme="majorBidi"/>
          <w:sz w:val="24"/>
          <w:szCs w:val="24"/>
        </w:rPr>
        <w:t xml:space="preserve"> 2006</w:t>
      </w:r>
      <w:r w:rsidR="00CF182E" w:rsidRPr="00511F36">
        <w:rPr>
          <w:rFonts w:asciiTheme="majorBidi" w:hAnsiTheme="majorBidi" w:cstheme="majorBidi"/>
          <w:sz w:val="24"/>
          <w:szCs w:val="24"/>
        </w:rPr>
        <w:t>)</w:t>
      </w:r>
      <w:r w:rsidR="00F10E0E" w:rsidRPr="00511F36">
        <w:rPr>
          <w:rFonts w:asciiTheme="majorBidi" w:hAnsiTheme="majorBidi" w:cstheme="majorBidi"/>
          <w:sz w:val="24"/>
          <w:szCs w:val="24"/>
        </w:rPr>
        <w:t>,</w:t>
      </w:r>
      <w:r w:rsidR="00CF182E" w:rsidRPr="00511F36">
        <w:rPr>
          <w:rFonts w:asciiTheme="majorBidi" w:hAnsiTheme="majorBidi" w:cstheme="majorBidi"/>
          <w:sz w:val="24"/>
          <w:szCs w:val="24"/>
        </w:rPr>
        <w:t xml:space="preserve"> existing studies investigating the </w:t>
      </w:r>
      <w:r w:rsidR="00F63885">
        <w:rPr>
          <w:rFonts w:asciiTheme="majorBidi" w:hAnsiTheme="majorBidi" w:cstheme="majorBidi"/>
          <w:sz w:val="24"/>
          <w:szCs w:val="24"/>
        </w:rPr>
        <w:t>influence</w:t>
      </w:r>
      <w:r w:rsidR="00F63885" w:rsidRPr="00511F36">
        <w:rPr>
          <w:rFonts w:asciiTheme="majorBidi" w:hAnsiTheme="majorBidi" w:cstheme="majorBidi"/>
          <w:sz w:val="24"/>
          <w:szCs w:val="24"/>
        </w:rPr>
        <w:t xml:space="preserve"> </w:t>
      </w:r>
      <w:r w:rsidR="00CF182E" w:rsidRPr="00511F36">
        <w:rPr>
          <w:rFonts w:asciiTheme="majorBidi" w:hAnsiTheme="majorBidi" w:cstheme="majorBidi"/>
          <w:sz w:val="24"/>
          <w:szCs w:val="24"/>
        </w:rPr>
        <w:t xml:space="preserve">of internal governance structures on voluntary disclosures in </w:t>
      </w:r>
      <w:r w:rsidR="00952C65" w:rsidRPr="00511F36">
        <w:rPr>
          <w:rFonts w:asciiTheme="majorBidi" w:hAnsiTheme="majorBidi" w:cstheme="majorBidi"/>
          <w:sz w:val="24"/>
          <w:szCs w:val="24"/>
        </w:rPr>
        <w:t>HEIs</w:t>
      </w:r>
      <w:r w:rsidR="00CF182E" w:rsidRPr="00511F36">
        <w:rPr>
          <w:rFonts w:asciiTheme="majorBidi" w:hAnsiTheme="majorBidi" w:cstheme="majorBidi"/>
          <w:sz w:val="24"/>
          <w:szCs w:val="24"/>
        </w:rPr>
        <w:t xml:space="preserve"> are generally rare (Gordon et</w:t>
      </w:r>
      <w:r w:rsidR="008257FE">
        <w:rPr>
          <w:rFonts w:asciiTheme="majorBidi" w:hAnsiTheme="majorBidi" w:cstheme="majorBidi"/>
          <w:sz w:val="24"/>
          <w:szCs w:val="24"/>
        </w:rPr>
        <w:t xml:space="preserve"> al.</w:t>
      </w:r>
      <w:r w:rsidR="00D57D17">
        <w:rPr>
          <w:rFonts w:asciiTheme="majorBidi" w:hAnsiTheme="majorBidi" w:cstheme="majorBidi"/>
          <w:sz w:val="24"/>
          <w:szCs w:val="24"/>
        </w:rPr>
        <w:t>,</w:t>
      </w:r>
      <w:r w:rsidR="008257FE">
        <w:rPr>
          <w:rFonts w:asciiTheme="majorBidi" w:hAnsiTheme="majorBidi" w:cstheme="majorBidi"/>
          <w:sz w:val="24"/>
          <w:szCs w:val="24"/>
        </w:rPr>
        <w:t xml:space="preserve"> 2002; </w:t>
      </w:r>
      <w:r w:rsidR="0067220E">
        <w:rPr>
          <w:rFonts w:asciiTheme="majorBidi" w:hAnsiTheme="majorBidi" w:cstheme="majorBidi"/>
          <w:sz w:val="24"/>
          <w:szCs w:val="24"/>
        </w:rPr>
        <w:t xml:space="preserve">Ntim et al., </w:t>
      </w:r>
      <w:r w:rsidR="00DF4C18">
        <w:rPr>
          <w:rFonts w:asciiTheme="majorBidi" w:hAnsiTheme="majorBidi" w:cstheme="majorBidi"/>
          <w:sz w:val="24"/>
          <w:szCs w:val="24"/>
        </w:rPr>
        <w:t>2017</w:t>
      </w:r>
      <w:r w:rsidR="00F10E0E" w:rsidRPr="00511F36">
        <w:rPr>
          <w:rFonts w:asciiTheme="majorBidi" w:hAnsiTheme="majorBidi" w:cstheme="majorBidi"/>
          <w:sz w:val="24"/>
          <w:szCs w:val="24"/>
        </w:rPr>
        <w:t xml:space="preserve">). </w:t>
      </w:r>
      <w:r w:rsidR="00593BC5" w:rsidRPr="00511F36">
        <w:rPr>
          <w:rFonts w:asciiTheme="majorBidi" w:hAnsiTheme="majorBidi" w:cstheme="majorBidi"/>
          <w:sz w:val="24"/>
          <w:szCs w:val="24"/>
        </w:rPr>
        <w:t>Therefore, these weaknesses together</w:t>
      </w:r>
      <w:r w:rsidR="00330D34">
        <w:rPr>
          <w:rFonts w:asciiTheme="majorBidi" w:hAnsiTheme="majorBidi" w:cstheme="majorBidi"/>
          <w:sz w:val="24"/>
          <w:szCs w:val="24"/>
        </w:rPr>
        <w:t>, arguably,</w:t>
      </w:r>
      <w:r w:rsidR="00593BC5" w:rsidRPr="00511F36">
        <w:rPr>
          <w:rFonts w:asciiTheme="majorBidi" w:hAnsiTheme="majorBidi" w:cstheme="majorBidi"/>
          <w:sz w:val="24"/>
          <w:szCs w:val="24"/>
        </w:rPr>
        <w:t xml:space="preserve"> impairs the current knowledge of the extent to which governance structures of </w:t>
      </w:r>
      <w:r w:rsidR="00952C65" w:rsidRPr="00511F36">
        <w:rPr>
          <w:rFonts w:asciiTheme="majorBidi" w:hAnsiTheme="majorBidi" w:cstheme="majorBidi"/>
          <w:sz w:val="24"/>
          <w:szCs w:val="24"/>
        </w:rPr>
        <w:t>HEIs</w:t>
      </w:r>
      <w:r w:rsidR="00593BC5" w:rsidRPr="00511F36">
        <w:rPr>
          <w:rFonts w:asciiTheme="majorBidi" w:hAnsiTheme="majorBidi" w:cstheme="majorBidi"/>
          <w:sz w:val="24"/>
          <w:szCs w:val="24"/>
        </w:rPr>
        <w:t xml:space="preserve"> can influence </w:t>
      </w:r>
      <w:r w:rsidR="002963E8">
        <w:rPr>
          <w:rFonts w:asciiTheme="majorBidi" w:hAnsiTheme="majorBidi" w:cstheme="majorBidi"/>
          <w:sz w:val="24"/>
          <w:szCs w:val="24"/>
        </w:rPr>
        <w:t xml:space="preserve">their </w:t>
      </w:r>
      <w:r w:rsidR="00593BC5" w:rsidRPr="00511F36">
        <w:rPr>
          <w:rFonts w:asciiTheme="majorBidi" w:hAnsiTheme="majorBidi" w:cstheme="majorBidi"/>
          <w:sz w:val="24"/>
          <w:szCs w:val="24"/>
        </w:rPr>
        <w:t>voluntary disclosure</w:t>
      </w:r>
      <w:r w:rsidR="002963E8">
        <w:rPr>
          <w:rFonts w:asciiTheme="majorBidi" w:hAnsiTheme="majorBidi" w:cstheme="majorBidi"/>
          <w:sz w:val="24"/>
          <w:szCs w:val="24"/>
        </w:rPr>
        <w:t xml:space="preserve"> behaviour relating to governance practices</w:t>
      </w:r>
      <w:r w:rsidR="00593BC5" w:rsidRPr="00511F36">
        <w:rPr>
          <w:rFonts w:asciiTheme="majorBidi" w:hAnsiTheme="majorBidi" w:cstheme="majorBidi"/>
          <w:sz w:val="24"/>
          <w:szCs w:val="24"/>
        </w:rPr>
        <w:t xml:space="preserve">. </w:t>
      </w:r>
    </w:p>
    <w:p w14:paraId="5F0D0E66" w14:textId="1D2D41AF" w:rsidR="00C63EF2" w:rsidRDefault="00BF4BB1" w:rsidP="00E25DDA">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 xml:space="preserve">Given the noticeable gaps in the previous literature, we seek to extend and contribute to the existing research in a number of ways. </w:t>
      </w:r>
      <w:r w:rsidR="001B6E91" w:rsidRPr="00511F36">
        <w:rPr>
          <w:rFonts w:asciiTheme="majorBidi" w:hAnsiTheme="majorBidi" w:cstheme="majorBidi"/>
          <w:sz w:val="24"/>
          <w:szCs w:val="24"/>
        </w:rPr>
        <w:t xml:space="preserve">First, we contribute to the existing </w:t>
      </w:r>
      <w:r w:rsidR="0021354B">
        <w:rPr>
          <w:rFonts w:asciiTheme="majorBidi" w:hAnsiTheme="majorBidi" w:cstheme="majorBidi"/>
          <w:sz w:val="24"/>
          <w:szCs w:val="24"/>
        </w:rPr>
        <w:t>research</w:t>
      </w:r>
      <w:r w:rsidR="0021354B" w:rsidRPr="00511F36">
        <w:rPr>
          <w:rFonts w:asciiTheme="majorBidi" w:hAnsiTheme="majorBidi" w:cstheme="majorBidi"/>
          <w:sz w:val="24"/>
          <w:szCs w:val="24"/>
        </w:rPr>
        <w:t xml:space="preserve"> </w:t>
      </w:r>
      <w:r w:rsidR="001B6E91" w:rsidRPr="00511F36">
        <w:rPr>
          <w:rFonts w:asciiTheme="majorBidi" w:hAnsiTheme="majorBidi" w:cstheme="majorBidi"/>
          <w:sz w:val="24"/>
          <w:szCs w:val="24"/>
        </w:rPr>
        <w:t xml:space="preserve">by </w:t>
      </w:r>
      <w:r>
        <w:rPr>
          <w:rFonts w:asciiTheme="majorBidi" w:hAnsiTheme="majorBidi" w:cstheme="majorBidi"/>
          <w:sz w:val="24"/>
          <w:szCs w:val="24"/>
        </w:rPr>
        <w:t>offering</w:t>
      </w:r>
      <w:r w:rsidRPr="00511F36">
        <w:rPr>
          <w:rFonts w:asciiTheme="majorBidi" w:hAnsiTheme="majorBidi" w:cstheme="majorBidi"/>
          <w:sz w:val="24"/>
          <w:szCs w:val="24"/>
        </w:rPr>
        <w:t xml:space="preserve"> </w:t>
      </w:r>
      <w:r w:rsidR="001B6E91" w:rsidRPr="00511F36">
        <w:rPr>
          <w:rFonts w:asciiTheme="majorBidi" w:hAnsiTheme="majorBidi" w:cstheme="majorBidi"/>
          <w:sz w:val="24"/>
          <w:szCs w:val="24"/>
        </w:rPr>
        <w:t>evidence for the first time on</w:t>
      </w:r>
      <w:r w:rsidR="00A12179">
        <w:rPr>
          <w:rFonts w:asciiTheme="majorBidi" w:hAnsiTheme="majorBidi" w:cstheme="majorBidi"/>
          <w:sz w:val="24"/>
          <w:szCs w:val="24"/>
        </w:rPr>
        <w:t xml:space="preserve"> the</w:t>
      </w:r>
      <w:r w:rsidR="001B6E91" w:rsidRPr="00511F36">
        <w:rPr>
          <w:rFonts w:asciiTheme="majorBidi" w:hAnsiTheme="majorBidi" w:cstheme="majorBidi"/>
          <w:sz w:val="24"/>
          <w:szCs w:val="24"/>
        </w:rPr>
        <w:t xml:space="preserve"> disclosure</w:t>
      </w:r>
      <w:r w:rsidR="0021354B">
        <w:rPr>
          <w:rFonts w:asciiTheme="majorBidi" w:hAnsiTheme="majorBidi" w:cstheme="majorBidi"/>
          <w:sz w:val="24"/>
          <w:szCs w:val="24"/>
        </w:rPr>
        <w:t xml:space="preserve"> levels</w:t>
      </w:r>
      <w:r w:rsidR="00A12179">
        <w:rPr>
          <w:rFonts w:asciiTheme="majorBidi" w:hAnsiTheme="majorBidi" w:cstheme="majorBidi"/>
          <w:sz w:val="24"/>
          <w:szCs w:val="24"/>
        </w:rPr>
        <w:t xml:space="preserve"> of governance practices</w:t>
      </w:r>
      <w:r w:rsidR="001B6E91" w:rsidRPr="00511F36">
        <w:rPr>
          <w:rFonts w:asciiTheme="majorBidi" w:hAnsiTheme="majorBidi" w:cstheme="majorBidi"/>
          <w:sz w:val="24"/>
          <w:szCs w:val="24"/>
        </w:rPr>
        <w:t xml:space="preserve"> by UK </w:t>
      </w:r>
      <w:r w:rsidR="00952C65" w:rsidRPr="00511F36">
        <w:rPr>
          <w:rFonts w:asciiTheme="majorBidi" w:hAnsiTheme="majorBidi" w:cstheme="majorBidi"/>
          <w:sz w:val="24"/>
          <w:szCs w:val="24"/>
        </w:rPr>
        <w:t>HEIs</w:t>
      </w:r>
      <w:r w:rsidR="001B6E91" w:rsidRPr="00511F36">
        <w:rPr>
          <w:rFonts w:asciiTheme="majorBidi" w:hAnsiTheme="majorBidi" w:cstheme="majorBidi"/>
          <w:sz w:val="24"/>
          <w:szCs w:val="24"/>
        </w:rPr>
        <w:t xml:space="preserve">, and this is done by constructing a comprehensive governance disclosure framework using various governance codes for UK </w:t>
      </w:r>
      <w:r w:rsidR="00952C65" w:rsidRPr="00511F36">
        <w:rPr>
          <w:rFonts w:asciiTheme="majorBidi" w:hAnsiTheme="majorBidi" w:cstheme="majorBidi"/>
          <w:sz w:val="24"/>
          <w:szCs w:val="24"/>
        </w:rPr>
        <w:t>HEIs</w:t>
      </w:r>
      <w:r w:rsidR="001B6E91" w:rsidRPr="00511F36">
        <w:rPr>
          <w:rFonts w:asciiTheme="majorBidi" w:hAnsiTheme="majorBidi" w:cstheme="majorBidi"/>
          <w:sz w:val="24"/>
          <w:szCs w:val="24"/>
        </w:rPr>
        <w:t xml:space="preserve"> (e.g.,</w:t>
      </w:r>
      <w:r w:rsidR="008257FE">
        <w:rPr>
          <w:rFonts w:asciiTheme="majorBidi" w:hAnsiTheme="majorBidi" w:cstheme="majorBidi"/>
          <w:sz w:val="24"/>
          <w:szCs w:val="24"/>
        </w:rPr>
        <w:t xml:space="preserve"> </w:t>
      </w:r>
      <w:r w:rsidR="00DF2AA5" w:rsidRPr="00DF2AA5">
        <w:rPr>
          <w:rFonts w:asciiTheme="majorBidi" w:hAnsiTheme="majorBidi" w:cstheme="majorBidi"/>
          <w:sz w:val="24"/>
          <w:szCs w:val="24"/>
        </w:rPr>
        <w:t>Committee of University Chairs</w:t>
      </w:r>
      <w:r w:rsidR="00DF2AA5">
        <w:rPr>
          <w:rFonts w:asciiTheme="majorBidi" w:hAnsiTheme="majorBidi" w:cstheme="majorBidi"/>
          <w:sz w:val="24"/>
          <w:szCs w:val="24"/>
        </w:rPr>
        <w:t xml:space="preserve"> - </w:t>
      </w:r>
      <w:r w:rsidR="008257FE">
        <w:rPr>
          <w:rFonts w:asciiTheme="majorBidi" w:hAnsiTheme="majorBidi" w:cstheme="majorBidi"/>
          <w:sz w:val="24"/>
          <w:szCs w:val="24"/>
        </w:rPr>
        <w:t>CUC</w:t>
      </w:r>
      <w:r w:rsidR="00C4094C">
        <w:rPr>
          <w:rFonts w:asciiTheme="majorBidi" w:hAnsiTheme="majorBidi" w:cstheme="majorBidi"/>
          <w:sz w:val="24"/>
          <w:szCs w:val="24"/>
        </w:rPr>
        <w:t>,</w:t>
      </w:r>
      <w:r w:rsidR="00CD2B45" w:rsidRPr="00511F36">
        <w:rPr>
          <w:rFonts w:asciiTheme="majorBidi" w:hAnsiTheme="majorBidi" w:cstheme="majorBidi"/>
          <w:sz w:val="24"/>
          <w:szCs w:val="24"/>
        </w:rPr>
        <w:t xml:space="preserve"> 200</w:t>
      </w:r>
      <w:r w:rsidR="00A0291E">
        <w:rPr>
          <w:rFonts w:asciiTheme="majorBidi" w:hAnsiTheme="majorBidi" w:cstheme="majorBidi"/>
          <w:sz w:val="24"/>
          <w:szCs w:val="24"/>
        </w:rPr>
        <w:t>8</w:t>
      </w:r>
      <w:r w:rsidR="00CD2B45" w:rsidRPr="00511F36">
        <w:rPr>
          <w:rFonts w:asciiTheme="majorBidi" w:hAnsiTheme="majorBidi" w:cstheme="majorBidi"/>
          <w:sz w:val="24"/>
          <w:szCs w:val="24"/>
        </w:rPr>
        <w:t xml:space="preserve">, 2009, 2014; </w:t>
      </w:r>
      <w:r w:rsidR="00E25DDA">
        <w:rPr>
          <w:rFonts w:asciiTheme="majorBidi" w:hAnsiTheme="majorBidi" w:cstheme="majorBidi"/>
          <w:sz w:val="24"/>
          <w:szCs w:val="24"/>
        </w:rPr>
        <w:t>Committee of Scottish Chairs - CSC, 2013)</w:t>
      </w:r>
      <w:r w:rsidR="001B6E91" w:rsidRPr="00511F36">
        <w:rPr>
          <w:rFonts w:asciiTheme="majorBidi" w:hAnsiTheme="majorBidi" w:cstheme="majorBidi"/>
          <w:sz w:val="24"/>
          <w:szCs w:val="24"/>
        </w:rPr>
        <w:t xml:space="preserve">. </w:t>
      </w:r>
      <w:r w:rsidR="00167C6E" w:rsidRPr="00511F36">
        <w:rPr>
          <w:rFonts w:asciiTheme="majorBidi" w:hAnsiTheme="majorBidi" w:cstheme="majorBidi"/>
          <w:sz w:val="24"/>
          <w:szCs w:val="24"/>
        </w:rPr>
        <w:t>This extends</w:t>
      </w:r>
      <w:r>
        <w:rPr>
          <w:rFonts w:asciiTheme="majorBidi" w:hAnsiTheme="majorBidi" w:cstheme="majorBidi"/>
          <w:sz w:val="24"/>
          <w:szCs w:val="24"/>
        </w:rPr>
        <w:t xml:space="preserve"> and</w:t>
      </w:r>
      <w:r w:rsidR="00167C6E" w:rsidRPr="00511F36">
        <w:rPr>
          <w:rFonts w:asciiTheme="majorBidi" w:hAnsiTheme="majorBidi" w:cstheme="majorBidi"/>
          <w:sz w:val="24"/>
          <w:szCs w:val="24"/>
        </w:rPr>
        <w:t xml:space="preserve"> improves the findings of past studies, which focused largely on offering descriptive accounts of general </w:t>
      </w:r>
      <w:r w:rsidR="00167C6E" w:rsidRPr="00511F36">
        <w:rPr>
          <w:rFonts w:asciiTheme="majorBidi" w:hAnsiTheme="majorBidi" w:cstheme="majorBidi"/>
          <w:sz w:val="24"/>
          <w:szCs w:val="24"/>
        </w:rPr>
        <w:lastRenderedPageBreak/>
        <w:t xml:space="preserve">voluntary disclosures in </w:t>
      </w:r>
      <w:r w:rsidR="00952C65" w:rsidRPr="00511F36">
        <w:rPr>
          <w:rFonts w:asciiTheme="majorBidi" w:hAnsiTheme="majorBidi" w:cstheme="majorBidi"/>
          <w:sz w:val="24"/>
          <w:szCs w:val="24"/>
        </w:rPr>
        <w:t>HEIs</w:t>
      </w:r>
      <w:r w:rsidR="00167C6E" w:rsidRPr="00511F36">
        <w:rPr>
          <w:rFonts w:asciiTheme="majorBidi" w:hAnsiTheme="majorBidi" w:cstheme="majorBidi"/>
          <w:sz w:val="24"/>
          <w:szCs w:val="24"/>
        </w:rPr>
        <w:t>.</w:t>
      </w:r>
      <w:r w:rsidR="008C1FDD">
        <w:rPr>
          <w:rFonts w:asciiTheme="majorBidi" w:hAnsiTheme="majorBidi" w:cstheme="majorBidi"/>
          <w:sz w:val="24"/>
          <w:szCs w:val="24"/>
        </w:rPr>
        <w:t xml:space="preserve"> </w:t>
      </w:r>
      <w:r w:rsidR="00167C6E" w:rsidRPr="00511F36">
        <w:rPr>
          <w:rFonts w:asciiTheme="majorBidi" w:hAnsiTheme="majorBidi" w:cstheme="majorBidi"/>
          <w:sz w:val="24"/>
          <w:szCs w:val="24"/>
        </w:rPr>
        <w:t xml:space="preserve">Second, </w:t>
      </w:r>
      <w:r w:rsidR="00377934">
        <w:rPr>
          <w:rFonts w:asciiTheme="majorBidi" w:hAnsiTheme="majorBidi" w:cstheme="majorBidi"/>
          <w:sz w:val="24"/>
          <w:szCs w:val="24"/>
        </w:rPr>
        <w:t xml:space="preserve">our research contributes </w:t>
      </w:r>
      <w:r w:rsidR="00167C6E" w:rsidRPr="00511F36">
        <w:rPr>
          <w:rFonts w:asciiTheme="majorBidi" w:hAnsiTheme="majorBidi" w:cstheme="majorBidi"/>
          <w:sz w:val="24"/>
          <w:szCs w:val="24"/>
        </w:rPr>
        <w:t xml:space="preserve">to past </w:t>
      </w:r>
      <w:r w:rsidR="00330D34">
        <w:rPr>
          <w:rFonts w:asciiTheme="majorBidi" w:hAnsiTheme="majorBidi" w:cstheme="majorBidi"/>
          <w:sz w:val="24"/>
          <w:szCs w:val="24"/>
        </w:rPr>
        <w:t>HE</w:t>
      </w:r>
      <w:r w:rsidR="00167C6E" w:rsidRPr="00511F36">
        <w:rPr>
          <w:rFonts w:asciiTheme="majorBidi" w:hAnsiTheme="majorBidi" w:cstheme="majorBidi"/>
          <w:sz w:val="24"/>
          <w:szCs w:val="24"/>
        </w:rPr>
        <w:t xml:space="preserve"> studies by offering evidence on</w:t>
      </w:r>
      <w:r w:rsidR="00571632" w:rsidRPr="00511F36">
        <w:rPr>
          <w:rFonts w:asciiTheme="majorBidi" w:hAnsiTheme="majorBidi" w:cstheme="majorBidi"/>
          <w:sz w:val="24"/>
          <w:szCs w:val="24"/>
        </w:rPr>
        <w:t xml:space="preserve"> the extent to which internal governance structures</w:t>
      </w:r>
      <w:r w:rsidR="00330D34">
        <w:rPr>
          <w:rFonts w:asciiTheme="majorBidi" w:hAnsiTheme="majorBidi" w:cstheme="majorBidi"/>
          <w:sz w:val="24"/>
          <w:szCs w:val="24"/>
        </w:rPr>
        <w:t xml:space="preserve">, especially the vice-chancellor </w:t>
      </w:r>
      <w:r w:rsidR="00FC63D8">
        <w:rPr>
          <w:rFonts w:asciiTheme="majorBidi" w:hAnsiTheme="majorBidi" w:cstheme="majorBidi"/>
          <w:sz w:val="24"/>
          <w:szCs w:val="24"/>
        </w:rPr>
        <w:t>characteristics</w:t>
      </w:r>
      <w:r w:rsidR="00571632" w:rsidRPr="00511F36">
        <w:rPr>
          <w:rFonts w:asciiTheme="majorBidi" w:hAnsiTheme="majorBidi" w:cstheme="majorBidi"/>
          <w:sz w:val="24"/>
          <w:szCs w:val="24"/>
        </w:rPr>
        <w:t xml:space="preserve"> </w:t>
      </w:r>
      <w:r w:rsidR="001E20E0" w:rsidRPr="00511F36">
        <w:rPr>
          <w:rFonts w:asciiTheme="majorBidi" w:hAnsiTheme="majorBidi" w:cstheme="majorBidi"/>
          <w:sz w:val="24"/>
          <w:szCs w:val="24"/>
        </w:rPr>
        <w:t>can influence the level of voluntary governance disclosure</w:t>
      </w:r>
      <w:r w:rsidR="00181C45" w:rsidRPr="00511F36">
        <w:rPr>
          <w:rFonts w:asciiTheme="majorBidi" w:hAnsiTheme="majorBidi" w:cstheme="majorBidi"/>
          <w:sz w:val="24"/>
          <w:szCs w:val="24"/>
        </w:rPr>
        <w:t>s</w:t>
      </w:r>
      <w:r w:rsidR="001E20E0" w:rsidRPr="00511F36">
        <w:rPr>
          <w:rFonts w:asciiTheme="majorBidi" w:hAnsiTheme="majorBidi" w:cstheme="majorBidi"/>
          <w:sz w:val="24"/>
          <w:szCs w:val="24"/>
        </w:rPr>
        <w:t xml:space="preserve"> in </w:t>
      </w:r>
      <w:r w:rsidR="002F571A">
        <w:rPr>
          <w:rFonts w:asciiTheme="majorBidi" w:hAnsiTheme="majorBidi" w:cstheme="majorBidi"/>
          <w:sz w:val="24"/>
          <w:szCs w:val="24"/>
        </w:rPr>
        <w:t>the</w:t>
      </w:r>
      <w:r w:rsidR="001E20E0" w:rsidRPr="00511F36">
        <w:rPr>
          <w:rFonts w:asciiTheme="majorBidi" w:hAnsiTheme="majorBidi" w:cstheme="majorBidi"/>
          <w:sz w:val="24"/>
          <w:szCs w:val="24"/>
        </w:rPr>
        <w:t xml:space="preserve"> HE </w:t>
      </w:r>
      <w:r w:rsidR="002963E8">
        <w:rPr>
          <w:rFonts w:asciiTheme="majorBidi" w:hAnsiTheme="majorBidi" w:cstheme="majorBidi"/>
          <w:sz w:val="24"/>
          <w:szCs w:val="24"/>
        </w:rPr>
        <w:t>sector</w:t>
      </w:r>
      <w:r w:rsidR="001E20E0" w:rsidRPr="00511F36">
        <w:rPr>
          <w:rFonts w:asciiTheme="majorBidi" w:hAnsiTheme="majorBidi" w:cstheme="majorBidi"/>
          <w:sz w:val="24"/>
          <w:szCs w:val="24"/>
        </w:rPr>
        <w:t xml:space="preserve"> </w:t>
      </w:r>
      <w:r w:rsidR="00330D34">
        <w:rPr>
          <w:rFonts w:asciiTheme="majorBidi" w:hAnsiTheme="majorBidi" w:cstheme="majorBidi"/>
          <w:sz w:val="24"/>
          <w:szCs w:val="24"/>
        </w:rPr>
        <w:t xml:space="preserve">that is </w:t>
      </w:r>
      <w:r w:rsidR="00B22F78" w:rsidRPr="00511F36">
        <w:rPr>
          <w:rFonts w:asciiTheme="majorBidi" w:hAnsiTheme="majorBidi" w:cstheme="majorBidi"/>
          <w:sz w:val="24"/>
          <w:szCs w:val="24"/>
        </w:rPr>
        <w:t>characterised</w:t>
      </w:r>
      <w:r w:rsidR="001E20E0" w:rsidRPr="00511F36">
        <w:rPr>
          <w:rFonts w:asciiTheme="majorBidi" w:hAnsiTheme="majorBidi" w:cstheme="majorBidi"/>
          <w:sz w:val="24"/>
          <w:szCs w:val="24"/>
        </w:rPr>
        <w:t xml:space="preserve"> by increased </w:t>
      </w:r>
      <w:r w:rsidR="002963E8">
        <w:rPr>
          <w:rFonts w:asciiTheme="majorBidi" w:hAnsiTheme="majorBidi" w:cstheme="majorBidi"/>
          <w:sz w:val="24"/>
          <w:szCs w:val="24"/>
        </w:rPr>
        <w:t xml:space="preserve">competition, </w:t>
      </w:r>
      <w:r w:rsidR="001E20E0" w:rsidRPr="00511F36">
        <w:rPr>
          <w:rFonts w:asciiTheme="majorBidi" w:hAnsiTheme="majorBidi" w:cstheme="majorBidi"/>
          <w:sz w:val="24"/>
          <w:szCs w:val="24"/>
        </w:rPr>
        <w:t>fin</w:t>
      </w:r>
      <w:r w:rsidR="00B22F78" w:rsidRPr="00511F36">
        <w:rPr>
          <w:rFonts w:asciiTheme="majorBidi" w:hAnsiTheme="majorBidi" w:cstheme="majorBidi"/>
          <w:sz w:val="24"/>
          <w:szCs w:val="24"/>
        </w:rPr>
        <w:t xml:space="preserve">ancing constraints and governance/market reforms. </w:t>
      </w:r>
      <w:r w:rsidR="001B36AE" w:rsidRPr="00511F36">
        <w:rPr>
          <w:rFonts w:asciiTheme="majorBidi" w:hAnsiTheme="majorBidi" w:cstheme="majorBidi"/>
          <w:sz w:val="24"/>
          <w:szCs w:val="24"/>
        </w:rPr>
        <w:t>Finally</w:t>
      </w:r>
      <w:r w:rsidR="00B22F78" w:rsidRPr="00511F36">
        <w:rPr>
          <w:rFonts w:asciiTheme="majorBidi" w:hAnsiTheme="majorBidi" w:cstheme="majorBidi"/>
          <w:sz w:val="24"/>
          <w:szCs w:val="24"/>
        </w:rPr>
        <w:t xml:space="preserve">, </w:t>
      </w:r>
      <w:r w:rsidR="00181C45" w:rsidRPr="00511F36">
        <w:rPr>
          <w:rFonts w:asciiTheme="majorBidi" w:hAnsiTheme="majorBidi" w:cstheme="majorBidi"/>
          <w:sz w:val="24"/>
          <w:szCs w:val="24"/>
        </w:rPr>
        <w:t xml:space="preserve">this study extends </w:t>
      </w:r>
      <w:r w:rsidR="001B36AE" w:rsidRPr="00511F36">
        <w:rPr>
          <w:rFonts w:asciiTheme="majorBidi" w:hAnsiTheme="majorBidi" w:cstheme="majorBidi"/>
          <w:sz w:val="24"/>
          <w:szCs w:val="24"/>
        </w:rPr>
        <w:t xml:space="preserve">and improves the findings of past studies by offering </w:t>
      </w:r>
      <w:r w:rsidR="00FD25BD">
        <w:rPr>
          <w:rFonts w:asciiTheme="majorBidi" w:hAnsiTheme="majorBidi" w:cstheme="majorBidi"/>
          <w:sz w:val="24"/>
          <w:szCs w:val="24"/>
        </w:rPr>
        <w:t xml:space="preserve">a six-year </w:t>
      </w:r>
      <w:r w:rsidR="001B36AE" w:rsidRPr="00511F36">
        <w:rPr>
          <w:rFonts w:asciiTheme="majorBidi" w:hAnsiTheme="majorBidi" w:cstheme="majorBidi"/>
          <w:sz w:val="24"/>
          <w:szCs w:val="24"/>
        </w:rPr>
        <w:t>longitudinal evidence</w:t>
      </w:r>
      <w:r w:rsidR="00FD25BD">
        <w:rPr>
          <w:rFonts w:asciiTheme="majorBidi" w:hAnsiTheme="majorBidi" w:cstheme="majorBidi"/>
          <w:sz w:val="24"/>
          <w:szCs w:val="24"/>
        </w:rPr>
        <w:t xml:space="preserve"> </w:t>
      </w:r>
      <w:r w:rsidR="001B36AE" w:rsidRPr="00511F36">
        <w:rPr>
          <w:rFonts w:asciiTheme="majorBidi" w:hAnsiTheme="majorBidi" w:cstheme="majorBidi"/>
          <w:sz w:val="24"/>
          <w:szCs w:val="24"/>
        </w:rPr>
        <w:t>on the extent of voluntary governance disclosure</w:t>
      </w:r>
      <w:r w:rsidR="002963E8">
        <w:rPr>
          <w:rFonts w:asciiTheme="majorBidi" w:hAnsiTheme="majorBidi" w:cstheme="majorBidi"/>
          <w:sz w:val="24"/>
          <w:szCs w:val="24"/>
        </w:rPr>
        <w:t>s</w:t>
      </w:r>
      <w:r w:rsidR="001B36AE" w:rsidRPr="00511F36">
        <w:rPr>
          <w:rFonts w:asciiTheme="majorBidi" w:hAnsiTheme="majorBidi" w:cstheme="majorBidi"/>
          <w:sz w:val="24"/>
          <w:szCs w:val="24"/>
        </w:rPr>
        <w:t xml:space="preserve"> and </w:t>
      </w:r>
      <w:r w:rsidR="002963E8">
        <w:rPr>
          <w:rFonts w:asciiTheme="majorBidi" w:hAnsiTheme="majorBidi" w:cstheme="majorBidi"/>
          <w:sz w:val="24"/>
          <w:szCs w:val="24"/>
        </w:rPr>
        <w:t>their</w:t>
      </w:r>
      <w:r w:rsidR="001B36AE" w:rsidRPr="00511F36">
        <w:rPr>
          <w:rFonts w:asciiTheme="majorBidi" w:hAnsiTheme="majorBidi" w:cstheme="majorBidi"/>
          <w:sz w:val="24"/>
          <w:szCs w:val="24"/>
        </w:rPr>
        <w:t xml:space="preserve"> </w:t>
      </w:r>
      <w:r w:rsidR="00377934">
        <w:rPr>
          <w:rFonts w:asciiTheme="majorBidi" w:hAnsiTheme="majorBidi" w:cstheme="majorBidi"/>
          <w:sz w:val="24"/>
          <w:szCs w:val="24"/>
        </w:rPr>
        <w:t>antecedents</w:t>
      </w:r>
      <w:r w:rsidR="00377934" w:rsidRPr="00511F36">
        <w:rPr>
          <w:rFonts w:asciiTheme="majorBidi" w:hAnsiTheme="majorBidi" w:cstheme="majorBidi"/>
          <w:sz w:val="24"/>
          <w:szCs w:val="24"/>
        </w:rPr>
        <w:t xml:space="preserve"> </w:t>
      </w:r>
      <w:r w:rsidR="001B36AE" w:rsidRPr="00511F36">
        <w:rPr>
          <w:rFonts w:asciiTheme="majorBidi" w:hAnsiTheme="majorBidi" w:cstheme="majorBidi"/>
          <w:sz w:val="24"/>
          <w:szCs w:val="24"/>
        </w:rPr>
        <w:t xml:space="preserve">in UK </w:t>
      </w:r>
      <w:r w:rsidR="00952C65" w:rsidRPr="00511F36">
        <w:rPr>
          <w:rFonts w:asciiTheme="majorBidi" w:hAnsiTheme="majorBidi" w:cstheme="majorBidi"/>
          <w:sz w:val="24"/>
          <w:szCs w:val="24"/>
        </w:rPr>
        <w:t>HEIs</w:t>
      </w:r>
      <w:r w:rsidR="001B36AE" w:rsidRPr="00511F36">
        <w:rPr>
          <w:rFonts w:asciiTheme="majorBidi" w:hAnsiTheme="majorBidi" w:cstheme="majorBidi"/>
          <w:sz w:val="24"/>
          <w:szCs w:val="24"/>
        </w:rPr>
        <w:t xml:space="preserve">. This is a departure from much of </w:t>
      </w:r>
      <w:r w:rsidR="00330D34">
        <w:rPr>
          <w:rFonts w:asciiTheme="majorBidi" w:hAnsiTheme="majorBidi" w:cstheme="majorBidi"/>
          <w:sz w:val="24"/>
          <w:szCs w:val="24"/>
        </w:rPr>
        <w:t>the HE</w:t>
      </w:r>
      <w:r w:rsidR="001B36AE" w:rsidRPr="00511F36">
        <w:rPr>
          <w:rFonts w:asciiTheme="majorBidi" w:hAnsiTheme="majorBidi" w:cstheme="majorBidi"/>
          <w:sz w:val="24"/>
          <w:szCs w:val="24"/>
        </w:rPr>
        <w:t xml:space="preserve"> </w:t>
      </w:r>
      <w:r w:rsidR="00A52D36" w:rsidRPr="00511F36">
        <w:rPr>
          <w:rFonts w:asciiTheme="majorBidi" w:hAnsiTheme="majorBidi" w:cstheme="majorBidi"/>
          <w:sz w:val="24"/>
          <w:szCs w:val="24"/>
        </w:rPr>
        <w:t>studies that</w:t>
      </w:r>
      <w:r w:rsidR="001B36AE" w:rsidRPr="00511F36">
        <w:rPr>
          <w:rFonts w:asciiTheme="majorBidi" w:hAnsiTheme="majorBidi" w:cstheme="majorBidi"/>
          <w:sz w:val="24"/>
          <w:szCs w:val="24"/>
        </w:rPr>
        <w:t xml:space="preserve"> have largely been descriptive/qualitative oriented</w:t>
      </w:r>
      <w:r w:rsidR="00B24931">
        <w:rPr>
          <w:rFonts w:asciiTheme="majorBidi" w:hAnsiTheme="majorBidi" w:cstheme="majorBidi"/>
          <w:sz w:val="24"/>
          <w:szCs w:val="24"/>
        </w:rPr>
        <w:t xml:space="preserve"> (e.g., </w:t>
      </w:r>
      <w:r w:rsidR="00DB5312">
        <w:rPr>
          <w:rFonts w:asciiTheme="majorBidi" w:hAnsiTheme="majorBidi" w:cstheme="majorBidi"/>
          <w:sz w:val="24"/>
          <w:szCs w:val="24"/>
        </w:rPr>
        <w:t>Gordon</w:t>
      </w:r>
      <w:r w:rsidR="003A2934">
        <w:rPr>
          <w:rFonts w:asciiTheme="majorBidi" w:hAnsiTheme="majorBidi" w:cstheme="majorBidi"/>
          <w:sz w:val="24"/>
          <w:szCs w:val="24"/>
        </w:rPr>
        <w:t xml:space="preserve"> et al., 2002)</w:t>
      </w:r>
      <w:r w:rsidR="001B36AE" w:rsidRPr="00511F36">
        <w:rPr>
          <w:rFonts w:asciiTheme="majorBidi" w:hAnsiTheme="majorBidi" w:cstheme="majorBidi"/>
          <w:sz w:val="24"/>
          <w:szCs w:val="24"/>
        </w:rPr>
        <w:t>.</w:t>
      </w:r>
    </w:p>
    <w:p w14:paraId="4C4A9B24" w14:textId="42EE54DB" w:rsidR="00EF276E" w:rsidRPr="00321B4A" w:rsidRDefault="00EF276E" w:rsidP="00C63EF2">
      <w:pPr>
        <w:spacing w:after="0" w:line="480" w:lineRule="auto"/>
        <w:ind w:firstLine="426"/>
        <w:jc w:val="both"/>
        <w:rPr>
          <w:rFonts w:asciiTheme="majorBidi" w:eastAsia="DengXian" w:hAnsiTheme="majorBidi" w:cstheme="majorBidi"/>
          <w:sz w:val="24"/>
          <w:szCs w:val="24"/>
          <w:lang w:eastAsia="zh-CN"/>
        </w:rPr>
      </w:pPr>
      <w:r>
        <w:rPr>
          <w:rFonts w:asciiTheme="majorBidi" w:hAnsiTheme="majorBidi" w:cstheme="majorBidi"/>
          <w:sz w:val="24"/>
          <w:szCs w:val="24"/>
        </w:rPr>
        <w:t xml:space="preserve">The remaining sections of this paper are organised as follows. The </w:t>
      </w:r>
      <w:r w:rsidR="00873902">
        <w:rPr>
          <w:rFonts w:asciiTheme="majorBidi" w:hAnsiTheme="majorBidi" w:cstheme="majorBidi"/>
          <w:sz w:val="24"/>
          <w:szCs w:val="24"/>
        </w:rPr>
        <w:t xml:space="preserve">next section will provide a review of </w:t>
      </w:r>
      <w:r w:rsidR="001F26E8">
        <w:rPr>
          <w:rFonts w:asciiTheme="majorBidi" w:hAnsiTheme="majorBidi" w:cstheme="majorBidi"/>
          <w:sz w:val="24"/>
          <w:szCs w:val="24"/>
        </w:rPr>
        <w:t xml:space="preserve">the </w:t>
      </w:r>
      <w:r w:rsidR="00873902">
        <w:rPr>
          <w:rFonts w:asciiTheme="majorBidi" w:hAnsiTheme="majorBidi" w:cstheme="majorBidi"/>
          <w:sz w:val="24"/>
          <w:szCs w:val="24"/>
        </w:rPr>
        <w:t xml:space="preserve">relevant theoretical and empirical studies. Section 3 and 4 outline research design and discuss the empirical findings, respectively. A summary of the main findings, contributions, implications, limitations and suggestions for future research is presented in the final section. </w:t>
      </w:r>
    </w:p>
    <w:p w14:paraId="588325FA" w14:textId="380DEEEA" w:rsidR="002D3974" w:rsidRPr="002E541E" w:rsidRDefault="002E541E" w:rsidP="003B2522">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  </w:t>
      </w:r>
      <w:r w:rsidRPr="002E541E">
        <w:rPr>
          <w:rFonts w:asciiTheme="majorBidi" w:hAnsiTheme="majorBidi" w:cstheme="majorBidi"/>
          <w:b/>
          <w:bCs/>
          <w:sz w:val="24"/>
          <w:szCs w:val="24"/>
        </w:rPr>
        <w:t xml:space="preserve">Theoretical framework </w:t>
      </w:r>
      <w:r w:rsidR="009B12A1" w:rsidRPr="002E541E">
        <w:rPr>
          <w:rFonts w:asciiTheme="majorBidi" w:hAnsiTheme="majorBidi" w:cstheme="majorBidi"/>
          <w:b/>
          <w:bCs/>
          <w:sz w:val="24"/>
          <w:szCs w:val="24"/>
        </w:rPr>
        <w:t>and hypotheses development</w:t>
      </w:r>
    </w:p>
    <w:p w14:paraId="44B5E244" w14:textId="09A8D287" w:rsidR="001B2381" w:rsidRDefault="003A410E" w:rsidP="00C63EF2">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P</w:t>
      </w:r>
      <w:r w:rsidR="005F007C">
        <w:rPr>
          <w:rFonts w:asciiTheme="majorBidi" w:hAnsiTheme="majorBidi" w:cstheme="majorBidi"/>
          <w:sz w:val="24"/>
          <w:szCs w:val="24"/>
        </w:rPr>
        <w:t>rior studies (</w:t>
      </w:r>
      <w:r w:rsidR="00C86DB5" w:rsidRPr="00BA29D9">
        <w:rPr>
          <w:rFonts w:asciiTheme="majorBidi" w:hAnsiTheme="majorBidi" w:cstheme="majorBidi"/>
          <w:sz w:val="24"/>
          <w:szCs w:val="24"/>
        </w:rPr>
        <w:t>Aguilera et al., 2007; Chen &amp; Roberts, 2010</w:t>
      </w:r>
      <w:r w:rsidR="00C86DB5">
        <w:rPr>
          <w:rFonts w:asciiTheme="majorBidi" w:hAnsiTheme="majorBidi" w:cstheme="majorBidi"/>
          <w:sz w:val="24"/>
          <w:szCs w:val="24"/>
        </w:rPr>
        <w:t xml:space="preserve">; </w:t>
      </w:r>
      <w:r w:rsidR="005F007C" w:rsidRPr="00BA29D9">
        <w:rPr>
          <w:rFonts w:asciiTheme="majorBidi" w:hAnsiTheme="majorBidi" w:cstheme="majorBidi"/>
          <w:sz w:val="24"/>
          <w:szCs w:val="24"/>
        </w:rPr>
        <w:t>Ntim &amp; Soobaroyen, 2013)</w:t>
      </w:r>
      <w:r w:rsidR="005F007C">
        <w:rPr>
          <w:rFonts w:asciiTheme="majorBidi" w:hAnsiTheme="majorBidi" w:cstheme="majorBidi"/>
          <w:sz w:val="24"/>
          <w:szCs w:val="24"/>
        </w:rPr>
        <w:t xml:space="preserve"> </w:t>
      </w:r>
      <w:r>
        <w:rPr>
          <w:rFonts w:asciiTheme="majorBidi" w:hAnsiTheme="majorBidi" w:cstheme="majorBidi"/>
          <w:sz w:val="24"/>
          <w:szCs w:val="24"/>
        </w:rPr>
        <w:t xml:space="preserve">have successfully </w:t>
      </w:r>
      <w:r w:rsidR="004367DF">
        <w:rPr>
          <w:rFonts w:asciiTheme="majorBidi" w:hAnsiTheme="majorBidi" w:cstheme="majorBidi"/>
          <w:sz w:val="24"/>
          <w:szCs w:val="24"/>
        </w:rPr>
        <w:t>applied</w:t>
      </w:r>
      <w:r>
        <w:rPr>
          <w:rFonts w:asciiTheme="majorBidi" w:hAnsiTheme="majorBidi" w:cstheme="majorBidi"/>
          <w:sz w:val="24"/>
          <w:szCs w:val="24"/>
        </w:rPr>
        <w:t xml:space="preserve"> neo-institutional theoretical perspective to</w:t>
      </w:r>
      <w:r w:rsidR="005F007C">
        <w:rPr>
          <w:rFonts w:asciiTheme="majorBidi" w:hAnsiTheme="majorBidi" w:cstheme="majorBidi"/>
          <w:sz w:val="24"/>
          <w:szCs w:val="24"/>
        </w:rPr>
        <w:t xml:space="preserve"> explain the d</w:t>
      </w:r>
      <w:r w:rsidR="00721CBF">
        <w:rPr>
          <w:rFonts w:asciiTheme="majorBidi" w:hAnsiTheme="majorBidi" w:cstheme="majorBidi"/>
          <w:sz w:val="24"/>
          <w:szCs w:val="24"/>
        </w:rPr>
        <w:t>iffusion</w:t>
      </w:r>
      <w:r w:rsidR="005F007C">
        <w:rPr>
          <w:rFonts w:asciiTheme="majorBidi" w:hAnsiTheme="majorBidi" w:cstheme="majorBidi"/>
          <w:sz w:val="24"/>
          <w:szCs w:val="24"/>
        </w:rPr>
        <w:t xml:space="preserve"> of a number of good practices among profitable organisations, including the </w:t>
      </w:r>
      <w:r w:rsidR="005F007C" w:rsidRPr="00BA29D9">
        <w:rPr>
          <w:rFonts w:asciiTheme="majorBidi" w:hAnsiTheme="majorBidi" w:cstheme="majorBidi"/>
          <w:sz w:val="24"/>
          <w:szCs w:val="24"/>
        </w:rPr>
        <w:t>implementation of</w:t>
      </w:r>
      <w:r w:rsidR="005F007C">
        <w:rPr>
          <w:rFonts w:asciiTheme="majorBidi" w:hAnsiTheme="majorBidi" w:cstheme="majorBidi"/>
          <w:sz w:val="24"/>
          <w:szCs w:val="24"/>
        </w:rPr>
        <w:t xml:space="preserve"> good</w:t>
      </w:r>
      <w:r w:rsidR="005F007C" w:rsidRPr="00BA29D9">
        <w:rPr>
          <w:rFonts w:asciiTheme="majorBidi" w:hAnsiTheme="majorBidi" w:cstheme="majorBidi"/>
          <w:sz w:val="24"/>
          <w:szCs w:val="24"/>
        </w:rPr>
        <w:t xml:space="preserve"> </w:t>
      </w:r>
      <w:r w:rsidR="005F007C">
        <w:rPr>
          <w:rFonts w:asciiTheme="majorBidi" w:hAnsiTheme="majorBidi" w:cstheme="majorBidi"/>
          <w:sz w:val="24"/>
          <w:szCs w:val="24"/>
        </w:rPr>
        <w:t>international accounting, governance and</w:t>
      </w:r>
      <w:r w:rsidR="005F007C" w:rsidRPr="00BA29D9">
        <w:rPr>
          <w:rFonts w:asciiTheme="majorBidi" w:hAnsiTheme="majorBidi" w:cstheme="majorBidi"/>
          <w:sz w:val="24"/>
          <w:szCs w:val="24"/>
        </w:rPr>
        <w:t xml:space="preserve"> CSR </w:t>
      </w:r>
      <w:r w:rsidR="005F007C">
        <w:rPr>
          <w:rFonts w:asciiTheme="majorBidi" w:hAnsiTheme="majorBidi" w:cstheme="majorBidi"/>
          <w:sz w:val="24"/>
          <w:szCs w:val="24"/>
        </w:rPr>
        <w:t xml:space="preserve">practices. </w:t>
      </w:r>
      <w:r w:rsidR="00721CBF">
        <w:rPr>
          <w:rFonts w:asciiTheme="majorBidi" w:hAnsiTheme="majorBidi" w:cstheme="majorBidi"/>
          <w:sz w:val="24"/>
          <w:szCs w:val="24"/>
        </w:rPr>
        <w:t>However, this theory</w:t>
      </w:r>
      <w:r w:rsidR="000C74BB" w:rsidRPr="00BA29D9">
        <w:rPr>
          <w:rFonts w:asciiTheme="majorBidi" w:hAnsiTheme="majorBidi" w:cstheme="majorBidi"/>
          <w:sz w:val="24"/>
          <w:szCs w:val="24"/>
        </w:rPr>
        <w:t xml:space="preserve"> has hardly been employed in</w:t>
      </w:r>
      <w:r w:rsidR="00721CBF">
        <w:rPr>
          <w:rFonts w:asciiTheme="majorBidi" w:hAnsiTheme="majorBidi" w:cstheme="majorBidi"/>
          <w:sz w:val="24"/>
          <w:szCs w:val="24"/>
        </w:rPr>
        <w:t xml:space="preserve"> studies </w:t>
      </w:r>
      <w:r w:rsidR="009518FC">
        <w:rPr>
          <w:rFonts w:asciiTheme="majorBidi" w:hAnsiTheme="majorBidi" w:cstheme="majorBidi"/>
          <w:sz w:val="24"/>
          <w:szCs w:val="24"/>
        </w:rPr>
        <w:t xml:space="preserve">that have been </w:t>
      </w:r>
      <w:r w:rsidR="00721CBF">
        <w:rPr>
          <w:rFonts w:asciiTheme="majorBidi" w:hAnsiTheme="majorBidi" w:cstheme="majorBidi"/>
          <w:sz w:val="24"/>
          <w:szCs w:val="24"/>
        </w:rPr>
        <w:t xml:space="preserve">conducted </w:t>
      </w:r>
      <w:r w:rsidR="009518FC">
        <w:rPr>
          <w:rFonts w:asciiTheme="majorBidi" w:hAnsiTheme="majorBidi" w:cstheme="majorBidi"/>
          <w:sz w:val="24"/>
          <w:szCs w:val="24"/>
        </w:rPr>
        <w:t>within</w:t>
      </w:r>
      <w:r w:rsidR="000C74BB" w:rsidRPr="00BA29D9">
        <w:rPr>
          <w:rFonts w:asciiTheme="majorBidi" w:hAnsiTheme="majorBidi" w:cstheme="majorBidi"/>
          <w:sz w:val="24"/>
          <w:szCs w:val="24"/>
        </w:rPr>
        <w:t xml:space="preserve"> non-</w:t>
      </w:r>
      <w:r w:rsidR="00721CBF">
        <w:rPr>
          <w:rFonts w:asciiTheme="majorBidi" w:hAnsiTheme="majorBidi" w:cstheme="majorBidi"/>
          <w:sz w:val="24"/>
          <w:szCs w:val="24"/>
        </w:rPr>
        <w:t>for-profit</w:t>
      </w:r>
      <w:r w:rsidR="000C74BB" w:rsidRPr="00BA29D9">
        <w:rPr>
          <w:rFonts w:asciiTheme="majorBidi" w:hAnsiTheme="majorBidi" w:cstheme="majorBidi"/>
          <w:sz w:val="24"/>
          <w:szCs w:val="24"/>
        </w:rPr>
        <w:t xml:space="preserve"> organisation</w:t>
      </w:r>
      <w:r w:rsidR="00721CBF">
        <w:rPr>
          <w:rFonts w:asciiTheme="majorBidi" w:hAnsiTheme="majorBidi" w:cstheme="majorBidi"/>
          <w:sz w:val="24"/>
          <w:szCs w:val="24"/>
        </w:rPr>
        <w:t>s</w:t>
      </w:r>
      <w:r w:rsidR="000C74BB" w:rsidRPr="00BA29D9">
        <w:rPr>
          <w:rFonts w:asciiTheme="majorBidi" w:hAnsiTheme="majorBidi" w:cstheme="majorBidi"/>
          <w:sz w:val="24"/>
          <w:szCs w:val="24"/>
        </w:rPr>
        <w:t>, especially HEIs, and this is principally relevant with regard to the rapid global diffusion of governance practices over the past decades (Ahrens &amp; Khalifa, 2015; Damayanthi &amp; Gooneratne, 2017</w:t>
      </w:r>
      <w:r w:rsidR="006E3A31">
        <w:rPr>
          <w:rFonts w:asciiTheme="majorBidi" w:hAnsiTheme="majorBidi" w:cstheme="majorBidi"/>
          <w:sz w:val="24"/>
          <w:szCs w:val="24"/>
        </w:rPr>
        <w:t xml:space="preserve">; </w:t>
      </w:r>
      <w:r w:rsidR="006E3A31" w:rsidRPr="00BA29D9">
        <w:rPr>
          <w:rFonts w:asciiTheme="majorBidi" w:hAnsiTheme="majorBidi" w:cstheme="majorBidi"/>
          <w:sz w:val="24"/>
          <w:szCs w:val="24"/>
        </w:rPr>
        <w:t>Leiter, 2005</w:t>
      </w:r>
      <w:r w:rsidR="000C74BB" w:rsidRPr="00BA29D9">
        <w:rPr>
          <w:rFonts w:asciiTheme="majorBidi" w:hAnsiTheme="majorBidi" w:cstheme="majorBidi"/>
          <w:sz w:val="24"/>
          <w:szCs w:val="24"/>
        </w:rPr>
        <w:t xml:space="preserve">). </w:t>
      </w:r>
      <w:r w:rsidR="00C06F65">
        <w:rPr>
          <w:rFonts w:asciiTheme="majorBidi" w:hAnsiTheme="majorBidi" w:cstheme="majorBidi"/>
          <w:sz w:val="24"/>
          <w:szCs w:val="24"/>
        </w:rPr>
        <w:t>This, arguably, impairs the current knowledge about the main institutional drivers of the adoption of good governance practices among HEIs</w:t>
      </w:r>
      <w:r w:rsidR="006A25BF">
        <w:rPr>
          <w:rStyle w:val="FootnoteReference"/>
          <w:rFonts w:asciiTheme="majorBidi" w:hAnsiTheme="majorBidi" w:cstheme="majorBidi"/>
          <w:sz w:val="24"/>
          <w:szCs w:val="24"/>
        </w:rPr>
        <w:footnoteReference w:id="3"/>
      </w:r>
      <w:r w:rsidR="00C06F65">
        <w:rPr>
          <w:rFonts w:asciiTheme="majorBidi" w:hAnsiTheme="majorBidi" w:cstheme="majorBidi"/>
          <w:sz w:val="24"/>
          <w:szCs w:val="24"/>
        </w:rPr>
        <w:t xml:space="preserve">. </w:t>
      </w:r>
    </w:p>
    <w:p w14:paraId="5B8B74F5" w14:textId="6361A36D" w:rsidR="007204D9" w:rsidRDefault="000C74BB" w:rsidP="00C63EF2">
      <w:pPr>
        <w:spacing w:after="0" w:line="480" w:lineRule="auto"/>
        <w:ind w:firstLine="426"/>
        <w:jc w:val="both"/>
        <w:rPr>
          <w:rFonts w:asciiTheme="majorBidi" w:hAnsiTheme="majorBidi" w:cstheme="majorBidi"/>
          <w:sz w:val="24"/>
          <w:szCs w:val="24"/>
        </w:rPr>
      </w:pPr>
      <w:r w:rsidRPr="00BA29D9">
        <w:rPr>
          <w:rFonts w:asciiTheme="majorBidi" w:hAnsiTheme="majorBidi" w:cstheme="majorBidi"/>
          <w:sz w:val="24"/>
          <w:szCs w:val="24"/>
        </w:rPr>
        <w:lastRenderedPageBreak/>
        <w:t>Parker (2011) and Taylor (2013) argue that new public management that reflect</w:t>
      </w:r>
      <w:r w:rsidR="00FA3A7F">
        <w:rPr>
          <w:rFonts w:asciiTheme="majorBidi" w:hAnsiTheme="majorBidi" w:cstheme="majorBidi"/>
          <w:sz w:val="24"/>
          <w:szCs w:val="24"/>
        </w:rPr>
        <w:t>s</w:t>
      </w:r>
      <w:r w:rsidRPr="00BA29D9">
        <w:rPr>
          <w:rFonts w:asciiTheme="majorBidi" w:hAnsiTheme="majorBidi" w:cstheme="majorBidi"/>
          <w:sz w:val="24"/>
          <w:szCs w:val="24"/>
        </w:rPr>
        <w:t xml:space="preserve"> corporate-like institutional structures, management practices and accounting practices (Martin-Sardesai et al., 2017), the fast changes and numerous reforms have similarly resulted in a growing “corporatisation” and “commercialisation” of HEIs. Debatably, there is opportunity to expand our perception of the institutional antecedents and clarifications for the rapid proliferation of governance practices among HEIs (Soobaroyen et al.</w:t>
      </w:r>
      <w:r>
        <w:rPr>
          <w:rFonts w:asciiTheme="majorBidi" w:hAnsiTheme="majorBidi" w:cstheme="majorBidi"/>
          <w:sz w:val="24"/>
          <w:szCs w:val="24"/>
        </w:rPr>
        <w:t xml:space="preserve">, </w:t>
      </w:r>
      <w:r w:rsidRPr="00BA29D9">
        <w:rPr>
          <w:rFonts w:asciiTheme="majorBidi" w:hAnsiTheme="majorBidi" w:cstheme="majorBidi"/>
          <w:sz w:val="24"/>
          <w:szCs w:val="24"/>
        </w:rPr>
        <w:t>2019). Our study</w:t>
      </w:r>
      <w:r w:rsidR="00C06F65">
        <w:rPr>
          <w:rFonts w:asciiTheme="majorBidi" w:hAnsiTheme="majorBidi" w:cstheme="majorBidi"/>
          <w:sz w:val="24"/>
          <w:szCs w:val="24"/>
        </w:rPr>
        <w:t>, therefore,</w:t>
      </w:r>
      <w:r w:rsidRPr="00BA29D9">
        <w:rPr>
          <w:rFonts w:asciiTheme="majorBidi" w:hAnsiTheme="majorBidi" w:cstheme="majorBidi"/>
          <w:sz w:val="24"/>
          <w:szCs w:val="24"/>
        </w:rPr>
        <w:t xml:space="preserve"> seeks to expand and </w:t>
      </w:r>
      <w:r w:rsidR="00721CBF">
        <w:rPr>
          <w:rFonts w:asciiTheme="majorBidi" w:hAnsiTheme="majorBidi" w:cstheme="majorBidi"/>
          <w:sz w:val="24"/>
          <w:szCs w:val="24"/>
        </w:rPr>
        <w:t>employ</w:t>
      </w:r>
      <w:r w:rsidR="008A0E12">
        <w:rPr>
          <w:rFonts w:asciiTheme="majorBidi" w:hAnsiTheme="majorBidi" w:cstheme="majorBidi"/>
          <w:sz w:val="24"/>
          <w:szCs w:val="24"/>
        </w:rPr>
        <w:t xml:space="preserve"> the</w:t>
      </w:r>
      <w:r w:rsidR="00721CBF">
        <w:rPr>
          <w:rFonts w:asciiTheme="majorBidi" w:hAnsiTheme="majorBidi" w:cstheme="majorBidi"/>
          <w:sz w:val="24"/>
          <w:szCs w:val="24"/>
        </w:rPr>
        <w:t xml:space="preserve"> </w:t>
      </w:r>
      <w:r w:rsidR="008A0E12">
        <w:rPr>
          <w:rFonts w:asciiTheme="majorBidi" w:hAnsiTheme="majorBidi" w:cstheme="majorBidi"/>
          <w:sz w:val="24"/>
          <w:szCs w:val="24"/>
        </w:rPr>
        <w:t xml:space="preserve">legitimisation and efficiency perspectives of </w:t>
      </w:r>
      <w:r w:rsidRPr="00BA29D9">
        <w:rPr>
          <w:rFonts w:asciiTheme="majorBidi" w:hAnsiTheme="majorBidi" w:cstheme="majorBidi"/>
          <w:sz w:val="24"/>
          <w:szCs w:val="24"/>
        </w:rPr>
        <w:t xml:space="preserve">neo-institutional </w:t>
      </w:r>
      <w:r w:rsidR="008A0E12">
        <w:rPr>
          <w:rFonts w:asciiTheme="majorBidi" w:hAnsiTheme="majorBidi" w:cstheme="majorBidi"/>
          <w:sz w:val="24"/>
          <w:szCs w:val="24"/>
        </w:rPr>
        <w:t xml:space="preserve">theory </w:t>
      </w:r>
      <w:r w:rsidRPr="00BA29D9">
        <w:rPr>
          <w:rFonts w:asciiTheme="majorBidi" w:hAnsiTheme="majorBidi" w:cstheme="majorBidi"/>
          <w:sz w:val="24"/>
          <w:szCs w:val="24"/>
        </w:rPr>
        <w:t xml:space="preserve">to </w:t>
      </w:r>
      <w:r w:rsidR="00721CBF">
        <w:rPr>
          <w:rFonts w:asciiTheme="majorBidi" w:hAnsiTheme="majorBidi" w:cstheme="majorBidi"/>
          <w:sz w:val="24"/>
          <w:szCs w:val="24"/>
        </w:rPr>
        <w:t xml:space="preserve">explain the </w:t>
      </w:r>
      <w:r w:rsidR="00C06F65">
        <w:rPr>
          <w:rFonts w:asciiTheme="majorBidi" w:hAnsiTheme="majorBidi" w:cstheme="majorBidi"/>
          <w:sz w:val="24"/>
          <w:szCs w:val="24"/>
        </w:rPr>
        <w:t>impact of institutional actors (</w:t>
      </w:r>
      <w:r w:rsidR="00923A7A">
        <w:rPr>
          <w:rFonts w:asciiTheme="majorBidi" w:hAnsiTheme="majorBidi" w:cstheme="majorBidi"/>
          <w:sz w:val="24"/>
          <w:szCs w:val="24"/>
        </w:rPr>
        <w:t>vice-chancellors</w:t>
      </w:r>
      <w:r w:rsidR="00C06F65">
        <w:rPr>
          <w:rFonts w:asciiTheme="majorBidi" w:hAnsiTheme="majorBidi" w:cstheme="majorBidi"/>
          <w:sz w:val="24"/>
          <w:szCs w:val="24"/>
        </w:rPr>
        <w:t xml:space="preserve"> </w:t>
      </w:r>
      <w:r w:rsidR="009869EC">
        <w:rPr>
          <w:rFonts w:asciiTheme="majorBidi" w:hAnsiTheme="majorBidi" w:cstheme="majorBidi"/>
          <w:sz w:val="24"/>
          <w:szCs w:val="24"/>
        </w:rPr>
        <w:t xml:space="preserve">– similar to college/university presidents/rectors in the US/rest of the world </w:t>
      </w:r>
      <w:r w:rsidR="00C06F65">
        <w:rPr>
          <w:rFonts w:asciiTheme="majorBidi" w:hAnsiTheme="majorBidi" w:cstheme="majorBidi"/>
          <w:sz w:val="24"/>
          <w:szCs w:val="24"/>
        </w:rPr>
        <w:t>and governing board</w:t>
      </w:r>
      <w:r w:rsidR="00E233A2">
        <w:rPr>
          <w:rFonts w:asciiTheme="majorBidi" w:hAnsiTheme="majorBidi" w:cstheme="majorBidi"/>
          <w:sz w:val="24"/>
          <w:szCs w:val="24"/>
        </w:rPr>
        <w:t xml:space="preserve"> characteristics</w:t>
      </w:r>
      <w:r w:rsidR="00C06F65">
        <w:rPr>
          <w:rFonts w:asciiTheme="majorBidi" w:hAnsiTheme="majorBidi" w:cstheme="majorBidi"/>
          <w:sz w:val="24"/>
          <w:szCs w:val="24"/>
        </w:rPr>
        <w:t xml:space="preserve">) on </w:t>
      </w:r>
      <w:r w:rsidR="00412EA9">
        <w:rPr>
          <w:rFonts w:asciiTheme="majorBidi" w:hAnsiTheme="majorBidi" w:cstheme="majorBidi"/>
          <w:sz w:val="24"/>
          <w:szCs w:val="24"/>
        </w:rPr>
        <w:t>compliance/disclosure of</w:t>
      </w:r>
      <w:r w:rsidR="00C06F65">
        <w:rPr>
          <w:rFonts w:asciiTheme="majorBidi" w:hAnsiTheme="majorBidi" w:cstheme="majorBidi"/>
          <w:sz w:val="24"/>
          <w:szCs w:val="24"/>
        </w:rPr>
        <w:t xml:space="preserve"> </w:t>
      </w:r>
      <w:r w:rsidR="00AD2D81">
        <w:rPr>
          <w:rFonts w:asciiTheme="majorBidi" w:hAnsiTheme="majorBidi" w:cstheme="majorBidi"/>
          <w:sz w:val="24"/>
          <w:szCs w:val="24"/>
        </w:rPr>
        <w:t xml:space="preserve">good </w:t>
      </w:r>
      <w:r w:rsidR="00C06F65">
        <w:rPr>
          <w:rFonts w:asciiTheme="majorBidi" w:hAnsiTheme="majorBidi" w:cstheme="majorBidi"/>
          <w:sz w:val="24"/>
          <w:szCs w:val="24"/>
        </w:rPr>
        <w:t>governance practices among UK HEIs.</w:t>
      </w:r>
      <w:r w:rsidR="00AD7B74">
        <w:rPr>
          <w:rFonts w:asciiTheme="majorBidi" w:hAnsiTheme="majorBidi" w:cstheme="majorBidi"/>
          <w:sz w:val="24"/>
          <w:szCs w:val="24"/>
        </w:rPr>
        <w:t xml:space="preserve"> </w:t>
      </w:r>
      <w:bookmarkStart w:id="1" w:name="_Hlk49246338"/>
    </w:p>
    <w:p w14:paraId="6144B017" w14:textId="4FACC546" w:rsidR="0095527E" w:rsidRDefault="00AD7B74" w:rsidP="00C131FE">
      <w:pPr>
        <w:spacing w:after="0" w:line="480" w:lineRule="auto"/>
        <w:ind w:firstLine="426"/>
        <w:jc w:val="both"/>
        <w:rPr>
          <w:rFonts w:asciiTheme="majorBidi" w:hAnsiTheme="majorBidi" w:cstheme="majorBidi"/>
          <w:sz w:val="24"/>
          <w:szCs w:val="24"/>
          <w:lang w:val="en-AU"/>
        </w:rPr>
      </w:pPr>
      <w:r>
        <w:rPr>
          <w:rFonts w:asciiTheme="majorBidi" w:hAnsiTheme="majorBidi" w:cstheme="majorBidi"/>
          <w:sz w:val="24"/>
          <w:szCs w:val="24"/>
        </w:rPr>
        <w:t xml:space="preserve">We employ the legitimisation and efficiency perspectives </w:t>
      </w:r>
      <w:r w:rsidR="00C82185">
        <w:rPr>
          <w:rFonts w:asciiTheme="majorBidi" w:hAnsiTheme="majorBidi" w:cstheme="majorBidi"/>
          <w:sz w:val="24"/>
          <w:szCs w:val="24"/>
        </w:rPr>
        <w:t xml:space="preserve">of </w:t>
      </w:r>
      <w:r w:rsidR="0083504E">
        <w:rPr>
          <w:rFonts w:asciiTheme="majorBidi" w:hAnsiTheme="majorBidi" w:cstheme="majorBidi"/>
          <w:sz w:val="24"/>
          <w:szCs w:val="24"/>
        </w:rPr>
        <w:t>neo-</w:t>
      </w:r>
      <w:r w:rsidR="00C82185">
        <w:rPr>
          <w:rFonts w:asciiTheme="majorBidi" w:hAnsiTheme="majorBidi" w:cstheme="majorBidi"/>
          <w:sz w:val="24"/>
          <w:szCs w:val="24"/>
        </w:rPr>
        <w:t xml:space="preserve">institutional theory </w:t>
      </w:r>
      <w:r>
        <w:rPr>
          <w:rFonts w:asciiTheme="majorBidi" w:hAnsiTheme="majorBidi" w:cstheme="majorBidi"/>
          <w:sz w:val="24"/>
          <w:szCs w:val="24"/>
        </w:rPr>
        <w:t xml:space="preserve">in this study due to </w:t>
      </w:r>
      <w:r w:rsidR="00C82185">
        <w:rPr>
          <w:rFonts w:asciiTheme="majorBidi" w:hAnsiTheme="majorBidi" w:cstheme="majorBidi"/>
          <w:sz w:val="24"/>
          <w:szCs w:val="24"/>
        </w:rPr>
        <w:t xml:space="preserve">the following </w:t>
      </w:r>
      <w:r>
        <w:rPr>
          <w:rFonts w:asciiTheme="majorBidi" w:hAnsiTheme="majorBidi" w:cstheme="majorBidi"/>
          <w:sz w:val="24"/>
          <w:szCs w:val="24"/>
        </w:rPr>
        <w:t xml:space="preserve">reasons. First, </w:t>
      </w:r>
      <w:r w:rsidR="00C82185">
        <w:rPr>
          <w:rFonts w:asciiTheme="majorBidi" w:hAnsiTheme="majorBidi" w:cstheme="majorBidi"/>
          <w:sz w:val="24"/>
          <w:szCs w:val="24"/>
        </w:rPr>
        <w:t>traditional institutional theory only discusses the processes, procedures and structures</w:t>
      </w:r>
      <w:r w:rsidR="00C50B77">
        <w:rPr>
          <w:rFonts w:asciiTheme="majorBidi" w:hAnsiTheme="majorBidi" w:cstheme="majorBidi"/>
          <w:sz w:val="24"/>
          <w:szCs w:val="24"/>
        </w:rPr>
        <w:t xml:space="preserve"> of </w:t>
      </w:r>
      <w:r w:rsidR="00C50B77" w:rsidRPr="00C50B77">
        <w:rPr>
          <w:rFonts w:asciiTheme="majorBidi" w:hAnsiTheme="majorBidi" w:cstheme="majorBidi"/>
          <w:sz w:val="24"/>
          <w:szCs w:val="24"/>
        </w:rPr>
        <w:t>institutionali</w:t>
      </w:r>
      <w:r w:rsidR="00C118FD">
        <w:rPr>
          <w:rFonts w:asciiTheme="majorBidi" w:hAnsiTheme="majorBidi" w:cstheme="majorBidi"/>
          <w:sz w:val="24"/>
          <w:szCs w:val="24"/>
        </w:rPr>
        <w:t>s</w:t>
      </w:r>
      <w:r w:rsidR="00C50B77" w:rsidRPr="00C50B77">
        <w:rPr>
          <w:rFonts w:asciiTheme="majorBidi" w:hAnsiTheme="majorBidi" w:cstheme="majorBidi"/>
          <w:sz w:val="24"/>
          <w:szCs w:val="24"/>
        </w:rPr>
        <w:t>ation</w:t>
      </w:r>
      <w:r w:rsidR="00C82185">
        <w:rPr>
          <w:rFonts w:asciiTheme="majorBidi" w:hAnsiTheme="majorBidi" w:cstheme="majorBidi"/>
          <w:sz w:val="24"/>
          <w:szCs w:val="24"/>
        </w:rPr>
        <w:t xml:space="preserve">, but it does not provide clear classification of forces </w:t>
      </w:r>
      <w:r w:rsidR="005F2730">
        <w:rPr>
          <w:rFonts w:asciiTheme="majorBidi" w:hAnsiTheme="majorBidi" w:cstheme="majorBidi"/>
          <w:sz w:val="24"/>
          <w:szCs w:val="24"/>
        </w:rPr>
        <w:t>influencing the diffusion of good practices</w:t>
      </w:r>
      <w:r w:rsidR="007C2551">
        <w:rPr>
          <w:rFonts w:asciiTheme="majorBidi" w:hAnsiTheme="majorBidi" w:cstheme="majorBidi"/>
          <w:sz w:val="24"/>
          <w:szCs w:val="24"/>
        </w:rPr>
        <w:t xml:space="preserve"> (</w:t>
      </w:r>
      <w:r w:rsidR="001700CD" w:rsidRPr="007D35A9">
        <w:rPr>
          <w:rFonts w:asciiTheme="majorBidi" w:eastAsia="Times New Roman" w:hAnsiTheme="majorBidi" w:cstheme="majorBidi"/>
          <w:sz w:val="24"/>
          <w:szCs w:val="24"/>
          <w:lang w:eastAsia="en-GB"/>
        </w:rPr>
        <w:t>Munir, 2019)</w:t>
      </w:r>
      <w:r w:rsidR="005F2730" w:rsidRPr="007D35A9">
        <w:rPr>
          <w:rFonts w:asciiTheme="majorBidi" w:hAnsiTheme="majorBidi" w:cstheme="majorBidi"/>
          <w:sz w:val="24"/>
          <w:szCs w:val="24"/>
        </w:rPr>
        <w:t>.</w:t>
      </w:r>
      <w:r w:rsidR="005F2730">
        <w:rPr>
          <w:rFonts w:asciiTheme="majorBidi" w:hAnsiTheme="majorBidi" w:cstheme="majorBidi"/>
          <w:sz w:val="24"/>
          <w:szCs w:val="24"/>
        </w:rPr>
        <w:t xml:space="preserve"> In contrast, neo-institutional theory is much more explicit about the institutional forces (coercive, normative and mimetic pressures)</w:t>
      </w:r>
      <w:r w:rsidR="00746C2B">
        <w:rPr>
          <w:rFonts w:asciiTheme="majorBidi" w:hAnsiTheme="majorBidi" w:cstheme="majorBidi"/>
          <w:sz w:val="24"/>
          <w:szCs w:val="24"/>
        </w:rPr>
        <w:t xml:space="preserve"> and provides a clear explanation about why organisations tend to </w:t>
      </w:r>
      <w:r w:rsidR="007C2551">
        <w:rPr>
          <w:rFonts w:asciiTheme="majorBidi" w:hAnsiTheme="majorBidi" w:cstheme="majorBidi"/>
          <w:sz w:val="24"/>
          <w:szCs w:val="24"/>
        </w:rPr>
        <w:t>conform to</w:t>
      </w:r>
      <w:r w:rsidR="00746C2B">
        <w:rPr>
          <w:rFonts w:asciiTheme="majorBidi" w:hAnsiTheme="majorBidi" w:cstheme="majorBidi"/>
          <w:sz w:val="24"/>
          <w:szCs w:val="24"/>
        </w:rPr>
        <w:t xml:space="preserve"> good practices</w:t>
      </w:r>
      <w:r w:rsidR="007C2551">
        <w:rPr>
          <w:rFonts w:asciiTheme="majorBidi" w:hAnsiTheme="majorBidi" w:cstheme="majorBidi"/>
          <w:sz w:val="24"/>
          <w:szCs w:val="24"/>
        </w:rPr>
        <w:t xml:space="preserve"> (Scott, 1987; </w:t>
      </w:r>
      <w:r w:rsidR="007C2551" w:rsidRPr="005253EC">
        <w:rPr>
          <w:rFonts w:asciiTheme="majorBidi" w:hAnsiTheme="majorBidi" w:cstheme="majorBidi"/>
          <w:sz w:val="24"/>
          <w:szCs w:val="24"/>
        </w:rPr>
        <w:t>Zattoni &amp; Cuomo, 2008</w:t>
      </w:r>
      <w:r w:rsidR="007C2551">
        <w:rPr>
          <w:rFonts w:asciiTheme="majorBidi" w:hAnsiTheme="majorBidi" w:cstheme="majorBidi"/>
          <w:sz w:val="24"/>
          <w:szCs w:val="24"/>
        </w:rPr>
        <w:t>)</w:t>
      </w:r>
      <w:r w:rsidR="00746C2B">
        <w:rPr>
          <w:rFonts w:asciiTheme="majorBidi" w:hAnsiTheme="majorBidi" w:cstheme="majorBidi"/>
          <w:sz w:val="24"/>
          <w:szCs w:val="24"/>
        </w:rPr>
        <w:t>. According to Scott</w:t>
      </w:r>
      <w:r w:rsidR="0083504E">
        <w:rPr>
          <w:rFonts w:asciiTheme="majorBidi" w:hAnsiTheme="majorBidi" w:cstheme="majorBidi"/>
          <w:sz w:val="24"/>
          <w:szCs w:val="24"/>
        </w:rPr>
        <w:t xml:space="preserve"> (</w:t>
      </w:r>
      <w:r w:rsidR="00746C2B">
        <w:rPr>
          <w:rFonts w:asciiTheme="majorBidi" w:hAnsiTheme="majorBidi" w:cstheme="majorBidi"/>
          <w:sz w:val="24"/>
          <w:szCs w:val="24"/>
        </w:rPr>
        <w:t>1987, p. 498) “</w:t>
      </w:r>
      <w:r w:rsidR="0083504E" w:rsidRPr="0083504E">
        <w:rPr>
          <w:rFonts w:asciiTheme="majorBidi" w:hAnsiTheme="majorBidi" w:cstheme="majorBidi"/>
          <w:i/>
          <w:iCs/>
          <w:sz w:val="24"/>
          <w:szCs w:val="24"/>
          <w:lang w:val="en-AU"/>
        </w:rPr>
        <w:t>Organisations conform because they are rewarded for doing so through increased legitimacy, resources and survival capabilities</w:t>
      </w:r>
      <w:r w:rsidR="0083504E">
        <w:rPr>
          <w:rFonts w:asciiTheme="majorBidi" w:hAnsiTheme="majorBidi" w:cstheme="majorBidi"/>
          <w:sz w:val="24"/>
          <w:szCs w:val="24"/>
          <w:lang w:val="en-AU"/>
        </w:rPr>
        <w:t xml:space="preserve">”. </w:t>
      </w:r>
    </w:p>
    <w:p w14:paraId="76E17A0F" w14:textId="742B2FC9" w:rsidR="00971236" w:rsidRPr="0095527E" w:rsidRDefault="0095527E" w:rsidP="00321B4A">
      <w:pPr>
        <w:spacing w:after="0" w:line="480" w:lineRule="auto"/>
        <w:jc w:val="both"/>
        <w:rPr>
          <w:rFonts w:asciiTheme="majorBidi" w:hAnsiTheme="majorBidi" w:cstheme="majorBidi"/>
          <w:sz w:val="24"/>
          <w:szCs w:val="24"/>
          <w:lang w:val="en-AU"/>
        </w:rPr>
      </w:pPr>
      <w:r>
        <w:rPr>
          <w:rFonts w:asciiTheme="majorBidi" w:hAnsiTheme="majorBidi" w:cstheme="majorBidi"/>
          <w:sz w:val="24"/>
          <w:szCs w:val="24"/>
          <w:lang w:val="en-AU"/>
        </w:rPr>
        <w:lastRenderedPageBreak/>
        <w:t xml:space="preserve">      </w:t>
      </w:r>
      <w:r w:rsidR="0083504E">
        <w:rPr>
          <w:rFonts w:asciiTheme="majorBidi" w:hAnsiTheme="majorBidi" w:cstheme="majorBidi"/>
          <w:sz w:val="24"/>
          <w:szCs w:val="24"/>
        </w:rPr>
        <w:t xml:space="preserve">Second, </w:t>
      </w:r>
      <w:r w:rsidR="007C2551">
        <w:rPr>
          <w:rFonts w:asciiTheme="majorBidi" w:hAnsiTheme="majorBidi" w:cstheme="majorBidi"/>
          <w:sz w:val="24"/>
          <w:szCs w:val="24"/>
        </w:rPr>
        <w:t xml:space="preserve">and based on the definition of Scott (1987), </w:t>
      </w:r>
      <w:r w:rsidR="00AD7B74">
        <w:rPr>
          <w:rFonts w:asciiTheme="majorBidi" w:hAnsiTheme="majorBidi" w:cstheme="majorBidi"/>
          <w:sz w:val="24"/>
          <w:szCs w:val="24"/>
        </w:rPr>
        <w:t xml:space="preserve">institutional </w:t>
      </w:r>
      <w:r w:rsidR="00D03ED8" w:rsidRPr="00BA29D9">
        <w:rPr>
          <w:rFonts w:asciiTheme="majorBidi" w:hAnsiTheme="majorBidi" w:cstheme="majorBidi"/>
          <w:sz w:val="24"/>
          <w:szCs w:val="24"/>
        </w:rPr>
        <w:t>theorists (DiMaggio &amp; Powell, 1983, 1991;</w:t>
      </w:r>
      <w:r w:rsidR="00D03ED8">
        <w:rPr>
          <w:rFonts w:asciiTheme="majorBidi" w:hAnsiTheme="majorBidi" w:cstheme="majorBidi"/>
          <w:sz w:val="24"/>
          <w:szCs w:val="24"/>
        </w:rPr>
        <w:t xml:space="preserve"> </w:t>
      </w:r>
      <w:r w:rsidR="00D03ED8" w:rsidRPr="005253EC">
        <w:rPr>
          <w:rFonts w:asciiTheme="majorBidi" w:hAnsiTheme="majorBidi" w:cstheme="majorBidi"/>
          <w:sz w:val="24"/>
          <w:szCs w:val="24"/>
        </w:rPr>
        <w:t>Meyer &amp; Rowan, 1977</w:t>
      </w:r>
      <w:r w:rsidR="00D03ED8">
        <w:rPr>
          <w:rFonts w:asciiTheme="majorBidi" w:hAnsiTheme="majorBidi" w:cstheme="majorBidi"/>
          <w:sz w:val="24"/>
          <w:szCs w:val="24"/>
        </w:rPr>
        <w:t>;</w:t>
      </w:r>
      <w:r w:rsidR="00D03ED8" w:rsidRPr="00BA29D9">
        <w:rPr>
          <w:rFonts w:asciiTheme="majorBidi" w:hAnsiTheme="majorBidi" w:cstheme="majorBidi"/>
          <w:sz w:val="24"/>
          <w:szCs w:val="24"/>
        </w:rPr>
        <w:t xml:space="preserve"> Scott, 1987, 20</w:t>
      </w:r>
      <w:r w:rsidR="00DB71D2">
        <w:rPr>
          <w:rFonts w:asciiTheme="majorBidi" w:hAnsiTheme="majorBidi" w:cstheme="majorBidi"/>
          <w:sz w:val="24"/>
          <w:szCs w:val="24"/>
        </w:rPr>
        <w:t>1</w:t>
      </w:r>
      <w:r w:rsidR="00F55D67">
        <w:rPr>
          <w:rFonts w:asciiTheme="majorBidi" w:hAnsiTheme="majorBidi" w:cstheme="majorBidi"/>
          <w:sz w:val="24"/>
          <w:szCs w:val="24"/>
        </w:rPr>
        <w:t>4</w:t>
      </w:r>
      <w:r w:rsidR="00D03ED8" w:rsidRPr="00BA29D9">
        <w:rPr>
          <w:rFonts w:asciiTheme="majorBidi" w:hAnsiTheme="majorBidi" w:cstheme="majorBidi"/>
          <w:sz w:val="24"/>
          <w:szCs w:val="24"/>
        </w:rPr>
        <w:t>)</w:t>
      </w:r>
      <w:r w:rsidR="00D03ED8">
        <w:rPr>
          <w:rFonts w:asciiTheme="majorBidi" w:hAnsiTheme="majorBidi" w:cstheme="majorBidi"/>
          <w:sz w:val="24"/>
          <w:szCs w:val="24"/>
        </w:rPr>
        <w:t xml:space="preserve"> argue</w:t>
      </w:r>
      <w:r w:rsidR="00AD7B74">
        <w:rPr>
          <w:rFonts w:asciiTheme="majorBidi" w:hAnsiTheme="majorBidi" w:cstheme="majorBidi"/>
          <w:sz w:val="24"/>
          <w:szCs w:val="24"/>
        </w:rPr>
        <w:t xml:space="preserve"> that </w:t>
      </w:r>
      <w:r w:rsidR="00EA4E7D">
        <w:rPr>
          <w:rFonts w:asciiTheme="majorBidi" w:hAnsiTheme="majorBidi" w:cstheme="majorBidi"/>
          <w:sz w:val="24"/>
          <w:szCs w:val="24"/>
        </w:rPr>
        <w:t xml:space="preserve">there are two main reasons that can force </w:t>
      </w:r>
      <w:r w:rsidR="00DD29E8">
        <w:rPr>
          <w:rFonts w:asciiTheme="majorBidi" w:hAnsiTheme="majorBidi" w:cstheme="majorBidi"/>
          <w:sz w:val="24"/>
          <w:szCs w:val="24"/>
        </w:rPr>
        <w:t>organisations</w:t>
      </w:r>
      <w:r w:rsidR="00EA4E7D">
        <w:rPr>
          <w:rFonts w:asciiTheme="majorBidi" w:hAnsiTheme="majorBidi" w:cstheme="majorBidi"/>
          <w:sz w:val="24"/>
          <w:szCs w:val="24"/>
        </w:rPr>
        <w:t xml:space="preserve"> to commit to good practices</w:t>
      </w:r>
      <w:r w:rsidR="00615141">
        <w:rPr>
          <w:rFonts w:asciiTheme="majorBidi" w:hAnsiTheme="majorBidi" w:cstheme="majorBidi"/>
          <w:sz w:val="24"/>
          <w:szCs w:val="24"/>
        </w:rPr>
        <w:t xml:space="preserve"> which are</w:t>
      </w:r>
      <w:r w:rsidR="00EA4E7D">
        <w:rPr>
          <w:rFonts w:asciiTheme="majorBidi" w:hAnsiTheme="majorBidi" w:cstheme="majorBidi"/>
          <w:sz w:val="24"/>
          <w:szCs w:val="24"/>
        </w:rPr>
        <w:t>; (i) instrumental</w:t>
      </w:r>
      <w:r w:rsidR="00DD29E8">
        <w:rPr>
          <w:rFonts w:asciiTheme="majorBidi" w:hAnsiTheme="majorBidi" w:cstheme="majorBidi"/>
          <w:sz w:val="24"/>
          <w:szCs w:val="24"/>
        </w:rPr>
        <w:t xml:space="preserve"> (</w:t>
      </w:r>
      <w:r w:rsidR="00EA4E7D">
        <w:rPr>
          <w:rFonts w:asciiTheme="majorBidi" w:hAnsiTheme="majorBidi" w:cstheme="majorBidi"/>
          <w:sz w:val="24"/>
          <w:szCs w:val="24"/>
        </w:rPr>
        <w:t>economic efficiency</w:t>
      </w:r>
      <w:r w:rsidR="00D03ED8">
        <w:rPr>
          <w:rFonts w:asciiTheme="majorBidi" w:hAnsiTheme="majorBidi" w:cstheme="majorBidi"/>
          <w:sz w:val="24"/>
          <w:szCs w:val="24"/>
        </w:rPr>
        <w:t xml:space="preserve">); </w:t>
      </w:r>
      <w:r w:rsidR="00DD29E8">
        <w:rPr>
          <w:rFonts w:asciiTheme="majorBidi" w:hAnsiTheme="majorBidi" w:cstheme="majorBidi"/>
          <w:sz w:val="24"/>
          <w:szCs w:val="24"/>
        </w:rPr>
        <w:t xml:space="preserve">and </w:t>
      </w:r>
      <w:r w:rsidR="00FB4DF3">
        <w:rPr>
          <w:rFonts w:asciiTheme="majorBidi" w:hAnsiTheme="majorBidi" w:cstheme="majorBidi"/>
          <w:sz w:val="24"/>
          <w:szCs w:val="24"/>
        </w:rPr>
        <w:t xml:space="preserve">(ii) </w:t>
      </w:r>
      <w:r w:rsidR="00DD29E8">
        <w:rPr>
          <w:rFonts w:asciiTheme="majorBidi" w:hAnsiTheme="majorBidi" w:cstheme="majorBidi"/>
          <w:sz w:val="24"/>
          <w:szCs w:val="24"/>
        </w:rPr>
        <w:t>moral/relational</w:t>
      </w:r>
      <w:r w:rsidR="00FB4DF3">
        <w:rPr>
          <w:rFonts w:asciiTheme="majorBidi" w:hAnsiTheme="majorBidi" w:cstheme="majorBidi"/>
          <w:sz w:val="24"/>
          <w:szCs w:val="24"/>
        </w:rPr>
        <w:t xml:space="preserve"> (</w:t>
      </w:r>
      <w:r w:rsidR="00DD29E8">
        <w:rPr>
          <w:rFonts w:asciiTheme="majorBidi" w:hAnsiTheme="majorBidi" w:cstheme="majorBidi"/>
          <w:sz w:val="24"/>
          <w:szCs w:val="24"/>
        </w:rPr>
        <w:t>social legitimacy</w:t>
      </w:r>
      <w:r w:rsidR="00FB4DF3">
        <w:rPr>
          <w:rFonts w:asciiTheme="majorBidi" w:hAnsiTheme="majorBidi" w:cstheme="majorBidi"/>
          <w:sz w:val="24"/>
          <w:szCs w:val="24"/>
        </w:rPr>
        <w:t xml:space="preserve">). </w:t>
      </w:r>
      <w:r w:rsidR="00A5449A">
        <w:rPr>
          <w:rFonts w:asciiTheme="majorBidi" w:hAnsiTheme="majorBidi" w:cstheme="majorBidi"/>
          <w:sz w:val="24"/>
          <w:szCs w:val="24"/>
        </w:rPr>
        <w:t xml:space="preserve">Finally, and </w:t>
      </w:r>
      <w:r w:rsidR="00A5449A" w:rsidRPr="00BA29D9">
        <w:rPr>
          <w:rFonts w:asciiTheme="majorBidi" w:hAnsiTheme="majorBidi" w:cstheme="majorBidi"/>
          <w:sz w:val="24"/>
          <w:szCs w:val="24"/>
        </w:rPr>
        <w:t xml:space="preserve">due to the </w:t>
      </w:r>
      <w:r w:rsidR="00A5449A" w:rsidRPr="00A473E6">
        <w:rPr>
          <w:rFonts w:asciiTheme="majorBidi" w:hAnsiTheme="majorBidi" w:cstheme="majorBidi"/>
          <w:sz w:val="24"/>
          <w:szCs w:val="24"/>
        </w:rPr>
        <w:t>multif</w:t>
      </w:r>
      <w:r w:rsidR="00A5449A">
        <w:rPr>
          <w:rFonts w:asciiTheme="majorBidi" w:hAnsiTheme="majorBidi" w:cstheme="majorBidi"/>
          <w:sz w:val="24"/>
          <w:szCs w:val="24"/>
        </w:rPr>
        <w:t>aceted</w:t>
      </w:r>
      <w:r w:rsidR="00A5449A" w:rsidRPr="00A473E6">
        <w:rPr>
          <w:rFonts w:asciiTheme="majorBidi" w:hAnsiTheme="majorBidi" w:cstheme="majorBidi"/>
          <w:sz w:val="24"/>
          <w:szCs w:val="24"/>
        </w:rPr>
        <w:t xml:space="preserve"> </w:t>
      </w:r>
      <w:r w:rsidR="00A5449A" w:rsidRPr="00BA29D9">
        <w:rPr>
          <w:rFonts w:asciiTheme="majorBidi" w:hAnsiTheme="majorBidi" w:cstheme="majorBidi"/>
          <w:sz w:val="24"/>
          <w:szCs w:val="24"/>
        </w:rPr>
        <w:t>nature and outcomes of governance practices</w:t>
      </w:r>
      <w:r w:rsidR="00A5449A">
        <w:rPr>
          <w:rFonts w:asciiTheme="majorBidi" w:hAnsiTheme="majorBidi" w:cstheme="majorBidi"/>
          <w:sz w:val="24"/>
          <w:szCs w:val="24"/>
        </w:rPr>
        <w:t xml:space="preserve"> (</w:t>
      </w:r>
      <w:r w:rsidR="00A5449A" w:rsidRPr="00BA29D9">
        <w:rPr>
          <w:rFonts w:asciiTheme="majorBidi" w:hAnsiTheme="majorBidi" w:cstheme="majorBidi"/>
          <w:sz w:val="24"/>
          <w:szCs w:val="24"/>
        </w:rPr>
        <w:t>Ntim &amp; Soobaroyen, 2013</w:t>
      </w:r>
      <w:r w:rsidR="00A5449A">
        <w:rPr>
          <w:rFonts w:asciiTheme="majorBidi" w:hAnsiTheme="majorBidi" w:cstheme="majorBidi"/>
          <w:sz w:val="24"/>
          <w:szCs w:val="24"/>
        </w:rPr>
        <w:t>; Zattoni &amp; Cuomo, 2008)</w:t>
      </w:r>
      <w:r w:rsidR="00A5449A" w:rsidRPr="00BA29D9">
        <w:rPr>
          <w:rFonts w:asciiTheme="majorBidi" w:hAnsiTheme="majorBidi" w:cstheme="majorBidi"/>
          <w:sz w:val="24"/>
          <w:szCs w:val="24"/>
        </w:rPr>
        <w:t xml:space="preserve">, </w:t>
      </w:r>
      <w:r w:rsidR="00A5449A">
        <w:rPr>
          <w:rFonts w:asciiTheme="majorBidi" w:hAnsiTheme="majorBidi" w:cstheme="majorBidi"/>
          <w:sz w:val="24"/>
          <w:szCs w:val="24"/>
        </w:rPr>
        <w:t>this has increased the need to employ both the legitimisation and efficiency perspectives of neo-institutional theory to better understand the main institutional drivers of voluntary governance disclosures.</w:t>
      </w:r>
      <w:bookmarkEnd w:id="1"/>
    </w:p>
    <w:p w14:paraId="33318C58" w14:textId="2CA149FA" w:rsidR="001B2381" w:rsidRDefault="008A0E12" w:rsidP="00C63EF2">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F</w:t>
      </w:r>
      <w:r w:rsidR="00582FCE">
        <w:rPr>
          <w:rFonts w:asciiTheme="majorBidi" w:hAnsiTheme="majorBidi" w:cstheme="majorBidi"/>
          <w:sz w:val="24"/>
          <w:szCs w:val="24"/>
        </w:rPr>
        <w:t>rom legitimisation perspective (</w:t>
      </w:r>
      <w:r w:rsidR="00582FCE" w:rsidRPr="00BA29D9">
        <w:rPr>
          <w:rFonts w:asciiTheme="majorBidi" w:hAnsiTheme="majorBidi" w:cstheme="majorBidi"/>
          <w:sz w:val="24"/>
          <w:szCs w:val="24"/>
        </w:rPr>
        <w:t>Ashforth &amp; Gibbs, 1990; Suchman, 1995</w:t>
      </w:r>
      <w:r w:rsidR="00582FCE">
        <w:rPr>
          <w:rFonts w:asciiTheme="majorBidi" w:hAnsiTheme="majorBidi" w:cstheme="majorBidi"/>
          <w:sz w:val="24"/>
          <w:szCs w:val="24"/>
        </w:rPr>
        <w:t xml:space="preserve">), organisations need to demonstrate greater accountability, transparency and value for money to the larger community by </w:t>
      </w:r>
      <w:r w:rsidR="00BB209F">
        <w:rPr>
          <w:rFonts w:asciiTheme="majorBidi" w:hAnsiTheme="majorBidi" w:cstheme="majorBidi"/>
          <w:sz w:val="24"/>
          <w:szCs w:val="24"/>
        </w:rPr>
        <w:t>integrating</w:t>
      </w:r>
      <w:r w:rsidR="00582FCE">
        <w:rPr>
          <w:rFonts w:asciiTheme="majorBidi" w:hAnsiTheme="majorBidi" w:cstheme="majorBidi"/>
          <w:sz w:val="24"/>
          <w:szCs w:val="24"/>
        </w:rPr>
        <w:t xml:space="preserve"> socially accepted and expected practices, norms and </w:t>
      </w:r>
      <w:r w:rsidR="00923A7A">
        <w:rPr>
          <w:rFonts w:asciiTheme="majorBidi" w:hAnsiTheme="majorBidi" w:cstheme="majorBidi"/>
          <w:sz w:val="24"/>
          <w:szCs w:val="24"/>
        </w:rPr>
        <w:t>standards</w:t>
      </w:r>
      <w:r w:rsidR="00582FCE">
        <w:rPr>
          <w:rFonts w:asciiTheme="majorBidi" w:hAnsiTheme="majorBidi" w:cstheme="majorBidi"/>
          <w:sz w:val="24"/>
          <w:szCs w:val="24"/>
        </w:rPr>
        <w:t xml:space="preserve"> into their operations.</w:t>
      </w:r>
      <w:r w:rsidR="00923A7A">
        <w:rPr>
          <w:rFonts w:asciiTheme="majorBidi" w:hAnsiTheme="majorBidi" w:cstheme="majorBidi"/>
          <w:sz w:val="24"/>
          <w:szCs w:val="24"/>
        </w:rPr>
        <w:t xml:space="preserve"> In this case, institutional actors (vice-chancellors and governing board</w:t>
      </w:r>
      <w:r w:rsidR="00E233A2">
        <w:rPr>
          <w:rFonts w:asciiTheme="majorBidi" w:hAnsiTheme="majorBidi" w:cstheme="majorBidi"/>
          <w:sz w:val="24"/>
          <w:szCs w:val="24"/>
        </w:rPr>
        <w:t>s</w:t>
      </w:r>
      <w:r w:rsidR="00923A7A">
        <w:rPr>
          <w:rFonts w:asciiTheme="majorBidi" w:hAnsiTheme="majorBidi" w:cstheme="majorBidi"/>
          <w:sz w:val="24"/>
          <w:szCs w:val="24"/>
        </w:rPr>
        <w:t xml:space="preserve">) may apply greater pressure on their HEIs to commit to high levels of governance disclosure in order to </w:t>
      </w:r>
      <w:r w:rsidR="00177AE3" w:rsidRPr="00BA29D9">
        <w:rPr>
          <w:rFonts w:asciiTheme="majorBidi" w:hAnsiTheme="majorBidi" w:cstheme="majorBidi"/>
          <w:sz w:val="24"/>
          <w:szCs w:val="24"/>
        </w:rPr>
        <w:t xml:space="preserve">sustain good relations with </w:t>
      </w:r>
      <w:r w:rsidR="00177AE3">
        <w:rPr>
          <w:rFonts w:asciiTheme="majorBidi" w:hAnsiTheme="majorBidi" w:cstheme="majorBidi"/>
          <w:sz w:val="24"/>
          <w:szCs w:val="24"/>
        </w:rPr>
        <w:t>influential</w:t>
      </w:r>
      <w:r w:rsidR="00177AE3" w:rsidRPr="00BA29D9">
        <w:rPr>
          <w:rFonts w:asciiTheme="majorBidi" w:hAnsiTheme="majorBidi" w:cstheme="majorBidi"/>
          <w:sz w:val="24"/>
          <w:szCs w:val="24"/>
        </w:rPr>
        <w:t xml:space="preserve"> stakeholders</w:t>
      </w:r>
      <w:r w:rsidR="00177AE3">
        <w:rPr>
          <w:rFonts w:asciiTheme="majorBidi" w:hAnsiTheme="majorBidi" w:cstheme="majorBidi"/>
          <w:sz w:val="24"/>
          <w:szCs w:val="24"/>
        </w:rPr>
        <w:t xml:space="preserve"> </w:t>
      </w:r>
      <w:r w:rsidR="00923A7A">
        <w:rPr>
          <w:rFonts w:asciiTheme="majorBidi" w:hAnsiTheme="majorBidi" w:cstheme="majorBidi"/>
          <w:sz w:val="24"/>
          <w:szCs w:val="24"/>
        </w:rPr>
        <w:t>(</w:t>
      </w:r>
      <w:r w:rsidR="00177AE3" w:rsidRPr="00BA29D9">
        <w:rPr>
          <w:rFonts w:asciiTheme="majorBidi" w:hAnsiTheme="majorBidi" w:cstheme="majorBidi"/>
          <w:sz w:val="24"/>
          <w:szCs w:val="24"/>
        </w:rPr>
        <w:t>creditors/bondholders</w:t>
      </w:r>
      <w:r w:rsidR="00177AE3">
        <w:rPr>
          <w:rFonts w:asciiTheme="majorBidi" w:hAnsiTheme="majorBidi" w:cstheme="majorBidi"/>
          <w:sz w:val="24"/>
          <w:szCs w:val="24"/>
        </w:rPr>
        <w:t xml:space="preserve">, </w:t>
      </w:r>
      <w:r w:rsidR="00923A7A" w:rsidRPr="00BA29D9">
        <w:rPr>
          <w:rFonts w:asciiTheme="majorBidi" w:hAnsiTheme="majorBidi" w:cstheme="majorBidi"/>
          <w:sz w:val="24"/>
          <w:szCs w:val="24"/>
        </w:rPr>
        <w:t>students, funding or regulatory agencies</w:t>
      </w:r>
      <w:r w:rsidR="00E84BFB">
        <w:rPr>
          <w:rFonts w:asciiTheme="majorBidi" w:hAnsiTheme="majorBidi" w:cstheme="majorBidi"/>
          <w:sz w:val="24"/>
          <w:szCs w:val="24"/>
        </w:rPr>
        <w:t>/OFS</w:t>
      </w:r>
      <w:r w:rsidR="00923A7A" w:rsidRPr="00BA29D9">
        <w:rPr>
          <w:rFonts w:asciiTheme="majorBidi" w:hAnsiTheme="majorBidi" w:cstheme="majorBidi"/>
          <w:sz w:val="24"/>
          <w:szCs w:val="24"/>
        </w:rPr>
        <w:t>, employers, unions and donors</w:t>
      </w:r>
      <w:r w:rsidR="00923A7A">
        <w:rPr>
          <w:rFonts w:asciiTheme="majorBidi" w:hAnsiTheme="majorBidi" w:cstheme="majorBidi"/>
          <w:sz w:val="24"/>
          <w:szCs w:val="24"/>
        </w:rPr>
        <w:t xml:space="preserve">), and thus legitimise </w:t>
      </w:r>
      <w:r w:rsidR="00160E44">
        <w:rPr>
          <w:rFonts w:asciiTheme="majorBidi" w:hAnsiTheme="majorBidi" w:cstheme="majorBidi"/>
          <w:sz w:val="24"/>
          <w:szCs w:val="24"/>
        </w:rPr>
        <w:t>the</w:t>
      </w:r>
      <w:r w:rsidR="00923A7A">
        <w:rPr>
          <w:rFonts w:asciiTheme="majorBidi" w:hAnsiTheme="majorBidi" w:cstheme="majorBidi"/>
          <w:sz w:val="24"/>
          <w:szCs w:val="24"/>
        </w:rPr>
        <w:t xml:space="preserve"> operations</w:t>
      </w:r>
      <w:r w:rsidR="00160E44">
        <w:rPr>
          <w:rFonts w:asciiTheme="majorBidi" w:hAnsiTheme="majorBidi" w:cstheme="majorBidi"/>
          <w:sz w:val="24"/>
          <w:szCs w:val="24"/>
        </w:rPr>
        <w:t>/activities of their institutions</w:t>
      </w:r>
      <w:r w:rsidR="00923A7A">
        <w:rPr>
          <w:rFonts w:asciiTheme="majorBidi" w:hAnsiTheme="majorBidi" w:cstheme="majorBidi"/>
          <w:sz w:val="24"/>
          <w:szCs w:val="24"/>
        </w:rPr>
        <w:t xml:space="preserve">. </w:t>
      </w:r>
    </w:p>
    <w:p w14:paraId="40A95504" w14:textId="4134FB42" w:rsidR="00971236" w:rsidRDefault="00840EE8" w:rsidP="00C63EF2">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In addition</w:t>
      </w:r>
      <w:r w:rsidR="00923A7A">
        <w:rPr>
          <w:rFonts w:asciiTheme="majorBidi" w:hAnsiTheme="majorBidi" w:cstheme="majorBidi"/>
          <w:sz w:val="24"/>
          <w:szCs w:val="24"/>
        </w:rPr>
        <w:t xml:space="preserve">, </w:t>
      </w:r>
      <w:r w:rsidR="00160E44">
        <w:rPr>
          <w:rFonts w:asciiTheme="majorBidi" w:hAnsiTheme="majorBidi" w:cstheme="majorBidi"/>
          <w:sz w:val="24"/>
          <w:szCs w:val="24"/>
        </w:rPr>
        <w:t>the efficiency perspective of neo-institutional theory (</w:t>
      </w:r>
      <w:r w:rsidR="00160E44" w:rsidRPr="00BA29D9">
        <w:rPr>
          <w:rFonts w:asciiTheme="majorBidi" w:hAnsiTheme="majorBidi" w:cstheme="majorBidi"/>
          <w:sz w:val="24"/>
          <w:szCs w:val="24"/>
        </w:rPr>
        <w:t>Ntim &amp; Soobaroyen</w:t>
      </w:r>
      <w:r w:rsidR="00160E44">
        <w:rPr>
          <w:rFonts w:asciiTheme="majorBidi" w:hAnsiTheme="majorBidi" w:cstheme="majorBidi"/>
          <w:sz w:val="24"/>
          <w:szCs w:val="24"/>
        </w:rPr>
        <w:t xml:space="preserve">, 2013; </w:t>
      </w:r>
      <w:r w:rsidR="00BB209F" w:rsidRPr="00BA29D9">
        <w:rPr>
          <w:rFonts w:asciiTheme="majorBidi" w:hAnsiTheme="majorBidi" w:cstheme="majorBidi"/>
          <w:sz w:val="24"/>
          <w:szCs w:val="24"/>
        </w:rPr>
        <w:t>Pfeffer &amp; Salancik, 1978</w:t>
      </w:r>
      <w:r w:rsidR="00BB209F">
        <w:rPr>
          <w:rFonts w:asciiTheme="majorBidi" w:hAnsiTheme="majorBidi" w:cstheme="majorBidi"/>
          <w:sz w:val="24"/>
          <w:szCs w:val="24"/>
        </w:rPr>
        <w:t xml:space="preserve">) </w:t>
      </w:r>
      <w:r w:rsidR="00497D1B">
        <w:rPr>
          <w:rFonts w:asciiTheme="majorBidi" w:hAnsiTheme="majorBidi" w:cstheme="majorBidi"/>
          <w:sz w:val="24"/>
          <w:szCs w:val="24"/>
        </w:rPr>
        <w:t>indicates</w:t>
      </w:r>
      <w:r w:rsidR="00BB209F">
        <w:rPr>
          <w:rFonts w:asciiTheme="majorBidi" w:hAnsiTheme="majorBidi" w:cstheme="majorBidi"/>
          <w:sz w:val="24"/>
          <w:szCs w:val="24"/>
        </w:rPr>
        <w:t xml:space="preserve"> that organisations may conform </w:t>
      </w:r>
      <w:r w:rsidR="00497D1B">
        <w:rPr>
          <w:rFonts w:asciiTheme="majorBidi" w:hAnsiTheme="majorBidi" w:cstheme="majorBidi"/>
          <w:sz w:val="24"/>
          <w:szCs w:val="24"/>
        </w:rPr>
        <w:t xml:space="preserve">to </w:t>
      </w:r>
      <w:r w:rsidR="00767338">
        <w:rPr>
          <w:rFonts w:asciiTheme="majorBidi" w:hAnsiTheme="majorBidi" w:cstheme="majorBidi"/>
          <w:sz w:val="24"/>
          <w:szCs w:val="24"/>
        </w:rPr>
        <w:t>coercive</w:t>
      </w:r>
      <w:r w:rsidR="00497D1B">
        <w:rPr>
          <w:rFonts w:asciiTheme="majorBidi" w:hAnsiTheme="majorBidi" w:cstheme="majorBidi"/>
          <w:sz w:val="24"/>
          <w:szCs w:val="24"/>
        </w:rPr>
        <w:t xml:space="preserve">, normative and mimetic pressures, not only to legitimise their operations/activities, but also </w:t>
      </w:r>
      <w:r w:rsidR="003E3940">
        <w:rPr>
          <w:rFonts w:asciiTheme="majorBidi" w:hAnsiTheme="majorBidi" w:cstheme="majorBidi"/>
          <w:sz w:val="24"/>
          <w:szCs w:val="24"/>
        </w:rPr>
        <w:t xml:space="preserve">to </w:t>
      </w:r>
      <w:r w:rsidR="00E233A2">
        <w:rPr>
          <w:rFonts w:asciiTheme="majorBidi" w:hAnsiTheme="majorBidi" w:cstheme="majorBidi"/>
          <w:sz w:val="24"/>
          <w:szCs w:val="24"/>
        </w:rPr>
        <w:t xml:space="preserve">gain </w:t>
      </w:r>
      <w:r w:rsidR="00E233A2" w:rsidRPr="00BA29D9">
        <w:rPr>
          <w:rFonts w:asciiTheme="majorBidi" w:hAnsiTheme="majorBidi" w:cstheme="majorBidi"/>
          <w:sz w:val="24"/>
          <w:szCs w:val="24"/>
        </w:rPr>
        <w:t>competitive advantages</w:t>
      </w:r>
      <w:r w:rsidR="00E233A2">
        <w:rPr>
          <w:rFonts w:asciiTheme="majorBidi" w:hAnsiTheme="majorBidi" w:cstheme="majorBidi"/>
          <w:sz w:val="24"/>
          <w:szCs w:val="24"/>
        </w:rPr>
        <w:t xml:space="preserve"> and secure access to </w:t>
      </w:r>
      <w:r w:rsidR="00E233A2" w:rsidRPr="00BA29D9">
        <w:rPr>
          <w:rFonts w:asciiTheme="majorBidi" w:hAnsiTheme="majorBidi" w:cstheme="majorBidi"/>
          <w:sz w:val="24"/>
          <w:szCs w:val="24"/>
        </w:rPr>
        <w:t>crucial resources</w:t>
      </w:r>
      <w:r w:rsidR="00E233A2">
        <w:rPr>
          <w:rFonts w:asciiTheme="majorBidi" w:hAnsiTheme="majorBidi" w:cstheme="majorBidi"/>
          <w:sz w:val="24"/>
          <w:szCs w:val="24"/>
        </w:rPr>
        <w:t xml:space="preserve"> (e.g.,</w:t>
      </w:r>
      <w:r w:rsidR="00E233A2" w:rsidRPr="00511F36">
        <w:rPr>
          <w:rFonts w:asciiTheme="majorBidi" w:hAnsiTheme="majorBidi" w:cstheme="majorBidi"/>
          <w:sz w:val="24"/>
          <w:szCs w:val="24"/>
        </w:rPr>
        <w:t xml:space="preserve"> finance</w:t>
      </w:r>
      <w:r w:rsidR="00E233A2">
        <w:rPr>
          <w:rFonts w:asciiTheme="majorBidi" w:hAnsiTheme="majorBidi" w:cstheme="majorBidi"/>
          <w:sz w:val="24"/>
          <w:szCs w:val="24"/>
        </w:rPr>
        <w:t xml:space="preserve"> and</w:t>
      </w:r>
      <w:r w:rsidR="00E233A2" w:rsidRPr="00511F36">
        <w:rPr>
          <w:rFonts w:asciiTheme="majorBidi" w:hAnsiTheme="majorBidi" w:cstheme="majorBidi"/>
          <w:sz w:val="24"/>
          <w:szCs w:val="24"/>
        </w:rPr>
        <w:t xml:space="preserve"> business contacts</w:t>
      </w:r>
      <w:r w:rsidR="00E233A2">
        <w:rPr>
          <w:rFonts w:asciiTheme="majorBidi" w:hAnsiTheme="majorBidi" w:cstheme="majorBidi"/>
          <w:sz w:val="24"/>
          <w:szCs w:val="24"/>
        </w:rPr>
        <w:t>). Consistent with this view, HE in</w:t>
      </w:r>
      <w:r w:rsidR="00051039">
        <w:rPr>
          <w:rFonts w:asciiTheme="majorBidi" w:hAnsiTheme="majorBidi" w:cstheme="majorBidi"/>
          <w:sz w:val="24"/>
          <w:szCs w:val="24"/>
        </w:rPr>
        <w:t>s</w:t>
      </w:r>
      <w:r w:rsidR="00E233A2">
        <w:rPr>
          <w:rFonts w:asciiTheme="majorBidi" w:hAnsiTheme="majorBidi" w:cstheme="majorBidi"/>
          <w:sz w:val="24"/>
          <w:szCs w:val="24"/>
        </w:rPr>
        <w:t>t</w:t>
      </w:r>
      <w:r w:rsidR="00051039">
        <w:rPr>
          <w:rFonts w:asciiTheme="majorBidi" w:hAnsiTheme="majorBidi" w:cstheme="majorBidi"/>
          <w:sz w:val="24"/>
          <w:szCs w:val="24"/>
        </w:rPr>
        <w:t>it</w:t>
      </w:r>
      <w:r w:rsidR="00E233A2">
        <w:rPr>
          <w:rFonts w:asciiTheme="majorBidi" w:hAnsiTheme="majorBidi" w:cstheme="majorBidi"/>
          <w:sz w:val="24"/>
          <w:szCs w:val="24"/>
        </w:rPr>
        <w:t xml:space="preserve">utional actors (vice-chancellors and governing boards) may force their institutions to </w:t>
      </w:r>
      <w:r w:rsidR="00767338">
        <w:rPr>
          <w:rFonts w:asciiTheme="majorBidi" w:hAnsiTheme="majorBidi" w:cstheme="majorBidi"/>
          <w:sz w:val="24"/>
          <w:szCs w:val="24"/>
        </w:rPr>
        <w:t>comply with, and disclose</w:t>
      </w:r>
      <w:r w:rsidR="00E84BFB">
        <w:rPr>
          <w:rFonts w:asciiTheme="majorBidi" w:hAnsiTheme="majorBidi" w:cstheme="majorBidi"/>
          <w:sz w:val="24"/>
          <w:szCs w:val="24"/>
        </w:rPr>
        <w:t xml:space="preserve"> of,</w:t>
      </w:r>
      <w:r w:rsidR="00767338">
        <w:rPr>
          <w:rFonts w:asciiTheme="majorBidi" w:hAnsiTheme="majorBidi" w:cstheme="majorBidi"/>
          <w:sz w:val="24"/>
          <w:szCs w:val="24"/>
        </w:rPr>
        <w:t xml:space="preserve"> information relating to good governance practices in order to gain the support of powerful stakeholders (</w:t>
      </w:r>
      <w:r w:rsidR="00767338" w:rsidRPr="00BA29D9">
        <w:rPr>
          <w:rFonts w:asciiTheme="majorBidi" w:hAnsiTheme="majorBidi" w:cstheme="majorBidi"/>
          <w:sz w:val="24"/>
          <w:szCs w:val="24"/>
        </w:rPr>
        <w:t>students, funding or regulatory agencies</w:t>
      </w:r>
      <w:r w:rsidR="00E84BFB">
        <w:rPr>
          <w:rFonts w:asciiTheme="majorBidi" w:hAnsiTheme="majorBidi" w:cstheme="majorBidi"/>
          <w:sz w:val="24"/>
          <w:szCs w:val="24"/>
        </w:rPr>
        <w:t>/OFS</w:t>
      </w:r>
      <w:r w:rsidR="00767338" w:rsidRPr="00BA29D9">
        <w:rPr>
          <w:rFonts w:asciiTheme="majorBidi" w:hAnsiTheme="majorBidi" w:cstheme="majorBidi"/>
          <w:sz w:val="24"/>
          <w:szCs w:val="24"/>
        </w:rPr>
        <w:t>, employers, unions and donors</w:t>
      </w:r>
      <w:r w:rsidR="00767338">
        <w:rPr>
          <w:rFonts w:asciiTheme="majorBidi" w:hAnsiTheme="majorBidi" w:cstheme="majorBidi"/>
          <w:sz w:val="24"/>
          <w:szCs w:val="24"/>
        </w:rPr>
        <w:t xml:space="preserve">) and </w:t>
      </w:r>
      <w:r w:rsidR="003E3940">
        <w:rPr>
          <w:rFonts w:asciiTheme="majorBidi" w:hAnsiTheme="majorBidi" w:cstheme="majorBidi"/>
          <w:sz w:val="24"/>
          <w:szCs w:val="24"/>
        </w:rPr>
        <w:t>secure access to different types of funding, particularly given the</w:t>
      </w:r>
      <w:r w:rsidR="00051039">
        <w:rPr>
          <w:rFonts w:asciiTheme="majorBidi" w:hAnsiTheme="majorBidi" w:cstheme="majorBidi"/>
          <w:sz w:val="24"/>
          <w:szCs w:val="24"/>
        </w:rPr>
        <w:t xml:space="preserve"> major challenges posed by the ongoing </w:t>
      </w:r>
      <w:r w:rsidR="00051039">
        <w:rPr>
          <w:rFonts w:asciiTheme="majorBidi" w:hAnsiTheme="majorBidi" w:cstheme="majorBidi"/>
          <w:sz w:val="24"/>
          <w:szCs w:val="24"/>
        </w:rPr>
        <w:lastRenderedPageBreak/>
        <w:t>COVID-19 global pandemic along with</w:t>
      </w:r>
      <w:r w:rsidR="003E3940">
        <w:rPr>
          <w:rFonts w:asciiTheme="majorBidi" w:hAnsiTheme="majorBidi" w:cstheme="majorBidi"/>
          <w:sz w:val="24"/>
          <w:szCs w:val="24"/>
        </w:rPr>
        <w:t xml:space="preserve"> significant cuts of public funding over recent years. </w:t>
      </w:r>
      <w:r w:rsidR="00B422C2">
        <w:rPr>
          <w:rFonts w:asciiTheme="majorBidi" w:hAnsiTheme="majorBidi" w:cstheme="majorBidi"/>
          <w:sz w:val="24"/>
          <w:szCs w:val="24"/>
        </w:rPr>
        <w:t xml:space="preserve">Additionally, committing to good </w:t>
      </w:r>
      <w:r w:rsidR="00B422C2" w:rsidRPr="00BA29D9">
        <w:rPr>
          <w:rFonts w:asciiTheme="majorBidi" w:hAnsiTheme="majorBidi" w:cstheme="majorBidi"/>
          <w:sz w:val="24"/>
          <w:szCs w:val="24"/>
        </w:rPr>
        <w:t>governance practices can improve HEIs</w:t>
      </w:r>
      <w:r w:rsidR="00B422C2">
        <w:rPr>
          <w:rFonts w:asciiTheme="majorBidi" w:hAnsiTheme="majorBidi" w:cstheme="majorBidi"/>
          <w:sz w:val="24"/>
          <w:szCs w:val="24"/>
        </w:rPr>
        <w:t xml:space="preserve"> efficiency by minimis</w:t>
      </w:r>
      <w:r w:rsidR="00B422C2" w:rsidRPr="00BA29D9">
        <w:rPr>
          <w:rFonts w:asciiTheme="majorBidi" w:hAnsiTheme="majorBidi" w:cstheme="majorBidi"/>
          <w:sz w:val="24"/>
          <w:szCs w:val="24"/>
        </w:rPr>
        <w:t xml:space="preserve">ing information asymmetry </w:t>
      </w:r>
      <w:r w:rsidR="00B422C2">
        <w:rPr>
          <w:rFonts w:asciiTheme="majorBidi" w:hAnsiTheme="majorBidi" w:cstheme="majorBidi"/>
          <w:sz w:val="24"/>
          <w:szCs w:val="24"/>
        </w:rPr>
        <w:t>among different groups of</w:t>
      </w:r>
      <w:r w:rsidR="00B422C2" w:rsidRPr="00BA29D9">
        <w:rPr>
          <w:rFonts w:asciiTheme="majorBidi" w:hAnsiTheme="majorBidi" w:cstheme="majorBidi"/>
          <w:sz w:val="24"/>
          <w:szCs w:val="24"/>
        </w:rPr>
        <w:t xml:space="preserve"> stakeh</w:t>
      </w:r>
      <w:r w:rsidR="00B422C2">
        <w:rPr>
          <w:rFonts w:asciiTheme="majorBidi" w:hAnsiTheme="majorBidi" w:cstheme="majorBidi"/>
          <w:sz w:val="24"/>
          <w:szCs w:val="24"/>
        </w:rPr>
        <w:t>olders (</w:t>
      </w:r>
      <w:r w:rsidR="00221193" w:rsidRPr="00221193">
        <w:rPr>
          <w:rFonts w:asciiTheme="majorBidi" w:hAnsiTheme="majorBidi" w:cstheme="majorBidi"/>
          <w:sz w:val="24"/>
          <w:szCs w:val="24"/>
        </w:rPr>
        <w:t>Bendickson</w:t>
      </w:r>
      <w:r w:rsidR="00221193">
        <w:rPr>
          <w:rFonts w:asciiTheme="majorBidi" w:hAnsiTheme="majorBidi" w:cstheme="majorBidi"/>
          <w:sz w:val="24"/>
          <w:szCs w:val="24"/>
        </w:rPr>
        <w:t xml:space="preserve"> et al., 2016; </w:t>
      </w:r>
      <w:r w:rsidR="00B422C2">
        <w:rPr>
          <w:rFonts w:asciiTheme="majorBidi" w:hAnsiTheme="majorBidi" w:cstheme="majorBidi"/>
          <w:sz w:val="24"/>
          <w:szCs w:val="24"/>
        </w:rPr>
        <w:t>Jensen &amp; Meckling, 1976).</w:t>
      </w:r>
      <w:r w:rsidR="005421E0">
        <w:rPr>
          <w:rFonts w:asciiTheme="majorBidi" w:hAnsiTheme="majorBidi" w:cstheme="majorBidi"/>
          <w:sz w:val="24"/>
          <w:szCs w:val="24"/>
        </w:rPr>
        <w:t xml:space="preserve"> </w:t>
      </w:r>
    </w:p>
    <w:p w14:paraId="7697C0F5" w14:textId="3EBD3212" w:rsidR="00796ABC" w:rsidRDefault="005421E0" w:rsidP="00C63EF2">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 xml:space="preserve">Therefore, and given </w:t>
      </w:r>
      <w:r w:rsidR="001A22A0">
        <w:rPr>
          <w:rFonts w:asciiTheme="majorBidi" w:hAnsiTheme="majorBidi" w:cstheme="majorBidi"/>
          <w:sz w:val="24"/>
          <w:szCs w:val="24"/>
        </w:rPr>
        <w:t>that prior studies</w:t>
      </w:r>
      <w:r w:rsidRPr="00BA29D9">
        <w:rPr>
          <w:rFonts w:asciiTheme="majorBidi" w:hAnsiTheme="majorBidi" w:cstheme="majorBidi"/>
          <w:sz w:val="24"/>
          <w:szCs w:val="24"/>
        </w:rPr>
        <w:t xml:space="preserve"> </w:t>
      </w:r>
      <w:r>
        <w:rPr>
          <w:rFonts w:asciiTheme="majorBidi" w:hAnsiTheme="majorBidi" w:cstheme="majorBidi"/>
          <w:sz w:val="24"/>
          <w:szCs w:val="24"/>
        </w:rPr>
        <w:t>(</w:t>
      </w:r>
      <w:r>
        <w:rPr>
          <w:rFonts w:asciiTheme="majorBidi" w:eastAsia="Times New Roman" w:hAnsiTheme="majorBidi" w:cstheme="majorBidi"/>
          <w:sz w:val="24"/>
          <w:szCs w:val="24"/>
          <w:lang w:eastAsia="en-GB"/>
        </w:rPr>
        <w:t xml:space="preserve">Breakwell </w:t>
      </w:r>
      <w:r w:rsidRPr="005E07D6">
        <w:rPr>
          <w:rFonts w:asciiTheme="majorBidi" w:eastAsia="Times New Roman" w:hAnsiTheme="majorBidi" w:cstheme="majorBidi"/>
          <w:sz w:val="24"/>
          <w:szCs w:val="24"/>
          <w:lang w:eastAsia="en-GB"/>
        </w:rPr>
        <w:t>&amp; Tytherleigh</w:t>
      </w:r>
      <w:r>
        <w:rPr>
          <w:rFonts w:asciiTheme="majorBidi" w:eastAsia="Times New Roman" w:hAnsiTheme="majorBidi" w:cstheme="majorBidi"/>
          <w:sz w:val="24"/>
          <w:szCs w:val="24"/>
          <w:lang w:eastAsia="en-GB"/>
        </w:rPr>
        <w:t>, 2008a</w:t>
      </w:r>
      <w:r>
        <w:rPr>
          <w:rFonts w:asciiTheme="majorBidi" w:eastAsia="Times New Roman" w:hAnsiTheme="majorBidi" w:cstheme="majorBidi"/>
          <w:sz w:val="24"/>
          <w:szCs w:val="24"/>
          <w:lang w:val="pt-PT" w:eastAsia="en-GB"/>
        </w:rPr>
        <w:t xml:space="preserve">; Gordon et al., 2002; </w:t>
      </w:r>
      <w:r w:rsidRPr="00BF2937">
        <w:rPr>
          <w:rFonts w:asciiTheme="majorBidi" w:eastAsia="Times New Roman" w:hAnsiTheme="majorBidi" w:cstheme="majorBidi"/>
          <w:sz w:val="24"/>
          <w:szCs w:val="24"/>
          <w:lang w:eastAsia="en-GB"/>
        </w:rPr>
        <w:t>Middlehurst,</w:t>
      </w:r>
      <w:r>
        <w:rPr>
          <w:rFonts w:asciiTheme="majorBidi" w:eastAsia="Times New Roman" w:hAnsiTheme="majorBidi" w:cstheme="majorBidi"/>
          <w:sz w:val="24"/>
          <w:szCs w:val="24"/>
          <w:lang w:eastAsia="en-GB"/>
        </w:rPr>
        <w:t xml:space="preserve"> 2004; </w:t>
      </w:r>
      <w:r>
        <w:rPr>
          <w:rFonts w:asciiTheme="majorBidi" w:eastAsia="Times New Roman" w:hAnsiTheme="majorBidi" w:cstheme="majorBidi"/>
          <w:sz w:val="24"/>
          <w:szCs w:val="24"/>
          <w:lang w:val="pt-PT" w:eastAsia="en-GB"/>
        </w:rPr>
        <w:t>Ntim et al., 2017</w:t>
      </w:r>
      <w:r>
        <w:rPr>
          <w:rFonts w:asciiTheme="majorBidi" w:hAnsiTheme="majorBidi" w:cstheme="majorBidi"/>
          <w:sz w:val="24"/>
          <w:szCs w:val="24"/>
        </w:rPr>
        <w:t xml:space="preserve">) </w:t>
      </w:r>
      <w:r w:rsidR="001A22A0">
        <w:rPr>
          <w:rFonts w:asciiTheme="majorBidi" w:hAnsiTheme="majorBidi" w:cstheme="majorBidi"/>
          <w:sz w:val="24"/>
          <w:szCs w:val="24"/>
        </w:rPr>
        <w:t>suggest that institutional actors, such as vice-chancellor</w:t>
      </w:r>
      <w:r w:rsidR="001F1055">
        <w:rPr>
          <w:rFonts w:asciiTheme="majorBidi" w:hAnsiTheme="majorBidi" w:cstheme="majorBidi"/>
          <w:sz w:val="24"/>
          <w:szCs w:val="24"/>
        </w:rPr>
        <w:t>s</w:t>
      </w:r>
      <w:r w:rsidR="001A22A0">
        <w:rPr>
          <w:rFonts w:asciiTheme="majorBidi" w:hAnsiTheme="majorBidi" w:cstheme="majorBidi"/>
          <w:sz w:val="24"/>
          <w:szCs w:val="24"/>
        </w:rPr>
        <w:t xml:space="preserve"> and governing board</w:t>
      </w:r>
      <w:r w:rsidR="007A5262">
        <w:rPr>
          <w:rFonts w:asciiTheme="majorBidi" w:hAnsiTheme="majorBidi" w:cstheme="majorBidi"/>
          <w:sz w:val="24"/>
          <w:szCs w:val="24"/>
        </w:rPr>
        <w:t>s</w:t>
      </w:r>
      <w:r w:rsidR="001A22A0">
        <w:rPr>
          <w:rFonts w:asciiTheme="majorBidi" w:hAnsiTheme="majorBidi" w:cstheme="majorBidi"/>
          <w:sz w:val="24"/>
          <w:szCs w:val="24"/>
        </w:rPr>
        <w:t xml:space="preserve">, </w:t>
      </w:r>
      <w:r>
        <w:rPr>
          <w:rFonts w:asciiTheme="majorBidi" w:hAnsiTheme="majorBidi" w:cstheme="majorBidi"/>
          <w:sz w:val="24"/>
          <w:szCs w:val="24"/>
        </w:rPr>
        <w:t xml:space="preserve"> </w:t>
      </w:r>
      <w:r w:rsidR="001A22A0">
        <w:rPr>
          <w:rFonts w:asciiTheme="majorBidi" w:hAnsiTheme="majorBidi" w:cstheme="majorBidi"/>
          <w:sz w:val="24"/>
          <w:szCs w:val="24"/>
        </w:rPr>
        <w:t xml:space="preserve">tend to have significant influence on strategic decisions made by their institutions, including those relating to committing to high levels of </w:t>
      </w:r>
      <w:r w:rsidR="008F26F9">
        <w:rPr>
          <w:rFonts w:asciiTheme="majorBidi" w:hAnsiTheme="majorBidi" w:cstheme="majorBidi"/>
          <w:sz w:val="24"/>
          <w:szCs w:val="24"/>
        </w:rPr>
        <w:t>governance disclosure</w:t>
      </w:r>
      <w:r w:rsidR="00D05033">
        <w:rPr>
          <w:rFonts w:asciiTheme="majorBidi" w:hAnsiTheme="majorBidi" w:cstheme="majorBidi"/>
          <w:sz w:val="24"/>
          <w:szCs w:val="24"/>
        </w:rPr>
        <w:t>s</w:t>
      </w:r>
      <w:r w:rsidR="001A22A0">
        <w:rPr>
          <w:rFonts w:asciiTheme="majorBidi" w:hAnsiTheme="majorBidi" w:cstheme="majorBidi"/>
          <w:sz w:val="24"/>
          <w:szCs w:val="24"/>
        </w:rPr>
        <w:t xml:space="preserve">, </w:t>
      </w:r>
      <w:r w:rsidR="008F26F9">
        <w:rPr>
          <w:rFonts w:asciiTheme="majorBidi" w:hAnsiTheme="majorBidi" w:cstheme="majorBidi"/>
          <w:sz w:val="24"/>
          <w:szCs w:val="24"/>
        </w:rPr>
        <w:t>our</w:t>
      </w:r>
      <w:r w:rsidR="001A22A0">
        <w:rPr>
          <w:rFonts w:asciiTheme="majorBidi" w:hAnsiTheme="majorBidi" w:cstheme="majorBidi"/>
          <w:sz w:val="24"/>
          <w:szCs w:val="24"/>
        </w:rPr>
        <w:t xml:space="preserve"> study has employed the legitimisation and efficiency perspectives of neo-institutional theory to explain the extent to which vice-chancellor characteristics (</w:t>
      </w:r>
      <w:r w:rsidR="001A22A0" w:rsidRPr="00511F36">
        <w:rPr>
          <w:rFonts w:asciiTheme="majorBidi" w:hAnsiTheme="majorBidi" w:cstheme="majorBidi"/>
          <w:sz w:val="24"/>
          <w:szCs w:val="24"/>
        </w:rPr>
        <w:t>gender</w:t>
      </w:r>
      <w:r w:rsidR="00532724">
        <w:rPr>
          <w:rFonts w:asciiTheme="majorBidi" w:hAnsiTheme="majorBidi" w:cstheme="majorBidi"/>
          <w:sz w:val="24"/>
          <w:szCs w:val="24"/>
        </w:rPr>
        <w:t>,</w:t>
      </w:r>
      <w:r w:rsidR="001F1055">
        <w:rPr>
          <w:rFonts w:asciiTheme="majorBidi" w:hAnsiTheme="majorBidi" w:cstheme="majorBidi"/>
          <w:sz w:val="24"/>
          <w:szCs w:val="24"/>
        </w:rPr>
        <w:t xml:space="preserve"> </w:t>
      </w:r>
      <w:r w:rsidR="001A22A0" w:rsidRPr="00511F36">
        <w:rPr>
          <w:rFonts w:asciiTheme="majorBidi" w:hAnsiTheme="majorBidi" w:cstheme="majorBidi"/>
          <w:sz w:val="24"/>
          <w:szCs w:val="24"/>
        </w:rPr>
        <w:t>discipline</w:t>
      </w:r>
      <w:r w:rsidR="00532724">
        <w:rPr>
          <w:rFonts w:asciiTheme="majorBidi" w:hAnsiTheme="majorBidi" w:cstheme="majorBidi"/>
          <w:sz w:val="24"/>
          <w:szCs w:val="24"/>
        </w:rPr>
        <w:t>,</w:t>
      </w:r>
      <w:r w:rsidR="001F1055">
        <w:rPr>
          <w:rFonts w:asciiTheme="majorBidi" w:hAnsiTheme="majorBidi" w:cstheme="majorBidi"/>
          <w:sz w:val="24"/>
          <w:szCs w:val="24"/>
        </w:rPr>
        <w:t xml:space="preserve"> </w:t>
      </w:r>
      <w:r w:rsidR="001A22A0" w:rsidRPr="00511F36">
        <w:rPr>
          <w:rFonts w:asciiTheme="majorBidi" w:hAnsiTheme="majorBidi" w:cstheme="majorBidi"/>
          <w:sz w:val="24"/>
          <w:szCs w:val="24"/>
        </w:rPr>
        <w:t>age and tenure</w:t>
      </w:r>
      <w:r w:rsidR="001A22A0">
        <w:rPr>
          <w:rFonts w:asciiTheme="majorBidi" w:hAnsiTheme="majorBidi" w:cstheme="majorBidi"/>
          <w:sz w:val="24"/>
          <w:szCs w:val="24"/>
        </w:rPr>
        <w:t>) and governance board mechanisms (</w:t>
      </w:r>
      <w:r w:rsidR="0036397F">
        <w:rPr>
          <w:rFonts w:asciiTheme="majorBidi" w:hAnsiTheme="majorBidi" w:cstheme="majorBidi"/>
          <w:sz w:val="24"/>
          <w:szCs w:val="24"/>
        </w:rPr>
        <w:t xml:space="preserve">the </w:t>
      </w:r>
      <w:r w:rsidR="001A22A0" w:rsidRPr="00511F36">
        <w:rPr>
          <w:rFonts w:asciiTheme="majorBidi" w:hAnsiTheme="majorBidi" w:cstheme="majorBidi"/>
          <w:sz w:val="24"/>
          <w:szCs w:val="24"/>
        </w:rPr>
        <w:t xml:space="preserve">existence of </w:t>
      </w:r>
      <w:r w:rsidR="001F1055">
        <w:rPr>
          <w:rFonts w:asciiTheme="majorBidi" w:hAnsiTheme="majorBidi" w:cstheme="majorBidi"/>
          <w:sz w:val="24"/>
          <w:szCs w:val="24"/>
        </w:rPr>
        <w:t xml:space="preserve">a </w:t>
      </w:r>
      <w:r w:rsidR="00F059A3">
        <w:rPr>
          <w:rFonts w:asciiTheme="majorBidi" w:hAnsiTheme="majorBidi" w:cstheme="majorBidi"/>
          <w:sz w:val="24"/>
          <w:szCs w:val="24"/>
        </w:rPr>
        <w:t>governance committee</w:t>
      </w:r>
      <w:r w:rsidR="00532724">
        <w:rPr>
          <w:rFonts w:asciiTheme="majorBidi" w:hAnsiTheme="majorBidi" w:cstheme="majorBidi"/>
          <w:sz w:val="24"/>
          <w:szCs w:val="24"/>
        </w:rPr>
        <w:t>,</w:t>
      </w:r>
      <w:r w:rsidR="001F1055">
        <w:rPr>
          <w:rFonts w:asciiTheme="majorBidi" w:hAnsiTheme="majorBidi" w:cstheme="majorBidi"/>
          <w:sz w:val="24"/>
          <w:szCs w:val="24"/>
        </w:rPr>
        <w:t xml:space="preserve"> </w:t>
      </w:r>
      <w:r w:rsidR="001A22A0">
        <w:rPr>
          <w:rFonts w:asciiTheme="majorBidi" w:hAnsiTheme="majorBidi" w:cstheme="majorBidi"/>
          <w:sz w:val="24"/>
          <w:szCs w:val="24"/>
        </w:rPr>
        <w:t>ethnic and gender diversity of the</w:t>
      </w:r>
      <w:r w:rsidR="001A22A0" w:rsidRPr="00511F36">
        <w:rPr>
          <w:rFonts w:asciiTheme="majorBidi" w:hAnsiTheme="majorBidi" w:cstheme="majorBidi"/>
          <w:sz w:val="24"/>
          <w:szCs w:val="24"/>
        </w:rPr>
        <w:t xml:space="preserve"> governing board</w:t>
      </w:r>
      <w:r w:rsidR="00532724">
        <w:rPr>
          <w:rFonts w:asciiTheme="majorBidi" w:hAnsiTheme="majorBidi" w:cstheme="majorBidi"/>
          <w:sz w:val="24"/>
          <w:szCs w:val="24"/>
        </w:rPr>
        <w:t>,</w:t>
      </w:r>
      <w:r w:rsidR="001F1055">
        <w:rPr>
          <w:rFonts w:asciiTheme="majorBidi" w:hAnsiTheme="majorBidi" w:cstheme="majorBidi"/>
          <w:sz w:val="24"/>
          <w:szCs w:val="24"/>
        </w:rPr>
        <w:t xml:space="preserve"> </w:t>
      </w:r>
      <w:r w:rsidR="00F059A3">
        <w:rPr>
          <w:rFonts w:asciiTheme="majorBidi" w:hAnsiTheme="majorBidi" w:cstheme="majorBidi"/>
          <w:sz w:val="24"/>
          <w:szCs w:val="24"/>
        </w:rPr>
        <w:t>governing board independence</w:t>
      </w:r>
      <w:r w:rsidR="00532724">
        <w:rPr>
          <w:rFonts w:asciiTheme="majorBidi" w:hAnsiTheme="majorBidi" w:cstheme="majorBidi"/>
          <w:sz w:val="24"/>
          <w:szCs w:val="24"/>
        </w:rPr>
        <w:t>,</w:t>
      </w:r>
      <w:r w:rsidR="001F1055">
        <w:rPr>
          <w:rFonts w:asciiTheme="majorBidi" w:hAnsiTheme="majorBidi" w:cstheme="majorBidi"/>
          <w:sz w:val="24"/>
          <w:szCs w:val="24"/>
        </w:rPr>
        <w:t xml:space="preserve"> </w:t>
      </w:r>
      <w:r w:rsidR="001A22A0">
        <w:rPr>
          <w:rFonts w:asciiTheme="majorBidi" w:hAnsiTheme="majorBidi" w:cstheme="majorBidi"/>
          <w:sz w:val="24"/>
          <w:szCs w:val="24"/>
        </w:rPr>
        <w:t>and</w:t>
      </w:r>
      <w:r w:rsidR="00F059A3">
        <w:rPr>
          <w:rFonts w:asciiTheme="majorBidi" w:hAnsiTheme="majorBidi" w:cstheme="majorBidi"/>
          <w:sz w:val="24"/>
          <w:szCs w:val="24"/>
        </w:rPr>
        <w:t xml:space="preserve"> governing board meetings)</w:t>
      </w:r>
      <w:r w:rsidR="001A22A0">
        <w:rPr>
          <w:rFonts w:asciiTheme="majorBidi" w:hAnsiTheme="majorBidi" w:cstheme="majorBidi"/>
          <w:sz w:val="24"/>
          <w:szCs w:val="24"/>
        </w:rPr>
        <w:t xml:space="preserve"> can influence </w:t>
      </w:r>
      <w:r w:rsidR="00F059A3" w:rsidRPr="00511F36">
        <w:rPr>
          <w:rFonts w:asciiTheme="majorBidi" w:hAnsiTheme="majorBidi" w:cstheme="majorBidi"/>
          <w:sz w:val="24"/>
          <w:szCs w:val="24"/>
        </w:rPr>
        <w:t>voluntary governance disclosures among UK HEIs</w:t>
      </w:r>
      <w:r w:rsidR="001A22A0">
        <w:rPr>
          <w:rFonts w:asciiTheme="majorBidi" w:hAnsiTheme="majorBidi" w:cstheme="majorBidi"/>
          <w:sz w:val="24"/>
          <w:szCs w:val="24"/>
        </w:rPr>
        <w:t>.</w:t>
      </w:r>
    </w:p>
    <w:p w14:paraId="29FC2C01" w14:textId="398AB950" w:rsidR="00AF18BF" w:rsidRPr="002A74B0" w:rsidRDefault="002A74B0" w:rsidP="003B2522">
      <w:pPr>
        <w:spacing w:line="276" w:lineRule="auto"/>
        <w:jc w:val="both"/>
        <w:rPr>
          <w:rFonts w:asciiTheme="majorBidi" w:hAnsiTheme="majorBidi" w:cstheme="majorBidi"/>
          <w:b/>
          <w:i/>
          <w:iCs/>
          <w:sz w:val="24"/>
          <w:szCs w:val="24"/>
        </w:rPr>
      </w:pPr>
      <w:r w:rsidRPr="002A74B0">
        <w:rPr>
          <w:rFonts w:asciiTheme="majorBidi" w:hAnsiTheme="majorBidi" w:cstheme="majorBidi"/>
          <w:b/>
          <w:i/>
          <w:iCs/>
          <w:sz w:val="24"/>
          <w:szCs w:val="24"/>
        </w:rPr>
        <w:t xml:space="preserve">2.1 </w:t>
      </w:r>
      <w:r w:rsidR="0017518A" w:rsidRPr="002A74B0">
        <w:rPr>
          <w:rFonts w:asciiTheme="majorBidi" w:hAnsiTheme="majorBidi" w:cstheme="majorBidi"/>
          <w:b/>
          <w:i/>
          <w:iCs/>
          <w:sz w:val="24"/>
          <w:szCs w:val="24"/>
        </w:rPr>
        <w:t>Vice-chancellor c</w:t>
      </w:r>
      <w:r w:rsidR="00E911D1" w:rsidRPr="002A74B0">
        <w:rPr>
          <w:rFonts w:asciiTheme="majorBidi" w:hAnsiTheme="majorBidi" w:cstheme="majorBidi"/>
          <w:b/>
          <w:i/>
          <w:iCs/>
          <w:sz w:val="24"/>
          <w:szCs w:val="24"/>
        </w:rPr>
        <w:t>haracteristics</w:t>
      </w:r>
      <w:r w:rsidR="0003408A" w:rsidRPr="002A74B0">
        <w:rPr>
          <w:rFonts w:asciiTheme="majorBidi" w:hAnsiTheme="majorBidi" w:cstheme="majorBidi"/>
          <w:b/>
          <w:i/>
          <w:iCs/>
          <w:sz w:val="24"/>
          <w:szCs w:val="24"/>
        </w:rPr>
        <w:t xml:space="preserve"> </w:t>
      </w:r>
      <w:r w:rsidR="00E911D1" w:rsidRPr="002A74B0">
        <w:rPr>
          <w:rFonts w:asciiTheme="majorBidi" w:hAnsiTheme="majorBidi" w:cstheme="majorBidi"/>
          <w:b/>
          <w:i/>
          <w:iCs/>
          <w:sz w:val="24"/>
          <w:szCs w:val="24"/>
        </w:rPr>
        <w:t xml:space="preserve">and </w:t>
      </w:r>
      <w:r w:rsidR="00D842C7" w:rsidRPr="002A74B0">
        <w:rPr>
          <w:rFonts w:asciiTheme="majorBidi" w:hAnsiTheme="majorBidi" w:cstheme="majorBidi"/>
          <w:b/>
          <w:i/>
          <w:iCs/>
          <w:sz w:val="24"/>
          <w:szCs w:val="24"/>
        </w:rPr>
        <w:t>voluntary governance disclosure</w:t>
      </w:r>
      <w:r w:rsidR="00720F04" w:rsidRPr="002A74B0">
        <w:rPr>
          <w:rFonts w:asciiTheme="majorBidi" w:hAnsiTheme="majorBidi" w:cstheme="majorBidi"/>
          <w:b/>
          <w:i/>
          <w:iCs/>
          <w:sz w:val="24"/>
          <w:szCs w:val="24"/>
        </w:rPr>
        <w:t>s</w:t>
      </w:r>
    </w:p>
    <w:p w14:paraId="5D90C081" w14:textId="2E7492E9" w:rsidR="001B2381" w:rsidRDefault="00BF2937" w:rsidP="00C63EF2">
      <w:pPr>
        <w:spacing w:after="0" w:line="480" w:lineRule="auto"/>
        <w:ind w:firstLine="426"/>
        <w:jc w:val="both"/>
        <w:rPr>
          <w:rFonts w:asciiTheme="majorBidi" w:eastAsia="Times New Roman" w:hAnsiTheme="majorBidi" w:cstheme="majorBidi"/>
          <w:sz w:val="24"/>
          <w:szCs w:val="24"/>
          <w:lang w:eastAsia="en-GB"/>
        </w:rPr>
      </w:pPr>
      <w:r w:rsidRPr="00BF2937">
        <w:rPr>
          <w:rFonts w:asciiTheme="majorBidi" w:hAnsiTheme="majorBidi" w:cstheme="majorBidi"/>
          <w:sz w:val="24"/>
          <w:szCs w:val="24"/>
        </w:rPr>
        <w:t>In the UK, vice-chancellors</w:t>
      </w:r>
      <w:r w:rsidR="00C9320F">
        <w:rPr>
          <w:rFonts w:asciiTheme="majorBidi" w:hAnsiTheme="majorBidi" w:cstheme="majorBidi"/>
          <w:sz w:val="24"/>
          <w:szCs w:val="24"/>
        </w:rPr>
        <w:t xml:space="preserve"> (VCs)</w:t>
      </w:r>
      <w:r w:rsidRPr="00BF2937">
        <w:rPr>
          <w:rFonts w:asciiTheme="majorBidi" w:hAnsiTheme="majorBidi" w:cstheme="majorBidi"/>
          <w:sz w:val="24"/>
          <w:szCs w:val="24"/>
        </w:rPr>
        <w:t xml:space="preserve"> are the chief executives and senior managers of </w:t>
      </w:r>
      <w:r w:rsidR="000C6CF5">
        <w:rPr>
          <w:rFonts w:asciiTheme="majorBidi" w:hAnsiTheme="majorBidi" w:cstheme="majorBidi"/>
          <w:sz w:val="24"/>
          <w:szCs w:val="24"/>
        </w:rPr>
        <w:t>HEIs</w:t>
      </w:r>
      <w:r w:rsidR="00384E79">
        <w:rPr>
          <w:rFonts w:asciiTheme="majorBidi" w:hAnsiTheme="majorBidi" w:cstheme="majorBidi"/>
          <w:sz w:val="24"/>
          <w:szCs w:val="24"/>
        </w:rPr>
        <w:t>,</w:t>
      </w:r>
      <w:r w:rsidR="000C6CF5">
        <w:rPr>
          <w:rFonts w:asciiTheme="majorBidi" w:hAnsiTheme="majorBidi" w:cstheme="majorBidi"/>
          <w:sz w:val="24"/>
          <w:szCs w:val="24"/>
        </w:rPr>
        <w:t xml:space="preserve"> and </w:t>
      </w:r>
      <w:r w:rsidRPr="00BF2937">
        <w:rPr>
          <w:rFonts w:asciiTheme="majorBidi" w:hAnsiTheme="majorBidi" w:cstheme="majorBidi"/>
          <w:sz w:val="24"/>
          <w:szCs w:val="24"/>
        </w:rPr>
        <w:t xml:space="preserve">are responsible for making strategic decisions that improve the efficiency and effectiveness of their institutions, including those relating to engaging in voluntary compliance/disclosure </w:t>
      </w:r>
      <w:r w:rsidR="00E40B0C">
        <w:rPr>
          <w:rFonts w:asciiTheme="majorBidi" w:hAnsiTheme="majorBidi" w:cstheme="majorBidi"/>
          <w:sz w:val="24"/>
          <w:szCs w:val="24"/>
        </w:rPr>
        <w:t>of</w:t>
      </w:r>
      <w:r w:rsidRPr="00BF2937">
        <w:rPr>
          <w:rFonts w:asciiTheme="majorBidi" w:hAnsiTheme="majorBidi" w:cstheme="majorBidi"/>
          <w:sz w:val="24"/>
          <w:szCs w:val="24"/>
        </w:rPr>
        <w:t xml:space="preserve"> governance practices (</w:t>
      </w:r>
      <w:r w:rsidR="005E07D6">
        <w:rPr>
          <w:rFonts w:asciiTheme="majorBidi" w:eastAsia="Times New Roman" w:hAnsiTheme="majorBidi" w:cstheme="majorBidi"/>
          <w:sz w:val="24"/>
          <w:szCs w:val="24"/>
          <w:lang w:eastAsia="en-GB"/>
        </w:rPr>
        <w:t xml:space="preserve">Breakwell </w:t>
      </w:r>
      <w:r w:rsidR="005E07D6" w:rsidRPr="005E07D6">
        <w:rPr>
          <w:rFonts w:asciiTheme="majorBidi" w:eastAsia="Times New Roman" w:hAnsiTheme="majorBidi" w:cstheme="majorBidi"/>
          <w:sz w:val="24"/>
          <w:szCs w:val="24"/>
          <w:lang w:eastAsia="en-GB"/>
        </w:rPr>
        <w:t>&amp; Tytherleigh</w:t>
      </w:r>
      <w:r w:rsidR="005E07D6">
        <w:rPr>
          <w:rFonts w:asciiTheme="majorBidi" w:eastAsia="Times New Roman" w:hAnsiTheme="majorBidi" w:cstheme="majorBidi"/>
          <w:sz w:val="24"/>
          <w:szCs w:val="24"/>
          <w:lang w:eastAsia="en-GB"/>
        </w:rPr>
        <w:t>, 2008</w:t>
      </w:r>
      <w:r w:rsidR="00037948">
        <w:rPr>
          <w:rFonts w:asciiTheme="majorBidi" w:eastAsia="Times New Roman" w:hAnsiTheme="majorBidi" w:cstheme="majorBidi"/>
          <w:sz w:val="24"/>
          <w:szCs w:val="24"/>
          <w:lang w:eastAsia="en-GB"/>
        </w:rPr>
        <w:t>a</w:t>
      </w:r>
      <w:r w:rsidR="005E07D6">
        <w:rPr>
          <w:rFonts w:asciiTheme="majorBidi" w:eastAsia="Times New Roman" w:hAnsiTheme="majorBidi" w:cstheme="majorBidi"/>
          <w:sz w:val="24"/>
          <w:szCs w:val="24"/>
          <w:lang w:eastAsia="en-GB"/>
        </w:rPr>
        <w:t xml:space="preserve">; </w:t>
      </w:r>
      <w:r w:rsidRPr="00BF2937">
        <w:rPr>
          <w:rFonts w:asciiTheme="majorBidi" w:eastAsia="Times New Roman" w:hAnsiTheme="majorBidi" w:cstheme="majorBidi"/>
          <w:sz w:val="24"/>
          <w:szCs w:val="24"/>
          <w:lang w:eastAsia="en-GB"/>
        </w:rPr>
        <w:t>Middlehurst,</w:t>
      </w:r>
      <w:r w:rsidR="005E07D6">
        <w:rPr>
          <w:rFonts w:asciiTheme="majorBidi" w:eastAsia="Times New Roman" w:hAnsiTheme="majorBidi" w:cstheme="majorBidi"/>
          <w:sz w:val="24"/>
          <w:szCs w:val="24"/>
          <w:lang w:eastAsia="en-GB"/>
        </w:rPr>
        <w:t xml:space="preserve"> 2004)</w:t>
      </w:r>
      <w:r w:rsidR="00037948">
        <w:rPr>
          <w:rFonts w:asciiTheme="majorBidi" w:eastAsia="Times New Roman" w:hAnsiTheme="majorBidi" w:cstheme="majorBidi"/>
          <w:sz w:val="24"/>
          <w:szCs w:val="24"/>
          <w:lang w:eastAsia="en-GB"/>
        </w:rPr>
        <w:t>.</w:t>
      </w:r>
      <w:r w:rsidR="009869EC">
        <w:rPr>
          <w:rFonts w:asciiTheme="majorBidi" w:eastAsia="Times New Roman" w:hAnsiTheme="majorBidi" w:cstheme="majorBidi"/>
          <w:sz w:val="24"/>
          <w:szCs w:val="24"/>
          <w:lang w:eastAsia="en-GB"/>
        </w:rPr>
        <w:t xml:space="preserve"> This is similar to the role of college/university presidents or rectors in the US/rest of the world.</w:t>
      </w:r>
      <w:r w:rsidR="00037948">
        <w:rPr>
          <w:rFonts w:asciiTheme="majorBidi" w:eastAsia="Times New Roman" w:hAnsiTheme="majorBidi" w:cstheme="majorBidi"/>
          <w:sz w:val="24"/>
          <w:szCs w:val="24"/>
          <w:lang w:eastAsia="en-GB"/>
        </w:rPr>
        <w:t xml:space="preserve"> </w:t>
      </w:r>
      <w:r w:rsidR="00EA19FE">
        <w:rPr>
          <w:rFonts w:asciiTheme="majorBidi" w:eastAsia="Times New Roman" w:hAnsiTheme="majorBidi" w:cstheme="majorBidi"/>
          <w:sz w:val="24"/>
          <w:szCs w:val="24"/>
          <w:lang w:eastAsia="en-GB"/>
        </w:rPr>
        <w:t>It has been argued that t</w:t>
      </w:r>
      <w:r w:rsidR="00037948">
        <w:rPr>
          <w:rFonts w:asciiTheme="majorBidi" w:eastAsia="Times New Roman" w:hAnsiTheme="majorBidi" w:cstheme="majorBidi"/>
          <w:sz w:val="24"/>
          <w:szCs w:val="24"/>
          <w:lang w:eastAsia="en-GB"/>
        </w:rPr>
        <w:t xml:space="preserve">he extent to which </w:t>
      </w:r>
      <w:r w:rsidR="00C9320F">
        <w:rPr>
          <w:rFonts w:asciiTheme="majorBidi" w:eastAsia="Times New Roman" w:hAnsiTheme="majorBidi" w:cstheme="majorBidi"/>
          <w:sz w:val="24"/>
          <w:szCs w:val="24"/>
          <w:lang w:eastAsia="en-GB"/>
        </w:rPr>
        <w:t>VCs</w:t>
      </w:r>
      <w:r w:rsidR="00037948">
        <w:rPr>
          <w:rFonts w:asciiTheme="majorBidi" w:eastAsia="Times New Roman" w:hAnsiTheme="majorBidi" w:cstheme="majorBidi"/>
          <w:sz w:val="24"/>
          <w:szCs w:val="24"/>
          <w:lang w:eastAsia="en-GB"/>
        </w:rPr>
        <w:t xml:space="preserve"> can influence HEIs’ strategic decisions will depend on their attributes, </w:t>
      </w:r>
      <w:r w:rsidR="00DA5E72">
        <w:rPr>
          <w:rFonts w:asciiTheme="majorBidi" w:eastAsia="Times New Roman" w:hAnsiTheme="majorBidi" w:cstheme="majorBidi"/>
          <w:sz w:val="24"/>
          <w:szCs w:val="24"/>
          <w:lang w:eastAsia="en-GB"/>
        </w:rPr>
        <w:t>such as</w:t>
      </w:r>
      <w:r w:rsidR="00037948">
        <w:rPr>
          <w:rFonts w:asciiTheme="majorBidi" w:eastAsia="Times New Roman" w:hAnsiTheme="majorBidi" w:cstheme="majorBidi"/>
          <w:sz w:val="24"/>
          <w:szCs w:val="24"/>
          <w:lang w:eastAsia="en-GB"/>
        </w:rPr>
        <w:t xml:space="preserve"> </w:t>
      </w:r>
      <w:r w:rsidR="00037948" w:rsidRPr="00511F36">
        <w:rPr>
          <w:rFonts w:asciiTheme="majorBidi" w:hAnsiTheme="majorBidi" w:cstheme="majorBidi"/>
          <w:sz w:val="24"/>
          <w:szCs w:val="24"/>
        </w:rPr>
        <w:t>age</w:t>
      </w:r>
      <w:r w:rsidR="00037948">
        <w:rPr>
          <w:rFonts w:asciiTheme="majorBidi" w:hAnsiTheme="majorBidi" w:cstheme="majorBidi"/>
          <w:sz w:val="24"/>
          <w:szCs w:val="24"/>
        </w:rPr>
        <w:t xml:space="preserve">, gender, </w:t>
      </w:r>
      <w:r w:rsidR="00DA5E72">
        <w:rPr>
          <w:rFonts w:asciiTheme="majorBidi" w:hAnsiTheme="majorBidi" w:cstheme="majorBidi"/>
          <w:sz w:val="24"/>
          <w:szCs w:val="24"/>
        </w:rPr>
        <w:t xml:space="preserve">academic </w:t>
      </w:r>
      <w:r w:rsidR="00037948">
        <w:rPr>
          <w:rFonts w:asciiTheme="majorBidi" w:hAnsiTheme="majorBidi" w:cstheme="majorBidi"/>
          <w:sz w:val="24"/>
          <w:szCs w:val="24"/>
        </w:rPr>
        <w:t>discipline</w:t>
      </w:r>
      <w:r w:rsidR="00DA5E72">
        <w:rPr>
          <w:rFonts w:asciiTheme="majorBidi" w:hAnsiTheme="majorBidi" w:cstheme="majorBidi"/>
          <w:sz w:val="24"/>
          <w:szCs w:val="24"/>
        </w:rPr>
        <w:t>/specialism</w:t>
      </w:r>
      <w:r w:rsidR="00037948">
        <w:rPr>
          <w:rFonts w:asciiTheme="majorBidi" w:hAnsiTheme="majorBidi" w:cstheme="majorBidi"/>
          <w:sz w:val="24"/>
          <w:szCs w:val="24"/>
        </w:rPr>
        <w:t xml:space="preserve"> and tenure (</w:t>
      </w:r>
      <w:r w:rsidR="00037948">
        <w:rPr>
          <w:rFonts w:asciiTheme="majorBidi" w:eastAsia="Times New Roman" w:hAnsiTheme="majorBidi" w:cstheme="majorBidi"/>
          <w:sz w:val="24"/>
          <w:szCs w:val="24"/>
          <w:lang w:eastAsia="en-GB"/>
        </w:rPr>
        <w:t xml:space="preserve">Breakwell </w:t>
      </w:r>
      <w:r w:rsidR="00037948" w:rsidRPr="005E07D6">
        <w:rPr>
          <w:rFonts w:asciiTheme="majorBidi" w:eastAsia="Times New Roman" w:hAnsiTheme="majorBidi" w:cstheme="majorBidi"/>
          <w:sz w:val="24"/>
          <w:szCs w:val="24"/>
          <w:lang w:eastAsia="en-GB"/>
        </w:rPr>
        <w:t>&amp; Tytherleigh</w:t>
      </w:r>
      <w:r w:rsidR="00037948">
        <w:rPr>
          <w:rFonts w:asciiTheme="majorBidi" w:eastAsia="Times New Roman" w:hAnsiTheme="majorBidi" w:cstheme="majorBidi"/>
          <w:sz w:val="24"/>
          <w:szCs w:val="24"/>
          <w:lang w:eastAsia="en-GB"/>
        </w:rPr>
        <w:t>, 2008b, 2010</w:t>
      </w:r>
      <w:r w:rsidR="000C6CF5">
        <w:rPr>
          <w:rFonts w:asciiTheme="majorBidi" w:eastAsia="Times New Roman" w:hAnsiTheme="majorBidi" w:cstheme="majorBidi"/>
          <w:sz w:val="24"/>
          <w:szCs w:val="24"/>
          <w:lang w:eastAsia="en-GB"/>
        </w:rPr>
        <w:t>; Ntim et al., 2017</w:t>
      </w:r>
      <w:r w:rsidR="00037948">
        <w:rPr>
          <w:rFonts w:asciiTheme="majorBidi" w:eastAsia="Times New Roman" w:hAnsiTheme="majorBidi" w:cstheme="majorBidi"/>
          <w:sz w:val="24"/>
          <w:szCs w:val="24"/>
          <w:lang w:eastAsia="en-GB"/>
        </w:rPr>
        <w:t>)</w:t>
      </w:r>
      <w:r w:rsidR="000C6CF5">
        <w:rPr>
          <w:rFonts w:asciiTheme="majorBidi" w:eastAsia="Times New Roman" w:hAnsiTheme="majorBidi" w:cstheme="majorBidi"/>
          <w:sz w:val="24"/>
          <w:szCs w:val="24"/>
          <w:lang w:eastAsia="en-GB"/>
        </w:rPr>
        <w:t xml:space="preserve">. We, therefore, examine the impact of four </w:t>
      </w:r>
      <w:r w:rsidR="00C9320F">
        <w:rPr>
          <w:rFonts w:asciiTheme="majorBidi" w:eastAsia="Times New Roman" w:hAnsiTheme="majorBidi" w:cstheme="majorBidi"/>
          <w:sz w:val="24"/>
          <w:szCs w:val="24"/>
          <w:lang w:eastAsia="en-GB"/>
        </w:rPr>
        <w:t>VC</w:t>
      </w:r>
      <w:r w:rsidR="000C6CF5">
        <w:rPr>
          <w:rFonts w:asciiTheme="majorBidi" w:eastAsia="Times New Roman" w:hAnsiTheme="majorBidi" w:cstheme="majorBidi"/>
          <w:sz w:val="24"/>
          <w:szCs w:val="24"/>
          <w:lang w:eastAsia="en-GB"/>
        </w:rPr>
        <w:t xml:space="preserve"> characteristics (</w:t>
      </w:r>
      <w:r w:rsidR="000C6CF5" w:rsidRPr="00511F36">
        <w:rPr>
          <w:rFonts w:asciiTheme="majorBidi" w:hAnsiTheme="majorBidi" w:cstheme="majorBidi"/>
          <w:sz w:val="24"/>
          <w:szCs w:val="24"/>
        </w:rPr>
        <w:t>age</w:t>
      </w:r>
      <w:r w:rsidR="000C6CF5">
        <w:rPr>
          <w:rFonts w:asciiTheme="majorBidi" w:hAnsiTheme="majorBidi" w:cstheme="majorBidi"/>
          <w:sz w:val="24"/>
          <w:szCs w:val="24"/>
        </w:rPr>
        <w:t>, gender, discipline and tenure</w:t>
      </w:r>
      <w:r w:rsidR="000C6CF5">
        <w:rPr>
          <w:rFonts w:asciiTheme="majorBidi" w:eastAsia="Times New Roman" w:hAnsiTheme="majorBidi" w:cstheme="majorBidi"/>
          <w:sz w:val="24"/>
          <w:szCs w:val="24"/>
          <w:lang w:eastAsia="en-GB"/>
        </w:rPr>
        <w:t>) on voluntary governance disclosures</w:t>
      </w:r>
      <w:r w:rsidR="00E00B04">
        <w:rPr>
          <w:rFonts w:asciiTheme="majorBidi" w:eastAsia="Times New Roman" w:hAnsiTheme="majorBidi" w:cstheme="majorBidi"/>
          <w:sz w:val="24"/>
          <w:szCs w:val="24"/>
          <w:lang w:eastAsia="en-GB"/>
        </w:rPr>
        <w:t xml:space="preserve"> in the current study</w:t>
      </w:r>
      <w:r w:rsidR="000C6CF5">
        <w:rPr>
          <w:rFonts w:asciiTheme="majorBidi" w:eastAsia="Times New Roman" w:hAnsiTheme="majorBidi" w:cstheme="majorBidi"/>
          <w:sz w:val="24"/>
          <w:szCs w:val="24"/>
          <w:lang w:eastAsia="en-GB"/>
        </w:rPr>
        <w:t xml:space="preserve">. These four characteristics have been selected </w:t>
      </w:r>
      <w:r w:rsidR="00E00B04">
        <w:rPr>
          <w:rFonts w:asciiTheme="majorBidi" w:eastAsia="Times New Roman" w:hAnsiTheme="majorBidi" w:cstheme="majorBidi"/>
          <w:sz w:val="24"/>
          <w:szCs w:val="24"/>
          <w:lang w:eastAsia="en-GB"/>
        </w:rPr>
        <w:t xml:space="preserve">since they </w:t>
      </w:r>
      <w:r w:rsidR="001203FC">
        <w:rPr>
          <w:rFonts w:asciiTheme="majorBidi" w:eastAsia="Times New Roman" w:hAnsiTheme="majorBidi" w:cstheme="majorBidi"/>
          <w:sz w:val="24"/>
          <w:szCs w:val="24"/>
          <w:lang w:eastAsia="en-GB"/>
        </w:rPr>
        <w:t>have been</w:t>
      </w:r>
      <w:r w:rsidR="00E00B04">
        <w:rPr>
          <w:rFonts w:asciiTheme="majorBidi" w:eastAsia="Times New Roman" w:hAnsiTheme="majorBidi" w:cstheme="majorBidi"/>
          <w:sz w:val="24"/>
          <w:szCs w:val="24"/>
          <w:lang w:eastAsia="en-GB"/>
        </w:rPr>
        <w:t xml:space="preserve"> examined by</w:t>
      </w:r>
      <w:r w:rsidR="00FF75EF">
        <w:rPr>
          <w:rFonts w:asciiTheme="majorBidi" w:eastAsia="Times New Roman" w:hAnsiTheme="majorBidi" w:cstheme="majorBidi"/>
          <w:sz w:val="24"/>
          <w:szCs w:val="24"/>
          <w:lang w:eastAsia="en-GB"/>
        </w:rPr>
        <w:t xml:space="preserve"> </w:t>
      </w:r>
      <w:r w:rsidR="00E00B04">
        <w:rPr>
          <w:rFonts w:asciiTheme="majorBidi" w:eastAsia="Times New Roman" w:hAnsiTheme="majorBidi" w:cstheme="majorBidi"/>
          <w:sz w:val="24"/>
          <w:szCs w:val="24"/>
          <w:lang w:eastAsia="en-GB"/>
        </w:rPr>
        <w:lastRenderedPageBreak/>
        <w:t xml:space="preserve">prior </w:t>
      </w:r>
      <w:r w:rsidR="00BD1499">
        <w:rPr>
          <w:rFonts w:asciiTheme="majorBidi" w:eastAsia="Times New Roman" w:hAnsiTheme="majorBidi" w:cstheme="majorBidi"/>
          <w:sz w:val="24"/>
          <w:szCs w:val="24"/>
          <w:lang w:eastAsia="en-GB"/>
        </w:rPr>
        <w:t xml:space="preserve">HE </w:t>
      </w:r>
      <w:r w:rsidR="00FF75EF">
        <w:rPr>
          <w:rFonts w:asciiTheme="majorBidi" w:eastAsia="Times New Roman" w:hAnsiTheme="majorBidi" w:cstheme="majorBidi"/>
          <w:sz w:val="24"/>
          <w:szCs w:val="24"/>
          <w:lang w:eastAsia="en-GB"/>
        </w:rPr>
        <w:t xml:space="preserve">studies (Breakwell </w:t>
      </w:r>
      <w:r w:rsidR="00FF75EF" w:rsidRPr="005E07D6">
        <w:rPr>
          <w:rFonts w:asciiTheme="majorBidi" w:eastAsia="Times New Roman" w:hAnsiTheme="majorBidi" w:cstheme="majorBidi"/>
          <w:sz w:val="24"/>
          <w:szCs w:val="24"/>
          <w:lang w:eastAsia="en-GB"/>
        </w:rPr>
        <w:t>&amp; Tytherleigh</w:t>
      </w:r>
      <w:r w:rsidR="00FF75EF">
        <w:rPr>
          <w:rFonts w:asciiTheme="majorBidi" w:eastAsia="Times New Roman" w:hAnsiTheme="majorBidi" w:cstheme="majorBidi"/>
          <w:sz w:val="24"/>
          <w:szCs w:val="24"/>
          <w:lang w:eastAsia="en-GB"/>
        </w:rPr>
        <w:t xml:space="preserve">, 2008b, 2010; Ntim et al., 2017; </w:t>
      </w:r>
      <w:r w:rsidR="00FF75EF" w:rsidRPr="00FF75EF">
        <w:rPr>
          <w:rFonts w:asciiTheme="majorBidi" w:eastAsia="Times New Roman" w:hAnsiTheme="majorBidi" w:cstheme="majorBidi"/>
          <w:sz w:val="24"/>
          <w:szCs w:val="24"/>
          <w:lang w:eastAsia="en-GB"/>
        </w:rPr>
        <w:t>Sánchez-Moreno</w:t>
      </w:r>
      <w:r w:rsidR="00FF75EF">
        <w:rPr>
          <w:rFonts w:asciiTheme="majorBidi" w:eastAsia="Times New Roman" w:hAnsiTheme="majorBidi" w:cstheme="majorBidi"/>
          <w:sz w:val="24"/>
          <w:szCs w:val="24"/>
          <w:lang w:eastAsia="en-GB"/>
        </w:rPr>
        <w:t xml:space="preserve"> et al., 2015)</w:t>
      </w:r>
      <w:r w:rsidR="00E00B04">
        <w:rPr>
          <w:rFonts w:asciiTheme="majorBidi" w:eastAsia="Times New Roman" w:hAnsiTheme="majorBidi" w:cstheme="majorBidi"/>
          <w:sz w:val="24"/>
          <w:szCs w:val="24"/>
          <w:lang w:eastAsia="en-GB"/>
        </w:rPr>
        <w:t xml:space="preserve">, as well as they can be objectively captured/measured (Breakwell </w:t>
      </w:r>
      <w:r w:rsidR="00E00B04" w:rsidRPr="005E07D6">
        <w:rPr>
          <w:rFonts w:asciiTheme="majorBidi" w:eastAsia="Times New Roman" w:hAnsiTheme="majorBidi" w:cstheme="majorBidi"/>
          <w:sz w:val="24"/>
          <w:szCs w:val="24"/>
          <w:lang w:eastAsia="en-GB"/>
        </w:rPr>
        <w:t>&amp; Tytherleigh</w:t>
      </w:r>
      <w:r w:rsidR="00E00B04">
        <w:rPr>
          <w:rFonts w:asciiTheme="majorBidi" w:eastAsia="Times New Roman" w:hAnsiTheme="majorBidi" w:cstheme="majorBidi"/>
          <w:sz w:val="24"/>
          <w:szCs w:val="24"/>
          <w:lang w:eastAsia="en-GB"/>
        </w:rPr>
        <w:t>, 2008</w:t>
      </w:r>
      <w:r w:rsidR="009866E7">
        <w:rPr>
          <w:rFonts w:asciiTheme="majorBidi" w:eastAsia="Times New Roman" w:hAnsiTheme="majorBidi" w:cstheme="majorBidi"/>
          <w:sz w:val="24"/>
          <w:szCs w:val="24"/>
          <w:lang w:eastAsia="en-GB"/>
        </w:rPr>
        <w:t>a,</w:t>
      </w:r>
      <w:r w:rsidR="00362272">
        <w:rPr>
          <w:rFonts w:asciiTheme="majorBidi" w:eastAsia="Times New Roman" w:hAnsiTheme="majorBidi" w:cstheme="majorBidi"/>
          <w:sz w:val="24"/>
          <w:szCs w:val="24"/>
          <w:lang w:eastAsia="en-GB"/>
        </w:rPr>
        <w:t xml:space="preserve"> 2008</w:t>
      </w:r>
      <w:r w:rsidR="00E00B04">
        <w:rPr>
          <w:rFonts w:asciiTheme="majorBidi" w:eastAsia="Times New Roman" w:hAnsiTheme="majorBidi" w:cstheme="majorBidi"/>
          <w:sz w:val="24"/>
          <w:szCs w:val="24"/>
          <w:lang w:eastAsia="en-GB"/>
        </w:rPr>
        <w:t>b</w:t>
      </w:r>
      <w:r w:rsidR="009866E7">
        <w:rPr>
          <w:rFonts w:asciiTheme="majorBidi" w:eastAsia="Times New Roman" w:hAnsiTheme="majorBidi" w:cstheme="majorBidi"/>
          <w:sz w:val="24"/>
          <w:szCs w:val="24"/>
          <w:lang w:eastAsia="en-GB"/>
        </w:rPr>
        <w:t xml:space="preserve">, </w:t>
      </w:r>
      <w:r w:rsidR="00E00B04">
        <w:rPr>
          <w:rFonts w:asciiTheme="majorBidi" w:eastAsia="Times New Roman" w:hAnsiTheme="majorBidi" w:cstheme="majorBidi"/>
          <w:sz w:val="24"/>
          <w:szCs w:val="24"/>
          <w:lang w:eastAsia="en-GB"/>
        </w:rPr>
        <w:t xml:space="preserve">2010). </w:t>
      </w:r>
    </w:p>
    <w:p w14:paraId="46BF6982" w14:textId="551CFC6B" w:rsidR="00290273" w:rsidRDefault="00DD5A9D" w:rsidP="00C63EF2">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Theoretically</w:t>
      </w:r>
      <w:r w:rsidR="001203FC">
        <w:rPr>
          <w:rFonts w:asciiTheme="majorBidi" w:hAnsiTheme="majorBidi" w:cstheme="majorBidi"/>
          <w:sz w:val="24"/>
          <w:szCs w:val="24"/>
        </w:rPr>
        <w:t xml:space="preserve"> and on the one hand</w:t>
      </w:r>
      <w:r w:rsidRPr="00511F36">
        <w:rPr>
          <w:rFonts w:asciiTheme="majorBidi" w:hAnsiTheme="majorBidi" w:cstheme="majorBidi"/>
          <w:sz w:val="24"/>
          <w:szCs w:val="24"/>
        </w:rPr>
        <w:t xml:space="preserve">, </w:t>
      </w:r>
      <w:r w:rsidR="00840EE8">
        <w:rPr>
          <w:rFonts w:asciiTheme="majorBidi" w:hAnsiTheme="majorBidi" w:cstheme="majorBidi"/>
          <w:sz w:val="24"/>
          <w:szCs w:val="24"/>
        </w:rPr>
        <w:t xml:space="preserve">the efficiency view of neo-institutional theory </w:t>
      </w:r>
      <w:r w:rsidR="00DC107A">
        <w:rPr>
          <w:rFonts w:asciiTheme="majorBidi" w:hAnsiTheme="majorBidi" w:cstheme="majorBidi"/>
          <w:sz w:val="24"/>
          <w:szCs w:val="24"/>
        </w:rPr>
        <w:t>(</w:t>
      </w:r>
      <w:r w:rsidR="00DC107A">
        <w:rPr>
          <w:rFonts w:asciiTheme="majorBidi" w:eastAsia="Times New Roman" w:hAnsiTheme="majorBidi" w:cstheme="majorBidi"/>
          <w:sz w:val="24"/>
          <w:szCs w:val="24"/>
          <w:lang w:eastAsia="en-GB"/>
        </w:rPr>
        <w:t xml:space="preserve">Breakwell </w:t>
      </w:r>
      <w:r w:rsidR="00DC107A" w:rsidRPr="005E07D6">
        <w:rPr>
          <w:rFonts w:asciiTheme="majorBidi" w:eastAsia="Times New Roman" w:hAnsiTheme="majorBidi" w:cstheme="majorBidi"/>
          <w:sz w:val="24"/>
          <w:szCs w:val="24"/>
          <w:lang w:eastAsia="en-GB"/>
        </w:rPr>
        <w:t>&amp; Tytherleigh</w:t>
      </w:r>
      <w:r w:rsidR="00DC107A">
        <w:rPr>
          <w:rFonts w:asciiTheme="majorBidi" w:eastAsia="Times New Roman" w:hAnsiTheme="majorBidi" w:cstheme="majorBidi"/>
          <w:sz w:val="24"/>
          <w:szCs w:val="24"/>
          <w:lang w:eastAsia="en-GB"/>
        </w:rPr>
        <w:t xml:space="preserve">, 2008b, 2010; </w:t>
      </w:r>
      <w:r w:rsidR="000357E8" w:rsidRPr="00511F36">
        <w:rPr>
          <w:rFonts w:asciiTheme="majorBidi" w:eastAsia="Times New Roman" w:hAnsiTheme="majorBidi" w:cstheme="majorBidi"/>
          <w:sz w:val="24"/>
          <w:szCs w:val="24"/>
          <w:lang w:eastAsia="en-GB"/>
        </w:rPr>
        <w:t>Huang</w:t>
      </w:r>
      <w:r w:rsidR="000357E8">
        <w:rPr>
          <w:rFonts w:asciiTheme="majorBidi" w:hAnsiTheme="majorBidi" w:cstheme="majorBidi"/>
          <w:sz w:val="24"/>
          <w:szCs w:val="24"/>
        </w:rPr>
        <w:t xml:space="preserve"> et al., 2012; </w:t>
      </w:r>
      <w:r w:rsidR="00DC107A">
        <w:rPr>
          <w:rFonts w:asciiTheme="majorBidi" w:hAnsiTheme="majorBidi" w:cstheme="majorBidi"/>
          <w:sz w:val="24"/>
          <w:szCs w:val="24"/>
        </w:rPr>
        <w:t>Ntim et al., 2017) suggest</w:t>
      </w:r>
      <w:r w:rsidR="003E2750">
        <w:rPr>
          <w:rFonts w:asciiTheme="majorBidi" w:hAnsiTheme="majorBidi" w:cstheme="majorBidi"/>
          <w:sz w:val="24"/>
          <w:szCs w:val="24"/>
        </w:rPr>
        <w:t>s</w:t>
      </w:r>
      <w:r w:rsidR="00DC107A">
        <w:rPr>
          <w:rFonts w:asciiTheme="majorBidi" w:hAnsiTheme="majorBidi" w:cstheme="majorBidi"/>
          <w:sz w:val="24"/>
          <w:szCs w:val="24"/>
        </w:rPr>
        <w:t xml:space="preserve"> that</w:t>
      </w:r>
      <w:r w:rsidR="00290273">
        <w:rPr>
          <w:rFonts w:asciiTheme="majorBidi" w:hAnsiTheme="majorBidi" w:cstheme="majorBidi"/>
          <w:sz w:val="24"/>
          <w:szCs w:val="24"/>
        </w:rPr>
        <w:t xml:space="preserve"> older and long-tenured </w:t>
      </w:r>
      <w:r w:rsidR="00EA57FE">
        <w:rPr>
          <w:rFonts w:asciiTheme="majorBidi" w:hAnsiTheme="majorBidi" w:cstheme="majorBidi"/>
          <w:sz w:val="24"/>
          <w:szCs w:val="24"/>
        </w:rPr>
        <w:t>directors</w:t>
      </w:r>
      <w:r w:rsidR="00290273">
        <w:rPr>
          <w:rFonts w:asciiTheme="majorBidi" w:hAnsiTheme="majorBidi" w:cstheme="majorBidi"/>
          <w:sz w:val="24"/>
          <w:szCs w:val="24"/>
        </w:rPr>
        <w:t xml:space="preserve"> tend to have</w:t>
      </w:r>
      <w:r w:rsidR="00C9320F">
        <w:rPr>
          <w:rFonts w:asciiTheme="majorBidi" w:hAnsiTheme="majorBidi" w:cstheme="majorBidi"/>
          <w:sz w:val="24"/>
          <w:szCs w:val="24"/>
        </w:rPr>
        <w:t xml:space="preserve"> greater experience, knowledge</w:t>
      </w:r>
      <w:r w:rsidR="00DC107A">
        <w:rPr>
          <w:rFonts w:asciiTheme="majorBidi" w:hAnsiTheme="majorBidi" w:cstheme="majorBidi"/>
          <w:sz w:val="24"/>
          <w:szCs w:val="24"/>
        </w:rPr>
        <w:t xml:space="preserve">, </w:t>
      </w:r>
      <w:r w:rsidR="00290273">
        <w:rPr>
          <w:rFonts w:asciiTheme="majorBidi" w:hAnsiTheme="majorBidi" w:cstheme="majorBidi"/>
          <w:sz w:val="24"/>
          <w:szCs w:val="24"/>
        </w:rPr>
        <w:t>skills</w:t>
      </w:r>
      <w:r w:rsidR="00DC107A">
        <w:rPr>
          <w:rFonts w:asciiTheme="majorBidi" w:hAnsiTheme="majorBidi" w:cstheme="majorBidi"/>
          <w:sz w:val="24"/>
          <w:szCs w:val="24"/>
        </w:rPr>
        <w:t xml:space="preserve"> and financial ability to deal </w:t>
      </w:r>
      <w:r w:rsidR="001203FC">
        <w:rPr>
          <w:rFonts w:asciiTheme="majorBidi" w:hAnsiTheme="majorBidi" w:cstheme="majorBidi"/>
          <w:sz w:val="24"/>
          <w:szCs w:val="24"/>
        </w:rPr>
        <w:t xml:space="preserve">with </w:t>
      </w:r>
      <w:r w:rsidR="00C9320F">
        <w:rPr>
          <w:rFonts w:asciiTheme="majorBidi" w:hAnsiTheme="majorBidi" w:cstheme="majorBidi"/>
          <w:sz w:val="24"/>
          <w:szCs w:val="24"/>
        </w:rPr>
        <w:t>complex issues, and this consequently can facilitate compliance with</w:t>
      </w:r>
      <w:r w:rsidR="002D1244">
        <w:rPr>
          <w:rFonts w:asciiTheme="majorBidi" w:hAnsiTheme="majorBidi" w:cstheme="majorBidi"/>
          <w:sz w:val="24"/>
          <w:szCs w:val="24"/>
        </w:rPr>
        <w:t>,</w:t>
      </w:r>
      <w:r w:rsidR="00C9320F">
        <w:rPr>
          <w:rFonts w:asciiTheme="majorBidi" w:hAnsiTheme="majorBidi" w:cstheme="majorBidi"/>
          <w:sz w:val="24"/>
          <w:szCs w:val="24"/>
        </w:rPr>
        <w:t xml:space="preserve"> and disclosure of</w:t>
      </w:r>
      <w:r w:rsidR="003B2555">
        <w:rPr>
          <w:rFonts w:asciiTheme="majorBidi" w:hAnsiTheme="majorBidi" w:cstheme="majorBidi"/>
          <w:sz w:val="24"/>
          <w:szCs w:val="24"/>
        </w:rPr>
        <w:t>,</w:t>
      </w:r>
      <w:r w:rsidR="00C9320F">
        <w:rPr>
          <w:rFonts w:asciiTheme="majorBidi" w:hAnsiTheme="majorBidi" w:cstheme="majorBidi"/>
          <w:sz w:val="24"/>
          <w:szCs w:val="24"/>
        </w:rPr>
        <w:t xml:space="preserve"> gov</w:t>
      </w:r>
      <w:r w:rsidR="00DC107A">
        <w:rPr>
          <w:rFonts w:asciiTheme="majorBidi" w:hAnsiTheme="majorBidi" w:cstheme="majorBidi"/>
          <w:sz w:val="24"/>
          <w:szCs w:val="24"/>
        </w:rPr>
        <w:t xml:space="preserve">ernance practices. </w:t>
      </w:r>
      <w:r w:rsidR="005551A8">
        <w:rPr>
          <w:rFonts w:asciiTheme="majorBidi" w:hAnsiTheme="majorBidi" w:cstheme="majorBidi"/>
          <w:sz w:val="24"/>
          <w:szCs w:val="24"/>
        </w:rPr>
        <w:t>On the other hand</w:t>
      </w:r>
      <w:r w:rsidR="00DC107A">
        <w:rPr>
          <w:rFonts w:asciiTheme="majorBidi" w:hAnsiTheme="majorBidi" w:cstheme="majorBidi"/>
          <w:sz w:val="24"/>
          <w:szCs w:val="24"/>
        </w:rPr>
        <w:t xml:space="preserve">, </w:t>
      </w:r>
      <w:r w:rsidR="00840EE8">
        <w:rPr>
          <w:rFonts w:asciiTheme="majorBidi" w:hAnsiTheme="majorBidi" w:cstheme="majorBidi"/>
          <w:sz w:val="24"/>
          <w:szCs w:val="24"/>
        </w:rPr>
        <w:t>neo-institutional theory (</w:t>
      </w:r>
      <w:r w:rsidR="004411CF">
        <w:rPr>
          <w:rFonts w:asciiTheme="majorBidi" w:hAnsiTheme="majorBidi" w:cstheme="majorBidi"/>
          <w:sz w:val="24"/>
          <w:szCs w:val="24"/>
        </w:rPr>
        <w:t>legitimation</w:t>
      </w:r>
      <w:r w:rsidR="00840EE8">
        <w:rPr>
          <w:rFonts w:asciiTheme="majorBidi" w:hAnsiTheme="majorBidi" w:cstheme="majorBidi"/>
          <w:sz w:val="24"/>
          <w:szCs w:val="24"/>
        </w:rPr>
        <w:t xml:space="preserve"> view) </w:t>
      </w:r>
      <w:r w:rsidR="004411CF">
        <w:rPr>
          <w:rFonts w:asciiTheme="majorBidi" w:hAnsiTheme="majorBidi" w:cstheme="majorBidi"/>
          <w:sz w:val="24"/>
          <w:szCs w:val="24"/>
        </w:rPr>
        <w:t>indicates</w:t>
      </w:r>
      <w:r w:rsidR="00E01992">
        <w:rPr>
          <w:rFonts w:asciiTheme="majorBidi" w:hAnsiTheme="majorBidi" w:cstheme="majorBidi"/>
          <w:sz w:val="24"/>
          <w:szCs w:val="24"/>
        </w:rPr>
        <w:t xml:space="preserve"> that young and short-tenured </w:t>
      </w:r>
      <w:r w:rsidR="00EA57FE">
        <w:rPr>
          <w:rFonts w:asciiTheme="majorBidi" w:hAnsiTheme="majorBidi" w:cstheme="majorBidi"/>
          <w:sz w:val="24"/>
          <w:szCs w:val="24"/>
        </w:rPr>
        <w:t>directors</w:t>
      </w:r>
      <w:r w:rsidR="00E01992">
        <w:rPr>
          <w:rFonts w:asciiTheme="majorBidi" w:hAnsiTheme="majorBidi" w:cstheme="majorBidi"/>
          <w:sz w:val="24"/>
          <w:szCs w:val="24"/>
        </w:rPr>
        <w:t xml:space="preserve"> </w:t>
      </w:r>
      <w:r w:rsidR="00EA57FE">
        <w:rPr>
          <w:rFonts w:asciiTheme="majorBidi" w:hAnsiTheme="majorBidi" w:cstheme="majorBidi"/>
          <w:sz w:val="24"/>
          <w:szCs w:val="24"/>
        </w:rPr>
        <w:t xml:space="preserve">have </w:t>
      </w:r>
      <w:r w:rsidR="00C5574D">
        <w:rPr>
          <w:rFonts w:asciiTheme="majorBidi" w:hAnsiTheme="majorBidi" w:cstheme="majorBidi"/>
          <w:sz w:val="24"/>
          <w:szCs w:val="24"/>
        </w:rPr>
        <w:t>higher</w:t>
      </w:r>
      <w:r w:rsidR="00EA57FE">
        <w:rPr>
          <w:rFonts w:asciiTheme="majorBidi" w:hAnsiTheme="majorBidi" w:cstheme="majorBidi"/>
          <w:sz w:val="24"/>
          <w:szCs w:val="24"/>
        </w:rPr>
        <w:t xml:space="preserve"> motivation to strengthen the implementation of good governance practices in order to enhance/further develop their status in the employment markets</w:t>
      </w:r>
      <w:r w:rsidR="00C5574D">
        <w:rPr>
          <w:rFonts w:asciiTheme="majorBidi" w:hAnsiTheme="majorBidi" w:cstheme="majorBidi"/>
          <w:sz w:val="24"/>
          <w:szCs w:val="24"/>
        </w:rPr>
        <w:t xml:space="preserve"> than older and long-tenured directors</w:t>
      </w:r>
      <w:r w:rsidR="004411CF">
        <w:rPr>
          <w:rFonts w:asciiTheme="majorBidi" w:hAnsiTheme="majorBidi" w:cstheme="majorBidi"/>
          <w:sz w:val="24"/>
          <w:szCs w:val="24"/>
        </w:rPr>
        <w:t xml:space="preserve"> (</w:t>
      </w:r>
      <w:r w:rsidR="004411CF">
        <w:rPr>
          <w:rFonts w:asciiTheme="majorBidi" w:eastAsia="Times New Roman" w:hAnsiTheme="majorBidi" w:cstheme="majorBidi"/>
          <w:sz w:val="24"/>
          <w:szCs w:val="24"/>
          <w:lang w:eastAsia="en-GB"/>
        </w:rPr>
        <w:t>Brickley et al., 2010)</w:t>
      </w:r>
      <w:r w:rsidR="00EA57FE">
        <w:rPr>
          <w:rFonts w:asciiTheme="majorBidi" w:hAnsiTheme="majorBidi" w:cstheme="majorBidi"/>
          <w:sz w:val="24"/>
          <w:szCs w:val="24"/>
        </w:rPr>
        <w:t xml:space="preserve">. </w:t>
      </w:r>
    </w:p>
    <w:p w14:paraId="411B1967" w14:textId="1A867463" w:rsidR="00E866A9" w:rsidRDefault="00E0522D" w:rsidP="00C63EF2">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In terms of</w:t>
      </w:r>
      <w:r w:rsidR="00EA57FE">
        <w:rPr>
          <w:rFonts w:asciiTheme="majorBidi" w:hAnsiTheme="majorBidi" w:cstheme="majorBidi"/>
          <w:sz w:val="24"/>
          <w:szCs w:val="24"/>
        </w:rPr>
        <w:t xml:space="preserve"> gender diversity, </w:t>
      </w:r>
      <w:r w:rsidR="009571DF">
        <w:rPr>
          <w:rFonts w:asciiTheme="majorBidi" w:hAnsiTheme="majorBidi" w:cstheme="majorBidi"/>
          <w:sz w:val="24"/>
          <w:szCs w:val="24"/>
        </w:rPr>
        <w:t xml:space="preserve">the legitimation view of neo-institutional theory </w:t>
      </w:r>
      <w:r w:rsidR="00374BAC">
        <w:rPr>
          <w:rFonts w:asciiTheme="majorBidi" w:hAnsiTheme="majorBidi" w:cstheme="majorBidi"/>
          <w:sz w:val="24"/>
          <w:szCs w:val="24"/>
        </w:rPr>
        <w:t>suggest</w:t>
      </w:r>
      <w:r w:rsidR="003E2750">
        <w:rPr>
          <w:rFonts w:asciiTheme="majorBidi" w:hAnsiTheme="majorBidi" w:cstheme="majorBidi"/>
          <w:sz w:val="24"/>
          <w:szCs w:val="24"/>
        </w:rPr>
        <w:t>s</w:t>
      </w:r>
      <w:r w:rsidR="00374BAC">
        <w:rPr>
          <w:rFonts w:asciiTheme="majorBidi" w:hAnsiTheme="majorBidi" w:cstheme="majorBidi"/>
          <w:sz w:val="24"/>
          <w:szCs w:val="24"/>
        </w:rPr>
        <w:t xml:space="preserve"> that</w:t>
      </w:r>
      <w:r w:rsidR="002D1244">
        <w:rPr>
          <w:rFonts w:asciiTheme="majorBidi" w:hAnsiTheme="majorBidi" w:cstheme="majorBidi"/>
          <w:sz w:val="24"/>
          <w:szCs w:val="24"/>
        </w:rPr>
        <w:t xml:space="preserve"> HEIs may recruit</w:t>
      </w:r>
      <w:r w:rsidR="00374BAC">
        <w:rPr>
          <w:rFonts w:asciiTheme="majorBidi" w:hAnsiTheme="majorBidi" w:cstheme="majorBidi"/>
          <w:sz w:val="24"/>
          <w:szCs w:val="24"/>
        </w:rPr>
        <w:t xml:space="preserve"> female directors for symbolic reasons, and hence </w:t>
      </w:r>
      <w:r w:rsidR="00146A15">
        <w:rPr>
          <w:rFonts w:asciiTheme="majorBidi" w:hAnsiTheme="majorBidi" w:cstheme="majorBidi"/>
          <w:sz w:val="24"/>
          <w:szCs w:val="24"/>
        </w:rPr>
        <w:t>these directors may not be actively involved in making strategic decisions, including those relating to governance disclosures</w:t>
      </w:r>
      <w:r w:rsidR="009571DF">
        <w:rPr>
          <w:rFonts w:asciiTheme="majorBidi" w:hAnsiTheme="majorBidi" w:cstheme="majorBidi"/>
          <w:sz w:val="24"/>
          <w:szCs w:val="24"/>
        </w:rPr>
        <w:t xml:space="preserve"> (</w:t>
      </w:r>
      <w:r w:rsidR="009571DF" w:rsidRPr="00374BAC">
        <w:rPr>
          <w:rFonts w:asciiTheme="majorBidi" w:eastAsia="Times New Roman" w:hAnsiTheme="majorBidi" w:cstheme="majorBidi"/>
          <w:sz w:val="24"/>
          <w:szCs w:val="24"/>
          <w:lang w:eastAsia="en-GB"/>
        </w:rPr>
        <w:t>Young</w:t>
      </w:r>
      <w:r w:rsidR="009571DF">
        <w:rPr>
          <w:rFonts w:asciiTheme="majorBidi" w:eastAsia="Times New Roman" w:hAnsiTheme="majorBidi" w:cstheme="majorBidi"/>
          <w:sz w:val="24"/>
          <w:szCs w:val="24"/>
          <w:lang w:eastAsia="en-GB"/>
        </w:rPr>
        <w:t>, 2004)</w:t>
      </w:r>
      <w:r w:rsidR="00146A15">
        <w:rPr>
          <w:rFonts w:asciiTheme="majorBidi" w:hAnsiTheme="majorBidi" w:cstheme="majorBidi"/>
          <w:sz w:val="24"/>
          <w:szCs w:val="24"/>
        </w:rPr>
        <w:t xml:space="preserve">. By contrast, </w:t>
      </w:r>
      <w:r w:rsidR="009571DF">
        <w:rPr>
          <w:rFonts w:asciiTheme="majorBidi" w:hAnsiTheme="majorBidi" w:cstheme="majorBidi"/>
          <w:sz w:val="24"/>
          <w:szCs w:val="24"/>
        </w:rPr>
        <w:t xml:space="preserve">and from neo-institutional efficiency perspective, </w:t>
      </w:r>
      <w:r w:rsidR="00146A15">
        <w:rPr>
          <w:rFonts w:asciiTheme="majorBidi" w:hAnsiTheme="majorBidi" w:cstheme="majorBidi"/>
          <w:sz w:val="24"/>
          <w:szCs w:val="24"/>
        </w:rPr>
        <w:t>HEIs may appoint female VCs to improve boardroom efficiency and independence by brin</w:t>
      </w:r>
      <w:r w:rsidR="0046486F">
        <w:rPr>
          <w:rFonts w:asciiTheme="majorBidi" w:hAnsiTheme="majorBidi" w:cstheme="majorBidi"/>
          <w:sz w:val="24"/>
          <w:szCs w:val="24"/>
        </w:rPr>
        <w:t>g</w:t>
      </w:r>
      <w:r w:rsidR="00146A15">
        <w:rPr>
          <w:rFonts w:asciiTheme="majorBidi" w:hAnsiTheme="majorBidi" w:cstheme="majorBidi"/>
          <w:sz w:val="24"/>
          <w:szCs w:val="24"/>
        </w:rPr>
        <w:t>ing diverse ideas, knowledge, views, perspectives and experience</w:t>
      </w:r>
      <w:r w:rsidR="0046486F">
        <w:rPr>
          <w:rFonts w:asciiTheme="majorBidi" w:hAnsiTheme="majorBidi" w:cstheme="majorBidi"/>
          <w:sz w:val="24"/>
          <w:szCs w:val="24"/>
        </w:rPr>
        <w:t>s</w:t>
      </w:r>
      <w:r w:rsidR="00146A15">
        <w:rPr>
          <w:rFonts w:asciiTheme="majorBidi" w:hAnsiTheme="majorBidi" w:cstheme="majorBidi"/>
          <w:sz w:val="24"/>
          <w:szCs w:val="24"/>
        </w:rPr>
        <w:t xml:space="preserve"> to a board</w:t>
      </w:r>
      <w:r w:rsidR="00575169">
        <w:rPr>
          <w:rFonts w:asciiTheme="majorBidi" w:hAnsiTheme="majorBidi" w:cstheme="majorBidi"/>
          <w:sz w:val="24"/>
          <w:szCs w:val="24"/>
        </w:rPr>
        <w:t xml:space="preserve"> (Ntim et al., 2017)</w:t>
      </w:r>
      <w:r w:rsidR="00146A15">
        <w:rPr>
          <w:rFonts w:asciiTheme="majorBidi" w:hAnsiTheme="majorBidi" w:cstheme="majorBidi"/>
          <w:sz w:val="24"/>
          <w:szCs w:val="24"/>
        </w:rPr>
        <w:t xml:space="preserve">, and this in turn can positively improve disclosure about governance practices. </w:t>
      </w:r>
      <w:r>
        <w:rPr>
          <w:rFonts w:asciiTheme="majorBidi" w:hAnsiTheme="majorBidi" w:cstheme="majorBidi"/>
          <w:sz w:val="24"/>
          <w:szCs w:val="24"/>
        </w:rPr>
        <w:t>Further,</w:t>
      </w:r>
      <w:r w:rsidR="00146A15">
        <w:rPr>
          <w:rFonts w:asciiTheme="majorBidi" w:hAnsiTheme="majorBidi" w:cstheme="majorBidi"/>
          <w:sz w:val="24"/>
          <w:szCs w:val="24"/>
        </w:rPr>
        <w:t xml:space="preserve"> </w:t>
      </w:r>
      <w:r>
        <w:rPr>
          <w:rFonts w:asciiTheme="majorBidi" w:hAnsiTheme="majorBidi" w:cstheme="majorBidi"/>
          <w:sz w:val="24"/>
          <w:szCs w:val="24"/>
        </w:rPr>
        <w:t>and with respect to VC</w:t>
      </w:r>
      <w:r w:rsidR="009D169C">
        <w:rPr>
          <w:rFonts w:asciiTheme="majorBidi" w:hAnsiTheme="majorBidi" w:cstheme="majorBidi"/>
          <w:sz w:val="24"/>
          <w:szCs w:val="24"/>
        </w:rPr>
        <w:t>s</w:t>
      </w:r>
      <w:r>
        <w:rPr>
          <w:rFonts w:asciiTheme="majorBidi" w:hAnsiTheme="majorBidi" w:cstheme="majorBidi"/>
          <w:sz w:val="24"/>
          <w:szCs w:val="24"/>
        </w:rPr>
        <w:t xml:space="preserve"> educational background,</w:t>
      </w:r>
      <w:r w:rsidR="00A10D63">
        <w:rPr>
          <w:rFonts w:asciiTheme="majorBidi" w:hAnsiTheme="majorBidi" w:cstheme="majorBidi"/>
          <w:sz w:val="24"/>
          <w:szCs w:val="24"/>
        </w:rPr>
        <w:t xml:space="preserve"> </w:t>
      </w:r>
      <w:r w:rsidR="009571DF">
        <w:rPr>
          <w:rFonts w:asciiTheme="majorBidi" w:hAnsiTheme="majorBidi" w:cstheme="majorBidi"/>
          <w:sz w:val="24"/>
          <w:szCs w:val="24"/>
        </w:rPr>
        <w:t xml:space="preserve">the </w:t>
      </w:r>
      <w:r w:rsidR="003E2750">
        <w:rPr>
          <w:rFonts w:asciiTheme="majorBidi" w:hAnsiTheme="majorBidi" w:cstheme="majorBidi"/>
          <w:sz w:val="24"/>
          <w:szCs w:val="24"/>
        </w:rPr>
        <w:t>legitimation</w:t>
      </w:r>
      <w:r w:rsidR="009571DF">
        <w:rPr>
          <w:rFonts w:asciiTheme="majorBidi" w:hAnsiTheme="majorBidi" w:cstheme="majorBidi"/>
          <w:sz w:val="24"/>
          <w:szCs w:val="24"/>
        </w:rPr>
        <w:t xml:space="preserve"> and efficiency views of neo-institutional theory (</w:t>
      </w:r>
      <w:r w:rsidR="00A10D63">
        <w:rPr>
          <w:rFonts w:asciiTheme="majorBidi" w:eastAsia="Times New Roman" w:hAnsiTheme="majorBidi" w:cstheme="majorBidi"/>
          <w:sz w:val="24"/>
          <w:szCs w:val="24"/>
          <w:lang w:eastAsia="en-GB"/>
        </w:rPr>
        <w:t xml:space="preserve">Breakwell </w:t>
      </w:r>
      <w:r w:rsidR="009571DF">
        <w:rPr>
          <w:rFonts w:asciiTheme="majorBidi" w:eastAsia="Times New Roman" w:hAnsiTheme="majorBidi" w:cstheme="majorBidi"/>
          <w:sz w:val="24"/>
          <w:szCs w:val="24"/>
          <w:lang w:eastAsia="en-GB"/>
        </w:rPr>
        <w:t>&amp;</w:t>
      </w:r>
      <w:r w:rsidR="00A10D63" w:rsidRPr="005E07D6">
        <w:rPr>
          <w:rFonts w:asciiTheme="majorBidi" w:eastAsia="Times New Roman" w:hAnsiTheme="majorBidi" w:cstheme="majorBidi"/>
          <w:sz w:val="24"/>
          <w:szCs w:val="24"/>
          <w:lang w:eastAsia="en-GB"/>
        </w:rPr>
        <w:t xml:space="preserve"> Tytherleigh</w:t>
      </w:r>
      <w:r w:rsidR="009571DF">
        <w:rPr>
          <w:rFonts w:asciiTheme="majorBidi" w:eastAsia="Times New Roman" w:hAnsiTheme="majorBidi" w:cstheme="majorBidi"/>
          <w:sz w:val="24"/>
          <w:szCs w:val="24"/>
          <w:lang w:eastAsia="en-GB"/>
        </w:rPr>
        <w:t xml:space="preserve">, </w:t>
      </w:r>
      <w:r w:rsidR="00A10D63">
        <w:rPr>
          <w:rFonts w:asciiTheme="majorBidi" w:eastAsia="Times New Roman" w:hAnsiTheme="majorBidi" w:cstheme="majorBidi"/>
          <w:sz w:val="24"/>
          <w:szCs w:val="24"/>
          <w:lang w:eastAsia="en-GB"/>
        </w:rPr>
        <w:t>2008a</w:t>
      </w:r>
      <w:r w:rsidR="009571DF">
        <w:rPr>
          <w:rFonts w:asciiTheme="majorBidi" w:eastAsia="Times New Roman" w:hAnsiTheme="majorBidi" w:cstheme="majorBidi"/>
          <w:sz w:val="24"/>
          <w:szCs w:val="24"/>
          <w:lang w:eastAsia="en-GB"/>
        </w:rPr>
        <w:t>;</w:t>
      </w:r>
      <w:r w:rsidR="00A10D63">
        <w:rPr>
          <w:rFonts w:asciiTheme="majorBidi" w:eastAsia="Times New Roman" w:hAnsiTheme="majorBidi" w:cstheme="majorBidi"/>
          <w:sz w:val="24"/>
          <w:szCs w:val="24"/>
          <w:lang w:eastAsia="en-GB"/>
        </w:rPr>
        <w:t xml:space="preserve"> </w:t>
      </w:r>
      <w:r w:rsidR="00A31633" w:rsidRPr="00A31633">
        <w:rPr>
          <w:rFonts w:asciiTheme="majorBidi" w:hAnsiTheme="majorBidi" w:cstheme="majorBidi"/>
          <w:sz w:val="24"/>
          <w:szCs w:val="24"/>
        </w:rPr>
        <w:t xml:space="preserve">Farnham </w:t>
      </w:r>
      <w:r w:rsidR="009571DF">
        <w:rPr>
          <w:rFonts w:asciiTheme="majorBidi" w:hAnsiTheme="majorBidi" w:cstheme="majorBidi"/>
          <w:sz w:val="24"/>
          <w:szCs w:val="24"/>
        </w:rPr>
        <w:t>&amp;</w:t>
      </w:r>
      <w:r w:rsidR="00A31633" w:rsidRPr="00A31633">
        <w:rPr>
          <w:rFonts w:asciiTheme="majorBidi" w:hAnsiTheme="majorBidi" w:cstheme="majorBidi"/>
          <w:sz w:val="24"/>
          <w:szCs w:val="24"/>
        </w:rPr>
        <w:t xml:space="preserve"> Jones</w:t>
      </w:r>
      <w:r w:rsidR="009571DF">
        <w:rPr>
          <w:rFonts w:asciiTheme="majorBidi" w:hAnsiTheme="majorBidi" w:cstheme="majorBidi"/>
          <w:sz w:val="24"/>
          <w:szCs w:val="24"/>
        </w:rPr>
        <w:t>,</w:t>
      </w:r>
      <w:r w:rsidR="00362272">
        <w:rPr>
          <w:rFonts w:asciiTheme="majorBidi" w:hAnsiTheme="majorBidi" w:cstheme="majorBidi"/>
          <w:sz w:val="24"/>
          <w:szCs w:val="24"/>
        </w:rPr>
        <w:t xml:space="preserve"> </w:t>
      </w:r>
      <w:r w:rsidR="00A31633" w:rsidRPr="00A31633">
        <w:rPr>
          <w:rFonts w:asciiTheme="majorBidi" w:hAnsiTheme="majorBidi" w:cstheme="majorBidi"/>
          <w:sz w:val="24"/>
          <w:szCs w:val="24"/>
        </w:rPr>
        <w:t>1998)</w:t>
      </w:r>
      <w:r w:rsidR="001051D3">
        <w:rPr>
          <w:rFonts w:asciiTheme="majorBidi" w:hAnsiTheme="majorBidi" w:cstheme="majorBidi"/>
          <w:sz w:val="24"/>
          <w:szCs w:val="24"/>
        </w:rPr>
        <w:t xml:space="preserve"> </w:t>
      </w:r>
      <w:r w:rsidR="00E866A9">
        <w:rPr>
          <w:rFonts w:asciiTheme="majorBidi" w:hAnsiTheme="majorBidi" w:cstheme="majorBidi"/>
          <w:sz w:val="24"/>
          <w:szCs w:val="24"/>
        </w:rPr>
        <w:t xml:space="preserve">suggest that </w:t>
      </w:r>
      <w:r w:rsidR="001051D3">
        <w:rPr>
          <w:rFonts w:asciiTheme="majorBidi" w:hAnsiTheme="majorBidi" w:cstheme="majorBidi"/>
          <w:sz w:val="24"/>
          <w:szCs w:val="24"/>
        </w:rPr>
        <w:t xml:space="preserve">HEIs </w:t>
      </w:r>
      <w:r w:rsidR="002D1244">
        <w:rPr>
          <w:rFonts w:asciiTheme="majorBidi" w:hAnsiTheme="majorBidi" w:cstheme="majorBidi"/>
          <w:sz w:val="24"/>
          <w:szCs w:val="24"/>
        </w:rPr>
        <w:t>prefer</w:t>
      </w:r>
      <w:r w:rsidR="001051D3">
        <w:rPr>
          <w:rFonts w:asciiTheme="majorBidi" w:hAnsiTheme="majorBidi" w:cstheme="majorBidi"/>
          <w:sz w:val="24"/>
          <w:szCs w:val="24"/>
        </w:rPr>
        <w:t xml:space="preserve"> to appoint </w:t>
      </w:r>
      <w:r w:rsidR="00E866A9">
        <w:rPr>
          <w:rFonts w:asciiTheme="majorBidi" w:hAnsiTheme="majorBidi" w:cstheme="majorBidi"/>
          <w:sz w:val="24"/>
          <w:szCs w:val="24"/>
        </w:rPr>
        <w:t>generalist directors (</w:t>
      </w:r>
      <w:r w:rsidR="001051D3">
        <w:rPr>
          <w:rFonts w:asciiTheme="majorBidi" w:hAnsiTheme="majorBidi" w:cstheme="majorBidi"/>
          <w:sz w:val="24"/>
          <w:szCs w:val="24"/>
        </w:rPr>
        <w:t>VCs with social science background</w:t>
      </w:r>
      <w:r w:rsidR="00E866A9">
        <w:rPr>
          <w:rFonts w:asciiTheme="majorBidi" w:hAnsiTheme="majorBidi" w:cstheme="majorBidi"/>
          <w:sz w:val="24"/>
          <w:szCs w:val="24"/>
        </w:rPr>
        <w:t>)</w:t>
      </w:r>
      <w:r w:rsidR="001051D3">
        <w:rPr>
          <w:rFonts w:asciiTheme="majorBidi" w:hAnsiTheme="majorBidi" w:cstheme="majorBidi"/>
          <w:sz w:val="24"/>
          <w:szCs w:val="24"/>
        </w:rPr>
        <w:t xml:space="preserve"> </w:t>
      </w:r>
      <w:r w:rsidR="00A31633">
        <w:rPr>
          <w:rFonts w:asciiTheme="majorBidi" w:hAnsiTheme="majorBidi" w:cstheme="majorBidi"/>
          <w:sz w:val="24"/>
          <w:szCs w:val="24"/>
        </w:rPr>
        <w:t>because they often have greater knowledge, skills and experience</w:t>
      </w:r>
      <w:r w:rsidR="00D93446">
        <w:rPr>
          <w:rFonts w:asciiTheme="majorBidi" w:hAnsiTheme="majorBidi" w:cstheme="majorBidi"/>
          <w:sz w:val="24"/>
          <w:szCs w:val="24"/>
        </w:rPr>
        <w:t>s</w:t>
      </w:r>
      <w:r w:rsidR="001051D3">
        <w:rPr>
          <w:rFonts w:asciiTheme="majorBidi" w:hAnsiTheme="majorBidi" w:cstheme="majorBidi"/>
          <w:sz w:val="24"/>
          <w:szCs w:val="24"/>
        </w:rPr>
        <w:t xml:space="preserve"> that help them to deal with complex</w:t>
      </w:r>
      <w:r w:rsidR="00A10D63">
        <w:rPr>
          <w:rFonts w:asciiTheme="majorBidi" w:hAnsiTheme="majorBidi" w:cstheme="majorBidi"/>
          <w:sz w:val="24"/>
          <w:szCs w:val="24"/>
        </w:rPr>
        <w:t xml:space="preserve"> issues</w:t>
      </w:r>
      <w:r w:rsidR="00E866A9">
        <w:rPr>
          <w:rFonts w:asciiTheme="majorBidi" w:hAnsiTheme="majorBidi" w:cstheme="majorBidi"/>
          <w:sz w:val="24"/>
          <w:szCs w:val="24"/>
        </w:rPr>
        <w:t xml:space="preserve">, and this consequently can impact positively on governance disclosure practices. </w:t>
      </w:r>
    </w:p>
    <w:p w14:paraId="5917ED6C" w14:textId="6896889D" w:rsidR="001B2381" w:rsidRDefault="00C0620E" w:rsidP="00C63EF2">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lastRenderedPageBreak/>
        <w:t xml:space="preserve">Empirically, </w:t>
      </w:r>
      <w:r w:rsidR="00AD1473">
        <w:rPr>
          <w:rFonts w:asciiTheme="majorBidi" w:hAnsiTheme="majorBidi" w:cstheme="majorBidi"/>
          <w:sz w:val="24"/>
          <w:szCs w:val="24"/>
        </w:rPr>
        <w:t xml:space="preserve">to the best of </w:t>
      </w:r>
      <w:r w:rsidR="00691639">
        <w:rPr>
          <w:rFonts w:asciiTheme="majorBidi" w:hAnsiTheme="majorBidi" w:cstheme="majorBidi"/>
          <w:sz w:val="24"/>
          <w:szCs w:val="24"/>
        </w:rPr>
        <w:t xml:space="preserve">our </w:t>
      </w:r>
      <w:r w:rsidR="00AD1473">
        <w:rPr>
          <w:rFonts w:asciiTheme="majorBidi" w:hAnsiTheme="majorBidi" w:cstheme="majorBidi"/>
          <w:sz w:val="24"/>
          <w:szCs w:val="24"/>
        </w:rPr>
        <w:t xml:space="preserve">knowledge, </w:t>
      </w:r>
      <w:r w:rsidR="00177BB0">
        <w:rPr>
          <w:rFonts w:asciiTheme="majorBidi" w:hAnsiTheme="majorBidi" w:cstheme="majorBidi"/>
          <w:sz w:val="24"/>
          <w:szCs w:val="24"/>
        </w:rPr>
        <w:t>none of</w:t>
      </w:r>
      <w:r w:rsidR="0032088C">
        <w:rPr>
          <w:rFonts w:asciiTheme="majorBidi" w:hAnsiTheme="majorBidi" w:cstheme="majorBidi"/>
          <w:sz w:val="24"/>
          <w:szCs w:val="24"/>
        </w:rPr>
        <w:t xml:space="preserve"> the</w:t>
      </w:r>
      <w:r w:rsidR="00177BB0">
        <w:rPr>
          <w:rFonts w:asciiTheme="majorBidi" w:hAnsiTheme="majorBidi" w:cstheme="majorBidi"/>
          <w:sz w:val="24"/>
          <w:szCs w:val="24"/>
        </w:rPr>
        <w:t xml:space="preserve"> past HE studies has </w:t>
      </w:r>
      <w:r w:rsidR="00AD1473" w:rsidRPr="00511F36">
        <w:rPr>
          <w:rFonts w:asciiTheme="majorBidi" w:hAnsiTheme="majorBidi" w:cstheme="majorBidi"/>
          <w:sz w:val="24"/>
          <w:szCs w:val="24"/>
        </w:rPr>
        <w:t xml:space="preserve">examined the effect of vice-chancellor characteristics on voluntary governance disclosures, and therefore, offers a fertile opportunity to make original </w:t>
      </w:r>
      <w:r w:rsidR="00AD1473">
        <w:rPr>
          <w:rFonts w:asciiTheme="majorBidi" w:hAnsiTheme="majorBidi" w:cstheme="majorBidi"/>
          <w:sz w:val="24"/>
          <w:szCs w:val="24"/>
        </w:rPr>
        <w:t>contributions to the literature</w:t>
      </w:r>
      <w:r w:rsidRPr="00511F36">
        <w:rPr>
          <w:rFonts w:asciiTheme="majorBidi" w:hAnsiTheme="majorBidi" w:cstheme="majorBidi"/>
          <w:sz w:val="24"/>
          <w:szCs w:val="24"/>
        </w:rPr>
        <w:t>.</w:t>
      </w:r>
      <w:r w:rsidR="00C13068" w:rsidRPr="00511F36">
        <w:rPr>
          <w:rFonts w:asciiTheme="majorBidi" w:hAnsiTheme="majorBidi" w:cstheme="majorBidi"/>
          <w:sz w:val="24"/>
          <w:szCs w:val="24"/>
        </w:rPr>
        <w:t xml:space="preserve"> </w:t>
      </w:r>
      <w:r w:rsidR="00201405">
        <w:rPr>
          <w:rFonts w:asciiTheme="majorBidi" w:hAnsiTheme="majorBidi" w:cstheme="majorBidi"/>
          <w:sz w:val="24"/>
          <w:szCs w:val="24"/>
        </w:rPr>
        <w:t xml:space="preserve">Most of </w:t>
      </w:r>
      <w:r w:rsidR="00CD029C">
        <w:rPr>
          <w:rFonts w:asciiTheme="majorBidi" w:hAnsiTheme="majorBidi" w:cstheme="majorBidi"/>
          <w:sz w:val="24"/>
          <w:szCs w:val="24"/>
        </w:rPr>
        <w:t xml:space="preserve">the </w:t>
      </w:r>
      <w:r w:rsidR="00201405">
        <w:rPr>
          <w:rFonts w:asciiTheme="majorBidi" w:hAnsiTheme="majorBidi" w:cstheme="majorBidi"/>
          <w:sz w:val="24"/>
          <w:szCs w:val="24"/>
        </w:rPr>
        <w:t>past empirical studies have been conducted on publicly traded organisations (</w:t>
      </w:r>
      <w:r w:rsidR="00D32E78">
        <w:rPr>
          <w:rFonts w:asciiTheme="majorBidi" w:hAnsiTheme="majorBidi" w:cstheme="majorBidi"/>
          <w:sz w:val="24"/>
          <w:szCs w:val="24"/>
        </w:rPr>
        <w:t xml:space="preserve">Haniffa </w:t>
      </w:r>
      <w:r w:rsidR="00D32E78" w:rsidRPr="00D32E78">
        <w:rPr>
          <w:rFonts w:asciiTheme="majorBidi" w:hAnsiTheme="majorBidi" w:cstheme="majorBidi"/>
          <w:sz w:val="24"/>
          <w:szCs w:val="24"/>
        </w:rPr>
        <w:t>&amp; Cooke</w:t>
      </w:r>
      <w:r w:rsidR="00D32E78">
        <w:rPr>
          <w:rFonts w:asciiTheme="majorBidi" w:hAnsiTheme="majorBidi" w:cstheme="majorBidi"/>
          <w:sz w:val="24"/>
          <w:szCs w:val="24"/>
        </w:rPr>
        <w:t xml:space="preserve">, 2002; </w:t>
      </w:r>
      <w:r w:rsidR="00201405">
        <w:rPr>
          <w:rFonts w:asciiTheme="majorBidi" w:hAnsiTheme="majorBidi" w:cstheme="majorBidi"/>
          <w:sz w:val="24"/>
          <w:szCs w:val="24"/>
        </w:rPr>
        <w:t>Lin et al., 2014</w:t>
      </w:r>
      <w:r w:rsidR="00D32E78">
        <w:rPr>
          <w:rFonts w:asciiTheme="majorBidi" w:hAnsiTheme="majorBidi" w:cstheme="majorBidi"/>
          <w:sz w:val="24"/>
          <w:szCs w:val="24"/>
        </w:rPr>
        <w:t xml:space="preserve">; </w:t>
      </w:r>
      <w:r w:rsidR="00D32E78">
        <w:rPr>
          <w:rFonts w:asciiTheme="majorBidi" w:eastAsia="Times New Roman" w:hAnsiTheme="majorBidi" w:cstheme="majorBidi"/>
          <w:sz w:val="24"/>
          <w:szCs w:val="24"/>
          <w:lang w:eastAsia="en-GB"/>
        </w:rPr>
        <w:t>Ntim</w:t>
      </w:r>
      <w:r w:rsidR="00D32E78" w:rsidRPr="00D32E78">
        <w:rPr>
          <w:rFonts w:asciiTheme="majorBidi" w:eastAsia="Times New Roman" w:hAnsiTheme="majorBidi" w:cstheme="majorBidi"/>
          <w:sz w:val="24"/>
          <w:szCs w:val="24"/>
          <w:lang w:eastAsia="en-GB"/>
        </w:rPr>
        <w:t xml:space="preserve"> &amp; Soobaroyen</w:t>
      </w:r>
      <w:r w:rsidR="00D32E78">
        <w:rPr>
          <w:rFonts w:asciiTheme="majorBidi" w:eastAsia="Times New Roman" w:hAnsiTheme="majorBidi" w:cstheme="majorBidi"/>
          <w:sz w:val="24"/>
          <w:szCs w:val="24"/>
          <w:lang w:eastAsia="en-GB"/>
        </w:rPr>
        <w:t xml:space="preserve">, 2013; </w:t>
      </w:r>
      <w:r w:rsidR="005A469F">
        <w:rPr>
          <w:rFonts w:asciiTheme="majorBidi" w:eastAsia="Times New Roman" w:hAnsiTheme="majorBidi" w:cstheme="majorBidi"/>
          <w:sz w:val="24"/>
          <w:szCs w:val="24"/>
          <w:lang w:eastAsia="en-GB"/>
        </w:rPr>
        <w:t>Samaha et al., 2015). Few studies have been conducted on non-profitable organisation</w:t>
      </w:r>
      <w:r w:rsidR="00C966F9">
        <w:rPr>
          <w:rFonts w:asciiTheme="majorBidi" w:eastAsia="Times New Roman" w:hAnsiTheme="majorBidi" w:cstheme="majorBidi"/>
          <w:sz w:val="24"/>
          <w:szCs w:val="24"/>
          <w:lang w:eastAsia="en-GB"/>
        </w:rPr>
        <w:t>s</w:t>
      </w:r>
      <w:r w:rsidR="005A469F">
        <w:rPr>
          <w:rFonts w:asciiTheme="majorBidi" w:eastAsia="Times New Roman" w:hAnsiTheme="majorBidi" w:cstheme="majorBidi"/>
          <w:sz w:val="24"/>
          <w:szCs w:val="24"/>
          <w:lang w:eastAsia="en-GB"/>
        </w:rPr>
        <w:t xml:space="preserve"> and examined the impact of senior manager characteristics on: (i) financial and non-financial performance (Breakwell &amp; </w:t>
      </w:r>
      <w:r w:rsidR="005A469F" w:rsidRPr="005E07D6">
        <w:rPr>
          <w:rFonts w:asciiTheme="majorBidi" w:eastAsia="Times New Roman" w:hAnsiTheme="majorBidi" w:cstheme="majorBidi"/>
          <w:sz w:val="24"/>
          <w:szCs w:val="24"/>
          <w:lang w:eastAsia="en-GB"/>
        </w:rPr>
        <w:t>Tytherleigh</w:t>
      </w:r>
      <w:r w:rsidR="005A469F">
        <w:rPr>
          <w:rFonts w:asciiTheme="majorBidi" w:eastAsia="Times New Roman" w:hAnsiTheme="majorBidi" w:cstheme="majorBidi"/>
          <w:sz w:val="24"/>
          <w:szCs w:val="24"/>
          <w:lang w:eastAsia="en-GB"/>
        </w:rPr>
        <w:t xml:space="preserve">, 2010), (ii) executive pay (Brickley et al., 2010; </w:t>
      </w:r>
      <w:r w:rsidR="005A469F" w:rsidRPr="005A469F">
        <w:rPr>
          <w:rFonts w:asciiTheme="majorBidi" w:eastAsia="Times New Roman" w:hAnsiTheme="majorBidi" w:cstheme="majorBidi"/>
          <w:sz w:val="24"/>
          <w:szCs w:val="24"/>
          <w:lang w:eastAsia="en-GB"/>
        </w:rPr>
        <w:t>Reiter</w:t>
      </w:r>
      <w:r w:rsidR="005A469F">
        <w:rPr>
          <w:rFonts w:asciiTheme="majorBidi" w:eastAsia="Times New Roman" w:hAnsiTheme="majorBidi" w:cstheme="majorBidi"/>
          <w:sz w:val="24"/>
          <w:szCs w:val="24"/>
          <w:lang w:eastAsia="en-GB"/>
        </w:rPr>
        <w:t xml:space="preserve"> et al., 2009); (iii) social activities </w:t>
      </w:r>
      <w:r w:rsidR="00C966F9">
        <w:rPr>
          <w:rFonts w:asciiTheme="majorBidi" w:eastAsia="Times New Roman" w:hAnsiTheme="majorBidi" w:cstheme="majorBidi"/>
          <w:sz w:val="24"/>
          <w:szCs w:val="24"/>
          <w:lang w:eastAsia="en-GB"/>
        </w:rPr>
        <w:t>(</w:t>
      </w:r>
      <w:r w:rsidR="00C966F9" w:rsidRPr="00C966F9">
        <w:rPr>
          <w:rFonts w:asciiTheme="majorBidi" w:hAnsiTheme="majorBidi" w:cstheme="majorBidi"/>
          <w:sz w:val="24"/>
          <w:szCs w:val="24"/>
        </w:rPr>
        <w:t>Gauthier</w:t>
      </w:r>
      <w:r w:rsidR="00C966F9">
        <w:rPr>
          <w:rFonts w:asciiTheme="majorBidi" w:hAnsiTheme="majorBidi" w:cstheme="majorBidi"/>
          <w:sz w:val="24"/>
          <w:szCs w:val="24"/>
        </w:rPr>
        <w:t xml:space="preserve"> et al., 2019)</w:t>
      </w:r>
      <w:r w:rsidR="00AB5300">
        <w:rPr>
          <w:rFonts w:asciiTheme="majorBidi" w:hAnsiTheme="majorBidi" w:cstheme="majorBidi"/>
          <w:sz w:val="24"/>
          <w:szCs w:val="24"/>
        </w:rPr>
        <w:t>,</w:t>
      </w:r>
      <w:r w:rsidR="00C966F9">
        <w:rPr>
          <w:rFonts w:asciiTheme="majorBidi" w:hAnsiTheme="majorBidi" w:cstheme="majorBidi"/>
          <w:sz w:val="24"/>
          <w:szCs w:val="24"/>
        </w:rPr>
        <w:t xml:space="preserve"> and </w:t>
      </w:r>
      <w:r w:rsidR="00E40B0C">
        <w:rPr>
          <w:rFonts w:asciiTheme="majorBidi" w:hAnsiTheme="majorBidi" w:cstheme="majorBidi"/>
          <w:sz w:val="24"/>
          <w:szCs w:val="24"/>
        </w:rPr>
        <w:t xml:space="preserve">(iv) </w:t>
      </w:r>
      <w:r w:rsidR="00C966F9">
        <w:rPr>
          <w:rFonts w:asciiTheme="majorBidi" w:hAnsiTheme="majorBidi" w:cstheme="majorBidi"/>
          <w:sz w:val="24"/>
          <w:szCs w:val="24"/>
        </w:rPr>
        <w:t>general disclosure</w:t>
      </w:r>
      <w:r w:rsidR="00715AE2">
        <w:rPr>
          <w:rFonts w:asciiTheme="majorBidi" w:hAnsiTheme="majorBidi" w:cstheme="majorBidi"/>
          <w:sz w:val="24"/>
          <w:szCs w:val="24"/>
        </w:rPr>
        <w:t xml:space="preserve"> practices</w:t>
      </w:r>
      <w:r w:rsidR="00C966F9">
        <w:rPr>
          <w:rFonts w:asciiTheme="majorBidi" w:hAnsiTheme="majorBidi" w:cstheme="majorBidi"/>
          <w:sz w:val="24"/>
          <w:szCs w:val="24"/>
        </w:rPr>
        <w:t xml:space="preserve"> (Ntim et al., 2017</w:t>
      </w:r>
      <w:r w:rsidR="00CD029C">
        <w:rPr>
          <w:rFonts w:asciiTheme="majorBidi" w:hAnsiTheme="majorBidi" w:cstheme="majorBidi"/>
          <w:sz w:val="24"/>
          <w:szCs w:val="24"/>
        </w:rPr>
        <w:t>; Soobaroyen et al., 2014, 2019</w:t>
      </w:r>
      <w:r w:rsidR="00C966F9">
        <w:rPr>
          <w:rFonts w:asciiTheme="majorBidi" w:hAnsiTheme="majorBidi" w:cstheme="majorBidi"/>
          <w:sz w:val="24"/>
          <w:szCs w:val="24"/>
        </w:rPr>
        <w:t xml:space="preserve">). </w:t>
      </w:r>
    </w:p>
    <w:p w14:paraId="52277112" w14:textId="3D6C773C" w:rsidR="00C13068" w:rsidRPr="00511F36" w:rsidRDefault="00C966F9" w:rsidP="00C63EF2">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 xml:space="preserve">For example, </w:t>
      </w:r>
      <w:r w:rsidR="00C85040">
        <w:rPr>
          <w:rFonts w:asciiTheme="majorBidi" w:eastAsia="Times New Roman" w:hAnsiTheme="majorBidi" w:cstheme="majorBidi"/>
          <w:sz w:val="24"/>
          <w:szCs w:val="24"/>
          <w:lang w:eastAsia="en-GB"/>
        </w:rPr>
        <w:t xml:space="preserve">Breakwell and </w:t>
      </w:r>
      <w:r w:rsidR="00C85040" w:rsidRPr="005E07D6">
        <w:rPr>
          <w:rFonts w:asciiTheme="majorBidi" w:eastAsia="Times New Roman" w:hAnsiTheme="majorBidi" w:cstheme="majorBidi"/>
          <w:sz w:val="24"/>
          <w:szCs w:val="24"/>
          <w:lang w:eastAsia="en-GB"/>
        </w:rPr>
        <w:t>Tytherleigh</w:t>
      </w:r>
      <w:r w:rsidR="00C85040">
        <w:rPr>
          <w:rFonts w:asciiTheme="majorBidi" w:eastAsia="Times New Roman" w:hAnsiTheme="majorBidi" w:cstheme="majorBidi"/>
          <w:sz w:val="24"/>
          <w:szCs w:val="24"/>
          <w:lang w:eastAsia="en-GB"/>
        </w:rPr>
        <w:t xml:space="preserve"> (2010) report insignificant association </w:t>
      </w:r>
      <w:r w:rsidR="00454901">
        <w:rPr>
          <w:rFonts w:asciiTheme="majorBidi" w:eastAsia="Times New Roman" w:hAnsiTheme="majorBidi" w:cstheme="majorBidi"/>
          <w:sz w:val="24"/>
          <w:szCs w:val="24"/>
          <w:lang w:eastAsia="en-GB"/>
        </w:rPr>
        <w:t>among</w:t>
      </w:r>
      <w:r w:rsidR="00C85040">
        <w:rPr>
          <w:rFonts w:asciiTheme="majorBidi" w:eastAsia="Times New Roman" w:hAnsiTheme="majorBidi" w:cstheme="majorBidi"/>
          <w:sz w:val="24"/>
          <w:szCs w:val="24"/>
          <w:lang w:eastAsia="en-GB"/>
        </w:rPr>
        <w:t xml:space="preserve"> </w:t>
      </w:r>
      <w:r w:rsidR="00454901">
        <w:rPr>
          <w:rFonts w:asciiTheme="majorBidi" w:eastAsia="Times New Roman" w:hAnsiTheme="majorBidi" w:cstheme="majorBidi"/>
          <w:sz w:val="24"/>
          <w:szCs w:val="24"/>
          <w:lang w:eastAsia="en-GB"/>
        </w:rPr>
        <w:t xml:space="preserve">VC age, </w:t>
      </w:r>
      <w:r w:rsidR="00131876">
        <w:rPr>
          <w:rFonts w:asciiTheme="majorBidi" w:eastAsia="Times New Roman" w:hAnsiTheme="majorBidi" w:cstheme="majorBidi"/>
          <w:sz w:val="24"/>
          <w:szCs w:val="24"/>
          <w:lang w:eastAsia="en-GB"/>
        </w:rPr>
        <w:t xml:space="preserve">tenure, </w:t>
      </w:r>
      <w:r w:rsidR="00454901">
        <w:rPr>
          <w:rFonts w:asciiTheme="majorBidi" w:eastAsia="Times New Roman" w:hAnsiTheme="majorBidi" w:cstheme="majorBidi"/>
          <w:sz w:val="24"/>
          <w:szCs w:val="24"/>
          <w:lang w:eastAsia="en-GB"/>
        </w:rPr>
        <w:t>educational background and performance (financial and non-financial) of 147 UK HEIs over the period 1999-2004.</w:t>
      </w:r>
      <w:r w:rsidR="00714B4B">
        <w:rPr>
          <w:rFonts w:asciiTheme="majorBidi" w:eastAsia="Times New Roman" w:hAnsiTheme="majorBidi" w:cstheme="majorBidi"/>
          <w:sz w:val="24"/>
          <w:szCs w:val="24"/>
          <w:lang w:eastAsia="en-GB"/>
        </w:rPr>
        <w:t xml:space="preserve"> Similarly, Brickley et al. (2010) find that CEO age is not related to their pay, whereas CEO tenure is positively</w:t>
      </w:r>
      <w:r w:rsidR="006E1584">
        <w:rPr>
          <w:rFonts w:asciiTheme="majorBidi" w:eastAsia="Times New Roman" w:hAnsiTheme="majorBidi" w:cstheme="majorBidi"/>
          <w:sz w:val="24"/>
          <w:szCs w:val="24"/>
          <w:lang w:eastAsia="en-GB"/>
        </w:rPr>
        <w:t xml:space="preserve"> linked with</w:t>
      </w:r>
      <w:r w:rsidR="00714B4B">
        <w:rPr>
          <w:rFonts w:asciiTheme="majorBidi" w:eastAsia="Times New Roman" w:hAnsiTheme="majorBidi" w:cstheme="majorBidi"/>
          <w:sz w:val="24"/>
          <w:szCs w:val="24"/>
          <w:lang w:eastAsia="en-GB"/>
        </w:rPr>
        <w:t xml:space="preserve"> their pay among 308 </w:t>
      </w:r>
      <w:r w:rsidR="00201405">
        <w:rPr>
          <w:rFonts w:asciiTheme="majorBidi" w:eastAsia="Times New Roman" w:hAnsiTheme="majorBidi" w:cstheme="majorBidi"/>
          <w:sz w:val="24"/>
          <w:szCs w:val="24"/>
          <w:lang w:eastAsia="en-GB"/>
        </w:rPr>
        <w:t xml:space="preserve">US non-profit hospital over the period 1998-2002. Further, </w:t>
      </w:r>
      <w:r w:rsidR="00131876">
        <w:rPr>
          <w:rFonts w:asciiTheme="majorBidi" w:eastAsia="Times New Roman" w:hAnsiTheme="majorBidi" w:cstheme="majorBidi"/>
          <w:sz w:val="24"/>
          <w:szCs w:val="24"/>
          <w:lang w:eastAsia="en-GB"/>
        </w:rPr>
        <w:t xml:space="preserve">Ntim et al. (2017) find that general voluntary disclosure is </w:t>
      </w:r>
      <w:r w:rsidR="009932B4">
        <w:rPr>
          <w:rFonts w:asciiTheme="majorBidi" w:eastAsia="Times New Roman" w:hAnsiTheme="majorBidi" w:cstheme="majorBidi"/>
          <w:sz w:val="24"/>
          <w:szCs w:val="24"/>
          <w:lang w:eastAsia="en-GB"/>
        </w:rPr>
        <w:t>insignificantly</w:t>
      </w:r>
      <w:r w:rsidR="00131876">
        <w:rPr>
          <w:rFonts w:asciiTheme="majorBidi" w:eastAsia="Times New Roman" w:hAnsiTheme="majorBidi" w:cstheme="majorBidi"/>
          <w:sz w:val="24"/>
          <w:szCs w:val="24"/>
          <w:lang w:eastAsia="en-GB"/>
        </w:rPr>
        <w:t xml:space="preserve"> influenced by VC gender diversity for 130 UK HEIs in 2012.</w:t>
      </w:r>
      <w:r>
        <w:rPr>
          <w:rFonts w:asciiTheme="majorBidi" w:eastAsia="Times New Roman" w:hAnsiTheme="majorBidi" w:cstheme="majorBidi"/>
          <w:sz w:val="24"/>
          <w:szCs w:val="24"/>
          <w:lang w:eastAsia="en-GB"/>
        </w:rPr>
        <w:t xml:space="preserve"> </w:t>
      </w:r>
      <w:r w:rsidR="004F4FFF">
        <w:rPr>
          <w:rFonts w:asciiTheme="majorBidi" w:eastAsia="Times New Roman" w:hAnsiTheme="majorBidi" w:cstheme="majorBidi"/>
          <w:sz w:val="24"/>
          <w:szCs w:val="24"/>
          <w:lang w:eastAsia="en-GB"/>
        </w:rPr>
        <w:t xml:space="preserve">Overall, the findings of </w:t>
      </w:r>
      <w:r w:rsidR="006E1584">
        <w:rPr>
          <w:rFonts w:asciiTheme="majorBidi" w:eastAsia="Times New Roman" w:hAnsiTheme="majorBidi" w:cstheme="majorBidi"/>
          <w:sz w:val="24"/>
          <w:szCs w:val="24"/>
          <w:lang w:eastAsia="en-GB"/>
        </w:rPr>
        <w:t xml:space="preserve">the </w:t>
      </w:r>
      <w:r w:rsidR="004F4FFF">
        <w:rPr>
          <w:rFonts w:asciiTheme="majorBidi" w:eastAsia="Times New Roman" w:hAnsiTheme="majorBidi" w:cstheme="majorBidi"/>
          <w:sz w:val="24"/>
          <w:szCs w:val="24"/>
          <w:lang w:eastAsia="en-GB"/>
        </w:rPr>
        <w:t xml:space="preserve">above studies </w:t>
      </w:r>
      <w:r w:rsidR="0017518A" w:rsidRPr="00511F36">
        <w:rPr>
          <w:rFonts w:asciiTheme="majorBidi" w:hAnsiTheme="majorBidi" w:cstheme="majorBidi"/>
          <w:sz w:val="24"/>
          <w:szCs w:val="24"/>
        </w:rPr>
        <w:t xml:space="preserve">suggest that </w:t>
      </w:r>
      <w:r w:rsidR="004F4FFF">
        <w:rPr>
          <w:rFonts w:asciiTheme="majorBidi" w:hAnsiTheme="majorBidi" w:cstheme="majorBidi"/>
          <w:sz w:val="24"/>
          <w:szCs w:val="24"/>
        </w:rPr>
        <w:t>senior manager</w:t>
      </w:r>
      <w:r w:rsidR="004F4FFF" w:rsidRPr="00511F36">
        <w:rPr>
          <w:rFonts w:asciiTheme="majorBidi" w:hAnsiTheme="majorBidi" w:cstheme="majorBidi"/>
          <w:sz w:val="24"/>
          <w:szCs w:val="24"/>
        </w:rPr>
        <w:t xml:space="preserve"> </w:t>
      </w:r>
      <w:r w:rsidR="0017518A" w:rsidRPr="00511F36">
        <w:rPr>
          <w:rFonts w:asciiTheme="majorBidi" w:hAnsiTheme="majorBidi" w:cstheme="majorBidi"/>
          <w:sz w:val="24"/>
          <w:szCs w:val="24"/>
        </w:rPr>
        <w:t>characteristics, including age, tenure, education</w:t>
      </w:r>
      <w:r w:rsidR="00177BB0">
        <w:rPr>
          <w:rFonts w:asciiTheme="majorBidi" w:hAnsiTheme="majorBidi" w:cstheme="majorBidi"/>
          <w:sz w:val="24"/>
          <w:szCs w:val="24"/>
        </w:rPr>
        <w:t xml:space="preserve"> </w:t>
      </w:r>
      <w:r w:rsidR="00C01EAF">
        <w:rPr>
          <w:rFonts w:asciiTheme="majorBidi" w:hAnsiTheme="majorBidi" w:cstheme="majorBidi"/>
          <w:sz w:val="24"/>
          <w:szCs w:val="24"/>
        </w:rPr>
        <w:t xml:space="preserve">and </w:t>
      </w:r>
      <w:r w:rsidR="00177BB0">
        <w:rPr>
          <w:rFonts w:asciiTheme="majorBidi" w:hAnsiTheme="majorBidi" w:cstheme="majorBidi"/>
          <w:sz w:val="24"/>
          <w:szCs w:val="24"/>
        </w:rPr>
        <w:t>gender</w:t>
      </w:r>
      <w:r w:rsidR="0017518A" w:rsidRPr="00511F36">
        <w:rPr>
          <w:rFonts w:asciiTheme="majorBidi" w:hAnsiTheme="majorBidi" w:cstheme="majorBidi"/>
          <w:sz w:val="24"/>
          <w:szCs w:val="24"/>
        </w:rPr>
        <w:t xml:space="preserve"> can have </w:t>
      </w:r>
      <w:r w:rsidR="00177BB0">
        <w:rPr>
          <w:rFonts w:asciiTheme="majorBidi" w:hAnsiTheme="majorBidi" w:cstheme="majorBidi"/>
          <w:sz w:val="24"/>
          <w:szCs w:val="24"/>
        </w:rPr>
        <w:t>an</w:t>
      </w:r>
      <w:r w:rsidR="00177BB0" w:rsidRPr="00511F36">
        <w:rPr>
          <w:rFonts w:asciiTheme="majorBidi" w:hAnsiTheme="majorBidi" w:cstheme="majorBidi"/>
          <w:sz w:val="24"/>
          <w:szCs w:val="24"/>
        </w:rPr>
        <w:t xml:space="preserve"> </w:t>
      </w:r>
      <w:r w:rsidR="0017518A" w:rsidRPr="00511F36">
        <w:rPr>
          <w:rFonts w:asciiTheme="majorBidi" w:hAnsiTheme="majorBidi" w:cstheme="majorBidi"/>
          <w:sz w:val="24"/>
          <w:szCs w:val="24"/>
        </w:rPr>
        <w:t xml:space="preserve">influence on </w:t>
      </w:r>
      <w:r w:rsidR="00177BB0">
        <w:rPr>
          <w:rFonts w:asciiTheme="majorBidi" w:hAnsiTheme="majorBidi" w:cstheme="majorBidi"/>
          <w:sz w:val="24"/>
          <w:szCs w:val="24"/>
        </w:rPr>
        <w:t>organisation</w:t>
      </w:r>
      <w:r w:rsidR="00C01EAF">
        <w:rPr>
          <w:rFonts w:asciiTheme="majorBidi" w:hAnsiTheme="majorBidi" w:cstheme="majorBidi"/>
          <w:sz w:val="24"/>
          <w:szCs w:val="24"/>
        </w:rPr>
        <w:t>al</w:t>
      </w:r>
      <w:r w:rsidR="00177BB0" w:rsidRPr="00511F36">
        <w:rPr>
          <w:rFonts w:asciiTheme="majorBidi" w:hAnsiTheme="majorBidi" w:cstheme="majorBidi"/>
          <w:sz w:val="24"/>
          <w:szCs w:val="24"/>
        </w:rPr>
        <w:t xml:space="preserve"> </w:t>
      </w:r>
      <w:r w:rsidR="0017518A" w:rsidRPr="00511F36">
        <w:rPr>
          <w:rFonts w:asciiTheme="majorBidi" w:hAnsiTheme="majorBidi" w:cstheme="majorBidi"/>
          <w:sz w:val="24"/>
          <w:szCs w:val="24"/>
        </w:rPr>
        <w:t>decisions, including voluntary governance disclosures. Therefore, we propose the following hypothesis:</w:t>
      </w:r>
    </w:p>
    <w:p w14:paraId="513BB96E" w14:textId="3DC9E7B8" w:rsidR="00410490" w:rsidRPr="002009E8" w:rsidRDefault="0017518A" w:rsidP="006B6D3A">
      <w:pPr>
        <w:spacing w:after="0" w:line="480" w:lineRule="auto"/>
        <w:jc w:val="both"/>
        <w:rPr>
          <w:rFonts w:asciiTheme="majorBidi" w:hAnsiTheme="majorBidi" w:cstheme="majorBidi"/>
          <w:sz w:val="24"/>
          <w:szCs w:val="24"/>
        </w:rPr>
      </w:pPr>
      <w:r w:rsidRPr="00770CCA">
        <w:rPr>
          <w:rFonts w:asciiTheme="majorBidi" w:hAnsiTheme="majorBidi" w:cstheme="majorBidi"/>
          <w:b/>
          <w:i/>
          <w:iCs/>
          <w:sz w:val="24"/>
          <w:szCs w:val="24"/>
        </w:rPr>
        <w:t>H1:</w:t>
      </w:r>
      <w:r w:rsidRPr="00511F36">
        <w:rPr>
          <w:rFonts w:asciiTheme="majorBidi" w:hAnsiTheme="majorBidi" w:cstheme="majorBidi"/>
          <w:i/>
          <w:iCs/>
          <w:sz w:val="24"/>
          <w:szCs w:val="24"/>
        </w:rPr>
        <w:t xml:space="preserve"> </w:t>
      </w:r>
      <w:r w:rsidRPr="004A6331">
        <w:rPr>
          <w:rFonts w:asciiTheme="majorBidi" w:hAnsiTheme="majorBidi" w:cstheme="majorBidi"/>
          <w:i/>
          <w:sz w:val="24"/>
          <w:szCs w:val="24"/>
        </w:rPr>
        <w:t>Vice-chancellor characteristics</w:t>
      </w:r>
      <w:r w:rsidR="00177BB0" w:rsidRPr="004A6331">
        <w:rPr>
          <w:rFonts w:asciiTheme="majorBidi" w:hAnsiTheme="majorBidi" w:cstheme="majorBidi"/>
          <w:i/>
          <w:sz w:val="24"/>
          <w:szCs w:val="24"/>
        </w:rPr>
        <w:t xml:space="preserve"> are</w:t>
      </w:r>
      <w:r w:rsidR="004F4FFF" w:rsidRPr="004A6331">
        <w:rPr>
          <w:rFonts w:asciiTheme="majorBidi" w:hAnsiTheme="majorBidi" w:cstheme="majorBidi"/>
          <w:i/>
          <w:sz w:val="24"/>
          <w:szCs w:val="24"/>
        </w:rPr>
        <w:t xml:space="preserve"> positively and</w:t>
      </w:r>
      <w:r w:rsidR="00177BB0" w:rsidRPr="004A6331">
        <w:rPr>
          <w:rFonts w:asciiTheme="majorBidi" w:hAnsiTheme="majorBidi" w:cstheme="majorBidi"/>
          <w:i/>
          <w:sz w:val="24"/>
          <w:szCs w:val="24"/>
        </w:rPr>
        <w:t xml:space="preserve"> significantly </w:t>
      </w:r>
      <w:r w:rsidR="00BF0769" w:rsidRPr="004A6331">
        <w:rPr>
          <w:rFonts w:asciiTheme="majorBidi" w:hAnsiTheme="majorBidi" w:cstheme="majorBidi"/>
          <w:i/>
          <w:sz w:val="24"/>
          <w:szCs w:val="24"/>
        </w:rPr>
        <w:t>associated</w:t>
      </w:r>
      <w:r w:rsidR="00177BB0" w:rsidRPr="004A6331">
        <w:rPr>
          <w:rFonts w:asciiTheme="majorBidi" w:hAnsiTheme="majorBidi" w:cstheme="majorBidi"/>
          <w:i/>
          <w:sz w:val="24"/>
          <w:szCs w:val="24"/>
        </w:rPr>
        <w:t xml:space="preserve"> with HEI</w:t>
      </w:r>
      <w:r w:rsidR="00576FCB" w:rsidRPr="004A6331">
        <w:rPr>
          <w:rFonts w:asciiTheme="majorBidi" w:hAnsiTheme="majorBidi" w:cstheme="majorBidi"/>
          <w:i/>
          <w:sz w:val="24"/>
          <w:szCs w:val="24"/>
        </w:rPr>
        <w:t>s</w:t>
      </w:r>
      <w:r w:rsidR="00177BB0" w:rsidRPr="004A6331">
        <w:rPr>
          <w:rFonts w:asciiTheme="majorBidi" w:hAnsiTheme="majorBidi" w:cstheme="majorBidi"/>
          <w:i/>
          <w:sz w:val="24"/>
          <w:szCs w:val="24"/>
        </w:rPr>
        <w:t xml:space="preserve"> </w:t>
      </w:r>
      <w:r w:rsidR="0097587C" w:rsidRPr="004A6331">
        <w:rPr>
          <w:rFonts w:asciiTheme="majorBidi" w:hAnsiTheme="majorBidi" w:cstheme="majorBidi"/>
          <w:i/>
          <w:sz w:val="24"/>
          <w:szCs w:val="24"/>
        </w:rPr>
        <w:t>voluntary governance disclosure</w:t>
      </w:r>
      <w:r w:rsidR="00AE16E3" w:rsidRPr="004A6331">
        <w:rPr>
          <w:rFonts w:asciiTheme="majorBidi" w:hAnsiTheme="majorBidi" w:cstheme="majorBidi"/>
          <w:i/>
          <w:sz w:val="24"/>
          <w:szCs w:val="24"/>
        </w:rPr>
        <w:t>s</w:t>
      </w:r>
      <w:r w:rsidR="0097587C" w:rsidRPr="00511F36">
        <w:rPr>
          <w:rFonts w:asciiTheme="majorBidi" w:hAnsiTheme="majorBidi" w:cstheme="majorBidi"/>
          <w:sz w:val="24"/>
          <w:szCs w:val="24"/>
        </w:rPr>
        <w:t>.</w:t>
      </w:r>
    </w:p>
    <w:p w14:paraId="3E9A8930" w14:textId="30B18E83" w:rsidR="00523568" w:rsidRDefault="002A74B0" w:rsidP="003B2522">
      <w:pPr>
        <w:spacing w:line="276" w:lineRule="auto"/>
        <w:jc w:val="both"/>
        <w:rPr>
          <w:rFonts w:asciiTheme="majorBidi" w:hAnsiTheme="majorBidi" w:cstheme="majorBidi"/>
          <w:b/>
          <w:i/>
          <w:iCs/>
          <w:sz w:val="24"/>
          <w:szCs w:val="24"/>
        </w:rPr>
      </w:pPr>
      <w:r w:rsidRPr="002A74B0">
        <w:rPr>
          <w:rFonts w:asciiTheme="majorBidi" w:hAnsiTheme="majorBidi" w:cstheme="majorBidi"/>
          <w:b/>
          <w:i/>
          <w:iCs/>
          <w:sz w:val="24"/>
          <w:szCs w:val="24"/>
        </w:rPr>
        <w:t xml:space="preserve">2.2 </w:t>
      </w:r>
      <w:r w:rsidR="00C66FA9">
        <w:rPr>
          <w:rFonts w:asciiTheme="majorBidi" w:hAnsiTheme="majorBidi" w:cstheme="majorBidi"/>
          <w:b/>
          <w:i/>
          <w:iCs/>
          <w:sz w:val="24"/>
          <w:szCs w:val="24"/>
        </w:rPr>
        <w:t>Internal g</w:t>
      </w:r>
      <w:r w:rsidR="00523568">
        <w:rPr>
          <w:rFonts w:asciiTheme="majorBidi" w:hAnsiTheme="majorBidi" w:cstheme="majorBidi"/>
          <w:b/>
          <w:i/>
          <w:iCs/>
          <w:sz w:val="24"/>
          <w:szCs w:val="24"/>
        </w:rPr>
        <w:t xml:space="preserve">overnance </w:t>
      </w:r>
      <w:r w:rsidR="00C66FA9">
        <w:rPr>
          <w:rFonts w:asciiTheme="majorBidi" w:hAnsiTheme="majorBidi" w:cstheme="majorBidi"/>
          <w:b/>
          <w:i/>
          <w:iCs/>
          <w:sz w:val="24"/>
          <w:szCs w:val="24"/>
        </w:rPr>
        <w:t>structures</w:t>
      </w:r>
      <w:r w:rsidR="00523568">
        <w:rPr>
          <w:rFonts w:asciiTheme="majorBidi" w:hAnsiTheme="majorBidi" w:cstheme="majorBidi"/>
          <w:b/>
          <w:i/>
          <w:iCs/>
          <w:sz w:val="24"/>
          <w:szCs w:val="24"/>
        </w:rPr>
        <w:t xml:space="preserve"> and voluntary governance disclosures</w:t>
      </w:r>
    </w:p>
    <w:p w14:paraId="557483DE" w14:textId="2897D956" w:rsidR="00410490" w:rsidRDefault="00C66FA9" w:rsidP="00C63EF2">
      <w:pPr>
        <w:spacing w:after="0" w:line="480" w:lineRule="auto"/>
        <w:ind w:firstLine="426"/>
        <w:jc w:val="both"/>
        <w:rPr>
          <w:rFonts w:asciiTheme="majorBidi" w:eastAsia="Times New Roman" w:hAnsiTheme="majorBidi" w:cstheme="majorBidi"/>
          <w:sz w:val="24"/>
          <w:szCs w:val="24"/>
          <w:lang w:val="pt-PT" w:eastAsia="en-GB"/>
        </w:rPr>
      </w:pPr>
      <w:r>
        <w:rPr>
          <w:rFonts w:asciiTheme="majorBidi" w:hAnsiTheme="majorBidi" w:cstheme="majorBidi"/>
          <w:bCs/>
          <w:sz w:val="24"/>
          <w:szCs w:val="24"/>
        </w:rPr>
        <w:t xml:space="preserve">In </w:t>
      </w:r>
      <w:r w:rsidRPr="00C63EF2">
        <w:rPr>
          <w:rFonts w:asciiTheme="majorBidi" w:hAnsiTheme="majorBidi" w:cstheme="majorBidi"/>
          <w:sz w:val="24"/>
          <w:szCs w:val="24"/>
        </w:rPr>
        <w:t>addition</w:t>
      </w:r>
      <w:r>
        <w:rPr>
          <w:rFonts w:asciiTheme="majorBidi" w:hAnsiTheme="majorBidi" w:cstheme="majorBidi"/>
          <w:bCs/>
          <w:sz w:val="24"/>
          <w:szCs w:val="24"/>
        </w:rPr>
        <w:t xml:space="preserve"> to examining the impact of VC characteristics on governance disclosure practices, we also </w:t>
      </w:r>
      <w:r w:rsidR="0004099F">
        <w:rPr>
          <w:rFonts w:asciiTheme="majorBidi" w:hAnsiTheme="majorBidi" w:cstheme="majorBidi"/>
          <w:bCs/>
          <w:sz w:val="24"/>
          <w:szCs w:val="24"/>
        </w:rPr>
        <w:t>investigate</w:t>
      </w:r>
      <w:r>
        <w:rPr>
          <w:rFonts w:asciiTheme="majorBidi" w:hAnsiTheme="majorBidi" w:cstheme="majorBidi"/>
          <w:bCs/>
          <w:sz w:val="24"/>
          <w:szCs w:val="24"/>
        </w:rPr>
        <w:t xml:space="preserve"> the </w:t>
      </w:r>
      <w:r w:rsidR="0004099F">
        <w:rPr>
          <w:rFonts w:asciiTheme="majorBidi" w:hAnsiTheme="majorBidi" w:cstheme="majorBidi"/>
          <w:bCs/>
          <w:sz w:val="24"/>
          <w:szCs w:val="24"/>
        </w:rPr>
        <w:t>effect</w:t>
      </w:r>
      <w:r>
        <w:rPr>
          <w:rFonts w:asciiTheme="majorBidi" w:hAnsiTheme="majorBidi" w:cstheme="majorBidi"/>
          <w:bCs/>
          <w:sz w:val="24"/>
          <w:szCs w:val="24"/>
        </w:rPr>
        <w:t xml:space="preserve"> of four </w:t>
      </w:r>
      <w:r w:rsidR="002229CA">
        <w:rPr>
          <w:rFonts w:asciiTheme="majorBidi" w:hAnsiTheme="majorBidi" w:cstheme="majorBidi"/>
          <w:bCs/>
          <w:sz w:val="24"/>
          <w:szCs w:val="24"/>
        </w:rPr>
        <w:t>board structure variables</w:t>
      </w:r>
      <w:r>
        <w:rPr>
          <w:rFonts w:asciiTheme="majorBidi" w:hAnsiTheme="majorBidi" w:cstheme="majorBidi"/>
          <w:bCs/>
          <w:sz w:val="24"/>
          <w:szCs w:val="24"/>
        </w:rPr>
        <w:t xml:space="preserve"> (</w:t>
      </w:r>
      <w:r w:rsidR="00C10078">
        <w:rPr>
          <w:rFonts w:asciiTheme="majorBidi" w:hAnsiTheme="majorBidi" w:cstheme="majorBidi"/>
          <w:bCs/>
          <w:sz w:val="24"/>
          <w:szCs w:val="24"/>
        </w:rPr>
        <w:t xml:space="preserve">the </w:t>
      </w:r>
      <w:r>
        <w:rPr>
          <w:rFonts w:asciiTheme="majorBidi" w:hAnsiTheme="majorBidi" w:cstheme="majorBidi"/>
          <w:bCs/>
          <w:sz w:val="24"/>
          <w:szCs w:val="24"/>
        </w:rPr>
        <w:t xml:space="preserve">existence of </w:t>
      </w:r>
      <w:r w:rsidR="00C10078">
        <w:rPr>
          <w:rFonts w:asciiTheme="majorBidi" w:hAnsiTheme="majorBidi" w:cstheme="majorBidi"/>
          <w:bCs/>
          <w:sz w:val="24"/>
          <w:szCs w:val="24"/>
        </w:rPr>
        <w:t xml:space="preserve">a </w:t>
      </w:r>
      <w:r>
        <w:rPr>
          <w:rFonts w:asciiTheme="majorBidi" w:hAnsiTheme="majorBidi" w:cstheme="majorBidi"/>
          <w:bCs/>
          <w:sz w:val="24"/>
          <w:szCs w:val="24"/>
        </w:rPr>
        <w:t xml:space="preserve">governance committee, governing board </w:t>
      </w:r>
      <w:r w:rsidR="000B6083">
        <w:rPr>
          <w:rFonts w:asciiTheme="majorBidi" w:hAnsiTheme="majorBidi" w:cstheme="majorBidi"/>
          <w:bCs/>
          <w:sz w:val="24"/>
          <w:szCs w:val="24"/>
        </w:rPr>
        <w:t xml:space="preserve">ethnic/gender </w:t>
      </w:r>
      <w:r>
        <w:rPr>
          <w:rFonts w:asciiTheme="majorBidi" w:hAnsiTheme="majorBidi" w:cstheme="majorBidi"/>
          <w:bCs/>
          <w:sz w:val="24"/>
          <w:szCs w:val="24"/>
        </w:rPr>
        <w:t xml:space="preserve">diversity, governing board </w:t>
      </w:r>
      <w:r>
        <w:rPr>
          <w:rFonts w:asciiTheme="majorBidi" w:hAnsiTheme="majorBidi" w:cstheme="majorBidi"/>
          <w:bCs/>
          <w:sz w:val="24"/>
          <w:szCs w:val="24"/>
        </w:rPr>
        <w:lastRenderedPageBreak/>
        <w:t>independence, and governing board meeting</w:t>
      </w:r>
      <w:r w:rsidR="00271A25">
        <w:rPr>
          <w:rFonts w:asciiTheme="majorBidi" w:hAnsiTheme="majorBidi" w:cstheme="majorBidi"/>
          <w:bCs/>
          <w:sz w:val="24"/>
          <w:szCs w:val="24"/>
        </w:rPr>
        <w:t>s</w:t>
      </w:r>
      <w:r>
        <w:rPr>
          <w:rFonts w:asciiTheme="majorBidi" w:hAnsiTheme="majorBidi" w:cstheme="majorBidi"/>
          <w:bCs/>
          <w:sz w:val="24"/>
          <w:szCs w:val="24"/>
        </w:rPr>
        <w:t xml:space="preserve">) on governance disclosure behaviours. These four variables have been selected for the following reasons. First, and despite increasing </w:t>
      </w:r>
      <w:r>
        <w:rPr>
          <w:rFonts w:asciiTheme="majorBidi" w:hAnsiTheme="majorBidi" w:cstheme="majorBidi"/>
          <w:sz w:val="24"/>
          <w:szCs w:val="24"/>
        </w:rPr>
        <w:t>anecdotal evidence and suggestions</w:t>
      </w:r>
      <w:r>
        <w:rPr>
          <w:rFonts w:asciiTheme="majorBidi" w:hAnsiTheme="majorBidi" w:cstheme="majorBidi"/>
          <w:bCs/>
          <w:sz w:val="24"/>
          <w:szCs w:val="24"/>
        </w:rPr>
        <w:t xml:space="preserve"> that governing board</w:t>
      </w:r>
      <w:r w:rsidR="00271A25">
        <w:rPr>
          <w:rFonts w:asciiTheme="majorBidi" w:hAnsiTheme="majorBidi" w:cstheme="majorBidi"/>
          <w:bCs/>
          <w:sz w:val="24"/>
          <w:szCs w:val="24"/>
        </w:rPr>
        <w:t>s</w:t>
      </w:r>
      <w:r>
        <w:rPr>
          <w:rFonts w:asciiTheme="majorBidi" w:hAnsiTheme="majorBidi" w:cstheme="majorBidi"/>
          <w:bCs/>
          <w:sz w:val="24"/>
          <w:szCs w:val="24"/>
        </w:rPr>
        <w:t xml:space="preserve"> ha</w:t>
      </w:r>
      <w:r w:rsidR="00271A25">
        <w:rPr>
          <w:rFonts w:asciiTheme="majorBidi" w:hAnsiTheme="majorBidi" w:cstheme="majorBidi"/>
          <w:bCs/>
          <w:sz w:val="24"/>
          <w:szCs w:val="24"/>
        </w:rPr>
        <w:t>ve</w:t>
      </w:r>
      <w:r>
        <w:rPr>
          <w:rFonts w:asciiTheme="majorBidi" w:hAnsiTheme="majorBidi" w:cstheme="majorBidi"/>
          <w:bCs/>
          <w:sz w:val="24"/>
          <w:szCs w:val="24"/>
        </w:rPr>
        <w:t xml:space="preserve"> an important monitoring role </w:t>
      </w:r>
      <w:r w:rsidR="002229CA">
        <w:rPr>
          <w:rFonts w:asciiTheme="majorBidi" w:hAnsiTheme="majorBidi" w:cstheme="majorBidi"/>
          <w:bCs/>
          <w:sz w:val="24"/>
          <w:szCs w:val="24"/>
        </w:rPr>
        <w:t>in ensuring</w:t>
      </w:r>
      <w:r>
        <w:rPr>
          <w:rFonts w:asciiTheme="majorBidi" w:hAnsiTheme="majorBidi" w:cstheme="majorBidi"/>
          <w:bCs/>
          <w:sz w:val="24"/>
          <w:szCs w:val="24"/>
        </w:rPr>
        <w:t xml:space="preserve"> compliance with </w:t>
      </w:r>
      <w:r w:rsidR="002229CA">
        <w:rPr>
          <w:rFonts w:asciiTheme="majorBidi" w:hAnsiTheme="majorBidi" w:cstheme="majorBidi"/>
          <w:bCs/>
          <w:sz w:val="24"/>
          <w:szCs w:val="24"/>
        </w:rPr>
        <w:t xml:space="preserve">good governance standards (CUC, </w:t>
      </w:r>
      <w:r w:rsidR="002229CA">
        <w:rPr>
          <w:rFonts w:asciiTheme="majorBidi" w:hAnsiTheme="majorBidi" w:cstheme="majorBidi"/>
          <w:sz w:val="24"/>
          <w:szCs w:val="24"/>
        </w:rPr>
        <w:t>2009, 2013, 2014; Ntim, 2018</w:t>
      </w:r>
      <w:r w:rsidR="00434F3C">
        <w:rPr>
          <w:rFonts w:asciiTheme="majorBidi" w:hAnsiTheme="majorBidi" w:cstheme="majorBidi"/>
          <w:sz w:val="24"/>
          <w:szCs w:val="24"/>
        </w:rPr>
        <w:t>), prior</w:t>
      </w:r>
      <w:r w:rsidR="0004099F">
        <w:rPr>
          <w:rFonts w:asciiTheme="majorBidi" w:hAnsiTheme="majorBidi" w:cstheme="majorBidi"/>
          <w:sz w:val="24"/>
          <w:szCs w:val="24"/>
        </w:rPr>
        <w:t xml:space="preserve"> HE</w:t>
      </w:r>
      <w:r w:rsidR="00434F3C">
        <w:rPr>
          <w:rFonts w:asciiTheme="majorBidi" w:hAnsiTheme="majorBidi" w:cstheme="majorBidi"/>
          <w:sz w:val="24"/>
          <w:szCs w:val="24"/>
        </w:rPr>
        <w:t xml:space="preserve"> studies have largely examined the effect of </w:t>
      </w:r>
      <w:r w:rsidR="00E40B0C">
        <w:rPr>
          <w:rFonts w:asciiTheme="majorBidi" w:hAnsiTheme="majorBidi" w:cstheme="majorBidi"/>
          <w:sz w:val="24"/>
          <w:szCs w:val="24"/>
        </w:rPr>
        <w:t xml:space="preserve">general </w:t>
      </w:r>
      <w:r w:rsidR="00C8556F">
        <w:rPr>
          <w:rFonts w:asciiTheme="majorBidi" w:hAnsiTheme="majorBidi" w:cstheme="majorBidi"/>
          <w:sz w:val="24"/>
          <w:szCs w:val="24"/>
        </w:rPr>
        <w:t>institution</w:t>
      </w:r>
      <w:r w:rsidR="00E40B0C">
        <w:rPr>
          <w:rFonts w:asciiTheme="majorBidi" w:hAnsiTheme="majorBidi" w:cstheme="majorBidi"/>
          <w:sz w:val="24"/>
          <w:szCs w:val="24"/>
        </w:rPr>
        <w:t>al</w:t>
      </w:r>
      <w:r w:rsidR="00434F3C">
        <w:rPr>
          <w:rFonts w:asciiTheme="majorBidi" w:hAnsiTheme="majorBidi" w:cstheme="majorBidi"/>
          <w:sz w:val="24"/>
          <w:szCs w:val="24"/>
        </w:rPr>
        <w:t xml:space="preserve"> features (e.g., age and size) on general disclosure behaviours (</w:t>
      </w:r>
      <w:r w:rsidR="00A7455C" w:rsidRPr="00A7455C">
        <w:rPr>
          <w:rFonts w:asciiTheme="majorBidi" w:eastAsia="Times New Roman" w:hAnsiTheme="majorBidi" w:cstheme="majorBidi"/>
          <w:sz w:val="24"/>
          <w:szCs w:val="24"/>
          <w:lang w:val="pt-PT" w:eastAsia="en-GB"/>
        </w:rPr>
        <w:t>Adhikariparajul</w:t>
      </w:r>
      <w:r w:rsidR="00A7455C">
        <w:rPr>
          <w:rFonts w:asciiTheme="majorBidi" w:hAnsiTheme="majorBidi" w:cstheme="majorBidi"/>
          <w:sz w:val="24"/>
          <w:szCs w:val="24"/>
        </w:rPr>
        <w:t xml:space="preserve"> et al., 2019; </w:t>
      </w:r>
      <w:r w:rsidR="00434F3C">
        <w:rPr>
          <w:rFonts w:asciiTheme="majorBidi" w:hAnsiTheme="majorBidi" w:cstheme="majorBidi"/>
          <w:sz w:val="24"/>
          <w:szCs w:val="24"/>
        </w:rPr>
        <w:t xml:space="preserve">Coy et al., </w:t>
      </w:r>
      <w:r w:rsidR="00877732">
        <w:rPr>
          <w:rFonts w:asciiTheme="majorBidi" w:hAnsiTheme="majorBidi" w:cstheme="majorBidi"/>
          <w:sz w:val="24"/>
          <w:szCs w:val="24"/>
        </w:rPr>
        <w:t>2001</w:t>
      </w:r>
      <w:r w:rsidR="00434F3C">
        <w:rPr>
          <w:rFonts w:asciiTheme="majorBidi" w:hAnsiTheme="majorBidi" w:cstheme="majorBidi"/>
          <w:sz w:val="24"/>
          <w:szCs w:val="24"/>
        </w:rPr>
        <w:t xml:space="preserve">; </w:t>
      </w:r>
      <w:r w:rsidR="00A7455C" w:rsidRPr="00511F36">
        <w:rPr>
          <w:rFonts w:asciiTheme="majorBidi" w:hAnsiTheme="majorBidi" w:cstheme="majorBidi"/>
          <w:sz w:val="24"/>
          <w:szCs w:val="24"/>
        </w:rPr>
        <w:t xml:space="preserve">Gray </w:t>
      </w:r>
      <w:r w:rsidR="00A7455C">
        <w:rPr>
          <w:rFonts w:asciiTheme="majorBidi" w:hAnsiTheme="majorBidi" w:cstheme="majorBidi"/>
          <w:sz w:val="24"/>
          <w:szCs w:val="24"/>
        </w:rPr>
        <w:t>&amp;</w:t>
      </w:r>
      <w:r w:rsidR="00A7455C" w:rsidRPr="00511F36">
        <w:rPr>
          <w:rFonts w:asciiTheme="majorBidi" w:hAnsiTheme="majorBidi" w:cstheme="majorBidi"/>
          <w:sz w:val="24"/>
          <w:szCs w:val="24"/>
        </w:rPr>
        <w:t xml:space="preserve"> Haslam</w:t>
      </w:r>
      <w:r w:rsidR="00A7455C">
        <w:rPr>
          <w:rFonts w:asciiTheme="majorBidi" w:hAnsiTheme="majorBidi" w:cstheme="majorBidi"/>
          <w:sz w:val="24"/>
          <w:szCs w:val="24"/>
        </w:rPr>
        <w:t>,</w:t>
      </w:r>
      <w:r w:rsidR="00A7455C" w:rsidRPr="00511F36">
        <w:rPr>
          <w:rFonts w:asciiTheme="majorBidi" w:hAnsiTheme="majorBidi" w:cstheme="majorBidi"/>
          <w:sz w:val="24"/>
          <w:szCs w:val="24"/>
        </w:rPr>
        <w:t xml:space="preserve"> 1990</w:t>
      </w:r>
      <w:r w:rsidR="00434F3C">
        <w:rPr>
          <w:rFonts w:asciiTheme="majorBidi" w:hAnsiTheme="majorBidi" w:cstheme="majorBidi"/>
          <w:sz w:val="24"/>
          <w:szCs w:val="24"/>
        </w:rPr>
        <w:t>)</w:t>
      </w:r>
      <w:r w:rsidR="0004099F">
        <w:rPr>
          <w:rFonts w:asciiTheme="majorBidi" w:hAnsiTheme="majorBidi" w:cstheme="majorBidi"/>
          <w:sz w:val="24"/>
          <w:szCs w:val="24"/>
        </w:rPr>
        <w:t xml:space="preserve">. Second, </w:t>
      </w:r>
      <w:r w:rsidR="00EB719B">
        <w:rPr>
          <w:rFonts w:asciiTheme="majorBidi" w:hAnsiTheme="majorBidi" w:cstheme="majorBidi"/>
          <w:sz w:val="24"/>
          <w:szCs w:val="24"/>
        </w:rPr>
        <w:t>governing board</w:t>
      </w:r>
      <w:r w:rsidR="00E40B0C">
        <w:rPr>
          <w:rFonts w:asciiTheme="majorBidi" w:hAnsiTheme="majorBidi" w:cstheme="majorBidi"/>
          <w:sz w:val="24"/>
          <w:szCs w:val="24"/>
        </w:rPr>
        <w:t>s</w:t>
      </w:r>
      <w:r w:rsidR="00EB719B">
        <w:rPr>
          <w:rFonts w:asciiTheme="majorBidi" w:hAnsiTheme="majorBidi" w:cstheme="majorBidi"/>
          <w:sz w:val="24"/>
          <w:szCs w:val="24"/>
        </w:rPr>
        <w:t xml:space="preserve"> work </w:t>
      </w:r>
      <w:r w:rsidR="000216A6">
        <w:rPr>
          <w:rFonts w:asciiTheme="majorBidi" w:hAnsiTheme="majorBidi" w:cstheme="majorBidi"/>
          <w:sz w:val="24"/>
          <w:szCs w:val="24"/>
        </w:rPr>
        <w:t>close</w:t>
      </w:r>
      <w:r w:rsidR="00EB719B">
        <w:rPr>
          <w:rFonts w:asciiTheme="majorBidi" w:hAnsiTheme="majorBidi" w:cstheme="majorBidi"/>
          <w:sz w:val="24"/>
          <w:szCs w:val="24"/>
        </w:rPr>
        <w:t xml:space="preserve">ly with </w:t>
      </w:r>
      <w:r w:rsidR="00EB719B" w:rsidRPr="00403E5E">
        <w:rPr>
          <w:rFonts w:asciiTheme="majorBidi" w:hAnsiTheme="majorBidi" w:cstheme="majorBidi"/>
          <w:sz w:val="24"/>
          <w:szCs w:val="24"/>
        </w:rPr>
        <w:t>VC</w:t>
      </w:r>
      <w:r w:rsidR="000A3E02">
        <w:rPr>
          <w:rFonts w:asciiTheme="majorBidi" w:hAnsiTheme="majorBidi" w:cstheme="majorBidi"/>
          <w:sz w:val="24"/>
          <w:szCs w:val="24"/>
        </w:rPr>
        <w:t>s</w:t>
      </w:r>
      <w:r w:rsidR="00EB719B" w:rsidRPr="00403E5E">
        <w:rPr>
          <w:rFonts w:asciiTheme="majorBidi" w:hAnsiTheme="majorBidi" w:cstheme="majorBidi"/>
          <w:sz w:val="24"/>
          <w:szCs w:val="24"/>
        </w:rPr>
        <w:t xml:space="preserve"> to oversee the strategic direction of HEIs, as well as to ensure that HEIs’ mission and vision are achieved (</w:t>
      </w:r>
      <w:r w:rsidR="00EB719B" w:rsidRPr="00403E5E">
        <w:rPr>
          <w:rFonts w:asciiTheme="majorBidi" w:eastAsia="Times New Roman" w:hAnsiTheme="majorBidi" w:cstheme="majorBidi"/>
          <w:sz w:val="24"/>
          <w:szCs w:val="24"/>
          <w:lang w:val="pt-PT" w:eastAsia="en-GB"/>
        </w:rPr>
        <w:t>Williams, 2018)</w:t>
      </w:r>
      <w:r w:rsidR="00E40B0C">
        <w:rPr>
          <w:rFonts w:asciiTheme="majorBidi" w:eastAsia="Times New Roman" w:hAnsiTheme="majorBidi" w:cstheme="majorBidi"/>
          <w:sz w:val="24"/>
          <w:szCs w:val="24"/>
          <w:lang w:val="pt-PT" w:eastAsia="en-GB"/>
        </w:rPr>
        <w:t>, and this can increase the pressure on senior managers to meet the expecations of key stakeholders (i.e., donors</w:t>
      </w:r>
      <w:r w:rsidR="00870502">
        <w:rPr>
          <w:rFonts w:asciiTheme="majorBidi" w:eastAsia="Times New Roman" w:hAnsiTheme="majorBidi" w:cstheme="majorBidi"/>
          <w:sz w:val="24"/>
          <w:szCs w:val="24"/>
          <w:lang w:val="pt-PT" w:eastAsia="en-GB"/>
        </w:rPr>
        <w:t>, OFS</w:t>
      </w:r>
      <w:r w:rsidR="00E40B0C">
        <w:rPr>
          <w:rFonts w:asciiTheme="majorBidi" w:eastAsia="Times New Roman" w:hAnsiTheme="majorBidi" w:cstheme="majorBidi"/>
          <w:sz w:val="24"/>
          <w:szCs w:val="24"/>
          <w:lang w:val="pt-PT" w:eastAsia="en-GB"/>
        </w:rPr>
        <w:t xml:space="preserve"> and students) by engaging in voluntary disclosure about governance practices</w:t>
      </w:r>
      <w:r w:rsidR="00EB719B" w:rsidRPr="00403E5E">
        <w:rPr>
          <w:rFonts w:asciiTheme="majorBidi" w:eastAsia="Times New Roman" w:hAnsiTheme="majorBidi" w:cstheme="majorBidi"/>
          <w:sz w:val="24"/>
          <w:szCs w:val="24"/>
          <w:lang w:val="pt-PT" w:eastAsia="en-GB"/>
        </w:rPr>
        <w:t>.</w:t>
      </w:r>
      <w:r w:rsidR="00403E5E" w:rsidRPr="00403E5E">
        <w:rPr>
          <w:rFonts w:asciiTheme="majorBidi" w:eastAsia="Times New Roman" w:hAnsiTheme="majorBidi" w:cstheme="majorBidi"/>
          <w:sz w:val="24"/>
          <w:szCs w:val="24"/>
          <w:lang w:val="pt-PT" w:eastAsia="en-GB"/>
        </w:rPr>
        <w:t xml:space="preserve"> </w:t>
      </w:r>
    </w:p>
    <w:p w14:paraId="065C1AB7" w14:textId="20D9AA1E" w:rsidR="00410490" w:rsidRDefault="006A3F76" w:rsidP="002009E8">
      <w:pPr>
        <w:spacing w:after="0" w:line="480" w:lineRule="auto"/>
        <w:ind w:firstLine="426"/>
        <w:jc w:val="both"/>
        <w:rPr>
          <w:rFonts w:asciiTheme="majorBidi" w:hAnsiTheme="majorBidi" w:cstheme="majorBidi"/>
          <w:bCs/>
          <w:sz w:val="24"/>
          <w:szCs w:val="24"/>
        </w:rPr>
      </w:pPr>
      <w:r w:rsidRPr="00C63EF2">
        <w:rPr>
          <w:rFonts w:asciiTheme="majorBidi" w:hAnsiTheme="majorBidi" w:cstheme="majorBidi"/>
          <w:sz w:val="24"/>
          <w:szCs w:val="24"/>
        </w:rPr>
        <w:t>Third</w:t>
      </w:r>
      <w:r w:rsidR="00E45D05">
        <w:rPr>
          <w:rFonts w:asciiTheme="majorBidi" w:eastAsia="Times New Roman" w:hAnsiTheme="majorBidi" w:cstheme="majorBidi"/>
          <w:sz w:val="24"/>
          <w:szCs w:val="24"/>
          <w:lang w:val="pt-PT" w:eastAsia="en-GB"/>
        </w:rPr>
        <w:t>, information about these four govering board variables can easily be obtained from HEIs annual reports, as well as they can be objectiv</w:t>
      </w:r>
      <w:r w:rsidR="00870502">
        <w:rPr>
          <w:rFonts w:asciiTheme="majorBidi" w:eastAsia="Times New Roman" w:hAnsiTheme="majorBidi" w:cstheme="majorBidi"/>
          <w:sz w:val="24"/>
          <w:szCs w:val="24"/>
          <w:lang w:val="pt-PT" w:eastAsia="en-GB"/>
        </w:rPr>
        <w:t>e</w:t>
      </w:r>
      <w:r w:rsidR="00E45D05">
        <w:rPr>
          <w:rFonts w:asciiTheme="majorBidi" w:eastAsia="Times New Roman" w:hAnsiTheme="majorBidi" w:cstheme="majorBidi"/>
          <w:sz w:val="24"/>
          <w:szCs w:val="24"/>
          <w:lang w:val="pt-PT" w:eastAsia="en-GB"/>
        </w:rPr>
        <w:t>ly measured (Gordon et al., 2002</w:t>
      </w:r>
      <w:r w:rsidR="001622FA">
        <w:rPr>
          <w:rFonts w:asciiTheme="majorBidi" w:eastAsia="Times New Roman" w:hAnsiTheme="majorBidi" w:cstheme="majorBidi"/>
          <w:sz w:val="24"/>
          <w:szCs w:val="24"/>
          <w:lang w:val="pt-PT" w:eastAsia="en-GB"/>
        </w:rPr>
        <w:t xml:space="preserve">; Ntim et al., 2017). </w:t>
      </w:r>
      <w:r w:rsidR="00403E5E" w:rsidRPr="00403E5E">
        <w:rPr>
          <w:rFonts w:asciiTheme="majorBidi" w:eastAsia="Times New Roman" w:hAnsiTheme="majorBidi" w:cstheme="majorBidi"/>
          <w:sz w:val="24"/>
          <w:szCs w:val="24"/>
          <w:lang w:val="pt-PT" w:eastAsia="en-GB"/>
        </w:rPr>
        <w:t xml:space="preserve">Finally, </w:t>
      </w:r>
      <w:r w:rsidR="00403E5E" w:rsidRPr="00403E5E">
        <w:rPr>
          <w:rFonts w:asciiTheme="majorBidi" w:hAnsiTheme="majorBidi" w:cstheme="majorBidi"/>
          <w:sz w:val="24"/>
          <w:szCs w:val="24"/>
        </w:rPr>
        <w:t>these four board structure variables have not been widely investigated in the existing</w:t>
      </w:r>
      <w:r w:rsidR="00403E5E">
        <w:rPr>
          <w:rFonts w:asciiTheme="majorBidi" w:hAnsiTheme="majorBidi" w:cstheme="majorBidi"/>
          <w:sz w:val="24"/>
          <w:szCs w:val="24"/>
        </w:rPr>
        <w:t xml:space="preserve"> voluntary </w:t>
      </w:r>
      <w:r w:rsidR="00E45D05">
        <w:rPr>
          <w:rFonts w:asciiTheme="majorBidi" w:hAnsiTheme="majorBidi" w:cstheme="majorBidi"/>
          <w:sz w:val="24"/>
          <w:szCs w:val="24"/>
        </w:rPr>
        <w:t>disclosure</w:t>
      </w:r>
      <w:r w:rsidR="00403E5E" w:rsidRPr="00403E5E">
        <w:rPr>
          <w:rFonts w:asciiTheme="majorBidi" w:hAnsiTheme="majorBidi" w:cstheme="majorBidi"/>
          <w:sz w:val="24"/>
          <w:szCs w:val="24"/>
        </w:rPr>
        <w:t xml:space="preserve"> literature, and hence our study aims to improve the current understanding of whether</w:t>
      </w:r>
      <w:r w:rsidR="00403E5E">
        <w:rPr>
          <w:rFonts w:asciiTheme="majorBidi" w:hAnsiTheme="majorBidi" w:cstheme="majorBidi"/>
          <w:sz w:val="24"/>
          <w:szCs w:val="24"/>
        </w:rPr>
        <w:t xml:space="preserve"> the</w:t>
      </w:r>
      <w:r w:rsidR="00403E5E" w:rsidRPr="00403E5E">
        <w:rPr>
          <w:rFonts w:asciiTheme="majorBidi" w:hAnsiTheme="majorBidi" w:cstheme="majorBidi"/>
          <w:sz w:val="24"/>
          <w:szCs w:val="24"/>
        </w:rPr>
        <w:t xml:space="preserve"> </w:t>
      </w:r>
      <w:r w:rsidR="00403E5E" w:rsidRPr="00403E5E">
        <w:rPr>
          <w:rFonts w:asciiTheme="majorBidi" w:hAnsiTheme="majorBidi" w:cstheme="majorBidi"/>
          <w:bCs/>
          <w:sz w:val="24"/>
          <w:szCs w:val="24"/>
        </w:rPr>
        <w:t xml:space="preserve">existence of </w:t>
      </w:r>
      <w:r w:rsidR="00870502">
        <w:rPr>
          <w:rFonts w:asciiTheme="majorBidi" w:hAnsiTheme="majorBidi" w:cstheme="majorBidi"/>
          <w:bCs/>
          <w:sz w:val="24"/>
          <w:szCs w:val="24"/>
        </w:rPr>
        <w:t xml:space="preserve">a </w:t>
      </w:r>
      <w:r w:rsidR="00403E5E" w:rsidRPr="00403E5E">
        <w:rPr>
          <w:rFonts w:asciiTheme="majorBidi" w:hAnsiTheme="majorBidi" w:cstheme="majorBidi"/>
          <w:bCs/>
          <w:sz w:val="24"/>
          <w:szCs w:val="24"/>
        </w:rPr>
        <w:t>governance committee, governing board diversity, governing board independence, and governing board meeting</w:t>
      </w:r>
      <w:r w:rsidR="00870502">
        <w:rPr>
          <w:rFonts w:asciiTheme="majorBidi" w:hAnsiTheme="majorBidi" w:cstheme="majorBidi"/>
          <w:bCs/>
          <w:sz w:val="24"/>
          <w:szCs w:val="24"/>
        </w:rPr>
        <w:t>s</w:t>
      </w:r>
      <w:r w:rsidR="00403E5E" w:rsidRPr="00403E5E">
        <w:rPr>
          <w:rFonts w:asciiTheme="majorBidi" w:hAnsiTheme="majorBidi" w:cstheme="majorBidi"/>
          <w:bCs/>
          <w:sz w:val="24"/>
          <w:szCs w:val="24"/>
        </w:rPr>
        <w:t xml:space="preserve"> are important drivers </w:t>
      </w:r>
      <w:r w:rsidR="00870502">
        <w:rPr>
          <w:rFonts w:asciiTheme="majorBidi" w:hAnsiTheme="majorBidi" w:cstheme="majorBidi"/>
          <w:bCs/>
          <w:sz w:val="24"/>
          <w:szCs w:val="24"/>
        </w:rPr>
        <w:t>of</w:t>
      </w:r>
      <w:r w:rsidR="00403E5E" w:rsidRPr="00403E5E">
        <w:rPr>
          <w:rFonts w:asciiTheme="majorBidi" w:hAnsiTheme="majorBidi" w:cstheme="majorBidi"/>
          <w:bCs/>
          <w:sz w:val="24"/>
          <w:szCs w:val="24"/>
        </w:rPr>
        <w:t xml:space="preserve"> voluntary governance disclosures in UK HEIs.</w:t>
      </w:r>
      <w:r w:rsidR="00403E5E">
        <w:rPr>
          <w:rFonts w:asciiTheme="majorBidi" w:hAnsiTheme="majorBidi" w:cstheme="majorBidi"/>
          <w:bCs/>
          <w:sz w:val="24"/>
          <w:szCs w:val="24"/>
        </w:rPr>
        <w:t xml:space="preserve"> The </w:t>
      </w:r>
      <w:r w:rsidR="00E45D05">
        <w:rPr>
          <w:rFonts w:asciiTheme="majorBidi" w:hAnsiTheme="majorBidi" w:cstheme="majorBidi"/>
          <w:bCs/>
          <w:sz w:val="24"/>
          <w:szCs w:val="24"/>
        </w:rPr>
        <w:t>hypotheses for these four variables are developed in the following subsection</w:t>
      </w:r>
      <w:r w:rsidR="007C2DC8">
        <w:rPr>
          <w:rFonts w:asciiTheme="majorBidi" w:hAnsiTheme="majorBidi" w:cstheme="majorBidi"/>
          <w:bCs/>
          <w:sz w:val="24"/>
          <w:szCs w:val="24"/>
        </w:rPr>
        <w:t>s</w:t>
      </w:r>
      <w:r w:rsidR="00E45D05">
        <w:rPr>
          <w:rFonts w:asciiTheme="majorBidi" w:hAnsiTheme="majorBidi" w:cstheme="majorBidi"/>
          <w:bCs/>
          <w:sz w:val="24"/>
          <w:szCs w:val="24"/>
        </w:rPr>
        <w:t>.</w:t>
      </w:r>
    </w:p>
    <w:p w14:paraId="623DC548" w14:textId="77777777" w:rsidR="002009E8" w:rsidRDefault="002009E8" w:rsidP="002009E8">
      <w:pPr>
        <w:spacing w:after="0" w:line="480" w:lineRule="auto"/>
        <w:ind w:firstLine="426"/>
        <w:jc w:val="both"/>
        <w:rPr>
          <w:rFonts w:asciiTheme="majorBidi" w:hAnsiTheme="majorBidi" w:cstheme="majorBidi"/>
          <w:bCs/>
          <w:sz w:val="24"/>
          <w:szCs w:val="24"/>
        </w:rPr>
      </w:pPr>
    </w:p>
    <w:p w14:paraId="375EE9AC" w14:textId="22DFDEEC" w:rsidR="0017518A" w:rsidRPr="002A74B0" w:rsidRDefault="00E45D05" w:rsidP="003B2522">
      <w:pPr>
        <w:spacing w:line="276" w:lineRule="auto"/>
        <w:jc w:val="both"/>
        <w:rPr>
          <w:rFonts w:asciiTheme="majorBidi" w:hAnsiTheme="majorBidi" w:cstheme="majorBidi"/>
          <w:b/>
          <w:i/>
          <w:iCs/>
          <w:sz w:val="24"/>
          <w:szCs w:val="24"/>
        </w:rPr>
      </w:pPr>
      <w:r>
        <w:rPr>
          <w:rFonts w:asciiTheme="majorBidi" w:hAnsiTheme="majorBidi" w:cstheme="majorBidi"/>
          <w:b/>
          <w:i/>
          <w:iCs/>
          <w:sz w:val="24"/>
          <w:szCs w:val="24"/>
        </w:rPr>
        <w:t xml:space="preserve">2.2.1 </w:t>
      </w:r>
      <w:r w:rsidR="00A25B6B">
        <w:rPr>
          <w:rFonts w:asciiTheme="majorBidi" w:hAnsiTheme="majorBidi" w:cstheme="majorBidi"/>
          <w:b/>
          <w:i/>
          <w:iCs/>
          <w:sz w:val="24"/>
          <w:szCs w:val="24"/>
        </w:rPr>
        <w:t>The e</w:t>
      </w:r>
      <w:r w:rsidR="0003408A" w:rsidRPr="002A74B0">
        <w:rPr>
          <w:rFonts w:asciiTheme="majorBidi" w:hAnsiTheme="majorBidi" w:cstheme="majorBidi"/>
          <w:b/>
          <w:i/>
          <w:iCs/>
          <w:sz w:val="24"/>
          <w:szCs w:val="24"/>
        </w:rPr>
        <w:t xml:space="preserve">xistence of </w:t>
      </w:r>
      <w:r w:rsidR="001A3A15">
        <w:rPr>
          <w:rFonts w:asciiTheme="majorBidi" w:hAnsiTheme="majorBidi" w:cstheme="majorBidi"/>
          <w:b/>
          <w:i/>
          <w:iCs/>
          <w:sz w:val="24"/>
          <w:szCs w:val="24"/>
        </w:rPr>
        <w:t xml:space="preserve">a </w:t>
      </w:r>
      <w:r w:rsidR="0003408A" w:rsidRPr="002A74B0">
        <w:rPr>
          <w:rFonts w:asciiTheme="majorBidi" w:hAnsiTheme="majorBidi" w:cstheme="majorBidi"/>
          <w:b/>
          <w:i/>
          <w:iCs/>
          <w:sz w:val="24"/>
          <w:szCs w:val="24"/>
        </w:rPr>
        <w:t>governance committee</w:t>
      </w:r>
      <w:r w:rsidR="0050664C" w:rsidRPr="002A74B0">
        <w:rPr>
          <w:rFonts w:asciiTheme="majorBidi" w:hAnsiTheme="majorBidi" w:cstheme="majorBidi"/>
          <w:b/>
          <w:i/>
          <w:iCs/>
          <w:sz w:val="24"/>
          <w:szCs w:val="24"/>
        </w:rPr>
        <w:t xml:space="preserve"> and </w:t>
      </w:r>
      <w:r w:rsidR="00D842C7" w:rsidRPr="002A74B0">
        <w:rPr>
          <w:rFonts w:asciiTheme="majorBidi" w:hAnsiTheme="majorBidi" w:cstheme="majorBidi"/>
          <w:b/>
          <w:i/>
          <w:iCs/>
          <w:sz w:val="24"/>
          <w:szCs w:val="24"/>
        </w:rPr>
        <w:t>voluntary governance disclosure</w:t>
      </w:r>
      <w:r w:rsidR="00720F04" w:rsidRPr="002A74B0">
        <w:rPr>
          <w:rFonts w:asciiTheme="majorBidi" w:hAnsiTheme="majorBidi" w:cstheme="majorBidi"/>
          <w:b/>
          <w:i/>
          <w:iCs/>
          <w:sz w:val="24"/>
          <w:szCs w:val="24"/>
        </w:rPr>
        <w:t>s</w:t>
      </w:r>
    </w:p>
    <w:p w14:paraId="4F37427A" w14:textId="245F3E67" w:rsidR="0050664C" w:rsidRPr="00511F36" w:rsidRDefault="000E2012" w:rsidP="00C63EF2">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Although t</w:t>
      </w:r>
      <w:r w:rsidR="00E41C84" w:rsidRPr="00511F36">
        <w:rPr>
          <w:rFonts w:asciiTheme="majorBidi" w:hAnsiTheme="majorBidi" w:cstheme="majorBidi"/>
          <w:sz w:val="24"/>
          <w:szCs w:val="24"/>
        </w:rPr>
        <w:t>he UK Comm</w:t>
      </w:r>
      <w:r w:rsidRPr="00511F36">
        <w:rPr>
          <w:rFonts w:asciiTheme="majorBidi" w:hAnsiTheme="majorBidi" w:cstheme="majorBidi"/>
          <w:sz w:val="24"/>
          <w:szCs w:val="24"/>
        </w:rPr>
        <w:t>ittee of University Chairs (2014)</w:t>
      </w:r>
      <w:r w:rsidR="00E41C84" w:rsidRPr="00511F36">
        <w:rPr>
          <w:rFonts w:asciiTheme="majorBidi" w:hAnsiTheme="majorBidi" w:cstheme="majorBidi"/>
          <w:sz w:val="24"/>
          <w:szCs w:val="24"/>
        </w:rPr>
        <w:t xml:space="preserve"> governance </w:t>
      </w:r>
      <w:r w:rsidRPr="00511F36">
        <w:rPr>
          <w:rFonts w:asciiTheme="majorBidi" w:hAnsiTheme="majorBidi" w:cstheme="majorBidi"/>
          <w:sz w:val="24"/>
          <w:szCs w:val="24"/>
        </w:rPr>
        <w:t>guideline</w:t>
      </w:r>
      <w:r w:rsidR="006D58D5">
        <w:rPr>
          <w:rFonts w:asciiTheme="majorBidi" w:hAnsiTheme="majorBidi" w:cstheme="majorBidi"/>
          <w:sz w:val="24"/>
          <w:szCs w:val="24"/>
        </w:rPr>
        <w:t>s</w:t>
      </w:r>
      <w:r w:rsidRPr="00511F36">
        <w:rPr>
          <w:rFonts w:asciiTheme="majorBidi" w:hAnsiTheme="majorBidi" w:cstheme="majorBidi"/>
          <w:sz w:val="24"/>
          <w:szCs w:val="24"/>
        </w:rPr>
        <w:t xml:space="preserve"> require HEIs to establish audit, remuneration and nomination committees </w:t>
      </w:r>
      <w:r w:rsidR="00965F19" w:rsidRPr="00511F36">
        <w:rPr>
          <w:rFonts w:asciiTheme="majorBidi" w:hAnsiTheme="majorBidi" w:cstheme="majorBidi"/>
          <w:sz w:val="24"/>
          <w:szCs w:val="24"/>
        </w:rPr>
        <w:t>to overs</w:t>
      </w:r>
      <w:r w:rsidR="00383010">
        <w:rPr>
          <w:rFonts w:asciiTheme="majorBidi" w:hAnsiTheme="majorBidi" w:cstheme="majorBidi"/>
          <w:sz w:val="24"/>
          <w:szCs w:val="24"/>
        </w:rPr>
        <w:t>ee</w:t>
      </w:r>
      <w:r w:rsidR="00965F19" w:rsidRPr="00511F36">
        <w:rPr>
          <w:rFonts w:asciiTheme="majorBidi" w:hAnsiTheme="majorBidi" w:cstheme="majorBidi"/>
          <w:sz w:val="24"/>
          <w:szCs w:val="24"/>
        </w:rPr>
        <w:t xml:space="preserve"> </w:t>
      </w:r>
      <w:r w:rsidR="008A7618" w:rsidRPr="00511F36">
        <w:rPr>
          <w:rFonts w:asciiTheme="majorBidi" w:hAnsiTheme="majorBidi" w:cstheme="majorBidi"/>
          <w:sz w:val="24"/>
          <w:szCs w:val="24"/>
        </w:rPr>
        <w:t xml:space="preserve">risk, </w:t>
      </w:r>
      <w:r w:rsidR="00965F19" w:rsidRPr="00511F36">
        <w:rPr>
          <w:rFonts w:asciiTheme="majorBidi" w:hAnsiTheme="majorBidi" w:cstheme="majorBidi"/>
          <w:sz w:val="24"/>
          <w:szCs w:val="24"/>
        </w:rPr>
        <w:t xml:space="preserve">accounting, reporting, and governors’ </w:t>
      </w:r>
      <w:r w:rsidR="005F2C5F">
        <w:rPr>
          <w:rFonts w:asciiTheme="majorBidi" w:hAnsiTheme="majorBidi" w:cstheme="majorBidi"/>
          <w:sz w:val="24"/>
          <w:szCs w:val="24"/>
        </w:rPr>
        <w:t>compensation</w:t>
      </w:r>
      <w:r w:rsidR="00965F19" w:rsidRPr="00511F36">
        <w:rPr>
          <w:rFonts w:asciiTheme="majorBidi" w:hAnsiTheme="majorBidi" w:cstheme="majorBidi"/>
          <w:sz w:val="24"/>
          <w:szCs w:val="24"/>
        </w:rPr>
        <w:t>/appointment</w:t>
      </w:r>
      <w:r w:rsidR="008A7618" w:rsidRPr="00511F36">
        <w:rPr>
          <w:rFonts w:asciiTheme="majorBidi" w:hAnsiTheme="majorBidi" w:cstheme="majorBidi"/>
          <w:sz w:val="24"/>
          <w:szCs w:val="24"/>
        </w:rPr>
        <w:t xml:space="preserve"> issues</w:t>
      </w:r>
      <w:r w:rsidR="00965F19" w:rsidRPr="00511F36">
        <w:rPr>
          <w:rFonts w:asciiTheme="majorBidi" w:hAnsiTheme="majorBidi" w:cstheme="majorBidi"/>
          <w:sz w:val="24"/>
          <w:szCs w:val="24"/>
        </w:rPr>
        <w:t>, the guideline</w:t>
      </w:r>
      <w:r w:rsidR="00986EF8">
        <w:rPr>
          <w:rFonts w:asciiTheme="majorBidi" w:hAnsiTheme="majorBidi" w:cstheme="majorBidi"/>
          <w:sz w:val="24"/>
          <w:szCs w:val="24"/>
        </w:rPr>
        <w:t>s</w:t>
      </w:r>
      <w:r w:rsidR="00965F19" w:rsidRPr="00511F36">
        <w:rPr>
          <w:rFonts w:asciiTheme="majorBidi" w:hAnsiTheme="majorBidi" w:cstheme="majorBidi"/>
          <w:sz w:val="24"/>
          <w:szCs w:val="24"/>
        </w:rPr>
        <w:t xml:space="preserve"> </w:t>
      </w:r>
      <w:r w:rsidR="00383010">
        <w:rPr>
          <w:rFonts w:asciiTheme="majorBidi" w:hAnsiTheme="majorBidi" w:cstheme="majorBidi"/>
          <w:sz w:val="24"/>
          <w:szCs w:val="24"/>
        </w:rPr>
        <w:t>do</w:t>
      </w:r>
      <w:r w:rsidR="00965F19" w:rsidRPr="00511F36">
        <w:rPr>
          <w:rFonts w:asciiTheme="majorBidi" w:hAnsiTheme="majorBidi" w:cstheme="majorBidi"/>
          <w:sz w:val="24"/>
          <w:szCs w:val="24"/>
        </w:rPr>
        <w:t xml:space="preserve"> </w:t>
      </w:r>
      <w:r w:rsidRPr="00511F36">
        <w:rPr>
          <w:rFonts w:asciiTheme="majorBidi" w:hAnsiTheme="majorBidi" w:cstheme="majorBidi"/>
          <w:sz w:val="24"/>
          <w:szCs w:val="24"/>
        </w:rPr>
        <w:t>not explicitly</w:t>
      </w:r>
      <w:r w:rsidR="005F2C5F">
        <w:rPr>
          <w:rFonts w:asciiTheme="majorBidi" w:hAnsiTheme="majorBidi" w:cstheme="majorBidi"/>
          <w:sz w:val="24"/>
          <w:szCs w:val="24"/>
        </w:rPr>
        <w:t xml:space="preserve"> dictate that HEIs need to establish a separate governance committee</w:t>
      </w:r>
      <w:r w:rsidRPr="00511F36">
        <w:rPr>
          <w:rFonts w:asciiTheme="majorBidi" w:hAnsiTheme="majorBidi" w:cstheme="majorBidi"/>
          <w:sz w:val="24"/>
          <w:szCs w:val="24"/>
        </w:rPr>
        <w:t xml:space="preserve">. </w:t>
      </w:r>
      <w:r w:rsidR="00C44756" w:rsidRPr="00511F36">
        <w:rPr>
          <w:rFonts w:asciiTheme="majorBidi" w:hAnsiTheme="majorBidi" w:cstheme="majorBidi"/>
          <w:sz w:val="24"/>
          <w:szCs w:val="24"/>
        </w:rPr>
        <w:t xml:space="preserve">Nevertheless, existing </w:t>
      </w:r>
      <w:r w:rsidR="00262751" w:rsidRPr="00511F36">
        <w:rPr>
          <w:rFonts w:asciiTheme="majorBidi" w:hAnsiTheme="majorBidi" w:cstheme="majorBidi"/>
          <w:sz w:val="24"/>
          <w:szCs w:val="24"/>
        </w:rPr>
        <w:lastRenderedPageBreak/>
        <w:t>studies</w:t>
      </w:r>
      <w:r w:rsidR="00C44756" w:rsidRPr="00511F36">
        <w:rPr>
          <w:rFonts w:asciiTheme="majorBidi" w:hAnsiTheme="majorBidi" w:cstheme="majorBidi"/>
          <w:sz w:val="24"/>
          <w:szCs w:val="24"/>
        </w:rPr>
        <w:t xml:space="preserve"> suggest that organisations, </w:t>
      </w:r>
      <w:r w:rsidR="008A7618" w:rsidRPr="00511F36">
        <w:rPr>
          <w:rFonts w:asciiTheme="majorBidi" w:hAnsiTheme="majorBidi" w:cstheme="majorBidi"/>
          <w:sz w:val="24"/>
          <w:szCs w:val="24"/>
        </w:rPr>
        <w:t xml:space="preserve">which voluntarily </w:t>
      </w:r>
      <w:r w:rsidR="0017360C">
        <w:rPr>
          <w:rFonts w:asciiTheme="majorBidi" w:hAnsiTheme="majorBidi" w:cstheme="majorBidi"/>
          <w:sz w:val="24"/>
          <w:szCs w:val="24"/>
        </w:rPr>
        <w:t>develop</w:t>
      </w:r>
      <w:r w:rsidR="005C123A">
        <w:rPr>
          <w:rFonts w:asciiTheme="majorBidi" w:hAnsiTheme="majorBidi" w:cstheme="majorBidi"/>
          <w:sz w:val="24"/>
          <w:szCs w:val="24"/>
        </w:rPr>
        <w:t xml:space="preserve"> a</w:t>
      </w:r>
      <w:r w:rsidR="00AD3E2A">
        <w:rPr>
          <w:rFonts w:asciiTheme="majorBidi" w:hAnsiTheme="majorBidi" w:cstheme="majorBidi"/>
          <w:sz w:val="24"/>
          <w:szCs w:val="24"/>
        </w:rPr>
        <w:t>n independent</w:t>
      </w:r>
      <w:r w:rsidR="005C123A">
        <w:rPr>
          <w:rFonts w:asciiTheme="majorBidi" w:hAnsiTheme="majorBidi" w:cstheme="majorBidi"/>
          <w:sz w:val="24"/>
          <w:szCs w:val="24"/>
        </w:rPr>
        <w:t xml:space="preserve"> </w:t>
      </w:r>
      <w:r w:rsidR="00A25B6B">
        <w:rPr>
          <w:rFonts w:asciiTheme="majorBidi" w:hAnsiTheme="majorBidi" w:cstheme="majorBidi"/>
          <w:sz w:val="24"/>
          <w:szCs w:val="24"/>
        </w:rPr>
        <w:t xml:space="preserve">governance </w:t>
      </w:r>
      <w:r w:rsidR="005C123A">
        <w:rPr>
          <w:rFonts w:asciiTheme="majorBidi" w:hAnsiTheme="majorBidi" w:cstheme="majorBidi"/>
          <w:sz w:val="24"/>
          <w:szCs w:val="24"/>
        </w:rPr>
        <w:t>committee to continuously oversee compliance with, and disclosur</w:t>
      </w:r>
      <w:r w:rsidR="00826685">
        <w:rPr>
          <w:rFonts w:asciiTheme="majorBidi" w:hAnsiTheme="majorBidi" w:cstheme="majorBidi"/>
          <w:sz w:val="24"/>
          <w:szCs w:val="24"/>
        </w:rPr>
        <w:t>e of</w:t>
      </w:r>
      <w:r w:rsidR="00CC707D">
        <w:rPr>
          <w:rFonts w:asciiTheme="majorBidi" w:hAnsiTheme="majorBidi" w:cstheme="majorBidi"/>
          <w:sz w:val="24"/>
          <w:szCs w:val="24"/>
        </w:rPr>
        <w:t>,</w:t>
      </w:r>
      <w:r w:rsidR="00826685">
        <w:rPr>
          <w:rFonts w:asciiTheme="majorBidi" w:hAnsiTheme="majorBidi" w:cstheme="majorBidi"/>
          <w:sz w:val="24"/>
          <w:szCs w:val="24"/>
        </w:rPr>
        <w:t xml:space="preserve"> governance recommendations</w:t>
      </w:r>
      <w:r w:rsidR="00C44756" w:rsidRPr="00511F36">
        <w:rPr>
          <w:rFonts w:asciiTheme="majorBidi" w:hAnsiTheme="majorBidi" w:cstheme="majorBidi"/>
          <w:sz w:val="24"/>
          <w:szCs w:val="24"/>
        </w:rPr>
        <w:t xml:space="preserve">, </w:t>
      </w:r>
      <w:r w:rsidR="00262751" w:rsidRPr="00511F36">
        <w:rPr>
          <w:rFonts w:asciiTheme="majorBidi" w:hAnsiTheme="majorBidi" w:cstheme="majorBidi"/>
          <w:sz w:val="24"/>
          <w:szCs w:val="24"/>
        </w:rPr>
        <w:t xml:space="preserve">tend to </w:t>
      </w:r>
      <w:r w:rsidR="00826685">
        <w:rPr>
          <w:rFonts w:asciiTheme="majorBidi" w:hAnsiTheme="majorBidi" w:cstheme="majorBidi"/>
          <w:sz w:val="24"/>
          <w:szCs w:val="24"/>
        </w:rPr>
        <w:t xml:space="preserve">commit to higher voluntary governance compliance/disclosure compared with those organisations that do not </w:t>
      </w:r>
      <w:r w:rsidR="0017360C">
        <w:rPr>
          <w:rFonts w:asciiTheme="majorBidi" w:hAnsiTheme="majorBidi" w:cstheme="majorBidi"/>
          <w:sz w:val="24"/>
          <w:szCs w:val="24"/>
        </w:rPr>
        <w:t>develop</w:t>
      </w:r>
      <w:r w:rsidR="00826685">
        <w:rPr>
          <w:rFonts w:asciiTheme="majorBidi" w:hAnsiTheme="majorBidi" w:cstheme="majorBidi"/>
          <w:sz w:val="24"/>
          <w:szCs w:val="24"/>
        </w:rPr>
        <w:t xml:space="preserve"> such </w:t>
      </w:r>
      <w:r w:rsidR="00C1178A">
        <w:rPr>
          <w:rFonts w:asciiTheme="majorBidi" w:hAnsiTheme="majorBidi" w:cstheme="majorBidi"/>
          <w:sz w:val="24"/>
          <w:szCs w:val="24"/>
        </w:rPr>
        <w:t xml:space="preserve">a </w:t>
      </w:r>
      <w:r w:rsidR="00826685">
        <w:rPr>
          <w:rFonts w:asciiTheme="majorBidi" w:hAnsiTheme="majorBidi" w:cstheme="majorBidi"/>
          <w:sz w:val="24"/>
          <w:szCs w:val="24"/>
        </w:rPr>
        <w:t xml:space="preserve">committee </w:t>
      </w:r>
      <w:r w:rsidR="00FB4312">
        <w:rPr>
          <w:rFonts w:asciiTheme="majorBidi" w:hAnsiTheme="majorBidi" w:cstheme="majorBidi"/>
          <w:sz w:val="24"/>
          <w:szCs w:val="24"/>
        </w:rPr>
        <w:t>(</w:t>
      </w:r>
      <w:r w:rsidR="0067220E">
        <w:rPr>
          <w:rFonts w:asciiTheme="majorBidi" w:hAnsiTheme="majorBidi" w:cstheme="majorBidi"/>
          <w:sz w:val="24"/>
          <w:szCs w:val="24"/>
        </w:rPr>
        <w:t>Ntim et al.,</w:t>
      </w:r>
      <w:r w:rsidR="00DF4C18">
        <w:rPr>
          <w:rFonts w:asciiTheme="majorBidi" w:hAnsiTheme="majorBidi" w:cstheme="majorBidi"/>
          <w:sz w:val="24"/>
          <w:szCs w:val="24"/>
        </w:rPr>
        <w:t xml:space="preserve"> 2012</w:t>
      </w:r>
      <w:r w:rsidR="00362272">
        <w:rPr>
          <w:rFonts w:asciiTheme="majorBidi" w:hAnsiTheme="majorBidi" w:cstheme="majorBidi"/>
          <w:sz w:val="24"/>
          <w:szCs w:val="24"/>
        </w:rPr>
        <w:t>,</w:t>
      </w:r>
      <w:r w:rsidR="0067220E">
        <w:rPr>
          <w:rFonts w:asciiTheme="majorBidi" w:hAnsiTheme="majorBidi" w:cstheme="majorBidi"/>
          <w:sz w:val="24"/>
          <w:szCs w:val="24"/>
        </w:rPr>
        <w:t xml:space="preserve"> 2017</w:t>
      </w:r>
      <w:r w:rsidR="00262751" w:rsidRPr="00511F36">
        <w:rPr>
          <w:rFonts w:asciiTheme="majorBidi" w:hAnsiTheme="majorBidi" w:cstheme="majorBidi"/>
          <w:sz w:val="24"/>
          <w:szCs w:val="24"/>
        </w:rPr>
        <w:t xml:space="preserve">). This can be explained </w:t>
      </w:r>
      <w:r w:rsidR="00E25EF8">
        <w:rPr>
          <w:rFonts w:asciiTheme="majorBidi" w:hAnsiTheme="majorBidi" w:cstheme="majorBidi"/>
          <w:sz w:val="24"/>
          <w:szCs w:val="24"/>
        </w:rPr>
        <w:t>using the efficiency</w:t>
      </w:r>
      <w:r w:rsidR="0069419F">
        <w:rPr>
          <w:rFonts w:asciiTheme="majorBidi" w:hAnsiTheme="majorBidi" w:cstheme="majorBidi"/>
          <w:sz w:val="24"/>
          <w:szCs w:val="24"/>
        </w:rPr>
        <w:t xml:space="preserve"> and legitimation</w:t>
      </w:r>
      <w:r w:rsidR="00E25EF8">
        <w:rPr>
          <w:rFonts w:asciiTheme="majorBidi" w:hAnsiTheme="majorBidi" w:cstheme="majorBidi"/>
          <w:sz w:val="24"/>
          <w:szCs w:val="24"/>
        </w:rPr>
        <w:t xml:space="preserve"> view</w:t>
      </w:r>
      <w:r w:rsidR="0069419F">
        <w:rPr>
          <w:rFonts w:asciiTheme="majorBidi" w:hAnsiTheme="majorBidi" w:cstheme="majorBidi"/>
          <w:sz w:val="24"/>
          <w:szCs w:val="24"/>
        </w:rPr>
        <w:t>s</w:t>
      </w:r>
      <w:r w:rsidR="00E25EF8">
        <w:rPr>
          <w:rFonts w:asciiTheme="majorBidi" w:hAnsiTheme="majorBidi" w:cstheme="majorBidi"/>
          <w:sz w:val="24"/>
          <w:szCs w:val="24"/>
        </w:rPr>
        <w:t xml:space="preserve"> of neo-institutional theory (Ntim et al., 2017) </w:t>
      </w:r>
      <w:r w:rsidR="00262751" w:rsidRPr="00511F36">
        <w:rPr>
          <w:rFonts w:asciiTheme="majorBidi" w:hAnsiTheme="majorBidi" w:cstheme="majorBidi"/>
          <w:sz w:val="24"/>
          <w:szCs w:val="24"/>
        </w:rPr>
        <w:t xml:space="preserve">that organisations, including HEIs, may voluntarily establish </w:t>
      </w:r>
      <w:r w:rsidR="00966DBE">
        <w:rPr>
          <w:rFonts w:asciiTheme="majorBidi" w:hAnsiTheme="majorBidi" w:cstheme="majorBidi"/>
          <w:sz w:val="24"/>
          <w:szCs w:val="24"/>
        </w:rPr>
        <w:t xml:space="preserve">a </w:t>
      </w:r>
      <w:r w:rsidR="00262751" w:rsidRPr="00511F36">
        <w:rPr>
          <w:rFonts w:asciiTheme="majorBidi" w:hAnsiTheme="majorBidi" w:cstheme="majorBidi"/>
          <w:sz w:val="24"/>
          <w:szCs w:val="24"/>
        </w:rPr>
        <w:t xml:space="preserve">governance committee </w:t>
      </w:r>
      <w:r w:rsidR="00A34132">
        <w:rPr>
          <w:rFonts w:asciiTheme="majorBidi" w:hAnsiTheme="majorBidi" w:cstheme="majorBidi"/>
          <w:sz w:val="24"/>
          <w:szCs w:val="24"/>
        </w:rPr>
        <w:t xml:space="preserve">in order </w:t>
      </w:r>
      <w:r w:rsidR="00262751" w:rsidRPr="00511F36">
        <w:rPr>
          <w:rFonts w:asciiTheme="majorBidi" w:hAnsiTheme="majorBidi" w:cstheme="majorBidi"/>
          <w:sz w:val="24"/>
          <w:szCs w:val="24"/>
        </w:rPr>
        <w:t xml:space="preserve">to </w:t>
      </w:r>
      <w:r w:rsidR="00E33D96">
        <w:rPr>
          <w:rFonts w:asciiTheme="majorBidi" w:hAnsiTheme="majorBidi" w:cstheme="majorBidi"/>
          <w:sz w:val="24"/>
          <w:szCs w:val="24"/>
        </w:rPr>
        <w:t xml:space="preserve">demonstrate that they are accountable to </w:t>
      </w:r>
      <w:r w:rsidR="00262751" w:rsidRPr="00511F36">
        <w:rPr>
          <w:rFonts w:asciiTheme="majorBidi" w:hAnsiTheme="majorBidi" w:cstheme="majorBidi"/>
          <w:sz w:val="24"/>
          <w:szCs w:val="24"/>
        </w:rPr>
        <w:t xml:space="preserve">the </w:t>
      </w:r>
      <w:r w:rsidR="00E33D96">
        <w:rPr>
          <w:rFonts w:asciiTheme="majorBidi" w:hAnsiTheme="majorBidi" w:cstheme="majorBidi"/>
          <w:sz w:val="24"/>
          <w:szCs w:val="24"/>
        </w:rPr>
        <w:t>community</w:t>
      </w:r>
      <w:r w:rsidR="00262751" w:rsidRPr="00511F36">
        <w:rPr>
          <w:rFonts w:asciiTheme="majorBidi" w:hAnsiTheme="majorBidi" w:cstheme="majorBidi"/>
          <w:sz w:val="24"/>
          <w:szCs w:val="24"/>
        </w:rPr>
        <w:t>, and this in turn</w:t>
      </w:r>
      <w:r w:rsidR="007061DE">
        <w:rPr>
          <w:rFonts w:asciiTheme="majorBidi" w:hAnsiTheme="majorBidi" w:cstheme="majorBidi"/>
          <w:sz w:val="24"/>
          <w:szCs w:val="24"/>
        </w:rPr>
        <w:t>,</w:t>
      </w:r>
      <w:r w:rsidR="00262751" w:rsidRPr="00511F36">
        <w:rPr>
          <w:rFonts w:asciiTheme="majorBidi" w:hAnsiTheme="majorBidi" w:cstheme="majorBidi"/>
          <w:sz w:val="24"/>
          <w:szCs w:val="24"/>
        </w:rPr>
        <w:t xml:space="preserve"> can improve their legitimacy by </w:t>
      </w:r>
      <w:r w:rsidR="006C214D">
        <w:rPr>
          <w:rFonts w:asciiTheme="majorBidi" w:hAnsiTheme="majorBidi" w:cstheme="majorBidi"/>
          <w:sz w:val="24"/>
          <w:szCs w:val="24"/>
        </w:rPr>
        <w:t>fulfilling</w:t>
      </w:r>
      <w:r w:rsidR="00E33D96">
        <w:rPr>
          <w:rFonts w:asciiTheme="majorBidi" w:hAnsiTheme="majorBidi" w:cstheme="majorBidi"/>
          <w:sz w:val="24"/>
          <w:szCs w:val="24"/>
        </w:rPr>
        <w:t xml:space="preserve"> the</w:t>
      </w:r>
      <w:r w:rsidR="009F322D">
        <w:rPr>
          <w:rFonts w:asciiTheme="majorBidi" w:hAnsiTheme="majorBidi" w:cstheme="majorBidi"/>
          <w:sz w:val="24"/>
          <w:szCs w:val="24"/>
        </w:rPr>
        <w:t xml:space="preserve"> influential stakeholders’</w:t>
      </w:r>
      <w:r w:rsidR="00E33D96">
        <w:rPr>
          <w:rFonts w:asciiTheme="majorBidi" w:hAnsiTheme="majorBidi" w:cstheme="majorBidi"/>
          <w:sz w:val="24"/>
          <w:szCs w:val="24"/>
        </w:rPr>
        <w:t xml:space="preserve"> expectations, and thereby gaining their support </w:t>
      </w:r>
      <w:r w:rsidR="00E30DD8">
        <w:rPr>
          <w:rFonts w:asciiTheme="majorBidi" w:hAnsiTheme="majorBidi" w:cstheme="majorBidi"/>
          <w:sz w:val="24"/>
          <w:szCs w:val="24"/>
        </w:rPr>
        <w:t>to</w:t>
      </w:r>
      <w:r w:rsidR="00E33D96">
        <w:rPr>
          <w:rFonts w:asciiTheme="majorBidi" w:hAnsiTheme="majorBidi" w:cstheme="majorBidi"/>
          <w:sz w:val="24"/>
          <w:szCs w:val="24"/>
        </w:rPr>
        <w:t xml:space="preserve"> </w:t>
      </w:r>
      <w:r w:rsidR="006C214D">
        <w:rPr>
          <w:rFonts w:asciiTheme="majorBidi" w:hAnsiTheme="majorBidi" w:cstheme="majorBidi"/>
          <w:sz w:val="24"/>
          <w:szCs w:val="24"/>
        </w:rPr>
        <w:t>secure access to</w:t>
      </w:r>
      <w:r w:rsidR="00AF2CF9">
        <w:rPr>
          <w:rFonts w:asciiTheme="majorBidi" w:hAnsiTheme="majorBidi" w:cstheme="majorBidi"/>
          <w:sz w:val="24"/>
          <w:szCs w:val="24"/>
        </w:rPr>
        <w:t xml:space="preserve"> the</w:t>
      </w:r>
      <w:r w:rsidR="00E33D96">
        <w:rPr>
          <w:rFonts w:asciiTheme="majorBidi" w:hAnsiTheme="majorBidi" w:cstheme="majorBidi"/>
          <w:sz w:val="24"/>
          <w:szCs w:val="24"/>
        </w:rPr>
        <w:t xml:space="preserve"> needed resources</w:t>
      </w:r>
      <w:r w:rsidR="00262751" w:rsidRPr="00511F36">
        <w:rPr>
          <w:rFonts w:asciiTheme="majorBidi" w:hAnsiTheme="majorBidi" w:cstheme="majorBidi"/>
          <w:sz w:val="24"/>
          <w:szCs w:val="24"/>
        </w:rPr>
        <w:t>, including f</w:t>
      </w:r>
      <w:r w:rsidR="008C691F">
        <w:rPr>
          <w:rFonts w:asciiTheme="majorBidi" w:hAnsiTheme="majorBidi" w:cstheme="majorBidi"/>
          <w:sz w:val="24"/>
          <w:szCs w:val="24"/>
        </w:rPr>
        <w:t>inancial</w:t>
      </w:r>
      <w:r w:rsidR="00BF22C1">
        <w:rPr>
          <w:rFonts w:asciiTheme="majorBidi" w:hAnsiTheme="majorBidi" w:cstheme="majorBidi"/>
          <w:sz w:val="24"/>
          <w:szCs w:val="24"/>
        </w:rPr>
        <w:t xml:space="preserve"> resources</w:t>
      </w:r>
      <w:r w:rsidR="00262751" w:rsidRPr="00511F36">
        <w:rPr>
          <w:rFonts w:asciiTheme="majorBidi" w:hAnsiTheme="majorBidi" w:cstheme="majorBidi"/>
          <w:sz w:val="24"/>
          <w:szCs w:val="24"/>
        </w:rPr>
        <w:t xml:space="preserve">. </w:t>
      </w:r>
    </w:p>
    <w:p w14:paraId="15FE17BE" w14:textId="74E9AEF6" w:rsidR="00F056F5" w:rsidRPr="00511F36" w:rsidRDefault="0022761C" w:rsidP="00C63EF2">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Empirically, there is</w:t>
      </w:r>
      <w:r w:rsidR="0017360C">
        <w:rPr>
          <w:rFonts w:asciiTheme="majorBidi" w:hAnsiTheme="majorBidi" w:cstheme="majorBidi"/>
          <w:sz w:val="24"/>
          <w:szCs w:val="24"/>
        </w:rPr>
        <w:t xml:space="preserve"> limited research on the </w:t>
      </w:r>
      <w:r w:rsidRPr="00511F36">
        <w:rPr>
          <w:rFonts w:asciiTheme="majorBidi" w:hAnsiTheme="majorBidi" w:cstheme="majorBidi"/>
          <w:sz w:val="24"/>
          <w:szCs w:val="24"/>
        </w:rPr>
        <w:t>influence of governance committees on governance disclosure practices</w:t>
      </w:r>
      <w:r w:rsidR="006671F8">
        <w:rPr>
          <w:rFonts w:asciiTheme="majorBidi" w:hAnsiTheme="majorBidi" w:cstheme="majorBidi"/>
          <w:sz w:val="24"/>
          <w:szCs w:val="24"/>
        </w:rPr>
        <w:t xml:space="preserve"> in general, </w:t>
      </w:r>
      <w:r w:rsidR="006F6082">
        <w:rPr>
          <w:rFonts w:asciiTheme="majorBidi" w:hAnsiTheme="majorBidi" w:cstheme="majorBidi"/>
          <w:sz w:val="24"/>
          <w:szCs w:val="24"/>
        </w:rPr>
        <w:t>but</w:t>
      </w:r>
      <w:r w:rsidR="00530484" w:rsidRPr="00511F36">
        <w:rPr>
          <w:rFonts w:asciiTheme="majorBidi" w:hAnsiTheme="majorBidi" w:cstheme="majorBidi"/>
          <w:sz w:val="24"/>
          <w:szCs w:val="24"/>
        </w:rPr>
        <w:t xml:space="preserve"> in HEIs</w:t>
      </w:r>
      <w:r w:rsidR="006F6082">
        <w:rPr>
          <w:rFonts w:asciiTheme="majorBidi" w:hAnsiTheme="majorBidi" w:cstheme="majorBidi"/>
          <w:sz w:val="24"/>
          <w:szCs w:val="24"/>
        </w:rPr>
        <w:t xml:space="preserve"> in particular</w:t>
      </w:r>
      <w:r w:rsidR="00530484" w:rsidRPr="00511F36">
        <w:rPr>
          <w:rFonts w:asciiTheme="majorBidi" w:hAnsiTheme="majorBidi" w:cstheme="majorBidi"/>
          <w:sz w:val="24"/>
          <w:szCs w:val="24"/>
        </w:rPr>
        <w:t xml:space="preserve">, and this </w:t>
      </w:r>
      <w:r w:rsidR="0017360C">
        <w:rPr>
          <w:rFonts w:asciiTheme="majorBidi" w:hAnsiTheme="majorBidi" w:cstheme="majorBidi"/>
          <w:sz w:val="24"/>
          <w:szCs w:val="24"/>
        </w:rPr>
        <w:t xml:space="preserve">offers a great </w:t>
      </w:r>
      <w:r w:rsidR="00F1001C">
        <w:rPr>
          <w:rFonts w:asciiTheme="majorBidi" w:hAnsiTheme="majorBidi" w:cstheme="majorBidi"/>
          <w:sz w:val="24"/>
          <w:szCs w:val="24"/>
        </w:rPr>
        <w:t>chance</w:t>
      </w:r>
      <w:r w:rsidR="0017360C">
        <w:rPr>
          <w:rFonts w:asciiTheme="majorBidi" w:hAnsiTheme="majorBidi" w:cstheme="majorBidi"/>
          <w:sz w:val="24"/>
          <w:szCs w:val="24"/>
        </w:rPr>
        <w:t xml:space="preserve"> to make original contributions to the extant disclosure research.</w:t>
      </w:r>
      <w:r w:rsidR="00530484" w:rsidRPr="00511F36">
        <w:rPr>
          <w:rFonts w:asciiTheme="majorBidi" w:hAnsiTheme="majorBidi" w:cstheme="majorBidi"/>
          <w:sz w:val="24"/>
          <w:szCs w:val="24"/>
        </w:rPr>
        <w:t xml:space="preserve"> </w:t>
      </w:r>
      <w:r w:rsidR="0067220E">
        <w:rPr>
          <w:rFonts w:asciiTheme="majorBidi" w:hAnsiTheme="majorBidi" w:cstheme="majorBidi"/>
          <w:sz w:val="24"/>
          <w:szCs w:val="24"/>
        </w:rPr>
        <w:t xml:space="preserve">Ntim et al. </w:t>
      </w:r>
      <w:r w:rsidR="00085DD8" w:rsidRPr="00511F36">
        <w:rPr>
          <w:rFonts w:asciiTheme="majorBidi" w:hAnsiTheme="majorBidi" w:cstheme="majorBidi"/>
          <w:sz w:val="24"/>
          <w:szCs w:val="24"/>
        </w:rPr>
        <w:t>(</w:t>
      </w:r>
      <w:r w:rsidR="00DF4C18">
        <w:rPr>
          <w:rFonts w:asciiTheme="majorBidi" w:hAnsiTheme="majorBidi" w:cstheme="majorBidi"/>
          <w:sz w:val="24"/>
          <w:szCs w:val="24"/>
        </w:rPr>
        <w:t>201</w:t>
      </w:r>
      <w:r w:rsidR="00573315">
        <w:rPr>
          <w:rFonts w:asciiTheme="majorBidi" w:hAnsiTheme="majorBidi" w:cstheme="majorBidi"/>
          <w:sz w:val="24"/>
          <w:szCs w:val="24"/>
        </w:rPr>
        <w:t>2</w:t>
      </w:r>
      <w:r w:rsidR="00085DD8" w:rsidRPr="00511F36">
        <w:rPr>
          <w:rFonts w:asciiTheme="majorBidi" w:hAnsiTheme="majorBidi" w:cstheme="majorBidi"/>
          <w:sz w:val="24"/>
          <w:szCs w:val="24"/>
        </w:rPr>
        <w:t xml:space="preserve">) examined this association using </w:t>
      </w:r>
      <w:r w:rsidR="00F25CF4">
        <w:rPr>
          <w:rFonts w:asciiTheme="majorBidi" w:hAnsiTheme="majorBidi" w:cstheme="majorBidi"/>
          <w:sz w:val="24"/>
          <w:szCs w:val="24"/>
        </w:rPr>
        <w:t xml:space="preserve">169 South African listed companies, </w:t>
      </w:r>
      <w:r w:rsidR="00183940" w:rsidRPr="00511F36">
        <w:rPr>
          <w:rFonts w:asciiTheme="majorBidi" w:hAnsiTheme="majorBidi" w:cstheme="majorBidi"/>
          <w:sz w:val="24"/>
          <w:szCs w:val="24"/>
        </w:rPr>
        <w:t>and report</w:t>
      </w:r>
      <w:r w:rsidR="00BF22C1">
        <w:rPr>
          <w:rFonts w:asciiTheme="majorBidi" w:hAnsiTheme="majorBidi" w:cstheme="majorBidi"/>
          <w:sz w:val="24"/>
          <w:szCs w:val="24"/>
        </w:rPr>
        <w:t>ed</w:t>
      </w:r>
      <w:r w:rsidR="00183940" w:rsidRPr="00511F36">
        <w:rPr>
          <w:rFonts w:asciiTheme="majorBidi" w:hAnsiTheme="majorBidi" w:cstheme="majorBidi"/>
          <w:sz w:val="24"/>
          <w:szCs w:val="24"/>
        </w:rPr>
        <w:t xml:space="preserve"> that </w:t>
      </w:r>
      <w:r w:rsidR="003A3303">
        <w:rPr>
          <w:rFonts w:asciiTheme="majorBidi" w:hAnsiTheme="majorBidi" w:cstheme="majorBidi"/>
          <w:sz w:val="24"/>
          <w:szCs w:val="24"/>
        </w:rPr>
        <w:t>companies</w:t>
      </w:r>
      <w:r w:rsidR="003A3303" w:rsidRPr="00511F36">
        <w:rPr>
          <w:rFonts w:asciiTheme="majorBidi" w:hAnsiTheme="majorBidi" w:cstheme="majorBidi"/>
          <w:sz w:val="24"/>
          <w:szCs w:val="24"/>
        </w:rPr>
        <w:t xml:space="preserve"> </w:t>
      </w:r>
      <w:r w:rsidR="00183940" w:rsidRPr="00511F36">
        <w:rPr>
          <w:rFonts w:asciiTheme="majorBidi" w:hAnsiTheme="majorBidi" w:cstheme="majorBidi"/>
          <w:sz w:val="24"/>
          <w:szCs w:val="24"/>
        </w:rPr>
        <w:t>that voluntarily</w:t>
      </w:r>
      <w:r w:rsidR="0017360C">
        <w:rPr>
          <w:rFonts w:asciiTheme="majorBidi" w:hAnsiTheme="majorBidi" w:cstheme="majorBidi"/>
          <w:sz w:val="24"/>
          <w:szCs w:val="24"/>
        </w:rPr>
        <w:t xml:space="preserve"> develop</w:t>
      </w:r>
      <w:r w:rsidR="00183940" w:rsidRPr="00511F36">
        <w:rPr>
          <w:rFonts w:asciiTheme="majorBidi" w:hAnsiTheme="majorBidi" w:cstheme="majorBidi"/>
          <w:sz w:val="24"/>
          <w:szCs w:val="24"/>
        </w:rPr>
        <w:t xml:space="preserve"> </w:t>
      </w:r>
      <w:r w:rsidR="00AD3E2A">
        <w:rPr>
          <w:rFonts w:asciiTheme="majorBidi" w:hAnsiTheme="majorBidi" w:cstheme="majorBidi"/>
          <w:sz w:val="24"/>
          <w:szCs w:val="24"/>
        </w:rPr>
        <w:t>an independent</w:t>
      </w:r>
      <w:r w:rsidR="00AD3E2A" w:rsidRPr="00511F36">
        <w:rPr>
          <w:rFonts w:asciiTheme="majorBidi" w:hAnsiTheme="majorBidi" w:cstheme="majorBidi"/>
          <w:sz w:val="24"/>
          <w:szCs w:val="24"/>
        </w:rPr>
        <w:t xml:space="preserve"> </w:t>
      </w:r>
      <w:r w:rsidR="00183940" w:rsidRPr="00511F36">
        <w:rPr>
          <w:rFonts w:asciiTheme="majorBidi" w:hAnsiTheme="majorBidi" w:cstheme="majorBidi"/>
          <w:sz w:val="24"/>
          <w:szCs w:val="24"/>
        </w:rPr>
        <w:t xml:space="preserve">governance committee tend to </w:t>
      </w:r>
      <w:r w:rsidR="00AD3E2A">
        <w:rPr>
          <w:rFonts w:asciiTheme="majorBidi" w:hAnsiTheme="majorBidi" w:cstheme="majorBidi"/>
          <w:sz w:val="24"/>
          <w:szCs w:val="24"/>
        </w:rPr>
        <w:t>commit to</w:t>
      </w:r>
      <w:r w:rsidR="00183940" w:rsidRPr="00511F36">
        <w:rPr>
          <w:rFonts w:asciiTheme="majorBidi" w:hAnsiTheme="majorBidi" w:cstheme="majorBidi"/>
          <w:sz w:val="24"/>
          <w:szCs w:val="24"/>
        </w:rPr>
        <w:t xml:space="preserve"> increased </w:t>
      </w:r>
      <w:r w:rsidR="00426F75" w:rsidRPr="00511F36">
        <w:rPr>
          <w:rFonts w:asciiTheme="majorBidi" w:hAnsiTheme="majorBidi" w:cstheme="majorBidi"/>
          <w:sz w:val="24"/>
          <w:szCs w:val="24"/>
        </w:rPr>
        <w:t xml:space="preserve">voluntary disclosures than those that do not </w:t>
      </w:r>
      <w:r w:rsidR="00AD3E2A">
        <w:rPr>
          <w:rFonts w:asciiTheme="majorBidi" w:hAnsiTheme="majorBidi" w:cstheme="majorBidi"/>
          <w:sz w:val="24"/>
          <w:szCs w:val="24"/>
        </w:rPr>
        <w:t xml:space="preserve">develop </w:t>
      </w:r>
      <w:r w:rsidR="00C1178A">
        <w:rPr>
          <w:rFonts w:asciiTheme="majorBidi" w:hAnsiTheme="majorBidi" w:cstheme="majorBidi"/>
          <w:sz w:val="24"/>
          <w:szCs w:val="24"/>
        </w:rPr>
        <w:t>a</w:t>
      </w:r>
      <w:r w:rsidR="00AD3E2A">
        <w:rPr>
          <w:rFonts w:asciiTheme="majorBidi" w:hAnsiTheme="majorBidi" w:cstheme="majorBidi"/>
          <w:sz w:val="24"/>
          <w:szCs w:val="24"/>
        </w:rPr>
        <w:t xml:space="preserve"> committee</w:t>
      </w:r>
      <w:r w:rsidR="00426F75" w:rsidRPr="00511F36">
        <w:rPr>
          <w:rFonts w:asciiTheme="majorBidi" w:hAnsiTheme="majorBidi" w:cstheme="majorBidi"/>
          <w:sz w:val="24"/>
          <w:szCs w:val="24"/>
        </w:rPr>
        <w:t xml:space="preserve">. Consequently, we </w:t>
      </w:r>
      <w:r w:rsidR="00DA35C5" w:rsidRPr="00DA35C5">
        <w:rPr>
          <w:rFonts w:asciiTheme="majorBidi" w:hAnsiTheme="majorBidi" w:cstheme="majorBidi"/>
          <w:sz w:val="24"/>
          <w:szCs w:val="24"/>
        </w:rPr>
        <w:t>hypothesise</w:t>
      </w:r>
      <w:r w:rsidR="00426F75" w:rsidRPr="00511F36">
        <w:rPr>
          <w:rFonts w:asciiTheme="majorBidi" w:hAnsiTheme="majorBidi" w:cstheme="majorBidi"/>
          <w:sz w:val="24"/>
          <w:szCs w:val="24"/>
        </w:rPr>
        <w:t xml:space="preserve"> that:</w:t>
      </w:r>
    </w:p>
    <w:p w14:paraId="67381062" w14:textId="16799482" w:rsidR="003B2522" w:rsidRDefault="00426F75" w:rsidP="0026139E">
      <w:pPr>
        <w:spacing w:line="480" w:lineRule="auto"/>
        <w:jc w:val="both"/>
        <w:rPr>
          <w:rFonts w:asciiTheme="majorBidi" w:hAnsiTheme="majorBidi" w:cstheme="majorBidi"/>
          <w:sz w:val="24"/>
          <w:szCs w:val="24"/>
        </w:rPr>
      </w:pPr>
      <w:r w:rsidRPr="00770CCA">
        <w:rPr>
          <w:rFonts w:asciiTheme="majorBidi" w:hAnsiTheme="majorBidi" w:cstheme="majorBidi"/>
          <w:b/>
          <w:i/>
          <w:iCs/>
          <w:sz w:val="24"/>
          <w:szCs w:val="24"/>
        </w:rPr>
        <w:t>H2:</w:t>
      </w:r>
      <w:r w:rsidRPr="00511F36">
        <w:rPr>
          <w:rFonts w:asciiTheme="majorBidi" w:hAnsiTheme="majorBidi" w:cstheme="majorBidi"/>
          <w:i/>
          <w:iCs/>
          <w:sz w:val="24"/>
          <w:szCs w:val="24"/>
        </w:rPr>
        <w:t xml:space="preserve"> </w:t>
      </w:r>
      <w:r w:rsidRPr="0026139E">
        <w:rPr>
          <w:rFonts w:asciiTheme="majorBidi" w:hAnsiTheme="majorBidi" w:cstheme="majorBidi"/>
          <w:i/>
          <w:sz w:val="24"/>
          <w:szCs w:val="24"/>
        </w:rPr>
        <w:t xml:space="preserve">HEIs that establish </w:t>
      </w:r>
      <w:r w:rsidR="00A25B6B">
        <w:rPr>
          <w:rFonts w:asciiTheme="majorBidi" w:hAnsiTheme="majorBidi" w:cstheme="majorBidi"/>
          <w:i/>
          <w:sz w:val="24"/>
          <w:szCs w:val="24"/>
        </w:rPr>
        <w:t xml:space="preserve">a </w:t>
      </w:r>
      <w:r w:rsidRPr="0026139E">
        <w:rPr>
          <w:rFonts w:asciiTheme="majorBidi" w:hAnsiTheme="majorBidi" w:cstheme="majorBidi"/>
          <w:i/>
          <w:sz w:val="24"/>
          <w:szCs w:val="24"/>
        </w:rPr>
        <w:t xml:space="preserve">separate governance committee engage in more voluntary governance disclosures than those </w:t>
      </w:r>
      <w:r w:rsidR="00DB4559" w:rsidRPr="0026139E">
        <w:rPr>
          <w:rFonts w:asciiTheme="majorBidi" w:hAnsiTheme="majorBidi" w:cstheme="majorBidi"/>
          <w:i/>
          <w:sz w:val="24"/>
          <w:szCs w:val="24"/>
        </w:rPr>
        <w:t xml:space="preserve">that </w:t>
      </w:r>
      <w:r w:rsidRPr="0026139E">
        <w:rPr>
          <w:rFonts w:asciiTheme="majorBidi" w:hAnsiTheme="majorBidi" w:cstheme="majorBidi"/>
          <w:i/>
          <w:sz w:val="24"/>
          <w:szCs w:val="24"/>
        </w:rPr>
        <w:t xml:space="preserve">do not have </w:t>
      </w:r>
      <w:r w:rsidR="00AC6F04" w:rsidRPr="0026139E">
        <w:rPr>
          <w:rFonts w:asciiTheme="majorBidi" w:hAnsiTheme="majorBidi" w:cstheme="majorBidi"/>
          <w:i/>
          <w:sz w:val="24"/>
          <w:szCs w:val="24"/>
        </w:rPr>
        <w:t xml:space="preserve">a </w:t>
      </w:r>
      <w:r w:rsidRPr="0026139E">
        <w:rPr>
          <w:rFonts w:asciiTheme="majorBidi" w:hAnsiTheme="majorBidi" w:cstheme="majorBidi"/>
          <w:i/>
          <w:sz w:val="24"/>
          <w:szCs w:val="24"/>
        </w:rPr>
        <w:t>governance committee</w:t>
      </w:r>
      <w:r w:rsidRPr="00511F36">
        <w:rPr>
          <w:rFonts w:asciiTheme="majorBidi" w:hAnsiTheme="majorBidi" w:cstheme="majorBidi"/>
          <w:sz w:val="24"/>
          <w:szCs w:val="24"/>
        </w:rPr>
        <w:t>.</w:t>
      </w:r>
    </w:p>
    <w:p w14:paraId="5142F147" w14:textId="77777777" w:rsidR="00410490" w:rsidRPr="00646A62" w:rsidRDefault="00410490" w:rsidP="0026139E">
      <w:pPr>
        <w:spacing w:line="480" w:lineRule="auto"/>
        <w:jc w:val="both"/>
        <w:rPr>
          <w:rFonts w:asciiTheme="majorBidi" w:hAnsiTheme="majorBidi" w:cstheme="majorBidi"/>
          <w:sz w:val="24"/>
          <w:szCs w:val="24"/>
        </w:rPr>
      </w:pPr>
    </w:p>
    <w:p w14:paraId="4E751C23" w14:textId="61E774B8" w:rsidR="00563F97" w:rsidRPr="002A74B0" w:rsidRDefault="002A74B0" w:rsidP="003B2522">
      <w:pPr>
        <w:spacing w:line="276" w:lineRule="auto"/>
        <w:jc w:val="both"/>
        <w:rPr>
          <w:rFonts w:asciiTheme="majorBidi" w:hAnsiTheme="majorBidi" w:cstheme="majorBidi"/>
          <w:b/>
          <w:i/>
          <w:iCs/>
          <w:sz w:val="24"/>
          <w:szCs w:val="24"/>
        </w:rPr>
      </w:pPr>
      <w:r w:rsidRPr="002A74B0">
        <w:rPr>
          <w:rFonts w:asciiTheme="majorBidi" w:hAnsiTheme="majorBidi" w:cstheme="majorBidi"/>
          <w:b/>
          <w:i/>
          <w:iCs/>
          <w:sz w:val="24"/>
          <w:szCs w:val="24"/>
        </w:rPr>
        <w:t>2.</w:t>
      </w:r>
      <w:r w:rsidR="006F6082">
        <w:rPr>
          <w:rFonts w:asciiTheme="majorBidi" w:hAnsiTheme="majorBidi" w:cstheme="majorBidi"/>
          <w:b/>
          <w:i/>
          <w:iCs/>
          <w:sz w:val="24"/>
          <w:szCs w:val="24"/>
        </w:rPr>
        <w:t>2.2</w:t>
      </w:r>
      <w:r w:rsidRPr="002A74B0">
        <w:rPr>
          <w:rFonts w:asciiTheme="majorBidi" w:hAnsiTheme="majorBidi" w:cstheme="majorBidi"/>
          <w:b/>
          <w:i/>
          <w:iCs/>
          <w:sz w:val="24"/>
          <w:szCs w:val="24"/>
        </w:rPr>
        <w:t xml:space="preserve"> </w:t>
      </w:r>
      <w:r w:rsidR="0003408A" w:rsidRPr="002A74B0">
        <w:rPr>
          <w:rFonts w:asciiTheme="majorBidi" w:hAnsiTheme="majorBidi" w:cstheme="majorBidi"/>
          <w:b/>
          <w:i/>
          <w:iCs/>
          <w:sz w:val="24"/>
          <w:szCs w:val="24"/>
        </w:rPr>
        <w:t>Governing board diversity</w:t>
      </w:r>
      <w:r w:rsidR="00563F97" w:rsidRPr="002A74B0">
        <w:rPr>
          <w:rFonts w:asciiTheme="majorBidi" w:hAnsiTheme="majorBidi" w:cstheme="majorBidi"/>
          <w:b/>
          <w:i/>
          <w:iCs/>
          <w:sz w:val="24"/>
          <w:szCs w:val="24"/>
        </w:rPr>
        <w:t xml:space="preserve"> and </w:t>
      </w:r>
      <w:r w:rsidR="00D842C7" w:rsidRPr="002A74B0">
        <w:rPr>
          <w:rFonts w:asciiTheme="majorBidi" w:hAnsiTheme="majorBidi" w:cstheme="majorBidi"/>
          <w:b/>
          <w:i/>
          <w:iCs/>
          <w:sz w:val="24"/>
          <w:szCs w:val="24"/>
        </w:rPr>
        <w:t>voluntary governance disclosure</w:t>
      </w:r>
      <w:r w:rsidR="00720F04" w:rsidRPr="002A74B0">
        <w:rPr>
          <w:rFonts w:asciiTheme="majorBidi" w:hAnsiTheme="majorBidi" w:cstheme="majorBidi"/>
          <w:b/>
          <w:i/>
          <w:iCs/>
          <w:sz w:val="24"/>
          <w:szCs w:val="24"/>
        </w:rPr>
        <w:t>s</w:t>
      </w:r>
    </w:p>
    <w:p w14:paraId="79A62447" w14:textId="0D807D16" w:rsidR="00410490" w:rsidRDefault="003F5E8D" w:rsidP="00C63EF2">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 xml:space="preserve">Governing board diversity is </w:t>
      </w:r>
      <w:r w:rsidR="00CA71FF">
        <w:rPr>
          <w:rFonts w:asciiTheme="majorBidi" w:hAnsiTheme="majorBidi" w:cstheme="majorBidi"/>
          <w:sz w:val="24"/>
          <w:szCs w:val="24"/>
        </w:rPr>
        <w:t>deemed</w:t>
      </w:r>
      <w:r w:rsidR="00CA71FF" w:rsidRPr="00511F36">
        <w:rPr>
          <w:rFonts w:asciiTheme="majorBidi" w:hAnsiTheme="majorBidi" w:cstheme="majorBidi"/>
          <w:sz w:val="24"/>
          <w:szCs w:val="24"/>
        </w:rPr>
        <w:t xml:space="preserve"> </w:t>
      </w:r>
      <w:r w:rsidRPr="00511F36">
        <w:rPr>
          <w:rFonts w:asciiTheme="majorBidi" w:hAnsiTheme="majorBidi" w:cstheme="majorBidi"/>
          <w:sz w:val="24"/>
          <w:szCs w:val="24"/>
        </w:rPr>
        <w:t>as a</w:t>
      </w:r>
      <w:r w:rsidR="00194019">
        <w:rPr>
          <w:rFonts w:asciiTheme="majorBidi" w:hAnsiTheme="majorBidi" w:cstheme="majorBidi"/>
          <w:sz w:val="24"/>
          <w:szCs w:val="24"/>
        </w:rPr>
        <w:t xml:space="preserve"> crucial </w:t>
      </w:r>
      <w:r w:rsidRPr="00511F36">
        <w:rPr>
          <w:rFonts w:asciiTheme="majorBidi" w:hAnsiTheme="majorBidi" w:cstheme="majorBidi"/>
          <w:sz w:val="24"/>
          <w:szCs w:val="24"/>
        </w:rPr>
        <w:t>mechanism that can influence its performance</w:t>
      </w:r>
      <w:r w:rsidR="00FB4312">
        <w:rPr>
          <w:rFonts w:asciiTheme="majorBidi" w:hAnsiTheme="majorBidi" w:cstheme="majorBidi"/>
          <w:sz w:val="24"/>
          <w:szCs w:val="24"/>
        </w:rPr>
        <w:t xml:space="preserve"> and effectiveness (</w:t>
      </w:r>
      <w:r w:rsidR="0067220E">
        <w:rPr>
          <w:rFonts w:asciiTheme="majorBidi" w:hAnsiTheme="majorBidi" w:cstheme="majorBidi"/>
          <w:sz w:val="24"/>
          <w:szCs w:val="24"/>
        </w:rPr>
        <w:t xml:space="preserve">Ntim et al., </w:t>
      </w:r>
      <w:r w:rsidR="00DF4C18">
        <w:rPr>
          <w:rFonts w:asciiTheme="majorBidi" w:hAnsiTheme="majorBidi" w:cstheme="majorBidi"/>
          <w:sz w:val="24"/>
          <w:szCs w:val="24"/>
        </w:rPr>
        <w:t>2017</w:t>
      </w:r>
      <w:r w:rsidRPr="00511F36">
        <w:rPr>
          <w:rFonts w:asciiTheme="majorBidi" w:hAnsiTheme="majorBidi" w:cstheme="majorBidi"/>
          <w:sz w:val="24"/>
          <w:szCs w:val="24"/>
        </w:rPr>
        <w:t>).</w:t>
      </w:r>
      <w:r w:rsidR="008572DD" w:rsidRPr="00511F36">
        <w:rPr>
          <w:rFonts w:asciiTheme="majorBidi" w:hAnsiTheme="majorBidi" w:cstheme="majorBidi"/>
          <w:sz w:val="24"/>
          <w:szCs w:val="24"/>
        </w:rPr>
        <w:t xml:space="preserve"> </w:t>
      </w:r>
      <w:r w:rsidR="008E47FF" w:rsidRPr="00511F36">
        <w:rPr>
          <w:rFonts w:asciiTheme="majorBidi" w:hAnsiTheme="majorBidi" w:cstheme="majorBidi"/>
          <w:sz w:val="24"/>
          <w:szCs w:val="24"/>
        </w:rPr>
        <w:t>Prior</w:t>
      </w:r>
      <w:r w:rsidR="008572DD" w:rsidRPr="00511F36">
        <w:rPr>
          <w:rFonts w:asciiTheme="majorBidi" w:hAnsiTheme="majorBidi" w:cstheme="majorBidi"/>
          <w:sz w:val="24"/>
          <w:szCs w:val="24"/>
        </w:rPr>
        <w:t xml:space="preserve"> studies have defined b</w:t>
      </w:r>
      <w:r w:rsidRPr="00511F36">
        <w:rPr>
          <w:rFonts w:asciiTheme="majorBidi" w:hAnsiTheme="majorBidi" w:cstheme="majorBidi"/>
          <w:sz w:val="24"/>
          <w:szCs w:val="24"/>
        </w:rPr>
        <w:t xml:space="preserve">oard diversity using different observable (e.g., gender, </w:t>
      </w:r>
      <w:r w:rsidR="00A50847" w:rsidRPr="00511F36">
        <w:rPr>
          <w:rFonts w:asciiTheme="majorBidi" w:hAnsiTheme="majorBidi" w:cstheme="majorBidi"/>
          <w:sz w:val="24"/>
          <w:szCs w:val="24"/>
        </w:rPr>
        <w:t>eth</w:t>
      </w:r>
      <w:r w:rsidR="007C2CAE">
        <w:rPr>
          <w:rFonts w:asciiTheme="majorBidi" w:hAnsiTheme="majorBidi" w:cstheme="majorBidi"/>
          <w:sz w:val="24"/>
          <w:szCs w:val="24"/>
        </w:rPr>
        <w:t>n</w:t>
      </w:r>
      <w:r w:rsidR="00A50847" w:rsidRPr="00511F36">
        <w:rPr>
          <w:rFonts w:asciiTheme="majorBidi" w:hAnsiTheme="majorBidi" w:cstheme="majorBidi"/>
          <w:sz w:val="24"/>
          <w:szCs w:val="24"/>
        </w:rPr>
        <w:t>ic origin and age)</w:t>
      </w:r>
      <w:r w:rsidRPr="00511F36">
        <w:rPr>
          <w:rFonts w:asciiTheme="majorBidi" w:hAnsiTheme="majorBidi" w:cstheme="majorBidi"/>
          <w:sz w:val="24"/>
          <w:szCs w:val="24"/>
        </w:rPr>
        <w:t xml:space="preserve"> and non-observable</w:t>
      </w:r>
      <w:r w:rsidR="00A50847" w:rsidRPr="00511F36">
        <w:rPr>
          <w:rFonts w:asciiTheme="majorBidi" w:hAnsiTheme="majorBidi" w:cstheme="majorBidi"/>
          <w:sz w:val="24"/>
          <w:szCs w:val="24"/>
        </w:rPr>
        <w:t xml:space="preserve"> (professional/education</w:t>
      </w:r>
      <w:r w:rsidR="007C2CAE">
        <w:rPr>
          <w:rFonts w:asciiTheme="majorBidi" w:hAnsiTheme="majorBidi" w:cstheme="majorBidi"/>
          <w:sz w:val="24"/>
          <w:szCs w:val="24"/>
        </w:rPr>
        <w:t>al</w:t>
      </w:r>
      <w:r w:rsidR="00A50847" w:rsidRPr="00511F36">
        <w:rPr>
          <w:rFonts w:asciiTheme="majorBidi" w:hAnsiTheme="majorBidi" w:cstheme="majorBidi"/>
          <w:sz w:val="24"/>
          <w:szCs w:val="24"/>
        </w:rPr>
        <w:t xml:space="preserve"> and religio</w:t>
      </w:r>
      <w:r w:rsidR="007C2CAE">
        <w:rPr>
          <w:rFonts w:asciiTheme="majorBidi" w:hAnsiTheme="majorBidi" w:cstheme="majorBidi"/>
          <w:sz w:val="24"/>
          <w:szCs w:val="24"/>
        </w:rPr>
        <w:t>us background</w:t>
      </w:r>
      <w:r w:rsidR="00A50847" w:rsidRPr="00511F36">
        <w:rPr>
          <w:rFonts w:asciiTheme="majorBidi" w:hAnsiTheme="majorBidi" w:cstheme="majorBidi"/>
          <w:sz w:val="24"/>
          <w:szCs w:val="24"/>
        </w:rPr>
        <w:t>) attributes</w:t>
      </w:r>
      <w:r w:rsidR="00784095" w:rsidRPr="00511F36">
        <w:rPr>
          <w:rFonts w:asciiTheme="majorBidi" w:hAnsiTheme="majorBidi" w:cstheme="majorBidi"/>
          <w:sz w:val="24"/>
          <w:szCs w:val="24"/>
        </w:rPr>
        <w:t xml:space="preserve"> (</w:t>
      </w:r>
      <w:r w:rsidR="00FB4312">
        <w:rPr>
          <w:rFonts w:asciiTheme="majorBidi" w:hAnsiTheme="majorBidi" w:cstheme="majorBidi"/>
          <w:sz w:val="24"/>
          <w:szCs w:val="24"/>
        </w:rPr>
        <w:t>Carter</w:t>
      </w:r>
      <w:r w:rsidR="003446F9">
        <w:rPr>
          <w:rFonts w:asciiTheme="majorBidi" w:hAnsiTheme="majorBidi" w:cstheme="majorBidi"/>
          <w:sz w:val="24"/>
          <w:szCs w:val="24"/>
        </w:rPr>
        <w:t xml:space="preserve"> et al., </w:t>
      </w:r>
      <w:r w:rsidR="00784095" w:rsidRPr="00511F36">
        <w:rPr>
          <w:rFonts w:asciiTheme="majorBidi" w:hAnsiTheme="majorBidi" w:cstheme="majorBidi"/>
          <w:sz w:val="24"/>
          <w:szCs w:val="24"/>
        </w:rPr>
        <w:t>2003</w:t>
      </w:r>
      <w:r w:rsidR="008572DD" w:rsidRPr="00511F36">
        <w:rPr>
          <w:rFonts w:asciiTheme="majorBidi" w:hAnsiTheme="majorBidi" w:cstheme="majorBidi"/>
          <w:sz w:val="24"/>
          <w:szCs w:val="24"/>
        </w:rPr>
        <w:t>)</w:t>
      </w:r>
      <w:r w:rsidR="00A50847" w:rsidRPr="00511F36">
        <w:rPr>
          <w:rFonts w:asciiTheme="majorBidi" w:hAnsiTheme="majorBidi" w:cstheme="majorBidi"/>
          <w:sz w:val="24"/>
          <w:szCs w:val="24"/>
        </w:rPr>
        <w:t xml:space="preserve">. </w:t>
      </w:r>
      <w:r w:rsidR="008E47FF" w:rsidRPr="00511F36">
        <w:rPr>
          <w:rFonts w:asciiTheme="majorBidi" w:hAnsiTheme="majorBidi" w:cstheme="majorBidi"/>
          <w:sz w:val="24"/>
          <w:szCs w:val="24"/>
        </w:rPr>
        <w:t xml:space="preserve">In this </w:t>
      </w:r>
      <w:r w:rsidR="008E47FF" w:rsidRPr="00511F36">
        <w:rPr>
          <w:rFonts w:asciiTheme="majorBidi" w:hAnsiTheme="majorBidi" w:cstheme="majorBidi"/>
          <w:sz w:val="24"/>
          <w:szCs w:val="24"/>
        </w:rPr>
        <w:lastRenderedPageBreak/>
        <w:t>study, we focus on ethnic</w:t>
      </w:r>
      <w:r w:rsidR="00194019">
        <w:rPr>
          <w:rFonts w:asciiTheme="majorBidi" w:hAnsiTheme="majorBidi" w:cstheme="majorBidi"/>
          <w:sz w:val="24"/>
          <w:szCs w:val="24"/>
        </w:rPr>
        <w:t xml:space="preserve"> and gender</w:t>
      </w:r>
      <w:r w:rsidR="008E47FF" w:rsidRPr="00511F36">
        <w:rPr>
          <w:rFonts w:asciiTheme="majorBidi" w:hAnsiTheme="majorBidi" w:cstheme="majorBidi"/>
          <w:sz w:val="24"/>
          <w:szCs w:val="24"/>
        </w:rPr>
        <w:t xml:space="preserve"> diversity attributes of the governing board and this is due to </w:t>
      </w:r>
      <w:r w:rsidR="00194019">
        <w:rPr>
          <w:rFonts w:asciiTheme="majorBidi" w:hAnsiTheme="majorBidi" w:cstheme="majorBidi"/>
          <w:sz w:val="24"/>
          <w:szCs w:val="24"/>
        </w:rPr>
        <w:t>two</w:t>
      </w:r>
      <w:r w:rsidR="008E47FF" w:rsidRPr="00511F36">
        <w:rPr>
          <w:rFonts w:asciiTheme="majorBidi" w:hAnsiTheme="majorBidi" w:cstheme="majorBidi"/>
          <w:sz w:val="24"/>
          <w:szCs w:val="24"/>
        </w:rPr>
        <w:t xml:space="preserve"> reasons: (i) the majority of past studies focused mainly on these two attributes of board diversity (</w:t>
      </w:r>
      <w:r w:rsidR="00784095" w:rsidRPr="00511F36">
        <w:rPr>
          <w:rFonts w:asciiTheme="majorBidi" w:hAnsiTheme="majorBidi" w:cstheme="majorBidi"/>
          <w:sz w:val="24"/>
          <w:szCs w:val="24"/>
        </w:rPr>
        <w:t>C</w:t>
      </w:r>
      <w:r w:rsidR="003446F9">
        <w:rPr>
          <w:rFonts w:asciiTheme="majorBidi" w:hAnsiTheme="majorBidi" w:cstheme="majorBidi"/>
          <w:sz w:val="24"/>
          <w:szCs w:val="24"/>
        </w:rPr>
        <w:t xml:space="preserve">arter et al., </w:t>
      </w:r>
      <w:r w:rsidR="00FB4312">
        <w:rPr>
          <w:rFonts w:asciiTheme="majorBidi" w:hAnsiTheme="majorBidi" w:cstheme="majorBidi"/>
          <w:sz w:val="24"/>
          <w:szCs w:val="24"/>
        </w:rPr>
        <w:t xml:space="preserve">2003; </w:t>
      </w:r>
      <w:r w:rsidR="0067220E">
        <w:rPr>
          <w:rFonts w:asciiTheme="majorBidi" w:hAnsiTheme="majorBidi" w:cstheme="majorBidi"/>
          <w:sz w:val="24"/>
          <w:szCs w:val="24"/>
        </w:rPr>
        <w:t xml:space="preserve">Ntim et al., </w:t>
      </w:r>
      <w:r w:rsidR="00DF4C18">
        <w:rPr>
          <w:rFonts w:asciiTheme="majorBidi" w:hAnsiTheme="majorBidi" w:cstheme="majorBidi"/>
          <w:sz w:val="24"/>
          <w:szCs w:val="24"/>
        </w:rPr>
        <w:t>2017</w:t>
      </w:r>
      <w:r w:rsidR="008E47FF" w:rsidRPr="00511F36">
        <w:rPr>
          <w:rFonts w:asciiTheme="majorBidi" w:hAnsiTheme="majorBidi" w:cstheme="majorBidi"/>
          <w:sz w:val="24"/>
          <w:szCs w:val="24"/>
        </w:rPr>
        <w:t xml:space="preserve">); and (ii) these two attributes can </w:t>
      </w:r>
      <w:r w:rsidR="00F701D2">
        <w:rPr>
          <w:rFonts w:asciiTheme="majorBidi" w:hAnsiTheme="majorBidi" w:cstheme="majorBidi"/>
          <w:sz w:val="24"/>
          <w:szCs w:val="24"/>
        </w:rPr>
        <w:t xml:space="preserve">be measured </w:t>
      </w:r>
      <w:r w:rsidR="007C2CAE">
        <w:rPr>
          <w:rFonts w:asciiTheme="majorBidi" w:hAnsiTheme="majorBidi" w:cstheme="majorBidi"/>
          <w:sz w:val="24"/>
          <w:szCs w:val="24"/>
        </w:rPr>
        <w:t>more accurately</w:t>
      </w:r>
      <w:r w:rsidR="00784095" w:rsidRPr="00511F36">
        <w:rPr>
          <w:rFonts w:asciiTheme="majorBidi" w:hAnsiTheme="majorBidi" w:cstheme="majorBidi"/>
          <w:sz w:val="24"/>
          <w:szCs w:val="24"/>
        </w:rPr>
        <w:t xml:space="preserve"> (</w:t>
      </w:r>
      <w:r w:rsidR="006F6082">
        <w:rPr>
          <w:rFonts w:asciiTheme="majorBidi" w:hAnsiTheme="majorBidi" w:cstheme="majorBidi"/>
          <w:sz w:val="24"/>
          <w:szCs w:val="24"/>
        </w:rPr>
        <w:t>Buse et al., 2016; Elmagrhi et al., 201</w:t>
      </w:r>
      <w:r w:rsidR="00AB3F27">
        <w:rPr>
          <w:rFonts w:asciiTheme="majorBidi" w:hAnsiTheme="majorBidi" w:cstheme="majorBidi"/>
          <w:sz w:val="24"/>
          <w:szCs w:val="24"/>
        </w:rPr>
        <w:t>9</w:t>
      </w:r>
      <w:r w:rsidR="006F6082">
        <w:rPr>
          <w:rFonts w:asciiTheme="majorBidi" w:hAnsiTheme="majorBidi" w:cstheme="majorBidi"/>
          <w:sz w:val="24"/>
          <w:szCs w:val="24"/>
        </w:rPr>
        <w:t>)</w:t>
      </w:r>
      <w:r w:rsidR="008E47FF" w:rsidRPr="00511F36">
        <w:rPr>
          <w:rFonts w:asciiTheme="majorBidi" w:hAnsiTheme="majorBidi" w:cstheme="majorBidi"/>
          <w:sz w:val="24"/>
          <w:szCs w:val="24"/>
        </w:rPr>
        <w:t xml:space="preserve">. </w:t>
      </w:r>
    </w:p>
    <w:p w14:paraId="7DC54CA5" w14:textId="69FA4A04" w:rsidR="00A176E9" w:rsidRPr="00511F36" w:rsidRDefault="008E47FF" w:rsidP="00C63EF2">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 xml:space="preserve">Theoretically, </w:t>
      </w:r>
      <w:r w:rsidR="00A45615">
        <w:rPr>
          <w:rFonts w:asciiTheme="majorBidi" w:hAnsiTheme="majorBidi" w:cstheme="majorBidi"/>
          <w:sz w:val="24"/>
          <w:szCs w:val="24"/>
        </w:rPr>
        <w:t xml:space="preserve">and from a legitimation perspective of neo-institutional theory, </w:t>
      </w:r>
      <w:r w:rsidR="001C6A25" w:rsidRPr="00511F36">
        <w:rPr>
          <w:rFonts w:asciiTheme="majorBidi" w:hAnsiTheme="majorBidi" w:cstheme="majorBidi"/>
          <w:sz w:val="24"/>
          <w:szCs w:val="24"/>
        </w:rPr>
        <w:t xml:space="preserve">board diversity can be useful in providing better connections </w:t>
      </w:r>
      <w:r w:rsidR="00120837" w:rsidRPr="00511F36">
        <w:rPr>
          <w:rFonts w:asciiTheme="majorBidi" w:hAnsiTheme="majorBidi" w:cstheme="majorBidi"/>
          <w:sz w:val="24"/>
          <w:szCs w:val="24"/>
        </w:rPr>
        <w:t>between organisations and their external environment (influential stakeholders) by enhancing corporate legitimacy and image</w:t>
      </w:r>
      <w:r w:rsidR="00973F63" w:rsidRPr="00511F36">
        <w:rPr>
          <w:rFonts w:asciiTheme="majorBidi" w:hAnsiTheme="majorBidi" w:cstheme="majorBidi"/>
          <w:sz w:val="24"/>
          <w:szCs w:val="24"/>
        </w:rPr>
        <w:t xml:space="preserve"> that can help in providing better </w:t>
      </w:r>
      <w:r w:rsidR="00120837" w:rsidRPr="00511F36">
        <w:rPr>
          <w:rFonts w:asciiTheme="majorBidi" w:hAnsiTheme="majorBidi" w:cstheme="majorBidi"/>
          <w:sz w:val="24"/>
          <w:szCs w:val="24"/>
        </w:rPr>
        <w:t xml:space="preserve">access </w:t>
      </w:r>
      <w:r w:rsidR="000C0064" w:rsidRPr="00511F36">
        <w:rPr>
          <w:rFonts w:asciiTheme="majorBidi" w:hAnsiTheme="majorBidi" w:cstheme="majorBidi"/>
          <w:sz w:val="24"/>
          <w:szCs w:val="24"/>
        </w:rPr>
        <w:t xml:space="preserve">to </w:t>
      </w:r>
      <w:r w:rsidR="00784095" w:rsidRPr="00511F36">
        <w:rPr>
          <w:rFonts w:asciiTheme="majorBidi" w:hAnsiTheme="majorBidi" w:cstheme="majorBidi"/>
          <w:sz w:val="24"/>
          <w:szCs w:val="24"/>
        </w:rPr>
        <w:t xml:space="preserve">critical resources (Freeman </w:t>
      </w:r>
      <w:r w:rsidR="00D57D17">
        <w:rPr>
          <w:rFonts w:asciiTheme="majorBidi" w:hAnsiTheme="majorBidi" w:cstheme="majorBidi"/>
          <w:sz w:val="24"/>
          <w:szCs w:val="24"/>
        </w:rPr>
        <w:t>&amp;</w:t>
      </w:r>
      <w:r w:rsidR="00784095" w:rsidRPr="00511F36">
        <w:rPr>
          <w:rFonts w:asciiTheme="majorBidi" w:hAnsiTheme="majorBidi" w:cstheme="majorBidi"/>
          <w:sz w:val="24"/>
          <w:szCs w:val="24"/>
        </w:rPr>
        <w:t xml:space="preserve"> Reed</w:t>
      </w:r>
      <w:r w:rsidR="00D57D17">
        <w:rPr>
          <w:rFonts w:asciiTheme="majorBidi" w:hAnsiTheme="majorBidi" w:cstheme="majorBidi"/>
          <w:sz w:val="24"/>
          <w:szCs w:val="24"/>
        </w:rPr>
        <w:t>,</w:t>
      </w:r>
      <w:r w:rsidR="00784095" w:rsidRPr="00511F36">
        <w:rPr>
          <w:rFonts w:asciiTheme="majorBidi" w:hAnsiTheme="majorBidi" w:cstheme="majorBidi"/>
          <w:sz w:val="24"/>
          <w:szCs w:val="24"/>
        </w:rPr>
        <w:t xml:space="preserve"> 1983</w:t>
      </w:r>
      <w:r w:rsidR="0048174B">
        <w:rPr>
          <w:rFonts w:asciiTheme="majorBidi" w:hAnsiTheme="majorBidi" w:cstheme="majorBidi"/>
          <w:sz w:val="24"/>
          <w:szCs w:val="24"/>
        </w:rPr>
        <w:t xml:space="preserve">; </w:t>
      </w:r>
      <w:r w:rsidR="00784095" w:rsidRPr="00511F36">
        <w:rPr>
          <w:rFonts w:asciiTheme="majorBidi" w:hAnsiTheme="majorBidi" w:cstheme="majorBidi"/>
          <w:sz w:val="24"/>
          <w:szCs w:val="24"/>
        </w:rPr>
        <w:t>Suchman</w:t>
      </w:r>
      <w:r w:rsidR="003C70BC">
        <w:rPr>
          <w:rFonts w:asciiTheme="majorBidi" w:hAnsiTheme="majorBidi" w:cstheme="majorBidi"/>
          <w:sz w:val="24"/>
          <w:szCs w:val="24"/>
        </w:rPr>
        <w:t>,</w:t>
      </w:r>
      <w:r w:rsidR="00784095" w:rsidRPr="00511F36">
        <w:rPr>
          <w:rFonts w:asciiTheme="majorBidi" w:hAnsiTheme="majorBidi" w:cstheme="majorBidi"/>
          <w:sz w:val="24"/>
          <w:szCs w:val="24"/>
        </w:rPr>
        <w:t xml:space="preserve"> 1995</w:t>
      </w:r>
      <w:r w:rsidR="00120837" w:rsidRPr="00511F36">
        <w:rPr>
          <w:rFonts w:asciiTheme="majorBidi" w:hAnsiTheme="majorBidi" w:cstheme="majorBidi"/>
          <w:sz w:val="24"/>
          <w:szCs w:val="24"/>
        </w:rPr>
        <w:t xml:space="preserve">). </w:t>
      </w:r>
      <w:r w:rsidR="00973F63" w:rsidRPr="00511F36">
        <w:rPr>
          <w:rFonts w:asciiTheme="majorBidi" w:hAnsiTheme="majorBidi" w:cstheme="majorBidi"/>
          <w:sz w:val="24"/>
          <w:szCs w:val="24"/>
        </w:rPr>
        <w:t xml:space="preserve">Similarly, </w:t>
      </w:r>
      <w:r w:rsidR="00A45615">
        <w:rPr>
          <w:rFonts w:asciiTheme="majorBidi" w:hAnsiTheme="majorBidi" w:cstheme="majorBidi"/>
          <w:sz w:val="24"/>
          <w:szCs w:val="24"/>
        </w:rPr>
        <w:t xml:space="preserve">and from neo-institutional (efficiency view) perspective, </w:t>
      </w:r>
      <w:r w:rsidR="00973F63" w:rsidRPr="00511F36">
        <w:rPr>
          <w:rFonts w:asciiTheme="majorBidi" w:hAnsiTheme="majorBidi" w:cstheme="majorBidi"/>
          <w:sz w:val="24"/>
          <w:szCs w:val="24"/>
        </w:rPr>
        <w:t>diverse boards are</w:t>
      </w:r>
      <w:r w:rsidR="0008028F">
        <w:rPr>
          <w:rFonts w:asciiTheme="majorBidi" w:hAnsiTheme="majorBidi" w:cstheme="majorBidi"/>
          <w:sz w:val="24"/>
          <w:szCs w:val="24"/>
        </w:rPr>
        <w:t xml:space="preserve"> often</w:t>
      </w:r>
      <w:r w:rsidR="00973F63" w:rsidRPr="00511F36">
        <w:rPr>
          <w:rFonts w:asciiTheme="majorBidi" w:hAnsiTheme="majorBidi" w:cstheme="majorBidi"/>
          <w:sz w:val="24"/>
          <w:szCs w:val="24"/>
        </w:rPr>
        <w:t xml:space="preserve"> associat</w:t>
      </w:r>
      <w:r w:rsidR="00A45615">
        <w:rPr>
          <w:rFonts w:asciiTheme="majorBidi" w:hAnsiTheme="majorBidi" w:cstheme="majorBidi"/>
          <w:sz w:val="24"/>
          <w:szCs w:val="24"/>
        </w:rPr>
        <w:t>e</w:t>
      </w:r>
      <w:r w:rsidR="00973F63" w:rsidRPr="00511F36">
        <w:rPr>
          <w:rFonts w:asciiTheme="majorBidi" w:hAnsiTheme="majorBidi" w:cstheme="majorBidi"/>
          <w:sz w:val="24"/>
          <w:szCs w:val="24"/>
        </w:rPr>
        <w:t xml:space="preserve">d with </w:t>
      </w:r>
      <w:r w:rsidR="00BD0532">
        <w:rPr>
          <w:rFonts w:asciiTheme="majorBidi" w:hAnsiTheme="majorBidi" w:cstheme="majorBidi"/>
          <w:sz w:val="24"/>
          <w:szCs w:val="24"/>
        </w:rPr>
        <w:t>better</w:t>
      </w:r>
      <w:r w:rsidR="00BD0532" w:rsidRPr="00511F36">
        <w:rPr>
          <w:rFonts w:asciiTheme="majorBidi" w:hAnsiTheme="majorBidi" w:cstheme="majorBidi"/>
          <w:sz w:val="24"/>
          <w:szCs w:val="24"/>
        </w:rPr>
        <w:t xml:space="preserve"> </w:t>
      </w:r>
      <w:r w:rsidR="00973F63" w:rsidRPr="00511F36">
        <w:rPr>
          <w:rFonts w:asciiTheme="majorBidi" w:hAnsiTheme="majorBidi" w:cstheme="majorBidi"/>
          <w:sz w:val="24"/>
          <w:szCs w:val="24"/>
        </w:rPr>
        <w:t>monitor</w:t>
      </w:r>
      <w:r w:rsidR="006134CD">
        <w:rPr>
          <w:rFonts w:asciiTheme="majorBidi" w:hAnsiTheme="majorBidi" w:cstheme="majorBidi"/>
          <w:sz w:val="24"/>
          <w:szCs w:val="24"/>
        </w:rPr>
        <w:t>ing</w:t>
      </w:r>
      <w:r w:rsidR="00973F63" w:rsidRPr="00511F36">
        <w:rPr>
          <w:rFonts w:asciiTheme="majorBidi" w:hAnsiTheme="majorBidi" w:cstheme="majorBidi"/>
          <w:sz w:val="24"/>
          <w:szCs w:val="24"/>
        </w:rPr>
        <w:t xml:space="preserve"> and independence than less diverse counterparts, and this may make diverse boards better at protecting public interests than less div</w:t>
      </w:r>
      <w:r w:rsidR="00784095" w:rsidRPr="00511F36">
        <w:rPr>
          <w:rFonts w:asciiTheme="majorBidi" w:hAnsiTheme="majorBidi" w:cstheme="majorBidi"/>
          <w:sz w:val="24"/>
          <w:szCs w:val="24"/>
        </w:rPr>
        <w:t>erse one</w:t>
      </w:r>
      <w:r w:rsidR="00596229">
        <w:rPr>
          <w:rFonts w:asciiTheme="majorBidi" w:hAnsiTheme="majorBidi" w:cstheme="majorBidi"/>
          <w:sz w:val="24"/>
          <w:szCs w:val="24"/>
        </w:rPr>
        <w:t>s</w:t>
      </w:r>
      <w:r w:rsidR="00784095" w:rsidRPr="00511F36">
        <w:rPr>
          <w:rFonts w:asciiTheme="majorBidi" w:hAnsiTheme="majorBidi" w:cstheme="majorBidi"/>
          <w:sz w:val="24"/>
          <w:szCs w:val="24"/>
        </w:rPr>
        <w:t xml:space="preserve"> (Coy</w:t>
      </w:r>
      <w:r w:rsidR="002F2FFF">
        <w:rPr>
          <w:rFonts w:asciiTheme="majorBidi" w:hAnsiTheme="majorBidi" w:cstheme="majorBidi"/>
          <w:sz w:val="24"/>
          <w:szCs w:val="24"/>
        </w:rPr>
        <w:t xml:space="preserve"> et al., </w:t>
      </w:r>
      <w:r w:rsidR="00877732" w:rsidRPr="00511F36">
        <w:rPr>
          <w:rFonts w:asciiTheme="majorBidi" w:hAnsiTheme="majorBidi" w:cstheme="majorBidi"/>
          <w:sz w:val="24"/>
          <w:szCs w:val="24"/>
        </w:rPr>
        <w:t>20</w:t>
      </w:r>
      <w:r w:rsidR="00877732">
        <w:rPr>
          <w:rFonts w:asciiTheme="majorBidi" w:hAnsiTheme="majorBidi" w:cstheme="majorBidi"/>
          <w:sz w:val="24"/>
          <w:szCs w:val="24"/>
        </w:rPr>
        <w:t>0</w:t>
      </w:r>
      <w:r w:rsidR="00877732" w:rsidRPr="00511F36">
        <w:rPr>
          <w:rFonts w:asciiTheme="majorBidi" w:hAnsiTheme="majorBidi" w:cstheme="majorBidi"/>
          <w:sz w:val="24"/>
          <w:szCs w:val="24"/>
        </w:rPr>
        <w:t>1</w:t>
      </w:r>
      <w:r w:rsidR="00784095" w:rsidRPr="00511F36">
        <w:rPr>
          <w:rFonts w:asciiTheme="majorBidi" w:hAnsiTheme="majorBidi" w:cstheme="majorBidi"/>
          <w:sz w:val="24"/>
          <w:szCs w:val="24"/>
        </w:rPr>
        <w:t xml:space="preserve">; </w:t>
      </w:r>
      <w:r w:rsidR="006B6C5B">
        <w:rPr>
          <w:rFonts w:asciiTheme="majorBidi" w:hAnsiTheme="majorBidi" w:cstheme="majorBidi"/>
          <w:sz w:val="24"/>
          <w:szCs w:val="24"/>
        </w:rPr>
        <w:t xml:space="preserve">Nelson et al., </w:t>
      </w:r>
      <w:r w:rsidR="00784095" w:rsidRPr="00511F36">
        <w:rPr>
          <w:rFonts w:asciiTheme="majorBidi" w:hAnsiTheme="majorBidi" w:cstheme="majorBidi"/>
          <w:sz w:val="24"/>
          <w:szCs w:val="24"/>
        </w:rPr>
        <w:t>2003</w:t>
      </w:r>
      <w:r w:rsidR="00973F63" w:rsidRPr="00511F36">
        <w:rPr>
          <w:rFonts w:asciiTheme="majorBidi" w:hAnsiTheme="majorBidi" w:cstheme="majorBidi"/>
          <w:sz w:val="24"/>
          <w:szCs w:val="24"/>
        </w:rPr>
        <w:t xml:space="preserve">). </w:t>
      </w:r>
      <w:r w:rsidR="00A176E9" w:rsidRPr="00511F36">
        <w:rPr>
          <w:rFonts w:asciiTheme="majorBidi" w:hAnsiTheme="majorBidi" w:cstheme="majorBidi"/>
          <w:sz w:val="24"/>
          <w:szCs w:val="24"/>
        </w:rPr>
        <w:t>Therefore</w:t>
      </w:r>
      <w:r w:rsidR="00973F63" w:rsidRPr="00511F36">
        <w:rPr>
          <w:rFonts w:asciiTheme="majorBidi" w:hAnsiTheme="majorBidi" w:cstheme="majorBidi"/>
          <w:sz w:val="24"/>
          <w:szCs w:val="24"/>
        </w:rPr>
        <w:t xml:space="preserve">, </w:t>
      </w:r>
      <w:r w:rsidR="00A176E9" w:rsidRPr="00511F36">
        <w:rPr>
          <w:rFonts w:asciiTheme="majorBidi" w:hAnsiTheme="majorBidi" w:cstheme="majorBidi"/>
          <w:sz w:val="24"/>
          <w:szCs w:val="24"/>
        </w:rPr>
        <w:t>and given that top management team</w:t>
      </w:r>
      <w:r w:rsidR="004B70E8">
        <w:rPr>
          <w:rFonts w:asciiTheme="majorBidi" w:hAnsiTheme="majorBidi" w:cstheme="majorBidi"/>
          <w:sz w:val="24"/>
          <w:szCs w:val="24"/>
        </w:rPr>
        <w:t>s</w:t>
      </w:r>
      <w:r w:rsidR="00A176E9" w:rsidRPr="00511F36">
        <w:rPr>
          <w:rFonts w:asciiTheme="majorBidi" w:hAnsiTheme="majorBidi" w:cstheme="majorBidi"/>
          <w:sz w:val="24"/>
          <w:szCs w:val="24"/>
        </w:rPr>
        <w:t xml:space="preserve"> </w:t>
      </w:r>
      <w:r w:rsidR="004B70E8">
        <w:rPr>
          <w:rFonts w:asciiTheme="majorBidi" w:hAnsiTheme="majorBidi" w:cstheme="majorBidi"/>
          <w:sz w:val="24"/>
          <w:szCs w:val="24"/>
        </w:rPr>
        <w:t xml:space="preserve">tend to </w:t>
      </w:r>
      <w:r w:rsidR="00A176E9" w:rsidRPr="00511F36">
        <w:rPr>
          <w:rFonts w:asciiTheme="majorBidi" w:hAnsiTheme="majorBidi" w:cstheme="majorBidi"/>
          <w:sz w:val="24"/>
          <w:szCs w:val="24"/>
        </w:rPr>
        <w:t>ha</w:t>
      </w:r>
      <w:r w:rsidR="004B70E8">
        <w:rPr>
          <w:rFonts w:asciiTheme="majorBidi" w:hAnsiTheme="majorBidi" w:cstheme="majorBidi"/>
          <w:sz w:val="24"/>
          <w:szCs w:val="24"/>
        </w:rPr>
        <w:t>ve</w:t>
      </w:r>
      <w:r w:rsidR="00A176E9" w:rsidRPr="00511F36">
        <w:rPr>
          <w:rFonts w:asciiTheme="majorBidi" w:hAnsiTheme="majorBidi" w:cstheme="majorBidi"/>
          <w:sz w:val="24"/>
          <w:szCs w:val="24"/>
        </w:rPr>
        <w:t xml:space="preserve"> significant influence on the extent of voluntary disclosur</w:t>
      </w:r>
      <w:r w:rsidR="00784095" w:rsidRPr="00511F36">
        <w:rPr>
          <w:rFonts w:asciiTheme="majorBidi" w:hAnsiTheme="majorBidi" w:cstheme="majorBidi"/>
          <w:sz w:val="24"/>
          <w:szCs w:val="24"/>
        </w:rPr>
        <w:t>es (</w:t>
      </w:r>
      <w:r w:rsidR="0067220E">
        <w:rPr>
          <w:rFonts w:asciiTheme="majorBidi" w:hAnsiTheme="majorBidi" w:cstheme="majorBidi"/>
          <w:sz w:val="24"/>
          <w:szCs w:val="24"/>
        </w:rPr>
        <w:t xml:space="preserve">Ntim et al., </w:t>
      </w:r>
      <w:r w:rsidR="00DF4C18">
        <w:rPr>
          <w:rFonts w:asciiTheme="majorBidi" w:hAnsiTheme="majorBidi" w:cstheme="majorBidi"/>
          <w:sz w:val="24"/>
          <w:szCs w:val="24"/>
        </w:rPr>
        <w:t>2017</w:t>
      </w:r>
      <w:r w:rsidR="00A176E9" w:rsidRPr="00511F36">
        <w:rPr>
          <w:rFonts w:asciiTheme="majorBidi" w:hAnsiTheme="majorBidi" w:cstheme="majorBidi"/>
          <w:sz w:val="24"/>
          <w:szCs w:val="24"/>
        </w:rPr>
        <w:t>), we argue that gender and ethnic</w:t>
      </w:r>
      <w:r w:rsidR="00367FE4">
        <w:rPr>
          <w:rFonts w:asciiTheme="majorBidi" w:hAnsiTheme="majorBidi" w:cstheme="majorBidi"/>
          <w:sz w:val="24"/>
          <w:szCs w:val="24"/>
        </w:rPr>
        <w:t>ally</w:t>
      </w:r>
      <w:r w:rsidR="00A176E9" w:rsidRPr="00511F36">
        <w:rPr>
          <w:rFonts w:asciiTheme="majorBidi" w:hAnsiTheme="majorBidi" w:cstheme="majorBidi"/>
          <w:sz w:val="24"/>
          <w:szCs w:val="24"/>
        </w:rPr>
        <w:t xml:space="preserve"> divers</w:t>
      </w:r>
      <w:r w:rsidR="00367FE4">
        <w:rPr>
          <w:rFonts w:asciiTheme="majorBidi" w:hAnsiTheme="majorBidi" w:cstheme="majorBidi"/>
          <w:sz w:val="24"/>
          <w:szCs w:val="24"/>
        </w:rPr>
        <w:t>e</w:t>
      </w:r>
      <w:r w:rsidR="00A176E9" w:rsidRPr="00511F36">
        <w:rPr>
          <w:rFonts w:asciiTheme="majorBidi" w:hAnsiTheme="majorBidi" w:cstheme="majorBidi"/>
          <w:sz w:val="24"/>
          <w:szCs w:val="24"/>
        </w:rPr>
        <w:t xml:space="preserve"> corporate board</w:t>
      </w:r>
      <w:r w:rsidR="0042286E">
        <w:rPr>
          <w:rFonts w:asciiTheme="majorBidi" w:hAnsiTheme="majorBidi" w:cstheme="majorBidi"/>
          <w:sz w:val="24"/>
          <w:szCs w:val="24"/>
        </w:rPr>
        <w:t>s</w:t>
      </w:r>
      <w:r w:rsidR="00A176E9" w:rsidRPr="00511F36">
        <w:rPr>
          <w:rFonts w:asciiTheme="majorBidi" w:hAnsiTheme="majorBidi" w:cstheme="majorBidi"/>
          <w:sz w:val="24"/>
          <w:szCs w:val="24"/>
        </w:rPr>
        <w:t xml:space="preserve"> </w:t>
      </w:r>
      <w:r w:rsidR="00367FE4">
        <w:rPr>
          <w:rFonts w:asciiTheme="majorBidi" w:hAnsiTheme="majorBidi" w:cstheme="majorBidi"/>
          <w:sz w:val="24"/>
          <w:szCs w:val="24"/>
        </w:rPr>
        <w:t>are more likely</w:t>
      </w:r>
      <w:r w:rsidR="00A176E9" w:rsidRPr="00511F36">
        <w:rPr>
          <w:rFonts w:asciiTheme="majorBidi" w:hAnsiTheme="majorBidi" w:cstheme="majorBidi"/>
          <w:sz w:val="24"/>
          <w:szCs w:val="24"/>
        </w:rPr>
        <w:t xml:space="preserve"> </w:t>
      </w:r>
      <w:r w:rsidR="00F852C0">
        <w:rPr>
          <w:rFonts w:asciiTheme="majorBidi" w:hAnsiTheme="majorBidi" w:cstheme="majorBidi"/>
          <w:sz w:val="24"/>
          <w:szCs w:val="24"/>
        </w:rPr>
        <w:t xml:space="preserve"> to </w:t>
      </w:r>
      <w:r w:rsidR="00502930">
        <w:rPr>
          <w:rFonts w:asciiTheme="majorBidi" w:hAnsiTheme="majorBidi" w:cstheme="majorBidi"/>
          <w:sz w:val="24"/>
          <w:szCs w:val="24"/>
        </w:rPr>
        <w:t>put</w:t>
      </w:r>
      <w:r w:rsidR="00A176E9" w:rsidRPr="00511F36">
        <w:rPr>
          <w:rFonts w:asciiTheme="majorBidi" w:hAnsiTheme="majorBidi" w:cstheme="majorBidi"/>
          <w:sz w:val="24"/>
          <w:szCs w:val="24"/>
        </w:rPr>
        <w:t xml:space="preserve"> </w:t>
      </w:r>
      <w:r w:rsidR="00367FE4">
        <w:rPr>
          <w:rFonts w:asciiTheme="majorBidi" w:hAnsiTheme="majorBidi" w:cstheme="majorBidi"/>
          <w:sz w:val="24"/>
          <w:szCs w:val="24"/>
        </w:rPr>
        <w:t>greater</w:t>
      </w:r>
      <w:r w:rsidR="00A176E9" w:rsidRPr="00511F36">
        <w:rPr>
          <w:rFonts w:asciiTheme="majorBidi" w:hAnsiTheme="majorBidi" w:cstheme="majorBidi"/>
          <w:sz w:val="24"/>
          <w:szCs w:val="24"/>
        </w:rPr>
        <w:t xml:space="preserve"> pressure on top management team</w:t>
      </w:r>
      <w:r w:rsidR="0042286E">
        <w:rPr>
          <w:rFonts w:asciiTheme="majorBidi" w:hAnsiTheme="majorBidi" w:cstheme="majorBidi"/>
          <w:sz w:val="24"/>
          <w:szCs w:val="24"/>
        </w:rPr>
        <w:t>s</w:t>
      </w:r>
      <w:r w:rsidR="00A176E9" w:rsidRPr="00511F36">
        <w:rPr>
          <w:rFonts w:asciiTheme="majorBidi" w:hAnsiTheme="majorBidi" w:cstheme="majorBidi"/>
          <w:sz w:val="24"/>
          <w:szCs w:val="24"/>
        </w:rPr>
        <w:t xml:space="preserve"> to engage in increased governance disclosures.</w:t>
      </w:r>
    </w:p>
    <w:p w14:paraId="151A3F4B" w14:textId="031DBAE6" w:rsidR="00A158AF" w:rsidRPr="00511F36" w:rsidRDefault="00A176E9" w:rsidP="00C63EF2">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Empirically,</w:t>
      </w:r>
      <w:r w:rsidR="0008028F">
        <w:rPr>
          <w:rFonts w:asciiTheme="majorBidi" w:hAnsiTheme="majorBidi" w:cstheme="majorBidi"/>
          <w:sz w:val="24"/>
          <w:szCs w:val="24"/>
        </w:rPr>
        <w:t xml:space="preserve"> much of the extant </w:t>
      </w:r>
      <w:r w:rsidR="00F40A62">
        <w:rPr>
          <w:rFonts w:asciiTheme="majorBidi" w:hAnsiTheme="majorBidi" w:cstheme="majorBidi"/>
          <w:sz w:val="24"/>
          <w:szCs w:val="24"/>
        </w:rPr>
        <w:t>studies</w:t>
      </w:r>
      <w:r w:rsidR="0008028F">
        <w:rPr>
          <w:rFonts w:asciiTheme="majorBidi" w:hAnsiTheme="majorBidi" w:cstheme="majorBidi"/>
          <w:sz w:val="24"/>
          <w:szCs w:val="24"/>
        </w:rPr>
        <w:t xml:space="preserve"> have been conducted on profitable organisations (</w:t>
      </w:r>
      <w:r w:rsidR="00827CDB">
        <w:rPr>
          <w:rFonts w:asciiTheme="majorBidi" w:hAnsiTheme="majorBidi" w:cstheme="majorBidi"/>
          <w:sz w:val="24"/>
          <w:szCs w:val="24"/>
        </w:rPr>
        <w:t xml:space="preserve">Barako et al., 2006; </w:t>
      </w:r>
      <w:r w:rsidR="0008028F">
        <w:rPr>
          <w:rFonts w:asciiTheme="majorBidi" w:hAnsiTheme="majorBidi" w:cstheme="majorBidi"/>
          <w:sz w:val="24"/>
          <w:szCs w:val="24"/>
        </w:rPr>
        <w:t xml:space="preserve">Elmagrhi et al., 2016; </w:t>
      </w:r>
      <w:r w:rsidR="00827CDB" w:rsidRPr="00827CDB">
        <w:rPr>
          <w:rFonts w:asciiTheme="majorBidi" w:hAnsiTheme="majorBidi" w:cstheme="majorBidi"/>
          <w:sz w:val="24"/>
          <w:szCs w:val="24"/>
        </w:rPr>
        <w:t>Gul</w:t>
      </w:r>
      <w:r w:rsidR="00827CDB" w:rsidRPr="0008028F">
        <w:rPr>
          <w:rFonts w:asciiTheme="majorBidi" w:eastAsia="Times New Roman" w:hAnsiTheme="majorBidi" w:cstheme="majorBidi"/>
          <w:sz w:val="24"/>
          <w:szCs w:val="24"/>
          <w:lang w:eastAsia="en-GB"/>
        </w:rPr>
        <w:t xml:space="preserve"> </w:t>
      </w:r>
      <w:r w:rsidR="00827CDB">
        <w:rPr>
          <w:rFonts w:asciiTheme="majorBidi" w:eastAsia="Times New Roman" w:hAnsiTheme="majorBidi" w:cstheme="majorBidi"/>
          <w:sz w:val="24"/>
          <w:szCs w:val="24"/>
          <w:lang w:eastAsia="en-GB"/>
        </w:rPr>
        <w:t xml:space="preserve">et al., 2011; Katmon et al., 2019; </w:t>
      </w:r>
      <w:r w:rsidR="0008028F" w:rsidRPr="0008028F">
        <w:rPr>
          <w:rFonts w:asciiTheme="majorBidi" w:eastAsia="Times New Roman" w:hAnsiTheme="majorBidi" w:cstheme="majorBidi"/>
          <w:sz w:val="24"/>
          <w:szCs w:val="24"/>
          <w:lang w:eastAsia="en-GB"/>
        </w:rPr>
        <w:t>Nalikka,</w:t>
      </w:r>
      <w:r w:rsidR="00827CDB">
        <w:rPr>
          <w:rFonts w:asciiTheme="majorBidi" w:eastAsia="Times New Roman" w:hAnsiTheme="majorBidi" w:cstheme="majorBidi"/>
          <w:sz w:val="24"/>
          <w:szCs w:val="24"/>
          <w:lang w:eastAsia="en-GB"/>
        </w:rPr>
        <w:t xml:space="preserve"> 2009), and the findings of these studies propose that the levels of disclosure in annual reports is positively influenced by board gender and ethnic diversity. However,</w:t>
      </w:r>
      <w:r w:rsidRPr="00511F36">
        <w:rPr>
          <w:rFonts w:asciiTheme="majorBidi" w:hAnsiTheme="majorBidi" w:cstheme="majorBidi"/>
          <w:sz w:val="24"/>
          <w:szCs w:val="24"/>
        </w:rPr>
        <w:t xml:space="preserve"> there </w:t>
      </w:r>
      <w:r w:rsidR="001E66DB">
        <w:rPr>
          <w:rFonts w:asciiTheme="majorBidi" w:hAnsiTheme="majorBidi" w:cstheme="majorBidi"/>
          <w:sz w:val="24"/>
          <w:szCs w:val="24"/>
        </w:rPr>
        <w:t>are</w:t>
      </w:r>
      <w:r w:rsidR="00A25ED5">
        <w:rPr>
          <w:rFonts w:asciiTheme="majorBidi" w:hAnsiTheme="majorBidi" w:cstheme="majorBidi"/>
          <w:sz w:val="24"/>
          <w:szCs w:val="24"/>
        </w:rPr>
        <w:t xml:space="preserve"> relatively</w:t>
      </w:r>
      <w:r w:rsidR="00A25ED5" w:rsidRPr="00511F36">
        <w:rPr>
          <w:rFonts w:asciiTheme="majorBidi" w:hAnsiTheme="majorBidi" w:cstheme="majorBidi"/>
          <w:sz w:val="24"/>
          <w:szCs w:val="24"/>
        </w:rPr>
        <w:t xml:space="preserve"> </w:t>
      </w:r>
      <w:r w:rsidRPr="00511F36">
        <w:rPr>
          <w:rFonts w:asciiTheme="majorBidi" w:hAnsiTheme="majorBidi" w:cstheme="majorBidi"/>
          <w:sz w:val="24"/>
          <w:szCs w:val="24"/>
        </w:rPr>
        <w:t xml:space="preserve">few empirical </w:t>
      </w:r>
      <w:r w:rsidR="000A3E02">
        <w:rPr>
          <w:rFonts w:asciiTheme="majorBidi" w:hAnsiTheme="majorBidi" w:cstheme="majorBidi"/>
          <w:sz w:val="24"/>
          <w:szCs w:val="24"/>
        </w:rPr>
        <w:t xml:space="preserve">studies </w:t>
      </w:r>
      <w:r w:rsidR="00BD0532">
        <w:rPr>
          <w:rFonts w:asciiTheme="majorBidi" w:hAnsiTheme="majorBidi" w:cstheme="majorBidi"/>
          <w:sz w:val="24"/>
          <w:szCs w:val="24"/>
        </w:rPr>
        <w:t xml:space="preserve">examining the influence of board ethnic and gender diversity on disclosure behaviours among </w:t>
      </w:r>
      <w:r w:rsidR="00827CDB">
        <w:rPr>
          <w:rFonts w:asciiTheme="majorBidi" w:hAnsiTheme="majorBidi" w:cstheme="majorBidi"/>
          <w:sz w:val="24"/>
          <w:szCs w:val="24"/>
        </w:rPr>
        <w:t>non-profitable organisations</w:t>
      </w:r>
      <w:r w:rsidR="00796F55">
        <w:rPr>
          <w:rFonts w:asciiTheme="majorBidi" w:hAnsiTheme="majorBidi" w:cstheme="majorBidi"/>
          <w:sz w:val="24"/>
          <w:szCs w:val="24"/>
        </w:rPr>
        <w:t xml:space="preserve">. For example, Buse et al. (2016) report a statistically positive relationship among board ethnic, gender diversity and the adoption of good governance practices using 1,456 US non-profitable organisations. </w:t>
      </w:r>
      <w:r w:rsidR="00B106D6" w:rsidRPr="00511F36">
        <w:rPr>
          <w:rFonts w:asciiTheme="majorBidi" w:hAnsiTheme="majorBidi" w:cstheme="majorBidi"/>
          <w:sz w:val="24"/>
          <w:szCs w:val="24"/>
        </w:rPr>
        <w:t>With respect to</w:t>
      </w:r>
      <w:r w:rsidR="005042C2" w:rsidRPr="00511F36">
        <w:rPr>
          <w:rFonts w:asciiTheme="majorBidi" w:hAnsiTheme="majorBidi" w:cstheme="majorBidi"/>
          <w:sz w:val="24"/>
          <w:szCs w:val="24"/>
        </w:rPr>
        <w:t xml:space="preserve"> studies </w:t>
      </w:r>
      <w:r w:rsidR="006134CD">
        <w:rPr>
          <w:rFonts w:asciiTheme="majorBidi" w:hAnsiTheme="majorBidi" w:cstheme="majorBidi"/>
          <w:sz w:val="24"/>
          <w:szCs w:val="24"/>
        </w:rPr>
        <w:t>relating to the</w:t>
      </w:r>
      <w:r w:rsidR="005042C2" w:rsidRPr="00511F36">
        <w:rPr>
          <w:rFonts w:asciiTheme="majorBidi" w:hAnsiTheme="majorBidi" w:cstheme="majorBidi"/>
          <w:sz w:val="24"/>
          <w:szCs w:val="24"/>
        </w:rPr>
        <w:t xml:space="preserve"> HE sector</w:t>
      </w:r>
      <w:r w:rsidR="00B106D6" w:rsidRPr="00511F36">
        <w:rPr>
          <w:rFonts w:asciiTheme="majorBidi" w:hAnsiTheme="majorBidi" w:cstheme="majorBidi"/>
          <w:sz w:val="24"/>
          <w:szCs w:val="24"/>
        </w:rPr>
        <w:t xml:space="preserve">, </w:t>
      </w:r>
      <w:r w:rsidR="00A25ED5" w:rsidRPr="00511F36">
        <w:rPr>
          <w:rFonts w:asciiTheme="majorBidi" w:hAnsiTheme="majorBidi" w:cstheme="majorBidi"/>
          <w:sz w:val="24"/>
          <w:szCs w:val="24"/>
        </w:rPr>
        <w:t>to</w:t>
      </w:r>
      <w:r w:rsidR="00FF4BB8">
        <w:rPr>
          <w:rFonts w:asciiTheme="majorBidi" w:hAnsiTheme="majorBidi" w:cstheme="majorBidi"/>
          <w:sz w:val="24"/>
          <w:szCs w:val="24"/>
        </w:rPr>
        <w:t xml:space="preserve"> the</w:t>
      </w:r>
      <w:r w:rsidR="00A25ED5">
        <w:rPr>
          <w:rFonts w:asciiTheme="majorBidi" w:hAnsiTheme="majorBidi" w:cstheme="majorBidi"/>
          <w:sz w:val="24"/>
          <w:szCs w:val="24"/>
        </w:rPr>
        <w:t xml:space="preserve"> best</w:t>
      </w:r>
      <w:r w:rsidR="00A25ED5" w:rsidRPr="00511F36">
        <w:rPr>
          <w:rFonts w:asciiTheme="majorBidi" w:hAnsiTheme="majorBidi" w:cstheme="majorBidi"/>
          <w:sz w:val="24"/>
          <w:szCs w:val="24"/>
        </w:rPr>
        <w:t xml:space="preserve"> </w:t>
      </w:r>
      <w:r w:rsidR="00FF4BB8">
        <w:rPr>
          <w:rFonts w:asciiTheme="majorBidi" w:hAnsiTheme="majorBidi" w:cstheme="majorBidi"/>
          <w:sz w:val="24"/>
          <w:szCs w:val="24"/>
        </w:rPr>
        <w:t xml:space="preserve">of our </w:t>
      </w:r>
      <w:r w:rsidR="00A25ED5" w:rsidRPr="00511F36">
        <w:rPr>
          <w:rFonts w:asciiTheme="majorBidi" w:hAnsiTheme="majorBidi" w:cstheme="majorBidi"/>
          <w:sz w:val="24"/>
          <w:szCs w:val="24"/>
        </w:rPr>
        <w:t xml:space="preserve">knowledge, none of </w:t>
      </w:r>
      <w:r w:rsidR="00A25ED5">
        <w:rPr>
          <w:rFonts w:asciiTheme="majorBidi" w:hAnsiTheme="majorBidi" w:cstheme="majorBidi"/>
          <w:sz w:val="24"/>
          <w:szCs w:val="24"/>
        </w:rPr>
        <w:t>the</w:t>
      </w:r>
      <w:r w:rsidR="00A25ED5" w:rsidRPr="00511F36">
        <w:rPr>
          <w:rFonts w:asciiTheme="majorBidi" w:hAnsiTheme="majorBidi" w:cstheme="majorBidi"/>
          <w:sz w:val="24"/>
          <w:szCs w:val="24"/>
        </w:rPr>
        <w:t xml:space="preserve"> existing studies has examined </w:t>
      </w:r>
      <w:r w:rsidR="00A25ED5">
        <w:rPr>
          <w:rFonts w:asciiTheme="majorBidi" w:hAnsiTheme="majorBidi" w:cstheme="majorBidi"/>
          <w:sz w:val="24"/>
          <w:szCs w:val="24"/>
        </w:rPr>
        <w:t xml:space="preserve">the link between </w:t>
      </w:r>
      <w:r w:rsidR="00A25ED5" w:rsidRPr="00511F36">
        <w:rPr>
          <w:rFonts w:asciiTheme="majorBidi" w:hAnsiTheme="majorBidi" w:cstheme="majorBidi"/>
          <w:sz w:val="24"/>
          <w:szCs w:val="24"/>
        </w:rPr>
        <w:t xml:space="preserve">governing board diversity and the extent of voluntary disclosures </w:t>
      </w:r>
      <w:r w:rsidR="00A25ED5" w:rsidRPr="00511F36">
        <w:rPr>
          <w:rFonts w:asciiTheme="majorBidi" w:hAnsiTheme="majorBidi" w:cstheme="majorBidi"/>
          <w:sz w:val="24"/>
          <w:szCs w:val="24"/>
        </w:rPr>
        <w:lastRenderedPageBreak/>
        <w:t>in general</w:t>
      </w:r>
      <w:r w:rsidR="00A25ED5">
        <w:rPr>
          <w:rFonts w:asciiTheme="majorBidi" w:hAnsiTheme="majorBidi" w:cstheme="majorBidi"/>
          <w:sz w:val="24"/>
          <w:szCs w:val="24"/>
        </w:rPr>
        <w:t>,</w:t>
      </w:r>
      <w:r w:rsidR="00A25ED5" w:rsidRPr="00511F36">
        <w:rPr>
          <w:rFonts w:asciiTheme="majorBidi" w:hAnsiTheme="majorBidi" w:cstheme="majorBidi"/>
          <w:sz w:val="24"/>
          <w:szCs w:val="24"/>
        </w:rPr>
        <w:t xml:space="preserve"> </w:t>
      </w:r>
      <w:r w:rsidR="00646C0E">
        <w:rPr>
          <w:rFonts w:asciiTheme="majorBidi" w:hAnsiTheme="majorBidi" w:cstheme="majorBidi"/>
          <w:sz w:val="24"/>
          <w:szCs w:val="24"/>
        </w:rPr>
        <w:t>but</w:t>
      </w:r>
      <w:r w:rsidR="00A25ED5" w:rsidRPr="00511F36">
        <w:rPr>
          <w:rFonts w:asciiTheme="majorBidi" w:hAnsiTheme="majorBidi" w:cstheme="majorBidi"/>
          <w:sz w:val="24"/>
          <w:szCs w:val="24"/>
        </w:rPr>
        <w:t xml:space="preserve"> governance disclosures</w:t>
      </w:r>
      <w:r w:rsidR="00A25ED5">
        <w:rPr>
          <w:rFonts w:asciiTheme="majorBidi" w:hAnsiTheme="majorBidi" w:cstheme="majorBidi"/>
          <w:sz w:val="24"/>
          <w:szCs w:val="24"/>
        </w:rPr>
        <w:t>,</w:t>
      </w:r>
      <w:r w:rsidR="00A25ED5" w:rsidRPr="00511F36">
        <w:rPr>
          <w:rFonts w:asciiTheme="majorBidi" w:hAnsiTheme="majorBidi" w:cstheme="majorBidi"/>
          <w:sz w:val="24"/>
          <w:szCs w:val="24"/>
        </w:rPr>
        <w:t xml:space="preserve"> in particula</w:t>
      </w:r>
      <w:r w:rsidR="00A25ED5">
        <w:rPr>
          <w:rFonts w:asciiTheme="majorBidi" w:hAnsiTheme="majorBidi" w:cstheme="majorBidi"/>
          <w:sz w:val="24"/>
          <w:szCs w:val="24"/>
        </w:rPr>
        <w:t xml:space="preserve">r. </w:t>
      </w:r>
      <w:r w:rsidR="000F0699">
        <w:rPr>
          <w:rFonts w:asciiTheme="majorBidi" w:hAnsiTheme="majorBidi" w:cstheme="majorBidi"/>
          <w:sz w:val="24"/>
          <w:szCs w:val="24"/>
        </w:rPr>
        <w:t xml:space="preserve">This </w:t>
      </w:r>
      <w:r w:rsidR="00F1001C">
        <w:rPr>
          <w:rFonts w:asciiTheme="majorBidi" w:hAnsiTheme="majorBidi" w:cstheme="majorBidi"/>
          <w:sz w:val="24"/>
          <w:szCs w:val="24"/>
        </w:rPr>
        <w:t xml:space="preserve">provides a good chance to contribute to the existing disclosure research in </w:t>
      </w:r>
      <w:r w:rsidR="00646C0E">
        <w:rPr>
          <w:rFonts w:asciiTheme="majorBidi" w:hAnsiTheme="majorBidi" w:cstheme="majorBidi"/>
          <w:sz w:val="24"/>
          <w:szCs w:val="24"/>
        </w:rPr>
        <w:t xml:space="preserve">the </w:t>
      </w:r>
      <w:r w:rsidR="00F1001C">
        <w:rPr>
          <w:rFonts w:asciiTheme="majorBidi" w:hAnsiTheme="majorBidi" w:cstheme="majorBidi"/>
          <w:sz w:val="24"/>
          <w:szCs w:val="24"/>
        </w:rPr>
        <w:t>HE sector.</w:t>
      </w:r>
      <w:r w:rsidR="00A324A6" w:rsidRPr="00511F36">
        <w:rPr>
          <w:rFonts w:asciiTheme="majorBidi" w:hAnsiTheme="majorBidi" w:cstheme="majorBidi"/>
          <w:sz w:val="24"/>
          <w:szCs w:val="24"/>
        </w:rPr>
        <w:t xml:space="preserve"> </w:t>
      </w:r>
      <w:r w:rsidR="0001017A" w:rsidRPr="00511F36">
        <w:rPr>
          <w:rFonts w:asciiTheme="majorBidi" w:hAnsiTheme="majorBidi" w:cstheme="majorBidi"/>
          <w:sz w:val="24"/>
          <w:szCs w:val="24"/>
        </w:rPr>
        <w:t xml:space="preserve">From </w:t>
      </w:r>
      <w:r w:rsidR="000F0699">
        <w:rPr>
          <w:rFonts w:asciiTheme="majorBidi" w:hAnsiTheme="majorBidi" w:cstheme="majorBidi"/>
          <w:sz w:val="24"/>
          <w:szCs w:val="24"/>
        </w:rPr>
        <w:t xml:space="preserve">a </w:t>
      </w:r>
      <w:r w:rsidR="0001017A" w:rsidRPr="00511F36">
        <w:rPr>
          <w:rFonts w:asciiTheme="majorBidi" w:hAnsiTheme="majorBidi" w:cstheme="majorBidi"/>
          <w:sz w:val="24"/>
          <w:szCs w:val="24"/>
        </w:rPr>
        <w:t xml:space="preserve">regulatory perspective, </w:t>
      </w:r>
      <w:r w:rsidR="00A158AF" w:rsidRPr="00511F36">
        <w:rPr>
          <w:rFonts w:asciiTheme="majorBidi" w:hAnsiTheme="majorBidi" w:cstheme="majorBidi"/>
          <w:sz w:val="24"/>
          <w:szCs w:val="24"/>
        </w:rPr>
        <w:t>the</w:t>
      </w:r>
      <w:r w:rsidR="0001017A" w:rsidRPr="00511F36">
        <w:rPr>
          <w:rFonts w:asciiTheme="majorBidi" w:hAnsiTheme="majorBidi" w:cstheme="majorBidi"/>
          <w:sz w:val="24"/>
          <w:szCs w:val="24"/>
        </w:rPr>
        <w:t xml:space="preserve"> </w:t>
      </w:r>
      <w:r w:rsidR="00B106D6" w:rsidRPr="00511F36">
        <w:rPr>
          <w:rFonts w:asciiTheme="majorBidi" w:hAnsiTheme="majorBidi" w:cstheme="majorBidi"/>
          <w:sz w:val="24"/>
          <w:szCs w:val="24"/>
        </w:rPr>
        <w:t>Commit</w:t>
      </w:r>
      <w:r w:rsidR="0001017A" w:rsidRPr="00511F36">
        <w:rPr>
          <w:rFonts w:asciiTheme="majorBidi" w:hAnsiTheme="majorBidi" w:cstheme="majorBidi"/>
          <w:sz w:val="24"/>
          <w:szCs w:val="24"/>
        </w:rPr>
        <w:t>tee of University Chairs</w:t>
      </w:r>
      <w:r w:rsidR="00330E84">
        <w:rPr>
          <w:rFonts w:asciiTheme="majorBidi" w:hAnsiTheme="majorBidi" w:cstheme="majorBidi"/>
          <w:sz w:val="24"/>
          <w:szCs w:val="24"/>
        </w:rPr>
        <w:t xml:space="preserve"> (CUC)</w:t>
      </w:r>
      <w:r w:rsidR="0001017A" w:rsidRPr="00511F36">
        <w:rPr>
          <w:rFonts w:asciiTheme="majorBidi" w:hAnsiTheme="majorBidi" w:cstheme="majorBidi"/>
          <w:sz w:val="24"/>
          <w:szCs w:val="24"/>
        </w:rPr>
        <w:t xml:space="preserve"> (2014</w:t>
      </w:r>
      <w:r w:rsidR="00330E84">
        <w:rPr>
          <w:rFonts w:asciiTheme="majorBidi" w:hAnsiTheme="majorBidi" w:cstheme="majorBidi"/>
          <w:sz w:val="24"/>
          <w:szCs w:val="24"/>
        </w:rPr>
        <w:t>, 2018</w:t>
      </w:r>
      <w:r w:rsidR="0001017A" w:rsidRPr="00511F36">
        <w:rPr>
          <w:rFonts w:asciiTheme="majorBidi" w:hAnsiTheme="majorBidi" w:cstheme="majorBidi"/>
          <w:sz w:val="24"/>
          <w:szCs w:val="24"/>
        </w:rPr>
        <w:t xml:space="preserve">) </w:t>
      </w:r>
      <w:r w:rsidR="00A158AF" w:rsidRPr="00511F36">
        <w:rPr>
          <w:rFonts w:asciiTheme="majorBidi" w:hAnsiTheme="majorBidi" w:cstheme="majorBidi"/>
          <w:sz w:val="24"/>
          <w:szCs w:val="24"/>
        </w:rPr>
        <w:t xml:space="preserve">emphasises the importance of board diversity in enhancing board independence and effectiveness by encouraging UK HEIs </w:t>
      </w:r>
      <w:r w:rsidR="0083438E">
        <w:rPr>
          <w:rFonts w:asciiTheme="majorBidi" w:hAnsiTheme="majorBidi" w:cstheme="majorBidi"/>
          <w:sz w:val="24"/>
          <w:szCs w:val="24"/>
        </w:rPr>
        <w:t xml:space="preserve">to </w:t>
      </w:r>
      <w:r w:rsidR="00A158AF" w:rsidRPr="00511F36">
        <w:rPr>
          <w:rFonts w:asciiTheme="majorBidi" w:hAnsiTheme="majorBidi" w:cstheme="majorBidi"/>
          <w:sz w:val="24"/>
          <w:szCs w:val="24"/>
        </w:rPr>
        <w:t>diversify their boards in many aspects, such as gender</w:t>
      </w:r>
      <w:r w:rsidR="00372FEB">
        <w:rPr>
          <w:rFonts w:asciiTheme="majorBidi" w:hAnsiTheme="majorBidi" w:cstheme="majorBidi"/>
          <w:sz w:val="24"/>
          <w:szCs w:val="24"/>
        </w:rPr>
        <w:t xml:space="preserve"> and</w:t>
      </w:r>
      <w:r w:rsidR="00A158AF" w:rsidRPr="00511F36">
        <w:rPr>
          <w:rFonts w:asciiTheme="majorBidi" w:hAnsiTheme="majorBidi" w:cstheme="majorBidi"/>
          <w:sz w:val="24"/>
          <w:szCs w:val="24"/>
        </w:rPr>
        <w:t xml:space="preserve"> ethnicity. Therefore, we </w:t>
      </w:r>
      <w:r w:rsidR="00DA35C5" w:rsidRPr="00DA35C5">
        <w:rPr>
          <w:rFonts w:asciiTheme="majorBidi" w:hAnsiTheme="majorBidi" w:cstheme="majorBidi"/>
          <w:sz w:val="24"/>
          <w:szCs w:val="24"/>
        </w:rPr>
        <w:t>hypothesise</w:t>
      </w:r>
      <w:r w:rsidR="00A158AF" w:rsidRPr="00511F36">
        <w:rPr>
          <w:rFonts w:asciiTheme="majorBidi" w:hAnsiTheme="majorBidi" w:cstheme="majorBidi"/>
          <w:sz w:val="24"/>
          <w:szCs w:val="24"/>
        </w:rPr>
        <w:t xml:space="preserve"> that:</w:t>
      </w:r>
    </w:p>
    <w:p w14:paraId="5B9917D5" w14:textId="1B343B0B" w:rsidR="002009E8" w:rsidRDefault="00A158AF" w:rsidP="003B2522">
      <w:pPr>
        <w:spacing w:line="480" w:lineRule="auto"/>
        <w:jc w:val="both"/>
        <w:rPr>
          <w:rFonts w:asciiTheme="majorBidi" w:hAnsiTheme="majorBidi" w:cstheme="majorBidi"/>
          <w:sz w:val="24"/>
          <w:szCs w:val="24"/>
        </w:rPr>
      </w:pPr>
      <w:r w:rsidRPr="00770CCA">
        <w:rPr>
          <w:rFonts w:asciiTheme="majorBidi" w:hAnsiTheme="majorBidi" w:cstheme="majorBidi"/>
          <w:b/>
          <w:i/>
          <w:iCs/>
          <w:sz w:val="24"/>
          <w:szCs w:val="24"/>
        </w:rPr>
        <w:t>H</w:t>
      </w:r>
      <w:r w:rsidR="009B12A1">
        <w:rPr>
          <w:rFonts w:asciiTheme="majorBidi" w:hAnsiTheme="majorBidi" w:cstheme="majorBidi"/>
          <w:b/>
          <w:i/>
          <w:iCs/>
          <w:sz w:val="24"/>
          <w:szCs w:val="24"/>
        </w:rPr>
        <w:t>3</w:t>
      </w:r>
      <w:r w:rsidRPr="00770CCA">
        <w:rPr>
          <w:rFonts w:asciiTheme="majorBidi" w:hAnsiTheme="majorBidi" w:cstheme="majorBidi"/>
          <w:b/>
          <w:i/>
          <w:iCs/>
          <w:sz w:val="24"/>
          <w:szCs w:val="24"/>
        </w:rPr>
        <w:t>:</w:t>
      </w:r>
      <w:r w:rsidRPr="00511F36">
        <w:rPr>
          <w:rFonts w:asciiTheme="majorBidi" w:hAnsiTheme="majorBidi" w:cstheme="majorBidi"/>
          <w:sz w:val="24"/>
          <w:szCs w:val="24"/>
        </w:rPr>
        <w:t xml:space="preserve"> </w:t>
      </w:r>
      <w:r w:rsidR="00BF0769" w:rsidRPr="0026139E">
        <w:rPr>
          <w:rFonts w:asciiTheme="majorBidi" w:hAnsiTheme="majorBidi" w:cstheme="majorBidi"/>
          <w:i/>
          <w:sz w:val="24"/>
          <w:szCs w:val="24"/>
        </w:rPr>
        <w:t>B</w:t>
      </w:r>
      <w:r w:rsidRPr="0026139E">
        <w:rPr>
          <w:rFonts w:asciiTheme="majorBidi" w:hAnsiTheme="majorBidi" w:cstheme="majorBidi"/>
          <w:i/>
          <w:sz w:val="24"/>
          <w:szCs w:val="24"/>
        </w:rPr>
        <w:t xml:space="preserve">oard </w:t>
      </w:r>
      <w:r w:rsidR="00F1001C" w:rsidRPr="0026139E">
        <w:rPr>
          <w:rFonts w:asciiTheme="majorBidi" w:hAnsiTheme="majorBidi" w:cstheme="majorBidi"/>
          <w:i/>
          <w:sz w:val="24"/>
          <w:szCs w:val="24"/>
        </w:rPr>
        <w:t xml:space="preserve">ethnic and </w:t>
      </w:r>
      <w:r w:rsidRPr="0026139E">
        <w:rPr>
          <w:rFonts w:asciiTheme="majorBidi" w:hAnsiTheme="majorBidi" w:cstheme="majorBidi"/>
          <w:i/>
          <w:sz w:val="24"/>
          <w:szCs w:val="24"/>
        </w:rPr>
        <w:t xml:space="preserve">gender diversity </w:t>
      </w:r>
      <w:r w:rsidR="003C1308" w:rsidRPr="0026139E">
        <w:rPr>
          <w:rFonts w:asciiTheme="majorBidi" w:hAnsiTheme="majorBidi" w:cstheme="majorBidi"/>
          <w:i/>
          <w:sz w:val="24"/>
          <w:szCs w:val="24"/>
        </w:rPr>
        <w:t xml:space="preserve">are positively </w:t>
      </w:r>
      <w:r w:rsidR="00BF0769" w:rsidRPr="0026139E">
        <w:rPr>
          <w:rFonts w:asciiTheme="majorBidi" w:hAnsiTheme="majorBidi" w:cstheme="majorBidi"/>
          <w:i/>
          <w:sz w:val="24"/>
          <w:szCs w:val="24"/>
        </w:rPr>
        <w:t>associated</w:t>
      </w:r>
      <w:r w:rsidR="003C1308" w:rsidRPr="0026139E">
        <w:rPr>
          <w:rFonts w:asciiTheme="majorBidi" w:hAnsiTheme="majorBidi" w:cstheme="majorBidi"/>
          <w:i/>
          <w:sz w:val="24"/>
          <w:szCs w:val="24"/>
        </w:rPr>
        <w:t xml:space="preserve"> with</w:t>
      </w:r>
      <w:r w:rsidR="00245ECE" w:rsidRPr="0026139E">
        <w:rPr>
          <w:rFonts w:asciiTheme="majorBidi" w:hAnsiTheme="majorBidi" w:cstheme="majorBidi"/>
          <w:i/>
          <w:sz w:val="24"/>
          <w:szCs w:val="24"/>
        </w:rPr>
        <w:t xml:space="preserve"> governance disclosure</w:t>
      </w:r>
      <w:r w:rsidR="00AE1507" w:rsidRPr="0026139E">
        <w:rPr>
          <w:rFonts w:asciiTheme="majorBidi" w:hAnsiTheme="majorBidi" w:cstheme="majorBidi"/>
          <w:i/>
          <w:sz w:val="24"/>
          <w:szCs w:val="24"/>
        </w:rPr>
        <w:t>s</w:t>
      </w:r>
      <w:r w:rsidR="00245ECE" w:rsidRPr="00511F36">
        <w:rPr>
          <w:rFonts w:asciiTheme="majorBidi" w:hAnsiTheme="majorBidi" w:cstheme="majorBidi"/>
          <w:sz w:val="24"/>
          <w:szCs w:val="24"/>
        </w:rPr>
        <w:t>.</w:t>
      </w:r>
    </w:p>
    <w:p w14:paraId="7E1E1842" w14:textId="53DB7C1D" w:rsidR="00245ECE" w:rsidRDefault="002A74B0" w:rsidP="003B2522">
      <w:pPr>
        <w:spacing w:line="276" w:lineRule="auto"/>
        <w:jc w:val="both"/>
        <w:rPr>
          <w:rFonts w:asciiTheme="majorBidi" w:hAnsiTheme="majorBidi" w:cstheme="majorBidi"/>
          <w:b/>
          <w:i/>
          <w:iCs/>
          <w:sz w:val="24"/>
          <w:szCs w:val="24"/>
        </w:rPr>
      </w:pPr>
      <w:r w:rsidRPr="002A74B0">
        <w:rPr>
          <w:rFonts w:asciiTheme="majorBidi" w:hAnsiTheme="majorBidi" w:cstheme="majorBidi"/>
          <w:b/>
          <w:i/>
          <w:iCs/>
          <w:sz w:val="24"/>
          <w:szCs w:val="24"/>
        </w:rPr>
        <w:t>2.</w:t>
      </w:r>
      <w:r w:rsidR="00BE0110">
        <w:rPr>
          <w:rFonts w:asciiTheme="majorBidi" w:hAnsiTheme="majorBidi" w:cstheme="majorBidi"/>
          <w:b/>
          <w:i/>
          <w:iCs/>
          <w:sz w:val="24"/>
          <w:szCs w:val="24"/>
        </w:rPr>
        <w:t>2.3</w:t>
      </w:r>
      <w:r w:rsidRPr="002A74B0">
        <w:rPr>
          <w:rFonts w:asciiTheme="majorBidi" w:hAnsiTheme="majorBidi" w:cstheme="majorBidi"/>
          <w:b/>
          <w:i/>
          <w:iCs/>
          <w:sz w:val="24"/>
          <w:szCs w:val="24"/>
        </w:rPr>
        <w:t xml:space="preserve"> </w:t>
      </w:r>
      <w:r w:rsidR="0003408A" w:rsidRPr="002A74B0">
        <w:rPr>
          <w:rFonts w:asciiTheme="majorBidi" w:hAnsiTheme="majorBidi" w:cstheme="majorBidi"/>
          <w:b/>
          <w:i/>
          <w:iCs/>
          <w:sz w:val="24"/>
          <w:szCs w:val="24"/>
        </w:rPr>
        <w:t>Governing board independence</w:t>
      </w:r>
      <w:r w:rsidR="00245ECE" w:rsidRPr="002A74B0">
        <w:rPr>
          <w:rFonts w:asciiTheme="majorBidi" w:hAnsiTheme="majorBidi" w:cstheme="majorBidi"/>
          <w:b/>
          <w:i/>
          <w:iCs/>
          <w:sz w:val="24"/>
          <w:szCs w:val="24"/>
        </w:rPr>
        <w:t xml:space="preserve"> and v</w:t>
      </w:r>
      <w:r w:rsidR="00D842C7" w:rsidRPr="002A74B0">
        <w:rPr>
          <w:rFonts w:asciiTheme="majorBidi" w:hAnsiTheme="majorBidi" w:cstheme="majorBidi"/>
          <w:b/>
          <w:i/>
          <w:iCs/>
          <w:sz w:val="24"/>
          <w:szCs w:val="24"/>
        </w:rPr>
        <w:t>oluntary governance disclosure</w:t>
      </w:r>
      <w:r w:rsidR="00720F04" w:rsidRPr="002A74B0">
        <w:rPr>
          <w:rFonts w:asciiTheme="majorBidi" w:hAnsiTheme="majorBidi" w:cstheme="majorBidi"/>
          <w:b/>
          <w:i/>
          <w:iCs/>
          <w:sz w:val="24"/>
          <w:szCs w:val="24"/>
        </w:rPr>
        <w:t>s</w:t>
      </w:r>
    </w:p>
    <w:p w14:paraId="61806658" w14:textId="44E8491B" w:rsidR="00410490" w:rsidRDefault="005B2FCD" w:rsidP="00C63EF2">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 xml:space="preserve">From a legitimation perspective of </w:t>
      </w:r>
      <w:r w:rsidR="003E2750">
        <w:rPr>
          <w:rFonts w:asciiTheme="majorBidi" w:hAnsiTheme="majorBidi" w:cstheme="majorBidi"/>
          <w:sz w:val="24"/>
          <w:szCs w:val="24"/>
        </w:rPr>
        <w:t xml:space="preserve">the </w:t>
      </w:r>
      <w:r>
        <w:rPr>
          <w:rFonts w:asciiTheme="majorBidi" w:hAnsiTheme="majorBidi" w:cstheme="majorBidi"/>
          <w:sz w:val="24"/>
          <w:szCs w:val="24"/>
        </w:rPr>
        <w:t>neo-institutional theory</w:t>
      </w:r>
      <w:r w:rsidR="003E2750">
        <w:rPr>
          <w:rFonts w:asciiTheme="majorBidi" w:hAnsiTheme="majorBidi" w:cstheme="majorBidi"/>
          <w:sz w:val="24"/>
          <w:szCs w:val="24"/>
        </w:rPr>
        <w:t>,</w:t>
      </w:r>
      <w:r w:rsidR="00283B0F" w:rsidRPr="00511F36">
        <w:rPr>
          <w:rFonts w:asciiTheme="majorBidi" w:hAnsiTheme="majorBidi" w:cstheme="majorBidi"/>
          <w:sz w:val="24"/>
          <w:szCs w:val="24"/>
        </w:rPr>
        <w:t xml:space="preserve"> HEIs tend to appoint independent (lay) governors</w:t>
      </w:r>
      <w:r w:rsidR="00D50CD3">
        <w:rPr>
          <w:rFonts w:asciiTheme="majorBidi" w:hAnsiTheme="majorBidi" w:cstheme="majorBidi"/>
          <w:sz w:val="24"/>
          <w:szCs w:val="24"/>
        </w:rPr>
        <w:t xml:space="preserve"> in order</w:t>
      </w:r>
      <w:r w:rsidR="00283B0F" w:rsidRPr="00511F36">
        <w:rPr>
          <w:rFonts w:asciiTheme="majorBidi" w:hAnsiTheme="majorBidi" w:cstheme="majorBidi"/>
          <w:sz w:val="24"/>
          <w:szCs w:val="24"/>
        </w:rPr>
        <w:t xml:space="preserve"> to minimise any legitimacy gap</w:t>
      </w:r>
      <w:r w:rsidR="0044081F">
        <w:rPr>
          <w:rFonts w:asciiTheme="majorBidi" w:hAnsiTheme="majorBidi" w:cstheme="majorBidi"/>
          <w:sz w:val="24"/>
          <w:szCs w:val="24"/>
        </w:rPr>
        <w:t>s</w:t>
      </w:r>
      <w:r w:rsidR="002A029A" w:rsidRPr="00511F36">
        <w:rPr>
          <w:rFonts w:asciiTheme="majorBidi" w:hAnsiTheme="majorBidi" w:cstheme="majorBidi"/>
          <w:sz w:val="24"/>
          <w:szCs w:val="24"/>
        </w:rPr>
        <w:t xml:space="preserve"> </w:t>
      </w:r>
      <w:r w:rsidR="00283B0F" w:rsidRPr="00511F36">
        <w:rPr>
          <w:rFonts w:asciiTheme="majorBidi" w:hAnsiTheme="majorBidi" w:cstheme="majorBidi"/>
          <w:sz w:val="24"/>
          <w:szCs w:val="24"/>
        </w:rPr>
        <w:t xml:space="preserve">that </w:t>
      </w:r>
      <w:r w:rsidR="0044081F">
        <w:rPr>
          <w:rFonts w:asciiTheme="majorBidi" w:hAnsiTheme="majorBidi" w:cstheme="majorBidi"/>
          <w:sz w:val="24"/>
          <w:szCs w:val="24"/>
        </w:rPr>
        <w:t xml:space="preserve">may </w:t>
      </w:r>
      <w:r w:rsidR="00283B0F" w:rsidRPr="00511F36">
        <w:rPr>
          <w:rFonts w:asciiTheme="majorBidi" w:hAnsiTheme="majorBidi" w:cstheme="majorBidi"/>
          <w:sz w:val="24"/>
          <w:szCs w:val="24"/>
        </w:rPr>
        <w:t xml:space="preserve">exist between their </w:t>
      </w:r>
      <w:r w:rsidR="002A029A" w:rsidRPr="00511F36">
        <w:rPr>
          <w:rFonts w:asciiTheme="majorBidi" w:hAnsiTheme="majorBidi" w:cstheme="majorBidi"/>
          <w:sz w:val="24"/>
          <w:szCs w:val="24"/>
        </w:rPr>
        <w:t>managers</w:t>
      </w:r>
      <w:r w:rsidR="00EE5783" w:rsidRPr="00511F36">
        <w:rPr>
          <w:rFonts w:asciiTheme="majorBidi" w:hAnsiTheme="majorBidi" w:cstheme="majorBidi"/>
          <w:sz w:val="24"/>
          <w:szCs w:val="24"/>
        </w:rPr>
        <w:t xml:space="preserve"> and stakeholders (Freeman </w:t>
      </w:r>
      <w:r w:rsidR="00D57D17">
        <w:rPr>
          <w:rFonts w:asciiTheme="majorBidi" w:hAnsiTheme="majorBidi" w:cstheme="majorBidi"/>
          <w:sz w:val="24"/>
          <w:szCs w:val="24"/>
        </w:rPr>
        <w:t>&amp;</w:t>
      </w:r>
      <w:r w:rsidR="00EE5783" w:rsidRPr="00511F36">
        <w:rPr>
          <w:rFonts w:asciiTheme="majorBidi" w:hAnsiTheme="majorBidi" w:cstheme="majorBidi"/>
          <w:sz w:val="24"/>
          <w:szCs w:val="24"/>
        </w:rPr>
        <w:t xml:space="preserve"> Reed</w:t>
      </w:r>
      <w:r w:rsidR="00D57D17">
        <w:rPr>
          <w:rFonts w:asciiTheme="majorBidi" w:hAnsiTheme="majorBidi" w:cstheme="majorBidi"/>
          <w:sz w:val="24"/>
          <w:szCs w:val="24"/>
        </w:rPr>
        <w:t>,</w:t>
      </w:r>
      <w:r w:rsidR="00EE5783" w:rsidRPr="00511F36">
        <w:rPr>
          <w:rFonts w:asciiTheme="majorBidi" w:hAnsiTheme="majorBidi" w:cstheme="majorBidi"/>
          <w:sz w:val="24"/>
          <w:szCs w:val="24"/>
        </w:rPr>
        <w:t xml:space="preserve"> 1983</w:t>
      </w:r>
      <w:r w:rsidR="00EB5BBA" w:rsidRPr="00511F36">
        <w:rPr>
          <w:rFonts w:asciiTheme="majorBidi" w:hAnsiTheme="majorBidi" w:cstheme="majorBidi"/>
          <w:sz w:val="24"/>
          <w:szCs w:val="24"/>
        </w:rPr>
        <w:t xml:space="preserve">). </w:t>
      </w:r>
      <w:r w:rsidR="002A029A" w:rsidRPr="00511F36">
        <w:rPr>
          <w:rFonts w:asciiTheme="majorBidi" w:hAnsiTheme="majorBidi" w:cstheme="majorBidi"/>
          <w:sz w:val="24"/>
          <w:szCs w:val="24"/>
        </w:rPr>
        <w:t xml:space="preserve">Specifically, </w:t>
      </w:r>
      <w:r>
        <w:rPr>
          <w:rFonts w:asciiTheme="majorBidi" w:hAnsiTheme="majorBidi" w:cstheme="majorBidi"/>
          <w:sz w:val="24"/>
          <w:szCs w:val="24"/>
        </w:rPr>
        <w:t>institutional scholars argue that</w:t>
      </w:r>
      <w:r w:rsidR="002A029A" w:rsidRPr="00511F36">
        <w:rPr>
          <w:rFonts w:asciiTheme="majorBidi" w:hAnsiTheme="majorBidi" w:cstheme="majorBidi"/>
          <w:sz w:val="24"/>
          <w:szCs w:val="24"/>
        </w:rPr>
        <w:t xml:space="preserve"> </w:t>
      </w:r>
      <w:r w:rsidR="00CE6313" w:rsidRPr="00511F36">
        <w:rPr>
          <w:rFonts w:asciiTheme="majorBidi" w:hAnsiTheme="majorBidi" w:cstheme="majorBidi"/>
          <w:sz w:val="24"/>
          <w:szCs w:val="24"/>
        </w:rPr>
        <w:t xml:space="preserve">good governance is </w:t>
      </w:r>
      <w:r w:rsidR="00AB3873" w:rsidRPr="00AB3873">
        <w:rPr>
          <w:rFonts w:asciiTheme="majorBidi" w:hAnsiTheme="majorBidi" w:cstheme="majorBidi"/>
          <w:sz w:val="24"/>
          <w:szCs w:val="24"/>
        </w:rPr>
        <w:t>characterised by</w:t>
      </w:r>
      <w:r w:rsidR="00AB3873" w:rsidRPr="00AB3873" w:rsidDel="00AB3873">
        <w:rPr>
          <w:rFonts w:asciiTheme="majorBidi" w:hAnsiTheme="majorBidi" w:cstheme="majorBidi"/>
          <w:sz w:val="24"/>
          <w:szCs w:val="24"/>
        </w:rPr>
        <w:t xml:space="preserve"> </w:t>
      </w:r>
      <w:r w:rsidR="00CE6313" w:rsidRPr="00511F36">
        <w:rPr>
          <w:rFonts w:asciiTheme="majorBidi" w:hAnsiTheme="majorBidi" w:cstheme="majorBidi"/>
          <w:sz w:val="24"/>
          <w:szCs w:val="24"/>
        </w:rPr>
        <w:t xml:space="preserve">appointing independent (lay) governors, and this is because independent (lay) governors </w:t>
      </w:r>
      <w:r w:rsidR="005A3BEE">
        <w:rPr>
          <w:rFonts w:asciiTheme="majorBidi" w:hAnsiTheme="majorBidi" w:cstheme="majorBidi"/>
          <w:sz w:val="24"/>
          <w:szCs w:val="24"/>
        </w:rPr>
        <w:t xml:space="preserve">are </w:t>
      </w:r>
      <w:r w:rsidR="00CE6313" w:rsidRPr="00511F36">
        <w:rPr>
          <w:rFonts w:asciiTheme="majorBidi" w:hAnsiTheme="majorBidi" w:cstheme="majorBidi"/>
          <w:sz w:val="24"/>
          <w:szCs w:val="24"/>
        </w:rPr>
        <w:t>often appointed to represent the demands and interests of different stakeholders</w:t>
      </w:r>
      <w:r w:rsidR="00AA46A2" w:rsidRPr="00511F36">
        <w:rPr>
          <w:rFonts w:asciiTheme="majorBidi" w:hAnsiTheme="majorBidi" w:cstheme="majorBidi"/>
          <w:sz w:val="24"/>
          <w:szCs w:val="24"/>
        </w:rPr>
        <w:t>.</w:t>
      </w:r>
      <w:r w:rsidR="008E04FD" w:rsidRPr="00511F36">
        <w:rPr>
          <w:rFonts w:asciiTheme="majorBidi" w:hAnsiTheme="majorBidi" w:cstheme="majorBidi"/>
          <w:sz w:val="24"/>
          <w:szCs w:val="24"/>
        </w:rPr>
        <w:t xml:space="preserve"> Therefore, independent (lay) governors are expected to have </w:t>
      </w:r>
      <w:r w:rsidR="006C214D">
        <w:rPr>
          <w:rFonts w:asciiTheme="majorBidi" w:hAnsiTheme="majorBidi" w:cstheme="majorBidi"/>
          <w:sz w:val="24"/>
          <w:szCs w:val="24"/>
        </w:rPr>
        <w:t xml:space="preserve">considerable effect </w:t>
      </w:r>
      <w:r w:rsidR="008E04FD" w:rsidRPr="00511F36">
        <w:rPr>
          <w:rFonts w:asciiTheme="majorBidi" w:hAnsiTheme="majorBidi" w:cstheme="majorBidi"/>
          <w:sz w:val="24"/>
          <w:szCs w:val="24"/>
        </w:rPr>
        <w:t>on board decision</w:t>
      </w:r>
      <w:r w:rsidR="00AB3873">
        <w:rPr>
          <w:rFonts w:asciiTheme="majorBidi" w:hAnsiTheme="majorBidi" w:cstheme="majorBidi"/>
          <w:sz w:val="24"/>
          <w:szCs w:val="24"/>
        </w:rPr>
        <w:t>s</w:t>
      </w:r>
      <w:r w:rsidR="008E04FD" w:rsidRPr="00511F36">
        <w:rPr>
          <w:rFonts w:asciiTheme="majorBidi" w:hAnsiTheme="majorBidi" w:cstheme="majorBidi"/>
          <w:sz w:val="24"/>
          <w:szCs w:val="24"/>
        </w:rPr>
        <w:t>, including governance disclosure,</w:t>
      </w:r>
      <w:r w:rsidR="006C214D">
        <w:rPr>
          <w:rFonts w:asciiTheme="majorBidi" w:hAnsiTheme="majorBidi" w:cstheme="majorBidi"/>
          <w:sz w:val="24"/>
          <w:szCs w:val="24"/>
        </w:rPr>
        <w:t xml:space="preserve"> in order</w:t>
      </w:r>
      <w:r w:rsidR="008E04FD" w:rsidRPr="00511F36">
        <w:rPr>
          <w:rFonts w:asciiTheme="majorBidi" w:hAnsiTheme="majorBidi" w:cstheme="majorBidi"/>
          <w:sz w:val="24"/>
          <w:szCs w:val="24"/>
        </w:rPr>
        <w:t xml:space="preserve"> </w:t>
      </w:r>
      <w:r w:rsidR="006C214D">
        <w:rPr>
          <w:rFonts w:asciiTheme="majorBidi" w:hAnsiTheme="majorBidi" w:cstheme="majorBidi"/>
          <w:sz w:val="24"/>
          <w:szCs w:val="24"/>
        </w:rPr>
        <w:t>to</w:t>
      </w:r>
      <w:r w:rsidR="008E04FD" w:rsidRPr="00511F36">
        <w:rPr>
          <w:rFonts w:asciiTheme="majorBidi" w:hAnsiTheme="majorBidi" w:cstheme="majorBidi"/>
          <w:sz w:val="24"/>
          <w:szCs w:val="24"/>
        </w:rPr>
        <w:t xml:space="preserve"> </w:t>
      </w:r>
      <w:r w:rsidR="006C214D">
        <w:rPr>
          <w:rFonts w:asciiTheme="majorBidi" w:hAnsiTheme="majorBidi" w:cstheme="majorBidi"/>
          <w:sz w:val="24"/>
          <w:szCs w:val="24"/>
        </w:rPr>
        <w:t xml:space="preserve">fulfil </w:t>
      </w:r>
      <w:r w:rsidR="00EA4079">
        <w:rPr>
          <w:rFonts w:asciiTheme="majorBidi" w:hAnsiTheme="majorBidi" w:cstheme="majorBidi"/>
          <w:sz w:val="24"/>
          <w:szCs w:val="24"/>
        </w:rPr>
        <w:t>stakeholders’</w:t>
      </w:r>
      <w:r w:rsidR="006C214D">
        <w:rPr>
          <w:rFonts w:asciiTheme="majorBidi" w:hAnsiTheme="majorBidi" w:cstheme="majorBidi"/>
          <w:sz w:val="24"/>
          <w:szCs w:val="24"/>
        </w:rPr>
        <w:t xml:space="preserve"> expectations</w:t>
      </w:r>
      <w:r w:rsidR="008E04FD" w:rsidRPr="00511F36">
        <w:rPr>
          <w:rFonts w:asciiTheme="majorBidi" w:hAnsiTheme="majorBidi" w:cstheme="majorBidi"/>
          <w:sz w:val="24"/>
          <w:szCs w:val="24"/>
        </w:rPr>
        <w:t>. M</w:t>
      </w:r>
      <w:r w:rsidR="00AA46A2" w:rsidRPr="00511F36">
        <w:rPr>
          <w:rFonts w:asciiTheme="majorBidi" w:hAnsiTheme="majorBidi" w:cstheme="majorBidi"/>
          <w:sz w:val="24"/>
          <w:szCs w:val="24"/>
        </w:rPr>
        <w:t xml:space="preserve">eeting the needs of different stakeholders can help in enhancing the legitimacy and image of HEIs </w:t>
      </w:r>
      <w:r w:rsidR="009F322D">
        <w:rPr>
          <w:rFonts w:asciiTheme="majorBidi" w:hAnsiTheme="majorBidi" w:cstheme="majorBidi"/>
          <w:sz w:val="24"/>
          <w:szCs w:val="24"/>
        </w:rPr>
        <w:t xml:space="preserve">through improving linkages with </w:t>
      </w:r>
      <w:r w:rsidR="008E04FD" w:rsidRPr="00511F36">
        <w:rPr>
          <w:rFonts w:asciiTheme="majorBidi" w:hAnsiTheme="majorBidi" w:cstheme="majorBidi"/>
          <w:sz w:val="24"/>
          <w:szCs w:val="24"/>
        </w:rPr>
        <w:t>the most influential</w:t>
      </w:r>
      <w:r w:rsidR="00AA46A2" w:rsidRPr="00511F36">
        <w:rPr>
          <w:rFonts w:asciiTheme="majorBidi" w:hAnsiTheme="majorBidi" w:cstheme="majorBidi"/>
          <w:sz w:val="24"/>
          <w:szCs w:val="24"/>
        </w:rPr>
        <w:t xml:space="preserve"> stakeholders</w:t>
      </w:r>
      <w:r w:rsidR="00EE5783" w:rsidRPr="00511F36">
        <w:rPr>
          <w:rFonts w:asciiTheme="majorBidi" w:hAnsiTheme="majorBidi" w:cstheme="majorBidi"/>
          <w:sz w:val="24"/>
          <w:szCs w:val="24"/>
        </w:rPr>
        <w:t xml:space="preserve"> (Suchman</w:t>
      </w:r>
      <w:r w:rsidR="003C70BC">
        <w:rPr>
          <w:rFonts w:asciiTheme="majorBidi" w:hAnsiTheme="majorBidi" w:cstheme="majorBidi"/>
          <w:sz w:val="24"/>
          <w:szCs w:val="24"/>
        </w:rPr>
        <w:t>,</w:t>
      </w:r>
      <w:r w:rsidR="00EE5783" w:rsidRPr="00511F36">
        <w:rPr>
          <w:rFonts w:asciiTheme="majorBidi" w:hAnsiTheme="majorBidi" w:cstheme="majorBidi"/>
          <w:sz w:val="24"/>
          <w:szCs w:val="24"/>
        </w:rPr>
        <w:t xml:space="preserve"> 1995)</w:t>
      </w:r>
      <w:r w:rsidR="00AA46A2" w:rsidRPr="00511F36">
        <w:rPr>
          <w:rFonts w:asciiTheme="majorBidi" w:hAnsiTheme="majorBidi" w:cstheme="majorBidi"/>
          <w:sz w:val="24"/>
          <w:szCs w:val="24"/>
        </w:rPr>
        <w:t>.</w:t>
      </w:r>
      <w:r w:rsidR="00EE5783" w:rsidRPr="00511F36">
        <w:rPr>
          <w:rFonts w:asciiTheme="majorBidi" w:hAnsiTheme="majorBidi" w:cstheme="majorBidi"/>
          <w:sz w:val="24"/>
          <w:szCs w:val="24"/>
        </w:rPr>
        <w:t xml:space="preserve"> </w:t>
      </w:r>
    </w:p>
    <w:p w14:paraId="63958ED7" w14:textId="6BD88FF2" w:rsidR="00AA46A2" w:rsidRPr="00511F36" w:rsidRDefault="009F322D" w:rsidP="00C63EF2">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Further</w:t>
      </w:r>
      <w:r w:rsidR="00AA46A2" w:rsidRPr="00511F36">
        <w:rPr>
          <w:rFonts w:asciiTheme="majorBidi" w:hAnsiTheme="majorBidi" w:cstheme="majorBidi"/>
          <w:sz w:val="24"/>
          <w:szCs w:val="24"/>
        </w:rPr>
        <w:t>,</w:t>
      </w:r>
      <w:r w:rsidR="005B2FCD">
        <w:rPr>
          <w:rFonts w:asciiTheme="majorBidi" w:hAnsiTheme="majorBidi" w:cstheme="majorBidi"/>
          <w:sz w:val="24"/>
          <w:szCs w:val="24"/>
        </w:rPr>
        <w:t xml:space="preserve"> and based on the </w:t>
      </w:r>
      <w:r w:rsidR="008D367D">
        <w:rPr>
          <w:rFonts w:asciiTheme="majorBidi" w:hAnsiTheme="majorBidi" w:cstheme="majorBidi"/>
          <w:sz w:val="24"/>
          <w:szCs w:val="24"/>
        </w:rPr>
        <w:t>efficiency</w:t>
      </w:r>
      <w:r w:rsidR="005B2FCD">
        <w:rPr>
          <w:rFonts w:asciiTheme="majorBidi" w:hAnsiTheme="majorBidi" w:cstheme="majorBidi"/>
          <w:sz w:val="24"/>
          <w:szCs w:val="24"/>
        </w:rPr>
        <w:t xml:space="preserve"> perspective of </w:t>
      </w:r>
      <w:r w:rsidR="003E2750">
        <w:rPr>
          <w:rFonts w:asciiTheme="majorBidi" w:hAnsiTheme="majorBidi" w:cstheme="majorBidi"/>
          <w:sz w:val="24"/>
          <w:szCs w:val="24"/>
        </w:rPr>
        <w:t xml:space="preserve">the </w:t>
      </w:r>
      <w:r w:rsidR="005B2FCD">
        <w:rPr>
          <w:rFonts w:asciiTheme="majorBidi" w:hAnsiTheme="majorBidi" w:cstheme="majorBidi"/>
          <w:sz w:val="24"/>
          <w:szCs w:val="24"/>
        </w:rPr>
        <w:t>neo-institutional theory,</w:t>
      </w:r>
      <w:r w:rsidR="00AA46A2" w:rsidRPr="00511F36">
        <w:rPr>
          <w:rFonts w:asciiTheme="majorBidi" w:hAnsiTheme="majorBidi" w:cstheme="majorBidi"/>
          <w:sz w:val="24"/>
          <w:szCs w:val="24"/>
        </w:rPr>
        <w:t xml:space="preserve"> </w:t>
      </w:r>
      <w:r w:rsidR="008E04FD" w:rsidRPr="00511F36">
        <w:rPr>
          <w:rFonts w:asciiTheme="majorBidi" w:hAnsiTheme="majorBidi" w:cstheme="majorBidi"/>
          <w:sz w:val="24"/>
          <w:szCs w:val="24"/>
        </w:rPr>
        <w:t xml:space="preserve">the appointment of independent (lay) governors can help </w:t>
      </w:r>
      <w:r w:rsidR="0061747D" w:rsidRPr="00511F36">
        <w:rPr>
          <w:rFonts w:asciiTheme="majorBidi" w:hAnsiTheme="majorBidi" w:cstheme="majorBidi"/>
          <w:sz w:val="24"/>
          <w:szCs w:val="24"/>
        </w:rPr>
        <w:t xml:space="preserve">organisations </w:t>
      </w:r>
      <w:r w:rsidR="008E04FD" w:rsidRPr="00511F36">
        <w:rPr>
          <w:rFonts w:asciiTheme="majorBidi" w:hAnsiTheme="majorBidi" w:cstheme="majorBidi"/>
          <w:sz w:val="24"/>
          <w:szCs w:val="24"/>
        </w:rPr>
        <w:t xml:space="preserve">in </w:t>
      </w:r>
      <w:r w:rsidR="00AD255C">
        <w:rPr>
          <w:rFonts w:asciiTheme="majorBidi" w:hAnsiTheme="majorBidi" w:cstheme="majorBidi"/>
          <w:sz w:val="24"/>
          <w:szCs w:val="24"/>
        </w:rPr>
        <w:t>attracting critical</w:t>
      </w:r>
      <w:r>
        <w:rPr>
          <w:rFonts w:asciiTheme="majorBidi" w:hAnsiTheme="majorBidi" w:cstheme="majorBidi"/>
          <w:sz w:val="24"/>
          <w:szCs w:val="24"/>
        </w:rPr>
        <w:t xml:space="preserve"> resources</w:t>
      </w:r>
      <w:r w:rsidR="008E04FD" w:rsidRPr="00511F36">
        <w:rPr>
          <w:rFonts w:asciiTheme="majorBidi" w:hAnsiTheme="majorBidi" w:cstheme="majorBidi"/>
          <w:sz w:val="24"/>
          <w:szCs w:val="24"/>
        </w:rPr>
        <w:t xml:space="preserve"> (e.g., finance</w:t>
      </w:r>
      <w:r w:rsidR="00AE1507">
        <w:rPr>
          <w:rFonts w:asciiTheme="majorBidi" w:hAnsiTheme="majorBidi" w:cstheme="majorBidi"/>
          <w:sz w:val="24"/>
          <w:szCs w:val="24"/>
        </w:rPr>
        <w:t xml:space="preserve"> and</w:t>
      </w:r>
      <w:r w:rsidR="0061747D" w:rsidRPr="00511F36">
        <w:rPr>
          <w:rFonts w:asciiTheme="majorBidi" w:hAnsiTheme="majorBidi" w:cstheme="majorBidi"/>
          <w:sz w:val="24"/>
          <w:szCs w:val="24"/>
        </w:rPr>
        <w:t xml:space="preserve"> business contacts)</w:t>
      </w:r>
      <w:r w:rsidR="008E04FD" w:rsidRPr="00511F36">
        <w:rPr>
          <w:rFonts w:asciiTheme="majorBidi" w:hAnsiTheme="majorBidi" w:cstheme="majorBidi"/>
          <w:sz w:val="24"/>
          <w:szCs w:val="24"/>
        </w:rPr>
        <w:t xml:space="preserve"> </w:t>
      </w:r>
      <w:r w:rsidR="0061747D" w:rsidRPr="00511F36">
        <w:rPr>
          <w:rFonts w:asciiTheme="majorBidi" w:hAnsiTheme="majorBidi" w:cstheme="majorBidi"/>
          <w:sz w:val="24"/>
          <w:szCs w:val="24"/>
        </w:rPr>
        <w:t>by providing better networks between them and their external environment</w:t>
      </w:r>
      <w:r w:rsidR="002039EB" w:rsidRPr="00511F36">
        <w:rPr>
          <w:rFonts w:asciiTheme="majorBidi" w:hAnsiTheme="majorBidi" w:cstheme="majorBidi"/>
          <w:sz w:val="24"/>
          <w:szCs w:val="24"/>
        </w:rPr>
        <w:t xml:space="preserve"> (</w:t>
      </w:r>
      <w:r w:rsidR="00427F9E" w:rsidRPr="00511F36">
        <w:rPr>
          <w:rFonts w:asciiTheme="majorBidi" w:hAnsiTheme="majorBidi" w:cstheme="majorBidi"/>
          <w:sz w:val="24"/>
          <w:szCs w:val="24"/>
        </w:rPr>
        <w:t xml:space="preserve">Freeman </w:t>
      </w:r>
      <w:r w:rsidR="00427F9E">
        <w:rPr>
          <w:rFonts w:asciiTheme="majorBidi" w:hAnsiTheme="majorBidi" w:cstheme="majorBidi"/>
          <w:sz w:val="24"/>
          <w:szCs w:val="24"/>
        </w:rPr>
        <w:t>&amp;</w:t>
      </w:r>
      <w:r w:rsidR="00427F9E" w:rsidRPr="00511F36">
        <w:rPr>
          <w:rFonts w:asciiTheme="majorBidi" w:hAnsiTheme="majorBidi" w:cstheme="majorBidi"/>
          <w:sz w:val="24"/>
          <w:szCs w:val="24"/>
        </w:rPr>
        <w:t xml:space="preserve"> Reed</w:t>
      </w:r>
      <w:r w:rsidR="00427F9E">
        <w:rPr>
          <w:rFonts w:asciiTheme="majorBidi" w:hAnsiTheme="majorBidi" w:cstheme="majorBidi"/>
          <w:sz w:val="24"/>
          <w:szCs w:val="24"/>
        </w:rPr>
        <w:t>,</w:t>
      </w:r>
      <w:r w:rsidR="00427F9E" w:rsidRPr="00511F36">
        <w:rPr>
          <w:rFonts w:asciiTheme="majorBidi" w:hAnsiTheme="majorBidi" w:cstheme="majorBidi"/>
          <w:sz w:val="24"/>
          <w:szCs w:val="24"/>
        </w:rPr>
        <w:t xml:space="preserve"> 1983</w:t>
      </w:r>
      <w:r w:rsidR="0048174B">
        <w:rPr>
          <w:rFonts w:asciiTheme="majorBidi" w:hAnsiTheme="majorBidi" w:cstheme="majorBidi"/>
          <w:sz w:val="24"/>
          <w:szCs w:val="24"/>
        </w:rPr>
        <w:t xml:space="preserve">; </w:t>
      </w:r>
      <w:r w:rsidR="0048174B" w:rsidRPr="00511F36">
        <w:rPr>
          <w:rFonts w:asciiTheme="majorBidi" w:hAnsiTheme="majorBidi" w:cstheme="majorBidi"/>
          <w:sz w:val="24"/>
          <w:szCs w:val="24"/>
        </w:rPr>
        <w:t>Suchman</w:t>
      </w:r>
      <w:r w:rsidR="0048174B">
        <w:rPr>
          <w:rFonts w:asciiTheme="majorBidi" w:hAnsiTheme="majorBidi" w:cstheme="majorBidi"/>
          <w:sz w:val="24"/>
          <w:szCs w:val="24"/>
        </w:rPr>
        <w:t>,</w:t>
      </w:r>
      <w:r w:rsidR="0048174B" w:rsidRPr="00511F36">
        <w:rPr>
          <w:rFonts w:asciiTheme="majorBidi" w:hAnsiTheme="majorBidi" w:cstheme="majorBidi"/>
          <w:sz w:val="24"/>
          <w:szCs w:val="24"/>
        </w:rPr>
        <w:t xml:space="preserve"> 1995</w:t>
      </w:r>
      <w:r w:rsidR="002039EB" w:rsidRPr="00511F36">
        <w:rPr>
          <w:rFonts w:asciiTheme="majorBidi" w:hAnsiTheme="majorBidi" w:cstheme="majorBidi"/>
          <w:sz w:val="24"/>
          <w:szCs w:val="24"/>
        </w:rPr>
        <w:t>)</w:t>
      </w:r>
      <w:r w:rsidR="0061747D" w:rsidRPr="00511F36">
        <w:rPr>
          <w:rFonts w:asciiTheme="majorBidi" w:hAnsiTheme="majorBidi" w:cstheme="majorBidi"/>
          <w:sz w:val="24"/>
          <w:szCs w:val="24"/>
        </w:rPr>
        <w:t xml:space="preserve">. </w:t>
      </w:r>
      <w:r w:rsidR="001F4F17" w:rsidRPr="00511F36">
        <w:rPr>
          <w:rFonts w:asciiTheme="majorBidi" w:hAnsiTheme="majorBidi" w:cstheme="majorBidi"/>
          <w:sz w:val="24"/>
          <w:szCs w:val="24"/>
        </w:rPr>
        <w:t xml:space="preserve">Additionally, </w:t>
      </w:r>
      <w:r w:rsidR="00E14121">
        <w:rPr>
          <w:rFonts w:asciiTheme="majorBidi" w:hAnsiTheme="majorBidi" w:cstheme="majorBidi"/>
          <w:sz w:val="24"/>
          <w:szCs w:val="24"/>
        </w:rPr>
        <w:t>institutional scholars argue that</w:t>
      </w:r>
      <w:r w:rsidR="001F4F17" w:rsidRPr="00511F36">
        <w:rPr>
          <w:rFonts w:asciiTheme="majorBidi" w:hAnsiTheme="majorBidi" w:cstheme="majorBidi"/>
          <w:sz w:val="24"/>
          <w:szCs w:val="24"/>
        </w:rPr>
        <w:t xml:space="preserve"> the appointment of independent (lay) governors </w:t>
      </w:r>
      <w:r w:rsidR="00322C76" w:rsidRPr="00511F36">
        <w:rPr>
          <w:rFonts w:asciiTheme="majorBidi" w:hAnsiTheme="majorBidi" w:cstheme="majorBidi"/>
          <w:sz w:val="24"/>
          <w:szCs w:val="24"/>
        </w:rPr>
        <w:t>may help in enhancing</w:t>
      </w:r>
      <w:r w:rsidR="001F4F17" w:rsidRPr="00511F36">
        <w:rPr>
          <w:rFonts w:asciiTheme="majorBidi" w:hAnsiTheme="majorBidi" w:cstheme="majorBidi"/>
          <w:sz w:val="24"/>
          <w:szCs w:val="24"/>
        </w:rPr>
        <w:t xml:space="preserve"> public accountability and transparency by increasing managerial monitoring, and thereby reducing any agency conflict</w:t>
      </w:r>
      <w:r w:rsidR="00977678">
        <w:rPr>
          <w:rFonts w:asciiTheme="majorBidi" w:hAnsiTheme="majorBidi" w:cstheme="majorBidi"/>
          <w:sz w:val="24"/>
          <w:szCs w:val="24"/>
        </w:rPr>
        <w:t>s</w:t>
      </w:r>
      <w:r w:rsidR="001F4F17" w:rsidRPr="00511F36">
        <w:rPr>
          <w:rFonts w:asciiTheme="majorBidi" w:hAnsiTheme="majorBidi" w:cstheme="majorBidi"/>
          <w:sz w:val="24"/>
          <w:szCs w:val="24"/>
        </w:rPr>
        <w:t xml:space="preserve"> betwe</w:t>
      </w:r>
      <w:r w:rsidR="002039EB" w:rsidRPr="00511F36">
        <w:rPr>
          <w:rFonts w:asciiTheme="majorBidi" w:hAnsiTheme="majorBidi" w:cstheme="majorBidi"/>
          <w:sz w:val="24"/>
          <w:szCs w:val="24"/>
        </w:rPr>
        <w:t>en managers and stakeholders (Coy</w:t>
      </w:r>
      <w:r w:rsidR="002F2FFF">
        <w:rPr>
          <w:rFonts w:asciiTheme="majorBidi" w:hAnsiTheme="majorBidi" w:cstheme="majorBidi"/>
          <w:sz w:val="24"/>
          <w:szCs w:val="24"/>
        </w:rPr>
        <w:t xml:space="preserve"> et al., </w:t>
      </w:r>
      <w:r w:rsidR="00877732" w:rsidRPr="00511F36">
        <w:rPr>
          <w:rFonts w:asciiTheme="majorBidi" w:hAnsiTheme="majorBidi" w:cstheme="majorBidi"/>
          <w:sz w:val="24"/>
          <w:szCs w:val="24"/>
        </w:rPr>
        <w:t>20</w:t>
      </w:r>
      <w:r w:rsidR="00877732">
        <w:rPr>
          <w:rFonts w:asciiTheme="majorBidi" w:hAnsiTheme="majorBidi" w:cstheme="majorBidi"/>
          <w:sz w:val="24"/>
          <w:szCs w:val="24"/>
        </w:rPr>
        <w:t>0</w:t>
      </w:r>
      <w:r w:rsidR="00877732" w:rsidRPr="00511F36">
        <w:rPr>
          <w:rFonts w:asciiTheme="majorBidi" w:hAnsiTheme="majorBidi" w:cstheme="majorBidi"/>
          <w:sz w:val="24"/>
          <w:szCs w:val="24"/>
        </w:rPr>
        <w:t>1</w:t>
      </w:r>
      <w:r w:rsidR="002039EB" w:rsidRPr="00511F36">
        <w:rPr>
          <w:rFonts w:asciiTheme="majorBidi" w:hAnsiTheme="majorBidi" w:cstheme="majorBidi"/>
          <w:sz w:val="24"/>
          <w:szCs w:val="24"/>
        </w:rPr>
        <w:t xml:space="preserve">; </w:t>
      </w:r>
      <w:r w:rsidR="002039EB" w:rsidRPr="00511F36">
        <w:rPr>
          <w:rFonts w:asciiTheme="majorBidi" w:hAnsiTheme="majorBidi" w:cstheme="majorBidi"/>
          <w:sz w:val="24"/>
          <w:szCs w:val="24"/>
        </w:rPr>
        <w:lastRenderedPageBreak/>
        <w:t xml:space="preserve">Jensen </w:t>
      </w:r>
      <w:r w:rsidR="00E64AB1">
        <w:rPr>
          <w:rFonts w:asciiTheme="majorBidi" w:hAnsiTheme="majorBidi" w:cstheme="majorBidi"/>
          <w:sz w:val="24"/>
          <w:szCs w:val="24"/>
        </w:rPr>
        <w:t>&amp;</w:t>
      </w:r>
      <w:r w:rsidR="002039EB" w:rsidRPr="00511F36">
        <w:rPr>
          <w:rFonts w:asciiTheme="majorBidi" w:hAnsiTheme="majorBidi" w:cstheme="majorBidi"/>
          <w:sz w:val="24"/>
          <w:szCs w:val="24"/>
        </w:rPr>
        <w:t xml:space="preserve"> Meckling</w:t>
      </w:r>
      <w:r w:rsidR="00E64AB1">
        <w:rPr>
          <w:rFonts w:asciiTheme="majorBidi" w:hAnsiTheme="majorBidi" w:cstheme="majorBidi"/>
          <w:sz w:val="24"/>
          <w:szCs w:val="24"/>
        </w:rPr>
        <w:t>,</w:t>
      </w:r>
      <w:r w:rsidR="002039EB" w:rsidRPr="00511F36">
        <w:rPr>
          <w:rFonts w:asciiTheme="majorBidi" w:hAnsiTheme="majorBidi" w:cstheme="majorBidi"/>
          <w:sz w:val="24"/>
          <w:szCs w:val="24"/>
        </w:rPr>
        <w:t xml:space="preserve"> 1976</w:t>
      </w:r>
      <w:r w:rsidR="001F4F17" w:rsidRPr="00511F36">
        <w:rPr>
          <w:rFonts w:asciiTheme="majorBidi" w:hAnsiTheme="majorBidi" w:cstheme="majorBidi"/>
          <w:sz w:val="24"/>
          <w:szCs w:val="24"/>
        </w:rPr>
        <w:t xml:space="preserve">). </w:t>
      </w:r>
      <w:r w:rsidR="00322C76" w:rsidRPr="00511F36">
        <w:rPr>
          <w:rFonts w:asciiTheme="majorBidi" w:hAnsiTheme="majorBidi" w:cstheme="majorBidi"/>
          <w:sz w:val="24"/>
          <w:szCs w:val="24"/>
        </w:rPr>
        <w:t xml:space="preserve">Therefore, the presence of independent (lay) governors can positively affect the extent of voluntary governance disclosures by increasing pressure on the governing board members to </w:t>
      </w:r>
      <w:r w:rsidR="00E108E6">
        <w:rPr>
          <w:rFonts w:asciiTheme="majorBidi" w:hAnsiTheme="majorBidi" w:cstheme="majorBidi"/>
          <w:sz w:val="24"/>
          <w:szCs w:val="24"/>
        </w:rPr>
        <w:t>commit to high</w:t>
      </w:r>
      <w:r w:rsidR="00E108E6" w:rsidRPr="00511F36">
        <w:rPr>
          <w:rFonts w:asciiTheme="majorBidi" w:hAnsiTheme="majorBidi" w:cstheme="majorBidi"/>
          <w:sz w:val="24"/>
          <w:szCs w:val="24"/>
        </w:rPr>
        <w:t xml:space="preserve"> </w:t>
      </w:r>
      <w:r w:rsidR="00E108E6">
        <w:rPr>
          <w:rFonts w:asciiTheme="majorBidi" w:hAnsiTheme="majorBidi" w:cstheme="majorBidi"/>
          <w:sz w:val="24"/>
          <w:szCs w:val="24"/>
        </w:rPr>
        <w:t>governance disclosures</w:t>
      </w:r>
      <w:r w:rsidR="00322C76" w:rsidRPr="00511F36">
        <w:rPr>
          <w:rFonts w:asciiTheme="majorBidi" w:hAnsiTheme="majorBidi" w:cstheme="majorBidi"/>
          <w:sz w:val="24"/>
          <w:szCs w:val="24"/>
        </w:rPr>
        <w:t>.</w:t>
      </w:r>
    </w:p>
    <w:p w14:paraId="142A80AE" w14:textId="2455E370" w:rsidR="00410490" w:rsidRDefault="00792E57" w:rsidP="00C63EF2">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The empirical evidence largely suggest</w:t>
      </w:r>
      <w:r w:rsidR="004B3208">
        <w:rPr>
          <w:rFonts w:asciiTheme="majorBidi" w:hAnsiTheme="majorBidi" w:cstheme="majorBidi"/>
          <w:sz w:val="24"/>
          <w:szCs w:val="24"/>
        </w:rPr>
        <w:t>s</w:t>
      </w:r>
      <w:r w:rsidRPr="00511F36">
        <w:rPr>
          <w:rFonts w:asciiTheme="majorBidi" w:hAnsiTheme="majorBidi" w:cstheme="majorBidi"/>
          <w:sz w:val="24"/>
          <w:szCs w:val="24"/>
        </w:rPr>
        <w:t xml:space="preserve"> that the presence o</w:t>
      </w:r>
      <w:r w:rsidR="0081066F">
        <w:rPr>
          <w:rFonts w:asciiTheme="majorBidi" w:hAnsiTheme="majorBidi" w:cstheme="majorBidi"/>
          <w:sz w:val="24"/>
          <w:szCs w:val="24"/>
        </w:rPr>
        <w:t>f</w:t>
      </w:r>
      <w:r w:rsidRPr="00511F36">
        <w:rPr>
          <w:rFonts w:asciiTheme="majorBidi" w:hAnsiTheme="majorBidi" w:cstheme="majorBidi"/>
          <w:sz w:val="24"/>
          <w:szCs w:val="24"/>
        </w:rPr>
        <w:t xml:space="preserve"> non-executive </w:t>
      </w:r>
      <w:r w:rsidR="00690290">
        <w:rPr>
          <w:rFonts w:asciiTheme="majorBidi" w:hAnsiTheme="majorBidi" w:cstheme="majorBidi"/>
          <w:sz w:val="24"/>
          <w:szCs w:val="24"/>
        </w:rPr>
        <w:t>governors</w:t>
      </w:r>
      <w:r w:rsidR="00690290" w:rsidRPr="00511F36">
        <w:rPr>
          <w:rFonts w:asciiTheme="majorBidi" w:hAnsiTheme="majorBidi" w:cstheme="majorBidi"/>
          <w:sz w:val="24"/>
          <w:szCs w:val="24"/>
        </w:rPr>
        <w:t xml:space="preserve"> </w:t>
      </w:r>
      <w:r w:rsidRPr="00511F36">
        <w:rPr>
          <w:rFonts w:asciiTheme="majorBidi" w:hAnsiTheme="majorBidi" w:cstheme="majorBidi"/>
          <w:sz w:val="24"/>
          <w:szCs w:val="24"/>
        </w:rPr>
        <w:t xml:space="preserve">on a corporate board has a positive influence on governance disclosure </w:t>
      </w:r>
      <w:r w:rsidR="00915A94">
        <w:rPr>
          <w:rFonts w:asciiTheme="majorBidi" w:hAnsiTheme="majorBidi" w:cstheme="majorBidi"/>
          <w:sz w:val="24"/>
          <w:szCs w:val="24"/>
        </w:rPr>
        <w:t>behaviours</w:t>
      </w:r>
      <w:r w:rsidR="00915A94" w:rsidRPr="00511F36">
        <w:rPr>
          <w:rFonts w:asciiTheme="majorBidi" w:hAnsiTheme="majorBidi" w:cstheme="majorBidi"/>
          <w:sz w:val="24"/>
          <w:szCs w:val="24"/>
        </w:rPr>
        <w:t xml:space="preserve"> </w:t>
      </w:r>
      <w:r w:rsidRPr="00511F36">
        <w:rPr>
          <w:rFonts w:asciiTheme="majorBidi" w:hAnsiTheme="majorBidi" w:cstheme="majorBidi"/>
          <w:sz w:val="24"/>
          <w:szCs w:val="24"/>
        </w:rPr>
        <w:t xml:space="preserve">in publicly </w:t>
      </w:r>
      <w:r w:rsidR="00915A94">
        <w:rPr>
          <w:rFonts w:asciiTheme="majorBidi" w:hAnsiTheme="majorBidi" w:cstheme="majorBidi"/>
          <w:sz w:val="24"/>
          <w:szCs w:val="24"/>
        </w:rPr>
        <w:t>traded corporations</w:t>
      </w:r>
      <w:r w:rsidRPr="00511F36">
        <w:rPr>
          <w:rFonts w:asciiTheme="majorBidi" w:hAnsiTheme="majorBidi" w:cstheme="majorBidi"/>
          <w:sz w:val="24"/>
          <w:szCs w:val="24"/>
        </w:rPr>
        <w:t xml:space="preserve"> (Beekes </w:t>
      </w:r>
      <w:r w:rsidR="003446F9">
        <w:rPr>
          <w:rFonts w:asciiTheme="majorBidi" w:hAnsiTheme="majorBidi" w:cstheme="majorBidi"/>
          <w:sz w:val="24"/>
          <w:szCs w:val="24"/>
        </w:rPr>
        <w:t>&amp;</w:t>
      </w:r>
      <w:r w:rsidRPr="00511F36">
        <w:rPr>
          <w:rFonts w:asciiTheme="majorBidi" w:hAnsiTheme="majorBidi" w:cstheme="majorBidi"/>
          <w:sz w:val="24"/>
          <w:szCs w:val="24"/>
        </w:rPr>
        <w:t xml:space="preserve"> Brown</w:t>
      </w:r>
      <w:r w:rsidR="003446F9">
        <w:rPr>
          <w:rFonts w:asciiTheme="majorBidi" w:hAnsiTheme="majorBidi" w:cstheme="majorBidi"/>
          <w:sz w:val="24"/>
          <w:szCs w:val="24"/>
        </w:rPr>
        <w:t>,</w:t>
      </w:r>
      <w:r w:rsidRPr="00511F36">
        <w:rPr>
          <w:rFonts w:asciiTheme="majorBidi" w:hAnsiTheme="majorBidi" w:cstheme="majorBidi"/>
          <w:sz w:val="24"/>
          <w:szCs w:val="24"/>
        </w:rPr>
        <w:t xml:space="preserve"> 2006; Donnelly </w:t>
      </w:r>
      <w:r w:rsidR="00AD1473">
        <w:rPr>
          <w:rFonts w:asciiTheme="majorBidi" w:hAnsiTheme="majorBidi" w:cstheme="majorBidi"/>
          <w:sz w:val="24"/>
          <w:szCs w:val="24"/>
        </w:rPr>
        <w:t>&amp;</w:t>
      </w:r>
      <w:r w:rsidRPr="00511F36">
        <w:rPr>
          <w:rFonts w:asciiTheme="majorBidi" w:hAnsiTheme="majorBidi" w:cstheme="majorBidi"/>
          <w:sz w:val="24"/>
          <w:szCs w:val="24"/>
        </w:rPr>
        <w:t xml:space="preserve"> Mulcahy 2008)</w:t>
      </w:r>
      <w:r w:rsidR="004842B0">
        <w:rPr>
          <w:rFonts w:asciiTheme="majorBidi" w:hAnsiTheme="majorBidi" w:cstheme="majorBidi"/>
          <w:sz w:val="24"/>
          <w:szCs w:val="24"/>
        </w:rPr>
        <w:t>, whereas</w:t>
      </w:r>
      <w:r w:rsidRPr="00511F36">
        <w:rPr>
          <w:rFonts w:asciiTheme="majorBidi" w:hAnsiTheme="majorBidi" w:cstheme="majorBidi"/>
          <w:sz w:val="24"/>
          <w:szCs w:val="24"/>
        </w:rPr>
        <w:t xml:space="preserve"> </w:t>
      </w:r>
      <w:r w:rsidR="00591BA0" w:rsidRPr="00511F36">
        <w:rPr>
          <w:rFonts w:asciiTheme="majorBidi" w:hAnsiTheme="majorBidi" w:cstheme="majorBidi"/>
          <w:sz w:val="24"/>
          <w:szCs w:val="24"/>
        </w:rPr>
        <w:t xml:space="preserve">Allegrini and Greco (2013) </w:t>
      </w:r>
      <w:r w:rsidR="00690290">
        <w:rPr>
          <w:rFonts w:asciiTheme="majorBidi" w:hAnsiTheme="majorBidi" w:cstheme="majorBidi"/>
          <w:sz w:val="24"/>
          <w:szCs w:val="24"/>
        </w:rPr>
        <w:t xml:space="preserve">detect </w:t>
      </w:r>
      <w:r w:rsidR="00591BA0" w:rsidRPr="00511F36">
        <w:rPr>
          <w:rFonts w:asciiTheme="majorBidi" w:hAnsiTheme="majorBidi" w:cstheme="majorBidi"/>
          <w:sz w:val="24"/>
          <w:szCs w:val="24"/>
        </w:rPr>
        <w:t xml:space="preserve">no </w:t>
      </w:r>
      <w:r w:rsidR="00690290">
        <w:rPr>
          <w:rFonts w:asciiTheme="majorBidi" w:hAnsiTheme="majorBidi" w:cstheme="majorBidi"/>
          <w:sz w:val="24"/>
          <w:szCs w:val="24"/>
        </w:rPr>
        <w:t>link</w:t>
      </w:r>
      <w:r w:rsidR="00690290" w:rsidRPr="00511F36">
        <w:rPr>
          <w:rFonts w:asciiTheme="majorBidi" w:hAnsiTheme="majorBidi" w:cstheme="majorBidi"/>
          <w:sz w:val="24"/>
          <w:szCs w:val="24"/>
        </w:rPr>
        <w:t xml:space="preserve"> </w:t>
      </w:r>
      <w:r w:rsidR="00591BA0" w:rsidRPr="00511F36">
        <w:rPr>
          <w:rFonts w:asciiTheme="majorBidi" w:hAnsiTheme="majorBidi" w:cstheme="majorBidi"/>
          <w:sz w:val="24"/>
          <w:szCs w:val="24"/>
        </w:rPr>
        <w:t xml:space="preserve">between these two variables of interest. </w:t>
      </w:r>
      <w:r w:rsidR="004842B0">
        <w:rPr>
          <w:rFonts w:asciiTheme="majorBidi" w:hAnsiTheme="majorBidi" w:cstheme="majorBidi"/>
          <w:sz w:val="24"/>
          <w:szCs w:val="24"/>
        </w:rPr>
        <w:t xml:space="preserve">However, there is a scarcity </w:t>
      </w:r>
      <w:r w:rsidR="005058BC">
        <w:rPr>
          <w:rFonts w:asciiTheme="majorBidi" w:hAnsiTheme="majorBidi" w:cstheme="majorBidi"/>
          <w:sz w:val="24"/>
          <w:szCs w:val="24"/>
        </w:rPr>
        <w:t>of</w:t>
      </w:r>
      <w:r w:rsidR="004842B0">
        <w:rPr>
          <w:rFonts w:asciiTheme="majorBidi" w:hAnsiTheme="majorBidi" w:cstheme="majorBidi"/>
          <w:sz w:val="24"/>
          <w:szCs w:val="24"/>
        </w:rPr>
        <w:t xml:space="preserve"> studies investigating the </w:t>
      </w:r>
      <w:r w:rsidR="004842B0" w:rsidRPr="00511F36">
        <w:rPr>
          <w:rFonts w:asciiTheme="majorBidi" w:hAnsiTheme="majorBidi" w:cstheme="majorBidi"/>
          <w:sz w:val="24"/>
          <w:szCs w:val="24"/>
        </w:rPr>
        <w:t>link between governing board independence and voluntary disclosures</w:t>
      </w:r>
      <w:r w:rsidR="004842B0">
        <w:rPr>
          <w:rFonts w:asciiTheme="majorBidi" w:hAnsiTheme="majorBidi" w:cstheme="majorBidi"/>
          <w:sz w:val="24"/>
          <w:szCs w:val="24"/>
        </w:rPr>
        <w:t xml:space="preserve"> among non-profitable organisations in general (</w:t>
      </w:r>
      <w:r w:rsidR="004842B0" w:rsidRPr="004842B0">
        <w:rPr>
          <w:rFonts w:asciiTheme="majorBidi" w:eastAsia="Times New Roman" w:hAnsiTheme="majorBidi" w:cstheme="majorBidi"/>
          <w:sz w:val="24"/>
          <w:szCs w:val="24"/>
          <w:lang w:eastAsia="en-GB"/>
        </w:rPr>
        <w:t>Saxton</w:t>
      </w:r>
      <w:r w:rsidR="004842B0">
        <w:rPr>
          <w:rFonts w:asciiTheme="majorBidi" w:eastAsia="Times New Roman" w:hAnsiTheme="majorBidi" w:cstheme="majorBidi"/>
          <w:sz w:val="24"/>
          <w:szCs w:val="24"/>
          <w:lang w:eastAsia="en-GB"/>
        </w:rPr>
        <w:t xml:space="preserve"> et al., 2012)</w:t>
      </w:r>
      <w:r w:rsidR="000E0147">
        <w:rPr>
          <w:rFonts w:asciiTheme="majorBidi" w:eastAsia="Times New Roman" w:hAnsiTheme="majorBidi" w:cstheme="majorBidi"/>
          <w:sz w:val="24"/>
          <w:szCs w:val="24"/>
          <w:lang w:eastAsia="en-GB"/>
        </w:rPr>
        <w:t>,</w:t>
      </w:r>
      <w:r w:rsidR="004842B0">
        <w:rPr>
          <w:rFonts w:asciiTheme="majorBidi" w:eastAsia="Times New Roman" w:hAnsiTheme="majorBidi" w:cstheme="majorBidi"/>
          <w:sz w:val="24"/>
          <w:szCs w:val="24"/>
          <w:lang w:eastAsia="en-GB"/>
        </w:rPr>
        <w:t xml:space="preserve"> </w:t>
      </w:r>
      <w:r w:rsidR="000E0147">
        <w:rPr>
          <w:rFonts w:asciiTheme="majorBidi" w:eastAsia="Times New Roman" w:hAnsiTheme="majorBidi" w:cstheme="majorBidi"/>
          <w:sz w:val="24"/>
          <w:szCs w:val="24"/>
          <w:lang w:eastAsia="en-GB"/>
        </w:rPr>
        <w:t>but</w:t>
      </w:r>
      <w:r w:rsidR="004842B0">
        <w:rPr>
          <w:rFonts w:asciiTheme="majorBidi" w:eastAsia="Times New Roman" w:hAnsiTheme="majorBidi" w:cstheme="majorBidi"/>
          <w:sz w:val="24"/>
          <w:szCs w:val="24"/>
          <w:lang w:eastAsia="en-GB"/>
        </w:rPr>
        <w:t xml:space="preserve"> HEIs in particular </w:t>
      </w:r>
      <w:r w:rsidR="008B1126">
        <w:rPr>
          <w:rFonts w:asciiTheme="majorBidi" w:eastAsia="Times New Roman" w:hAnsiTheme="majorBidi" w:cstheme="majorBidi"/>
          <w:sz w:val="24"/>
          <w:szCs w:val="24"/>
          <w:lang w:eastAsia="en-GB"/>
        </w:rPr>
        <w:t>(</w:t>
      </w:r>
      <w:r w:rsidR="008B1126" w:rsidRPr="00511F36">
        <w:rPr>
          <w:rFonts w:asciiTheme="majorBidi" w:hAnsiTheme="majorBidi" w:cstheme="majorBidi"/>
          <w:sz w:val="24"/>
          <w:szCs w:val="24"/>
        </w:rPr>
        <w:t xml:space="preserve">e.g., </w:t>
      </w:r>
      <w:r w:rsidR="0095527E" w:rsidRPr="00511F36">
        <w:rPr>
          <w:rFonts w:asciiTheme="majorBidi" w:eastAsia="Times New Roman" w:hAnsiTheme="majorBidi" w:cstheme="majorBidi"/>
          <w:sz w:val="24"/>
          <w:szCs w:val="24"/>
          <w:lang w:eastAsia="en-GB"/>
        </w:rPr>
        <w:t xml:space="preserve">Lokuwaduge </w:t>
      </w:r>
      <w:r w:rsidR="0095527E">
        <w:rPr>
          <w:rFonts w:asciiTheme="majorBidi" w:eastAsia="Times New Roman" w:hAnsiTheme="majorBidi" w:cstheme="majorBidi"/>
          <w:sz w:val="24"/>
          <w:szCs w:val="24"/>
          <w:lang w:eastAsia="en-GB"/>
        </w:rPr>
        <w:t xml:space="preserve">&amp; Armstrong, 2015; </w:t>
      </w:r>
      <w:r w:rsidR="008B1126" w:rsidRPr="00511F36">
        <w:rPr>
          <w:rFonts w:asciiTheme="majorBidi" w:hAnsiTheme="majorBidi" w:cstheme="majorBidi"/>
          <w:sz w:val="24"/>
          <w:szCs w:val="24"/>
        </w:rPr>
        <w:t xml:space="preserve">Maingot </w:t>
      </w:r>
      <w:r w:rsidR="008B1126">
        <w:rPr>
          <w:rFonts w:asciiTheme="majorBidi" w:hAnsiTheme="majorBidi" w:cstheme="majorBidi"/>
          <w:sz w:val="24"/>
          <w:szCs w:val="24"/>
        </w:rPr>
        <w:t>&amp;</w:t>
      </w:r>
      <w:r w:rsidR="008B1126" w:rsidRPr="00511F36">
        <w:rPr>
          <w:rFonts w:asciiTheme="majorBidi" w:hAnsiTheme="majorBidi" w:cstheme="majorBidi"/>
          <w:sz w:val="24"/>
          <w:szCs w:val="24"/>
        </w:rPr>
        <w:t xml:space="preserve"> Zeghal</w:t>
      </w:r>
      <w:r w:rsidR="008B1126">
        <w:rPr>
          <w:rFonts w:asciiTheme="majorBidi" w:hAnsiTheme="majorBidi" w:cstheme="majorBidi"/>
          <w:sz w:val="24"/>
          <w:szCs w:val="24"/>
        </w:rPr>
        <w:t>,</w:t>
      </w:r>
      <w:r w:rsidR="008B1126" w:rsidRPr="00511F36">
        <w:rPr>
          <w:rFonts w:asciiTheme="majorBidi" w:hAnsiTheme="majorBidi" w:cstheme="majorBidi"/>
          <w:sz w:val="24"/>
          <w:szCs w:val="24"/>
        </w:rPr>
        <w:t xml:space="preserve"> 2008; </w:t>
      </w:r>
      <w:r w:rsidR="008B1126">
        <w:rPr>
          <w:rFonts w:asciiTheme="majorBidi" w:hAnsiTheme="majorBidi" w:cstheme="majorBidi"/>
          <w:sz w:val="24"/>
          <w:szCs w:val="24"/>
        </w:rPr>
        <w:t xml:space="preserve">Nelson et al., </w:t>
      </w:r>
      <w:r w:rsidR="008B1126" w:rsidRPr="00511F36">
        <w:rPr>
          <w:rFonts w:asciiTheme="majorBidi" w:hAnsiTheme="majorBidi" w:cstheme="majorBidi"/>
          <w:sz w:val="24"/>
          <w:szCs w:val="24"/>
        </w:rPr>
        <w:t>2003)</w:t>
      </w:r>
      <w:r w:rsidR="005058BC">
        <w:rPr>
          <w:rFonts w:asciiTheme="majorBidi" w:hAnsiTheme="majorBidi" w:cstheme="majorBidi"/>
          <w:sz w:val="24"/>
          <w:szCs w:val="24"/>
        </w:rPr>
        <w:t xml:space="preserve">. </w:t>
      </w:r>
    </w:p>
    <w:p w14:paraId="7B95B979" w14:textId="03A26357" w:rsidR="00591BA0" w:rsidRPr="00511F36" w:rsidRDefault="005058BC" w:rsidP="00C63EF2">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Additionally,</w:t>
      </w:r>
      <w:r w:rsidR="008B1126" w:rsidRPr="00511F36">
        <w:rPr>
          <w:rFonts w:asciiTheme="majorBidi" w:hAnsiTheme="majorBidi" w:cstheme="majorBidi"/>
          <w:sz w:val="24"/>
          <w:szCs w:val="24"/>
        </w:rPr>
        <w:t xml:space="preserve"> most of </w:t>
      </w:r>
      <w:r>
        <w:rPr>
          <w:rFonts w:asciiTheme="majorBidi" w:hAnsiTheme="majorBidi" w:cstheme="majorBidi"/>
          <w:sz w:val="24"/>
          <w:szCs w:val="24"/>
        </w:rPr>
        <w:t xml:space="preserve">the </w:t>
      </w:r>
      <w:r w:rsidR="008B1126" w:rsidRPr="00511F36">
        <w:rPr>
          <w:rFonts w:asciiTheme="majorBidi" w:hAnsiTheme="majorBidi" w:cstheme="majorBidi"/>
          <w:sz w:val="24"/>
          <w:szCs w:val="24"/>
        </w:rPr>
        <w:t>previous studies have merely been descriptive</w:t>
      </w:r>
      <w:r w:rsidR="008B1126">
        <w:rPr>
          <w:rFonts w:asciiTheme="majorBidi" w:hAnsiTheme="majorBidi" w:cstheme="majorBidi"/>
          <w:sz w:val="24"/>
          <w:szCs w:val="24"/>
        </w:rPr>
        <w:t xml:space="preserve">. </w:t>
      </w:r>
      <w:r w:rsidR="00262919">
        <w:rPr>
          <w:rFonts w:asciiTheme="majorBidi" w:hAnsiTheme="majorBidi" w:cstheme="majorBidi"/>
          <w:sz w:val="24"/>
          <w:szCs w:val="24"/>
        </w:rPr>
        <w:t xml:space="preserve">Arguably, </w:t>
      </w:r>
      <w:r w:rsidR="00D77EDC" w:rsidRPr="00511F36">
        <w:rPr>
          <w:rFonts w:asciiTheme="majorBidi" w:hAnsiTheme="majorBidi" w:cstheme="majorBidi"/>
          <w:sz w:val="24"/>
          <w:szCs w:val="24"/>
        </w:rPr>
        <w:t>this provide</w:t>
      </w:r>
      <w:r w:rsidR="00262919">
        <w:rPr>
          <w:rFonts w:asciiTheme="majorBidi" w:hAnsiTheme="majorBidi" w:cstheme="majorBidi"/>
          <w:sz w:val="24"/>
          <w:szCs w:val="24"/>
        </w:rPr>
        <w:t>s a</w:t>
      </w:r>
      <w:r w:rsidR="00D77EDC" w:rsidRPr="00511F36">
        <w:rPr>
          <w:rFonts w:asciiTheme="majorBidi" w:hAnsiTheme="majorBidi" w:cstheme="majorBidi"/>
          <w:sz w:val="24"/>
          <w:szCs w:val="24"/>
        </w:rPr>
        <w:t xml:space="preserve"> </w:t>
      </w:r>
      <w:r w:rsidR="001E6CC6">
        <w:rPr>
          <w:rFonts w:asciiTheme="majorBidi" w:hAnsiTheme="majorBidi" w:cstheme="majorBidi"/>
          <w:sz w:val="24"/>
          <w:szCs w:val="24"/>
        </w:rPr>
        <w:t xml:space="preserve">great chance </w:t>
      </w:r>
      <w:r w:rsidR="00D77EDC" w:rsidRPr="00511F36">
        <w:rPr>
          <w:rFonts w:asciiTheme="majorBidi" w:hAnsiTheme="majorBidi" w:cstheme="majorBidi"/>
          <w:sz w:val="24"/>
          <w:szCs w:val="24"/>
        </w:rPr>
        <w:t>to</w:t>
      </w:r>
      <w:r w:rsidR="001E6CC6">
        <w:rPr>
          <w:rFonts w:asciiTheme="majorBidi" w:hAnsiTheme="majorBidi" w:cstheme="majorBidi"/>
          <w:sz w:val="24"/>
          <w:szCs w:val="24"/>
        </w:rPr>
        <w:t xml:space="preserve"> make original</w:t>
      </w:r>
      <w:r w:rsidR="00D77EDC" w:rsidRPr="00511F36">
        <w:rPr>
          <w:rFonts w:asciiTheme="majorBidi" w:hAnsiTheme="majorBidi" w:cstheme="majorBidi"/>
          <w:sz w:val="24"/>
          <w:szCs w:val="24"/>
        </w:rPr>
        <w:t xml:space="preserve"> contribut</w:t>
      </w:r>
      <w:r w:rsidR="001E6CC6">
        <w:rPr>
          <w:rFonts w:asciiTheme="majorBidi" w:hAnsiTheme="majorBidi" w:cstheme="majorBidi"/>
          <w:sz w:val="24"/>
          <w:szCs w:val="24"/>
        </w:rPr>
        <w:t>ions</w:t>
      </w:r>
      <w:r w:rsidR="00D77EDC" w:rsidRPr="00511F36">
        <w:rPr>
          <w:rFonts w:asciiTheme="majorBidi" w:hAnsiTheme="majorBidi" w:cstheme="majorBidi"/>
          <w:sz w:val="24"/>
          <w:szCs w:val="24"/>
        </w:rPr>
        <w:t xml:space="preserve"> to the extant governance disclosure literature. </w:t>
      </w:r>
      <w:r w:rsidR="00BB52E2" w:rsidRPr="00511F36">
        <w:rPr>
          <w:rFonts w:asciiTheme="majorBidi" w:hAnsiTheme="majorBidi" w:cstheme="majorBidi"/>
          <w:sz w:val="24"/>
          <w:szCs w:val="24"/>
        </w:rPr>
        <w:t xml:space="preserve">For example, </w:t>
      </w:r>
      <w:r w:rsidR="00612979" w:rsidRPr="00511F36">
        <w:rPr>
          <w:rFonts w:asciiTheme="majorBidi" w:hAnsiTheme="majorBidi" w:cstheme="majorBidi"/>
          <w:sz w:val="24"/>
          <w:szCs w:val="24"/>
        </w:rPr>
        <w:t>the results of surveys conducted by M</w:t>
      </w:r>
      <w:r w:rsidR="00835255">
        <w:rPr>
          <w:rFonts w:asciiTheme="majorBidi" w:hAnsiTheme="majorBidi" w:cstheme="majorBidi"/>
          <w:sz w:val="24"/>
          <w:szCs w:val="24"/>
        </w:rPr>
        <w:t>ai</w:t>
      </w:r>
      <w:r w:rsidR="006B6C5B">
        <w:rPr>
          <w:rFonts w:asciiTheme="majorBidi" w:hAnsiTheme="majorBidi" w:cstheme="majorBidi"/>
          <w:sz w:val="24"/>
          <w:szCs w:val="24"/>
        </w:rPr>
        <w:t>ngot and Zeghal (2008)</w:t>
      </w:r>
      <w:r w:rsidR="003A2934">
        <w:rPr>
          <w:rFonts w:asciiTheme="majorBidi" w:hAnsiTheme="majorBidi" w:cstheme="majorBidi"/>
          <w:sz w:val="24"/>
          <w:szCs w:val="24"/>
        </w:rPr>
        <w:t xml:space="preserve"> and</w:t>
      </w:r>
      <w:r w:rsidR="006B6C5B">
        <w:rPr>
          <w:rFonts w:asciiTheme="majorBidi" w:hAnsiTheme="majorBidi" w:cstheme="majorBidi"/>
          <w:sz w:val="24"/>
          <w:szCs w:val="24"/>
        </w:rPr>
        <w:t xml:space="preserve"> Nelson et al. </w:t>
      </w:r>
      <w:r w:rsidR="00612979" w:rsidRPr="00511F36">
        <w:rPr>
          <w:rFonts w:asciiTheme="majorBidi" w:hAnsiTheme="majorBidi" w:cstheme="majorBidi"/>
          <w:sz w:val="24"/>
          <w:szCs w:val="24"/>
        </w:rPr>
        <w:t xml:space="preserve">(2003) suggest that independent (lay) governors have significant influence on governance disclosure decisions in HEIs. </w:t>
      </w:r>
      <w:r w:rsidR="008B1126">
        <w:rPr>
          <w:rFonts w:asciiTheme="majorBidi" w:hAnsiTheme="majorBidi" w:cstheme="majorBidi"/>
          <w:sz w:val="24"/>
          <w:szCs w:val="24"/>
        </w:rPr>
        <w:t xml:space="preserve">Nevertheless, </w:t>
      </w:r>
      <w:r w:rsidR="008B1126" w:rsidRPr="004842B0">
        <w:rPr>
          <w:rFonts w:asciiTheme="majorBidi" w:eastAsia="Times New Roman" w:hAnsiTheme="majorBidi" w:cstheme="majorBidi"/>
          <w:sz w:val="24"/>
          <w:szCs w:val="24"/>
          <w:lang w:eastAsia="en-GB"/>
        </w:rPr>
        <w:t>Saxton</w:t>
      </w:r>
      <w:r w:rsidR="008B1126">
        <w:rPr>
          <w:rFonts w:asciiTheme="majorBidi" w:eastAsia="Times New Roman" w:hAnsiTheme="majorBidi" w:cstheme="majorBidi"/>
          <w:sz w:val="24"/>
          <w:szCs w:val="24"/>
          <w:lang w:eastAsia="en-GB"/>
        </w:rPr>
        <w:t xml:space="preserve"> et al. (2012) report a statistically negative association between voluntary financial disclosure and the proportion of outside board members using a sample of 40 T</w:t>
      </w:r>
      <w:r w:rsidR="008B1126" w:rsidRPr="008B1126">
        <w:rPr>
          <w:rFonts w:asciiTheme="majorBidi" w:eastAsia="Times New Roman" w:hAnsiTheme="majorBidi" w:cstheme="majorBidi"/>
          <w:sz w:val="24"/>
          <w:szCs w:val="24"/>
          <w:lang w:eastAsia="en-GB"/>
        </w:rPr>
        <w:t>aiwanese</w:t>
      </w:r>
      <w:r w:rsidR="008B1126">
        <w:rPr>
          <w:rFonts w:asciiTheme="majorBidi" w:eastAsia="Times New Roman" w:hAnsiTheme="majorBidi" w:cstheme="majorBidi"/>
          <w:sz w:val="24"/>
          <w:szCs w:val="24"/>
          <w:lang w:eastAsia="en-GB"/>
        </w:rPr>
        <w:t xml:space="preserve"> non-profitable medical institutions in 2001. </w:t>
      </w:r>
      <w:r w:rsidR="00DF1429" w:rsidRPr="00511F36">
        <w:rPr>
          <w:rFonts w:asciiTheme="majorBidi" w:hAnsiTheme="majorBidi" w:cstheme="majorBidi"/>
          <w:sz w:val="24"/>
          <w:szCs w:val="24"/>
        </w:rPr>
        <w:t>From re</w:t>
      </w:r>
      <w:r w:rsidR="00735399" w:rsidRPr="00511F36">
        <w:rPr>
          <w:rFonts w:asciiTheme="majorBidi" w:hAnsiTheme="majorBidi" w:cstheme="majorBidi"/>
          <w:sz w:val="24"/>
          <w:szCs w:val="24"/>
        </w:rPr>
        <w:t>gulatory and policy perspective, the CUC (2014</w:t>
      </w:r>
      <w:r>
        <w:rPr>
          <w:rFonts w:asciiTheme="majorBidi" w:hAnsiTheme="majorBidi" w:cstheme="majorBidi"/>
          <w:sz w:val="24"/>
          <w:szCs w:val="24"/>
        </w:rPr>
        <w:t>, 2018</w:t>
      </w:r>
      <w:r w:rsidR="00735399" w:rsidRPr="00511F36">
        <w:rPr>
          <w:rFonts w:asciiTheme="majorBidi" w:hAnsiTheme="majorBidi" w:cstheme="majorBidi"/>
          <w:sz w:val="24"/>
          <w:szCs w:val="24"/>
        </w:rPr>
        <w:t>) recommend</w:t>
      </w:r>
      <w:r w:rsidR="00102664">
        <w:rPr>
          <w:rFonts w:asciiTheme="majorBidi" w:hAnsiTheme="majorBidi" w:cstheme="majorBidi"/>
          <w:sz w:val="24"/>
          <w:szCs w:val="24"/>
        </w:rPr>
        <w:t>s</w:t>
      </w:r>
      <w:r w:rsidR="00735399" w:rsidRPr="00511F36">
        <w:rPr>
          <w:rFonts w:asciiTheme="majorBidi" w:hAnsiTheme="majorBidi" w:cstheme="majorBidi"/>
          <w:sz w:val="24"/>
          <w:szCs w:val="24"/>
        </w:rPr>
        <w:t xml:space="preserve"> that the majority (at least 50 per cent) of governing board members should be lay governors. This </w:t>
      </w:r>
      <w:r w:rsidR="001E6CC6">
        <w:rPr>
          <w:rFonts w:asciiTheme="majorBidi" w:hAnsiTheme="majorBidi" w:cstheme="majorBidi"/>
          <w:sz w:val="24"/>
          <w:szCs w:val="24"/>
        </w:rPr>
        <w:t>indicates</w:t>
      </w:r>
      <w:r w:rsidR="001E6CC6" w:rsidRPr="00511F36">
        <w:rPr>
          <w:rFonts w:asciiTheme="majorBidi" w:hAnsiTheme="majorBidi" w:cstheme="majorBidi"/>
          <w:sz w:val="24"/>
          <w:szCs w:val="24"/>
        </w:rPr>
        <w:t xml:space="preserve"> </w:t>
      </w:r>
      <w:r w:rsidR="00735399" w:rsidRPr="00511F36">
        <w:rPr>
          <w:rFonts w:asciiTheme="majorBidi" w:hAnsiTheme="majorBidi" w:cstheme="majorBidi"/>
          <w:sz w:val="24"/>
          <w:szCs w:val="24"/>
        </w:rPr>
        <w:t>that</w:t>
      </w:r>
      <w:r w:rsidR="00D842C7" w:rsidRPr="00511F36">
        <w:rPr>
          <w:rFonts w:asciiTheme="majorBidi" w:hAnsiTheme="majorBidi" w:cstheme="majorBidi"/>
          <w:sz w:val="24"/>
          <w:szCs w:val="24"/>
        </w:rPr>
        <w:t xml:space="preserve"> the CUC (2014</w:t>
      </w:r>
      <w:r w:rsidR="00DC1710">
        <w:rPr>
          <w:rFonts w:asciiTheme="majorBidi" w:hAnsiTheme="majorBidi" w:cstheme="majorBidi"/>
          <w:sz w:val="24"/>
          <w:szCs w:val="24"/>
        </w:rPr>
        <w:t>, 2018</w:t>
      </w:r>
      <w:r w:rsidR="00D842C7" w:rsidRPr="00511F36">
        <w:rPr>
          <w:rFonts w:asciiTheme="majorBidi" w:hAnsiTheme="majorBidi" w:cstheme="majorBidi"/>
          <w:sz w:val="24"/>
          <w:szCs w:val="24"/>
        </w:rPr>
        <w:t xml:space="preserve">) </w:t>
      </w:r>
      <w:r w:rsidR="001E6CC6">
        <w:rPr>
          <w:rFonts w:asciiTheme="majorBidi" w:hAnsiTheme="majorBidi" w:cstheme="majorBidi"/>
          <w:sz w:val="24"/>
          <w:szCs w:val="24"/>
        </w:rPr>
        <w:t>views</w:t>
      </w:r>
      <w:r w:rsidR="001E6CC6" w:rsidRPr="00511F36">
        <w:rPr>
          <w:rFonts w:asciiTheme="majorBidi" w:hAnsiTheme="majorBidi" w:cstheme="majorBidi"/>
          <w:sz w:val="24"/>
          <w:szCs w:val="24"/>
        </w:rPr>
        <w:t xml:space="preserve"> </w:t>
      </w:r>
      <w:r w:rsidR="00D842C7" w:rsidRPr="00511F36">
        <w:rPr>
          <w:rFonts w:asciiTheme="majorBidi" w:hAnsiTheme="majorBidi" w:cstheme="majorBidi"/>
          <w:sz w:val="24"/>
          <w:szCs w:val="24"/>
        </w:rPr>
        <w:t>increasing the proportions of lay</w:t>
      </w:r>
      <w:r w:rsidR="001E6CC6">
        <w:rPr>
          <w:rFonts w:asciiTheme="majorBidi" w:hAnsiTheme="majorBidi" w:cstheme="majorBidi"/>
          <w:sz w:val="24"/>
          <w:szCs w:val="24"/>
        </w:rPr>
        <w:t xml:space="preserve"> </w:t>
      </w:r>
      <w:r w:rsidR="00D842C7" w:rsidRPr="00511F36">
        <w:rPr>
          <w:rFonts w:asciiTheme="majorBidi" w:hAnsiTheme="majorBidi" w:cstheme="majorBidi"/>
          <w:sz w:val="24"/>
          <w:szCs w:val="24"/>
        </w:rPr>
        <w:t xml:space="preserve">governors as a positive governance development, which can positively influence </w:t>
      </w:r>
      <w:r w:rsidR="00A8649C">
        <w:rPr>
          <w:rFonts w:asciiTheme="majorBidi" w:hAnsiTheme="majorBidi" w:cstheme="majorBidi"/>
          <w:sz w:val="24"/>
          <w:szCs w:val="24"/>
        </w:rPr>
        <w:t xml:space="preserve">good </w:t>
      </w:r>
      <w:r w:rsidR="00D842C7" w:rsidRPr="00511F36">
        <w:rPr>
          <w:rFonts w:asciiTheme="majorBidi" w:hAnsiTheme="majorBidi" w:cstheme="majorBidi"/>
          <w:sz w:val="24"/>
          <w:szCs w:val="24"/>
        </w:rPr>
        <w:t>governance disclosure practices. Therefore, we hypothesise that:</w:t>
      </w:r>
    </w:p>
    <w:p w14:paraId="2F3DDE4C" w14:textId="76C65284" w:rsidR="00D66B40" w:rsidRDefault="00D842C7" w:rsidP="00B84BC0">
      <w:pPr>
        <w:spacing w:line="480" w:lineRule="auto"/>
        <w:jc w:val="both"/>
        <w:rPr>
          <w:rFonts w:asciiTheme="majorBidi" w:hAnsiTheme="majorBidi" w:cstheme="majorBidi"/>
          <w:sz w:val="24"/>
          <w:szCs w:val="24"/>
        </w:rPr>
      </w:pPr>
      <w:r w:rsidRPr="00770CCA">
        <w:rPr>
          <w:rFonts w:asciiTheme="majorBidi" w:hAnsiTheme="majorBidi" w:cstheme="majorBidi"/>
          <w:b/>
          <w:i/>
          <w:iCs/>
          <w:sz w:val="24"/>
          <w:szCs w:val="24"/>
        </w:rPr>
        <w:t>H</w:t>
      </w:r>
      <w:r w:rsidR="009B12A1">
        <w:rPr>
          <w:rFonts w:asciiTheme="majorBidi" w:hAnsiTheme="majorBidi" w:cstheme="majorBidi"/>
          <w:b/>
          <w:i/>
          <w:iCs/>
          <w:sz w:val="24"/>
          <w:szCs w:val="24"/>
        </w:rPr>
        <w:t>4</w:t>
      </w:r>
      <w:r w:rsidRPr="007C2DC8">
        <w:rPr>
          <w:rFonts w:asciiTheme="majorBidi" w:hAnsiTheme="majorBidi" w:cstheme="majorBidi"/>
          <w:b/>
          <w:i/>
          <w:iCs/>
          <w:sz w:val="24"/>
          <w:szCs w:val="24"/>
        </w:rPr>
        <w:t>:</w:t>
      </w:r>
      <w:r w:rsidRPr="007C2DC8">
        <w:rPr>
          <w:rFonts w:asciiTheme="majorBidi" w:hAnsiTheme="majorBidi" w:cstheme="majorBidi"/>
          <w:i/>
          <w:iCs/>
          <w:sz w:val="24"/>
          <w:szCs w:val="24"/>
        </w:rPr>
        <w:t xml:space="preserve"> </w:t>
      </w:r>
      <w:r w:rsidRPr="0026139E">
        <w:rPr>
          <w:rFonts w:asciiTheme="majorBidi" w:hAnsiTheme="majorBidi" w:cstheme="majorBidi"/>
          <w:i/>
          <w:sz w:val="24"/>
          <w:szCs w:val="24"/>
        </w:rPr>
        <w:t xml:space="preserve">Governing board independence </w:t>
      </w:r>
      <w:r w:rsidR="003C1308" w:rsidRPr="0026139E">
        <w:rPr>
          <w:rFonts w:asciiTheme="majorBidi" w:hAnsiTheme="majorBidi" w:cstheme="majorBidi"/>
          <w:i/>
          <w:sz w:val="24"/>
          <w:szCs w:val="24"/>
        </w:rPr>
        <w:t xml:space="preserve">is positively </w:t>
      </w:r>
      <w:r w:rsidR="00FB4D42" w:rsidRPr="0026139E">
        <w:rPr>
          <w:rFonts w:asciiTheme="majorBidi" w:hAnsiTheme="majorBidi" w:cstheme="majorBidi"/>
          <w:i/>
          <w:sz w:val="24"/>
          <w:szCs w:val="24"/>
        </w:rPr>
        <w:t>associated</w:t>
      </w:r>
      <w:r w:rsidR="003C1308" w:rsidRPr="0026139E">
        <w:rPr>
          <w:rFonts w:asciiTheme="majorBidi" w:hAnsiTheme="majorBidi" w:cstheme="majorBidi"/>
          <w:i/>
          <w:sz w:val="24"/>
          <w:szCs w:val="24"/>
        </w:rPr>
        <w:t xml:space="preserve"> with </w:t>
      </w:r>
      <w:r w:rsidRPr="0026139E">
        <w:rPr>
          <w:rFonts w:asciiTheme="majorBidi" w:hAnsiTheme="majorBidi" w:cstheme="majorBidi"/>
          <w:i/>
          <w:sz w:val="24"/>
          <w:szCs w:val="24"/>
        </w:rPr>
        <w:t>governance disclosure</w:t>
      </w:r>
      <w:r w:rsidR="00AE1507" w:rsidRPr="0026139E">
        <w:rPr>
          <w:rFonts w:asciiTheme="majorBidi" w:hAnsiTheme="majorBidi" w:cstheme="majorBidi"/>
          <w:i/>
          <w:sz w:val="24"/>
          <w:szCs w:val="24"/>
        </w:rPr>
        <w:t>s</w:t>
      </w:r>
      <w:r w:rsidRPr="00511F36">
        <w:rPr>
          <w:rFonts w:asciiTheme="majorBidi" w:hAnsiTheme="majorBidi" w:cstheme="majorBidi"/>
          <w:sz w:val="24"/>
          <w:szCs w:val="24"/>
        </w:rPr>
        <w:t>.</w:t>
      </w:r>
    </w:p>
    <w:p w14:paraId="3158795B" w14:textId="77777777" w:rsidR="002009E8" w:rsidRDefault="002009E8" w:rsidP="00B84BC0">
      <w:pPr>
        <w:spacing w:line="480" w:lineRule="auto"/>
        <w:jc w:val="both"/>
        <w:rPr>
          <w:rFonts w:asciiTheme="majorBidi" w:hAnsiTheme="majorBidi" w:cstheme="majorBidi"/>
          <w:sz w:val="24"/>
          <w:szCs w:val="24"/>
        </w:rPr>
      </w:pPr>
    </w:p>
    <w:p w14:paraId="7259A59C" w14:textId="03AEE494" w:rsidR="00D842C7" w:rsidRPr="002A74B0" w:rsidRDefault="002A74B0" w:rsidP="003B2522">
      <w:pPr>
        <w:spacing w:line="276" w:lineRule="auto"/>
        <w:jc w:val="both"/>
        <w:rPr>
          <w:rFonts w:asciiTheme="majorBidi" w:hAnsiTheme="majorBidi" w:cstheme="majorBidi"/>
          <w:b/>
          <w:i/>
          <w:iCs/>
          <w:sz w:val="24"/>
          <w:szCs w:val="24"/>
        </w:rPr>
      </w:pPr>
      <w:r w:rsidRPr="00BE0110">
        <w:rPr>
          <w:rFonts w:asciiTheme="majorBidi" w:hAnsiTheme="majorBidi" w:cstheme="majorBidi"/>
          <w:b/>
          <w:i/>
          <w:iCs/>
          <w:sz w:val="24"/>
          <w:szCs w:val="24"/>
        </w:rPr>
        <w:lastRenderedPageBreak/>
        <w:t>2.</w:t>
      </w:r>
      <w:r w:rsidR="00BE0110" w:rsidRPr="00BE0110">
        <w:rPr>
          <w:rFonts w:asciiTheme="majorBidi" w:hAnsiTheme="majorBidi" w:cstheme="majorBidi"/>
          <w:b/>
          <w:i/>
          <w:iCs/>
          <w:sz w:val="24"/>
          <w:szCs w:val="24"/>
        </w:rPr>
        <w:t>2.4</w:t>
      </w:r>
      <w:r w:rsidRPr="002A74B0">
        <w:rPr>
          <w:rFonts w:asciiTheme="majorBidi" w:hAnsiTheme="majorBidi" w:cstheme="majorBidi"/>
          <w:b/>
          <w:sz w:val="24"/>
          <w:szCs w:val="24"/>
        </w:rPr>
        <w:t xml:space="preserve"> </w:t>
      </w:r>
      <w:r w:rsidR="00D842C7" w:rsidRPr="002A74B0">
        <w:rPr>
          <w:rFonts w:asciiTheme="majorBidi" w:hAnsiTheme="majorBidi" w:cstheme="majorBidi"/>
          <w:b/>
          <w:i/>
          <w:iCs/>
          <w:sz w:val="24"/>
          <w:szCs w:val="24"/>
        </w:rPr>
        <w:t>Governing board meetings and voluntary governance disclosure</w:t>
      </w:r>
      <w:r w:rsidR="00720F04" w:rsidRPr="002A74B0">
        <w:rPr>
          <w:rFonts w:asciiTheme="majorBidi" w:hAnsiTheme="majorBidi" w:cstheme="majorBidi"/>
          <w:b/>
          <w:i/>
          <w:iCs/>
          <w:sz w:val="24"/>
          <w:szCs w:val="24"/>
        </w:rPr>
        <w:t>s</w:t>
      </w:r>
    </w:p>
    <w:p w14:paraId="74335039" w14:textId="31D97B95" w:rsidR="001F177B" w:rsidRPr="00511F36" w:rsidRDefault="00336225" w:rsidP="00C63EF2">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Neo-institutional (efficiency perspective) theory</w:t>
      </w:r>
      <w:r w:rsidR="008327B5" w:rsidRPr="00511F36">
        <w:rPr>
          <w:rFonts w:asciiTheme="majorBidi" w:hAnsiTheme="majorBidi" w:cstheme="majorBidi"/>
          <w:sz w:val="24"/>
          <w:szCs w:val="24"/>
        </w:rPr>
        <w:t xml:space="preserve"> </w:t>
      </w:r>
      <w:r w:rsidR="009B69E0">
        <w:rPr>
          <w:rFonts w:asciiTheme="majorBidi" w:hAnsiTheme="majorBidi" w:cstheme="majorBidi"/>
          <w:sz w:val="24"/>
          <w:szCs w:val="24"/>
        </w:rPr>
        <w:t>view</w:t>
      </w:r>
      <w:r>
        <w:rPr>
          <w:rFonts w:asciiTheme="majorBidi" w:hAnsiTheme="majorBidi" w:cstheme="majorBidi"/>
          <w:sz w:val="24"/>
          <w:szCs w:val="24"/>
        </w:rPr>
        <w:t>s</w:t>
      </w:r>
      <w:r w:rsidR="009B69E0" w:rsidRPr="00511F36">
        <w:rPr>
          <w:rFonts w:asciiTheme="majorBidi" w:hAnsiTheme="majorBidi" w:cstheme="majorBidi"/>
          <w:sz w:val="24"/>
          <w:szCs w:val="24"/>
        </w:rPr>
        <w:t xml:space="preserve"> </w:t>
      </w:r>
      <w:r w:rsidR="001F177B" w:rsidRPr="00511F36">
        <w:rPr>
          <w:rFonts w:asciiTheme="majorBidi" w:hAnsiTheme="majorBidi" w:cstheme="majorBidi"/>
          <w:sz w:val="24"/>
          <w:szCs w:val="24"/>
        </w:rPr>
        <w:t xml:space="preserve">the number of board meetings as </w:t>
      </w:r>
      <w:r w:rsidR="008327B5" w:rsidRPr="00511F36">
        <w:rPr>
          <w:rFonts w:asciiTheme="majorBidi" w:hAnsiTheme="majorBidi" w:cstheme="majorBidi"/>
          <w:sz w:val="24"/>
          <w:szCs w:val="24"/>
        </w:rPr>
        <w:t xml:space="preserve">an important </w:t>
      </w:r>
      <w:r w:rsidR="001F177B" w:rsidRPr="00511F36">
        <w:rPr>
          <w:rFonts w:asciiTheme="majorBidi" w:hAnsiTheme="majorBidi" w:cstheme="majorBidi"/>
          <w:sz w:val="24"/>
          <w:szCs w:val="24"/>
        </w:rPr>
        <w:t>mea</w:t>
      </w:r>
      <w:r w:rsidR="00C46AAC" w:rsidRPr="00511F36">
        <w:rPr>
          <w:rFonts w:asciiTheme="majorBidi" w:hAnsiTheme="majorBidi" w:cstheme="majorBidi"/>
          <w:sz w:val="24"/>
          <w:szCs w:val="24"/>
        </w:rPr>
        <w:t xml:space="preserve">sure of directors’ </w:t>
      </w:r>
      <w:hyperlink r:id="rId9" w:history="1">
        <w:r w:rsidR="00FB4D42">
          <w:rPr>
            <w:rFonts w:asciiTheme="majorBidi" w:hAnsiTheme="majorBidi" w:cstheme="majorBidi"/>
            <w:sz w:val="24"/>
            <w:szCs w:val="24"/>
          </w:rPr>
          <w:t>work</w:t>
        </w:r>
      </w:hyperlink>
      <w:r w:rsidR="00FB4D42">
        <w:rPr>
          <w:rFonts w:asciiTheme="majorBidi" w:hAnsiTheme="majorBidi" w:cstheme="majorBidi"/>
          <w:sz w:val="24"/>
          <w:szCs w:val="24"/>
        </w:rPr>
        <w:t xml:space="preserve"> effort</w:t>
      </w:r>
      <w:r w:rsidR="009B69E0" w:rsidRPr="009B69E0">
        <w:rPr>
          <w:rFonts w:asciiTheme="majorBidi" w:hAnsiTheme="majorBidi" w:cstheme="majorBidi"/>
          <w:sz w:val="24"/>
          <w:szCs w:val="24"/>
        </w:rPr>
        <w:t xml:space="preserve"> </w:t>
      </w:r>
      <w:r w:rsidR="008327B5" w:rsidRPr="00511F36">
        <w:rPr>
          <w:rFonts w:asciiTheme="majorBidi" w:hAnsiTheme="majorBidi" w:cstheme="majorBidi"/>
          <w:sz w:val="24"/>
          <w:szCs w:val="24"/>
        </w:rPr>
        <w:t>and suggest that regular board meeting</w:t>
      </w:r>
      <w:r w:rsidR="003E5BF7">
        <w:rPr>
          <w:rFonts w:asciiTheme="majorBidi" w:hAnsiTheme="majorBidi" w:cstheme="majorBidi"/>
          <w:sz w:val="24"/>
          <w:szCs w:val="24"/>
        </w:rPr>
        <w:t>s</w:t>
      </w:r>
      <w:r w:rsidR="008327B5" w:rsidRPr="00511F36">
        <w:rPr>
          <w:rFonts w:asciiTheme="majorBidi" w:hAnsiTheme="majorBidi" w:cstheme="majorBidi"/>
          <w:sz w:val="24"/>
          <w:szCs w:val="24"/>
        </w:rPr>
        <w:t xml:space="preserve"> can </w:t>
      </w:r>
      <w:r w:rsidR="0033214D">
        <w:rPr>
          <w:rFonts w:asciiTheme="majorBidi" w:hAnsiTheme="majorBidi" w:cstheme="majorBidi"/>
          <w:sz w:val="24"/>
          <w:szCs w:val="24"/>
        </w:rPr>
        <w:t>increase managerial</w:t>
      </w:r>
      <w:r w:rsidR="00333719">
        <w:rPr>
          <w:rFonts w:asciiTheme="majorBidi" w:hAnsiTheme="majorBidi" w:cstheme="majorBidi"/>
          <w:sz w:val="24"/>
          <w:szCs w:val="24"/>
        </w:rPr>
        <w:t xml:space="preserve"> control and </w:t>
      </w:r>
      <w:r w:rsidR="0033214D">
        <w:rPr>
          <w:rFonts w:asciiTheme="majorBidi" w:hAnsiTheme="majorBidi" w:cstheme="majorBidi"/>
          <w:sz w:val="24"/>
          <w:szCs w:val="24"/>
        </w:rPr>
        <w:t xml:space="preserve">improve </w:t>
      </w:r>
      <w:r w:rsidR="00E34069">
        <w:rPr>
          <w:rFonts w:asciiTheme="majorBidi" w:hAnsiTheme="majorBidi" w:cstheme="majorBidi"/>
          <w:sz w:val="24"/>
          <w:szCs w:val="24"/>
        </w:rPr>
        <w:t xml:space="preserve">board </w:t>
      </w:r>
      <w:r w:rsidR="00B56F83">
        <w:rPr>
          <w:rFonts w:asciiTheme="majorBidi" w:hAnsiTheme="majorBidi" w:cstheme="majorBidi"/>
          <w:sz w:val="24"/>
          <w:szCs w:val="24"/>
        </w:rPr>
        <w:t>performance</w:t>
      </w:r>
      <w:r w:rsidR="008327B5" w:rsidRPr="00511F36">
        <w:rPr>
          <w:rFonts w:asciiTheme="majorBidi" w:hAnsiTheme="majorBidi" w:cstheme="majorBidi"/>
          <w:sz w:val="24"/>
          <w:szCs w:val="24"/>
        </w:rPr>
        <w:t xml:space="preserve"> by </w:t>
      </w:r>
      <w:r w:rsidR="00333719">
        <w:rPr>
          <w:rFonts w:asciiTheme="majorBidi" w:hAnsiTheme="majorBidi" w:cstheme="majorBidi"/>
          <w:sz w:val="24"/>
          <w:szCs w:val="24"/>
        </w:rPr>
        <w:t xml:space="preserve">granting </w:t>
      </w:r>
      <w:r w:rsidR="008327B5" w:rsidRPr="00511F36">
        <w:rPr>
          <w:rFonts w:asciiTheme="majorBidi" w:hAnsiTheme="majorBidi" w:cstheme="majorBidi"/>
          <w:sz w:val="24"/>
          <w:szCs w:val="24"/>
        </w:rPr>
        <w:t>governors more time to plan, discuss and assess th</w:t>
      </w:r>
      <w:r w:rsidR="00C46AAC" w:rsidRPr="00511F36">
        <w:rPr>
          <w:rFonts w:asciiTheme="majorBidi" w:hAnsiTheme="majorBidi" w:cstheme="majorBidi"/>
          <w:sz w:val="24"/>
          <w:szCs w:val="24"/>
        </w:rPr>
        <w:t>e performance of executives</w:t>
      </w:r>
      <w:r w:rsidR="00EE5783" w:rsidRPr="00511F36">
        <w:rPr>
          <w:rFonts w:asciiTheme="majorBidi" w:hAnsiTheme="majorBidi" w:cstheme="majorBidi"/>
          <w:sz w:val="24"/>
          <w:szCs w:val="24"/>
        </w:rPr>
        <w:t xml:space="preserve"> (Coy</w:t>
      </w:r>
      <w:r w:rsidR="002F2FFF">
        <w:rPr>
          <w:rFonts w:asciiTheme="majorBidi" w:hAnsiTheme="majorBidi" w:cstheme="majorBidi"/>
          <w:sz w:val="24"/>
          <w:szCs w:val="24"/>
        </w:rPr>
        <w:t xml:space="preserve"> et al., </w:t>
      </w:r>
      <w:r w:rsidR="00877732" w:rsidRPr="00511F36">
        <w:rPr>
          <w:rFonts w:asciiTheme="majorBidi" w:hAnsiTheme="majorBidi" w:cstheme="majorBidi"/>
          <w:sz w:val="24"/>
          <w:szCs w:val="24"/>
        </w:rPr>
        <w:t>20</w:t>
      </w:r>
      <w:r w:rsidR="00877732">
        <w:rPr>
          <w:rFonts w:asciiTheme="majorBidi" w:hAnsiTheme="majorBidi" w:cstheme="majorBidi"/>
          <w:sz w:val="24"/>
          <w:szCs w:val="24"/>
        </w:rPr>
        <w:t>0</w:t>
      </w:r>
      <w:r w:rsidR="00877732" w:rsidRPr="00511F36">
        <w:rPr>
          <w:rFonts w:asciiTheme="majorBidi" w:hAnsiTheme="majorBidi" w:cstheme="majorBidi"/>
          <w:sz w:val="24"/>
          <w:szCs w:val="24"/>
        </w:rPr>
        <w:t>1</w:t>
      </w:r>
      <w:r w:rsidR="00EE5783" w:rsidRPr="00511F36">
        <w:rPr>
          <w:rFonts w:asciiTheme="majorBidi" w:hAnsiTheme="majorBidi" w:cstheme="majorBidi"/>
          <w:sz w:val="24"/>
          <w:szCs w:val="24"/>
        </w:rPr>
        <w:t xml:space="preserve">; </w:t>
      </w:r>
      <w:r w:rsidR="0067220E">
        <w:rPr>
          <w:rFonts w:asciiTheme="majorBidi" w:hAnsiTheme="majorBidi" w:cstheme="majorBidi"/>
          <w:sz w:val="24"/>
          <w:szCs w:val="24"/>
        </w:rPr>
        <w:t xml:space="preserve">Ntim et al., </w:t>
      </w:r>
      <w:r w:rsidR="00DF4C18">
        <w:rPr>
          <w:rFonts w:asciiTheme="majorBidi" w:hAnsiTheme="majorBidi" w:cstheme="majorBidi"/>
          <w:sz w:val="24"/>
          <w:szCs w:val="24"/>
        </w:rPr>
        <w:t>2017</w:t>
      </w:r>
      <w:r w:rsidR="00EE5783" w:rsidRPr="00511F36">
        <w:rPr>
          <w:rFonts w:asciiTheme="majorBidi" w:hAnsiTheme="majorBidi" w:cstheme="majorBidi"/>
          <w:sz w:val="24"/>
          <w:szCs w:val="24"/>
        </w:rPr>
        <w:t>)</w:t>
      </w:r>
      <w:r w:rsidR="008327B5" w:rsidRPr="00511F36">
        <w:rPr>
          <w:rFonts w:asciiTheme="majorBidi" w:hAnsiTheme="majorBidi" w:cstheme="majorBidi"/>
          <w:sz w:val="24"/>
          <w:szCs w:val="24"/>
        </w:rPr>
        <w:t xml:space="preserve">. </w:t>
      </w:r>
      <w:r w:rsidR="00F73787" w:rsidRPr="00511F36">
        <w:rPr>
          <w:rFonts w:asciiTheme="majorBidi" w:hAnsiTheme="majorBidi" w:cstheme="majorBidi"/>
          <w:sz w:val="24"/>
          <w:szCs w:val="24"/>
        </w:rPr>
        <w:t xml:space="preserve">Similarly, </w:t>
      </w:r>
      <w:r w:rsidR="00DE3F4A">
        <w:rPr>
          <w:rFonts w:asciiTheme="majorBidi" w:hAnsiTheme="majorBidi" w:cstheme="majorBidi"/>
          <w:sz w:val="24"/>
          <w:szCs w:val="24"/>
        </w:rPr>
        <w:t xml:space="preserve">and from the neo-institutional </w:t>
      </w:r>
      <w:r w:rsidR="00C06F65">
        <w:rPr>
          <w:rFonts w:asciiTheme="majorBidi" w:hAnsiTheme="majorBidi" w:cstheme="majorBidi"/>
          <w:sz w:val="24"/>
          <w:szCs w:val="24"/>
        </w:rPr>
        <w:t>legitimisation</w:t>
      </w:r>
      <w:r w:rsidR="00DE3F4A">
        <w:rPr>
          <w:rFonts w:asciiTheme="majorBidi" w:hAnsiTheme="majorBidi" w:cstheme="majorBidi"/>
          <w:sz w:val="24"/>
          <w:szCs w:val="24"/>
        </w:rPr>
        <w:t xml:space="preserve"> perspective</w:t>
      </w:r>
      <w:r w:rsidR="00F73787" w:rsidRPr="00511F36">
        <w:rPr>
          <w:rFonts w:asciiTheme="majorBidi" w:hAnsiTheme="majorBidi" w:cstheme="majorBidi"/>
          <w:sz w:val="24"/>
          <w:szCs w:val="24"/>
        </w:rPr>
        <w:t>, frequent board meeting</w:t>
      </w:r>
      <w:r w:rsidR="003E5BF7">
        <w:rPr>
          <w:rFonts w:asciiTheme="majorBidi" w:hAnsiTheme="majorBidi" w:cstheme="majorBidi"/>
          <w:sz w:val="24"/>
          <w:szCs w:val="24"/>
        </w:rPr>
        <w:t>s</w:t>
      </w:r>
      <w:r w:rsidR="00F73787" w:rsidRPr="00511F36">
        <w:rPr>
          <w:rFonts w:asciiTheme="majorBidi" w:hAnsiTheme="majorBidi" w:cstheme="majorBidi"/>
          <w:sz w:val="24"/>
          <w:szCs w:val="24"/>
        </w:rPr>
        <w:t xml:space="preserve"> may be useful in informing and </w:t>
      </w:r>
      <w:r w:rsidR="0095679E" w:rsidRPr="00511F36">
        <w:rPr>
          <w:rFonts w:asciiTheme="majorBidi" w:hAnsiTheme="majorBidi" w:cstheme="majorBidi"/>
          <w:sz w:val="24"/>
          <w:szCs w:val="24"/>
        </w:rPr>
        <w:t>updating governors regarding the developments within their institutions, and this can improve HEIs legitimacy and image by enhancing the representation of stakeholders (</w:t>
      </w:r>
      <w:r w:rsidR="00C46AAC" w:rsidRPr="00511F36">
        <w:rPr>
          <w:rFonts w:asciiTheme="majorBidi" w:hAnsiTheme="majorBidi" w:cstheme="majorBidi"/>
          <w:sz w:val="24"/>
          <w:szCs w:val="24"/>
        </w:rPr>
        <w:t xml:space="preserve">Freeman </w:t>
      </w:r>
      <w:r w:rsidR="00D57D17">
        <w:rPr>
          <w:rFonts w:asciiTheme="majorBidi" w:hAnsiTheme="majorBidi" w:cstheme="majorBidi"/>
          <w:sz w:val="24"/>
          <w:szCs w:val="24"/>
        </w:rPr>
        <w:t>&amp;</w:t>
      </w:r>
      <w:r w:rsidR="00C46AAC" w:rsidRPr="00511F36">
        <w:rPr>
          <w:rFonts w:asciiTheme="majorBidi" w:hAnsiTheme="majorBidi" w:cstheme="majorBidi"/>
          <w:sz w:val="24"/>
          <w:szCs w:val="24"/>
        </w:rPr>
        <w:t xml:space="preserve"> Reed</w:t>
      </w:r>
      <w:r w:rsidR="00D57D17">
        <w:rPr>
          <w:rFonts w:asciiTheme="majorBidi" w:hAnsiTheme="majorBidi" w:cstheme="majorBidi"/>
          <w:sz w:val="24"/>
          <w:szCs w:val="24"/>
        </w:rPr>
        <w:t>,</w:t>
      </w:r>
      <w:r w:rsidR="00C46AAC" w:rsidRPr="00511F36">
        <w:rPr>
          <w:rFonts w:asciiTheme="majorBidi" w:hAnsiTheme="majorBidi" w:cstheme="majorBidi"/>
          <w:sz w:val="24"/>
          <w:szCs w:val="24"/>
        </w:rPr>
        <w:t xml:space="preserve"> 1983; Suchman</w:t>
      </w:r>
      <w:r w:rsidR="003C70BC">
        <w:rPr>
          <w:rFonts w:asciiTheme="majorBidi" w:hAnsiTheme="majorBidi" w:cstheme="majorBidi"/>
          <w:sz w:val="24"/>
          <w:szCs w:val="24"/>
        </w:rPr>
        <w:t>,</w:t>
      </w:r>
      <w:r w:rsidR="00C46AAC" w:rsidRPr="00511F36">
        <w:rPr>
          <w:rFonts w:asciiTheme="majorBidi" w:hAnsiTheme="majorBidi" w:cstheme="majorBidi"/>
          <w:sz w:val="24"/>
          <w:szCs w:val="24"/>
        </w:rPr>
        <w:t xml:space="preserve"> 1995</w:t>
      </w:r>
      <w:r w:rsidR="0095679E" w:rsidRPr="00511F36">
        <w:rPr>
          <w:rFonts w:asciiTheme="majorBidi" w:hAnsiTheme="majorBidi" w:cstheme="majorBidi"/>
          <w:sz w:val="24"/>
          <w:szCs w:val="24"/>
        </w:rPr>
        <w:t xml:space="preserve">). </w:t>
      </w:r>
      <w:r w:rsidR="009E02A3" w:rsidRPr="00511F36">
        <w:rPr>
          <w:rFonts w:asciiTheme="majorBidi" w:hAnsiTheme="majorBidi" w:cstheme="majorBidi"/>
          <w:sz w:val="24"/>
          <w:szCs w:val="24"/>
        </w:rPr>
        <w:t>However, there are oth</w:t>
      </w:r>
      <w:r w:rsidR="001619A0" w:rsidRPr="00511F36">
        <w:rPr>
          <w:rFonts w:asciiTheme="majorBidi" w:hAnsiTheme="majorBidi" w:cstheme="majorBidi"/>
          <w:sz w:val="24"/>
          <w:szCs w:val="24"/>
        </w:rPr>
        <w:t>er studies</w:t>
      </w:r>
      <w:r w:rsidR="00EE5783" w:rsidRPr="00511F36">
        <w:rPr>
          <w:rFonts w:asciiTheme="majorBidi" w:hAnsiTheme="majorBidi" w:cstheme="majorBidi"/>
          <w:sz w:val="24"/>
          <w:szCs w:val="24"/>
        </w:rPr>
        <w:t xml:space="preserve"> (e.g., Vafeas</w:t>
      </w:r>
      <w:r w:rsidR="00B76C92">
        <w:rPr>
          <w:rFonts w:asciiTheme="majorBidi" w:hAnsiTheme="majorBidi" w:cstheme="majorBidi"/>
          <w:sz w:val="24"/>
          <w:szCs w:val="24"/>
        </w:rPr>
        <w:t>,</w:t>
      </w:r>
      <w:r w:rsidR="00EE5783" w:rsidRPr="00511F36">
        <w:rPr>
          <w:rFonts w:asciiTheme="majorBidi" w:hAnsiTheme="majorBidi" w:cstheme="majorBidi"/>
          <w:sz w:val="24"/>
          <w:szCs w:val="24"/>
        </w:rPr>
        <w:t xml:space="preserve"> 1999)</w:t>
      </w:r>
      <w:r w:rsidR="001619A0" w:rsidRPr="00511F36">
        <w:rPr>
          <w:rFonts w:asciiTheme="majorBidi" w:hAnsiTheme="majorBidi" w:cstheme="majorBidi"/>
          <w:sz w:val="24"/>
          <w:szCs w:val="24"/>
        </w:rPr>
        <w:t xml:space="preserve"> </w:t>
      </w:r>
      <w:r w:rsidR="00653409">
        <w:rPr>
          <w:rFonts w:asciiTheme="majorBidi" w:hAnsiTheme="majorBidi" w:cstheme="majorBidi"/>
          <w:sz w:val="24"/>
          <w:szCs w:val="24"/>
        </w:rPr>
        <w:t xml:space="preserve">that </w:t>
      </w:r>
      <w:r w:rsidR="00A258DA">
        <w:rPr>
          <w:rFonts w:asciiTheme="majorBidi" w:hAnsiTheme="majorBidi" w:cstheme="majorBidi"/>
          <w:sz w:val="24"/>
          <w:szCs w:val="24"/>
        </w:rPr>
        <w:t xml:space="preserve">indicate that </w:t>
      </w:r>
      <w:r w:rsidR="001E426E">
        <w:rPr>
          <w:rFonts w:asciiTheme="majorBidi" w:hAnsiTheme="majorBidi" w:cstheme="majorBidi"/>
          <w:sz w:val="24"/>
          <w:szCs w:val="24"/>
        </w:rPr>
        <w:t xml:space="preserve">regular meetings of the board </w:t>
      </w:r>
      <w:r w:rsidR="009E02A3" w:rsidRPr="00511F36">
        <w:rPr>
          <w:rFonts w:asciiTheme="majorBidi" w:hAnsiTheme="majorBidi" w:cstheme="majorBidi"/>
          <w:sz w:val="24"/>
          <w:szCs w:val="24"/>
        </w:rPr>
        <w:t xml:space="preserve">may not always </w:t>
      </w:r>
      <w:r w:rsidR="001619A0" w:rsidRPr="00511F36">
        <w:rPr>
          <w:rFonts w:asciiTheme="majorBidi" w:hAnsiTheme="majorBidi" w:cstheme="majorBidi"/>
          <w:sz w:val="24"/>
          <w:szCs w:val="24"/>
        </w:rPr>
        <w:t xml:space="preserve">enhance board effectiveness, </w:t>
      </w:r>
      <w:r w:rsidR="001E426E">
        <w:rPr>
          <w:rFonts w:asciiTheme="majorBidi" w:hAnsiTheme="majorBidi" w:cstheme="majorBidi"/>
          <w:sz w:val="24"/>
          <w:szCs w:val="24"/>
        </w:rPr>
        <w:t>since</w:t>
      </w:r>
      <w:r w:rsidR="001E426E" w:rsidRPr="00511F36">
        <w:rPr>
          <w:rFonts w:asciiTheme="majorBidi" w:hAnsiTheme="majorBidi" w:cstheme="majorBidi"/>
          <w:sz w:val="24"/>
          <w:szCs w:val="24"/>
        </w:rPr>
        <w:t xml:space="preserve"> </w:t>
      </w:r>
      <w:r w:rsidR="001619A0" w:rsidRPr="00511F36">
        <w:rPr>
          <w:rFonts w:asciiTheme="majorBidi" w:hAnsiTheme="majorBidi" w:cstheme="majorBidi"/>
          <w:sz w:val="24"/>
          <w:szCs w:val="24"/>
        </w:rPr>
        <w:t xml:space="preserve">it can increase the potential for </w:t>
      </w:r>
      <w:r w:rsidR="001E426E">
        <w:rPr>
          <w:rFonts w:asciiTheme="majorBidi" w:hAnsiTheme="majorBidi" w:cstheme="majorBidi"/>
          <w:sz w:val="24"/>
          <w:szCs w:val="24"/>
        </w:rPr>
        <w:t>disagreement</w:t>
      </w:r>
      <w:r w:rsidR="001E426E" w:rsidRPr="00511F36">
        <w:rPr>
          <w:rFonts w:asciiTheme="majorBidi" w:hAnsiTheme="majorBidi" w:cstheme="majorBidi"/>
          <w:sz w:val="24"/>
          <w:szCs w:val="24"/>
        </w:rPr>
        <w:t xml:space="preserve"> </w:t>
      </w:r>
      <w:r w:rsidR="001E426E">
        <w:rPr>
          <w:rFonts w:asciiTheme="majorBidi" w:hAnsiTheme="majorBidi" w:cstheme="majorBidi"/>
          <w:sz w:val="24"/>
          <w:szCs w:val="24"/>
        </w:rPr>
        <w:t>between</w:t>
      </w:r>
      <w:r w:rsidR="001E426E" w:rsidRPr="00511F36">
        <w:rPr>
          <w:rFonts w:asciiTheme="majorBidi" w:hAnsiTheme="majorBidi" w:cstheme="majorBidi"/>
          <w:sz w:val="24"/>
          <w:szCs w:val="24"/>
        </w:rPr>
        <w:t xml:space="preserve"> </w:t>
      </w:r>
      <w:r w:rsidR="00463BBA" w:rsidRPr="00511F36">
        <w:rPr>
          <w:rFonts w:asciiTheme="majorBidi" w:hAnsiTheme="majorBidi" w:cstheme="majorBidi"/>
          <w:sz w:val="24"/>
          <w:szCs w:val="24"/>
        </w:rPr>
        <w:t>board</w:t>
      </w:r>
      <w:r w:rsidR="00463BBA">
        <w:rPr>
          <w:rFonts w:asciiTheme="majorBidi" w:hAnsiTheme="majorBidi" w:cstheme="majorBidi"/>
          <w:sz w:val="24"/>
          <w:szCs w:val="24"/>
        </w:rPr>
        <w:t xml:space="preserve"> members</w:t>
      </w:r>
      <w:r w:rsidR="001619A0" w:rsidRPr="00511F36">
        <w:rPr>
          <w:rFonts w:asciiTheme="majorBidi" w:hAnsiTheme="majorBidi" w:cstheme="majorBidi"/>
          <w:sz w:val="24"/>
          <w:szCs w:val="24"/>
        </w:rPr>
        <w:t xml:space="preserve">, which can impact negatively on </w:t>
      </w:r>
      <w:r w:rsidR="00CA7875">
        <w:rPr>
          <w:rFonts w:asciiTheme="majorBidi" w:hAnsiTheme="majorBidi" w:cstheme="majorBidi"/>
          <w:sz w:val="24"/>
          <w:szCs w:val="24"/>
        </w:rPr>
        <w:t>HEI outcomes, including governance disclosures</w:t>
      </w:r>
      <w:r w:rsidR="001619A0" w:rsidRPr="00511F36">
        <w:rPr>
          <w:rFonts w:asciiTheme="majorBidi" w:hAnsiTheme="majorBidi" w:cstheme="majorBidi"/>
          <w:sz w:val="24"/>
          <w:szCs w:val="24"/>
        </w:rPr>
        <w:t>.</w:t>
      </w:r>
    </w:p>
    <w:p w14:paraId="2BBD0DD4" w14:textId="4EC470A5" w:rsidR="00410490" w:rsidRDefault="002A4D62" w:rsidP="00C63EF2">
      <w:pPr>
        <w:spacing w:after="0" w:line="480" w:lineRule="auto"/>
        <w:ind w:firstLine="426"/>
        <w:jc w:val="both"/>
        <w:rPr>
          <w:rFonts w:asciiTheme="majorBidi" w:eastAsia="Times New Roman" w:hAnsiTheme="majorBidi" w:cstheme="majorBidi"/>
          <w:sz w:val="24"/>
          <w:szCs w:val="24"/>
          <w:lang w:val="pt-PT" w:eastAsia="en-GB"/>
        </w:rPr>
      </w:pPr>
      <w:r w:rsidRPr="00511F36">
        <w:rPr>
          <w:rFonts w:asciiTheme="majorBidi" w:hAnsiTheme="majorBidi" w:cstheme="majorBidi"/>
          <w:sz w:val="24"/>
          <w:szCs w:val="24"/>
        </w:rPr>
        <w:t>Empirically,</w:t>
      </w:r>
      <w:r w:rsidR="00B94AF4" w:rsidRPr="00511F36">
        <w:rPr>
          <w:rFonts w:asciiTheme="majorBidi" w:hAnsiTheme="majorBidi" w:cstheme="majorBidi"/>
          <w:sz w:val="24"/>
          <w:szCs w:val="24"/>
        </w:rPr>
        <w:t xml:space="preserve"> prior </w:t>
      </w:r>
      <w:r w:rsidR="00A649B1">
        <w:rPr>
          <w:rFonts w:asciiTheme="majorBidi" w:hAnsiTheme="majorBidi" w:cstheme="majorBidi"/>
          <w:sz w:val="24"/>
          <w:szCs w:val="24"/>
        </w:rPr>
        <w:t xml:space="preserve">studies </w:t>
      </w:r>
      <w:r w:rsidR="009054CA">
        <w:rPr>
          <w:rFonts w:asciiTheme="majorBidi" w:hAnsiTheme="majorBidi" w:cstheme="majorBidi"/>
          <w:sz w:val="24"/>
          <w:szCs w:val="24"/>
        </w:rPr>
        <w:t>ha</w:t>
      </w:r>
      <w:r w:rsidR="00653409">
        <w:rPr>
          <w:rFonts w:asciiTheme="majorBidi" w:hAnsiTheme="majorBidi" w:cstheme="majorBidi"/>
          <w:sz w:val="24"/>
          <w:szCs w:val="24"/>
        </w:rPr>
        <w:t>ve</w:t>
      </w:r>
      <w:r w:rsidR="009054CA">
        <w:rPr>
          <w:rFonts w:asciiTheme="majorBidi" w:hAnsiTheme="majorBidi" w:cstheme="majorBidi"/>
          <w:sz w:val="24"/>
          <w:szCs w:val="24"/>
        </w:rPr>
        <w:t xml:space="preserve"> </w:t>
      </w:r>
      <w:r w:rsidR="00A649B1">
        <w:rPr>
          <w:rFonts w:asciiTheme="majorBidi" w:hAnsiTheme="majorBidi" w:cstheme="majorBidi"/>
          <w:sz w:val="24"/>
          <w:szCs w:val="24"/>
        </w:rPr>
        <w:t>documented</w:t>
      </w:r>
      <w:r w:rsidR="00B94AF4" w:rsidRPr="00511F36">
        <w:rPr>
          <w:rFonts w:asciiTheme="majorBidi" w:hAnsiTheme="majorBidi" w:cstheme="majorBidi"/>
          <w:sz w:val="24"/>
          <w:szCs w:val="24"/>
        </w:rPr>
        <w:t xml:space="preserve"> a </w:t>
      </w:r>
      <w:r w:rsidR="00162549" w:rsidRPr="00511F36">
        <w:rPr>
          <w:rFonts w:asciiTheme="majorBidi" w:hAnsiTheme="majorBidi" w:cstheme="majorBidi"/>
          <w:sz w:val="24"/>
          <w:szCs w:val="24"/>
        </w:rPr>
        <w:t xml:space="preserve">negative </w:t>
      </w:r>
      <w:r w:rsidR="001E426E">
        <w:rPr>
          <w:rFonts w:asciiTheme="majorBidi" w:hAnsiTheme="majorBidi" w:cstheme="majorBidi"/>
          <w:sz w:val="24"/>
          <w:szCs w:val="24"/>
        </w:rPr>
        <w:t>link</w:t>
      </w:r>
      <w:r w:rsidR="001E426E" w:rsidRPr="00511F36">
        <w:rPr>
          <w:rFonts w:asciiTheme="majorBidi" w:hAnsiTheme="majorBidi" w:cstheme="majorBidi"/>
          <w:sz w:val="24"/>
          <w:szCs w:val="24"/>
        </w:rPr>
        <w:t xml:space="preserve"> </w:t>
      </w:r>
      <w:r w:rsidR="00162549" w:rsidRPr="00511F36">
        <w:rPr>
          <w:rFonts w:asciiTheme="majorBidi" w:hAnsiTheme="majorBidi" w:cstheme="majorBidi"/>
          <w:sz w:val="24"/>
          <w:szCs w:val="24"/>
        </w:rPr>
        <w:t xml:space="preserve">between </w:t>
      </w:r>
      <w:r w:rsidR="00D664F0">
        <w:rPr>
          <w:rFonts w:asciiTheme="majorBidi" w:hAnsiTheme="majorBidi" w:cstheme="majorBidi"/>
          <w:sz w:val="24"/>
          <w:szCs w:val="24"/>
        </w:rPr>
        <w:t xml:space="preserve">financial </w:t>
      </w:r>
      <w:r w:rsidR="00A649B1">
        <w:rPr>
          <w:rFonts w:asciiTheme="majorBidi" w:hAnsiTheme="majorBidi" w:cstheme="majorBidi"/>
          <w:sz w:val="24"/>
          <w:szCs w:val="24"/>
        </w:rPr>
        <w:t xml:space="preserve">performance and </w:t>
      </w:r>
      <w:r w:rsidR="00247083">
        <w:rPr>
          <w:rFonts w:asciiTheme="majorBidi" w:hAnsiTheme="majorBidi" w:cstheme="majorBidi"/>
          <w:sz w:val="24"/>
          <w:szCs w:val="24"/>
        </w:rPr>
        <w:t>the</w:t>
      </w:r>
      <w:r w:rsidR="00AC51B1">
        <w:rPr>
          <w:rFonts w:asciiTheme="majorBidi" w:hAnsiTheme="majorBidi" w:cstheme="majorBidi"/>
          <w:sz w:val="24"/>
          <w:szCs w:val="24"/>
        </w:rPr>
        <w:t xml:space="preserve"> frequency of</w:t>
      </w:r>
      <w:r w:rsidR="00247083">
        <w:rPr>
          <w:rFonts w:asciiTheme="majorBidi" w:hAnsiTheme="majorBidi" w:cstheme="majorBidi"/>
          <w:sz w:val="24"/>
          <w:szCs w:val="24"/>
        </w:rPr>
        <w:t xml:space="preserve"> </w:t>
      </w:r>
      <w:r w:rsidR="00162549" w:rsidRPr="00511F36">
        <w:rPr>
          <w:rFonts w:asciiTheme="majorBidi" w:hAnsiTheme="majorBidi" w:cstheme="majorBidi"/>
          <w:sz w:val="24"/>
          <w:szCs w:val="24"/>
        </w:rPr>
        <w:t>board meeting</w:t>
      </w:r>
      <w:r w:rsidR="00247083">
        <w:rPr>
          <w:rFonts w:asciiTheme="majorBidi" w:hAnsiTheme="majorBidi" w:cstheme="majorBidi"/>
          <w:sz w:val="24"/>
          <w:szCs w:val="24"/>
        </w:rPr>
        <w:t>s</w:t>
      </w:r>
      <w:r w:rsidR="00162549" w:rsidRPr="00511F36">
        <w:rPr>
          <w:rFonts w:asciiTheme="majorBidi" w:hAnsiTheme="majorBidi" w:cstheme="majorBidi"/>
          <w:sz w:val="24"/>
          <w:szCs w:val="24"/>
        </w:rPr>
        <w:t xml:space="preserve"> (Vafeas</w:t>
      </w:r>
      <w:r w:rsidR="00B76C92">
        <w:rPr>
          <w:rFonts w:asciiTheme="majorBidi" w:hAnsiTheme="majorBidi" w:cstheme="majorBidi"/>
          <w:sz w:val="24"/>
          <w:szCs w:val="24"/>
        </w:rPr>
        <w:t>,</w:t>
      </w:r>
      <w:r w:rsidR="00162549" w:rsidRPr="00511F36">
        <w:rPr>
          <w:rFonts w:asciiTheme="majorBidi" w:hAnsiTheme="majorBidi" w:cstheme="majorBidi"/>
          <w:sz w:val="24"/>
          <w:szCs w:val="24"/>
        </w:rPr>
        <w:t xml:space="preserve"> 1999)</w:t>
      </w:r>
      <w:r w:rsidR="00DF0425" w:rsidRPr="00511F36">
        <w:rPr>
          <w:rFonts w:asciiTheme="majorBidi" w:hAnsiTheme="majorBidi" w:cstheme="majorBidi"/>
          <w:sz w:val="24"/>
          <w:szCs w:val="24"/>
        </w:rPr>
        <w:t xml:space="preserve">, but positive </w:t>
      </w:r>
      <w:r w:rsidR="00A649B1">
        <w:rPr>
          <w:rFonts w:asciiTheme="majorBidi" w:hAnsiTheme="majorBidi" w:cstheme="majorBidi"/>
          <w:sz w:val="24"/>
          <w:szCs w:val="24"/>
        </w:rPr>
        <w:t>link</w:t>
      </w:r>
      <w:r w:rsidR="00A649B1" w:rsidRPr="00511F36">
        <w:rPr>
          <w:rFonts w:asciiTheme="majorBidi" w:hAnsiTheme="majorBidi" w:cstheme="majorBidi"/>
          <w:sz w:val="24"/>
          <w:szCs w:val="24"/>
        </w:rPr>
        <w:t xml:space="preserve"> </w:t>
      </w:r>
      <w:r w:rsidR="00DF0425" w:rsidRPr="00511F36">
        <w:rPr>
          <w:rFonts w:asciiTheme="majorBidi" w:hAnsiTheme="majorBidi" w:cstheme="majorBidi"/>
          <w:sz w:val="24"/>
          <w:szCs w:val="24"/>
        </w:rPr>
        <w:t xml:space="preserve">between board meetings and earnings forecast accuracy (Karamanou </w:t>
      </w:r>
      <w:r w:rsidR="00E64AB1">
        <w:rPr>
          <w:rFonts w:asciiTheme="majorBidi" w:hAnsiTheme="majorBidi" w:cstheme="majorBidi"/>
          <w:sz w:val="24"/>
          <w:szCs w:val="24"/>
        </w:rPr>
        <w:t>&amp;</w:t>
      </w:r>
      <w:r w:rsidR="00DF0425" w:rsidRPr="00511F36">
        <w:rPr>
          <w:rFonts w:asciiTheme="majorBidi" w:hAnsiTheme="majorBidi" w:cstheme="majorBidi"/>
          <w:sz w:val="24"/>
          <w:szCs w:val="24"/>
        </w:rPr>
        <w:t xml:space="preserve"> V</w:t>
      </w:r>
      <w:r w:rsidR="00971236">
        <w:rPr>
          <w:rFonts w:asciiTheme="majorBidi" w:hAnsiTheme="majorBidi" w:cstheme="majorBidi"/>
          <w:sz w:val="24"/>
          <w:szCs w:val="24"/>
        </w:rPr>
        <w:t>a</w:t>
      </w:r>
      <w:r w:rsidR="00DF0425" w:rsidRPr="00511F36">
        <w:rPr>
          <w:rFonts w:asciiTheme="majorBidi" w:hAnsiTheme="majorBidi" w:cstheme="majorBidi"/>
          <w:sz w:val="24"/>
          <w:szCs w:val="24"/>
        </w:rPr>
        <w:t>feas</w:t>
      </w:r>
      <w:r w:rsidR="00E64AB1">
        <w:rPr>
          <w:rFonts w:asciiTheme="majorBidi" w:hAnsiTheme="majorBidi" w:cstheme="majorBidi"/>
          <w:sz w:val="24"/>
          <w:szCs w:val="24"/>
        </w:rPr>
        <w:t>,</w:t>
      </w:r>
      <w:r w:rsidR="00DF0425" w:rsidRPr="00511F36">
        <w:rPr>
          <w:rFonts w:asciiTheme="majorBidi" w:hAnsiTheme="majorBidi" w:cstheme="majorBidi"/>
          <w:sz w:val="24"/>
          <w:szCs w:val="24"/>
        </w:rPr>
        <w:t xml:space="preserve"> 2005), </w:t>
      </w:r>
      <w:r w:rsidR="00B94AF4" w:rsidRPr="00511F36">
        <w:rPr>
          <w:rFonts w:asciiTheme="majorBidi" w:hAnsiTheme="majorBidi" w:cstheme="majorBidi"/>
          <w:sz w:val="24"/>
          <w:szCs w:val="24"/>
        </w:rPr>
        <w:t xml:space="preserve">and </w:t>
      </w:r>
      <w:r w:rsidR="00162549" w:rsidRPr="00511F36">
        <w:rPr>
          <w:rFonts w:asciiTheme="majorBidi" w:hAnsiTheme="majorBidi" w:cstheme="majorBidi"/>
          <w:sz w:val="24"/>
          <w:szCs w:val="24"/>
        </w:rPr>
        <w:t>voluntary disclosure practices (Jizi et al.</w:t>
      </w:r>
      <w:r w:rsidR="00E64AB1">
        <w:rPr>
          <w:rFonts w:asciiTheme="majorBidi" w:hAnsiTheme="majorBidi" w:cstheme="majorBidi"/>
          <w:sz w:val="24"/>
          <w:szCs w:val="24"/>
        </w:rPr>
        <w:t>,</w:t>
      </w:r>
      <w:r w:rsidR="00162549" w:rsidRPr="00511F36">
        <w:rPr>
          <w:rFonts w:asciiTheme="majorBidi" w:hAnsiTheme="majorBidi" w:cstheme="majorBidi"/>
          <w:sz w:val="24"/>
          <w:szCs w:val="24"/>
        </w:rPr>
        <w:t xml:space="preserve"> 2014</w:t>
      </w:r>
      <w:r w:rsidR="00DF0425" w:rsidRPr="00511F36">
        <w:rPr>
          <w:rFonts w:asciiTheme="majorBidi" w:eastAsia="Times New Roman" w:hAnsiTheme="majorBidi" w:cstheme="majorBidi"/>
          <w:sz w:val="24"/>
          <w:szCs w:val="24"/>
          <w:lang w:eastAsia="en-GB"/>
        </w:rPr>
        <w:t xml:space="preserve">). </w:t>
      </w:r>
      <w:r w:rsidR="007237BC">
        <w:rPr>
          <w:rFonts w:asciiTheme="majorBidi" w:eastAsia="Times New Roman" w:hAnsiTheme="majorBidi" w:cstheme="majorBidi"/>
          <w:sz w:val="24"/>
          <w:szCs w:val="24"/>
          <w:lang w:eastAsia="en-GB"/>
        </w:rPr>
        <w:t xml:space="preserve">However, there is limited, but increasing evidence relating to the impact of the frequency of </w:t>
      </w:r>
      <w:r w:rsidR="00AC51B1">
        <w:rPr>
          <w:rFonts w:asciiTheme="majorBidi" w:eastAsia="Times New Roman" w:hAnsiTheme="majorBidi" w:cstheme="majorBidi"/>
          <w:sz w:val="24"/>
          <w:szCs w:val="24"/>
          <w:lang w:eastAsia="en-GB"/>
        </w:rPr>
        <w:t xml:space="preserve">board </w:t>
      </w:r>
      <w:r w:rsidR="007237BC">
        <w:rPr>
          <w:rFonts w:asciiTheme="majorBidi" w:eastAsia="Times New Roman" w:hAnsiTheme="majorBidi" w:cstheme="majorBidi"/>
          <w:sz w:val="24"/>
          <w:szCs w:val="24"/>
          <w:lang w:eastAsia="en-GB"/>
        </w:rPr>
        <w:t>meeting</w:t>
      </w:r>
      <w:r w:rsidR="00AC51B1">
        <w:rPr>
          <w:rFonts w:asciiTheme="majorBidi" w:eastAsia="Times New Roman" w:hAnsiTheme="majorBidi" w:cstheme="majorBidi"/>
          <w:sz w:val="24"/>
          <w:szCs w:val="24"/>
          <w:lang w:eastAsia="en-GB"/>
        </w:rPr>
        <w:t>s</w:t>
      </w:r>
      <w:r w:rsidR="007237BC">
        <w:rPr>
          <w:rFonts w:asciiTheme="majorBidi" w:eastAsia="Times New Roman" w:hAnsiTheme="majorBidi" w:cstheme="majorBidi"/>
          <w:sz w:val="24"/>
          <w:szCs w:val="24"/>
          <w:lang w:eastAsia="en-GB"/>
        </w:rPr>
        <w:t xml:space="preserve"> on different outcomes </w:t>
      </w:r>
      <w:r w:rsidR="00352C02">
        <w:rPr>
          <w:rFonts w:asciiTheme="majorBidi" w:eastAsia="Times New Roman" w:hAnsiTheme="majorBidi" w:cstheme="majorBidi"/>
          <w:sz w:val="24"/>
          <w:szCs w:val="24"/>
          <w:lang w:eastAsia="en-GB"/>
        </w:rPr>
        <w:t>of</w:t>
      </w:r>
      <w:r w:rsidR="007237BC">
        <w:rPr>
          <w:rFonts w:asciiTheme="majorBidi" w:eastAsia="Times New Roman" w:hAnsiTheme="majorBidi" w:cstheme="majorBidi"/>
          <w:sz w:val="24"/>
          <w:szCs w:val="24"/>
          <w:lang w:eastAsia="en-GB"/>
        </w:rPr>
        <w:t xml:space="preserve"> non-profitable organisations (</w:t>
      </w:r>
      <w:r w:rsidR="00835C40">
        <w:rPr>
          <w:rFonts w:asciiTheme="majorBidi" w:eastAsia="Times New Roman" w:hAnsiTheme="majorBidi" w:cstheme="majorBidi"/>
          <w:sz w:val="24"/>
          <w:szCs w:val="24"/>
          <w:lang w:eastAsia="en-GB"/>
        </w:rPr>
        <w:t>Elmagrhi</w:t>
      </w:r>
      <w:r w:rsidR="00345643">
        <w:rPr>
          <w:rFonts w:asciiTheme="majorBidi" w:eastAsia="Times New Roman" w:hAnsiTheme="majorBidi" w:cstheme="majorBidi"/>
          <w:sz w:val="24"/>
          <w:szCs w:val="24"/>
          <w:lang w:eastAsia="en-GB"/>
        </w:rPr>
        <w:t xml:space="preserve"> et al., 2018; </w:t>
      </w:r>
      <w:r w:rsidR="00D62B78">
        <w:rPr>
          <w:rFonts w:asciiTheme="majorBidi" w:eastAsia="Times New Roman" w:hAnsiTheme="majorBidi" w:cstheme="majorBidi"/>
          <w:sz w:val="24"/>
          <w:szCs w:val="24"/>
          <w:lang w:eastAsia="en-GB"/>
        </w:rPr>
        <w:t xml:space="preserve">Van </w:t>
      </w:r>
      <w:r w:rsidR="007237BC" w:rsidRPr="007237BC">
        <w:rPr>
          <w:rFonts w:asciiTheme="majorBidi" w:eastAsia="Times New Roman" w:hAnsiTheme="majorBidi" w:cstheme="majorBidi"/>
          <w:sz w:val="24"/>
          <w:szCs w:val="24"/>
          <w:lang w:eastAsia="en-GB"/>
        </w:rPr>
        <w:t>Puyvelde et al., 2018</w:t>
      </w:r>
      <w:r w:rsidR="007237BC">
        <w:rPr>
          <w:rFonts w:asciiTheme="majorBidi" w:eastAsia="Times New Roman" w:hAnsiTheme="majorBidi" w:cstheme="majorBidi"/>
          <w:sz w:val="24"/>
          <w:szCs w:val="24"/>
          <w:lang w:eastAsia="en-GB"/>
        </w:rPr>
        <w:t xml:space="preserve">; </w:t>
      </w:r>
      <w:r w:rsidR="001A5911">
        <w:rPr>
          <w:rFonts w:asciiTheme="majorBidi" w:eastAsia="Times New Roman" w:hAnsiTheme="majorBidi" w:cstheme="majorBidi"/>
          <w:sz w:val="24"/>
          <w:szCs w:val="24"/>
          <w:lang w:val="pt-PT" w:eastAsia="en-GB"/>
        </w:rPr>
        <w:t xml:space="preserve">Xue </w:t>
      </w:r>
      <w:r w:rsidR="001A5911" w:rsidRPr="001A5911">
        <w:rPr>
          <w:rFonts w:asciiTheme="majorBidi" w:eastAsia="Times New Roman" w:hAnsiTheme="majorBidi" w:cstheme="majorBidi"/>
          <w:sz w:val="24"/>
          <w:szCs w:val="24"/>
          <w:lang w:val="pt-PT" w:eastAsia="en-GB"/>
        </w:rPr>
        <w:t>&amp; Niu</w:t>
      </w:r>
      <w:r w:rsidR="001A5911">
        <w:rPr>
          <w:rFonts w:asciiTheme="majorBidi" w:eastAsia="Times New Roman" w:hAnsiTheme="majorBidi" w:cstheme="majorBidi"/>
          <w:sz w:val="24"/>
          <w:szCs w:val="24"/>
          <w:lang w:val="pt-PT" w:eastAsia="en-GB"/>
        </w:rPr>
        <w:t>, 2019). For example, and using a sample of 443 US non-profitable organisation</w:t>
      </w:r>
      <w:r w:rsidR="00E16F0B">
        <w:rPr>
          <w:rFonts w:asciiTheme="majorBidi" w:eastAsia="Times New Roman" w:hAnsiTheme="majorBidi" w:cstheme="majorBidi"/>
          <w:sz w:val="24"/>
          <w:szCs w:val="24"/>
          <w:lang w:val="pt-PT" w:eastAsia="en-GB"/>
        </w:rPr>
        <w:t>s</w:t>
      </w:r>
      <w:r w:rsidR="001A5911">
        <w:rPr>
          <w:rFonts w:asciiTheme="majorBidi" w:eastAsia="Times New Roman" w:hAnsiTheme="majorBidi" w:cstheme="majorBidi"/>
          <w:sz w:val="24"/>
          <w:szCs w:val="24"/>
          <w:lang w:val="pt-PT" w:eastAsia="en-GB"/>
        </w:rPr>
        <w:t xml:space="preserve">, </w:t>
      </w:r>
      <w:r w:rsidR="00D30237">
        <w:rPr>
          <w:rFonts w:asciiTheme="majorBidi" w:eastAsia="Times New Roman" w:hAnsiTheme="majorBidi" w:cstheme="majorBidi"/>
          <w:sz w:val="24"/>
          <w:szCs w:val="24"/>
          <w:lang w:eastAsia="en-GB"/>
        </w:rPr>
        <w:t xml:space="preserve">Van </w:t>
      </w:r>
      <w:r w:rsidR="001A5911" w:rsidRPr="007237BC">
        <w:rPr>
          <w:rFonts w:asciiTheme="majorBidi" w:eastAsia="Times New Roman" w:hAnsiTheme="majorBidi" w:cstheme="majorBidi"/>
          <w:sz w:val="24"/>
          <w:szCs w:val="24"/>
          <w:lang w:eastAsia="en-GB"/>
        </w:rPr>
        <w:t xml:space="preserve">Puyvelde et </w:t>
      </w:r>
      <w:r w:rsidR="001A5911">
        <w:rPr>
          <w:rFonts w:asciiTheme="majorBidi" w:eastAsia="Times New Roman" w:hAnsiTheme="majorBidi" w:cstheme="majorBidi"/>
          <w:sz w:val="24"/>
          <w:szCs w:val="24"/>
          <w:lang w:eastAsia="en-GB"/>
        </w:rPr>
        <w:t>al. (2018) find a positive link between the frequency of</w:t>
      </w:r>
      <w:r w:rsidR="00E16F0B">
        <w:rPr>
          <w:rFonts w:asciiTheme="majorBidi" w:eastAsia="Times New Roman" w:hAnsiTheme="majorBidi" w:cstheme="majorBidi"/>
          <w:sz w:val="24"/>
          <w:szCs w:val="24"/>
          <w:lang w:eastAsia="en-GB"/>
        </w:rPr>
        <w:t xml:space="preserve"> board</w:t>
      </w:r>
      <w:r w:rsidR="001A5911">
        <w:rPr>
          <w:rFonts w:asciiTheme="majorBidi" w:eastAsia="Times New Roman" w:hAnsiTheme="majorBidi" w:cstheme="majorBidi"/>
          <w:sz w:val="24"/>
          <w:szCs w:val="24"/>
          <w:lang w:eastAsia="en-GB"/>
        </w:rPr>
        <w:t xml:space="preserve"> meeting</w:t>
      </w:r>
      <w:r w:rsidR="00E16F0B">
        <w:rPr>
          <w:rFonts w:asciiTheme="majorBidi" w:eastAsia="Times New Roman" w:hAnsiTheme="majorBidi" w:cstheme="majorBidi"/>
          <w:sz w:val="24"/>
          <w:szCs w:val="24"/>
          <w:lang w:eastAsia="en-GB"/>
        </w:rPr>
        <w:t>s</w:t>
      </w:r>
      <w:r w:rsidR="001A5911">
        <w:rPr>
          <w:rFonts w:asciiTheme="majorBidi" w:eastAsia="Times New Roman" w:hAnsiTheme="majorBidi" w:cstheme="majorBidi"/>
          <w:sz w:val="24"/>
          <w:szCs w:val="24"/>
          <w:lang w:eastAsia="en-GB"/>
        </w:rPr>
        <w:t xml:space="preserve"> and board efficiency and effectiveness. However, </w:t>
      </w:r>
      <w:r w:rsidR="001A5911">
        <w:rPr>
          <w:rFonts w:asciiTheme="majorBidi" w:eastAsia="Times New Roman" w:hAnsiTheme="majorBidi" w:cstheme="majorBidi"/>
          <w:sz w:val="24"/>
          <w:szCs w:val="24"/>
          <w:lang w:val="pt-PT" w:eastAsia="en-GB"/>
        </w:rPr>
        <w:t>Xue and</w:t>
      </w:r>
      <w:r w:rsidR="001A5911" w:rsidRPr="001A5911">
        <w:rPr>
          <w:rFonts w:asciiTheme="majorBidi" w:eastAsia="Times New Roman" w:hAnsiTheme="majorBidi" w:cstheme="majorBidi"/>
          <w:sz w:val="24"/>
          <w:szCs w:val="24"/>
          <w:lang w:val="pt-PT" w:eastAsia="en-GB"/>
        </w:rPr>
        <w:t xml:space="preserve"> Niu</w:t>
      </w:r>
      <w:r w:rsidR="001A5911">
        <w:rPr>
          <w:rFonts w:asciiTheme="majorBidi" w:eastAsia="Times New Roman" w:hAnsiTheme="majorBidi" w:cstheme="majorBidi"/>
          <w:sz w:val="24"/>
          <w:szCs w:val="24"/>
          <w:lang w:val="pt-PT" w:eastAsia="en-GB"/>
        </w:rPr>
        <w:t xml:space="preserve"> (2019) find that </w:t>
      </w:r>
      <w:r w:rsidR="00A578A4">
        <w:rPr>
          <w:rFonts w:asciiTheme="majorBidi" w:eastAsia="Times New Roman" w:hAnsiTheme="majorBidi" w:cstheme="majorBidi"/>
          <w:sz w:val="24"/>
          <w:szCs w:val="24"/>
          <w:lang w:val="pt-PT" w:eastAsia="en-GB"/>
        </w:rPr>
        <w:t xml:space="preserve">the frequency of </w:t>
      </w:r>
      <w:r w:rsidR="001A5911">
        <w:rPr>
          <w:rFonts w:asciiTheme="majorBidi" w:eastAsia="Times New Roman" w:hAnsiTheme="majorBidi" w:cstheme="majorBidi"/>
          <w:sz w:val="24"/>
          <w:szCs w:val="24"/>
          <w:lang w:val="pt-PT" w:eastAsia="en-GB"/>
        </w:rPr>
        <w:t>board meeting</w:t>
      </w:r>
      <w:r w:rsidR="00A578A4">
        <w:rPr>
          <w:rFonts w:asciiTheme="majorBidi" w:eastAsia="Times New Roman" w:hAnsiTheme="majorBidi" w:cstheme="majorBidi"/>
          <w:sz w:val="24"/>
          <w:szCs w:val="24"/>
          <w:lang w:val="pt-PT" w:eastAsia="en-GB"/>
        </w:rPr>
        <w:t>s</w:t>
      </w:r>
      <w:r w:rsidR="001A5911">
        <w:rPr>
          <w:rFonts w:asciiTheme="majorBidi" w:eastAsia="Times New Roman" w:hAnsiTheme="majorBidi" w:cstheme="majorBidi"/>
          <w:sz w:val="24"/>
          <w:szCs w:val="24"/>
          <w:lang w:val="pt-PT" w:eastAsia="en-GB"/>
        </w:rPr>
        <w:t xml:space="preserve"> is negatively linked </w:t>
      </w:r>
      <w:r w:rsidR="00A578A4">
        <w:rPr>
          <w:rFonts w:asciiTheme="majorBidi" w:eastAsia="Times New Roman" w:hAnsiTheme="majorBidi" w:cstheme="majorBidi"/>
          <w:sz w:val="24"/>
          <w:szCs w:val="24"/>
          <w:lang w:val="pt-PT" w:eastAsia="en-GB"/>
        </w:rPr>
        <w:t>to corporate</w:t>
      </w:r>
      <w:r w:rsidR="001A5911">
        <w:rPr>
          <w:rFonts w:asciiTheme="majorBidi" w:eastAsia="Times New Roman" w:hAnsiTheme="majorBidi" w:cstheme="majorBidi"/>
          <w:sz w:val="24"/>
          <w:szCs w:val="24"/>
          <w:lang w:val="pt-PT" w:eastAsia="en-GB"/>
        </w:rPr>
        <w:t xml:space="preserve"> transperency using a sample of 200 Chinese charities over </w:t>
      </w:r>
      <w:r w:rsidR="006548A0">
        <w:rPr>
          <w:rFonts w:asciiTheme="majorBidi" w:eastAsia="Times New Roman" w:hAnsiTheme="majorBidi" w:cstheme="majorBidi"/>
          <w:sz w:val="24"/>
          <w:szCs w:val="24"/>
          <w:lang w:val="pt-PT" w:eastAsia="en-GB"/>
        </w:rPr>
        <w:t xml:space="preserve">2010-2014 period. </w:t>
      </w:r>
    </w:p>
    <w:p w14:paraId="6F9992F7" w14:textId="185125A3" w:rsidR="00A14192" w:rsidRPr="00511F36" w:rsidRDefault="005042C2" w:rsidP="00C63EF2">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 xml:space="preserve">With respect to studies </w:t>
      </w:r>
      <w:r w:rsidR="00247083">
        <w:rPr>
          <w:rFonts w:asciiTheme="majorBidi" w:hAnsiTheme="majorBidi" w:cstheme="majorBidi"/>
          <w:sz w:val="24"/>
          <w:szCs w:val="24"/>
        </w:rPr>
        <w:t xml:space="preserve">that have </w:t>
      </w:r>
      <w:r w:rsidRPr="00511F36">
        <w:rPr>
          <w:rFonts w:asciiTheme="majorBidi" w:hAnsiTheme="majorBidi" w:cstheme="majorBidi"/>
          <w:sz w:val="24"/>
          <w:szCs w:val="24"/>
        </w:rPr>
        <w:t xml:space="preserve">focused on </w:t>
      </w:r>
      <w:r w:rsidR="00247083">
        <w:rPr>
          <w:rFonts w:asciiTheme="majorBidi" w:hAnsiTheme="majorBidi" w:cstheme="majorBidi"/>
          <w:sz w:val="24"/>
          <w:szCs w:val="24"/>
        </w:rPr>
        <w:t xml:space="preserve">the </w:t>
      </w:r>
      <w:r w:rsidRPr="00511F36">
        <w:rPr>
          <w:rFonts w:asciiTheme="majorBidi" w:hAnsiTheme="majorBidi" w:cstheme="majorBidi"/>
          <w:sz w:val="24"/>
          <w:szCs w:val="24"/>
        </w:rPr>
        <w:t xml:space="preserve">HE sector, there is </w:t>
      </w:r>
      <w:r w:rsidR="00A649B1">
        <w:rPr>
          <w:rFonts w:asciiTheme="majorBidi" w:hAnsiTheme="majorBidi" w:cstheme="majorBidi"/>
          <w:sz w:val="24"/>
          <w:szCs w:val="24"/>
        </w:rPr>
        <w:t xml:space="preserve">limited </w:t>
      </w:r>
      <w:r w:rsidR="00455202">
        <w:rPr>
          <w:rFonts w:asciiTheme="majorBidi" w:hAnsiTheme="majorBidi" w:cstheme="majorBidi"/>
          <w:sz w:val="24"/>
          <w:szCs w:val="24"/>
        </w:rPr>
        <w:t>evidence on</w:t>
      </w:r>
      <w:r w:rsidR="00455202" w:rsidRPr="00511F36">
        <w:rPr>
          <w:rFonts w:asciiTheme="majorBidi" w:hAnsiTheme="majorBidi" w:cstheme="majorBidi"/>
          <w:sz w:val="24"/>
          <w:szCs w:val="24"/>
        </w:rPr>
        <w:t xml:space="preserve"> </w:t>
      </w:r>
      <w:r w:rsidR="00A649B1">
        <w:rPr>
          <w:rFonts w:asciiTheme="majorBidi" w:hAnsiTheme="majorBidi" w:cstheme="majorBidi"/>
          <w:sz w:val="24"/>
          <w:szCs w:val="24"/>
        </w:rPr>
        <w:t>whether governing board meeting</w:t>
      </w:r>
      <w:r w:rsidR="00F44C4C">
        <w:rPr>
          <w:rFonts w:asciiTheme="majorBidi" w:hAnsiTheme="majorBidi" w:cstheme="majorBidi"/>
          <w:sz w:val="24"/>
          <w:szCs w:val="24"/>
        </w:rPr>
        <w:t>s</w:t>
      </w:r>
      <w:r w:rsidR="00A649B1">
        <w:rPr>
          <w:rFonts w:asciiTheme="majorBidi" w:hAnsiTheme="majorBidi" w:cstheme="majorBidi"/>
          <w:sz w:val="24"/>
          <w:szCs w:val="24"/>
        </w:rPr>
        <w:t xml:space="preserve"> can impact on voluntary disclosure behaviours in general, </w:t>
      </w:r>
      <w:r w:rsidRPr="00511F36">
        <w:rPr>
          <w:rFonts w:asciiTheme="majorBidi" w:hAnsiTheme="majorBidi" w:cstheme="majorBidi"/>
          <w:sz w:val="24"/>
          <w:szCs w:val="24"/>
        </w:rPr>
        <w:lastRenderedPageBreak/>
        <w:t>and governance disclosures in particular. This</w:t>
      </w:r>
      <w:r w:rsidR="00A649B1">
        <w:rPr>
          <w:rFonts w:asciiTheme="majorBidi" w:hAnsiTheme="majorBidi" w:cstheme="majorBidi"/>
          <w:sz w:val="24"/>
          <w:szCs w:val="24"/>
        </w:rPr>
        <w:t xml:space="preserve"> lack of empirical evidence </w:t>
      </w:r>
      <w:r w:rsidR="006B6D3A">
        <w:rPr>
          <w:rFonts w:asciiTheme="majorBidi" w:hAnsiTheme="majorBidi" w:cstheme="majorBidi"/>
          <w:sz w:val="24"/>
          <w:szCs w:val="24"/>
        </w:rPr>
        <w:t>provides an opportunity</w:t>
      </w:r>
      <w:r w:rsidR="00A649B1">
        <w:rPr>
          <w:rFonts w:asciiTheme="majorBidi" w:hAnsiTheme="majorBidi" w:cstheme="majorBidi"/>
          <w:sz w:val="24"/>
          <w:szCs w:val="24"/>
        </w:rPr>
        <w:t xml:space="preserve"> to make original contribution to the existing research</w:t>
      </w:r>
      <w:r w:rsidRPr="00511F36">
        <w:rPr>
          <w:rFonts w:asciiTheme="majorBidi" w:hAnsiTheme="majorBidi" w:cstheme="majorBidi"/>
          <w:sz w:val="24"/>
          <w:szCs w:val="24"/>
        </w:rPr>
        <w:t>.</w:t>
      </w:r>
      <w:r w:rsidR="002D6CF6">
        <w:rPr>
          <w:rFonts w:asciiTheme="majorBidi" w:hAnsiTheme="majorBidi" w:cstheme="majorBidi"/>
          <w:sz w:val="24"/>
          <w:szCs w:val="24"/>
        </w:rPr>
        <w:t xml:space="preserve"> T</w:t>
      </w:r>
      <w:r w:rsidRPr="00511F36">
        <w:rPr>
          <w:rFonts w:asciiTheme="majorBidi" w:hAnsiTheme="majorBidi" w:cstheme="majorBidi"/>
          <w:sz w:val="24"/>
          <w:szCs w:val="24"/>
        </w:rPr>
        <w:t>he CUC (2014</w:t>
      </w:r>
      <w:r w:rsidR="00DC1710">
        <w:rPr>
          <w:rFonts w:asciiTheme="majorBidi" w:hAnsiTheme="majorBidi" w:cstheme="majorBidi"/>
          <w:sz w:val="24"/>
          <w:szCs w:val="24"/>
        </w:rPr>
        <w:t>, 2018</w:t>
      </w:r>
      <w:r w:rsidRPr="00511F36">
        <w:rPr>
          <w:rFonts w:asciiTheme="majorBidi" w:hAnsiTheme="majorBidi" w:cstheme="majorBidi"/>
          <w:sz w:val="24"/>
          <w:szCs w:val="24"/>
        </w:rPr>
        <w:t xml:space="preserve">) </w:t>
      </w:r>
      <w:r w:rsidR="000F7322" w:rsidRPr="00511F36">
        <w:rPr>
          <w:rFonts w:asciiTheme="majorBidi" w:hAnsiTheme="majorBidi" w:cstheme="majorBidi"/>
          <w:sz w:val="24"/>
          <w:szCs w:val="24"/>
        </w:rPr>
        <w:t xml:space="preserve">considers the frequency </w:t>
      </w:r>
      <w:r w:rsidR="00247083">
        <w:rPr>
          <w:rFonts w:asciiTheme="majorBidi" w:hAnsiTheme="majorBidi" w:cstheme="majorBidi"/>
          <w:sz w:val="24"/>
          <w:szCs w:val="24"/>
        </w:rPr>
        <w:t xml:space="preserve">of </w:t>
      </w:r>
      <w:r w:rsidR="000F7322" w:rsidRPr="00511F36">
        <w:rPr>
          <w:rFonts w:asciiTheme="majorBidi" w:hAnsiTheme="majorBidi" w:cstheme="majorBidi"/>
          <w:sz w:val="24"/>
          <w:szCs w:val="24"/>
        </w:rPr>
        <w:t>meeting</w:t>
      </w:r>
      <w:r w:rsidR="00247083">
        <w:rPr>
          <w:rFonts w:asciiTheme="majorBidi" w:hAnsiTheme="majorBidi" w:cstheme="majorBidi"/>
          <w:sz w:val="24"/>
          <w:szCs w:val="24"/>
        </w:rPr>
        <w:t>s</w:t>
      </w:r>
      <w:r w:rsidR="000F7322" w:rsidRPr="00511F36">
        <w:rPr>
          <w:rFonts w:asciiTheme="majorBidi" w:hAnsiTheme="majorBidi" w:cstheme="majorBidi"/>
          <w:sz w:val="24"/>
          <w:szCs w:val="24"/>
        </w:rPr>
        <w:t xml:space="preserve"> as a positive development </w:t>
      </w:r>
      <w:r w:rsidR="00A14192" w:rsidRPr="00511F36">
        <w:rPr>
          <w:rFonts w:asciiTheme="majorBidi" w:hAnsiTheme="majorBidi" w:cstheme="majorBidi"/>
          <w:sz w:val="24"/>
          <w:szCs w:val="24"/>
        </w:rPr>
        <w:t>that enhances board effectiveness</w:t>
      </w:r>
      <w:r w:rsidR="00247083">
        <w:rPr>
          <w:rFonts w:asciiTheme="majorBidi" w:hAnsiTheme="majorBidi" w:cstheme="majorBidi"/>
          <w:sz w:val="24"/>
          <w:szCs w:val="24"/>
        </w:rPr>
        <w:t>, and thus,</w:t>
      </w:r>
      <w:r w:rsidR="000F7322" w:rsidRPr="00511F36">
        <w:rPr>
          <w:rFonts w:asciiTheme="majorBidi" w:hAnsiTheme="majorBidi" w:cstheme="majorBidi"/>
          <w:sz w:val="24"/>
          <w:szCs w:val="24"/>
        </w:rPr>
        <w:t xml:space="preserve"> requiring boards of UK HEIs to </w:t>
      </w:r>
      <w:r w:rsidR="006B6D3A">
        <w:rPr>
          <w:rFonts w:asciiTheme="majorBidi" w:hAnsiTheme="majorBidi" w:cstheme="majorBidi"/>
          <w:sz w:val="24"/>
          <w:szCs w:val="24"/>
        </w:rPr>
        <w:t xml:space="preserve">have a minimum of </w:t>
      </w:r>
      <w:r w:rsidR="006B6D3A" w:rsidRPr="00511F36">
        <w:rPr>
          <w:rFonts w:asciiTheme="majorBidi" w:hAnsiTheme="majorBidi" w:cstheme="majorBidi"/>
          <w:sz w:val="24"/>
          <w:szCs w:val="24"/>
        </w:rPr>
        <w:t>four</w:t>
      </w:r>
      <w:r w:rsidR="000F7322" w:rsidRPr="00511F36">
        <w:rPr>
          <w:rFonts w:asciiTheme="majorBidi" w:hAnsiTheme="majorBidi" w:cstheme="majorBidi"/>
          <w:sz w:val="24"/>
          <w:szCs w:val="24"/>
        </w:rPr>
        <w:t xml:space="preserve"> </w:t>
      </w:r>
      <w:r w:rsidR="006B6D3A">
        <w:rPr>
          <w:rFonts w:asciiTheme="majorBidi" w:hAnsiTheme="majorBidi" w:cstheme="majorBidi"/>
          <w:sz w:val="24"/>
          <w:szCs w:val="24"/>
        </w:rPr>
        <w:t>meetings</w:t>
      </w:r>
      <w:r w:rsidR="006B6D3A" w:rsidRPr="00511F36">
        <w:rPr>
          <w:rFonts w:asciiTheme="majorBidi" w:hAnsiTheme="majorBidi" w:cstheme="majorBidi"/>
          <w:sz w:val="24"/>
          <w:szCs w:val="24"/>
        </w:rPr>
        <w:t xml:space="preserve"> </w:t>
      </w:r>
      <w:r w:rsidR="000F7322" w:rsidRPr="00511F36">
        <w:rPr>
          <w:rFonts w:asciiTheme="majorBidi" w:hAnsiTheme="majorBidi" w:cstheme="majorBidi"/>
          <w:sz w:val="24"/>
          <w:szCs w:val="24"/>
        </w:rPr>
        <w:t>each year</w:t>
      </w:r>
      <w:r w:rsidR="00247083">
        <w:rPr>
          <w:rFonts w:asciiTheme="majorBidi" w:hAnsiTheme="majorBidi" w:cstheme="majorBidi"/>
          <w:sz w:val="24"/>
          <w:szCs w:val="24"/>
        </w:rPr>
        <w:t>.</w:t>
      </w:r>
      <w:r w:rsidR="00A14192" w:rsidRPr="00511F36">
        <w:rPr>
          <w:rFonts w:asciiTheme="majorBidi" w:hAnsiTheme="majorBidi" w:cstheme="majorBidi"/>
          <w:sz w:val="24"/>
          <w:szCs w:val="24"/>
        </w:rPr>
        <w:t xml:space="preserve"> </w:t>
      </w:r>
      <w:r w:rsidR="00247083">
        <w:rPr>
          <w:rFonts w:asciiTheme="majorBidi" w:hAnsiTheme="majorBidi" w:cstheme="majorBidi"/>
          <w:sz w:val="24"/>
          <w:szCs w:val="24"/>
        </w:rPr>
        <w:t xml:space="preserve">This </w:t>
      </w:r>
      <w:r w:rsidR="00A14192" w:rsidRPr="00511F36">
        <w:rPr>
          <w:rFonts w:asciiTheme="majorBidi" w:hAnsiTheme="majorBidi" w:cstheme="majorBidi"/>
          <w:sz w:val="24"/>
          <w:szCs w:val="24"/>
        </w:rPr>
        <w:t>impl</w:t>
      </w:r>
      <w:r w:rsidR="00247083">
        <w:rPr>
          <w:rFonts w:asciiTheme="majorBidi" w:hAnsiTheme="majorBidi" w:cstheme="majorBidi"/>
          <w:sz w:val="24"/>
          <w:szCs w:val="24"/>
        </w:rPr>
        <w:t>ies</w:t>
      </w:r>
      <w:r w:rsidR="00A14192" w:rsidRPr="00511F36">
        <w:rPr>
          <w:rFonts w:asciiTheme="majorBidi" w:hAnsiTheme="majorBidi" w:cstheme="majorBidi"/>
          <w:sz w:val="24"/>
          <w:szCs w:val="24"/>
        </w:rPr>
        <w:t xml:space="preserve"> that </w:t>
      </w:r>
      <w:r w:rsidR="00247083">
        <w:rPr>
          <w:rFonts w:asciiTheme="majorBidi" w:hAnsiTheme="majorBidi" w:cstheme="majorBidi"/>
          <w:sz w:val="24"/>
          <w:szCs w:val="24"/>
        </w:rPr>
        <w:t xml:space="preserve">the CUC believes that </w:t>
      </w:r>
      <w:r w:rsidR="00A14192" w:rsidRPr="00511F36">
        <w:rPr>
          <w:rFonts w:asciiTheme="majorBidi" w:hAnsiTheme="majorBidi" w:cstheme="majorBidi"/>
          <w:sz w:val="24"/>
          <w:szCs w:val="24"/>
        </w:rPr>
        <w:t>board meetings can positively influence</w:t>
      </w:r>
      <w:r w:rsidR="00247083">
        <w:rPr>
          <w:rFonts w:asciiTheme="majorBidi" w:hAnsiTheme="majorBidi" w:cstheme="majorBidi"/>
          <w:sz w:val="24"/>
          <w:szCs w:val="24"/>
        </w:rPr>
        <w:t xml:space="preserve"> HEI performance, including</w:t>
      </w:r>
      <w:r w:rsidR="00A14192" w:rsidRPr="00511F36">
        <w:rPr>
          <w:rFonts w:asciiTheme="majorBidi" w:hAnsiTheme="majorBidi" w:cstheme="majorBidi"/>
          <w:sz w:val="24"/>
          <w:szCs w:val="24"/>
        </w:rPr>
        <w:t xml:space="preserve"> governance disclosure</w:t>
      </w:r>
      <w:r w:rsidR="006B6D3A">
        <w:rPr>
          <w:rFonts w:asciiTheme="majorBidi" w:hAnsiTheme="majorBidi" w:cstheme="majorBidi"/>
          <w:sz w:val="24"/>
          <w:szCs w:val="24"/>
        </w:rPr>
        <w:t xml:space="preserve"> behaviour</w:t>
      </w:r>
      <w:r w:rsidR="00A14192" w:rsidRPr="00511F36">
        <w:rPr>
          <w:rFonts w:asciiTheme="majorBidi" w:hAnsiTheme="majorBidi" w:cstheme="majorBidi"/>
          <w:sz w:val="24"/>
          <w:szCs w:val="24"/>
        </w:rPr>
        <w:t xml:space="preserve">. Thus, we </w:t>
      </w:r>
      <w:r w:rsidR="003E5BF7" w:rsidRPr="00511F36">
        <w:rPr>
          <w:rFonts w:asciiTheme="majorBidi" w:hAnsiTheme="majorBidi" w:cstheme="majorBidi"/>
          <w:sz w:val="24"/>
          <w:szCs w:val="24"/>
        </w:rPr>
        <w:t>hypothesise</w:t>
      </w:r>
      <w:r w:rsidR="00A14192" w:rsidRPr="00511F36">
        <w:rPr>
          <w:rFonts w:asciiTheme="majorBidi" w:hAnsiTheme="majorBidi" w:cstheme="majorBidi"/>
          <w:sz w:val="24"/>
          <w:szCs w:val="24"/>
        </w:rPr>
        <w:t xml:space="preserve"> that:</w:t>
      </w:r>
    </w:p>
    <w:p w14:paraId="652D7CED" w14:textId="0EF2AB74" w:rsidR="009F61A5" w:rsidRDefault="00A14192" w:rsidP="003B2522">
      <w:pPr>
        <w:spacing w:line="480" w:lineRule="auto"/>
        <w:jc w:val="both"/>
        <w:rPr>
          <w:rFonts w:asciiTheme="majorBidi" w:hAnsiTheme="majorBidi" w:cstheme="majorBidi"/>
          <w:i/>
          <w:sz w:val="24"/>
          <w:szCs w:val="24"/>
        </w:rPr>
      </w:pPr>
      <w:r w:rsidRPr="00770CCA">
        <w:rPr>
          <w:rFonts w:asciiTheme="majorBidi" w:hAnsiTheme="majorBidi" w:cstheme="majorBidi"/>
          <w:b/>
          <w:i/>
          <w:iCs/>
          <w:sz w:val="24"/>
          <w:szCs w:val="24"/>
        </w:rPr>
        <w:t>H</w:t>
      </w:r>
      <w:r w:rsidR="009B12A1">
        <w:rPr>
          <w:rFonts w:asciiTheme="majorBidi" w:hAnsiTheme="majorBidi" w:cstheme="majorBidi"/>
          <w:b/>
          <w:i/>
          <w:iCs/>
          <w:sz w:val="24"/>
          <w:szCs w:val="24"/>
        </w:rPr>
        <w:t>5</w:t>
      </w:r>
      <w:r w:rsidRPr="00770CCA">
        <w:rPr>
          <w:rFonts w:asciiTheme="majorBidi" w:hAnsiTheme="majorBidi" w:cstheme="majorBidi"/>
          <w:b/>
          <w:i/>
          <w:iCs/>
          <w:sz w:val="24"/>
          <w:szCs w:val="24"/>
        </w:rPr>
        <w:t>:</w:t>
      </w:r>
      <w:r w:rsidRPr="00511F36">
        <w:rPr>
          <w:rFonts w:asciiTheme="majorBidi" w:hAnsiTheme="majorBidi" w:cstheme="majorBidi"/>
          <w:i/>
          <w:iCs/>
          <w:sz w:val="24"/>
          <w:szCs w:val="24"/>
        </w:rPr>
        <w:t xml:space="preserve"> </w:t>
      </w:r>
      <w:r w:rsidR="001E7DB0" w:rsidRPr="0026139E">
        <w:rPr>
          <w:rFonts w:asciiTheme="majorBidi" w:hAnsiTheme="majorBidi" w:cstheme="majorBidi"/>
          <w:i/>
          <w:sz w:val="24"/>
          <w:szCs w:val="24"/>
        </w:rPr>
        <w:t>Frequency of g</w:t>
      </w:r>
      <w:r w:rsidRPr="0026139E">
        <w:rPr>
          <w:rFonts w:asciiTheme="majorBidi" w:hAnsiTheme="majorBidi" w:cstheme="majorBidi"/>
          <w:i/>
          <w:sz w:val="24"/>
          <w:szCs w:val="24"/>
        </w:rPr>
        <w:t>overning board meeting</w:t>
      </w:r>
      <w:r w:rsidR="00F06829">
        <w:rPr>
          <w:rFonts w:asciiTheme="majorBidi" w:hAnsiTheme="majorBidi" w:cstheme="majorBidi"/>
          <w:i/>
          <w:sz w:val="24"/>
          <w:szCs w:val="24"/>
        </w:rPr>
        <w:t>s</w:t>
      </w:r>
      <w:r w:rsidRPr="0026139E">
        <w:rPr>
          <w:rFonts w:asciiTheme="majorBidi" w:hAnsiTheme="majorBidi" w:cstheme="majorBidi"/>
          <w:i/>
          <w:sz w:val="24"/>
          <w:szCs w:val="24"/>
        </w:rPr>
        <w:t xml:space="preserve"> </w:t>
      </w:r>
      <w:r w:rsidR="006B6D3A" w:rsidRPr="0026139E">
        <w:rPr>
          <w:rFonts w:asciiTheme="majorBidi" w:hAnsiTheme="majorBidi" w:cstheme="majorBidi"/>
          <w:i/>
          <w:sz w:val="24"/>
          <w:szCs w:val="24"/>
        </w:rPr>
        <w:t xml:space="preserve">is positively </w:t>
      </w:r>
      <w:r w:rsidR="00FB4D42" w:rsidRPr="0026139E">
        <w:rPr>
          <w:rFonts w:asciiTheme="majorBidi" w:hAnsiTheme="majorBidi" w:cstheme="majorBidi"/>
          <w:i/>
          <w:sz w:val="24"/>
          <w:szCs w:val="24"/>
        </w:rPr>
        <w:t>associated</w:t>
      </w:r>
      <w:r w:rsidR="006B6D3A" w:rsidRPr="0026139E">
        <w:rPr>
          <w:rFonts w:asciiTheme="majorBidi" w:hAnsiTheme="majorBidi" w:cstheme="majorBidi"/>
          <w:i/>
          <w:sz w:val="24"/>
          <w:szCs w:val="24"/>
        </w:rPr>
        <w:t xml:space="preserve"> with</w:t>
      </w:r>
      <w:r w:rsidRPr="0026139E">
        <w:rPr>
          <w:rFonts w:asciiTheme="majorBidi" w:hAnsiTheme="majorBidi" w:cstheme="majorBidi"/>
          <w:i/>
          <w:sz w:val="24"/>
          <w:szCs w:val="24"/>
        </w:rPr>
        <w:t xml:space="preserve"> governance disclosure</w:t>
      </w:r>
      <w:r w:rsidR="00BB5EA5" w:rsidRPr="0026139E">
        <w:rPr>
          <w:rFonts w:asciiTheme="majorBidi" w:hAnsiTheme="majorBidi" w:cstheme="majorBidi"/>
          <w:i/>
          <w:sz w:val="24"/>
          <w:szCs w:val="24"/>
        </w:rPr>
        <w:t>s</w:t>
      </w:r>
      <w:r w:rsidRPr="0026139E">
        <w:rPr>
          <w:rFonts w:asciiTheme="majorBidi" w:hAnsiTheme="majorBidi" w:cstheme="majorBidi"/>
          <w:i/>
          <w:sz w:val="24"/>
          <w:szCs w:val="24"/>
        </w:rPr>
        <w:t>.</w:t>
      </w:r>
    </w:p>
    <w:p w14:paraId="4274121D" w14:textId="6E2A88AF" w:rsidR="00432507" w:rsidRPr="00321B4A" w:rsidRDefault="002E541E" w:rsidP="00CE6AAB">
      <w:pPr>
        <w:spacing w:line="480" w:lineRule="auto"/>
        <w:jc w:val="both"/>
        <w:rPr>
          <w:rFonts w:asciiTheme="majorBidi" w:eastAsia="DengXian" w:hAnsiTheme="majorBidi" w:cstheme="majorBidi"/>
          <w:b/>
          <w:bCs/>
          <w:sz w:val="24"/>
          <w:szCs w:val="24"/>
          <w:lang w:eastAsia="zh-CN"/>
        </w:rPr>
      </w:pPr>
      <w:r w:rsidRPr="00866CCC">
        <w:rPr>
          <w:rFonts w:asciiTheme="majorBidi" w:hAnsiTheme="majorBidi" w:cstheme="majorBidi"/>
          <w:b/>
          <w:bCs/>
          <w:sz w:val="24"/>
          <w:szCs w:val="24"/>
        </w:rPr>
        <w:t xml:space="preserve">3.  </w:t>
      </w:r>
      <w:r w:rsidR="00CE6AAB">
        <w:rPr>
          <w:rFonts w:asciiTheme="majorBidi" w:hAnsiTheme="majorBidi" w:cstheme="majorBidi"/>
          <w:b/>
          <w:bCs/>
          <w:sz w:val="24"/>
          <w:szCs w:val="24"/>
        </w:rPr>
        <w:t>M</w:t>
      </w:r>
      <w:r w:rsidR="00770CCA" w:rsidRPr="00866CCC">
        <w:rPr>
          <w:rFonts w:asciiTheme="majorBidi" w:hAnsiTheme="majorBidi" w:cstheme="majorBidi"/>
          <w:b/>
          <w:bCs/>
          <w:sz w:val="24"/>
          <w:szCs w:val="24"/>
        </w:rPr>
        <w:t>ethod</w:t>
      </w:r>
      <w:r w:rsidR="00CE6AAB">
        <w:rPr>
          <w:rFonts w:asciiTheme="majorBidi" w:hAnsiTheme="majorBidi" w:cstheme="majorBidi"/>
          <w:b/>
          <w:bCs/>
          <w:sz w:val="24"/>
          <w:szCs w:val="24"/>
        </w:rPr>
        <w:t xml:space="preserve">ology </w:t>
      </w:r>
    </w:p>
    <w:p w14:paraId="4CA5245A" w14:textId="626E5A2E" w:rsidR="006144AF" w:rsidRPr="002A74B0" w:rsidRDefault="002A74B0" w:rsidP="003B2522">
      <w:pPr>
        <w:spacing w:line="276" w:lineRule="auto"/>
        <w:jc w:val="both"/>
        <w:rPr>
          <w:rFonts w:asciiTheme="majorBidi" w:hAnsiTheme="majorBidi" w:cstheme="majorBidi"/>
          <w:b/>
          <w:i/>
          <w:iCs/>
          <w:sz w:val="24"/>
          <w:szCs w:val="24"/>
        </w:rPr>
      </w:pPr>
      <w:r w:rsidRPr="002A74B0">
        <w:rPr>
          <w:rFonts w:asciiTheme="majorBidi" w:hAnsiTheme="majorBidi" w:cstheme="majorBidi"/>
          <w:b/>
          <w:i/>
          <w:iCs/>
          <w:sz w:val="24"/>
          <w:szCs w:val="24"/>
        </w:rPr>
        <w:t xml:space="preserve">3.1 </w:t>
      </w:r>
      <w:r w:rsidR="00CE6AAB">
        <w:rPr>
          <w:rFonts w:asciiTheme="majorBidi" w:hAnsiTheme="majorBidi" w:cstheme="majorBidi"/>
          <w:b/>
          <w:i/>
          <w:iCs/>
          <w:sz w:val="24"/>
          <w:szCs w:val="24"/>
        </w:rPr>
        <w:t xml:space="preserve">Data </w:t>
      </w:r>
      <w:r w:rsidR="00982755">
        <w:rPr>
          <w:rFonts w:asciiTheme="majorBidi" w:hAnsiTheme="majorBidi" w:cstheme="majorBidi"/>
          <w:b/>
          <w:i/>
          <w:iCs/>
          <w:sz w:val="24"/>
          <w:szCs w:val="24"/>
        </w:rPr>
        <w:t xml:space="preserve">and </w:t>
      </w:r>
      <w:r w:rsidR="00CE6AAB">
        <w:rPr>
          <w:rFonts w:asciiTheme="majorBidi" w:hAnsiTheme="majorBidi" w:cstheme="majorBidi"/>
          <w:b/>
          <w:i/>
          <w:iCs/>
          <w:sz w:val="24"/>
          <w:szCs w:val="24"/>
        </w:rPr>
        <w:t>sample</w:t>
      </w:r>
    </w:p>
    <w:p w14:paraId="69195EFC" w14:textId="244C118D" w:rsidR="00410490" w:rsidRDefault="00121D5F" w:rsidP="00C63EF2">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Our sample is drawn from all</w:t>
      </w:r>
      <w:r w:rsidR="00F06829">
        <w:rPr>
          <w:rFonts w:asciiTheme="majorBidi" w:hAnsiTheme="majorBidi" w:cstheme="majorBidi"/>
          <w:sz w:val="24"/>
          <w:szCs w:val="24"/>
        </w:rPr>
        <w:t xml:space="preserve"> (population)</w:t>
      </w:r>
      <w:r w:rsidRPr="00511F36">
        <w:rPr>
          <w:rFonts w:asciiTheme="majorBidi" w:hAnsiTheme="majorBidi" w:cstheme="majorBidi"/>
          <w:sz w:val="24"/>
          <w:szCs w:val="24"/>
        </w:rPr>
        <w:t xml:space="preserve"> 164 UK HEIs (universities, colleges and other HEIs), as at 31 July 2014. </w:t>
      </w:r>
      <w:r w:rsidR="00662EE4">
        <w:rPr>
          <w:rFonts w:asciiTheme="majorBidi" w:hAnsiTheme="majorBidi" w:cstheme="majorBidi"/>
          <w:sz w:val="24"/>
          <w:szCs w:val="24"/>
        </w:rPr>
        <w:t xml:space="preserve">Given that we manually collected data mainly using annual reports, which is a time-consuming process, we narrowed down our sample to </w:t>
      </w:r>
      <w:r w:rsidRPr="00511F36">
        <w:rPr>
          <w:rFonts w:asciiTheme="majorBidi" w:hAnsiTheme="majorBidi" w:cstheme="majorBidi"/>
          <w:sz w:val="24"/>
          <w:szCs w:val="24"/>
        </w:rPr>
        <w:t xml:space="preserve">HEIs </w:t>
      </w:r>
      <w:r w:rsidR="00234D78">
        <w:rPr>
          <w:rFonts w:asciiTheme="majorBidi" w:hAnsiTheme="majorBidi" w:cstheme="majorBidi"/>
          <w:sz w:val="24"/>
          <w:szCs w:val="24"/>
        </w:rPr>
        <w:t xml:space="preserve">whose annual reports are available for the period 2009-2014. This selection criterion resulted in a balanced panel dataset of </w:t>
      </w:r>
      <w:r w:rsidR="00982755">
        <w:rPr>
          <w:rFonts w:asciiTheme="majorBidi" w:hAnsiTheme="majorBidi" w:cstheme="majorBidi"/>
          <w:sz w:val="24"/>
          <w:szCs w:val="24"/>
        </w:rPr>
        <w:t>117</w:t>
      </w:r>
      <w:r w:rsidR="00234D78">
        <w:rPr>
          <w:rFonts w:asciiTheme="majorBidi" w:hAnsiTheme="majorBidi" w:cstheme="majorBidi"/>
          <w:sz w:val="24"/>
          <w:szCs w:val="24"/>
        </w:rPr>
        <w:t xml:space="preserve"> HEI</w:t>
      </w:r>
      <w:r w:rsidR="00982755">
        <w:rPr>
          <w:rFonts w:asciiTheme="majorBidi" w:hAnsiTheme="majorBidi" w:cstheme="majorBidi"/>
          <w:sz w:val="24"/>
          <w:szCs w:val="24"/>
        </w:rPr>
        <w:t xml:space="preserve"> </w:t>
      </w:r>
      <w:r w:rsidR="00234D78">
        <w:rPr>
          <w:rFonts w:asciiTheme="majorBidi" w:hAnsiTheme="majorBidi" w:cstheme="majorBidi"/>
          <w:sz w:val="24"/>
          <w:szCs w:val="24"/>
        </w:rPr>
        <w:t>over the period 2009-2014</w:t>
      </w:r>
      <w:r w:rsidR="00982755">
        <w:rPr>
          <w:rFonts w:asciiTheme="majorBidi" w:hAnsiTheme="majorBidi" w:cstheme="majorBidi"/>
          <w:sz w:val="24"/>
          <w:szCs w:val="24"/>
        </w:rPr>
        <w:t xml:space="preserve"> (i.e., 702 HEI-year observations). </w:t>
      </w:r>
      <w:r w:rsidR="001043BC">
        <w:rPr>
          <w:rFonts w:asciiTheme="majorBidi" w:hAnsiTheme="majorBidi" w:cstheme="majorBidi"/>
          <w:sz w:val="24"/>
          <w:szCs w:val="24"/>
        </w:rPr>
        <w:t>As</w:t>
      </w:r>
      <w:r w:rsidR="00BC64BA">
        <w:rPr>
          <w:rFonts w:asciiTheme="majorBidi" w:hAnsiTheme="majorBidi" w:cstheme="majorBidi"/>
          <w:sz w:val="24"/>
          <w:szCs w:val="24"/>
        </w:rPr>
        <w:t xml:space="preserve"> shown in Table 1, t</w:t>
      </w:r>
      <w:r w:rsidR="00982755">
        <w:rPr>
          <w:rFonts w:asciiTheme="majorBidi" w:hAnsiTheme="majorBidi" w:cstheme="majorBidi"/>
          <w:sz w:val="24"/>
          <w:szCs w:val="24"/>
        </w:rPr>
        <w:t xml:space="preserve">he final sample of 117 institutions made up of </w:t>
      </w:r>
      <w:r w:rsidR="00C921B3">
        <w:rPr>
          <w:rFonts w:asciiTheme="majorBidi" w:hAnsiTheme="majorBidi" w:cstheme="majorBidi"/>
          <w:sz w:val="24"/>
          <w:szCs w:val="24"/>
        </w:rPr>
        <w:t>3 HEIs from Northern Ireland, 8 HEIs from Wales, 16 HEIs from Scotland and 90 HEIs from England (</w:t>
      </w:r>
      <w:r w:rsidR="00C921B3" w:rsidRPr="00511F36">
        <w:rPr>
          <w:rFonts w:asciiTheme="majorBidi" w:hAnsiTheme="majorBidi" w:cstheme="majorBidi"/>
          <w:sz w:val="24"/>
          <w:szCs w:val="24"/>
        </w:rPr>
        <w:t>58 Pre-</w:t>
      </w:r>
      <w:r w:rsidR="00662EE4">
        <w:rPr>
          <w:rFonts w:asciiTheme="majorBidi" w:hAnsiTheme="majorBidi" w:cstheme="majorBidi"/>
          <w:sz w:val="24"/>
          <w:szCs w:val="24"/>
        </w:rPr>
        <w:t>92</w:t>
      </w:r>
      <w:r w:rsidR="00AD408B">
        <w:rPr>
          <w:rFonts w:asciiTheme="majorBidi" w:hAnsiTheme="majorBidi" w:cstheme="majorBidi"/>
          <w:sz w:val="24"/>
          <w:szCs w:val="24"/>
        </w:rPr>
        <w:t xml:space="preserve"> and 59 Post-</w:t>
      </w:r>
      <w:r w:rsidR="00C921B3" w:rsidRPr="00511F36">
        <w:rPr>
          <w:rFonts w:asciiTheme="majorBidi" w:hAnsiTheme="majorBidi" w:cstheme="majorBidi"/>
          <w:sz w:val="24"/>
          <w:szCs w:val="24"/>
        </w:rPr>
        <w:t>92</w:t>
      </w:r>
      <w:r w:rsidR="00C921B3">
        <w:rPr>
          <w:rFonts w:asciiTheme="majorBidi" w:hAnsiTheme="majorBidi" w:cstheme="majorBidi"/>
          <w:sz w:val="24"/>
          <w:szCs w:val="24"/>
        </w:rPr>
        <w:t>)</w:t>
      </w:r>
      <w:r w:rsidR="005647A6">
        <w:rPr>
          <w:rStyle w:val="FootnoteReference"/>
          <w:rFonts w:asciiTheme="majorBidi" w:hAnsiTheme="majorBidi" w:cstheme="majorBidi"/>
          <w:sz w:val="24"/>
          <w:szCs w:val="24"/>
        </w:rPr>
        <w:footnoteReference w:id="4"/>
      </w:r>
      <w:r w:rsidR="00C921B3">
        <w:rPr>
          <w:rFonts w:asciiTheme="majorBidi" w:hAnsiTheme="majorBidi" w:cstheme="majorBidi"/>
          <w:sz w:val="24"/>
          <w:szCs w:val="24"/>
        </w:rPr>
        <w:t>.</w:t>
      </w:r>
      <w:r w:rsidR="00F01D8B">
        <w:rPr>
          <w:rFonts w:asciiTheme="majorBidi" w:hAnsiTheme="majorBidi" w:cstheme="majorBidi"/>
          <w:sz w:val="24"/>
          <w:szCs w:val="24"/>
        </w:rPr>
        <w:t xml:space="preserve"> </w:t>
      </w:r>
    </w:p>
    <w:p w14:paraId="6EC38499" w14:textId="7F8CAF13" w:rsidR="0081212F" w:rsidRDefault="00F01D8B" w:rsidP="00C63EF2">
      <w:pPr>
        <w:spacing w:after="0" w:line="480" w:lineRule="auto"/>
        <w:ind w:firstLine="426"/>
        <w:jc w:val="both"/>
        <w:rPr>
          <w:rFonts w:ascii="Times New Roman" w:hAnsi="Times New Roman" w:cs="Times New Roman"/>
        </w:rPr>
      </w:pPr>
      <w:r>
        <w:rPr>
          <w:rFonts w:asciiTheme="majorBidi" w:hAnsiTheme="majorBidi" w:cstheme="majorBidi"/>
          <w:sz w:val="24"/>
          <w:szCs w:val="24"/>
        </w:rPr>
        <w:t>We started our analysis in 2009 because the 2007/08 global crisis has led to significant cuts in terms of funding available to public institutions, including HEIs (</w:t>
      </w:r>
      <w:r w:rsidRPr="00867AE4">
        <w:rPr>
          <w:rFonts w:asciiTheme="majorBidi" w:hAnsiTheme="majorBidi" w:cstheme="majorBidi"/>
          <w:sz w:val="24"/>
          <w:szCs w:val="24"/>
        </w:rPr>
        <w:t>Franco-Santos</w:t>
      </w:r>
      <w:r w:rsidR="00587A22">
        <w:rPr>
          <w:rFonts w:asciiTheme="majorBidi" w:hAnsiTheme="majorBidi" w:cstheme="majorBidi"/>
          <w:sz w:val="24"/>
          <w:szCs w:val="24"/>
        </w:rPr>
        <w:t xml:space="preserve"> et al., </w:t>
      </w:r>
      <w:r w:rsidR="00587A22">
        <w:rPr>
          <w:rFonts w:asciiTheme="majorBidi" w:hAnsiTheme="majorBidi" w:cstheme="majorBidi"/>
          <w:sz w:val="24"/>
          <w:szCs w:val="24"/>
        </w:rPr>
        <w:lastRenderedPageBreak/>
        <w:t>201</w:t>
      </w:r>
      <w:r w:rsidR="00A64DC4">
        <w:rPr>
          <w:rFonts w:asciiTheme="majorBidi" w:hAnsiTheme="majorBidi" w:cstheme="majorBidi"/>
          <w:sz w:val="24"/>
          <w:szCs w:val="24"/>
        </w:rPr>
        <w:t>4</w:t>
      </w:r>
      <w:r w:rsidR="00587A22">
        <w:rPr>
          <w:rFonts w:asciiTheme="majorBidi" w:hAnsiTheme="majorBidi" w:cstheme="majorBidi"/>
          <w:sz w:val="24"/>
          <w:szCs w:val="24"/>
        </w:rPr>
        <w:t xml:space="preserve">). Following the significant cuts to public funding, many </w:t>
      </w:r>
      <w:r w:rsidR="0007075B" w:rsidRPr="0007075B">
        <w:rPr>
          <w:rFonts w:asciiTheme="majorBidi" w:hAnsiTheme="majorBidi" w:cstheme="majorBidi"/>
          <w:sz w:val="24"/>
          <w:szCs w:val="24"/>
        </w:rPr>
        <w:t>market/quasi-</w:t>
      </w:r>
      <w:r w:rsidR="00F06829" w:rsidRPr="0007075B">
        <w:rPr>
          <w:rFonts w:asciiTheme="majorBidi" w:hAnsiTheme="majorBidi" w:cstheme="majorBidi"/>
          <w:sz w:val="24"/>
          <w:szCs w:val="24"/>
        </w:rPr>
        <w:t>market-oriented</w:t>
      </w:r>
      <w:r w:rsidR="0007075B" w:rsidRPr="0007075B">
        <w:rPr>
          <w:rFonts w:asciiTheme="majorBidi" w:hAnsiTheme="majorBidi" w:cstheme="majorBidi"/>
          <w:sz w:val="24"/>
          <w:szCs w:val="24"/>
        </w:rPr>
        <w:t xml:space="preserve"> reforms have been introduced in the UK HE sector, including </w:t>
      </w:r>
      <w:r w:rsidR="00F06829">
        <w:rPr>
          <w:rFonts w:asciiTheme="majorBidi" w:hAnsiTheme="majorBidi" w:cstheme="majorBidi"/>
          <w:sz w:val="24"/>
          <w:szCs w:val="24"/>
        </w:rPr>
        <w:t xml:space="preserve">the 2010 </w:t>
      </w:r>
      <w:r w:rsidR="0007075B" w:rsidRPr="0007075B">
        <w:rPr>
          <w:rFonts w:asciiTheme="majorBidi" w:hAnsiTheme="majorBidi" w:cstheme="majorBidi"/>
          <w:sz w:val="24"/>
          <w:szCs w:val="24"/>
        </w:rPr>
        <w:t>Browne Report</w:t>
      </w:r>
      <w:r w:rsidR="0007075B">
        <w:rPr>
          <w:rFonts w:asciiTheme="majorBidi" w:hAnsiTheme="majorBidi" w:cstheme="majorBidi"/>
          <w:sz w:val="24"/>
          <w:szCs w:val="24"/>
        </w:rPr>
        <w:t xml:space="preserve">, and these reforms </w:t>
      </w:r>
      <w:r w:rsidR="00F06829">
        <w:rPr>
          <w:rFonts w:asciiTheme="majorBidi" w:hAnsiTheme="majorBidi" w:cstheme="majorBidi"/>
          <w:sz w:val="24"/>
          <w:szCs w:val="24"/>
        </w:rPr>
        <w:t xml:space="preserve">have been </w:t>
      </w:r>
      <w:r w:rsidR="0007075B">
        <w:rPr>
          <w:rFonts w:asciiTheme="majorBidi" w:hAnsiTheme="majorBidi" w:cstheme="majorBidi"/>
          <w:sz w:val="24"/>
          <w:szCs w:val="24"/>
        </w:rPr>
        <w:t>aimed at</w:t>
      </w:r>
      <w:r w:rsidR="0007075B" w:rsidRPr="0007075B">
        <w:rPr>
          <w:rFonts w:asciiTheme="majorBidi" w:hAnsiTheme="majorBidi" w:cstheme="majorBidi"/>
          <w:sz w:val="24"/>
          <w:szCs w:val="24"/>
        </w:rPr>
        <w:t xml:space="preserve"> reducing costs and promoting student choice. Consequently, </w:t>
      </w:r>
      <w:r w:rsidR="00DA6CA6">
        <w:rPr>
          <w:rFonts w:asciiTheme="majorBidi" w:hAnsiTheme="majorBidi" w:cstheme="majorBidi"/>
          <w:sz w:val="24"/>
          <w:szCs w:val="24"/>
        </w:rPr>
        <w:t>this has</w:t>
      </w:r>
      <w:r w:rsidR="0007075B" w:rsidRPr="00511F36">
        <w:rPr>
          <w:rFonts w:asciiTheme="majorBidi" w:hAnsiTheme="majorBidi" w:cstheme="majorBidi"/>
          <w:sz w:val="24"/>
          <w:szCs w:val="24"/>
        </w:rPr>
        <w:t xml:space="preserve"> increased the</w:t>
      </w:r>
      <w:r w:rsidR="0007075B">
        <w:rPr>
          <w:rFonts w:asciiTheme="majorBidi" w:hAnsiTheme="majorBidi" w:cstheme="majorBidi"/>
          <w:sz w:val="24"/>
          <w:szCs w:val="24"/>
        </w:rPr>
        <w:t xml:space="preserve"> need to demonstrate greater governance, accountability, transparency and value</w:t>
      </w:r>
      <w:r w:rsidR="00F06829">
        <w:rPr>
          <w:rFonts w:asciiTheme="majorBidi" w:hAnsiTheme="majorBidi" w:cstheme="majorBidi"/>
          <w:sz w:val="24"/>
          <w:szCs w:val="24"/>
        </w:rPr>
        <w:t>-</w:t>
      </w:r>
      <w:r w:rsidR="0007075B">
        <w:rPr>
          <w:rFonts w:asciiTheme="majorBidi" w:hAnsiTheme="majorBidi" w:cstheme="majorBidi"/>
          <w:sz w:val="24"/>
          <w:szCs w:val="24"/>
        </w:rPr>
        <w:t>for</w:t>
      </w:r>
      <w:r w:rsidR="00F06829">
        <w:rPr>
          <w:rFonts w:asciiTheme="majorBidi" w:hAnsiTheme="majorBidi" w:cstheme="majorBidi"/>
          <w:sz w:val="24"/>
          <w:szCs w:val="24"/>
        </w:rPr>
        <w:t>-</w:t>
      </w:r>
      <w:r w:rsidR="0007075B">
        <w:rPr>
          <w:rFonts w:asciiTheme="majorBidi" w:hAnsiTheme="majorBidi" w:cstheme="majorBidi"/>
          <w:sz w:val="24"/>
          <w:szCs w:val="24"/>
        </w:rPr>
        <w:t xml:space="preserve">money </w:t>
      </w:r>
      <w:r w:rsidR="00DA6CA6">
        <w:rPr>
          <w:rFonts w:asciiTheme="majorBidi" w:hAnsiTheme="majorBidi" w:cstheme="majorBidi"/>
          <w:sz w:val="24"/>
          <w:szCs w:val="24"/>
        </w:rPr>
        <w:t>among</w:t>
      </w:r>
      <w:r w:rsidR="0007075B" w:rsidRPr="00511F36">
        <w:rPr>
          <w:rFonts w:asciiTheme="majorBidi" w:hAnsiTheme="majorBidi" w:cstheme="majorBidi"/>
          <w:sz w:val="24"/>
          <w:szCs w:val="24"/>
        </w:rPr>
        <w:t xml:space="preserve"> </w:t>
      </w:r>
      <w:r w:rsidR="00DA6CA6">
        <w:rPr>
          <w:rFonts w:asciiTheme="majorBidi" w:hAnsiTheme="majorBidi" w:cstheme="majorBidi"/>
          <w:sz w:val="24"/>
          <w:szCs w:val="24"/>
        </w:rPr>
        <w:t xml:space="preserve">UK HEIs. </w:t>
      </w:r>
      <w:r w:rsidR="000C71AB">
        <w:rPr>
          <w:rFonts w:asciiTheme="majorBidi" w:hAnsiTheme="majorBidi" w:cstheme="majorBidi"/>
          <w:sz w:val="24"/>
          <w:szCs w:val="24"/>
        </w:rPr>
        <w:t xml:space="preserve">The analysis ends in 2014 due to the labour intensive nature of manually collecting the required data, as well as </w:t>
      </w:r>
      <w:r>
        <w:rPr>
          <w:rFonts w:asciiTheme="majorBidi" w:hAnsiTheme="majorBidi" w:cstheme="majorBidi"/>
          <w:sz w:val="24"/>
          <w:szCs w:val="24"/>
        </w:rPr>
        <w:t>it was the last year for which the required data was available when our data collection started.</w:t>
      </w:r>
      <w:r w:rsidR="0081212F">
        <w:rPr>
          <w:rFonts w:asciiTheme="majorBidi" w:hAnsiTheme="majorBidi" w:cstheme="majorBidi"/>
          <w:sz w:val="24"/>
          <w:szCs w:val="24"/>
        </w:rPr>
        <w:t xml:space="preserve"> </w:t>
      </w:r>
    </w:p>
    <w:p w14:paraId="29F9A2D7" w14:textId="00436A04" w:rsidR="001043BC" w:rsidRDefault="001043BC" w:rsidP="001043BC">
      <w:pPr>
        <w:spacing w:after="0" w:line="480" w:lineRule="auto"/>
        <w:jc w:val="center"/>
        <w:rPr>
          <w:rFonts w:asciiTheme="majorBidi" w:hAnsiTheme="majorBidi" w:cstheme="majorBidi"/>
          <w:sz w:val="24"/>
          <w:szCs w:val="24"/>
        </w:rPr>
      </w:pPr>
      <w:r>
        <w:rPr>
          <w:rFonts w:asciiTheme="majorBidi" w:hAnsiTheme="majorBidi" w:cstheme="majorBidi"/>
          <w:sz w:val="24"/>
          <w:szCs w:val="24"/>
        </w:rPr>
        <w:t>Table 1 near here</w:t>
      </w:r>
    </w:p>
    <w:p w14:paraId="54FB35AD" w14:textId="150DA882" w:rsidR="00DC0487" w:rsidRDefault="00313D85" w:rsidP="00C63EF2">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 xml:space="preserve">The Higher Education Statistics Agency (HESA) website was used to determine all </w:t>
      </w:r>
      <w:r w:rsidR="008C1FE2" w:rsidRPr="00511F36">
        <w:rPr>
          <w:rFonts w:asciiTheme="majorBidi" w:hAnsiTheme="majorBidi" w:cstheme="majorBidi"/>
          <w:sz w:val="24"/>
          <w:szCs w:val="24"/>
        </w:rPr>
        <w:t>UK HEIs to be included in our final sample. As explained earlier, we targeted all 164 HEIs for inclusion in our final sample and we visited their websites to downl</w:t>
      </w:r>
      <w:r w:rsidR="00E93078" w:rsidRPr="00511F36">
        <w:rPr>
          <w:rFonts w:asciiTheme="majorBidi" w:hAnsiTheme="majorBidi" w:cstheme="majorBidi"/>
          <w:sz w:val="24"/>
          <w:szCs w:val="24"/>
        </w:rPr>
        <w:t xml:space="preserve">oad all annual reports over </w:t>
      </w:r>
      <w:r w:rsidR="00F227B4">
        <w:rPr>
          <w:rFonts w:asciiTheme="majorBidi" w:hAnsiTheme="majorBidi" w:cstheme="majorBidi"/>
          <w:sz w:val="24"/>
          <w:szCs w:val="24"/>
        </w:rPr>
        <w:t>the</w:t>
      </w:r>
      <w:r w:rsidR="00E93078" w:rsidRPr="00511F36">
        <w:rPr>
          <w:rFonts w:asciiTheme="majorBidi" w:hAnsiTheme="majorBidi" w:cstheme="majorBidi"/>
          <w:sz w:val="24"/>
          <w:szCs w:val="24"/>
        </w:rPr>
        <w:t xml:space="preserve"> </w:t>
      </w:r>
      <w:r w:rsidR="008C1FE2" w:rsidRPr="00511F36">
        <w:rPr>
          <w:rFonts w:asciiTheme="majorBidi" w:hAnsiTheme="majorBidi" w:cstheme="majorBidi"/>
          <w:sz w:val="24"/>
          <w:szCs w:val="24"/>
        </w:rPr>
        <w:t>2009</w:t>
      </w:r>
      <w:r w:rsidR="00F227B4">
        <w:rPr>
          <w:rFonts w:asciiTheme="majorBidi" w:hAnsiTheme="majorBidi" w:cstheme="majorBidi"/>
          <w:sz w:val="24"/>
          <w:szCs w:val="24"/>
        </w:rPr>
        <w:t>-</w:t>
      </w:r>
      <w:r w:rsidR="008C1FE2" w:rsidRPr="00511F36">
        <w:rPr>
          <w:rFonts w:asciiTheme="majorBidi" w:hAnsiTheme="majorBidi" w:cstheme="majorBidi"/>
          <w:sz w:val="24"/>
          <w:szCs w:val="24"/>
        </w:rPr>
        <w:t>2014</w:t>
      </w:r>
      <w:r w:rsidR="00EC2D2B">
        <w:rPr>
          <w:rFonts w:asciiTheme="majorBidi" w:hAnsiTheme="majorBidi" w:cstheme="majorBidi"/>
          <w:sz w:val="24"/>
          <w:szCs w:val="24"/>
        </w:rPr>
        <w:t xml:space="preserve"> period</w:t>
      </w:r>
      <w:r w:rsidR="008C1FE2" w:rsidRPr="00511F36">
        <w:rPr>
          <w:rFonts w:asciiTheme="majorBidi" w:hAnsiTheme="majorBidi" w:cstheme="majorBidi"/>
          <w:sz w:val="24"/>
          <w:szCs w:val="24"/>
        </w:rPr>
        <w:t xml:space="preserve">. </w:t>
      </w:r>
      <w:r w:rsidR="00377038" w:rsidRPr="00511F36">
        <w:rPr>
          <w:rFonts w:asciiTheme="majorBidi" w:hAnsiTheme="majorBidi" w:cstheme="majorBidi"/>
          <w:sz w:val="24"/>
          <w:szCs w:val="24"/>
        </w:rPr>
        <w:t xml:space="preserve">Governance and accounting data </w:t>
      </w:r>
      <w:r w:rsidR="00CF3578">
        <w:rPr>
          <w:rFonts w:asciiTheme="majorBidi" w:hAnsiTheme="majorBidi" w:cstheme="majorBidi"/>
          <w:sz w:val="24"/>
          <w:szCs w:val="24"/>
        </w:rPr>
        <w:t>were</w:t>
      </w:r>
      <w:r w:rsidR="00377038" w:rsidRPr="00511F36">
        <w:rPr>
          <w:rFonts w:asciiTheme="majorBidi" w:hAnsiTheme="majorBidi" w:cstheme="majorBidi"/>
          <w:sz w:val="24"/>
          <w:szCs w:val="24"/>
        </w:rPr>
        <w:t xml:space="preserve"> mainly collected from annual reports. </w:t>
      </w:r>
      <w:r w:rsidR="00F227B4">
        <w:rPr>
          <w:rFonts w:asciiTheme="majorBidi" w:hAnsiTheme="majorBidi" w:cstheme="majorBidi"/>
          <w:sz w:val="24"/>
          <w:szCs w:val="24"/>
        </w:rPr>
        <w:t xml:space="preserve">In addition to all </w:t>
      </w:r>
      <w:r w:rsidR="00CF3578">
        <w:rPr>
          <w:rFonts w:asciiTheme="majorBidi" w:hAnsiTheme="majorBidi" w:cstheme="majorBidi"/>
          <w:sz w:val="24"/>
          <w:szCs w:val="24"/>
        </w:rPr>
        <w:t xml:space="preserve">the </w:t>
      </w:r>
      <w:r w:rsidR="00F227B4">
        <w:rPr>
          <w:rFonts w:asciiTheme="majorBidi" w:hAnsiTheme="majorBidi" w:cstheme="majorBidi"/>
          <w:sz w:val="24"/>
          <w:szCs w:val="24"/>
        </w:rPr>
        <w:t>reports, w</w:t>
      </w:r>
      <w:r w:rsidR="00E93078" w:rsidRPr="00511F36">
        <w:rPr>
          <w:rFonts w:asciiTheme="majorBidi" w:hAnsiTheme="majorBidi" w:cstheme="majorBidi"/>
          <w:sz w:val="24"/>
          <w:szCs w:val="24"/>
        </w:rPr>
        <w:t>e</w:t>
      </w:r>
      <w:r w:rsidR="00377038" w:rsidRPr="00511F36">
        <w:rPr>
          <w:rFonts w:asciiTheme="majorBidi" w:hAnsiTheme="majorBidi" w:cstheme="majorBidi"/>
          <w:sz w:val="24"/>
          <w:szCs w:val="24"/>
        </w:rPr>
        <w:t xml:space="preserve"> also used other sources of data</w:t>
      </w:r>
      <w:r w:rsidR="00F227B4">
        <w:rPr>
          <w:rFonts w:asciiTheme="majorBidi" w:hAnsiTheme="majorBidi" w:cstheme="majorBidi"/>
          <w:sz w:val="24"/>
          <w:szCs w:val="24"/>
        </w:rPr>
        <w:t xml:space="preserve">, </w:t>
      </w:r>
      <w:r w:rsidR="00377038" w:rsidRPr="00511F36">
        <w:rPr>
          <w:rFonts w:asciiTheme="majorBidi" w:hAnsiTheme="majorBidi" w:cstheme="majorBidi"/>
          <w:sz w:val="24"/>
          <w:szCs w:val="24"/>
        </w:rPr>
        <w:t xml:space="preserve">including information published on universities’ websites. </w:t>
      </w:r>
      <w:r w:rsidR="00DC0487" w:rsidRPr="00511F36">
        <w:rPr>
          <w:rFonts w:asciiTheme="majorBidi" w:hAnsiTheme="majorBidi" w:cstheme="majorBidi"/>
          <w:sz w:val="24"/>
          <w:szCs w:val="24"/>
        </w:rPr>
        <w:t>We made every effort to</w:t>
      </w:r>
      <w:r w:rsidR="00F227B4">
        <w:rPr>
          <w:rFonts w:asciiTheme="majorBidi" w:hAnsiTheme="majorBidi" w:cstheme="majorBidi"/>
          <w:sz w:val="24"/>
          <w:szCs w:val="24"/>
        </w:rPr>
        <w:t xml:space="preserve"> </w:t>
      </w:r>
      <w:r w:rsidR="00B175DC">
        <w:rPr>
          <w:rFonts w:asciiTheme="majorBidi" w:hAnsiTheme="majorBidi" w:cstheme="majorBidi"/>
          <w:sz w:val="24"/>
          <w:szCs w:val="24"/>
        </w:rPr>
        <w:t>have access to the annual reports for a large number of HEIs.</w:t>
      </w:r>
      <w:r w:rsidR="00DC0487" w:rsidRPr="00511F36">
        <w:rPr>
          <w:rFonts w:asciiTheme="majorBidi" w:hAnsiTheme="majorBidi" w:cstheme="majorBidi"/>
          <w:sz w:val="24"/>
          <w:szCs w:val="24"/>
        </w:rPr>
        <w:t xml:space="preserve"> For example, where annual reports for some HEIs were not </w:t>
      </w:r>
      <w:r w:rsidR="0029274A">
        <w:rPr>
          <w:rFonts w:asciiTheme="majorBidi" w:hAnsiTheme="majorBidi" w:cstheme="majorBidi"/>
          <w:sz w:val="24"/>
          <w:szCs w:val="24"/>
        </w:rPr>
        <w:t>published</w:t>
      </w:r>
      <w:r w:rsidR="0029274A" w:rsidRPr="00511F36">
        <w:rPr>
          <w:rFonts w:asciiTheme="majorBidi" w:hAnsiTheme="majorBidi" w:cstheme="majorBidi"/>
          <w:sz w:val="24"/>
          <w:szCs w:val="24"/>
        </w:rPr>
        <w:t xml:space="preserve"> </w:t>
      </w:r>
      <w:r w:rsidR="00DC0487" w:rsidRPr="00511F36">
        <w:rPr>
          <w:rFonts w:asciiTheme="majorBidi" w:hAnsiTheme="majorBidi" w:cstheme="majorBidi"/>
          <w:sz w:val="24"/>
          <w:szCs w:val="24"/>
        </w:rPr>
        <w:t xml:space="preserve">online, we contacted the relevant person </w:t>
      </w:r>
      <w:r w:rsidR="00F179F9">
        <w:rPr>
          <w:rFonts w:asciiTheme="majorBidi" w:hAnsiTheme="majorBidi" w:cstheme="majorBidi"/>
          <w:sz w:val="24"/>
          <w:szCs w:val="24"/>
        </w:rPr>
        <w:t xml:space="preserve">in order to </w:t>
      </w:r>
      <w:r w:rsidR="00DC0487" w:rsidRPr="00511F36">
        <w:rPr>
          <w:rFonts w:asciiTheme="majorBidi" w:hAnsiTheme="majorBidi" w:cstheme="majorBidi"/>
          <w:sz w:val="24"/>
          <w:szCs w:val="24"/>
        </w:rPr>
        <w:t>directly obtain either soft or hard copies of their institutions</w:t>
      </w:r>
      <w:r w:rsidR="00DB5312">
        <w:rPr>
          <w:rFonts w:asciiTheme="majorBidi" w:hAnsiTheme="majorBidi" w:cstheme="majorBidi"/>
          <w:sz w:val="24"/>
          <w:szCs w:val="24"/>
        </w:rPr>
        <w:t>’</w:t>
      </w:r>
      <w:r w:rsidR="00DC0487" w:rsidRPr="00511F36">
        <w:rPr>
          <w:rFonts w:asciiTheme="majorBidi" w:hAnsiTheme="majorBidi" w:cstheme="majorBidi"/>
          <w:sz w:val="24"/>
          <w:szCs w:val="24"/>
        </w:rPr>
        <w:t xml:space="preserve"> annual reports. </w:t>
      </w:r>
    </w:p>
    <w:p w14:paraId="004CE52C" w14:textId="108F4CEA" w:rsidR="00A64DC4" w:rsidRPr="00A64DC4" w:rsidRDefault="00A64DC4" w:rsidP="00C63EF2">
      <w:pPr>
        <w:spacing w:after="0" w:line="480" w:lineRule="auto"/>
        <w:ind w:firstLine="426"/>
        <w:jc w:val="both"/>
        <w:rPr>
          <w:rFonts w:asciiTheme="majorBidi" w:eastAsia="Times New Roman" w:hAnsiTheme="majorBidi" w:cstheme="majorBidi"/>
          <w:sz w:val="24"/>
          <w:szCs w:val="24"/>
          <w:lang w:eastAsia="en-GB"/>
        </w:rPr>
      </w:pPr>
      <w:r>
        <w:rPr>
          <w:rFonts w:asciiTheme="majorBidi" w:hAnsiTheme="majorBidi" w:cstheme="majorBidi"/>
          <w:sz w:val="24"/>
          <w:szCs w:val="24"/>
        </w:rPr>
        <w:t xml:space="preserve">Annual reports are relied on mainly to collect our research data due to their mandatory nature, and this makes them a credible source to obtain governance information. For example, the Office for Students (OfS) requires all UK HEIs to prepare audited annual reports and follow the </w:t>
      </w:r>
      <w:r w:rsidRPr="0016655C">
        <w:rPr>
          <w:rFonts w:asciiTheme="majorBidi" w:hAnsiTheme="majorBidi" w:cstheme="majorBidi"/>
          <w:sz w:val="24"/>
          <w:szCs w:val="24"/>
        </w:rPr>
        <w:t>Statement of Recommended Practice</w:t>
      </w:r>
      <w:r>
        <w:rPr>
          <w:rFonts w:asciiTheme="majorBidi" w:hAnsiTheme="majorBidi" w:cstheme="majorBidi"/>
          <w:sz w:val="24"/>
          <w:szCs w:val="24"/>
        </w:rPr>
        <w:t>: A</w:t>
      </w:r>
      <w:r w:rsidRPr="0016655C">
        <w:rPr>
          <w:rFonts w:asciiTheme="majorBidi" w:hAnsiTheme="majorBidi" w:cstheme="majorBidi"/>
          <w:sz w:val="24"/>
          <w:szCs w:val="24"/>
        </w:rPr>
        <w:t xml:space="preserve">ccounting for </w:t>
      </w:r>
      <w:r>
        <w:rPr>
          <w:rFonts w:asciiTheme="majorBidi" w:hAnsiTheme="majorBidi" w:cstheme="majorBidi"/>
          <w:sz w:val="24"/>
          <w:szCs w:val="24"/>
        </w:rPr>
        <w:t>F</w:t>
      </w:r>
      <w:r w:rsidRPr="0016655C">
        <w:rPr>
          <w:rFonts w:asciiTheme="majorBidi" w:hAnsiTheme="majorBidi" w:cstheme="majorBidi"/>
          <w:sz w:val="24"/>
          <w:szCs w:val="24"/>
        </w:rPr>
        <w:t xml:space="preserve">urther and </w:t>
      </w:r>
      <w:r>
        <w:rPr>
          <w:rFonts w:asciiTheme="majorBidi" w:hAnsiTheme="majorBidi" w:cstheme="majorBidi"/>
          <w:sz w:val="24"/>
          <w:szCs w:val="24"/>
        </w:rPr>
        <w:t>H</w:t>
      </w:r>
      <w:r w:rsidRPr="0016655C">
        <w:rPr>
          <w:rFonts w:asciiTheme="majorBidi" w:hAnsiTheme="majorBidi" w:cstheme="majorBidi"/>
          <w:sz w:val="24"/>
          <w:szCs w:val="24"/>
        </w:rPr>
        <w:t xml:space="preserve">igher </w:t>
      </w:r>
      <w:r>
        <w:rPr>
          <w:rFonts w:asciiTheme="majorBidi" w:hAnsiTheme="majorBidi" w:cstheme="majorBidi"/>
          <w:sz w:val="24"/>
          <w:szCs w:val="24"/>
        </w:rPr>
        <w:t>E</w:t>
      </w:r>
      <w:r w:rsidRPr="0016655C">
        <w:rPr>
          <w:rFonts w:asciiTheme="majorBidi" w:hAnsiTheme="majorBidi" w:cstheme="majorBidi"/>
          <w:sz w:val="24"/>
          <w:szCs w:val="24"/>
        </w:rPr>
        <w:t>ducation</w:t>
      </w:r>
      <w:r>
        <w:rPr>
          <w:rStyle w:val="A2"/>
        </w:rPr>
        <w:t xml:space="preserve"> </w:t>
      </w:r>
      <w:r w:rsidRPr="0016655C">
        <w:rPr>
          <w:rFonts w:asciiTheme="majorBidi" w:hAnsiTheme="majorBidi" w:cstheme="majorBidi"/>
          <w:sz w:val="24"/>
          <w:szCs w:val="24"/>
        </w:rPr>
        <w:t>(SORP)</w:t>
      </w:r>
      <w:r>
        <w:rPr>
          <w:rFonts w:asciiTheme="majorBidi" w:hAnsiTheme="majorBidi" w:cstheme="majorBidi"/>
          <w:sz w:val="24"/>
          <w:szCs w:val="24"/>
        </w:rPr>
        <w:t xml:space="preserve"> standard. Despite the mandatory nature of the annual reports (</w:t>
      </w:r>
      <w:r w:rsidRPr="00FC4344">
        <w:rPr>
          <w:rFonts w:asciiTheme="majorBidi" w:hAnsiTheme="majorBidi" w:cstheme="majorBidi"/>
          <w:sz w:val="24"/>
          <w:szCs w:val="24"/>
        </w:rPr>
        <w:t>Dahm</w:t>
      </w:r>
      <w:r>
        <w:rPr>
          <w:rFonts w:asciiTheme="majorBidi" w:hAnsiTheme="majorBidi" w:cstheme="majorBidi"/>
          <w:sz w:val="24"/>
          <w:szCs w:val="24"/>
        </w:rPr>
        <w:t xml:space="preserve"> et al., 2018), there is no clear requirement that specifies their exact nature and/or format, and hence we argue that the level of governance disclosures in UK HEIs’ annual reports can be influenced by the </w:t>
      </w:r>
      <w:r w:rsidRPr="00511F36">
        <w:rPr>
          <w:rFonts w:asciiTheme="majorBidi" w:hAnsiTheme="majorBidi" w:cstheme="majorBidi"/>
          <w:sz w:val="24"/>
          <w:szCs w:val="24"/>
        </w:rPr>
        <w:t>vice-chancellor</w:t>
      </w:r>
      <w:r>
        <w:rPr>
          <w:rFonts w:asciiTheme="majorBidi" w:hAnsiTheme="majorBidi" w:cstheme="majorBidi"/>
          <w:sz w:val="24"/>
          <w:szCs w:val="24"/>
        </w:rPr>
        <w:t>s</w:t>
      </w:r>
      <w:r w:rsidRPr="00511F36">
        <w:rPr>
          <w:rFonts w:asciiTheme="majorBidi" w:hAnsiTheme="majorBidi" w:cstheme="majorBidi"/>
          <w:sz w:val="24"/>
          <w:szCs w:val="24"/>
        </w:rPr>
        <w:t xml:space="preserve"> </w:t>
      </w:r>
      <w:r>
        <w:rPr>
          <w:rFonts w:asciiTheme="majorBidi" w:hAnsiTheme="majorBidi" w:cstheme="majorBidi"/>
          <w:sz w:val="24"/>
          <w:szCs w:val="24"/>
        </w:rPr>
        <w:t xml:space="preserve">(VCs)/governing board preferences, as well as the opinions expressed by auditors </w:t>
      </w:r>
      <w:r>
        <w:rPr>
          <w:rFonts w:asciiTheme="majorBidi" w:hAnsiTheme="majorBidi" w:cstheme="majorBidi"/>
          <w:sz w:val="24"/>
          <w:szCs w:val="24"/>
        </w:rPr>
        <w:lastRenderedPageBreak/>
        <w:t>(</w:t>
      </w:r>
      <w:r>
        <w:rPr>
          <w:rFonts w:asciiTheme="majorBidi" w:eastAsia="Times New Roman" w:hAnsiTheme="majorBidi" w:cstheme="majorBidi"/>
          <w:sz w:val="24"/>
          <w:szCs w:val="24"/>
          <w:lang w:eastAsia="en-GB"/>
        </w:rPr>
        <w:t xml:space="preserve">Breakwell </w:t>
      </w:r>
      <w:r w:rsidRPr="005E07D6">
        <w:rPr>
          <w:rFonts w:asciiTheme="majorBidi" w:eastAsia="Times New Roman" w:hAnsiTheme="majorBidi" w:cstheme="majorBidi"/>
          <w:sz w:val="24"/>
          <w:szCs w:val="24"/>
          <w:lang w:eastAsia="en-GB"/>
        </w:rPr>
        <w:t>&amp; Tytherleigh</w:t>
      </w:r>
      <w:r>
        <w:rPr>
          <w:rFonts w:asciiTheme="majorBidi" w:eastAsia="Times New Roman" w:hAnsiTheme="majorBidi" w:cstheme="majorBidi"/>
          <w:sz w:val="24"/>
          <w:szCs w:val="24"/>
          <w:lang w:eastAsia="en-GB"/>
        </w:rPr>
        <w:t>, 2008a,</w:t>
      </w:r>
      <w:r w:rsidR="00362272">
        <w:rPr>
          <w:rFonts w:asciiTheme="majorBidi" w:eastAsia="Times New Roman" w:hAnsiTheme="majorBidi" w:cstheme="majorBidi"/>
          <w:sz w:val="24"/>
          <w:szCs w:val="24"/>
          <w:lang w:eastAsia="en-GB"/>
        </w:rPr>
        <w:t xml:space="preserve"> 2008</w:t>
      </w:r>
      <w:r>
        <w:rPr>
          <w:rFonts w:asciiTheme="majorBidi" w:eastAsia="Times New Roman" w:hAnsiTheme="majorBidi" w:cstheme="majorBidi"/>
          <w:sz w:val="24"/>
          <w:szCs w:val="24"/>
          <w:lang w:eastAsia="en-GB"/>
        </w:rPr>
        <w:t xml:space="preserve">b, 2010; </w:t>
      </w:r>
      <w:r w:rsidRPr="00E46C2E">
        <w:rPr>
          <w:rFonts w:asciiTheme="majorBidi" w:eastAsia="Times New Roman" w:hAnsiTheme="majorBidi" w:cstheme="majorBidi"/>
          <w:sz w:val="24"/>
          <w:szCs w:val="24"/>
          <w:lang w:eastAsia="en-GB"/>
        </w:rPr>
        <w:t>Cullinan et al., 2012;</w:t>
      </w:r>
      <w:r>
        <w:rPr>
          <w:rFonts w:asciiTheme="majorBidi" w:eastAsia="Times New Roman" w:hAnsiTheme="majorBidi" w:cstheme="majorBidi"/>
          <w:sz w:val="24"/>
          <w:szCs w:val="24"/>
          <w:lang w:eastAsia="en-GB"/>
        </w:rPr>
        <w:t xml:space="preserve"> </w:t>
      </w:r>
      <w:r w:rsidRPr="00BF2937">
        <w:rPr>
          <w:rFonts w:asciiTheme="majorBidi" w:eastAsia="Times New Roman" w:hAnsiTheme="majorBidi" w:cstheme="majorBidi"/>
          <w:sz w:val="24"/>
          <w:szCs w:val="24"/>
          <w:lang w:eastAsia="en-GB"/>
        </w:rPr>
        <w:t>Middlehurst,</w:t>
      </w:r>
      <w:r>
        <w:rPr>
          <w:rFonts w:asciiTheme="majorBidi" w:eastAsia="Times New Roman" w:hAnsiTheme="majorBidi" w:cstheme="majorBidi"/>
          <w:sz w:val="24"/>
          <w:szCs w:val="24"/>
          <w:lang w:eastAsia="en-GB"/>
        </w:rPr>
        <w:t xml:space="preserve"> 2004; Ntim et al., 2017). </w:t>
      </w:r>
    </w:p>
    <w:p w14:paraId="44471FAA" w14:textId="75855958" w:rsidR="00162549" w:rsidRPr="002A74B0" w:rsidRDefault="002A74B0" w:rsidP="0034465D">
      <w:pPr>
        <w:spacing w:line="276" w:lineRule="auto"/>
        <w:jc w:val="both"/>
        <w:rPr>
          <w:rFonts w:asciiTheme="majorBidi" w:hAnsiTheme="majorBidi" w:cstheme="majorBidi"/>
          <w:b/>
          <w:i/>
          <w:iCs/>
          <w:sz w:val="24"/>
          <w:szCs w:val="24"/>
        </w:rPr>
      </w:pPr>
      <w:r>
        <w:rPr>
          <w:rFonts w:asciiTheme="majorBidi" w:hAnsiTheme="majorBidi" w:cstheme="majorBidi"/>
          <w:b/>
          <w:i/>
          <w:iCs/>
          <w:sz w:val="24"/>
          <w:szCs w:val="24"/>
        </w:rPr>
        <w:t xml:space="preserve">3.2 </w:t>
      </w:r>
      <w:r w:rsidR="00EC6900" w:rsidRPr="002A74B0">
        <w:rPr>
          <w:rFonts w:asciiTheme="majorBidi" w:hAnsiTheme="majorBidi" w:cstheme="majorBidi"/>
          <w:b/>
          <w:i/>
          <w:iCs/>
          <w:sz w:val="24"/>
          <w:szCs w:val="24"/>
        </w:rPr>
        <w:t>Variable definition and model specification</w:t>
      </w:r>
    </w:p>
    <w:p w14:paraId="610EB5E9" w14:textId="55033AF2" w:rsidR="00410490" w:rsidRDefault="0029274A" w:rsidP="00C63EF2">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 xml:space="preserve">The list of all variables used in our analysis and their definitions are presented in Table </w:t>
      </w:r>
      <w:r w:rsidR="001043BC">
        <w:rPr>
          <w:rFonts w:asciiTheme="majorBidi" w:hAnsiTheme="majorBidi" w:cstheme="majorBidi"/>
          <w:sz w:val="24"/>
          <w:szCs w:val="24"/>
        </w:rPr>
        <w:t>2</w:t>
      </w:r>
      <w:r>
        <w:rPr>
          <w:rFonts w:asciiTheme="majorBidi" w:hAnsiTheme="majorBidi" w:cstheme="majorBidi"/>
          <w:sz w:val="24"/>
          <w:szCs w:val="24"/>
        </w:rPr>
        <w:t xml:space="preserve">. To test </w:t>
      </w:r>
      <w:r w:rsidR="00461696">
        <w:rPr>
          <w:rFonts w:asciiTheme="majorBidi" w:hAnsiTheme="majorBidi" w:cstheme="majorBidi"/>
          <w:sz w:val="24"/>
          <w:szCs w:val="24"/>
        </w:rPr>
        <w:t xml:space="preserve">our </w:t>
      </w:r>
      <w:r>
        <w:rPr>
          <w:rFonts w:asciiTheme="majorBidi" w:hAnsiTheme="majorBidi" w:cstheme="majorBidi"/>
          <w:sz w:val="24"/>
          <w:szCs w:val="24"/>
        </w:rPr>
        <w:t>research hypotheses (</w:t>
      </w:r>
      <w:r w:rsidRPr="00427F9E">
        <w:rPr>
          <w:rFonts w:asciiTheme="majorBidi" w:hAnsiTheme="majorBidi" w:cstheme="majorBidi"/>
          <w:i/>
          <w:iCs/>
          <w:sz w:val="24"/>
          <w:szCs w:val="24"/>
        </w:rPr>
        <w:t>H1-H5</w:t>
      </w:r>
      <w:r>
        <w:rPr>
          <w:rFonts w:asciiTheme="majorBidi" w:hAnsiTheme="majorBidi" w:cstheme="majorBidi"/>
          <w:sz w:val="24"/>
          <w:szCs w:val="24"/>
        </w:rPr>
        <w:t xml:space="preserve">) relating to </w:t>
      </w:r>
      <w:r w:rsidR="00A94483">
        <w:rPr>
          <w:rFonts w:asciiTheme="majorBidi" w:hAnsiTheme="majorBidi" w:cstheme="majorBidi"/>
          <w:sz w:val="24"/>
          <w:szCs w:val="24"/>
        </w:rPr>
        <w:t xml:space="preserve">the links between internal governance structures and governance disclosures among UK HEIs, we </w:t>
      </w:r>
      <w:r w:rsidR="008F2BD3">
        <w:rPr>
          <w:rFonts w:asciiTheme="majorBidi" w:hAnsiTheme="majorBidi" w:cstheme="majorBidi"/>
          <w:sz w:val="24"/>
          <w:szCs w:val="24"/>
        </w:rPr>
        <w:t>developed</w:t>
      </w:r>
      <w:r w:rsidR="00A94483">
        <w:rPr>
          <w:rFonts w:asciiTheme="majorBidi" w:hAnsiTheme="majorBidi" w:cstheme="majorBidi"/>
          <w:sz w:val="24"/>
          <w:szCs w:val="24"/>
        </w:rPr>
        <w:t xml:space="preserve"> our research model and variables as follows. First, we employ UK HEIs Governance Index (</w:t>
      </w:r>
      <w:r w:rsidR="00A94483">
        <w:rPr>
          <w:rFonts w:asciiTheme="majorBidi" w:hAnsiTheme="majorBidi" w:cstheme="majorBidi"/>
          <w:i/>
          <w:iCs/>
          <w:sz w:val="24"/>
          <w:szCs w:val="24"/>
        </w:rPr>
        <w:t>HEGI</w:t>
      </w:r>
      <w:r w:rsidR="00A94483">
        <w:rPr>
          <w:rFonts w:asciiTheme="majorBidi" w:hAnsiTheme="majorBidi" w:cstheme="majorBidi"/>
          <w:sz w:val="24"/>
          <w:szCs w:val="24"/>
        </w:rPr>
        <w:t xml:space="preserve">) as our dependent variable. </w:t>
      </w:r>
      <w:r w:rsidR="00D54A82">
        <w:rPr>
          <w:rFonts w:asciiTheme="majorBidi" w:hAnsiTheme="majorBidi" w:cstheme="majorBidi"/>
          <w:sz w:val="24"/>
          <w:szCs w:val="24"/>
        </w:rPr>
        <w:t xml:space="preserve">We developed the </w:t>
      </w:r>
      <w:r w:rsidR="00D54A82" w:rsidRPr="00C131FE">
        <w:rPr>
          <w:rFonts w:asciiTheme="majorBidi" w:hAnsiTheme="majorBidi" w:cstheme="majorBidi"/>
          <w:i/>
          <w:iCs/>
          <w:sz w:val="24"/>
          <w:szCs w:val="24"/>
        </w:rPr>
        <w:t>HEGI</w:t>
      </w:r>
      <w:r w:rsidR="00D54A82">
        <w:rPr>
          <w:rFonts w:asciiTheme="majorBidi" w:hAnsiTheme="majorBidi" w:cstheme="majorBidi"/>
          <w:sz w:val="24"/>
          <w:szCs w:val="24"/>
        </w:rPr>
        <w:t xml:space="preserve"> based on the definition provided by </w:t>
      </w:r>
      <w:r w:rsidR="00D54A82" w:rsidRPr="00D54A82">
        <w:rPr>
          <w:rFonts w:asciiTheme="majorBidi" w:hAnsiTheme="majorBidi" w:cstheme="majorBidi"/>
          <w:sz w:val="24"/>
          <w:szCs w:val="24"/>
        </w:rPr>
        <w:t>Nolan Committee reports (1995, 1996)</w:t>
      </w:r>
      <w:r w:rsidR="004811F5">
        <w:rPr>
          <w:rFonts w:asciiTheme="majorBidi" w:hAnsiTheme="majorBidi" w:cstheme="majorBidi"/>
          <w:sz w:val="24"/>
          <w:szCs w:val="24"/>
        </w:rPr>
        <w:t xml:space="preserve"> and the recommendations of UK HE good governance codes/guidelines. </w:t>
      </w:r>
    </w:p>
    <w:p w14:paraId="56DED55E" w14:textId="19000CD7" w:rsidR="004811F5" w:rsidRDefault="004811F5" w:rsidP="00C63EF2">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 xml:space="preserve">Specifically, and according to </w:t>
      </w:r>
      <w:r w:rsidR="00B45EE8">
        <w:rPr>
          <w:rFonts w:asciiTheme="majorBidi" w:hAnsiTheme="majorBidi" w:cstheme="majorBidi"/>
          <w:sz w:val="24"/>
          <w:szCs w:val="24"/>
        </w:rPr>
        <w:t xml:space="preserve">the </w:t>
      </w:r>
      <w:r w:rsidRPr="00D54A82">
        <w:rPr>
          <w:rFonts w:asciiTheme="majorBidi" w:hAnsiTheme="majorBidi" w:cstheme="majorBidi"/>
          <w:sz w:val="24"/>
          <w:szCs w:val="24"/>
        </w:rPr>
        <w:t>Nolan Committee reports (1995, 1996)</w:t>
      </w:r>
      <w:r>
        <w:rPr>
          <w:rFonts w:asciiTheme="majorBidi" w:hAnsiTheme="majorBidi" w:cstheme="majorBidi"/>
          <w:sz w:val="24"/>
          <w:szCs w:val="24"/>
        </w:rPr>
        <w:t xml:space="preserve">, </w:t>
      </w:r>
      <w:r w:rsidR="00D54A82" w:rsidRPr="00D54A82">
        <w:rPr>
          <w:rFonts w:asciiTheme="majorBidi" w:hAnsiTheme="majorBidi" w:cstheme="majorBidi"/>
          <w:sz w:val="24"/>
          <w:szCs w:val="24"/>
        </w:rPr>
        <w:t xml:space="preserve">good governance is defined to incorporate seven principles, which are integrity, openness, leadership, honesty, objectivity, accountability and selflessness. In this paper, we follow the recommendations of </w:t>
      </w:r>
      <w:r w:rsidR="00B45EE8">
        <w:rPr>
          <w:rFonts w:asciiTheme="majorBidi" w:hAnsiTheme="majorBidi" w:cstheme="majorBidi"/>
          <w:sz w:val="24"/>
          <w:szCs w:val="24"/>
        </w:rPr>
        <w:t xml:space="preserve">the </w:t>
      </w:r>
      <w:r w:rsidR="00D54A82" w:rsidRPr="00D54A82">
        <w:rPr>
          <w:rFonts w:asciiTheme="majorBidi" w:hAnsiTheme="majorBidi" w:cstheme="majorBidi"/>
          <w:sz w:val="24"/>
          <w:szCs w:val="24"/>
        </w:rPr>
        <w:t xml:space="preserve">CUC (2008, 2009, 2013, 2014 and 2015) and </w:t>
      </w:r>
      <w:r w:rsidR="00E25DDA">
        <w:rPr>
          <w:rFonts w:asciiTheme="majorBidi" w:hAnsiTheme="majorBidi" w:cstheme="majorBidi"/>
          <w:sz w:val="24"/>
          <w:szCs w:val="24"/>
        </w:rPr>
        <w:t xml:space="preserve"> </w:t>
      </w:r>
      <w:r w:rsidR="00D54A82" w:rsidRPr="00D54A82">
        <w:rPr>
          <w:rFonts w:asciiTheme="majorBidi" w:hAnsiTheme="majorBidi" w:cstheme="majorBidi"/>
          <w:sz w:val="24"/>
          <w:szCs w:val="24"/>
        </w:rPr>
        <w:t xml:space="preserve">CSC (2013) codes/guidelines in defining good HE governance as:  (i) maintaining strong communication, engagement and dialogue with stakeholders (stakeholder dialogue); (ii) maintaining strong internal control and risk management systems (accountability and auditing); (iii) displaying strong control and monitoring over senior management/governing board performance and pay (rewards, pay and evaluation of performance); (iv) applying strong structures and reviewing processes (structures and procedures); and (v) maintaining strong governing board (board governance). Therefore, and following prior voluntary disclosure studies that have been conducted on non-for-profit organisations (Fischer et al., 2010; Nie et al., 2016; Saxton et al., 2012; Sanzo-Pérez et al., 2017), the concept of good governance is operationalised in our study by measuring the presence/absence of the examined 100 best governance practices. Using this approach, HEIs with higher governance compliance/disclosure scores are deemed </w:t>
      </w:r>
      <w:r>
        <w:rPr>
          <w:rFonts w:asciiTheme="majorBidi" w:hAnsiTheme="majorBidi" w:cstheme="majorBidi"/>
          <w:sz w:val="24"/>
          <w:szCs w:val="24"/>
        </w:rPr>
        <w:t>to</w:t>
      </w:r>
      <w:r w:rsidR="00D54A82" w:rsidRPr="00D54A82">
        <w:rPr>
          <w:rFonts w:asciiTheme="majorBidi" w:hAnsiTheme="majorBidi" w:cstheme="majorBidi"/>
          <w:sz w:val="24"/>
          <w:szCs w:val="24"/>
        </w:rPr>
        <w:t xml:space="preserve"> have good governance and vice-versa for poorly-governed HEIs.</w:t>
      </w:r>
    </w:p>
    <w:p w14:paraId="5317D7D3" w14:textId="5E2BE936" w:rsidR="00410490" w:rsidRDefault="007447D5" w:rsidP="00C63EF2">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lastRenderedPageBreak/>
        <w:t xml:space="preserve">The </w:t>
      </w:r>
      <w:r w:rsidRPr="00511F36">
        <w:rPr>
          <w:rFonts w:asciiTheme="majorBidi" w:hAnsiTheme="majorBidi" w:cstheme="majorBidi"/>
          <w:i/>
          <w:iCs/>
          <w:sz w:val="24"/>
          <w:szCs w:val="24"/>
        </w:rPr>
        <w:t>HEGI</w:t>
      </w:r>
      <w:r w:rsidRPr="00511F36">
        <w:rPr>
          <w:rFonts w:asciiTheme="majorBidi" w:hAnsiTheme="majorBidi" w:cstheme="majorBidi"/>
          <w:sz w:val="24"/>
          <w:szCs w:val="24"/>
        </w:rPr>
        <w:t xml:space="preserve"> consists</w:t>
      </w:r>
      <w:r w:rsidR="00314636" w:rsidRPr="00511F36">
        <w:rPr>
          <w:rFonts w:asciiTheme="majorBidi" w:hAnsiTheme="majorBidi" w:cstheme="majorBidi"/>
          <w:sz w:val="24"/>
          <w:szCs w:val="24"/>
        </w:rPr>
        <w:t xml:space="preserve"> of 100 individual items classified into five categories as follows: </w:t>
      </w:r>
      <w:r w:rsidR="00CD6D45">
        <w:rPr>
          <w:rFonts w:asciiTheme="majorBidi" w:hAnsiTheme="majorBidi" w:cstheme="majorBidi"/>
          <w:sz w:val="24"/>
          <w:szCs w:val="24"/>
        </w:rPr>
        <w:t xml:space="preserve"> 7 items on stakeholder dialogue – </w:t>
      </w:r>
      <w:r w:rsidR="00CD6D45" w:rsidRPr="00C131FE">
        <w:rPr>
          <w:rFonts w:asciiTheme="majorBidi" w:hAnsiTheme="majorBidi" w:cstheme="majorBidi"/>
          <w:i/>
          <w:iCs/>
          <w:sz w:val="24"/>
          <w:szCs w:val="24"/>
        </w:rPr>
        <w:t>STKD</w:t>
      </w:r>
      <w:r w:rsidR="00CD6D45">
        <w:rPr>
          <w:rFonts w:asciiTheme="majorBidi" w:hAnsiTheme="majorBidi" w:cstheme="majorBidi"/>
          <w:sz w:val="24"/>
          <w:szCs w:val="24"/>
        </w:rPr>
        <w:t xml:space="preserve">; 20 items on accountability and auditing – </w:t>
      </w:r>
      <w:r w:rsidR="00CD6D45" w:rsidRPr="00C131FE">
        <w:rPr>
          <w:rFonts w:asciiTheme="majorBidi" w:hAnsiTheme="majorBidi" w:cstheme="majorBidi"/>
          <w:i/>
          <w:iCs/>
          <w:sz w:val="24"/>
          <w:szCs w:val="24"/>
        </w:rPr>
        <w:t>ACNA</w:t>
      </w:r>
      <w:r w:rsidR="00CD6D45">
        <w:rPr>
          <w:rFonts w:asciiTheme="majorBidi" w:hAnsiTheme="majorBidi" w:cstheme="majorBidi"/>
          <w:sz w:val="24"/>
          <w:szCs w:val="24"/>
        </w:rPr>
        <w:t xml:space="preserve">; 22 items on rewards, pay and evaluation of performance – </w:t>
      </w:r>
      <w:r w:rsidR="00CD6D45" w:rsidRPr="00C131FE">
        <w:rPr>
          <w:rFonts w:asciiTheme="majorBidi" w:hAnsiTheme="majorBidi" w:cstheme="majorBidi"/>
          <w:i/>
          <w:iCs/>
          <w:sz w:val="24"/>
          <w:szCs w:val="24"/>
        </w:rPr>
        <w:t>PERW</w:t>
      </w:r>
      <w:r w:rsidR="00CD6D45">
        <w:rPr>
          <w:rFonts w:asciiTheme="majorBidi" w:hAnsiTheme="majorBidi" w:cstheme="majorBidi"/>
          <w:sz w:val="24"/>
          <w:szCs w:val="24"/>
        </w:rPr>
        <w:t xml:space="preserve">; 24 items on structures and procedures – </w:t>
      </w:r>
      <w:r w:rsidR="00EC6328" w:rsidRPr="00C131FE">
        <w:rPr>
          <w:rFonts w:asciiTheme="majorBidi" w:hAnsiTheme="majorBidi" w:cstheme="majorBidi"/>
          <w:i/>
          <w:iCs/>
          <w:sz w:val="24"/>
          <w:szCs w:val="24"/>
        </w:rPr>
        <w:t>P</w:t>
      </w:r>
      <w:r w:rsidR="00CD6D45" w:rsidRPr="00C131FE">
        <w:rPr>
          <w:rFonts w:asciiTheme="majorBidi" w:hAnsiTheme="majorBidi" w:cstheme="majorBidi"/>
          <w:i/>
          <w:iCs/>
          <w:sz w:val="24"/>
          <w:szCs w:val="24"/>
        </w:rPr>
        <w:t>ROS</w:t>
      </w:r>
      <w:r w:rsidR="00CD6D45">
        <w:rPr>
          <w:rFonts w:asciiTheme="majorBidi" w:hAnsiTheme="majorBidi" w:cstheme="majorBidi"/>
          <w:sz w:val="24"/>
          <w:szCs w:val="24"/>
        </w:rPr>
        <w:t xml:space="preserve">; and 27 items on </w:t>
      </w:r>
      <w:r w:rsidR="00DD7E13">
        <w:rPr>
          <w:rFonts w:asciiTheme="majorBidi" w:hAnsiTheme="majorBidi" w:cstheme="majorBidi"/>
          <w:sz w:val="24"/>
          <w:szCs w:val="24"/>
        </w:rPr>
        <w:t>board governance</w:t>
      </w:r>
      <w:r w:rsidR="00CD6D45">
        <w:rPr>
          <w:rFonts w:asciiTheme="majorBidi" w:hAnsiTheme="majorBidi" w:cstheme="majorBidi"/>
          <w:sz w:val="24"/>
          <w:szCs w:val="24"/>
        </w:rPr>
        <w:t xml:space="preserve"> – </w:t>
      </w:r>
      <w:r w:rsidR="00CD6D45" w:rsidRPr="00C131FE">
        <w:rPr>
          <w:rFonts w:asciiTheme="majorBidi" w:hAnsiTheme="majorBidi" w:cstheme="majorBidi"/>
          <w:i/>
          <w:iCs/>
          <w:sz w:val="24"/>
          <w:szCs w:val="24"/>
        </w:rPr>
        <w:t>GONB</w:t>
      </w:r>
      <w:r w:rsidR="00CD6D45">
        <w:rPr>
          <w:rFonts w:asciiTheme="majorBidi" w:hAnsiTheme="majorBidi" w:cstheme="majorBidi"/>
          <w:sz w:val="24"/>
          <w:szCs w:val="24"/>
        </w:rPr>
        <w:t xml:space="preserve">. </w:t>
      </w:r>
      <w:r w:rsidR="004017F7" w:rsidRPr="00511F36">
        <w:rPr>
          <w:rFonts w:asciiTheme="majorBidi" w:hAnsiTheme="majorBidi" w:cstheme="majorBidi"/>
          <w:sz w:val="24"/>
          <w:szCs w:val="24"/>
        </w:rPr>
        <w:t xml:space="preserve">The items included in the </w:t>
      </w:r>
      <w:r w:rsidR="004017F7" w:rsidRPr="00511F36">
        <w:rPr>
          <w:rFonts w:asciiTheme="majorBidi" w:hAnsiTheme="majorBidi" w:cstheme="majorBidi"/>
          <w:i/>
          <w:iCs/>
          <w:sz w:val="24"/>
          <w:szCs w:val="24"/>
        </w:rPr>
        <w:t xml:space="preserve">HEGI </w:t>
      </w:r>
      <w:r w:rsidR="004017F7" w:rsidRPr="00511F36">
        <w:rPr>
          <w:rFonts w:asciiTheme="majorBidi" w:hAnsiTheme="majorBidi" w:cstheme="majorBidi"/>
          <w:sz w:val="24"/>
          <w:szCs w:val="24"/>
        </w:rPr>
        <w:t xml:space="preserve">were extracted from several </w:t>
      </w:r>
      <w:r w:rsidR="00DD7E13">
        <w:rPr>
          <w:rFonts w:asciiTheme="majorBidi" w:hAnsiTheme="majorBidi" w:cstheme="majorBidi"/>
          <w:sz w:val="24"/>
          <w:szCs w:val="24"/>
        </w:rPr>
        <w:t>sources</w:t>
      </w:r>
      <w:r w:rsidR="004017F7" w:rsidRPr="00511F36">
        <w:rPr>
          <w:rFonts w:asciiTheme="majorBidi" w:hAnsiTheme="majorBidi" w:cstheme="majorBidi"/>
          <w:sz w:val="24"/>
          <w:szCs w:val="24"/>
        </w:rPr>
        <w:t xml:space="preserve">, </w:t>
      </w:r>
      <w:r w:rsidR="00DD7E13">
        <w:rPr>
          <w:rFonts w:asciiTheme="majorBidi" w:hAnsiTheme="majorBidi" w:cstheme="majorBidi"/>
          <w:sz w:val="24"/>
          <w:szCs w:val="24"/>
        </w:rPr>
        <w:t>such as</w:t>
      </w:r>
      <w:r w:rsidRPr="00511F36">
        <w:rPr>
          <w:rFonts w:asciiTheme="majorBidi" w:hAnsiTheme="majorBidi" w:cstheme="majorBidi"/>
          <w:sz w:val="24"/>
          <w:szCs w:val="24"/>
        </w:rPr>
        <w:t xml:space="preserve"> </w:t>
      </w:r>
      <w:r w:rsidR="00BA5C98">
        <w:rPr>
          <w:rFonts w:asciiTheme="majorBidi" w:hAnsiTheme="majorBidi" w:cstheme="majorBidi"/>
          <w:sz w:val="24"/>
          <w:szCs w:val="24"/>
        </w:rPr>
        <w:t xml:space="preserve">2009, 2013, 2014 and 2015 </w:t>
      </w:r>
      <w:r w:rsidR="00DD7E13">
        <w:rPr>
          <w:rFonts w:asciiTheme="majorBidi" w:hAnsiTheme="majorBidi" w:cstheme="majorBidi"/>
          <w:sz w:val="24"/>
          <w:szCs w:val="24"/>
        </w:rPr>
        <w:t xml:space="preserve">governance codes/guidelines published </w:t>
      </w:r>
      <w:r w:rsidR="00BA5C98">
        <w:rPr>
          <w:rFonts w:asciiTheme="majorBidi" w:hAnsiTheme="majorBidi" w:cstheme="majorBidi"/>
          <w:sz w:val="24"/>
          <w:szCs w:val="24"/>
        </w:rPr>
        <w:t xml:space="preserve">by </w:t>
      </w:r>
      <w:r w:rsidR="00B45EE8">
        <w:rPr>
          <w:rFonts w:asciiTheme="majorBidi" w:hAnsiTheme="majorBidi" w:cstheme="majorBidi"/>
          <w:sz w:val="24"/>
          <w:szCs w:val="24"/>
        </w:rPr>
        <w:t xml:space="preserve">the </w:t>
      </w:r>
      <w:r w:rsidR="00BA5C98">
        <w:rPr>
          <w:rFonts w:asciiTheme="majorBidi" w:hAnsiTheme="majorBidi" w:cstheme="majorBidi"/>
          <w:sz w:val="24"/>
          <w:szCs w:val="24"/>
        </w:rPr>
        <w:t>CUC</w:t>
      </w:r>
      <w:r w:rsidR="00DD7E13">
        <w:rPr>
          <w:rFonts w:asciiTheme="majorBidi" w:hAnsiTheme="majorBidi" w:cstheme="majorBidi"/>
          <w:sz w:val="24"/>
          <w:szCs w:val="24"/>
        </w:rPr>
        <w:t xml:space="preserve">; </w:t>
      </w:r>
      <w:r w:rsidR="00BA5C98">
        <w:rPr>
          <w:rFonts w:asciiTheme="majorBidi" w:hAnsiTheme="majorBidi" w:cstheme="majorBidi"/>
          <w:sz w:val="24"/>
          <w:szCs w:val="24"/>
        </w:rPr>
        <w:t>2015</w:t>
      </w:r>
      <w:r w:rsidR="00DD7E13">
        <w:rPr>
          <w:rFonts w:asciiTheme="majorBidi" w:hAnsiTheme="majorBidi" w:cstheme="majorBidi"/>
          <w:sz w:val="24"/>
          <w:szCs w:val="24"/>
        </w:rPr>
        <w:t xml:space="preserve"> </w:t>
      </w:r>
      <w:r w:rsidR="00BA5C98">
        <w:rPr>
          <w:rFonts w:asciiTheme="majorBidi" w:hAnsiTheme="majorBidi" w:cstheme="majorBidi"/>
          <w:sz w:val="24"/>
          <w:szCs w:val="24"/>
        </w:rPr>
        <w:t xml:space="preserve">governance and remuneration of senior staff </w:t>
      </w:r>
      <w:r w:rsidR="00DD7E13">
        <w:rPr>
          <w:rFonts w:asciiTheme="majorBidi" w:hAnsiTheme="majorBidi" w:cstheme="majorBidi"/>
          <w:sz w:val="24"/>
          <w:szCs w:val="24"/>
        </w:rPr>
        <w:t xml:space="preserve">guideline </w:t>
      </w:r>
      <w:r w:rsidR="00515648">
        <w:rPr>
          <w:rFonts w:asciiTheme="majorBidi" w:hAnsiTheme="majorBidi" w:cstheme="majorBidi"/>
          <w:sz w:val="24"/>
          <w:szCs w:val="24"/>
        </w:rPr>
        <w:t xml:space="preserve">published </w:t>
      </w:r>
      <w:r w:rsidR="00BA5C98">
        <w:rPr>
          <w:rFonts w:asciiTheme="majorBidi" w:hAnsiTheme="majorBidi" w:cstheme="majorBidi"/>
          <w:sz w:val="24"/>
          <w:szCs w:val="24"/>
        </w:rPr>
        <w:t xml:space="preserve">by </w:t>
      </w:r>
      <w:r w:rsidR="00B45EE8">
        <w:rPr>
          <w:rFonts w:asciiTheme="majorBidi" w:hAnsiTheme="majorBidi" w:cstheme="majorBidi"/>
          <w:sz w:val="24"/>
          <w:szCs w:val="24"/>
        </w:rPr>
        <w:t xml:space="preserve">the </w:t>
      </w:r>
      <w:r w:rsidR="00BA5C98">
        <w:rPr>
          <w:rFonts w:asciiTheme="majorBidi" w:hAnsiTheme="majorBidi" w:cstheme="majorBidi"/>
          <w:sz w:val="24"/>
          <w:szCs w:val="24"/>
        </w:rPr>
        <w:t>CUC</w:t>
      </w:r>
      <w:r w:rsidR="00DD7E13">
        <w:rPr>
          <w:rFonts w:asciiTheme="majorBidi" w:hAnsiTheme="majorBidi" w:cstheme="majorBidi"/>
          <w:sz w:val="24"/>
          <w:szCs w:val="24"/>
        </w:rPr>
        <w:t xml:space="preserve">; </w:t>
      </w:r>
      <w:r w:rsidR="00BA5C98">
        <w:rPr>
          <w:rFonts w:asciiTheme="majorBidi" w:hAnsiTheme="majorBidi" w:cstheme="majorBidi"/>
          <w:sz w:val="24"/>
          <w:szCs w:val="24"/>
        </w:rPr>
        <w:t xml:space="preserve">2013 </w:t>
      </w:r>
      <w:r w:rsidR="00DD7E13">
        <w:rPr>
          <w:rFonts w:asciiTheme="majorBidi" w:hAnsiTheme="majorBidi" w:cstheme="majorBidi"/>
          <w:sz w:val="24"/>
          <w:szCs w:val="24"/>
        </w:rPr>
        <w:t xml:space="preserve">governance code published </w:t>
      </w:r>
      <w:r w:rsidR="00BA5C98">
        <w:rPr>
          <w:rFonts w:asciiTheme="majorBidi" w:hAnsiTheme="majorBidi" w:cstheme="majorBidi"/>
          <w:sz w:val="24"/>
          <w:szCs w:val="24"/>
        </w:rPr>
        <w:t xml:space="preserve">by </w:t>
      </w:r>
      <w:r w:rsidR="00B45EE8">
        <w:rPr>
          <w:rFonts w:asciiTheme="majorBidi" w:hAnsiTheme="majorBidi" w:cstheme="majorBidi"/>
          <w:sz w:val="24"/>
          <w:szCs w:val="24"/>
        </w:rPr>
        <w:t xml:space="preserve">the </w:t>
      </w:r>
      <w:r w:rsidR="00BA5C98">
        <w:rPr>
          <w:rFonts w:asciiTheme="majorBidi" w:hAnsiTheme="majorBidi" w:cstheme="majorBidi"/>
          <w:sz w:val="24"/>
          <w:szCs w:val="24"/>
        </w:rPr>
        <w:t>CSC</w:t>
      </w:r>
      <w:r w:rsidR="00DD7E13">
        <w:rPr>
          <w:rFonts w:asciiTheme="majorBidi" w:hAnsiTheme="majorBidi" w:cstheme="majorBidi"/>
          <w:sz w:val="24"/>
          <w:szCs w:val="24"/>
        </w:rPr>
        <w:t xml:space="preserve">; </w:t>
      </w:r>
      <w:r w:rsidR="00BA5C98">
        <w:rPr>
          <w:rFonts w:asciiTheme="majorBidi" w:hAnsiTheme="majorBidi" w:cstheme="majorBidi"/>
          <w:sz w:val="24"/>
          <w:szCs w:val="24"/>
        </w:rPr>
        <w:t xml:space="preserve">and 2008 audit committee guideline published by </w:t>
      </w:r>
      <w:r w:rsidR="00B45EE8">
        <w:rPr>
          <w:rFonts w:asciiTheme="majorBidi" w:hAnsiTheme="majorBidi" w:cstheme="majorBidi"/>
          <w:sz w:val="24"/>
          <w:szCs w:val="24"/>
        </w:rPr>
        <w:t xml:space="preserve">the </w:t>
      </w:r>
      <w:r w:rsidR="00BA5C98">
        <w:rPr>
          <w:rFonts w:asciiTheme="majorBidi" w:hAnsiTheme="majorBidi" w:cstheme="majorBidi"/>
          <w:sz w:val="24"/>
          <w:szCs w:val="24"/>
        </w:rPr>
        <w:t xml:space="preserve">CUC. </w:t>
      </w:r>
    </w:p>
    <w:p w14:paraId="294CF17A" w14:textId="1856E5C1" w:rsidR="0027596C" w:rsidRDefault="004C230B" w:rsidP="00C63EF2">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 xml:space="preserve">Items contained in the HEGI were coded by employing the widely used binary/dichotomous </w:t>
      </w:r>
      <w:r w:rsidR="00011986">
        <w:rPr>
          <w:rFonts w:asciiTheme="majorBidi" w:hAnsiTheme="majorBidi" w:cstheme="majorBidi"/>
          <w:sz w:val="24"/>
          <w:szCs w:val="24"/>
        </w:rPr>
        <w:t>scoring</w:t>
      </w:r>
      <w:r w:rsidR="00011986" w:rsidRPr="00511F36">
        <w:rPr>
          <w:rFonts w:asciiTheme="majorBidi" w:hAnsiTheme="majorBidi" w:cstheme="majorBidi"/>
          <w:sz w:val="24"/>
          <w:szCs w:val="24"/>
        </w:rPr>
        <w:t xml:space="preserve"> </w:t>
      </w:r>
      <w:r w:rsidRPr="00511F36">
        <w:rPr>
          <w:rFonts w:asciiTheme="majorBidi" w:hAnsiTheme="majorBidi" w:cstheme="majorBidi"/>
          <w:sz w:val="24"/>
          <w:szCs w:val="24"/>
        </w:rPr>
        <w:t>method</w:t>
      </w:r>
      <w:r w:rsidR="00BA5C98">
        <w:rPr>
          <w:rFonts w:asciiTheme="majorBidi" w:hAnsiTheme="majorBidi" w:cstheme="majorBidi"/>
          <w:sz w:val="24"/>
          <w:szCs w:val="24"/>
        </w:rPr>
        <w:t xml:space="preserve"> (</w:t>
      </w:r>
      <w:r w:rsidR="00003A8E">
        <w:rPr>
          <w:rFonts w:asciiTheme="majorBidi" w:hAnsiTheme="majorBidi" w:cstheme="majorBidi"/>
          <w:sz w:val="24"/>
          <w:szCs w:val="24"/>
        </w:rPr>
        <w:t xml:space="preserve">a value of </w:t>
      </w:r>
      <w:r w:rsidR="007A3632">
        <w:rPr>
          <w:rFonts w:asciiTheme="majorBidi" w:hAnsiTheme="majorBidi" w:cstheme="majorBidi"/>
          <w:sz w:val="24"/>
          <w:szCs w:val="24"/>
        </w:rPr>
        <w:t>“</w:t>
      </w:r>
      <w:r w:rsidR="00003A8E">
        <w:rPr>
          <w:rFonts w:asciiTheme="majorBidi" w:hAnsiTheme="majorBidi" w:cstheme="majorBidi"/>
          <w:sz w:val="24"/>
          <w:szCs w:val="24"/>
        </w:rPr>
        <w:t>1</w:t>
      </w:r>
      <w:r w:rsidR="007A3632">
        <w:rPr>
          <w:rFonts w:asciiTheme="majorBidi" w:hAnsiTheme="majorBidi" w:cstheme="majorBidi"/>
          <w:sz w:val="24"/>
          <w:szCs w:val="24"/>
        </w:rPr>
        <w:t>”</w:t>
      </w:r>
      <w:r w:rsidR="00003A8E">
        <w:rPr>
          <w:rFonts w:asciiTheme="majorBidi" w:hAnsiTheme="majorBidi" w:cstheme="majorBidi"/>
          <w:sz w:val="24"/>
          <w:szCs w:val="24"/>
        </w:rPr>
        <w:t xml:space="preserve"> is </w:t>
      </w:r>
      <w:r w:rsidR="007A6057">
        <w:rPr>
          <w:rFonts w:asciiTheme="majorBidi" w:hAnsiTheme="majorBidi" w:cstheme="majorBidi"/>
          <w:sz w:val="24"/>
          <w:szCs w:val="24"/>
        </w:rPr>
        <w:t>awarded</w:t>
      </w:r>
      <w:r w:rsidR="00003A8E">
        <w:rPr>
          <w:rFonts w:asciiTheme="majorBidi" w:hAnsiTheme="majorBidi" w:cstheme="majorBidi"/>
          <w:sz w:val="24"/>
          <w:szCs w:val="24"/>
        </w:rPr>
        <w:t xml:space="preserve"> to governance</w:t>
      </w:r>
      <w:r w:rsidR="00BA5C98">
        <w:rPr>
          <w:rFonts w:asciiTheme="majorBidi" w:hAnsiTheme="majorBidi" w:cstheme="majorBidi"/>
          <w:sz w:val="24"/>
          <w:szCs w:val="24"/>
        </w:rPr>
        <w:t xml:space="preserve"> provision</w:t>
      </w:r>
      <w:r w:rsidR="00003A8E">
        <w:rPr>
          <w:rFonts w:asciiTheme="majorBidi" w:hAnsiTheme="majorBidi" w:cstheme="majorBidi"/>
          <w:sz w:val="24"/>
          <w:szCs w:val="24"/>
        </w:rPr>
        <w:t xml:space="preserve">s </w:t>
      </w:r>
      <w:r w:rsidR="007A6057">
        <w:rPr>
          <w:rFonts w:asciiTheme="majorBidi" w:hAnsiTheme="majorBidi" w:cstheme="majorBidi"/>
          <w:sz w:val="24"/>
          <w:szCs w:val="24"/>
        </w:rPr>
        <w:t>that</w:t>
      </w:r>
      <w:r w:rsidR="00003A8E">
        <w:rPr>
          <w:rFonts w:asciiTheme="majorBidi" w:hAnsiTheme="majorBidi" w:cstheme="majorBidi"/>
          <w:sz w:val="24"/>
          <w:szCs w:val="24"/>
        </w:rPr>
        <w:t xml:space="preserve"> are disclosed in the annual reports of HEIs and</w:t>
      </w:r>
      <w:r w:rsidR="00BA5C98">
        <w:rPr>
          <w:rFonts w:asciiTheme="majorBidi" w:hAnsiTheme="majorBidi" w:cstheme="majorBidi"/>
          <w:sz w:val="24"/>
          <w:szCs w:val="24"/>
        </w:rPr>
        <w:t xml:space="preserve"> </w:t>
      </w:r>
      <w:r w:rsidR="00003A8E">
        <w:rPr>
          <w:rFonts w:asciiTheme="majorBidi" w:hAnsiTheme="majorBidi" w:cstheme="majorBidi"/>
          <w:sz w:val="24"/>
          <w:szCs w:val="24"/>
        </w:rPr>
        <w:t>0 otherwise</w:t>
      </w:r>
      <w:r w:rsidR="007A6057">
        <w:rPr>
          <w:rFonts w:asciiTheme="majorBidi" w:hAnsiTheme="majorBidi" w:cstheme="majorBidi"/>
          <w:sz w:val="24"/>
          <w:szCs w:val="24"/>
        </w:rPr>
        <w:t>)</w:t>
      </w:r>
      <w:r w:rsidR="00003A8E">
        <w:rPr>
          <w:rFonts w:asciiTheme="majorBidi" w:hAnsiTheme="majorBidi" w:cstheme="majorBidi"/>
          <w:sz w:val="24"/>
          <w:szCs w:val="24"/>
        </w:rPr>
        <w:t xml:space="preserve">. </w:t>
      </w:r>
      <w:r w:rsidR="00B71272">
        <w:rPr>
          <w:rFonts w:asciiTheme="majorBidi" w:hAnsiTheme="majorBidi" w:cstheme="majorBidi"/>
          <w:sz w:val="24"/>
          <w:szCs w:val="24"/>
        </w:rPr>
        <w:t xml:space="preserve">Using this </w:t>
      </w:r>
      <w:r w:rsidR="004D6467">
        <w:rPr>
          <w:rFonts w:asciiTheme="majorBidi" w:hAnsiTheme="majorBidi" w:cstheme="majorBidi"/>
          <w:sz w:val="24"/>
          <w:szCs w:val="24"/>
        </w:rPr>
        <w:t>scoring</w:t>
      </w:r>
      <w:r w:rsidR="00B71272">
        <w:rPr>
          <w:rFonts w:asciiTheme="majorBidi" w:hAnsiTheme="majorBidi" w:cstheme="majorBidi"/>
          <w:sz w:val="24"/>
          <w:szCs w:val="24"/>
        </w:rPr>
        <w:t xml:space="preserve"> method, a HE’s overall compliance/disclosure score can range between 0 and 100, which is then expressed as a percentage that may range from </w:t>
      </w:r>
      <w:r w:rsidR="00011986">
        <w:rPr>
          <w:rFonts w:asciiTheme="majorBidi" w:hAnsiTheme="majorBidi" w:cstheme="majorBidi"/>
          <w:sz w:val="24"/>
          <w:szCs w:val="24"/>
        </w:rPr>
        <w:t>0% (</w:t>
      </w:r>
      <w:r w:rsidR="004D6467">
        <w:rPr>
          <w:rFonts w:asciiTheme="majorBidi" w:hAnsiTheme="majorBidi" w:cstheme="majorBidi"/>
          <w:sz w:val="24"/>
          <w:szCs w:val="24"/>
        </w:rPr>
        <w:t xml:space="preserve">0 out of the 100 best governance provisions included in our HEGI – </w:t>
      </w:r>
      <w:r w:rsidR="00011986">
        <w:rPr>
          <w:rFonts w:asciiTheme="majorBidi" w:hAnsiTheme="majorBidi" w:cstheme="majorBidi"/>
          <w:sz w:val="24"/>
          <w:szCs w:val="24"/>
        </w:rPr>
        <w:t>indicating poor compliance/disclosure) and 100% (</w:t>
      </w:r>
      <w:r w:rsidR="004D6467">
        <w:rPr>
          <w:rFonts w:asciiTheme="majorBidi" w:hAnsiTheme="majorBidi" w:cstheme="majorBidi"/>
          <w:sz w:val="24"/>
          <w:szCs w:val="24"/>
        </w:rPr>
        <w:t xml:space="preserve">100 out of the 100 best governance provisions included in our HEGI – </w:t>
      </w:r>
      <w:r w:rsidR="00011986">
        <w:rPr>
          <w:rFonts w:asciiTheme="majorBidi" w:hAnsiTheme="majorBidi" w:cstheme="majorBidi"/>
          <w:sz w:val="24"/>
          <w:szCs w:val="24"/>
        </w:rPr>
        <w:t>indicating strong compliance/disclosure).</w:t>
      </w:r>
      <w:r w:rsidR="000126FC">
        <w:rPr>
          <w:rFonts w:asciiTheme="majorBidi" w:hAnsiTheme="majorBidi" w:cstheme="majorBidi"/>
          <w:sz w:val="24"/>
          <w:szCs w:val="24"/>
        </w:rPr>
        <w:t xml:space="preserve"> </w:t>
      </w:r>
      <w:r w:rsidR="00F856D8">
        <w:rPr>
          <w:rFonts w:asciiTheme="majorBidi" w:hAnsiTheme="majorBidi" w:cstheme="majorBidi"/>
          <w:sz w:val="24"/>
          <w:szCs w:val="24"/>
        </w:rPr>
        <w:t>We employed</w:t>
      </w:r>
      <w:r w:rsidR="000126FC">
        <w:rPr>
          <w:rFonts w:asciiTheme="majorBidi" w:hAnsiTheme="majorBidi" w:cstheme="majorBidi"/>
          <w:sz w:val="24"/>
          <w:szCs w:val="24"/>
        </w:rPr>
        <w:t xml:space="preserve"> the same approach (i.e., governance score expressed as a percentage</w:t>
      </w:r>
      <w:r w:rsidR="00D93CBC">
        <w:rPr>
          <w:rFonts w:asciiTheme="majorBidi" w:hAnsiTheme="majorBidi" w:cstheme="majorBidi"/>
          <w:sz w:val="24"/>
          <w:szCs w:val="24"/>
        </w:rPr>
        <w:t xml:space="preserve"> of the examined provisions</w:t>
      </w:r>
      <w:r w:rsidR="000126FC">
        <w:rPr>
          <w:rFonts w:asciiTheme="majorBidi" w:hAnsiTheme="majorBidi" w:cstheme="majorBidi"/>
          <w:sz w:val="24"/>
          <w:szCs w:val="24"/>
        </w:rPr>
        <w:t xml:space="preserve">) to compute our sub-indices. For example, </w:t>
      </w:r>
      <w:r w:rsidR="00F856D8">
        <w:rPr>
          <w:rFonts w:asciiTheme="majorBidi" w:hAnsiTheme="majorBidi" w:cstheme="majorBidi"/>
          <w:sz w:val="24"/>
          <w:szCs w:val="24"/>
        </w:rPr>
        <w:t>the governing board</w:t>
      </w:r>
      <w:r w:rsidR="000126FC">
        <w:rPr>
          <w:rFonts w:asciiTheme="majorBidi" w:hAnsiTheme="majorBidi" w:cstheme="majorBidi"/>
          <w:sz w:val="24"/>
          <w:szCs w:val="24"/>
        </w:rPr>
        <w:t xml:space="preserve"> sub-index</w:t>
      </w:r>
      <w:r w:rsidR="00F856D8">
        <w:rPr>
          <w:rFonts w:asciiTheme="majorBidi" w:hAnsiTheme="majorBidi" w:cstheme="majorBidi"/>
          <w:sz w:val="24"/>
          <w:szCs w:val="24"/>
        </w:rPr>
        <w:t xml:space="preserve"> (</w:t>
      </w:r>
      <w:r w:rsidR="00F856D8" w:rsidRPr="00C131FE">
        <w:rPr>
          <w:rFonts w:asciiTheme="majorBidi" w:hAnsiTheme="majorBidi" w:cstheme="majorBidi"/>
          <w:i/>
          <w:iCs/>
          <w:sz w:val="24"/>
          <w:szCs w:val="24"/>
        </w:rPr>
        <w:t>GONB</w:t>
      </w:r>
      <w:r w:rsidR="00F856D8">
        <w:rPr>
          <w:rFonts w:asciiTheme="majorBidi" w:hAnsiTheme="majorBidi" w:cstheme="majorBidi"/>
          <w:sz w:val="24"/>
          <w:szCs w:val="24"/>
        </w:rPr>
        <w:t>)</w:t>
      </w:r>
      <w:r w:rsidR="000126FC">
        <w:rPr>
          <w:rFonts w:asciiTheme="majorBidi" w:hAnsiTheme="majorBidi" w:cstheme="majorBidi"/>
          <w:sz w:val="24"/>
          <w:szCs w:val="24"/>
        </w:rPr>
        <w:t xml:space="preserve"> score may range from 0% (0 out of the </w:t>
      </w:r>
      <w:r w:rsidR="00F856D8">
        <w:rPr>
          <w:rFonts w:asciiTheme="majorBidi" w:hAnsiTheme="majorBidi" w:cstheme="majorBidi"/>
          <w:sz w:val="24"/>
          <w:szCs w:val="24"/>
        </w:rPr>
        <w:t xml:space="preserve">27 </w:t>
      </w:r>
      <w:r w:rsidR="000126FC">
        <w:rPr>
          <w:rFonts w:asciiTheme="majorBidi" w:hAnsiTheme="majorBidi" w:cstheme="majorBidi"/>
          <w:sz w:val="24"/>
          <w:szCs w:val="24"/>
        </w:rPr>
        <w:t xml:space="preserve">best </w:t>
      </w:r>
      <w:r w:rsidR="00F856D8">
        <w:rPr>
          <w:rFonts w:asciiTheme="majorBidi" w:hAnsiTheme="majorBidi" w:cstheme="majorBidi"/>
          <w:sz w:val="24"/>
          <w:szCs w:val="24"/>
        </w:rPr>
        <w:t>governing board</w:t>
      </w:r>
      <w:r w:rsidR="000126FC">
        <w:rPr>
          <w:rFonts w:asciiTheme="majorBidi" w:hAnsiTheme="majorBidi" w:cstheme="majorBidi"/>
          <w:sz w:val="24"/>
          <w:szCs w:val="24"/>
        </w:rPr>
        <w:t xml:space="preserve"> </w:t>
      </w:r>
      <w:r w:rsidR="00F856D8">
        <w:rPr>
          <w:rFonts w:asciiTheme="majorBidi" w:hAnsiTheme="majorBidi" w:cstheme="majorBidi"/>
          <w:sz w:val="24"/>
          <w:szCs w:val="24"/>
        </w:rPr>
        <w:t>provisions</w:t>
      </w:r>
      <w:r w:rsidR="000126FC">
        <w:rPr>
          <w:rFonts w:asciiTheme="majorBidi" w:hAnsiTheme="majorBidi" w:cstheme="majorBidi"/>
          <w:sz w:val="24"/>
          <w:szCs w:val="24"/>
        </w:rPr>
        <w:t xml:space="preserve"> included in this sub-index) and 100% </w:t>
      </w:r>
      <w:r w:rsidR="00F856D8">
        <w:rPr>
          <w:rFonts w:asciiTheme="majorBidi" w:hAnsiTheme="majorBidi" w:cstheme="majorBidi"/>
          <w:sz w:val="24"/>
          <w:szCs w:val="24"/>
        </w:rPr>
        <w:t>(27 out of the 27 best governing board provisions included in this sub-index).</w:t>
      </w:r>
      <w:r w:rsidR="00D93CBC">
        <w:rPr>
          <w:rFonts w:asciiTheme="majorBidi" w:hAnsiTheme="majorBidi" w:cstheme="majorBidi"/>
          <w:sz w:val="24"/>
          <w:szCs w:val="24"/>
        </w:rPr>
        <w:t xml:space="preserve"> The 100 best governance provisions included in our </w:t>
      </w:r>
      <w:r w:rsidR="00D93CBC" w:rsidRPr="00C131FE">
        <w:rPr>
          <w:rFonts w:asciiTheme="majorBidi" w:hAnsiTheme="majorBidi" w:cstheme="majorBidi"/>
          <w:i/>
          <w:iCs/>
          <w:sz w:val="24"/>
          <w:szCs w:val="24"/>
        </w:rPr>
        <w:t>HEGI</w:t>
      </w:r>
      <w:r w:rsidR="00D93CBC">
        <w:rPr>
          <w:rFonts w:asciiTheme="majorBidi" w:hAnsiTheme="majorBidi" w:cstheme="majorBidi"/>
          <w:sz w:val="24"/>
          <w:szCs w:val="24"/>
        </w:rPr>
        <w:t xml:space="preserve"> are pre</w:t>
      </w:r>
      <w:r w:rsidR="005551A8">
        <w:rPr>
          <w:rFonts w:asciiTheme="majorBidi" w:hAnsiTheme="majorBidi" w:cstheme="majorBidi"/>
          <w:sz w:val="24"/>
          <w:szCs w:val="24"/>
        </w:rPr>
        <w:t xml:space="preserve">sented and defined in </w:t>
      </w:r>
      <w:r w:rsidR="00B45EE8">
        <w:rPr>
          <w:rFonts w:asciiTheme="majorBidi" w:hAnsiTheme="majorBidi" w:cstheme="majorBidi"/>
          <w:sz w:val="24"/>
          <w:szCs w:val="24"/>
        </w:rPr>
        <w:t xml:space="preserve">the </w:t>
      </w:r>
      <w:r w:rsidR="005551A8">
        <w:rPr>
          <w:rFonts w:asciiTheme="majorBidi" w:hAnsiTheme="majorBidi" w:cstheme="majorBidi"/>
          <w:sz w:val="24"/>
          <w:szCs w:val="24"/>
        </w:rPr>
        <w:t>Appendix</w:t>
      </w:r>
      <w:r w:rsidR="00D93CBC">
        <w:rPr>
          <w:rFonts w:asciiTheme="majorBidi" w:hAnsiTheme="majorBidi" w:cstheme="majorBidi"/>
          <w:sz w:val="24"/>
          <w:szCs w:val="24"/>
        </w:rPr>
        <w:t xml:space="preserve">. </w:t>
      </w:r>
    </w:p>
    <w:p w14:paraId="1F5AA3FE" w14:textId="52A67FAF" w:rsidR="0000547F" w:rsidRDefault="000E08A9" w:rsidP="00C63EF2">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Th</w:t>
      </w:r>
      <w:r w:rsidR="0027596C">
        <w:rPr>
          <w:rFonts w:asciiTheme="majorBidi" w:hAnsiTheme="majorBidi" w:cstheme="majorBidi"/>
          <w:sz w:val="24"/>
          <w:szCs w:val="24"/>
        </w:rPr>
        <w:t xml:space="preserve">e binary/dichotomous scoring method has been employed in our study due to the following </w:t>
      </w:r>
      <w:r w:rsidR="00F81AC7">
        <w:rPr>
          <w:rFonts w:asciiTheme="majorBidi" w:hAnsiTheme="majorBidi" w:cstheme="majorBidi"/>
          <w:sz w:val="24"/>
          <w:szCs w:val="24"/>
        </w:rPr>
        <w:t>three</w:t>
      </w:r>
      <w:r w:rsidR="0027596C">
        <w:rPr>
          <w:rFonts w:asciiTheme="majorBidi" w:hAnsiTheme="majorBidi" w:cstheme="majorBidi"/>
          <w:sz w:val="24"/>
          <w:szCs w:val="24"/>
        </w:rPr>
        <w:t xml:space="preserve"> reasons. First, </w:t>
      </w:r>
      <w:r w:rsidR="008C4E3A">
        <w:rPr>
          <w:rFonts w:asciiTheme="majorBidi" w:hAnsiTheme="majorBidi" w:cstheme="majorBidi"/>
          <w:sz w:val="24"/>
          <w:szCs w:val="24"/>
        </w:rPr>
        <w:t xml:space="preserve">there is no general theoretical agreement on how different governance disclosure items should be weighted, and hence using the binary/dichotomous scoring scheme seems to be appropriate, since it can eliminate any bias towards a particular </w:t>
      </w:r>
      <w:r w:rsidR="008C4E3A">
        <w:rPr>
          <w:rFonts w:asciiTheme="majorBidi" w:hAnsiTheme="majorBidi" w:cstheme="majorBidi"/>
          <w:sz w:val="24"/>
          <w:szCs w:val="24"/>
        </w:rPr>
        <w:lastRenderedPageBreak/>
        <w:t xml:space="preserve">governance disclosure </w:t>
      </w:r>
      <w:r w:rsidR="00FA2938">
        <w:rPr>
          <w:rFonts w:asciiTheme="majorBidi" w:hAnsiTheme="majorBidi" w:cstheme="majorBidi"/>
          <w:sz w:val="24"/>
          <w:szCs w:val="24"/>
        </w:rPr>
        <w:t xml:space="preserve">items, as is </w:t>
      </w:r>
      <w:r w:rsidR="00A66A2C">
        <w:rPr>
          <w:rFonts w:asciiTheme="majorBidi" w:hAnsiTheme="majorBidi" w:cstheme="majorBidi"/>
          <w:sz w:val="24"/>
          <w:szCs w:val="24"/>
        </w:rPr>
        <w:t>typically</w:t>
      </w:r>
      <w:r w:rsidR="00FA2938">
        <w:rPr>
          <w:rFonts w:asciiTheme="majorBidi" w:hAnsiTheme="majorBidi" w:cstheme="majorBidi"/>
          <w:sz w:val="24"/>
          <w:szCs w:val="24"/>
        </w:rPr>
        <w:t xml:space="preserve"> the case with binary coding method</w:t>
      </w:r>
      <w:r w:rsidR="008C4E3A">
        <w:rPr>
          <w:rFonts w:asciiTheme="majorBidi" w:hAnsiTheme="majorBidi" w:cstheme="majorBidi"/>
          <w:sz w:val="24"/>
          <w:szCs w:val="24"/>
        </w:rPr>
        <w:t xml:space="preserve"> </w:t>
      </w:r>
      <w:r w:rsidR="00FA2938">
        <w:rPr>
          <w:rFonts w:asciiTheme="majorBidi" w:hAnsiTheme="majorBidi" w:cstheme="majorBidi"/>
          <w:sz w:val="24"/>
          <w:szCs w:val="24"/>
        </w:rPr>
        <w:t>(Barako et al., 2006</w:t>
      </w:r>
      <w:r w:rsidR="00043DBD">
        <w:rPr>
          <w:rFonts w:asciiTheme="majorBidi" w:hAnsiTheme="majorBidi" w:cstheme="majorBidi"/>
          <w:sz w:val="24"/>
          <w:szCs w:val="24"/>
        </w:rPr>
        <w:t>; Ntim et al., 2012</w:t>
      </w:r>
      <w:r w:rsidR="00FA2938">
        <w:rPr>
          <w:rFonts w:asciiTheme="majorBidi" w:hAnsiTheme="majorBidi" w:cstheme="majorBidi"/>
          <w:sz w:val="24"/>
          <w:szCs w:val="24"/>
        </w:rPr>
        <w:t>)</w:t>
      </w:r>
      <w:r w:rsidR="008C4E3A">
        <w:rPr>
          <w:rFonts w:asciiTheme="majorBidi" w:hAnsiTheme="majorBidi" w:cstheme="majorBidi"/>
          <w:sz w:val="24"/>
          <w:szCs w:val="24"/>
        </w:rPr>
        <w:t xml:space="preserve">. Second, </w:t>
      </w:r>
      <w:r w:rsidR="006813B3">
        <w:rPr>
          <w:rFonts w:asciiTheme="majorBidi" w:hAnsiTheme="majorBidi" w:cstheme="majorBidi"/>
          <w:sz w:val="24"/>
          <w:szCs w:val="24"/>
        </w:rPr>
        <w:t xml:space="preserve">and distinct from ordinal scoring approach, the binary/dichotomous scoring </w:t>
      </w:r>
      <w:r w:rsidR="007671E8">
        <w:rPr>
          <w:rFonts w:asciiTheme="majorBidi" w:hAnsiTheme="majorBidi" w:cstheme="majorBidi"/>
          <w:sz w:val="24"/>
          <w:szCs w:val="24"/>
        </w:rPr>
        <w:t>scheme</w:t>
      </w:r>
      <w:r w:rsidR="0027596C">
        <w:rPr>
          <w:rFonts w:asciiTheme="majorBidi" w:hAnsiTheme="majorBidi" w:cstheme="majorBidi"/>
          <w:sz w:val="24"/>
          <w:szCs w:val="24"/>
        </w:rPr>
        <w:t xml:space="preserve"> </w:t>
      </w:r>
      <w:r w:rsidR="006813B3">
        <w:rPr>
          <w:rFonts w:asciiTheme="majorBidi" w:hAnsiTheme="majorBidi" w:cstheme="majorBidi"/>
          <w:sz w:val="24"/>
          <w:szCs w:val="24"/>
        </w:rPr>
        <w:t xml:space="preserve">does not require coders to make any judgement </w:t>
      </w:r>
      <w:r w:rsidR="007671E8">
        <w:rPr>
          <w:rFonts w:asciiTheme="majorBidi" w:hAnsiTheme="majorBidi" w:cstheme="majorBidi"/>
          <w:sz w:val="24"/>
          <w:szCs w:val="24"/>
        </w:rPr>
        <w:t>about the weight of different governance items</w:t>
      </w:r>
      <w:r w:rsidR="00835C40">
        <w:rPr>
          <w:rFonts w:asciiTheme="majorBidi" w:hAnsiTheme="majorBidi" w:cstheme="majorBidi"/>
          <w:sz w:val="24"/>
          <w:szCs w:val="24"/>
        </w:rPr>
        <w:t xml:space="preserve"> (Elmagrhi et al., 2018; Haniffa </w:t>
      </w:r>
      <w:r w:rsidR="00835C40" w:rsidRPr="00D32E78">
        <w:rPr>
          <w:rFonts w:asciiTheme="majorBidi" w:hAnsiTheme="majorBidi" w:cstheme="majorBidi"/>
          <w:sz w:val="24"/>
          <w:szCs w:val="24"/>
        </w:rPr>
        <w:t>&amp; Cooke</w:t>
      </w:r>
      <w:r w:rsidR="00835C40">
        <w:rPr>
          <w:rFonts w:asciiTheme="majorBidi" w:hAnsiTheme="majorBidi" w:cstheme="majorBidi"/>
          <w:sz w:val="24"/>
          <w:szCs w:val="24"/>
        </w:rPr>
        <w:t>, 2002)</w:t>
      </w:r>
      <w:r w:rsidR="007671E8">
        <w:rPr>
          <w:rFonts w:asciiTheme="majorBidi" w:hAnsiTheme="majorBidi" w:cstheme="majorBidi"/>
          <w:sz w:val="24"/>
          <w:szCs w:val="24"/>
        </w:rPr>
        <w:t>,</w:t>
      </w:r>
      <w:r w:rsidR="00F81AC7">
        <w:rPr>
          <w:rFonts w:asciiTheme="majorBidi" w:hAnsiTheme="majorBidi" w:cstheme="majorBidi"/>
          <w:sz w:val="24"/>
          <w:szCs w:val="24"/>
        </w:rPr>
        <w:t xml:space="preserve"> and this </w:t>
      </w:r>
      <w:r w:rsidR="00A00F0A">
        <w:rPr>
          <w:rFonts w:asciiTheme="majorBidi" w:hAnsiTheme="majorBidi" w:cstheme="majorBidi"/>
          <w:sz w:val="24"/>
          <w:szCs w:val="24"/>
        </w:rPr>
        <w:t>may</w:t>
      </w:r>
      <w:r w:rsidR="00F81AC7">
        <w:rPr>
          <w:rFonts w:asciiTheme="majorBidi" w:hAnsiTheme="majorBidi" w:cstheme="majorBidi"/>
          <w:sz w:val="24"/>
          <w:szCs w:val="24"/>
        </w:rPr>
        <w:t xml:space="preserve"> </w:t>
      </w:r>
      <w:r w:rsidR="003D0BB4">
        <w:rPr>
          <w:rFonts w:asciiTheme="majorBidi" w:hAnsiTheme="majorBidi" w:cstheme="majorBidi"/>
          <w:sz w:val="24"/>
          <w:szCs w:val="24"/>
        </w:rPr>
        <w:t>decrease</w:t>
      </w:r>
      <w:r w:rsidR="00F81AC7">
        <w:rPr>
          <w:rFonts w:asciiTheme="majorBidi" w:hAnsiTheme="majorBidi" w:cstheme="majorBidi"/>
          <w:sz w:val="24"/>
          <w:szCs w:val="24"/>
        </w:rPr>
        <w:t xml:space="preserve"> the subjectivity in weighting a</w:t>
      </w:r>
      <w:r w:rsidR="003D0BB4">
        <w:rPr>
          <w:rFonts w:asciiTheme="majorBidi" w:hAnsiTheme="majorBidi" w:cstheme="majorBidi"/>
          <w:sz w:val="24"/>
          <w:szCs w:val="24"/>
        </w:rPr>
        <w:t>nd improve</w:t>
      </w:r>
      <w:r w:rsidR="00F81AC7">
        <w:rPr>
          <w:rFonts w:asciiTheme="majorBidi" w:hAnsiTheme="majorBidi" w:cstheme="majorBidi"/>
          <w:sz w:val="24"/>
          <w:szCs w:val="24"/>
        </w:rPr>
        <w:t xml:space="preserve"> the</w:t>
      </w:r>
      <w:r w:rsidR="00835C40">
        <w:rPr>
          <w:rFonts w:asciiTheme="majorBidi" w:hAnsiTheme="majorBidi" w:cstheme="majorBidi"/>
          <w:sz w:val="24"/>
          <w:szCs w:val="24"/>
        </w:rPr>
        <w:t xml:space="preserve"> reliability of our developed index.</w:t>
      </w:r>
      <w:r w:rsidR="00F81AC7">
        <w:rPr>
          <w:rFonts w:asciiTheme="majorBidi" w:hAnsiTheme="majorBidi" w:cstheme="majorBidi"/>
          <w:sz w:val="24"/>
          <w:szCs w:val="24"/>
        </w:rPr>
        <w:t xml:space="preserve"> </w:t>
      </w:r>
      <w:r w:rsidR="00A66A2C">
        <w:rPr>
          <w:rFonts w:asciiTheme="majorBidi" w:hAnsiTheme="majorBidi" w:cstheme="majorBidi"/>
          <w:sz w:val="24"/>
          <w:szCs w:val="24"/>
        </w:rPr>
        <w:t xml:space="preserve">Finally, binary/dichotomous scoring has largely been adopted by prior </w:t>
      </w:r>
      <w:r w:rsidR="006772B1">
        <w:rPr>
          <w:rFonts w:asciiTheme="majorBidi" w:hAnsiTheme="majorBidi" w:cstheme="majorBidi"/>
          <w:sz w:val="24"/>
          <w:szCs w:val="24"/>
        </w:rPr>
        <w:t>studies (</w:t>
      </w:r>
      <w:r w:rsidR="00173777">
        <w:rPr>
          <w:rFonts w:asciiTheme="majorBidi" w:eastAsia="Times New Roman" w:hAnsiTheme="majorBidi" w:cstheme="majorBidi"/>
          <w:sz w:val="24"/>
          <w:szCs w:val="24"/>
          <w:lang w:val="pt-PT" w:eastAsia="en-GB"/>
        </w:rPr>
        <w:t>Allegrini</w:t>
      </w:r>
      <w:r w:rsidR="00173777" w:rsidRPr="00605ADB">
        <w:rPr>
          <w:rFonts w:asciiTheme="majorBidi" w:eastAsia="Times New Roman" w:hAnsiTheme="majorBidi" w:cstheme="majorBidi"/>
          <w:sz w:val="24"/>
          <w:szCs w:val="24"/>
          <w:lang w:val="pt-PT" w:eastAsia="en-GB"/>
        </w:rPr>
        <w:t xml:space="preserve"> &amp; Greco</w:t>
      </w:r>
      <w:r w:rsidR="00173777">
        <w:rPr>
          <w:rFonts w:asciiTheme="majorBidi" w:hAnsiTheme="majorBidi" w:cstheme="majorBidi"/>
          <w:sz w:val="24"/>
          <w:szCs w:val="24"/>
        </w:rPr>
        <w:t xml:space="preserve">, 2013; </w:t>
      </w:r>
      <w:r w:rsidR="006772B1">
        <w:rPr>
          <w:rFonts w:asciiTheme="majorBidi" w:hAnsiTheme="majorBidi" w:cstheme="majorBidi"/>
          <w:sz w:val="24"/>
          <w:szCs w:val="24"/>
        </w:rPr>
        <w:t>Beekes</w:t>
      </w:r>
      <w:r w:rsidR="006772B1" w:rsidRPr="00511F36">
        <w:rPr>
          <w:rFonts w:asciiTheme="majorBidi" w:hAnsiTheme="majorBidi" w:cstheme="majorBidi"/>
          <w:sz w:val="24"/>
          <w:szCs w:val="24"/>
        </w:rPr>
        <w:t xml:space="preserve"> </w:t>
      </w:r>
      <w:r w:rsidR="006772B1">
        <w:rPr>
          <w:rFonts w:asciiTheme="majorBidi" w:hAnsiTheme="majorBidi" w:cstheme="majorBidi"/>
          <w:sz w:val="24"/>
          <w:szCs w:val="24"/>
        </w:rPr>
        <w:t>&amp;</w:t>
      </w:r>
      <w:r w:rsidR="006772B1" w:rsidRPr="00511F36">
        <w:rPr>
          <w:rFonts w:asciiTheme="majorBidi" w:hAnsiTheme="majorBidi" w:cstheme="majorBidi"/>
          <w:sz w:val="24"/>
          <w:szCs w:val="24"/>
        </w:rPr>
        <w:t xml:space="preserve"> Brown</w:t>
      </w:r>
      <w:r w:rsidR="006772B1">
        <w:rPr>
          <w:rFonts w:asciiTheme="majorBidi" w:hAnsiTheme="majorBidi" w:cstheme="majorBidi"/>
          <w:sz w:val="24"/>
          <w:szCs w:val="24"/>
        </w:rPr>
        <w:t xml:space="preserve">, 2006; Elmagrhi et al., 2016, 2018; Haniffa </w:t>
      </w:r>
      <w:r w:rsidR="006772B1" w:rsidRPr="00D32E78">
        <w:rPr>
          <w:rFonts w:asciiTheme="majorBidi" w:hAnsiTheme="majorBidi" w:cstheme="majorBidi"/>
          <w:sz w:val="24"/>
          <w:szCs w:val="24"/>
        </w:rPr>
        <w:t>&amp; Cooke</w:t>
      </w:r>
      <w:r w:rsidR="006772B1">
        <w:rPr>
          <w:rFonts w:asciiTheme="majorBidi" w:hAnsiTheme="majorBidi" w:cstheme="majorBidi"/>
          <w:sz w:val="24"/>
          <w:szCs w:val="24"/>
        </w:rPr>
        <w:t xml:space="preserve">, 2002; Ntim et al., 2012), and this can facilitate comparison with the findings of these studies. </w:t>
      </w:r>
    </w:p>
    <w:p w14:paraId="3617537B" w14:textId="587D301E" w:rsidR="00410490" w:rsidRDefault="0000668A" w:rsidP="00C63EF2">
      <w:pPr>
        <w:spacing w:after="0" w:line="480" w:lineRule="auto"/>
        <w:ind w:firstLine="426"/>
        <w:jc w:val="both"/>
        <w:rPr>
          <w:rFonts w:asciiTheme="majorBidi" w:hAnsiTheme="majorBidi" w:cstheme="majorBidi"/>
          <w:sz w:val="24"/>
          <w:szCs w:val="24"/>
        </w:rPr>
      </w:pPr>
      <w:r w:rsidRPr="0000668A">
        <w:rPr>
          <w:rFonts w:asciiTheme="majorBidi" w:hAnsiTheme="majorBidi" w:cstheme="majorBidi"/>
          <w:sz w:val="24"/>
          <w:szCs w:val="24"/>
        </w:rPr>
        <w:t xml:space="preserve">We made every effort to ensure that our </w:t>
      </w:r>
      <w:r w:rsidRPr="00C131FE">
        <w:rPr>
          <w:rFonts w:asciiTheme="majorBidi" w:hAnsiTheme="majorBidi" w:cstheme="majorBidi"/>
          <w:i/>
          <w:iCs/>
          <w:sz w:val="24"/>
          <w:szCs w:val="24"/>
        </w:rPr>
        <w:t>HEGI</w:t>
      </w:r>
      <w:r w:rsidRPr="0000668A">
        <w:rPr>
          <w:rFonts w:asciiTheme="majorBidi" w:hAnsiTheme="majorBidi" w:cstheme="majorBidi"/>
          <w:sz w:val="24"/>
          <w:szCs w:val="24"/>
        </w:rPr>
        <w:t xml:space="preserve"> is </w:t>
      </w:r>
      <w:r w:rsidR="00055E6B">
        <w:rPr>
          <w:rFonts w:asciiTheme="majorBidi" w:hAnsiTheme="majorBidi" w:cstheme="majorBidi"/>
          <w:sz w:val="24"/>
          <w:szCs w:val="24"/>
        </w:rPr>
        <w:t xml:space="preserve">a </w:t>
      </w:r>
      <w:r w:rsidRPr="0000668A">
        <w:rPr>
          <w:rFonts w:asciiTheme="majorBidi" w:hAnsiTheme="majorBidi" w:cstheme="majorBidi"/>
          <w:sz w:val="24"/>
          <w:szCs w:val="24"/>
        </w:rPr>
        <w:t xml:space="preserve">valid and reliable measure for </w:t>
      </w:r>
      <w:r w:rsidR="00055E6B">
        <w:rPr>
          <w:rFonts w:asciiTheme="majorBidi" w:hAnsiTheme="majorBidi" w:cstheme="majorBidi"/>
          <w:sz w:val="24"/>
          <w:szCs w:val="24"/>
        </w:rPr>
        <w:t xml:space="preserve">the </w:t>
      </w:r>
      <w:r>
        <w:rPr>
          <w:rFonts w:asciiTheme="majorBidi" w:hAnsiTheme="majorBidi" w:cstheme="majorBidi"/>
          <w:sz w:val="24"/>
          <w:szCs w:val="24"/>
        </w:rPr>
        <w:t>governance</w:t>
      </w:r>
      <w:r w:rsidRPr="0000668A">
        <w:rPr>
          <w:rFonts w:asciiTheme="majorBidi" w:hAnsiTheme="majorBidi" w:cstheme="majorBidi"/>
          <w:sz w:val="24"/>
          <w:szCs w:val="24"/>
        </w:rPr>
        <w:t xml:space="preserve"> disclosures</w:t>
      </w:r>
      <w:r w:rsidR="007E6040">
        <w:rPr>
          <w:rFonts w:asciiTheme="majorBidi" w:hAnsiTheme="majorBidi" w:cstheme="majorBidi"/>
          <w:sz w:val="24"/>
          <w:szCs w:val="24"/>
        </w:rPr>
        <w:t xml:space="preserve"> among UK HEIs</w:t>
      </w:r>
      <w:r w:rsidR="00F82AFB">
        <w:rPr>
          <w:rFonts w:asciiTheme="majorBidi" w:hAnsiTheme="majorBidi" w:cstheme="majorBidi"/>
          <w:sz w:val="24"/>
          <w:szCs w:val="24"/>
        </w:rPr>
        <w:t xml:space="preserve">. </w:t>
      </w:r>
      <w:r w:rsidRPr="0000668A">
        <w:rPr>
          <w:rFonts w:asciiTheme="majorBidi" w:hAnsiTheme="majorBidi" w:cstheme="majorBidi"/>
          <w:sz w:val="24"/>
          <w:szCs w:val="24"/>
        </w:rPr>
        <w:t xml:space="preserve">For example, the coding process has been </w:t>
      </w:r>
      <w:r w:rsidR="007E6040">
        <w:rPr>
          <w:rFonts w:asciiTheme="majorBidi" w:hAnsiTheme="majorBidi" w:cstheme="majorBidi"/>
          <w:sz w:val="24"/>
          <w:szCs w:val="24"/>
        </w:rPr>
        <w:t>conducted</w:t>
      </w:r>
      <w:r w:rsidRPr="0000668A">
        <w:rPr>
          <w:rFonts w:asciiTheme="majorBidi" w:hAnsiTheme="majorBidi" w:cstheme="majorBidi"/>
          <w:sz w:val="24"/>
          <w:szCs w:val="24"/>
        </w:rPr>
        <w:t xml:space="preserve"> over two rounds. In the first round,</w:t>
      </w:r>
      <w:r w:rsidR="00F82AFB">
        <w:rPr>
          <w:rFonts w:asciiTheme="majorBidi" w:hAnsiTheme="majorBidi" w:cstheme="majorBidi"/>
          <w:sz w:val="24"/>
          <w:szCs w:val="24"/>
        </w:rPr>
        <w:t xml:space="preserve"> three independent and experienced coders have </w:t>
      </w:r>
      <w:r w:rsidR="007E6040" w:rsidRPr="0000668A">
        <w:rPr>
          <w:rFonts w:asciiTheme="majorBidi" w:hAnsiTheme="majorBidi" w:cstheme="majorBidi"/>
          <w:sz w:val="24"/>
          <w:szCs w:val="24"/>
        </w:rPr>
        <w:t xml:space="preserve">coded governance disclosures for an initial sample of 10 HEIs </w:t>
      </w:r>
      <w:r w:rsidR="00F82AFB">
        <w:rPr>
          <w:rFonts w:asciiTheme="majorBidi" w:hAnsiTheme="majorBidi" w:cstheme="majorBidi"/>
          <w:sz w:val="24"/>
          <w:szCs w:val="24"/>
        </w:rPr>
        <w:t xml:space="preserve">over the period 2009-2014. </w:t>
      </w:r>
      <w:r w:rsidRPr="0000668A">
        <w:rPr>
          <w:rFonts w:asciiTheme="majorBidi" w:hAnsiTheme="majorBidi" w:cstheme="majorBidi"/>
          <w:sz w:val="24"/>
          <w:szCs w:val="24"/>
        </w:rPr>
        <w:t xml:space="preserve">In the second round, the three coders have </w:t>
      </w:r>
      <w:r w:rsidR="00F82AFB">
        <w:rPr>
          <w:rFonts w:asciiTheme="majorBidi" w:hAnsiTheme="majorBidi" w:cstheme="majorBidi"/>
          <w:sz w:val="24"/>
          <w:szCs w:val="24"/>
        </w:rPr>
        <w:t xml:space="preserve">critically </w:t>
      </w:r>
      <w:r w:rsidR="00F82AFB" w:rsidRPr="00F82AFB">
        <w:rPr>
          <w:rFonts w:asciiTheme="majorBidi" w:hAnsiTheme="majorBidi" w:cstheme="majorBidi"/>
          <w:sz w:val="24"/>
          <w:szCs w:val="24"/>
        </w:rPr>
        <w:t xml:space="preserve">discussed the coded materials, coding instruments and categories </w:t>
      </w:r>
      <w:r w:rsidR="00F82AFB">
        <w:rPr>
          <w:rFonts w:asciiTheme="majorBidi" w:hAnsiTheme="majorBidi" w:cstheme="majorBidi"/>
          <w:sz w:val="24"/>
          <w:szCs w:val="24"/>
        </w:rPr>
        <w:t xml:space="preserve">and </w:t>
      </w:r>
      <w:r w:rsidR="00436AB8">
        <w:rPr>
          <w:rFonts w:asciiTheme="majorBidi" w:hAnsiTheme="majorBidi" w:cstheme="majorBidi"/>
          <w:sz w:val="24"/>
          <w:szCs w:val="24"/>
        </w:rPr>
        <w:t>corrected</w:t>
      </w:r>
      <w:r w:rsidRPr="0000668A">
        <w:rPr>
          <w:rFonts w:asciiTheme="majorBidi" w:hAnsiTheme="majorBidi" w:cstheme="majorBidi"/>
          <w:sz w:val="24"/>
          <w:szCs w:val="24"/>
        </w:rPr>
        <w:t xml:space="preserve"> any inconsisten</w:t>
      </w:r>
      <w:r w:rsidR="00F82AFB">
        <w:rPr>
          <w:rFonts w:asciiTheme="majorBidi" w:hAnsiTheme="majorBidi" w:cstheme="majorBidi"/>
          <w:sz w:val="24"/>
          <w:szCs w:val="24"/>
        </w:rPr>
        <w:t>cies</w:t>
      </w:r>
      <w:r w:rsidRPr="0000668A">
        <w:rPr>
          <w:rFonts w:asciiTheme="majorBidi" w:hAnsiTheme="majorBidi" w:cstheme="majorBidi"/>
          <w:sz w:val="24"/>
          <w:szCs w:val="24"/>
        </w:rPr>
        <w:t xml:space="preserve"> </w:t>
      </w:r>
      <w:r w:rsidR="00436AB8">
        <w:rPr>
          <w:rFonts w:asciiTheme="majorBidi" w:hAnsiTheme="majorBidi" w:cstheme="majorBidi"/>
          <w:sz w:val="24"/>
          <w:szCs w:val="24"/>
        </w:rPr>
        <w:t>or mistakes identified in the first round</w:t>
      </w:r>
      <w:r w:rsidRPr="0000668A">
        <w:rPr>
          <w:rFonts w:asciiTheme="majorBidi" w:hAnsiTheme="majorBidi" w:cstheme="majorBidi"/>
          <w:sz w:val="24"/>
          <w:szCs w:val="24"/>
        </w:rPr>
        <w:t xml:space="preserve">. </w:t>
      </w:r>
      <w:r w:rsidR="00436AB8">
        <w:rPr>
          <w:rFonts w:asciiTheme="majorBidi" w:hAnsiTheme="majorBidi" w:cstheme="majorBidi"/>
          <w:sz w:val="24"/>
          <w:szCs w:val="24"/>
        </w:rPr>
        <w:t xml:space="preserve">The three coders have also coded a further </w:t>
      </w:r>
      <w:r w:rsidRPr="0000668A">
        <w:rPr>
          <w:rFonts w:asciiTheme="majorBidi" w:hAnsiTheme="majorBidi" w:cstheme="majorBidi"/>
          <w:sz w:val="24"/>
          <w:szCs w:val="24"/>
        </w:rPr>
        <w:t xml:space="preserve">10 HEIs </w:t>
      </w:r>
      <w:r w:rsidR="00436AB8">
        <w:rPr>
          <w:rFonts w:asciiTheme="majorBidi" w:hAnsiTheme="majorBidi" w:cstheme="majorBidi"/>
          <w:sz w:val="24"/>
          <w:szCs w:val="24"/>
        </w:rPr>
        <w:t xml:space="preserve">over the examined period (2009-2014) and </w:t>
      </w:r>
      <w:r w:rsidRPr="0000668A">
        <w:rPr>
          <w:rFonts w:asciiTheme="majorBidi" w:hAnsiTheme="majorBidi" w:cstheme="majorBidi"/>
          <w:sz w:val="24"/>
          <w:szCs w:val="24"/>
        </w:rPr>
        <w:t xml:space="preserve">no inconsistencies or mistakes </w:t>
      </w:r>
      <w:r w:rsidR="00436AB8">
        <w:rPr>
          <w:rFonts w:asciiTheme="majorBidi" w:hAnsiTheme="majorBidi" w:cstheme="majorBidi"/>
          <w:sz w:val="24"/>
          <w:szCs w:val="24"/>
        </w:rPr>
        <w:t xml:space="preserve">with the coding procedure </w:t>
      </w:r>
      <w:r w:rsidRPr="0000668A">
        <w:rPr>
          <w:rFonts w:asciiTheme="majorBidi" w:hAnsiTheme="majorBidi" w:cstheme="majorBidi"/>
          <w:sz w:val="24"/>
          <w:szCs w:val="24"/>
        </w:rPr>
        <w:t>were identified, which</w:t>
      </w:r>
      <w:r w:rsidR="00436AB8">
        <w:rPr>
          <w:rFonts w:asciiTheme="majorBidi" w:hAnsiTheme="majorBidi" w:cstheme="majorBidi"/>
          <w:sz w:val="24"/>
          <w:szCs w:val="24"/>
        </w:rPr>
        <w:t xml:space="preserve"> implies </w:t>
      </w:r>
      <w:r w:rsidR="0098046B">
        <w:rPr>
          <w:rFonts w:asciiTheme="majorBidi" w:hAnsiTheme="majorBidi" w:cstheme="majorBidi"/>
          <w:sz w:val="24"/>
          <w:szCs w:val="24"/>
        </w:rPr>
        <w:t xml:space="preserve">that </w:t>
      </w:r>
      <w:r w:rsidR="00436AB8">
        <w:rPr>
          <w:rFonts w:asciiTheme="majorBidi" w:hAnsiTheme="majorBidi" w:cstheme="majorBidi"/>
          <w:sz w:val="24"/>
          <w:szCs w:val="24"/>
        </w:rPr>
        <w:t>high level</w:t>
      </w:r>
      <w:r w:rsidR="00BD5136">
        <w:rPr>
          <w:rFonts w:asciiTheme="majorBidi" w:hAnsiTheme="majorBidi" w:cstheme="majorBidi"/>
          <w:sz w:val="24"/>
          <w:szCs w:val="24"/>
        </w:rPr>
        <w:t>s</w:t>
      </w:r>
      <w:r w:rsidR="00436AB8">
        <w:rPr>
          <w:rFonts w:asciiTheme="majorBidi" w:hAnsiTheme="majorBidi" w:cstheme="majorBidi"/>
          <w:sz w:val="24"/>
          <w:szCs w:val="24"/>
        </w:rPr>
        <w:t xml:space="preserve"> of consistency </w:t>
      </w:r>
      <w:r w:rsidR="00BD5136">
        <w:rPr>
          <w:rFonts w:asciiTheme="majorBidi" w:hAnsiTheme="majorBidi" w:cstheme="majorBidi"/>
          <w:sz w:val="24"/>
          <w:szCs w:val="24"/>
        </w:rPr>
        <w:t xml:space="preserve">and reliability </w:t>
      </w:r>
      <w:r w:rsidR="00436AB8">
        <w:rPr>
          <w:rFonts w:asciiTheme="majorBidi" w:hAnsiTheme="majorBidi" w:cstheme="majorBidi"/>
          <w:sz w:val="24"/>
          <w:szCs w:val="24"/>
        </w:rPr>
        <w:t xml:space="preserve">in the coding procedure </w:t>
      </w:r>
      <w:r w:rsidR="00BD5136">
        <w:rPr>
          <w:rFonts w:asciiTheme="majorBidi" w:hAnsiTheme="majorBidi" w:cstheme="majorBidi"/>
          <w:sz w:val="24"/>
          <w:szCs w:val="24"/>
        </w:rPr>
        <w:t>were</w:t>
      </w:r>
      <w:r w:rsidR="00436AB8">
        <w:rPr>
          <w:rFonts w:asciiTheme="majorBidi" w:hAnsiTheme="majorBidi" w:cstheme="majorBidi"/>
          <w:sz w:val="24"/>
          <w:szCs w:val="24"/>
        </w:rPr>
        <w:t xml:space="preserve"> </w:t>
      </w:r>
      <w:r w:rsidR="00BD5136">
        <w:rPr>
          <w:rFonts w:asciiTheme="majorBidi" w:hAnsiTheme="majorBidi" w:cstheme="majorBidi"/>
          <w:sz w:val="24"/>
          <w:szCs w:val="24"/>
        </w:rPr>
        <w:t>achieved</w:t>
      </w:r>
      <w:r w:rsidR="00436AB8">
        <w:rPr>
          <w:rFonts w:asciiTheme="majorBidi" w:hAnsiTheme="majorBidi" w:cstheme="majorBidi"/>
          <w:sz w:val="24"/>
          <w:szCs w:val="24"/>
        </w:rPr>
        <w:t xml:space="preserve"> between the first and second rounds of coding</w:t>
      </w:r>
      <w:r w:rsidR="0098046B">
        <w:rPr>
          <w:rFonts w:asciiTheme="majorBidi" w:hAnsiTheme="majorBidi" w:cstheme="majorBidi"/>
          <w:sz w:val="24"/>
          <w:szCs w:val="24"/>
        </w:rPr>
        <w:t xml:space="preserve"> process</w:t>
      </w:r>
      <w:r w:rsidR="00436AB8">
        <w:rPr>
          <w:rFonts w:asciiTheme="majorBidi" w:hAnsiTheme="majorBidi" w:cstheme="majorBidi"/>
          <w:sz w:val="24"/>
          <w:szCs w:val="24"/>
        </w:rPr>
        <w:t xml:space="preserve">. </w:t>
      </w:r>
    </w:p>
    <w:p w14:paraId="6B5933AB" w14:textId="55ABDD0B" w:rsidR="00DA40EE" w:rsidRDefault="00BD5136" w:rsidP="00C63EF2">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 xml:space="preserve">In addition, </w:t>
      </w:r>
      <w:r w:rsidR="00E93E0E">
        <w:rPr>
          <w:rFonts w:asciiTheme="majorBidi" w:hAnsiTheme="majorBidi" w:cstheme="majorBidi"/>
          <w:sz w:val="24"/>
          <w:szCs w:val="24"/>
        </w:rPr>
        <w:t xml:space="preserve">and in order to measure the internal consistency reliability of the HEGI, we employed Cronbach’s alpha. </w:t>
      </w:r>
      <w:r w:rsidR="00865C87">
        <w:rPr>
          <w:rFonts w:asciiTheme="majorBidi" w:hAnsiTheme="majorBidi" w:cstheme="majorBidi"/>
          <w:sz w:val="24"/>
          <w:szCs w:val="24"/>
        </w:rPr>
        <w:t xml:space="preserve">According to </w:t>
      </w:r>
      <w:r w:rsidR="00DA40EE">
        <w:rPr>
          <w:rFonts w:asciiTheme="majorBidi" w:hAnsiTheme="majorBidi" w:cstheme="majorBidi"/>
          <w:sz w:val="24"/>
          <w:szCs w:val="24"/>
        </w:rPr>
        <w:t xml:space="preserve">Botosan (1997), indices are </w:t>
      </w:r>
      <w:r w:rsidR="0098046B">
        <w:rPr>
          <w:rFonts w:asciiTheme="majorBidi" w:hAnsiTheme="majorBidi" w:cstheme="majorBidi"/>
          <w:sz w:val="24"/>
          <w:szCs w:val="24"/>
        </w:rPr>
        <w:t>valid and reliable measures of disclosure quality,</w:t>
      </w:r>
      <w:r w:rsidR="00DA40EE">
        <w:rPr>
          <w:rFonts w:asciiTheme="majorBidi" w:hAnsiTheme="majorBidi" w:cstheme="majorBidi"/>
          <w:sz w:val="24"/>
          <w:szCs w:val="24"/>
        </w:rPr>
        <w:t xml:space="preserve"> if the coefficient alpha based on standardis</w:t>
      </w:r>
      <w:r w:rsidR="00DA40EE" w:rsidRPr="00DA40EE">
        <w:rPr>
          <w:rFonts w:asciiTheme="majorBidi" w:hAnsiTheme="majorBidi" w:cstheme="majorBidi"/>
          <w:sz w:val="24"/>
          <w:szCs w:val="24"/>
        </w:rPr>
        <w:t>ed data</w:t>
      </w:r>
      <w:r w:rsidR="00DA40EE">
        <w:rPr>
          <w:rFonts w:asciiTheme="majorBidi" w:hAnsiTheme="majorBidi" w:cstheme="majorBidi"/>
          <w:sz w:val="24"/>
          <w:szCs w:val="24"/>
        </w:rPr>
        <w:t xml:space="preserve"> is above 65%. </w:t>
      </w:r>
      <w:r w:rsidR="00D37016">
        <w:rPr>
          <w:rFonts w:asciiTheme="majorBidi" w:hAnsiTheme="majorBidi" w:cstheme="majorBidi"/>
          <w:sz w:val="24"/>
          <w:szCs w:val="24"/>
        </w:rPr>
        <w:t xml:space="preserve">The coefficient alpha based on standardised data for the five governance categories in our HEGI is 74%, implying that our index is a valid and reliable measure </w:t>
      </w:r>
      <w:r w:rsidR="001150A6">
        <w:rPr>
          <w:rFonts w:asciiTheme="majorBidi" w:hAnsiTheme="majorBidi" w:cstheme="majorBidi"/>
          <w:sz w:val="24"/>
          <w:szCs w:val="24"/>
        </w:rPr>
        <w:t>for</w:t>
      </w:r>
      <w:r w:rsidR="00D37016">
        <w:rPr>
          <w:rFonts w:asciiTheme="majorBidi" w:hAnsiTheme="majorBidi" w:cstheme="majorBidi"/>
          <w:sz w:val="24"/>
          <w:szCs w:val="24"/>
        </w:rPr>
        <w:t xml:space="preserve"> governance </w:t>
      </w:r>
      <w:r w:rsidR="0098046B">
        <w:rPr>
          <w:rFonts w:asciiTheme="majorBidi" w:hAnsiTheme="majorBidi" w:cstheme="majorBidi"/>
          <w:sz w:val="24"/>
          <w:szCs w:val="24"/>
        </w:rPr>
        <w:t>disclosures</w:t>
      </w:r>
      <w:r w:rsidR="00D37016">
        <w:rPr>
          <w:rFonts w:asciiTheme="majorBidi" w:hAnsiTheme="majorBidi" w:cstheme="majorBidi"/>
          <w:sz w:val="24"/>
          <w:szCs w:val="24"/>
        </w:rPr>
        <w:t xml:space="preserve">. </w:t>
      </w:r>
    </w:p>
    <w:p w14:paraId="669AE312" w14:textId="5A5C7BFB" w:rsidR="00643274" w:rsidRPr="00511F36" w:rsidRDefault="00643274" w:rsidP="00567D34">
      <w:pPr>
        <w:spacing w:line="480" w:lineRule="auto"/>
        <w:jc w:val="center"/>
        <w:rPr>
          <w:rFonts w:asciiTheme="majorBidi" w:hAnsiTheme="majorBidi" w:cstheme="majorBidi"/>
          <w:sz w:val="24"/>
          <w:szCs w:val="24"/>
        </w:rPr>
      </w:pPr>
      <w:r w:rsidRPr="00511F36">
        <w:rPr>
          <w:rFonts w:asciiTheme="majorBidi" w:hAnsiTheme="majorBidi" w:cstheme="majorBidi"/>
          <w:sz w:val="24"/>
          <w:szCs w:val="24"/>
        </w:rPr>
        <w:t xml:space="preserve">Table </w:t>
      </w:r>
      <w:r w:rsidR="001043BC">
        <w:rPr>
          <w:rFonts w:asciiTheme="majorBidi" w:hAnsiTheme="majorBidi" w:cstheme="majorBidi"/>
          <w:sz w:val="24"/>
          <w:szCs w:val="24"/>
        </w:rPr>
        <w:t>2</w:t>
      </w:r>
      <w:r w:rsidRPr="00511F36">
        <w:rPr>
          <w:rFonts w:asciiTheme="majorBidi" w:hAnsiTheme="majorBidi" w:cstheme="majorBidi"/>
          <w:sz w:val="24"/>
          <w:szCs w:val="24"/>
        </w:rPr>
        <w:t xml:space="preserve"> </w:t>
      </w:r>
      <w:r w:rsidR="00511F36">
        <w:rPr>
          <w:rFonts w:asciiTheme="majorBidi" w:hAnsiTheme="majorBidi" w:cstheme="majorBidi"/>
          <w:sz w:val="24"/>
          <w:szCs w:val="24"/>
        </w:rPr>
        <w:t>near</w:t>
      </w:r>
      <w:r w:rsidRPr="00511F36">
        <w:rPr>
          <w:rFonts w:asciiTheme="majorBidi" w:hAnsiTheme="majorBidi" w:cstheme="majorBidi"/>
          <w:sz w:val="24"/>
          <w:szCs w:val="24"/>
        </w:rPr>
        <w:t xml:space="preserve"> here</w:t>
      </w:r>
    </w:p>
    <w:p w14:paraId="13982C46" w14:textId="77777777" w:rsidR="000711DA" w:rsidRDefault="00B95557" w:rsidP="000711DA">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lastRenderedPageBreak/>
        <w:t xml:space="preserve">Second, our </w:t>
      </w:r>
      <w:r w:rsidR="004A5423">
        <w:rPr>
          <w:rFonts w:asciiTheme="majorBidi" w:hAnsiTheme="majorBidi" w:cstheme="majorBidi"/>
          <w:sz w:val="24"/>
          <w:szCs w:val="24"/>
        </w:rPr>
        <w:t>explanatory</w:t>
      </w:r>
      <w:r w:rsidRPr="00511F36">
        <w:rPr>
          <w:rFonts w:asciiTheme="majorBidi" w:hAnsiTheme="majorBidi" w:cstheme="majorBidi"/>
          <w:sz w:val="24"/>
          <w:szCs w:val="24"/>
        </w:rPr>
        <w:t xml:space="preserve"> variables are internal governance mechanisms, which include vice-chancellor characteristics (</w:t>
      </w:r>
      <w:r w:rsidR="00B84BC0" w:rsidRPr="00511F36">
        <w:rPr>
          <w:rFonts w:asciiTheme="majorBidi" w:hAnsiTheme="majorBidi" w:cstheme="majorBidi"/>
          <w:i/>
          <w:iCs/>
          <w:sz w:val="24"/>
          <w:szCs w:val="24"/>
        </w:rPr>
        <w:t>V</w:t>
      </w:r>
      <w:r w:rsidR="00B84BC0">
        <w:rPr>
          <w:rFonts w:asciiTheme="majorBidi" w:hAnsiTheme="majorBidi" w:cstheme="majorBidi"/>
          <w:i/>
          <w:iCs/>
          <w:sz w:val="24"/>
          <w:szCs w:val="24"/>
        </w:rPr>
        <w:t>C</w:t>
      </w:r>
      <w:r w:rsidR="00B84BC0" w:rsidRPr="00511F36">
        <w:rPr>
          <w:rFonts w:asciiTheme="majorBidi" w:hAnsiTheme="majorBidi" w:cstheme="majorBidi"/>
          <w:i/>
          <w:iCs/>
          <w:sz w:val="24"/>
          <w:szCs w:val="24"/>
        </w:rPr>
        <w:t>G</w:t>
      </w:r>
      <w:r w:rsidR="00B84BC0">
        <w:rPr>
          <w:rFonts w:asciiTheme="majorBidi" w:hAnsiTheme="majorBidi" w:cstheme="majorBidi"/>
          <w:i/>
          <w:iCs/>
          <w:sz w:val="24"/>
          <w:szCs w:val="24"/>
        </w:rPr>
        <w:t>EN</w:t>
      </w:r>
      <w:r w:rsidR="00B84BC0" w:rsidRPr="00511F36">
        <w:rPr>
          <w:rFonts w:asciiTheme="majorBidi" w:hAnsiTheme="majorBidi" w:cstheme="majorBidi"/>
          <w:sz w:val="24"/>
          <w:szCs w:val="24"/>
        </w:rPr>
        <w:t xml:space="preserve">, </w:t>
      </w:r>
      <w:r w:rsidR="00B84BC0" w:rsidRPr="00511F36">
        <w:rPr>
          <w:rFonts w:asciiTheme="majorBidi" w:hAnsiTheme="majorBidi" w:cstheme="majorBidi"/>
          <w:i/>
          <w:iCs/>
          <w:sz w:val="24"/>
          <w:szCs w:val="24"/>
        </w:rPr>
        <w:t>V</w:t>
      </w:r>
      <w:r w:rsidR="00B84BC0">
        <w:rPr>
          <w:rFonts w:asciiTheme="majorBidi" w:hAnsiTheme="majorBidi" w:cstheme="majorBidi"/>
          <w:i/>
          <w:iCs/>
          <w:sz w:val="24"/>
          <w:szCs w:val="24"/>
        </w:rPr>
        <w:t>CE</w:t>
      </w:r>
      <w:r w:rsidR="00B84BC0" w:rsidRPr="00511F36">
        <w:rPr>
          <w:rFonts w:asciiTheme="majorBidi" w:hAnsiTheme="majorBidi" w:cstheme="majorBidi"/>
          <w:i/>
          <w:iCs/>
          <w:sz w:val="24"/>
          <w:szCs w:val="24"/>
        </w:rPr>
        <w:t>D</w:t>
      </w:r>
      <w:r w:rsidR="00B84BC0">
        <w:rPr>
          <w:rFonts w:asciiTheme="majorBidi" w:hAnsiTheme="majorBidi" w:cstheme="majorBidi"/>
          <w:i/>
          <w:iCs/>
          <w:sz w:val="24"/>
          <w:szCs w:val="24"/>
        </w:rPr>
        <w:t>U</w:t>
      </w:r>
      <w:r w:rsidR="00B84BC0" w:rsidRPr="00511F36">
        <w:rPr>
          <w:rFonts w:asciiTheme="majorBidi" w:hAnsiTheme="majorBidi" w:cstheme="majorBidi"/>
          <w:sz w:val="24"/>
          <w:szCs w:val="24"/>
        </w:rPr>
        <w:t xml:space="preserve">, </w:t>
      </w:r>
      <w:r w:rsidR="00B84BC0" w:rsidRPr="00511F36">
        <w:rPr>
          <w:rFonts w:asciiTheme="majorBidi" w:hAnsiTheme="majorBidi" w:cstheme="majorBidi"/>
          <w:i/>
          <w:iCs/>
          <w:sz w:val="24"/>
          <w:szCs w:val="24"/>
        </w:rPr>
        <w:t>V</w:t>
      </w:r>
      <w:r w:rsidR="00B84BC0">
        <w:rPr>
          <w:rFonts w:asciiTheme="majorBidi" w:hAnsiTheme="majorBidi" w:cstheme="majorBidi"/>
          <w:i/>
          <w:iCs/>
          <w:sz w:val="24"/>
          <w:szCs w:val="24"/>
        </w:rPr>
        <w:t>C</w:t>
      </w:r>
      <w:r w:rsidR="00B84BC0" w:rsidRPr="00511F36">
        <w:rPr>
          <w:rFonts w:asciiTheme="majorBidi" w:hAnsiTheme="majorBidi" w:cstheme="majorBidi"/>
          <w:i/>
          <w:iCs/>
          <w:sz w:val="24"/>
          <w:szCs w:val="24"/>
        </w:rPr>
        <w:t>A</w:t>
      </w:r>
      <w:r w:rsidR="00B84BC0">
        <w:rPr>
          <w:rFonts w:asciiTheme="majorBidi" w:hAnsiTheme="majorBidi" w:cstheme="majorBidi"/>
          <w:i/>
          <w:iCs/>
          <w:sz w:val="24"/>
          <w:szCs w:val="24"/>
        </w:rPr>
        <w:t>GE</w:t>
      </w:r>
      <w:r w:rsidR="00B84BC0" w:rsidRPr="00511F36">
        <w:rPr>
          <w:rFonts w:asciiTheme="majorBidi" w:hAnsiTheme="majorBidi" w:cstheme="majorBidi"/>
          <w:sz w:val="24"/>
          <w:szCs w:val="24"/>
        </w:rPr>
        <w:t xml:space="preserve"> and </w:t>
      </w:r>
      <w:r w:rsidR="00B84BC0" w:rsidRPr="00511F36">
        <w:rPr>
          <w:rFonts w:asciiTheme="majorBidi" w:hAnsiTheme="majorBidi" w:cstheme="majorBidi"/>
          <w:i/>
          <w:iCs/>
          <w:sz w:val="24"/>
          <w:szCs w:val="24"/>
        </w:rPr>
        <w:t>V</w:t>
      </w:r>
      <w:r w:rsidR="00B84BC0">
        <w:rPr>
          <w:rFonts w:asciiTheme="majorBidi" w:hAnsiTheme="majorBidi" w:cstheme="majorBidi"/>
          <w:i/>
          <w:iCs/>
          <w:sz w:val="24"/>
          <w:szCs w:val="24"/>
        </w:rPr>
        <w:t>C</w:t>
      </w:r>
      <w:r w:rsidR="00B84BC0" w:rsidRPr="00511F36">
        <w:rPr>
          <w:rFonts w:asciiTheme="majorBidi" w:hAnsiTheme="majorBidi" w:cstheme="majorBidi"/>
          <w:i/>
          <w:iCs/>
          <w:sz w:val="24"/>
          <w:szCs w:val="24"/>
        </w:rPr>
        <w:t>T</w:t>
      </w:r>
      <w:r w:rsidR="00B84BC0">
        <w:rPr>
          <w:rFonts w:asciiTheme="majorBidi" w:hAnsiTheme="majorBidi" w:cstheme="majorBidi"/>
          <w:i/>
          <w:iCs/>
          <w:sz w:val="24"/>
          <w:szCs w:val="24"/>
        </w:rPr>
        <w:t>EN</w:t>
      </w:r>
      <w:r w:rsidRPr="00511F36">
        <w:rPr>
          <w:rFonts w:asciiTheme="majorBidi" w:hAnsiTheme="majorBidi" w:cstheme="majorBidi"/>
          <w:sz w:val="24"/>
          <w:szCs w:val="24"/>
        </w:rPr>
        <w:t>), and other governance mechanisms (</w:t>
      </w:r>
      <w:r w:rsidR="00B84BC0" w:rsidRPr="00B84BC0">
        <w:rPr>
          <w:rFonts w:asciiTheme="majorBidi" w:hAnsiTheme="majorBidi" w:cstheme="majorBidi"/>
          <w:i/>
          <w:iCs/>
          <w:sz w:val="24"/>
          <w:szCs w:val="24"/>
        </w:rPr>
        <w:t>EGC</w:t>
      </w:r>
      <w:r w:rsidR="00B84BC0">
        <w:rPr>
          <w:rFonts w:asciiTheme="majorBidi" w:hAnsiTheme="majorBidi" w:cstheme="majorBidi"/>
          <w:sz w:val="24"/>
          <w:szCs w:val="24"/>
        </w:rPr>
        <w:t xml:space="preserve">, </w:t>
      </w:r>
      <w:r w:rsidR="00B84BC0" w:rsidRPr="00511F36">
        <w:rPr>
          <w:rFonts w:asciiTheme="majorBidi" w:hAnsiTheme="majorBidi" w:cstheme="majorBidi"/>
          <w:i/>
          <w:iCs/>
          <w:sz w:val="24"/>
          <w:szCs w:val="24"/>
        </w:rPr>
        <w:t>G</w:t>
      </w:r>
      <w:r w:rsidR="00B84BC0">
        <w:rPr>
          <w:rFonts w:asciiTheme="majorBidi" w:hAnsiTheme="majorBidi" w:cstheme="majorBidi"/>
          <w:i/>
          <w:iCs/>
          <w:sz w:val="24"/>
          <w:szCs w:val="24"/>
        </w:rPr>
        <w:t>BGE</w:t>
      </w:r>
      <w:r w:rsidR="00B84BC0" w:rsidRPr="00511F36">
        <w:rPr>
          <w:rFonts w:asciiTheme="majorBidi" w:hAnsiTheme="majorBidi" w:cstheme="majorBidi"/>
          <w:i/>
          <w:iCs/>
          <w:sz w:val="24"/>
          <w:szCs w:val="24"/>
        </w:rPr>
        <w:t>D</w:t>
      </w:r>
      <w:r w:rsidR="00B84BC0">
        <w:rPr>
          <w:rFonts w:asciiTheme="majorBidi" w:hAnsiTheme="majorBidi" w:cstheme="majorBidi"/>
          <w:sz w:val="24"/>
          <w:szCs w:val="24"/>
        </w:rPr>
        <w:t xml:space="preserve">, </w:t>
      </w:r>
      <w:r w:rsidR="00B84BC0">
        <w:rPr>
          <w:rFonts w:asciiTheme="majorBidi" w:hAnsiTheme="majorBidi" w:cstheme="majorBidi"/>
          <w:i/>
          <w:iCs/>
          <w:sz w:val="24"/>
          <w:szCs w:val="24"/>
        </w:rPr>
        <w:t>GBIND</w:t>
      </w:r>
      <w:r w:rsidR="00B84BC0">
        <w:rPr>
          <w:rFonts w:asciiTheme="majorBidi" w:hAnsiTheme="majorBidi" w:cstheme="majorBidi"/>
          <w:sz w:val="24"/>
          <w:szCs w:val="24"/>
        </w:rPr>
        <w:t xml:space="preserve"> and </w:t>
      </w:r>
      <w:r w:rsidR="00B84BC0" w:rsidRPr="00511F36">
        <w:rPr>
          <w:rFonts w:asciiTheme="majorBidi" w:hAnsiTheme="majorBidi" w:cstheme="majorBidi"/>
          <w:i/>
          <w:iCs/>
          <w:sz w:val="24"/>
          <w:szCs w:val="24"/>
        </w:rPr>
        <w:t>G</w:t>
      </w:r>
      <w:r w:rsidR="00B84BC0">
        <w:rPr>
          <w:rFonts w:asciiTheme="majorBidi" w:hAnsiTheme="majorBidi" w:cstheme="majorBidi"/>
          <w:i/>
          <w:iCs/>
          <w:sz w:val="24"/>
          <w:szCs w:val="24"/>
        </w:rPr>
        <w:t>B</w:t>
      </w:r>
      <w:r w:rsidR="00B84BC0" w:rsidRPr="00511F36">
        <w:rPr>
          <w:rFonts w:asciiTheme="majorBidi" w:hAnsiTheme="majorBidi" w:cstheme="majorBidi"/>
          <w:i/>
          <w:iCs/>
          <w:sz w:val="24"/>
          <w:szCs w:val="24"/>
        </w:rPr>
        <w:t>M</w:t>
      </w:r>
      <w:r w:rsidR="00B84BC0">
        <w:rPr>
          <w:rFonts w:asciiTheme="majorBidi" w:hAnsiTheme="majorBidi" w:cstheme="majorBidi"/>
          <w:i/>
          <w:iCs/>
          <w:sz w:val="24"/>
          <w:szCs w:val="24"/>
        </w:rPr>
        <w:t>T</w:t>
      </w:r>
      <w:r w:rsidRPr="00511F36">
        <w:rPr>
          <w:rFonts w:asciiTheme="majorBidi" w:hAnsiTheme="majorBidi" w:cstheme="majorBidi"/>
          <w:sz w:val="24"/>
          <w:szCs w:val="24"/>
        </w:rPr>
        <w:t xml:space="preserve">). </w:t>
      </w:r>
      <w:r w:rsidR="004E535C" w:rsidRPr="00511F36">
        <w:rPr>
          <w:rFonts w:asciiTheme="majorBidi" w:hAnsiTheme="majorBidi" w:cstheme="majorBidi"/>
          <w:sz w:val="24"/>
          <w:szCs w:val="24"/>
        </w:rPr>
        <w:t xml:space="preserve">Finally, </w:t>
      </w:r>
      <w:r w:rsidR="004A5423">
        <w:rPr>
          <w:rFonts w:ascii="Times New Roman" w:eastAsia="Times New Roman" w:hAnsi="Times New Roman" w:cs="Times New Roman"/>
          <w:sz w:val="24"/>
          <w:szCs w:val="24"/>
          <w:lang w:eastAsia="en-GB"/>
        </w:rPr>
        <w:t xml:space="preserve">we controlled for </w:t>
      </w:r>
      <w:r w:rsidR="00B44F8C">
        <w:rPr>
          <w:rFonts w:ascii="Times New Roman" w:eastAsia="Times New Roman" w:hAnsi="Times New Roman" w:cs="Times New Roman"/>
          <w:sz w:val="24"/>
          <w:szCs w:val="24"/>
          <w:lang w:eastAsia="en-GB"/>
        </w:rPr>
        <w:t>12</w:t>
      </w:r>
      <w:r w:rsidR="004A5423">
        <w:rPr>
          <w:rFonts w:ascii="Times New Roman" w:eastAsia="Times New Roman" w:hAnsi="Times New Roman" w:cs="Times New Roman"/>
          <w:sz w:val="24"/>
          <w:szCs w:val="24"/>
          <w:lang w:eastAsia="en-GB"/>
        </w:rPr>
        <w:t xml:space="preserve"> HEI-specific characteristics, which are </w:t>
      </w:r>
      <w:r w:rsidR="00A13BE7" w:rsidRPr="00511F36">
        <w:rPr>
          <w:rFonts w:asciiTheme="majorBidi" w:hAnsiTheme="majorBidi" w:cstheme="majorBidi"/>
          <w:sz w:val="24"/>
          <w:szCs w:val="24"/>
        </w:rPr>
        <w:t>governing board size (</w:t>
      </w:r>
      <w:r w:rsidR="00B84BC0" w:rsidRPr="009542CF">
        <w:rPr>
          <w:rFonts w:asciiTheme="majorBidi" w:hAnsiTheme="majorBidi" w:cstheme="majorBidi"/>
          <w:i/>
          <w:iCs/>
          <w:sz w:val="24"/>
          <w:szCs w:val="24"/>
        </w:rPr>
        <w:t>G</w:t>
      </w:r>
      <w:r w:rsidR="00B84BC0">
        <w:rPr>
          <w:rFonts w:asciiTheme="majorBidi" w:hAnsiTheme="majorBidi" w:cstheme="majorBidi"/>
          <w:i/>
          <w:iCs/>
          <w:sz w:val="24"/>
          <w:szCs w:val="24"/>
        </w:rPr>
        <w:t>B</w:t>
      </w:r>
      <w:r w:rsidR="00B84BC0" w:rsidRPr="009542CF">
        <w:rPr>
          <w:rFonts w:asciiTheme="majorBidi" w:hAnsiTheme="majorBidi" w:cstheme="majorBidi"/>
          <w:i/>
          <w:iCs/>
          <w:sz w:val="24"/>
          <w:szCs w:val="24"/>
        </w:rPr>
        <w:t>Z</w:t>
      </w:r>
      <w:r w:rsidR="00B84BC0">
        <w:rPr>
          <w:rFonts w:asciiTheme="majorBidi" w:hAnsiTheme="majorBidi" w:cstheme="majorBidi"/>
          <w:i/>
          <w:iCs/>
          <w:sz w:val="24"/>
          <w:szCs w:val="24"/>
        </w:rPr>
        <w:t>E</w:t>
      </w:r>
      <w:r w:rsidR="00A13BE7" w:rsidRPr="00511F36">
        <w:rPr>
          <w:rFonts w:asciiTheme="majorBidi" w:hAnsiTheme="majorBidi" w:cstheme="majorBidi"/>
          <w:sz w:val="24"/>
          <w:szCs w:val="24"/>
        </w:rPr>
        <w:t>)</w:t>
      </w:r>
      <w:r w:rsidR="00A13BE7">
        <w:rPr>
          <w:rFonts w:asciiTheme="majorBidi" w:hAnsiTheme="majorBidi" w:cstheme="majorBidi"/>
          <w:sz w:val="24"/>
          <w:szCs w:val="24"/>
        </w:rPr>
        <w:t xml:space="preserve">, </w:t>
      </w:r>
      <w:r w:rsidR="00A13BE7" w:rsidRPr="00511F36">
        <w:rPr>
          <w:rFonts w:asciiTheme="majorBidi" w:hAnsiTheme="majorBidi" w:cstheme="majorBidi"/>
          <w:sz w:val="24"/>
          <w:szCs w:val="24"/>
        </w:rPr>
        <w:t xml:space="preserve">size of </w:t>
      </w:r>
      <w:r w:rsidR="00A13BE7">
        <w:rPr>
          <w:rFonts w:asciiTheme="majorBidi" w:hAnsiTheme="majorBidi" w:cstheme="majorBidi"/>
          <w:sz w:val="24"/>
          <w:szCs w:val="24"/>
        </w:rPr>
        <w:t xml:space="preserve">the </w:t>
      </w:r>
      <w:r w:rsidR="00A13BE7" w:rsidRPr="00511F36">
        <w:rPr>
          <w:rFonts w:asciiTheme="majorBidi" w:hAnsiTheme="majorBidi" w:cstheme="majorBidi"/>
          <w:sz w:val="24"/>
          <w:szCs w:val="24"/>
        </w:rPr>
        <w:t>audit firm (</w:t>
      </w:r>
      <w:r w:rsidR="00B84BC0" w:rsidRPr="009542CF">
        <w:rPr>
          <w:rFonts w:asciiTheme="majorBidi" w:hAnsiTheme="majorBidi" w:cstheme="majorBidi"/>
          <w:i/>
          <w:iCs/>
          <w:sz w:val="24"/>
          <w:szCs w:val="24"/>
        </w:rPr>
        <w:t>A</w:t>
      </w:r>
      <w:r w:rsidR="00B84BC0">
        <w:rPr>
          <w:rFonts w:asciiTheme="majorBidi" w:hAnsiTheme="majorBidi" w:cstheme="majorBidi"/>
          <w:i/>
          <w:iCs/>
          <w:sz w:val="24"/>
          <w:szCs w:val="24"/>
        </w:rPr>
        <w:t>F</w:t>
      </w:r>
      <w:r w:rsidR="00B84BC0" w:rsidRPr="009542CF">
        <w:rPr>
          <w:rFonts w:asciiTheme="majorBidi" w:hAnsiTheme="majorBidi" w:cstheme="majorBidi"/>
          <w:i/>
          <w:iCs/>
          <w:sz w:val="24"/>
          <w:szCs w:val="24"/>
        </w:rPr>
        <w:t>Z</w:t>
      </w:r>
      <w:r w:rsidR="00B84BC0">
        <w:rPr>
          <w:rFonts w:asciiTheme="majorBidi" w:hAnsiTheme="majorBidi" w:cstheme="majorBidi"/>
          <w:i/>
          <w:iCs/>
          <w:sz w:val="24"/>
          <w:szCs w:val="24"/>
        </w:rPr>
        <w:t>E</w:t>
      </w:r>
      <w:r w:rsidR="00A13BE7">
        <w:rPr>
          <w:rFonts w:asciiTheme="majorBidi" w:hAnsiTheme="majorBidi" w:cstheme="majorBidi"/>
          <w:sz w:val="24"/>
          <w:szCs w:val="24"/>
        </w:rPr>
        <w:t xml:space="preserve">), </w:t>
      </w:r>
      <w:r w:rsidR="00B84BC0">
        <w:rPr>
          <w:rFonts w:asciiTheme="majorBidi" w:hAnsiTheme="majorBidi" w:cstheme="majorBidi"/>
          <w:sz w:val="24"/>
          <w:szCs w:val="24"/>
        </w:rPr>
        <w:t>HEI</w:t>
      </w:r>
      <w:r w:rsidR="00B84BC0" w:rsidRPr="00511F36">
        <w:rPr>
          <w:rFonts w:asciiTheme="majorBidi" w:hAnsiTheme="majorBidi" w:cstheme="majorBidi"/>
          <w:sz w:val="24"/>
          <w:szCs w:val="24"/>
        </w:rPr>
        <w:t xml:space="preserve"> age (</w:t>
      </w:r>
      <w:r w:rsidR="00B84BC0">
        <w:rPr>
          <w:rFonts w:asciiTheme="majorBidi" w:hAnsiTheme="majorBidi" w:cstheme="majorBidi"/>
          <w:i/>
          <w:iCs/>
          <w:sz w:val="24"/>
          <w:szCs w:val="24"/>
        </w:rPr>
        <w:t>HEIAGE</w:t>
      </w:r>
      <w:r w:rsidR="00B84BC0" w:rsidRPr="00511F36">
        <w:rPr>
          <w:rFonts w:asciiTheme="majorBidi" w:hAnsiTheme="majorBidi" w:cstheme="majorBidi"/>
          <w:sz w:val="24"/>
          <w:szCs w:val="24"/>
        </w:rPr>
        <w:t xml:space="preserve">), </w:t>
      </w:r>
      <w:r w:rsidR="00B84BC0">
        <w:rPr>
          <w:rFonts w:asciiTheme="majorBidi" w:hAnsiTheme="majorBidi" w:cstheme="majorBidi"/>
          <w:sz w:val="24"/>
          <w:szCs w:val="24"/>
        </w:rPr>
        <w:t>HEI</w:t>
      </w:r>
      <w:r w:rsidR="00B84BC0" w:rsidRPr="00511F36">
        <w:rPr>
          <w:rFonts w:asciiTheme="majorBidi" w:hAnsiTheme="majorBidi" w:cstheme="majorBidi"/>
          <w:sz w:val="24"/>
          <w:szCs w:val="24"/>
        </w:rPr>
        <w:t xml:space="preserve"> size (</w:t>
      </w:r>
      <w:r w:rsidR="00B84BC0">
        <w:rPr>
          <w:rFonts w:asciiTheme="majorBidi" w:hAnsiTheme="majorBidi" w:cstheme="majorBidi"/>
          <w:i/>
          <w:iCs/>
          <w:sz w:val="24"/>
          <w:szCs w:val="24"/>
        </w:rPr>
        <w:t>HEIZE</w:t>
      </w:r>
      <w:r w:rsidR="00B84BC0" w:rsidRPr="00511F36">
        <w:rPr>
          <w:rFonts w:asciiTheme="majorBidi" w:hAnsiTheme="majorBidi" w:cstheme="majorBidi"/>
          <w:sz w:val="24"/>
          <w:szCs w:val="24"/>
        </w:rPr>
        <w:t>), revenues from funding councils (</w:t>
      </w:r>
      <w:r w:rsidR="00B84BC0">
        <w:rPr>
          <w:rFonts w:asciiTheme="majorBidi" w:hAnsiTheme="majorBidi" w:cstheme="majorBidi"/>
          <w:i/>
          <w:iCs/>
          <w:sz w:val="24"/>
          <w:szCs w:val="24"/>
        </w:rPr>
        <w:t>CFUND</w:t>
      </w:r>
      <w:r w:rsidR="00B84BC0" w:rsidRPr="00511F36">
        <w:rPr>
          <w:rFonts w:asciiTheme="majorBidi" w:hAnsiTheme="majorBidi" w:cstheme="majorBidi"/>
          <w:sz w:val="24"/>
          <w:szCs w:val="24"/>
        </w:rPr>
        <w:t>), dummy for post-1992 (</w:t>
      </w:r>
      <w:r w:rsidR="00B84BC0" w:rsidRPr="00511F36">
        <w:rPr>
          <w:rFonts w:asciiTheme="majorBidi" w:hAnsiTheme="majorBidi" w:cstheme="majorBidi"/>
          <w:i/>
          <w:iCs/>
          <w:sz w:val="24"/>
          <w:szCs w:val="24"/>
        </w:rPr>
        <w:t>P</w:t>
      </w:r>
      <w:r w:rsidR="00B84BC0">
        <w:rPr>
          <w:rFonts w:asciiTheme="majorBidi" w:hAnsiTheme="majorBidi" w:cstheme="majorBidi"/>
          <w:i/>
          <w:iCs/>
          <w:sz w:val="24"/>
          <w:szCs w:val="24"/>
        </w:rPr>
        <w:t>ST</w:t>
      </w:r>
      <w:r w:rsidR="00B84BC0" w:rsidRPr="00511F36">
        <w:rPr>
          <w:rFonts w:asciiTheme="majorBidi" w:hAnsiTheme="majorBidi" w:cstheme="majorBidi"/>
          <w:i/>
          <w:iCs/>
          <w:sz w:val="24"/>
          <w:szCs w:val="24"/>
        </w:rPr>
        <w:t>92</w:t>
      </w:r>
      <w:r w:rsidR="00B84BC0" w:rsidRPr="00511F36">
        <w:rPr>
          <w:rFonts w:asciiTheme="majorBidi" w:hAnsiTheme="majorBidi" w:cstheme="majorBidi"/>
          <w:sz w:val="24"/>
          <w:szCs w:val="24"/>
        </w:rPr>
        <w:t>), Russell group dummy (</w:t>
      </w:r>
      <w:r w:rsidR="00B84BC0" w:rsidRPr="00511F36">
        <w:rPr>
          <w:rFonts w:asciiTheme="majorBidi" w:hAnsiTheme="majorBidi" w:cstheme="majorBidi"/>
          <w:i/>
          <w:iCs/>
          <w:sz w:val="24"/>
          <w:szCs w:val="24"/>
        </w:rPr>
        <w:t>R</w:t>
      </w:r>
      <w:r w:rsidR="00B84BC0">
        <w:rPr>
          <w:rFonts w:asciiTheme="majorBidi" w:hAnsiTheme="majorBidi" w:cstheme="majorBidi"/>
          <w:i/>
          <w:iCs/>
          <w:sz w:val="24"/>
          <w:szCs w:val="24"/>
        </w:rPr>
        <w:t>US</w:t>
      </w:r>
      <w:r w:rsidR="00B84BC0" w:rsidRPr="00511F36">
        <w:rPr>
          <w:rFonts w:asciiTheme="majorBidi" w:hAnsiTheme="majorBidi" w:cstheme="majorBidi"/>
          <w:i/>
          <w:iCs/>
          <w:sz w:val="24"/>
          <w:szCs w:val="24"/>
        </w:rPr>
        <w:t>G</w:t>
      </w:r>
      <w:r w:rsidR="00B84BC0" w:rsidRPr="00511F36">
        <w:rPr>
          <w:rFonts w:asciiTheme="majorBidi" w:hAnsiTheme="majorBidi" w:cstheme="majorBidi"/>
          <w:sz w:val="24"/>
          <w:szCs w:val="24"/>
        </w:rPr>
        <w:t>), liquidity (</w:t>
      </w:r>
      <w:r w:rsidR="00B84BC0" w:rsidRPr="00511F36">
        <w:rPr>
          <w:rFonts w:asciiTheme="majorBidi" w:hAnsiTheme="majorBidi" w:cstheme="majorBidi"/>
          <w:i/>
          <w:iCs/>
          <w:sz w:val="24"/>
          <w:szCs w:val="24"/>
        </w:rPr>
        <w:t>LQ</w:t>
      </w:r>
      <w:r w:rsidR="00B84BC0">
        <w:rPr>
          <w:rFonts w:asciiTheme="majorBidi" w:hAnsiTheme="majorBidi" w:cstheme="majorBidi"/>
          <w:i/>
          <w:iCs/>
          <w:sz w:val="24"/>
          <w:szCs w:val="24"/>
        </w:rPr>
        <w:t>UD</w:t>
      </w:r>
      <w:r w:rsidR="00B84BC0" w:rsidRPr="00511F36">
        <w:rPr>
          <w:rFonts w:asciiTheme="majorBidi" w:hAnsiTheme="majorBidi" w:cstheme="majorBidi"/>
          <w:sz w:val="24"/>
          <w:szCs w:val="24"/>
        </w:rPr>
        <w:t>), capital expenditure (</w:t>
      </w:r>
      <w:r w:rsidR="00B84BC0" w:rsidRPr="00511F36">
        <w:rPr>
          <w:rFonts w:asciiTheme="majorBidi" w:hAnsiTheme="majorBidi" w:cstheme="majorBidi"/>
          <w:i/>
          <w:iCs/>
          <w:sz w:val="24"/>
          <w:szCs w:val="24"/>
        </w:rPr>
        <w:t>C</w:t>
      </w:r>
      <w:r w:rsidR="00B84BC0">
        <w:rPr>
          <w:rFonts w:asciiTheme="majorBidi" w:hAnsiTheme="majorBidi" w:cstheme="majorBidi"/>
          <w:i/>
          <w:iCs/>
          <w:sz w:val="24"/>
          <w:szCs w:val="24"/>
        </w:rPr>
        <w:t>PE</w:t>
      </w:r>
      <w:r w:rsidR="00B84BC0" w:rsidRPr="00511F36">
        <w:rPr>
          <w:rFonts w:asciiTheme="majorBidi" w:hAnsiTheme="majorBidi" w:cstheme="majorBidi"/>
          <w:i/>
          <w:iCs/>
          <w:sz w:val="24"/>
          <w:szCs w:val="24"/>
        </w:rPr>
        <w:t>X</w:t>
      </w:r>
      <w:r w:rsidR="00B84BC0" w:rsidRPr="00511F36">
        <w:rPr>
          <w:rFonts w:asciiTheme="majorBidi" w:hAnsiTheme="majorBidi" w:cstheme="majorBidi"/>
          <w:sz w:val="24"/>
          <w:szCs w:val="24"/>
        </w:rPr>
        <w:t>), leverage (</w:t>
      </w:r>
      <w:r w:rsidR="00B84BC0" w:rsidRPr="00511F36">
        <w:rPr>
          <w:rFonts w:asciiTheme="majorBidi" w:hAnsiTheme="majorBidi" w:cstheme="majorBidi"/>
          <w:i/>
          <w:iCs/>
          <w:sz w:val="24"/>
          <w:szCs w:val="24"/>
        </w:rPr>
        <w:t>L</w:t>
      </w:r>
      <w:r w:rsidR="00B84BC0">
        <w:rPr>
          <w:rFonts w:asciiTheme="majorBidi" w:hAnsiTheme="majorBidi" w:cstheme="majorBidi"/>
          <w:i/>
          <w:iCs/>
          <w:sz w:val="24"/>
          <w:szCs w:val="24"/>
        </w:rPr>
        <w:t>E</w:t>
      </w:r>
      <w:r w:rsidR="00B84BC0" w:rsidRPr="00511F36">
        <w:rPr>
          <w:rFonts w:asciiTheme="majorBidi" w:hAnsiTheme="majorBidi" w:cstheme="majorBidi"/>
          <w:i/>
          <w:iCs/>
          <w:sz w:val="24"/>
          <w:szCs w:val="24"/>
        </w:rPr>
        <w:t>V</w:t>
      </w:r>
      <w:r w:rsidR="00B84BC0">
        <w:rPr>
          <w:rFonts w:asciiTheme="majorBidi" w:hAnsiTheme="majorBidi" w:cstheme="majorBidi"/>
          <w:i/>
          <w:iCs/>
          <w:sz w:val="24"/>
          <w:szCs w:val="24"/>
        </w:rPr>
        <w:t>R</w:t>
      </w:r>
      <w:r w:rsidR="00B84BC0" w:rsidRPr="00511F36">
        <w:rPr>
          <w:rFonts w:asciiTheme="majorBidi" w:hAnsiTheme="majorBidi" w:cstheme="majorBidi"/>
          <w:sz w:val="24"/>
          <w:szCs w:val="24"/>
        </w:rPr>
        <w:t>), growth (</w:t>
      </w:r>
      <w:r w:rsidR="00B84BC0" w:rsidRPr="00511F36">
        <w:rPr>
          <w:rFonts w:asciiTheme="majorBidi" w:hAnsiTheme="majorBidi" w:cstheme="majorBidi"/>
          <w:i/>
          <w:iCs/>
          <w:sz w:val="24"/>
          <w:szCs w:val="24"/>
        </w:rPr>
        <w:t>GR</w:t>
      </w:r>
      <w:r w:rsidR="00B84BC0">
        <w:rPr>
          <w:rFonts w:asciiTheme="majorBidi" w:hAnsiTheme="majorBidi" w:cstheme="majorBidi"/>
          <w:i/>
          <w:iCs/>
          <w:sz w:val="24"/>
          <w:szCs w:val="24"/>
        </w:rPr>
        <w:t>TH</w:t>
      </w:r>
      <w:r w:rsidR="00B84BC0" w:rsidRPr="00511F36">
        <w:rPr>
          <w:rFonts w:asciiTheme="majorBidi" w:hAnsiTheme="majorBidi" w:cstheme="majorBidi"/>
          <w:sz w:val="24"/>
          <w:szCs w:val="24"/>
        </w:rPr>
        <w:t>) and financial risk (</w:t>
      </w:r>
      <w:r w:rsidR="00B84BC0" w:rsidRPr="00511F36">
        <w:rPr>
          <w:rFonts w:asciiTheme="majorBidi" w:hAnsiTheme="majorBidi" w:cstheme="majorBidi"/>
          <w:i/>
          <w:iCs/>
          <w:sz w:val="24"/>
          <w:szCs w:val="24"/>
        </w:rPr>
        <w:t>R</w:t>
      </w:r>
      <w:r w:rsidR="00B84BC0">
        <w:rPr>
          <w:rFonts w:asciiTheme="majorBidi" w:hAnsiTheme="majorBidi" w:cstheme="majorBidi"/>
          <w:i/>
          <w:iCs/>
          <w:sz w:val="24"/>
          <w:szCs w:val="24"/>
        </w:rPr>
        <w:t>IS</w:t>
      </w:r>
      <w:r w:rsidR="00B84BC0" w:rsidRPr="00511F36">
        <w:rPr>
          <w:rFonts w:asciiTheme="majorBidi" w:hAnsiTheme="majorBidi" w:cstheme="majorBidi"/>
          <w:i/>
          <w:iCs/>
          <w:sz w:val="24"/>
          <w:szCs w:val="24"/>
        </w:rPr>
        <w:t>K</w:t>
      </w:r>
      <w:r w:rsidR="00B84BC0" w:rsidRPr="00511F36">
        <w:rPr>
          <w:rFonts w:asciiTheme="majorBidi" w:hAnsiTheme="majorBidi" w:cstheme="majorBidi"/>
          <w:sz w:val="24"/>
          <w:szCs w:val="24"/>
        </w:rPr>
        <w:t>)</w:t>
      </w:r>
      <w:r w:rsidR="000711DA">
        <w:rPr>
          <w:rFonts w:asciiTheme="majorBidi" w:hAnsiTheme="majorBidi" w:cstheme="majorBidi"/>
          <w:sz w:val="24"/>
          <w:szCs w:val="24"/>
        </w:rPr>
        <w:t xml:space="preserve">. </w:t>
      </w:r>
    </w:p>
    <w:p w14:paraId="58A9DC56" w14:textId="2F16AA83" w:rsidR="00E47AA4" w:rsidRDefault="00DF34D0" w:rsidP="000711DA">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 xml:space="preserve">In terms of board size, </w:t>
      </w:r>
      <w:r w:rsidR="006A3A45" w:rsidRPr="00511F36">
        <w:rPr>
          <w:rFonts w:asciiTheme="majorBidi" w:hAnsiTheme="majorBidi" w:cstheme="majorBidi"/>
          <w:sz w:val="24"/>
          <w:szCs w:val="24"/>
        </w:rPr>
        <w:t xml:space="preserve">Freeman </w:t>
      </w:r>
      <w:r w:rsidR="006A3A45">
        <w:rPr>
          <w:rFonts w:asciiTheme="majorBidi" w:hAnsiTheme="majorBidi" w:cstheme="majorBidi"/>
          <w:sz w:val="24"/>
          <w:szCs w:val="24"/>
        </w:rPr>
        <w:t>and</w:t>
      </w:r>
      <w:r w:rsidR="006A3A45" w:rsidRPr="00511F36">
        <w:rPr>
          <w:rFonts w:asciiTheme="majorBidi" w:hAnsiTheme="majorBidi" w:cstheme="majorBidi"/>
          <w:sz w:val="24"/>
          <w:szCs w:val="24"/>
        </w:rPr>
        <w:t xml:space="preserve"> Reed</w:t>
      </w:r>
      <w:r w:rsidR="006A3A45">
        <w:rPr>
          <w:rFonts w:asciiTheme="majorBidi" w:hAnsiTheme="majorBidi" w:cstheme="majorBidi"/>
          <w:sz w:val="24"/>
          <w:szCs w:val="24"/>
        </w:rPr>
        <w:t xml:space="preserve"> (</w:t>
      </w:r>
      <w:r w:rsidR="006A3A45" w:rsidRPr="00511F36">
        <w:rPr>
          <w:rFonts w:asciiTheme="majorBidi" w:hAnsiTheme="majorBidi" w:cstheme="majorBidi"/>
          <w:sz w:val="24"/>
          <w:szCs w:val="24"/>
        </w:rPr>
        <w:t>1983</w:t>
      </w:r>
      <w:r w:rsidR="006A3A45">
        <w:rPr>
          <w:rFonts w:asciiTheme="majorBidi" w:hAnsiTheme="majorBidi" w:cstheme="majorBidi"/>
          <w:sz w:val="24"/>
          <w:szCs w:val="24"/>
        </w:rPr>
        <w:t>) and Gordon et al. (2002</w:t>
      </w:r>
      <w:r w:rsidR="006A3A45" w:rsidRPr="00511F36">
        <w:rPr>
          <w:rFonts w:asciiTheme="majorBidi" w:hAnsiTheme="majorBidi" w:cstheme="majorBidi"/>
          <w:sz w:val="24"/>
          <w:szCs w:val="24"/>
        </w:rPr>
        <w:t>)</w:t>
      </w:r>
      <w:r w:rsidR="006A3A45">
        <w:rPr>
          <w:rFonts w:asciiTheme="majorBidi" w:hAnsiTheme="majorBidi" w:cstheme="majorBidi"/>
          <w:sz w:val="24"/>
          <w:szCs w:val="24"/>
        </w:rPr>
        <w:t xml:space="preserve"> suggest</w:t>
      </w:r>
      <w:r w:rsidR="0060031E">
        <w:rPr>
          <w:rFonts w:asciiTheme="majorBidi" w:hAnsiTheme="majorBidi" w:cstheme="majorBidi"/>
          <w:sz w:val="24"/>
          <w:szCs w:val="24"/>
        </w:rPr>
        <w:t xml:space="preserve"> that larger boards are associated with greater diversity </w:t>
      </w:r>
      <w:r w:rsidR="00924B8C">
        <w:rPr>
          <w:rFonts w:asciiTheme="majorBidi" w:hAnsiTheme="majorBidi" w:cstheme="majorBidi"/>
          <w:sz w:val="24"/>
          <w:szCs w:val="24"/>
        </w:rPr>
        <w:t xml:space="preserve">in the </w:t>
      </w:r>
      <w:r w:rsidR="0060031E" w:rsidRPr="00511F36">
        <w:rPr>
          <w:rFonts w:asciiTheme="majorBidi" w:hAnsiTheme="majorBidi" w:cstheme="majorBidi"/>
          <w:sz w:val="24"/>
          <w:szCs w:val="24"/>
        </w:rPr>
        <w:t xml:space="preserve">form of stakeholder representation, </w:t>
      </w:r>
      <w:r w:rsidR="00924B8C">
        <w:rPr>
          <w:rFonts w:asciiTheme="majorBidi" w:hAnsiTheme="majorBidi" w:cstheme="majorBidi"/>
          <w:sz w:val="24"/>
          <w:szCs w:val="24"/>
        </w:rPr>
        <w:t>knowledge</w:t>
      </w:r>
      <w:r w:rsidR="0060031E" w:rsidRPr="00511F36">
        <w:rPr>
          <w:rFonts w:asciiTheme="majorBidi" w:hAnsiTheme="majorBidi" w:cstheme="majorBidi"/>
          <w:sz w:val="24"/>
          <w:szCs w:val="24"/>
        </w:rPr>
        <w:t>, expertise and skills,</w:t>
      </w:r>
      <w:r w:rsidR="0060031E">
        <w:rPr>
          <w:rFonts w:asciiTheme="majorBidi" w:hAnsiTheme="majorBidi" w:cstheme="majorBidi"/>
          <w:sz w:val="24"/>
          <w:szCs w:val="24"/>
        </w:rPr>
        <w:t xml:space="preserve"> and this diversity can </w:t>
      </w:r>
      <w:r w:rsidR="0060031E" w:rsidRPr="00511F36">
        <w:rPr>
          <w:rFonts w:asciiTheme="majorBidi" w:hAnsiTheme="majorBidi" w:cstheme="majorBidi"/>
          <w:sz w:val="24"/>
          <w:szCs w:val="24"/>
        </w:rPr>
        <w:t>increase the need of HEIs to</w:t>
      </w:r>
      <w:r w:rsidR="00924B8C">
        <w:rPr>
          <w:rFonts w:asciiTheme="majorBidi" w:hAnsiTheme="majorBidi" w:cstheme="majorBidi"/>
          <w:sz w:val="24"/>
          <w:szCs w:val="24"/>
        </w:rPr>
        <w:t xml:space="preserve"> disclose more information about their governance structures </w:t>
      </w:r>
      <w:r w:rsidR="0060031E" w:rsidRPr="00511F36">
        <w:rPr>
          <w:rFonts w:asciiTheme="majorBidi" w:hAnsiTheme="majorBidi" w:cstheme="majorBidi"/>
          <w:sz w:val="24"/>
          <w:szCs w:val="24"/>
        </w:rPr>
        <w:t xml:space="preserve">in order to meet societal </w:t>
      </w:r>
      <w:r w:rsidR="0060031E">
        <w:rPr>
          <w:rFonts w:asciiTheme="majorBidi" w:hAnsiTheme="majorBidi" w:cstheme="majorBidi"/>
          <w:sz w:val="24"/>
          <w:szCs w:val="24"/>
        </w:rPr>
        <w:t>expectations</w:t>
      </w:r>
      <w:r w:rsidR="00924B8C">
        <w:rPr>
          <w:rFonts w:asciiTheme="majorBidi" w:hAnsiTheme="majorBidi" w:cstheme="majorBidi"/>
          <w:sz w:val="24"/>
          <w:szCs w:val="24"/>
        </w:rPr>
        <w:t xml:space="preserve"> of stakeholders</w:t>
      </w:r>
      <w:r w:rsidR="0060031E">
        <w:rPr>
          <w:rFonts w:asciiTheme="majorBidi" w:hAnsiTheme="majorBidi" w:cstheme="majorBidi"/>
          <w:sz w:val="24"/>
          <w:szCs w:val="24"/>
        </w:rPr>
        <w:t xml:space="preserve">. However, </w:t>
      </w:r>
      <w:r w:rsidR="0060031E" w:rsidRPr="00511F36">
        <w:rPr>
          <w:rFonts w:asciiTheme="majorBidi" w:hAnsiTheme="majorBidi" w:cstheme="majorBidi"/>
          <w:sz w:val="24"/>
          <w:szCs w:val="24"/>
        </w:rPr>
        <w:t>Yermack</w:t>
      </w:r>
      <w:r w:rsidR="0060031E">
        <w:rPr>
          <w:rFonts w:asciiTheme="majorBidi" w:hAnsiTheme="majorBidi" w:cstheme="majorBidi"/>
          <w:sz w:val="24"/>
          <w:szCs w:val="24"/>
        </w:rPr>
        <w:t xml:space="preserve"> (</w:t>
      </w:r>
      <w:r w:rsidR="0060031E" w:rsidRPr="00511F36">
        <w:rPr>
          <w:rFonts w:asciiTheme="majorBidi" w:hAnsiTheme="majorBidi" w:cstheme="majorBidi"/>
          <w:sz w:val="24"/>
          <w:szCs w:val="24"/>
        </w:rPr>
        <w:t>1996</w:t>
      </w:r>
      <w:r w:rsidR="0060031E">
        <w:rPr>
          <w:rFonts w:asciiTheme="majorBidi" w:hAnsiTheme="majorBidi" w:cstheme="majorBidi"/>
          <w:sz w:val="24"/>
          <w:szCs w:val="24"/>
        </w:rPr>
        <w:t xml:space="preserve">) </w:t>
      </w:r>
      <w:r w:rsidR="00924B8C">
        <w:rPr>
          <w:rFonts w:asciiTheme="majorBidi" w:hAnsiTheme="majorBidi" w:cstheme="majorBidi"/>
          <w:sz w:val="24"/>
          <w:szCs w:val="24"/>
        </w:rPr>
        <w:t>advocates the view that l</w:t>
      </w:r>
      <w:r w:rsidR="006A3A45">
        <w:rPr>
          <w:rFonts w:asciiTheme="majorBidi" w:hAnsiTheme="majorBidi" w:cstheme="majorBidi"/>
          <w:sz w:val="24"/>
          <w:szCs w:val="24"/>
        </w:rPr>
        <w:t xml:space="preserve">arge boards often suffer </w:t>
      </w:r>
      <w:r w:rsidR="00BE0110">
        <w:rPr>
          <w:rFonts w:asciiTheme="majorBidi" w:hAnsiTheme="majorBidi" w:cstheme="majorBidi"/>
          <w:sz w:val="24"/>
          <w:szCs w:val="24"/>
        </w:rPr>
        <w:t xml:space="preserve">from </w:t>
      </w:r>
      <w:r w:rsidR="006A3A45">
        <w:rPr>
          <w:rFonts w:asciiTheme="majorBidi" w:hAnsiTheme="majorBidi" w:cstheme="majorBidi"/>
          <w:sz w:val="24"/>
          <w:szCs w:val="24"/>
        </w:rPr>
        <w:t xml:space="preserve">poor collaboration and communication between board members, and this in turn can diminish </w:t>
      </w:r>
      <w:r w:rsidR="003D29D5">
        <w:rPr>
          <w:rFonts w:asciiTheme="majorBidi" w:hAnsiTheme="majorBidi" w:cstheme="majorBidi"/>
          <w:sz w:val="24"/>
          <w:szCs w:val="24"/>
        </w:rPr>
        <w:t>board efficiency</w:t>
      </w:r>
      <w:r w:rsidR="00BE0110">
        <w:rPr>
          <w:rFonts w:asciiTheme="majorBidi" w:hAnsiTheme="majorBidi" w:cstheme="majorBidi"/>
          <w:sz w:val="24"/>
          <w:szCs w:val="24"/>
        </w:rPr>
        <w:t>/</w:t>
      </w:r>
      <w:r w:rsidR="00BA76F0">
        <w:rPr>
          <w:rFonts w:asciiTheme="majorBidi" w:hAnsiTheme="majorBidi" w:cstheme="majorBidi"/>
          <w:sz w:val="24"/>
          <w:szCs w:val="24"/>
        </w:rPr>
        <w:t xml:space="preserve">effectiveness, which may </w:t>
      </w:r>
      <w:r w:rsidR="00BA76F0" w:rsidRPr="00511F36">
        <w:rPr>
          <w:rFonts w:asciiTheme="majorBidi" w:hAnsiTheme="majorBidi" w:cstheme="majorBidi"/>
          <w:sz w:val="24"/>
          <w:szCs w:val="24"/>
        </w:rPr>
        <w:t>adversely impact HEIs governance disclosure practices</w:t>
      </w:r>
      <w:r w:rsidR="00BA76F0">
        <w:rPr>
          <w:rFonts w:asciiTheme="majorBidi" w:hAnsiTheme="majorBidi" w:cstheme="majorBidi"/>
          <w:sz w:val="24"/>
          <w:szCs w:val="24"/>
        </w:rPr>
        <w:t>.</w:t>
      </w:r>
    </w:p>
    <w:p w14:paraId="05087C22" w14:textId="23F11C17" w:rsidR="00E47AA4" w:rsidRDefault="00E47AA4" w:rsidP="00C63EF2">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The size of external auditing firms can also impact voluntary governance disclosures</w:t>
      </w:r>
      <w:r w:rsidR="004705FF">
        <w:rPr>
          <w:rFonts w:asciiTheme="majorBidi" w:hAnsiTheme="majorBidi" w:cstheme="majorBidi"/>
          <w:sz w:val="24"/>
          <w:szCs w:val="24"/>
        </w:rPr>
        <w:t xml:space="preserve"> (Sarhan et al., 2019)</w:t>
      </w:r>
      <w:r>
        <w:rPr>
          <w:rFonts w:asciiTheme="majorBidi" w:hAnsiTheme="majorBidi" w:cstheme="majorBidi"/>
          <w:sz w:val="24"/>
          <w:szCs w:val="24"/>
        </w:rPr>
        <w:t xml:space="preserve">. Holm and Zaman (2012) suggest that larger auditing firms </w:t>
      </w:r>
      <w:r w:rsidRPr="00511F36">
        <w:rPr>
          <w:rFonts w:asciiTheme="majorBidi" w:hAnsiTheme="majorBidi" w:cstheme="majorBidi"/>
          <w:sz w:val="24"/>
          <w:szCs w:val="24"/>
        </w:rPr>
        <w:t>are</w:t>
      </w:r>
      <w:r>
        <w:rPr>
          <w:rFonts w:asciiTheme="majorBidi" w:hAnsiTheme="majorBidi" w:cstheme="majorBidi"/>
          <w:sz w:val="24"/>
          <w:szCs w:val="24"/>
        </w:rPr>
        <w:t xml:space="preserve"> more </w:t>
      </w:r>
      <w:r w:rsidRPr="00511F36">
        <w:rPr>
          <w:rFonts w:asciiTheme="majorBidi" w:hAnsiTheme="majorBidi" w:cstheme="majorBidi"/>
          <w:sz w:val="24"/>
          <w:szCs w:val="24"/>
        </w:rPr>
        <w:t>effective in monitoring and controlling management,</w:t>
      </w:r>
      <w:r>
        <w:rPr>
          <w:rFonts w:asciiTheme="majorBidi" w:hAnsiTheme="majorBidi" w:cstheme="majorBidi"/>
          <w:sz w:val="24"/>
          <w:szCs w:val="24"/>
        </w:rPr>
        <w:t xml:space="preserve"> since they are</w:t>
      </w:r>
      <w:r w:rsidRPr="00511F36">
        <w:rPr>
          <w:rFonts w:asciiTheme="majorBidi" w:hAnsiTheme="majorBidi" w:cstheme="majorBidi"/>
          <w:sz w:val="24"/>
          <w:szCs w:val="24"/>
        </w:rPr>
        <w:t xml:space="preserve"> more capable (characterised by having greater skills, expertise, knowledge, experience and financial strength) at delivering high-quality audit services compared with smaller counterparts</w:t>
      </w:r>
      <w:r>
        <w:rPr>
          <w:rFonts w:asciiTheme="majorBidi" w:hAnsiTheme="majorBidi" w:cstheme="majorBidi"/>
          <w:sz w:val="24"/>
          <w:szCs w:val="24"/>
        </w:rPr>
        <w:t>. Similarly, Ntim et al. (2017) argue that large</w:t>
      </w:r>
      <w:r w:rsidRPr="00511F36">
        <w:rPr>
          <w:rFonts w:asciiTheme="majorBidi" w:hAnsiTheme="majorBidi" w:cstheme="majorBidi"/>
          <w:sz w:val="24"/>
          <w:szCs w:val="24"/>
        </w:rPr>
        <w:t xml:space="preserve"> auditing firms have more incentives to deliver high-quality audit services in order to avoid losing customers, and </w:t>
      </w:r>
      <w:r>
        <w:rPr>
          <w:rFonts w:asciiTheme="majorBidi" w:hAnsiTheme="majorBidi" w:cstheme="majorBidi"/>
          <w:sz w:val="24"/>
          <w:szCs w:val="24"/>
        </w:rPr>
        <w:t xml:space="preserve">hence large auditing firms </w:t>
      </w:r>
      <w:r w:rsidRPr="00511F36">
        <w:rPr>
          <w:rFonts w:asciiTheme="majorBidi" w:hAnsiTheme="majorBidi" w:cstheme="majorBidi"/>
          <w:sz w:val="24"/>
          <w:szCs w:val="24"/>
        </w:rPr>
        <w:t>may put more pressure on HEIs to engage in increased governance disclosures to demonstrate accountability to stakeholders.</w:t>
      </w:r>
      <w:r w:rsidR="001B7CEA">
        <w:rPr>
          <w:rFonts w:asciiTheme="majorBidi" w:hAnsiTheme="majorBidi" w:cstheme="majorBidi"/>
          <w:sz w:val="24"/>
          <w:szCs w:val="24"/>
        </w:rPr>
        <w:t xml:space="preserve"> </w:t>
      </w:r>
      <w:r w:rsidR="001B7CEA" w:rsidRPr="00511F36">
        <w:rPr>
          <w:rFonts w:asciiTheme="majorBidi" w:hAnsiTheme="majorBidi" w:cstheme="majorBidi"/>
          <w:sz w:val="24"/>
          <w:szCs w:val="24"/>
        </w:rPr>
        <w:t xml:space="preserve">However, a study conducted by Gordon et al. (2002) suggest </w:t>
      </w:r>
      <w:r w:rsidR="001B7CEA" w:rsidRPr="00511F36">
        <w:rPr>
          <w:rFonts w:asciiTheme="majorBidi" w:hAnsiTheme="majorBidi" w:cstheme="majorBidi"/>
          <w:sz w:val="24"/>
          <w:szCs w:val="24"/>
        </w:rPr>
        <w:lastRenderedPageBreak/>
        <w:t xml:space="preserve">that audit firm size may act as a substitute for weak internal control </w:t>
      </w:r>
      <w:r w:rsidR="00F92E22">
        <w:rPr>
          <w:rFonts w:asciiTheme="majorBidi" w:hAnsiTheme="majorBidi" w:cstheme="majorBidi"/>
          <w:sz w:val="24"/>
          <w:szCs w:val="24"/>
        </w:rPr>
        <w:t>structures</w:t>
      </w:r>
      <w:r w:rsidR="001B7CEA" w:rsidRPr="00511F36">
        <w:rPr>
          <w:rFonts w:asciiTheme="majorBidi" w:hAnsiTheme="majorBidi" w:cstheme="majorBidi"/>
          <w:sz w:val="24"/>
          <w:szCs w:val="24"/>
        </w:rPr>
        <w:t xml:space="preserve">, and hence a negative </w:t>
      </w:r>
      <w:r w:rsidR="00F92E22">
        <w:rPr>
          <w:rFonts w:asciiTheme="majorBidi" w:hAnsiTheme="majorBidi" w:cstheme="majorBidi"/>
          <w:sz w:val="24"/>
          <w:szCs w:val="24"/>
        </w:rPr>
        <w:t>link</w:t>
      </w:r>
      <w:r w:rsidR="001B7CEA" w:rsidRPr="00511F36">
        <w:rPr>
          <w:rFonts w:asciiTheme="majorBidi" w:hAnsiTheme="majorBidi" w:cstheme="majorBidi"/>
          <w:sz w:val="24"/>
          <w:szCs w:val="24"/>
        </w:rPr>
        <w:t xml:space="preserve"> between audit firm size</w:t>
      </w:r>
      <w:r w:rsidR="00E90A62">
        <w:rPr>
          <w:rFonts w:asciiTheme="majorBidi" w:hAnsiTheme="majorBidi" w:cstheme="majorBidi"/>
          <w:sz w:val="24"/>
          <w:szCs w:val="24"/>
        </w:rPr>
        <w:t xml:space="preserve"> and disclosure practices can also be</w:t>
      </w:r>
      <w:r w:rsidR="00E01ADE">
        <w:rPr>
          <w:rFonts w:asciiTheme="majorBidi" w:hAnsiTheme="majorBidi" w:cstheme="majorBidi"/>
          <w:sz w:val="24"/>
          <w:szCs w:val="24"/>
        </w:rPr>
        <w:t xml:space="preserve"> expected.</w:t>
      </w:r>
    </w:p>
    <w:p w14:paraId="14A230B2" w14:textId="0F7AAC97" w:rsidR="001A60A3" w:rsidRDefault="002D7C50" w:rsidP="00C63EF2">
      <w:pPr>
        <w:spacing w:after="0" w:line="480" w:lineRule="auto"/>
        <w:ind w:firstLine="426"/>
        <w:jc w:val="both"/>
        <w:rPr>
          <w:rFonts w:asciiTheme="majorBidi" w:eastAsia="Times New Roman" w:hAnsiTheme="majorBidi" w:cstheme="majorBidi"/>
          <w:sz w:val="24"/>
          <w:szCs w:val="24"/>
          <w:lang w:eastAsia="en-GB"/>
        </w:rPr>
      </w:pPr>
      <w:r>
        <w:rPr>
          <w:rFonts w:asciiTheme="majorBidi" w:hAnsiTheme="majorBidi" w:cstheme="majorBidi"/>
          <w:sz w:val="24"/>
          <w:szCs w:val="24"/>
        </w:rPr>
        <w:t xml:space="preserve">Size of HEIs and growth rate </w:t>
      </w:r>
      <w:r w:rsidR="00CE7190">
        <w:rPr>
          <w:rFonts w:asciiTheme="majorBidi" w:hAnsiTheme="majorBidi" w:cstheme="majorBidi"/>
          <w:sz w:val="24"/>
          <w:szCs w:val="24"/>
        </w:rPr>
        <w:t>may</w:t>
      </w:r>
      <w:r>
        <w:rPr>
          <w:rFonts w:asciiTheme="majorBidi" w:hAnsiTheme="majorBidi" w:cstheme="majorBidi"/>
          <w:sz w:val="24"/>
          <w:szCs w:val="24"/>
        </w:rPr>
        <w:t xml:space="preserve"> also impact on voluntary governance disclosure</w:t>
      </w:r>
      <w:r w:rsidR="0097576F">
        <w:rPr>
          <w:rFonts w:asciiTheme="majorBidi" w:hAnsiTheme="majorBidi" w:cstheme="majorBidi"/>
          <w:sz w:val="24"/>
          <w:szCs w:val="24"/>
        </w:rPr>
        <w:t>s</w:t>
      </w:r>
      <w:r>
        <w:rPr>
          <w:rFonts w:asciiTheme="majorBidi" w:hAnsiTheme="majorBidi" w:cstheme="majorBidi"/>
          <w:sz w:val="24"/>
          <w:szCs w:val="24"/>
        </w:rPr>
        <w:t>.</w:t>
      </w:r>
      <w:r w:rsidR="00AC33E8" w:rsidRPr="00AC33E8">
        <w:rPr>
          <w:rFonts w:asciiTheme="majorBidi" w:eastAsia="Times New Roman" w:hAnsiTheme="majorBidi" w:cstheme="majorBidi"/>
          <w:sz w:val="24"/>
          <w:szCs w:val="24"/>
          <w:lang w:eastAsia="en-GB"/>
        </w:rPr>
        <w:t xml:space="preserve"> </w:t>
      </w:r>
      <w:r w:rsidR="00AC33E8">
        <w:rPr>
          <w:rFonts w:asciiTheme="majorBidi" w:eastAsia="Times New Roman" w:hAnsiTheme="majorBidi" w:cstheme="majorBidi"/>
          <w:sz w:val="24"/>
          <w:szCs w:val="24"/>
          <w:lang w:eastAsia="en-GB"/>
        </w:rPr>
        <w:t xml:space="preserve">Luoma and </w:t>
      </w:r>
      <w:r w:rsidR="00AC33E8" w:rsidRPr="00AC33E8">
        <w:rPr>
          <w:rFonts w:asciiTheme="majorBidi" w:eastAsia="Times New Roman" w:hAnsiTheme="majorBidi" w:cstheme="majorBidi"/>
          <w:sz w:val="24"/>
          <w:szCs w:val="24"/>
          <w:lang w:eastAsia="en-GB"/>
        </w:rPr>
        <w:t>Goodstein</w:t>
      </w:r>
      <w:r w:rsidR="00AC33E8">
        <w:rPr>
          <w:rFonts w:asciiTheme="majorBidi" w:eastAsia="Times New Roman" w:hAnsiTheme="majorBidi" w:cstheme="majorBidi"/>
          <w:sz w:val="24"/>
          <w:szCs w:val="24"/>
          <w:lang w:eastAsia="en-GB"/>
        </w:rPr>
        <w:t xml:space="preserve"> (1999) and</w:t>
      </w:r>
      <w:r>
        <w:rPr>
          <w:rFonts w:asciiTheme="majorBidi" w:hAnsiTheme="majorBidi" w:cstheme="majorBidi"/>
          <w:sz w:val="24"/>
          <w:szCs w:val="24"/>
        </w:rPr>
        <w:t xml:space="preserve"> </w:t>
      </w:r>
      <w:r w:rsidR="000C77D4">
        <w:rPr>
          <w:rFonts w:asciiTheme="majorBidi" w:eastAsia="Times New Roman" w:hAnsiTheme="majorBidi" w:cstheme="majorBidi"/>
          <w:sz w:val="24"/>
          <w:szCs w:val="24"/>
          <w:lang w:eastAsia="en-GB"/>
        </w:rPr>
        <w:t xml:space="preserve">Saxton and </w:t>
      </w:r>
      <w:r w:rsidR="00A65E0D" w:rsidRPr="00A65E0D">
        <w:rPr>
          <w:rFonts w:asciiTheme="majorBidi" w:eastAsia="Times New Roman" w:hAnsiTheme="majorBidi" w:cstheme="majorBidi"/>
          <w:sz w:val="24"/>
          <w:szCs w:val="24"/>
          <w:lang w:eastAsia="en-GB"/>
        </w:rPr>
        <w:t>Guo</w:t>
      </w:r>
      <w:r w:rsidR="00A65E0D">
        <w:rPr>
          <w:rFonts w:asciiTheme="majorBidi" w:eastAsia="Times New Roman" w:hAnsiTheme="majorBidi" w:cstheme="majorBidi"/>
          <w:sz w:val="24"/>
          <w:szCs w:val="24"/>
          <w:lang w:eastAsia="en-GB"/>
        </w:rPr>
        <w:t xml:space="preserve"> (2011)</w:t>
      </w:r>
      <w:r w:rsidR="00146E56">
        <w:rPr>
          <w:rFonts w:asciiTheme="majorBidi" w:eastAsia="Times New Roman" w:hAnsiTheme="majorBidi" w:cstheme="majorBidi"/>
          <w:sz w:val="24"/>
          <w:szCs w:val="24"/>
          <w:lang w:eastAsia="en-GB"/>
        </w:rPr>
        <w:t xml:space="preserve"> </w:t>
      </w:r>
      <w:r w:rsidR="0097576F">
        <w:rPr>
          <w:rFonts w:asciiTheme="majorBidi" w:eastAsia="Times New Roman" w:hAnsiTheme="majorBidi" w:cstheme="majorBidi"/>
          <w:sz w:val="24"/>
          <w:szCs w:val="24"/>
          <w:lang w:eastAsia="en-GB"/>
        </w:rPr>
        <w:t>suggest that large organisations and those with high growth rate</w:t>
      </w:r>
      <w:r w:rsidR="00063125">
        <w:rPr>
          <w:rFonts w:asciiTheme="majorBidi" w:eastAsia="Times New Roman" w:hAnsiTheme="majorBidi" w:cstheme="majorBidi"/>
          <w:sz w:val="24"/>
          <w:szCs w:val="24"/>
          <w:lang w:eastAsia="en-GB"/>
        </w:rPr>
        <w:t>s</w:t>
      </w:r>
      <w:r w:rsidR="0097576F">
        <w:rPr>
          <w:rFonts w:asciiTheme="majorBidi" w:eastAsia="Times New Roman" w:hAnsiTheme="majorBidi" w:cstheme="majorBidi"/>
          <w:sz w:val="24"/>
          <w:szCs w:val="24"/>
          <w:lang w:eastAsia="en-GB"/>
        </w:rPr>
        <w:t xml:space="preserve"> are often associated with greater political costs resulting from increased attention by external parties, including media, lobby groups, state and the general public. This can </w:t>
      </w:r>
      <w:r w:rsidR="00CE7190">
        <w:rPr>
          <w:rFonts w:asciiTheme="majorBidi" w:eastAsia="Times New Roman" w:hAnsiTheme="majorBidi" w:cstheme="majorBidi"/>
          <w:sz w:val="24"/>
          <w:szCs w:val="24"/>
          <w:lang w:eastAsia="en-GB"/>
        </w:rPr>
        <w:t>result in increasing</w:t>
      </w:r>
      <w:r w:rsidR="0097576F">
        <w:rPr>
          <w:rFonts w:asciiTheme="majorBidi" w:eastAsia="Times New Roman" w:hAnsiTheme="majorBidi" w:cstheme="majorBidi"/>
          <w:sz w:val="24"/>
          <w:szCs w:val="24"/>
          <w:lang w:eastAsia="en-GB"/>
        </w:rPr>
        <w:t xml:space="preserve"> pressure on organisations to engag</w:t>
      </w:r>
      <w:r w:rsidR="00CE7190">
        <w:rPr>
          <w:rFonts w:asciiTheme="majorBidi" w:eastAsia="Times New Roman" w:hAnsiTheme="majorBidi" w:cstheme="majorBidi"/>
          <w:sz w:val="24"/>
          <w:szCs w:val="24"/>
          <w:lang w:eastAsia="en-GB"/>
        </w:rPr>
        <w:t xml:space="preserve">e in more voluntary disclosures about their governance practices. In contrast, </w:t>
      </w:r>
      <w:r w:rsidR="00CE7190" w:rsidRPr="004842B0">
        <w:rPr>
          <w:rFonts w:asciiTheme="majorBidi" w:eastAsia="Times New Roman" w:hAnsiTheme="majorBidi" w:cstheme="majorBidi"/>
          <w:sz w:val="24"/>
          <w:szCs w:val="24"/>
          <w:lang w:eastAsia="en-GB"/>
        </w:rPr>
        <w:t>Saxton</w:t>
      </w:r>
      <w:r w:rsidR="00CE7190">
        <w:rPr>
          <w:rFonts w:asciiTheme="majorBidi" w:eastAsia="Times New Roman" w:hAnsiTheme="majorBidi" w:cstheme="majorBidi"/>
          <w:sz w:val="24"/>
          <w:szCs w:val="24"/>
          <w:lang w:eastAsia="en-GB"/>
        </w:rPr>
        <w:t xml:space="preserve"> et al. (2012) </w:t>
      </w:r>
      <w:r w:rsidR="001A60A3">
        <w:rPr>
          <w:rFonts w:asciiTheme="majorBidi" w:eastAsia="Times New Roman" w:hAnsiTheme="majorBidi" w:cstheme="majorBidi"/>
          <w:sz w:val="24"/>
          <w:szCs w:val="24"/>
          <w:lang w:eastAsia="en-GB"/>
        </w:rPr>
        <w:t xml:space="preserve">suggest that large non-profitable organisations and those with high growth rates have less incentives to engage in voluntary disclosures in order to avoid attracting public attention to them, and hence </w:t>
      </w:r>
      <w:r w:rsidR="00443328">
        <w:rPr>
          <w:rFonts w:asciiTheme="majorBidi" w:eastAsia="Times New Roman" w:hAnsiTheme="majorBidi" w:cstheme="majorBidi"/>
          <w:sz w:val="24"/>
          <w:szCs w:val="24"/>
          <w:lang w:eastAsia="en-GB"/>
        </w:rPr>
        <w:t xml:space="preserve">organisation </w:t>
      </w:r>
      <w:r w:rsidR="001A60A3">
        <w:rPr>
          <w:rFonts w:asciiTheme="majorBidi" w:eastAsia="Times New Roman" w:hAnsiTheme="majorBidi" w:cstheme="majorBidi"/>
          <w:sz w:val="24"/>
          <w:szCs w:val="24"/>
          <w:lang w:eastAsia="en-GB"/>
        </w:rPr>
        <w:t xml:space="preserve">size and growth rate may negatively </w:t>
      </w:r>
      <w:r w:rsidR="00852923">
        <w:rPr>
          <w:rFonts w:asciiTheme="majorBidi" w:eastAsia="Times New Roman" w:hAnsiTheme="majorBidi" w:cstheme="majorBidi"/>
          <w:sz w:val="24"/>
          <w:szCs w:val="24"/>
          <w:lang w:eastAsia="en-GB"/>
        </w:rPr>
        <w:t>influence on</w:t>
      </w:r>
      <w:r w:rsidR="001A60A3">
        <w:rPr>
          <w:rFonts w:asciiTheme="majorBidi" w:eastAsia="Times New Roman" w:hAnsiTheme="majorBidi" w:cstheme="majorBidi"/>
          <w:sz w:val="24"/>
          <w:szCs w:val="24"/>
          <w:lang w:eastAsia="en-GB"/>
        </w:rPr>
        <w:t xml:space="preserve"> governance disclosure practices. </w:t>
      </w:r>
    </w:p>
    <w:p w14:paraId="27447AF0" w14:textId="553732E5" w:rsidR="00443328" w:rsidRDefault="00EF3C3B" w:rsidP="00C63EF2">
      <w:pPr>
        <w:spacing w:after="0" w:line="480" w:lineRule="auto"/>
        <w:ind w:firstLine="426"/>
        <w:jc w:val="both"/>
        <w:rPr>
          <w:rFonts w:asciiTheme="majorBidi" w:eastAsia="Times New Roman" w:hAnsiTheme="majorBidi" w:cstheme="majorBidi"/>
          <w:sz w:val="24"/>
          <w:szCs w:val="24"/>
          <w:lang w:eastAsia="en-GB"/>
        </w:rPr>
      </w:pPr>
      <w:r w:rsidRPr="00BE0110">
        <w:rPr>
          <w:rFonts w:asciiTheme="majorBidi" w:eastAsia="Times New Roman" w:hAnsiTheme="majorBidi" w:cstheme="majorBidi"/>
          <w:sz w:val="24"/>
          <w:szCs w:val="24"/>
          <w:lang w:eastAsia="en-GB"/>
        </w:rPr>
        <w:t>With respect to the HEIs age</w:t>
      </w:r>
      <w:r w:rsidR="00D24A3B" w:rsidRPr="00BE0110">
        <w:rPr>
          <w:rFonts w:asciiTheme="majorBidi" w:eastAsia="Times New Roman" w:hAnsiTheme="majorBidi" w:cstheme="majorBidi"/>
          <w:sz w:val="24"/>
          <w:szCs w:val="24"/>
          <w:lang w:eastAsia="en-GB"/>
        </w:rPr>
        <w:t xml:space="preserve">, emphasise on research (Russell Group) </w:t>
      </w:r>
      <w:r w:rsidRPr="00BE0110">
        <w:rPr>
          <w:rFonts w:asciiTheme="majorBidi" w:eastAsia="Times New Roman" w:hAnsiTheme="majorBidi" w:cstheme="majorBidi"/>
          <w:sz w:val="24"/>
          <w:szCs w:val="24"/>
          <w:lang w:eastAsia="en-GB"/>
        </w:rPr>
        <w:t xml:space="preserve">and status (pre- and post-1992), </w:t>
      </w:r>
      <w:r w:rsidR="00BE0110" w:rsidRPr="00A7455C">
        <w:rPr>
          <w:rFonts w:asciiTheme="majorBidi" w:eastAsia="Times New Roman" w:hAnsiTheme="majorBidi" w:cstheme="majorBidi"/>
          <w:sz w:val="24"/>
          <w:szCs w:val="24"/>
          <w:lang w:val="pt-PT" w:eastAsia="en-GB"/>
        </w:rPr>
        <w:t>Adhikariparajul</w:t>
      </w:r>
      <w:r w:rsidR="00BE0110">
        <w:rPr>
          <w:rFonts w:asciiTheme="majorBidi" w:hAnsiTheme="majorBidi" w:cstheme="majorBidi"/>
          <w:sz w:val="24"/>
          <w:szCs w:val="24"/>
        </w:rPr>
        <w:t xml:space="preserve"> et al. (2019) and </w:t>
      </w:r>
      <w:r w:rsidR="00BE0110">
        <w:rPr>
          <w:rFonts w:asciiTheme="majorBidi" w:eastAsia="Times New Roman" w:hAnsiTheme="majorBidi" w:cstheme="majorBidi"/>
          <w:sz w:val="24"/>
          <w:szCs w:val="24"/>
          <w:lang w:eastAsia="en-GB"/>
        </w:rPr>
        <w:t>Boliver (2015)</w:t>
      </w:r>
      <w:r w:rsidR="00B16E68">
        <w:rPr>
          <w:rFonts w:asciiTheme="majorBidi" w:eastAsia="Times New Roman" w:hAnsiTheme="majorBidi" w:cstheme="majorBidi"/>
          <w:sz w:val="24"/>
          <w:szCs w:val="24"/>
          <w:lang w:eastAsia="en-GB"/>
        </w:rPr>
        <w:t xml:space="preserve"> </w:t>
      </w:r>
      <w:r w:rsidR="00866D34">
        <w:rPr>
          <w:rFonts w:asciiTheme="majorBidi" w:eastAsia="Times New Roman" w:hAnsiTheme="majorBidi" w:cstheme="majorBidi"/>
          <w:sz w:val="24"/>
          <w:szCs w:val="24"/>
          <w:lang w:eastAsia="en-GB"/>
        </w:rPr>
        <w:t>argue that old</w:t>
      </w:r>
      <w:r w:rsidR="00B16E68">
        <w:rPr>
          <w:rFonts w:asciiTheme="majorBidi" w:eastAsia="Times New Roman" w:hAnsiTheme="majorBidi" w:cstheme="majorBidi"/>
          <w:sz w:val="24"/>
          <w:szCs w:val="24"/>
          <w:lang w:eastAsia="en-GB"/>
        </w:rPr>
        <w:t xml:space="preserve"> (established </w:t>
      </w:r>
      <w:r w:rsidR="00866D34">
        <w:rPr>
          <w:rFonts w:asciiTheme="majorBidi" w:eastAsia="Times New Roman" w:hAnsiTheme="majorBidi" w:cstheme="majorBidi"/>
          <w:sz w:val="24"/>
          <w:szCs w:val="24"/>
          <w:lang w:eastAsia="en-GB"/>
        </w:rPr>
        <w:t>pre-</w:t>
      </w:r>
      <w:r w:rsidR="00B16E68">
        <w:rPr>
          <w:rFonts w:asciiTheme="majorBidi" w:eastAsia="Times New Roman" w:hAnsiTheme="majorBidi" w:cstheme="majorBidi"/>
          <w:sz w:val="24"/>
          <w:szCs w:val="24"/>
          <w:lang w:eastAsia="en-GB"/>
        </w:rPr>
        <w:t xml:space="preserve">1992) </w:t>
      </w:r>
      <w:r w:rsidR="00866D34">
        <w:rPr>
          <w:rFonts w:asciiTheme="majorBidi" w:eastAsia="Times New Roman" w:hAnsiTheme="majorBidi" w:cstheme="majorBidi"/>
          <w:sz w:val="24"/>
          <w:szCs w:val="24"/>
          <w:lang w:eastAsia="en-GB"/>
        </w:rPr>
        <w:t>and research intensive HEIs are more motivated to engage in disclosure about</w:t>
      </w:r>
      <w:r w:rsidR="00124A48">
        <w:rPr>
          <w:rFonts w:asciiTheme="majorBidi" w:eastAsia="Times New Roman" w:hAnsiTheme="majorBidi" w:cstheme="majorBidi"/>
          <w:sz w:val="24"/>
          <w:szCs w:val="24"/>
          <w:lang w:eastAsia="en-GB"/>
        </w:rPr>
        <w:t xml:space="preserve"> their</w:t>
      </w:r>
      <w:r w:rsidR="00866D34">
        <w:rPr>
          <w:rFonts w:asciiTheme="majorBidi" w:eastAsia="Times New Roman" w:hAnsiTheme="majorBidi" w:cstheme="majorBidi"/>
          <w:sz w:val="24"/>
          <w:szCs w:val="24"/>
          <w:lang w:eastAsia="en-GB"/>
        </w:rPr>
        <w:t xml:space="preserve"> good practices in order to maintain/further develop their reputation in the sector. Further, </w:t>
      </w:r>
      <w:r w:rsidR="00124A48">
        <w:rPr>
          <w:rFonts w:asciiTheme="majorBidi" w:eastAsia="Times New Roman" w:hAnsiTheme="majorBidi" w:cstheme="majorBidi"/>
          <w:sz w:val="24"/>
          <w:szCs w:val="24"/>
          <w:lang w:eastAsia="en-GB"/>
        </w:rPr>
        <w:t xml:space="preserve">Boliver (2015) and </w:t>
      </w:r>
      <w:r w:rsidR="00866D34">
        <w:rPr>
          <w:rFonts w:asciiTheme="majorBidi" w:eastAsia="Times New Roman" w:hAnsiTheme="majorBidi" w:cstheme="majorBidi"/>
          <w:sz w:val="24"/>
          <w:szCs w:val="24"/>
          <w:lang w:eastAsia="en-GB"/>
        </w:rPr>
        <w:t xml:space="preserve">Ntim et al. (2017) suggest that older established (pre-1992) and Russell group HEIs </w:t>
      </w:r>
      <w:r w:rsidR="00124A48">
        <w:rPr>
          <w:rFonts w:asciiTheme="majorBidi" w:eastAsia="Times New Roman" w:hAnsiTheme="majorBidi" w:cstheme="majorBidi"/>
          <w:sz w:val="24"/>
          <w:szCs w:val="24"/>
          <w:lang w:eastAsia="en-GB"/>
        </w:rPr>
        <w:t xml:space="preserve">tend to be </w:t>
      </w:r>
      <w:r w:rsidR="004A0921">
        <w:rPr>
          <w:rFonts w:asciiTheme="majorBidi" w:eastAsia="Times New Roman" w:hAnsiTheme="majorBidi" w:cstheme="majorBidi"/>
          <w:sz w:val="24"/>
          <w:szCs w:val="24"/>
          <w:lang w:eastAsia="en-GB"/>
        </w:rPr>
        <w:t xml:space="preserve">have more experience and are more aware of the informational needs of different stakeholders, and this in turn can impact positively on governance disclosure practices. In contrast, </w:t>
      </w:r>
      <w:r w:rsidR="003B409C">
        <w:rPr>
          <w:rFonts w:asciiTheme="majorBidi" w:eastAsia="Times New Roman" w:hAnsiTheme="majorBidi" w:cstheme="majorBidi"/>
          <w:sz w:val="24"/>
          <w:szCs w:val="24"/>
          <w:lang w:eastAsia="en-GB"/>
        </w:rPr>
        <w:t xml:space="preserve">Salter and </w:t>
      </w:r>
      <w:r w:rsidR="003B409C" w:rsidRPr="003B409C">
        <w:rPr>
          <w:rFonts w:asciiTheme="majorBidi" w:eastAsia="Times New Roman" w:hAnsiTheme="majorBidi" w:cstheme="majorBidi"/>
          <w:sz w:val="24"/>
          <w:szCs w:val="24"/>
          <w:lang w:eastAsia="en-GB"/>
        </w:rPr>
        <w:t>Tapper</w:t>
      </w:r>
      <w:r w:rsidR="003B409C">
        <w:rPr>
          <w:rFonts w:asciiTheme="majorBidi" w:eastAsia="Times New Roman" w:hAnsiTheme="majorBidi" w:cstheme="majorBidi"/>
          <w:sz w:val="24"/>
          <w:szCs w:val="24"/>
          <w:lang w:eastAsia="en-GB"/>
        </w:rPr>
        <w:t xml:space="preserve"> (2002) </w:t>
      </w:r>
      <w:r w:rsidR="00B315B5">
        <w:rPr>
          <w:rFonts w:asciiTheme="majorBidi" w:eastAsia="Times New Roman" w:hAnsiTheme="majorBidi" w:cstheme="majorBidi"/>
          <w:sz w:val="24"/>
          <w:szCs w:val="24"/>
          <w:lang w:eastAsia="en-GB"/>
        </w:rPr>
        <w:t>suggest</w:t>
      </w:r>
      <w:r w:rsidR="003B409C">
        <w:rPr>
          <w:rFonts w:asciiTheme="majorBidi" w:eastAsia="Times New Roman" w:hAnsiTheme="majorBidi" w:cstheme="majorBidi"/>
          <w:sz w:val="24"/>
          <w:szCs w:val="24"/>
          <w:lang w:eastAsia="en-GB"/>
        </w:rPr>
        <w:t xml:space="preserve"> that </w:t>
      </w:r>
      <w:r w:rsidR="00B315B5">
        <w:rPr>
          <w:rFonts w:asciiTheme="majorBidi" w:eastAsia="Times New Roman" w:hAnsiTheme="majorBidi" w:cstheme="majorBidi"/>
          <w:sz w:val="24"/>
          <w:szCs w:val="24"/>
          <w:lang w:eastAsia="en-GB"/>
        </w:rPr>
        <w:t xml:space="preserve">teaching-intensive and </w:t>
      </w:r>
      <w:r w:rsidR="003B409C">
        <w:rPr>
          <w:rFonts w:asciiTheme="majorBidi" w:eastAsia="Times New Roman" w:hAnsiTheme="majorBidi" w:cstheme="majorBidi"/>
          <w:sz w:val="24"/>
          <w:szCs w:val="24"/>
          <w:lang w:eastAsia="en-GB"/>
        </w:rPr>
        <w:t xml:space="preserve">post-1992 </w:t>
      </w:r>
      <w:r w:rsidR="00B315B5">
        <w:rPr>
          <w:rFonts w:asciiTheme="majorBidi" w:eastAsia="Times New Roman" w:hAnsiTheme="majorBidi" w:cstheme="majorBidi"/>
          <w:sz w:val="24"/>
          <w:szCs w:val="24"/>
          <w:lang w:eastAsia="en-GB"/>
        </w:rPr>
        <w:t xml:space="preserve">have a greater need to voluntarily disclose information about their good governance practices in order </w:t>
      </w:r>
      <w:r w:rsidR="00B17210">
        <w:rPr>
          <w:rFonts w:asciiTheme="majorBidi" w:eastAsia="Times New Roman" w:hAnsiTheme="majorBidi" w:cstheme="majorBidi"/>
          <w:sz w:val="24"/>
          <w:szCs w:val="24"/>
          <w:lang w:eastAsia="en-GB"/>
        </w:rPr>
        <w:t xml:space="preserve">to </w:t>
      </w:r>
      <w:r w:rsidR="00B315B5">
        <w:rPr>
          <w:rFonts w:asciiTheme="majorBidi" w:eastAsia="Times New Roman" w:hAnsiTheme="majorBidi" w:cstheme="majorBidi"/>
          <w:sz w:val="24"/>
          <w:szCs w:val="24"/>
          <w:lang w:eastAsia="en-GB"/>
        </w:rPr>
        <w:t>improve their legitimacy/image in the sector, as well as to gain the powerful stakeholders’</w:t>
      </w:r>
      <w:r w:rsidR="0079038C">
        <w:rPr>
          <w:rFonts w:asciiTheme="majorBidi" w:eastAsia="Times New Roman" w:hAnsiTheme="majorBidi" w:cstheme="majorBidi"/>
          <w:sz w:val="24"/>
          <w:szCs w:val="24"/>
          <w:lang w:eastAsia="en-GB"/>
        </w:rPr>
        <w:t xml:space="preserve"> support</w:t>
      </w:r>
      <w:r w:rsidR="00B315B5">
        <w:rPr>
          <w:rFonts w:asciiTheme="majorBidi" w:eastAsia="Times New Roman" w:hAnsiTheme="majorBidi" w:cstheme="majorBidi"/>
          <w:sz w:val="24"/>
          <w:szCs w:val="24"/>
          <w:lang w:eastAsia="en-GB"/>
        </w:rPr>
        <w:t xml:space="preserve"> (students, </w:t>
      </w:r>
      <w:r w:rsidR="00685F56">
        <w:rPr>
          <w:rFonts w:asciiTheme="majorBidi" w:eastAsia="Times New Roman" w:hAnsiTheme="majorBidi" w:cstheme="majorBidi"/>
          <w:sz w:val="24"/>
          <w:szCs w:val="24"/>
          <w:lang w:eastAsia="en-GB"/>
        </w:rPr>
        <w:t>employee and funding bodies</w:t>
      </w:r>
      <w:r w:rsidR="00956D54">
        <w:rPr>
          <w:rFonts w:asciiTheme="majorBidi" w:eastAsia="Times New Roman" w:hAnsiTheme="majorBidi" w:cstheme="majorBidi"/>
          <w:sz w:val="24"/>
          <w:szCs w:val="24"/>
          <w:lang w:eastAsia="en-GB"/>
        </w:rPr>
        <w:t>/OFS</w:t>
      </w:r>
      <w:r w:rsidR="00685F56">
        <w:rPr>
          <w:rFonts w:asciiTheme="majorBidi" w:eastAsia="Times New Roman" w:hAnsiTheme="majorBidi" w:cstheme="majorBidi"/>
          <w:sz w:val="24"/>
          <w:szCs w:val="24"/>
          <w:lang w:eastAsia="en-GB"/>
        </w:rPr>
        <w:t>)</w:t>
      </w:r>
      <w:r w:rsidR="00BC3C39">
        <w:rPr>
          <w:rFonts w:asciiTheme="majorBidi" w:eastAsia="Times New Roman" w:hAnsiTheme="majorBidi" w:cstheme="majorBidi"/>
          <w:sz w:val="24"/>
          <w:szCs w:val="24"/>
          <w:lang w:eastAsia="en-GB"/>
        </w:rPr>
        <w:t>.</w:t>
      </w:r>
    </w:p>
    <w:p w14:paraId="4A95EDBD" w14:textId="43E78534" w:rsidR="00852923" w:rsidRDefault="0063546E" w:rsidP="00C63EF2">
      <w:pPr>
        <w:spacing w:after="0" w:line="480" w:lineRule="auto"/>
        <w:ind w:firstLine="426"/>
        <w:jc w:val="both"/>
        <w:rPr>
          <w:rFonts w:asciiTheme="majorBidi" w:hAnsiTheme="majorBidi" w:cstheme="majorBidi"/>
          <w:sz w:val="24"/>
          <w:szCs w:val="24"/>
        </w:rPr>
      </w:pPr>
      <w:r>
        <w:rPr>
          <w:rFonts w:asciiTheme="majorBidi" w:eastAsia="Times New Roman" w:hAnsiTheme="majorBidi" w:cstheme="majorBidi"/>
          <w:sz w:val="24"/>
          <w:szCs w:val="24"/>
          <w:lang w:eastAsia="en-GB"/>
        </w:rPr>
        <w:t>The t</w:t>
      </w:r>
      <w:r w:rsidR="006F06C2">
        <w:rPr>
          <w:rFonts w:asciiTheme="majorBidi" w:eastAsia="Times New Roman" w:hAnsiTheme="majorBidi" w:cstheme="majorBidi"/>
          <w:sz w:val="24"/>
          <w:szCs w:val="24"/>
          <w:lang w:eastAsia="en-GB"/>
        </w:rPr>
        <w:t>ype of f</w:t>
      </w:r>
      <w:r w:rsidR="00B85061">
        <w:rPr>
          <w:rFonts w:asciiTheme="majorBidi" w:eastAsia="Times New Roman" w:hAnsiTheme="majorBidi" w:cstheme="majorBidi"/>
          <w:sz w:val="24"/>
          <w:szCs w:val="24"/>
          <w:lang w:eastAsia="en-GB"/>
        </w:rPr>
        <w:t xml:space="preserve">unding may also influence voluntary disclosure behaviours. According to Saxton and </w:t>
      </w:r>
      <w:r w:rsidR="00B85061" w:rsidRPr="00A65E0D">
        <w:rPr>
          <w:rFonts w:asciiTheme="majorBidi" w:eastAsia="Times New Roman" w:hAnsiTheme="majorBidi" w:cstheme="majorBidi"/>
          <w:sz w:val="24"/>
          <w:szCs w:val="24"/>
          <w:lang w:eastAsia="en-GB"/>
        </w:rPr>
        <w:t>Guo</w:t>
      </w:r>
      <w:r w:rsidR="00B85061">
        <w:rPr>
          <w:rFonts w:asciiTheme="majorBidi" w:eastAsia="Times New Roman" w:hAnsiTheme="majorBidi" w:cstheme="majorBidi"/>
          <w:sz w:val="24"/>
          <w:szCs w:val="24"/>
          <w:lang w:eastAsia="en-GB"/>
        </w:rPr>
        <w:t xml:space="preserve"> (2011) non-profitable </w:t>
      </w:r>
      <w:r w:rsidR="006F06C2">
        <w:rPr>
          <w:rFonts w:asciiTheme="majorBidi" w:eastAsia="Times New Roman" w:hAnsiTheme="majorBidi" w:cstheme="majorBidi"/>
          <w:sz w:val="24"/>
          <w:szCs w:val="24"/>
          <w:lang w:eastAsia="en-GB"/>
        </w:rPr>
        <w:t xml:space="preserve">organisations that are more reliant on </w:t>
      </w:r>
      <w:r w:rsidR="001B211F">
        <w:rPr>
          <w:rFonts w:asciiTheme="majorBidi" w:eastAsia="Times New Roman" w:hAnsiTheme="majorBidi" w:cstheme="majorBidi"/>
          <w:sz w:val="24"/>
          <w:szCs w:val="24"/>
          <w:lang w:eastAsia="en-GB"/>
        </w:rPr>
        <w:t>government resources</w:t>
      </w:r>
      <w:r w:rsidR="006F06C2">
        <w:rPr>
          <w:rFonts w:asciiTheme="majorBidi" w:eastAsia="Times New Roman" w:hAnsiTheme="majorBidi" w:cstheme="majorBidi"/>
          <w:sz w:val="24"/>
          <w:szCs w:val="24"/>
          <w:lang w:eastAsia="en-GB"/>
        </w:rPr>
        <w:t xml:space="preserve"> are of greater need to demonstrate higher accountability, transparency and value for </w:t>
      </w:r>
      <w:r w:rsidR="006F06C2">
        <w:rPr>
          <w:rFonts w:asciiTheme="majorBidi" w:eastAsia="Times New Roman" w:hAnsiTheme="majorBidi" w:cstheme="majorBidi"/>
          <w:sz w:val="24"/>
          <w:szCs w:val="24"/>
          <w:lang w:eastAsia="en-GB"/>
        </w:rPr>
        <w:lastRenderedPageBreak/>
        <w:t xml:space="preserve">money in order </w:t>
      </w:r>
      <w:r w:rsidR="00956D54">
        <w:rPr>
          <w:rFonts w:asciiTheme="majorBidi" w:eastAsia="Times New Roman" w:hAnsiTheme="majorBidi" w:cstheme="majorBidi"/>
          <w:sz w:val="24"/>
          <w:szCs w:val="24"/>
          <w:lang w:eastAsia="en-GB"/>
        </w:rPr>
        <w:t xml:space="preserve">to </w:t>
      </w:r>
      <w:r w:rsidR="00B1382F">
        <w:rPr>
          <w:rFonts w:asciiTheme="majorBidi" w:eastAsia="Times New Roman" w:hAnsiTheme="majorBidi" w:cstheme="majorBidi"/>
          <w:sz w:val="24"/>
          <w:szCs w:val="24"/>
          <w:lang w:eastAsia="en-GB"/>
        </w:rPr>
        <w:t xml:space="preserve">maintain the trust </w:t>
      </w:r>
      <w:r w:rsidR="00956D54">
        <w:rPr>
          <w:rFonts w:asciiTheme="majorBidi" w:eastAsia="Times New Roman" w:hAnsiTheme="majorBidi" w:cstheme="majorBidi"/>
          <w:sz w:val="24"/>
          <w:szCs w:val="24"/>
          <w:lang w:eastAsia="en-GB"/>
        </w:rPr>
        <w:t>of</w:t>
      </w:r>
      <w:r w:rsidR="00B1382F">
        <w:rPr>
          <w:rFonts w:asciiTheme="majorBidi" w:eastAsia="Times New Roman" w:hAnsiTheme="majorBidi" w:cstheme="majorBidi"/>
          <w:sz w:val="24"/>
          <w:szCs w:val="24"/>
          <w:lang w:eastAsia="en-GB"/>
        </w:rPr>
        <w:t xml:space="preserve"> the</w:t>
      </w:r>
      <w:r w:rsidR="00956D54">
        <w:rPr>
          <w:rFonts w:asciiTheme="majorBidi" w:eastAsia="Times New Roman" w:hAnsiTheme="majorBidi" w:cstheme="majorBidi"/>
          <w:sz w:val="24"/>
          <w:szCs w:val="24"/>
          <w:lang w:eastAsia="en-GB"/>
        </w:rPr>
        <w:t>ir</w:t>
      </w:r>
      <w:r w:rsidR="00B1382F">
        <w:rPr>
          <w:rFonts w:asciiTheme="majorBidi" w:eastAsia="Times New Roman" w:hAnsiTheme="majorBidi" w:cstheme="majorBidi"/>
          <w:sz w:val="24"/>
          <w:szCs w:val="24"/>
          <w:lang w:eastAsia="en-GB"/>
        </w:rPr>
        <w:t xml:space="preserve"> powerful stakeholders, as well as secure access to financial resources. </w:t>
      </w:r>
      <w:r w:rsidR="0054390E">
        <w:rPr>
          <w:rFonts w:asciiTheme="majorBidi" w:eastAsia="Times New Roman" w:hAnsiTheme="majorBidi" w:cstheme="majorBidi"/>
          <w:sz w:val="24"/>
          <w:szCs w:val="24"/>
          <w:lang w:eastAsia="en-GB"/>
        </w:rPr>
        <w:t>Thus, HEIs that rely more o</w:t>
      </w:r>
      <w:r w:rsidR="00AF6003">
        <w:rPr>
          <w:rFonts w:asciiTheme="majorBidi" w:eastAsia="Times New Roman" w:hAnsiTheme="majorBidi" w:cstheme="majorBidi"/>
          <w:sz w:val="24"/>
          <w:szCs w:val="24"/>
          <w:lang w:eastAsia="en-GB"/>
        </w:rPr>
        <w:t>n</w:t>
      </w:r>
      <w:r w:rsidR="0054390E">
        <w:rPr>
          <w:rFonts w:asciiTheme="majorBidi" w:eastAsia="Times New Roman" w:hAnsiTheme="majorBidi" w:cstheme="majorBidi"/>
          <w:sz w:val="24"/>
          <w:szCs w:val="24"/>
          <w:lang w:eastAsia="en-GB"/>
        </w:rPr>
        <w:t xml:space="preserve"> public funds (i.e., </w:t>
      </w:r>
      <w:r w:rsidR="00AF6003">
        <w:rPr>
          <w:rFonts w:asciiTheme="majorBidi" w:eastAsia="Times New Roman" w:hAnsiTheme="majorBidi" w:cstheme="majorBidi"/>
          <w:sz w:val="24"/>
          <w:szCs w:val="24"/>
          <w:lang w:eastAsia="en-GB"/>
        </w:rPr>
        <w:t>OFS</w:t>
      </w:r>
      <w:r w:rsidR="0054390E">
        <w:rPr>
          <w:rFonts w:asciiTheme="majorBidi" w:eastAsia="Times New Roman" w:hAnsiTheme="majorBidi" w:cstheme="majorBidi"/>
          <w:sz w:val="24"/>
          <w:szCs w:val="24"/>
          <w:lang w:eastAsia="en-GB"/>
        </w:rPr>
        <w:t xml:space="preserve">) </w:t>
      </w:r>
      <w:r w:rsidR="00852923">
        <w:rPr>
          <w:rFonts w:asciiTheme="majorBidi" w:eastAsia="Times New Roman" w:hAnsiTheme="majorBidi" w:cstheme="majorBidi"/>
          <w:sz w:val="24"/>
          <w:szCs w:val="24"/>
          <w:lang w:eastAsia="en-GB"/>
        </w:rPr>
        <w:t xml:space="preserve">are expected </w:t>
      </w:r>
      <w:r w:rsidR="0054390E">
        <w:rPr>
          <w:rFonts w:asciiTheme="majorBidi" w:eastAsia="Times New Roman" w:hAnsiTheme="majorBidi" w:cstheme="majorBidi"/>
          <w:sz w:val="24"/>
          <w:szCs w:val="24"/>
          <w:lang w:eastAsia="en-GB"/>
        </w:rPr>
        <w:t>to engage in more disclosure about their governance practices</w:t>
      </w:r>
      <w:r w:rsidR="00AF6003">
        <w:rPr>
          <w:rFonts w:asciiTheme="majorBidi" w:eastAsia="Times New Roman" w:hAnsiTheme="majorBidi" w:cstheme="majorBidi"/>
          <w:sz w:val="24"/>
          <w:szCs w:val="24"/>
          <w:lang w:eastAsia="en-GB"/>
        </w:rPr>
        <w:t xml:space="preserve"> than those that are less reliant on such sources of finance</w:t>
      </w:r>
      <w:r w:rsidR="0054390E">
        <w:rPr>
          <w:rFonts w:asciiTheme="majorBidi" w:eastAsia="Times New Roman" w:hAnsiTheme="majorBidi" w:cstheme="majorBidi"/>
          <w:sz w:val="24"/>
          <w:szCs w:val="24"/>
          <w:lang w:eastAsia="en-GB"/>
        </w:rPr>
        <w:t xml:space="preserve">. </w:t>
      </w:r>
      <w:r w:rsidR="001B211F">
        <w:rPr>
          <w:rFonts w:asciiTheme="majorBidi" w:eastAsia="Times New Roman" w:hAnsiTheme="majorBidi" w:cstheme="majorBidi"/>
          <w:sz w:val="24"/>
          <w:szCs w:val="24"/>
          <w:lang w:eastAsia="en-GB"/>
        </w:rPr>
        <w:t xml:space="preserve">Similarly, </w:t>
      </w:r>
      <w:r w:rsidR="001B211F" w:rsidRPr="001B211F">
        <w:rPr>
          <w:rFonts w:asciiTheme="majorBidi" w:hAnsiTheme="majorBidi" w:cstheme="majorBidi"/>
          <w:sz w:val="24"/>
          <w:szCs w:val="24"/>
        </w:rPr>
        <w:t>Co</w:t>
      </w:r>
      <w:r w:rsidR="001B211F">
        <w:rPr>
          <w:rFonts w:asciiTheme="majorBidi" w:hAnsiTheme="majorBidi" w:cstheme="majorBidi"/>
          <w:sz w:val="24"/>
          <w:szCs w:val="24"/>
        </w:rPr>
        <w:t xml:space="preserve">upet (2018) argues that HEIs with more diverse sources of funding are </w:t>
      </w:r>
      <w:r w:rsidR="00852923">
        <w:rPr>
          <w:rFonts w:asciiTheme="majorBidi" w:hAnsiTheme="majorBidi" w:cstheme="majorBidi"/>
          <w:sz w:val="24"/>
          <w:szCs w:val="24"/>
        </w:rPr>
        <w:t xml:space="preserve">less likely to be influenced by </w:t>
      </w:r>
      <w:r w:rsidR="00852923" w:rsidRPr="00852923">
        <w:rPr>
          <w:rFonts w:asciiTheme="majorBidi" w:hAnsiTheme="majorBidi" w:cstheme="majorBidi"/>
          <w:sz w:val="24"/>
          <w:szCs w:val="24"/>
        </w:rPr>
        <w:t>competing public interests</w:t>
      </w:r>
      <w:r w:rsidR="00852923">
        <w:rPr>
          <w:rFonts w:asciiTheme="majorBidi" w:hAnsiTheme="majorBidi" w:cstheme="majorBidi"/>
          <w:sz w:val="24"/>
          <w:szCs w:val="24"/>
        </w:rPr>
        <w:t xml:space="preserve"> and political alliances, and hence they are expected to be of less need to engage in voluntary disclosure about their governance structures. </w:t>
      </w:r>
    </w:p>
    <w:p w14:paraId="52294604" w14:textId="77F93AD7" w:rsidR="00852923" w:rsidRDefault="00EB7ACD" w:rsidP="00C63EF2">
      <w:pPr>
        <w:spacing w:after="0" w:line="480" w:lineRule="auto"/>
        <w:ind w:firstLine="426"/>
        <w:jc w:val="both"/>
        <w:rPr>
          <w:rFonts w:asciiTheme="majorBidi" w:eastAsia="Times New Roman" w:hAnsiTheme="majorBidi" w:cstheme="majorBidi"/>
          <w:sz w:val="24"/>
          <w:szCs w:val="24"/>
          <w:lang w:eastAsia="en-GB"/>
        </w:rPr>
      </w:pPr>
      <w:r w:rsidRPr="00EB7ACD">
        <w:rPr>
          <w:rFonts w:asciiTheme="majorBidi" w:eastAsia="Times New Roman" w:hAnsiTheme="majorBidi" w:cstheme="majorBidi"/>
          <w:sz w:val="24"/>
          <w:szCs w:val="24"/>
          <w:lang w:eastAsia="en-GB"/>
        </w:rPr>
        <w:t>Watson</w:t>
      </w:r>
      <w:r>
        <w:rPr>
          <w:rFonts w:asciiTheme="majorBidi" w:eastAsia="Times New Roman" w:hAnsiTheme="majorBidi" w:cstheme="majorBidi"/>
          <w:sz w:val="24"/>
          <w:szCs w:val="24"/>
          <w:lang w:eastAsia="en-GB"/>
        </w:rPr>
        <w:t xml:space="preserve"> et al. (2002) also suggest that liquidity can </w:t>
      </w:r>
      <w:r w:rsidR="00E61F39">
        <w:rPr>
          <w:rFonts w:asciiTheme="majorBidi" w:eastAsia="Times New Roman" w:hAnsiTheme="majorBidi" w:cstheme="majorBidi"/>
          <w:sz w:val="24"/>
          <w:szCs w:val="24"/>
          <w:lang w:eastAsia="en-GB"/>
        </w:rPr>
        <w:t xml:space="preserve">influence voluntary disclosure practices. Specifically, they argue that </w:t>
      </w:r>
      <w:r>
        <w:rPr>
          <w:rFonts w:asciiTheme="majorBidi" w:eastAsia="Times New Roman" w:hAnsiTheme="majorBidi" w:cstheme="majorBidi"/>
          <w:sz w:val="24"/>
          <w:szCs w:val="24"/>
          <w:lang w:eastAsia="en-GB"/>
        </w:rPr>
        <w:t xml:space="preserve">organisations with high liquidity tend to engage in increased voluntary disclosures in order to signal </w:t>
      </w:r>
      <w:r w:rsidR="00E61F39">
        <w:rPr>
          <w:rFonts w:asciiTheme="majorBidi" w:eastAsia="Times New Roman" w:hAnsiTheme="majorBidi" w:cstheme="majorBidi"/>
          <w:sz w:val="24"/>
          <w:szCs w:val="24"/>
          <w:lang w:eastAsia="en-GB"/>
        </w:rPr>
        <w:t xml:space="preserve">their financial sustainability and protect their position in the market. In contrast, </w:t>
      </w:r>
      <w:r w:rsidR="00E61F39" w:rsidRPr="00E61F39">
        <w:rPr>
          <w:rFonts w:asciiTheme="majorBidi" w:eastAsia="Times New Roman" w:hAnsiTheme="majorBidi" w:cstheme="majorBidi"/>
          <w:sz w:val="24"/>
          <w:szCs w:val="24"/>
          <w:lang w:eastAsia="en-GB"/>
        </w:rPr>
        <w:t>Wallace</w:t>
      </w:r>
      <w:r w:rsidR="00E61F39">
        <w:rPr>
          <w:rFonts w:asciiTheme="majorBidi" w:eastAsia="Times New Roman" w:hAnsiTheme="majorBidi" w:cstheme="majorBidi"/>
          <w:sz w:val="24"/>
          <w:szCs w:val="24"/>
          <w:lang w:eastAsia="en-GB"/>
        </w:rPr>
        <w:t xml:space="preserve"> et al. (1994) suggest that low liquidity is viewed as bad news by stakeholders, and hence organisations with low liquidity are expected to engage in greater voluntary disclosures to demonstrate accountability to the</w:t>
      </w:r>
      <w:r w:rsidR="0013275C">
        <w:rPr>
          <w:rFonts w:asciiTheme="majorBidi" w:eastAsia="Times New Roman" w:hAnsiTheme="majorBidi" w:cstheme="majorBidi"/>
          <w:sz w:val="24"/>
          <w:szCs w:val="24"/>
          <w:lang w:eastAsia="en-GB"/>
        </w:rPr>
        <w:t>ir</w:t>
      </w:r>
      <w:r w:rsidR="00E61F39">
        <w:rPr>
          <w:rFonts w:asciiTheme="majorBidi" w:eastAsia="Times New Roman" w:hAnsiTheme="majorBidi" w:cstheme="majorBidi"/>
          <w:sz w:val="24"/>
          <w:szCs w:val="24"/>
          <w:lang w:eastAsia="en-GB"/>
        </w:rPr>
        <w:t xml:space="preserve"> powerful stakeholders. Additionally, and with respect to capital structure, </w:t>
      </w:r>
      <w:r w:rsidR="003A6210">
        <w:rPr>
          <w:rFonts w:asciiTheme="majorBidi" w:eastAsia="Times New Roman" w:hAnsiTheme="majorBidi" w:cstheme="majorBidi"/>
          <w:sz w:val="24"/>
          <w:szCs w:val="24"/>
          <w:lang w:eastAsia="en-GB"/>
        </w:rPr>
        <w:t xml:space="preserve">Saxton et al. (2012) suggest </w:t>
      </w:r>
      <w:r w:rsidR="00D80D38">
        <w:rPr>
          <w:rFonts w:asciiTheme="majorBidi" w:eastAsia="Times New Roman" w:hAnsiTheme="majorBidi" w:cstheme="majorBidi"/>
          <w:sz w:val="24"/>
          <w:szCs w:val="24"/>
          <w:lang w:eastAsia="en-GB"/>
        </w:rPr>
        <w:t xml:space="preserve">that increased capital investments can </w:t>
      </w:r>
      <w:r w:rsidR="003A6210">
        <w:rPr>
          <w:rFonts w:asciiTheme="majorBidi" w:eastAsia="Times New Roman" w:hAnsiTheme="majorBidi" w:cstheme="majorBidi"/>
          <w:sz w:val="24"/>
          <w:szCs w:val="24"/>
          <w:lang w:eastAsia="en-GB"/>
        </w:rPr>
        <w:t xml:space="preserve">improve </w:t>
      </w:r>
      <w:r w:rsidR="00D80D38">
        <w:rPr>
          <w:rFonts w:asciiTheme="majorBidi" w:eastAsia="Times New Roman" w:hAnsiTheme="majorBidi" w:cstheme="majorBidi"/>
          <w:sz w:val="24"/>
          <w:szCs w:val="24"/>
          <w:lang w:eastAsia="en-GB"/>
        </w:rPr>
        <w:t>an organisation’</w:t>
      </w:r>
      <w:r w:rsidR="003A6210">
        <w:rPr>
          <w:rFonts w:asciiTheme="majorBidi" w:eastAsia="Times New Roman" w:hAnsiTheme="majorBidi" w:cstheme="majorBidi"/>
          <w:sz w:val="24"/>
          <w:szCs w:val="24"/>
          <w:lang w:eastAsia="en-GB"/>
        </w:rPr>
        <w:t xml:space="preserve"> competitive advantages and growth opportunities </w:t>
      </w:r>
      <w:r w:rsidR="00D80D38">
        <w:rPr>
          <w:rFonts w:asciiTheme="majorBidi" w:eastAsia="Times New Roman" w:hAnsiTheme="majorBidi" w:cstheme="majorBidi"/>
          <w:sz w:val="24"/>
          <w:szCs w:val="24"/>
          <w:lang w:eastAsia="en-GB"/>
        </w:rPr>
        <w:t>by allowing for more research and development activities, and this can have a positive impact on the organisation’</w:t>
      </w:r>
      <w:r w:rsidR="009C743D">
        <w:rPr>
          <w:rFonts w:asciiTheme="majorBidi" w:eastAsia="Times New Roman" w:hAnsiTheme="majorBidi" w:cstheme="majorBidi"/>
          <w:sz w:val="24"/>
          <w:szCs w:val="24"/>
          <w:lang w:eastAsia="en-GB"/>
        </w:rPr>
        <w:t>s</w:t>
      </w:r>
      <w:r w:rsidR="00D80D38">
        <w:rPr>
          <w:rFonts w:asciiTheme="majorBidi" w:eastAsia="Times New Roman" w:hAnsiTheme="majorBidi" w:cstheme="majorBidi"/>
          <w:sz w:val="24"/>
          <w:szCs w:val="24"/>
          <w:lang w:eastAsia="en-GB"/>
        </w:rPr>
        <w:t xml:space="preserve"> long-term sustainability. Greater capital expenditure, however, require</w:t>
      </w:r>
      <w:r w:rsidR="0013275C">
        <w:rPr>
          <w:rFonts w:asciiTheme="majorBidi" w:eastAsia="Times New Roman" w:hAnsiTheme="majorBidi" w:cstheme="majorBidi"/>
          <w:sz w:val="24"/>
          <w:szCs w:val="24"/>
          <w:lang w:eastAsia="en-GB"/>
        </w:rPr>
        <w:t>s</w:t>
      </w:r>
      <w:r w:rsidR="00D80D38">
        <w:rPr>
          <w:rFonts w:asciiTheme="majorBidi" w:eastAsia="Times New Roman" w:hAnsiTheme="majorBidi" w:cstheme="majorBidi"/>
          <w:sz w:val="24"/>
          <w:szCs w:val="24"/>
          <w:lang w:eastAsia="en-GB"/>
        </w:rPr>
        <w:t xml:space="preserve"> strong control systems to ensure that stakeholders’ interests are protected (</w:t>
      </w:r>
      <w:r w:rsidR="00065094" w:rsidRPr="00065094">
        <w:rPr>
          <w:rFonts w:asciiTheme="majorBidi" w:eastAsia="Times New Roman" w:hAnsiTheme="majorBidi" w:cstheme="majorBidi"/>
          <w:sz w:val="24"/>
          <w:szCs w:val="24"/>
          <w:lang w:eastAsia="en-GB"/>
        </w:rPr>
        <w:t>Nilsson</w:t>
      </w:r>
      <w:r w:rsidR="00065094">
        <w:rPr>
          <w:rFonts w:asciiTheme="majorBidi" w:eastAsia="Times New Roman" w:hAnsiTheme="majorBidi" w:cstheme="majorBidi"/>
          <w:sz w:val="24"/>
          <w:szCs w:val="24"/>
          <w:lang w:eastAsia="en-GB"/>
        </w:rPr>
        <w:t>, 2002), and thus organisations with greater capital expenditure are</w:t>
      </w:r>
      <w:r w:rsidR="00376C22">
        <w:rPr>
          <w:rFonts w:asciiTheme="majorBidi" w:eastAsia="Times New Roman" w:hAnsiTheme="majorBidi" w:cstheme="majorBidi"/>
          <w:sz w:val="24"/>
          <w:szCs w:val="24"/>
          <w:lang w:eastAsia="en-GB"/>
        </w:rPr>
        <w:t xml:space="preserve"> likely to </w:t>
      </w:r>
      <w:r w:rsidR="009C743D">
        <w:rPr>
          <w:rFonts w:asciiTheme="majorBidi" w:eastAsia="Times New Roman" w:hAnsiTheme="majorBidi" w:cstheme="majorBidi"/>
          <w:sz w:val="24"/>
          <w:szCs w:val="24"/>
          <w:lang w:eastAsia="en-GB"/>
        </w:rPr>
        <w:t>have</w:t>
      </w:r>
      <w:r w:rsidR="00376C22">
        <w:rPr>
          <w:rFonts w:asciiTheme="majorBidi" w:eastAsia="Times New Roman" w:hAnsiTheme="majorBidi" w:cstheme="majorBidi"/>
          <w:sz w:val="24"/>
          <w:szCs w:val="24"/>
          <w:lang w:eastAsia="en-GB"/>
        </w:rPr>
        <w:t xml:space="preserve"> a greater</w:t>
      </w:r>
      <w:r w:rsidR="00065094">
        <w:rPr>
          <w:rFonts w:asciiTheme="majorBidi" w:eastAsia="Times New Roman" w:hAnsiTheme="majorBidi" w:cstheme="majorBidi"/>
          <w:sz w:val="24"/>
          <w:szCs w:val="24"/>
          <w:lang w:eastAsia="en-GB"/>
        </w:rPr>
        <w:t xml:space="preserve"> </w:t>
      </w:r>
      <w:r w:rsidR="00D12696">
        <w:rPr>
          <w:rFonts w:asciiTheme="majorBidi" w:eastAsia="Times New Roman" w:hAnsiTheme="majorBidi" w:cstheme="majorBidi"/>
          <w:sz w:val="24"/>
          <w:szCs w:val="24"/>
          <w:lang w:eastAsia="en-GB"/>
        </w:rPr>
        <w:t xml:space="preserve">need to </w:t>
      </w:r>
      <w:r w:rsidR="00DB4242">
        <w:rPr>
          <w:rFonts w:asciiTheme="majorBidi" w:eastAsia="Times New Roman" w:hAnsiTheme="majorBidi" w:cstheme="majorBidi"/>
          <w:sz w:val="24"/>
          <w:szCs w:val="24"/>
          <w:lang w:eastAsia="en-GB"/>
        </w:rPr>
        <w:t>commit to higher levels of vo</w:t>
      </w:r>
      <w:r w:rsidR="00491C26">
        <w:rPr>
          <w:rFonts w:asciiTheme="majorBidi" w:eastAsia="Times New Roman" w:hAnsiTheme="majorBidi" w:cstheme="majorBidi"/>
          <w:sz w:val="24"/>
          <w:szCs w:val="24"/>
          <w:lang w:eastAsia="en-GB"/>
        </w:rPr>
        <w:t>luntary governance disclosures.</w:t>
      </w:r>
    </w:p>
    <w:p w14:paraId="757CF008" w14:textId="6368C355" w:rsidR="00596F1D" w:rsidRPr="00596F1D" w:rsidRDefault="00624E81" w:rsidP="00C47AC1">
      <w:pPr>
        <w:spacing w:line="480" w:lineRule="auto"/>
        <w:ind w:firstLine="426"/>
        <w:jc w:val="both"/>
      </w:pPr>
      <w:r>
        <w:rPr>
          <w:rFonts w:asciiTheme="majorBidi" w:eastAsia="Times New Roman" w:hAnsiTheme="majorBidi" w:cstheme="majorBidi"/>
          <w:sz w:val="24"/>
          <w:szCs w:val="24"/>
          <w:lang w:eastAsia="en-GB"/>
        </w:rPr>
        <w:t>Saxton et al. (2012) also suggest that non-profitable organisation</w:t>
      </w:r>
      <w:r w:rsidR="006D0BFE">
        <w:rPr>
          <w:rFonts w:asciiTheme="majorBidi" w:eastAsia="Times New Roman" w:hAnsiTheme="majorBidi" w:cstheme="majorBidi"/>
          <w:sz w:val="24"/>
          <w:szCs w:val="24"/>
          <w:lang w:eastAsia="en-GB"/>
        </w:rPr>
        <w:t>s</w:t>
      </w:r>
      <w:r>
        <w:rPr>
          <w:rFonts w:asciiTheme="majorBidi" w:eastAsia="Times New Roman" w:hAnsiTheme="majorBidi" w:cstheme="majorBidi"/>
          <w:sz w:val="24"/>
          <w:szCs w:val="24"/>
          <w:lang w:eastAsia="en-GB"/>
        </w:rPr>
        <w:t xml:space="preserve"> with high debt ratios are likely to engage in more voluntary disclosures in order to reduce financing costs and meeting the expectations of debt providers. Similarly, Gordon et al. (2002) argue that</w:t>
      </w:r>
      <w:r w:rsidR="004C3499">
        <w:rPr>
          <w:rFonts w:asciiTheme="majorBidi" w:eastAsia="Times New Roman" w:hAnsiTheme="majorBidi" w:cstheme="majorBidi"/>
          <w:sz w:val="24"/>
          <w:szCs w:val="24"/>
          <w:lang w:eastAsia="en-GB"/>
        </w:rPr>
        <w:t xml:space="preserve"> HEIs with high debt ratios (issue more debt securities) are subject to additional disclosure requirements by debt providers, since debt receivers have more incentives to expropriate debtholders’ wealth, and </w:t>
      </w:r>
      <w:r w:rsidR="004C3499">
        <w:rPr>
          <w:rFonts w:asciiTheme="majorBidi" w:eastAsia="Times New Roman" w:hAnsiTheme="majorBidi" w:cstheme="majorBidi"/>
          <w:sz w:val="24"/>
          <w:szCs w:val="24"/>
          <w:lang w:eastAsia="en-GB"/>
        </w:rPr>
        <w:lastRenderedPageBreak/>
        <w:t xml:space="preserve">thus HEIs with high leverage ratios are expected to engage in an increased disclosure about their governance practices. Finally, </w:t>
      </w:r>
      <w:r w:rsidR="00BB1918">
        <w:rPr>
          <w:rFonts w:asciiTheme="majorBidi" w:eastAsia="Times New Roman" w:hAnsiTheme="majorBidi" w:cstheme="majorBidi"/>
          <w:sz w:val="24"/>
          <w:szCs w:val="24"/>
          <w:lang w:eastAsia="en-GB"/>
        </w:rPr>
        <w:t xml:space="preserve">Ntim et al. (2017) suggest that the increased </w:t>
      </w:r>
      <w:r w:rsidR="00401087">
        <w:rPr>
          <w:rFonts w:asciiTheme="majorBidi" w:eastAsia="Times New Roman" w:hAnsiTheme="majorBidi" w:cstheme="majorBidi"/>
          <w:sz w:val="24"/>
          <w:szCs w:val="24"/>
          <w:lang w:eastAsia="en-GB"/>
        </w:rPr>
        <w:t xml:space="preserve">risk, </w:t>
      </w:r>
      <w:r w:rsidR="00BB1918">
        <w:rPr>
          <w:rFonts w:asciiTheme="majorBidi" w:eastAsia="Times New Roman" w:hAnsiTheme="majorBidi" w:cstheme="majorBidi"/>
          <w:sz w:val="24"/>
          <w:szCs w:val="24"/>
          <w:lang w:eastAsia="en-GB"/>
        </w:rPr>
        <w:t xml:space="preserve">uncertainty, </w:t>
      </w:r>
      <w:r w:rsidR="00EA35A9" w:rsidRPr="00653D88">
        <w:rPr>
          <w:rFonts w:asciiTheme="majorBidi" w:hAnsiTheme="majorBidi" w:cstheme="majorBidi"/>
          <w:sz w:val="24"/>
          <w:szCs w:val="24"/>
        </w:rPr>
        <w:t>operational complexity and competition in the HE secto</w:t>
      </w:r>
      <w:r w:rsidR="00EA35A9">
        <w:rPr>
          <w:rFonts w:asciiTheme="majorBidi" w:hAnsiTheme="majorBidi" w:cstheme="majorBidi"/>
          <w:sz w:val="24"/>
          <w:szCs w:val="24"/>
        </w:rPr>
        <w:t xml:space="preserve">r has increased the need for HEIs to engage in greater voluntary disclosures </w:t>
      </w:r>
      <w:r w:rsidR="00401087">
        <w:rPr>
          <w:rFonts w:asciiTheme="majorBidi" w:hAnsiTheme="majorBidi" w:cstheme="majorBidi"/>
          <w:sz w:val="24"/>
          <w:szCs w:val="24"/>
        </w:rPr>
        <w:t>to demonstrate accountability to key stakeholders.</w:t>
      </w:r>
      <w:r w:rsidR="00974CF0">
        <w:rPr>
          <w:rFonts w:asciiTheme="majorBidi" w:hAnsiTheme="majorBidi" w:cstheme="majorBidi"/>
          <w:sz w:val="24"/>
          <w:szCs w:val="24"/>
        </w:rPr>
        <w:t xml:space="preserve"> </w:t>
      </w:r>
      <w:r w:rsidR="0034465D">
        <w:rPr>
          <w:rFonts w:asciiTheme="majorBidi" w:hAnsiTheme="majorBidi" w:cstheme="majorBidi"/>
          <w:sz w:val="24"/>
          <w:szCs w:val="24"/>
        </w:rPr>
        <w:t xml:space="preserve">Thus, </w:t>
      </w:r>
      <w:r w:rsidR="00974CF0">
        <w:rPr>
          <w:rFonts w:asciiTheme="majorBidi" w:hAnsiTheme="majorBidi" w:cstheme="majorBidi"/>
          <w:sz w:val="24"/>
          <w:szCs w:val="24"/>
        </w:rPr>
        <w:t xml:space="preserve">HEIs with higher financial risk are expected to disclose more information about their governance practices. </w:t>
      </w:r>
      <w:r w:rsidR="0034465D">
        <w:rPr>
          <w:rFonts w:asciiTheme="majorBidi" w:hAnsiTheme="majorBidi" w:cstheme="majorBidi"/>
          <w:sz w:val="24"/>
          <w:szCs w:val="24"/>
        </w:rPr>
        <w:t xml:space="preserve">Therefore, </w:t>
      </w:r>
      <w:r w:rsidR="00B76F15" w:rsidRPr="00511F36">
        <w:rPr>
          <w:rFonts w:asciiTheme="majorBidi" w:hAnsiTheme="majorBidi" w:cstheme="majorBidi"/>
          <w:sz w:val="24"/>
          <w:szCs w:val="24"/>
        </w:rPr>
        <w:t>and</w:t>
      </w:r>
      <w:r w:rsidR="00984414">
        <w:rPr>
          <w:rFonts w:asciiTheme="majorBidi" w:hAnsiTheme="majorBidi" w:cstheme="majorBidi"/>
          <w:sz w:val="24"/>
          <w:szCs w:val="24"/>
        </w:rPr>
        <w:t xml:space="preserve"> </w:t>
      </w:r>
      <w:r w:rsidR="001D6979">
        <w:rPr>
          <w:rFonts w:asciiTheme="majorBidi" w:hAnsiTheme="majorBidi" w:cstheme="majorBidi"/>
          <w:sz w:val="24"/>
          <w:szCs w:val="24"/>
        </w:rPr>
        <w:t>following prior studies</w:t>
      </w:r>
      <w:r w:rsidR="00B76F15" w:rsidRPr="00511F36">
        <w:rPr>
          <w:rFonts w:asciiTheme="majorBidi" w:hAnsiTheme="majorBidi" w:cstheme="majorBidi"/>
          <w:sz w:val="24"/>
          <w:szCs w:val="24"/>
        </w:rPr>
        <w:t xml:space="preserve">, our </w:t>
      </w:r>
      <w:r w:rsidR="001D6979">
        <w:rPr>
          <w:rFonts w:asciiTheme="majorBidi" w:hAnsiTheme="majorBidi" w:cstheme="majorBidi"/>
          <w:sz w:val="24"/>
          <w:szCs w:val="24"/>
        </w:rPr>
        <w:t>baseline</w:t>
      </w:r>
      <w:r w:rsidR="001D6979" w:rsidRPr="00511F36">
        <w:rPr>
          <w:rFonts w:asciiTheme="majorBidi" w:hAnsiTheme="majorBidi" w:cstheme="majorBidi"/>
          <w:sz w:val="24"/>
          <w:szCs w:val="24"/>
        </w:rPr>
        <w:t xml:space="preserve"> </w:t>
      </w:r>
      <w:r w:rsidR="0086474A" w:rsidRPr="00511F36">
        <w:rPr>
          <w:rFonts w:asciiTheme="majorBidi" w:hAnsiTheme="majorBidi" w:cstheme="majorBidi"/>
          <w:sz w:val="24"/>
          <w:szCs w:val="24"/>
        </w:rPr>
        <w:t>OLS</w:t>
      </w:r>
      <w:r w:rsidR="00B76F15" w:rsidRPr="00511F36">
        <w:rPr>
          <w:rFonts w:asciiTheme="majorBidi" w:hAnsiTheme="majorBidi" w:cstheme="majorBidi"/>
          <w:sz w:val="24"/>
          <w:szCs w:val="24"/>
        </w:rPr>
        <w:t xml:space="preserve"> regression model is as follows:</w:t>
      </w:r>
    </w:p>
    <w:p w14:paraId="3B2EEBA1" w14:textId="189C8021" w:rsidR="00EB6CC9" w:rsidRDefault="00ED5435" w:rsidP="00605ADB">
      <w:pPr>
        <w:spacing w:after="0" w:line="240" w:lineRule="auto"/>
        <w:ind w:firstLine="426"/>
        <w:jc w:val="both"/>
        <w:rPr>
          <w:rFonts w:asciiTheme="majorBidi" w:eastAsiaTheme="minorEastAsia" w:hAnsiTheme="majorBidi" w:cstheme="majorBidi"/>
          <w:iCs/>
          <w:sz w:val="24"/>
          <w:szCs w:val="24"/>
        </w:rPr>
      </w:pPr>
      <w:r>
        <w:rPr>
          <w:rFonts w:asciiTheme="majorBidi" w:eastAsiaTheme="minorEastAsia" w:hAnsiTheme="majorBidi" w:cstheme="majorBidi"/>
          <w:sz w:val="24"/>
          <w:szCs w:val="24"/>
        </w:rPr>
        <w:t xml:space="preserve">                    </w:t>
      </w:r>
      <m:oMath>
        <m:sSub>
          <m:sSubPr>
            <m:ctrlPr>
              <w:rPr>
                <w:rFonts w:ascii="Cambria Math" w:hAnsi="Cambria Math" w:cstheme="majorBidi"/>
                <w:i/>
                <w:sz w:val="24"/>
                <w:szCs w:val="24"/>
              </w:rPr>
            </m:ctrlPr>
          </m:sSubPr>
          <m:e>
            <m:r>
              <m:rPr>
                <m:nor/>
              </m:rPr>
              <w:rPr>
                <w:rFonts w:asciiTheme="majorBidi" w:hAnsiTheme="majorBidi" w:cstheme="majorBidi"/>
                <w:i/>
                <w:iCs/>
                <w:sz w:val="24"/>
                <w:szCs w:val="24"/>
              </w:rPr>
              <m:t>HEGI</m:t>
            </m:r>
          </m:e>
          <m:sub>
            <m:r>
              <m:rPr>
                <m:nor/>
              </m:rPr>
              <w:rPr>
                <w:rFonts w:asciiTheme="majorBidi" w:hAnsiTheme="majorBidi" w:cstheme="majorBidi"/>
                <w:i/>
                <w:iCs/>
                <w:sz w:val="24"/>
                <w:szCs w:val="24"/>
              </w:rPr>
              <m:t>it</m:t>
            </m:r>
          </m:sub>
        </m:sSub>
        <m:r>
          <m:rPr>
            <m:nor/>
          </m:rPr>
          <w:rPr>
            <w:rFonts w:asciiTheme="majorBidi" w:hAnsiTheme="majorBidi" w:cstheme="majorBidi"/>
            <w:sz w:val="24"/>
            <w:szCs w:val="24"/>
          </w:rPr>
          <m:t>=</m:t>
        </m:r>
        <m:sSub>
          <m:sSubPr>
            <m:ctrlPr>
              <w:rPr>
                <w:rFonts w:ascii="Cambria Math" w:hAnsi="Cambria Math" w:cstheme="majorBidi"/>
                <w:i/>
                <w:sz w:val="24"/>
                <w:szCs w:val="24"/>
              </w:rPr>
            </m:ctrlPr>
          </m:sSubPr>
          <m:e>
            <m:r>
              <m:rPr>
                <m:nor/>
              </m:rPr>
              <w:rPr>
                <w:rFonts w:asciiTheme="majorBidi" w:hAnsiTheme="majorBidi" w:cstheme="majorBidi"/>
                <w:i/>
                <w:iCs/>
                <w:sz w:val="24"/>
                <w:szCs w:val="24"/>
              </w:rPr>
              <m:t>α</m:t>
            </m:r>
          </m:e>
          <m:sub>
            <m:r>
              <m:rPr>
                <m:nor/>
              </m:rPr>
              <w:rPr>
                <w:rFonts w:asciiTheme="majorBidi" w:hAnsiTheme="majorBidi" w:cstheme="majorBidi"/>
                <w:sz w:val="24"/>
                <w:szCs w:val="24"/>
              </w:rPr>
              <m:t>0</m:t>
            </m:r>
          </m:sub>
        </m:sSub>
        <m:r>
          <m:rPr>
            <m:nor/>
          </m:rPr>
          <w:rPr>
            <w:rFonts w:asciiTheme="majorBidi" w:hAnsiTheme="majorBidi" w:cstheme="majorBidi"/>
            <w:sz w:val="24"/>
            <w:szCs w:val="24"/>
          </w:rPr>
          <m:t>+</m:t>
        </m:r>
        <m:sSub>
          <m:sSubPr>
            <m:ctrlPr>
              <w:rPr>
                <w:rFonts w:ascii="Cambria Math" w:hAnsi="Cambria Math" w:cstheme="majorBidi"/>
                <w:i/>
                <w:sz w:val="24"/>
                <w:szCs w:val="24"/>
              </w:rPr>
            </m:ctrlPr>
          </m:sSubPr>
          <m:e>
            <m:r>
              <m:rPr>
                <m:nor/>
              </m:rPr>
              <w:rPr>
                <w:rFonts w:asciiTheme="majorBidi" w:hAnsiTheme="majorBidi" w:cstheme="majorBidi"/>
                <w:i/>
                <w:iCs/>
                <w:sz w:val="24"/>
                <w:szCs w:val="24"/>
              </w:rPr>
              <m:t>β</m:t>
            </m:r>
          </m:e>
          <m:sub>
            <m:r>
              <m:rPr>
                <m:nor/>
              </m:rPr>
              <w:rPr>
                <w:rFonts w:asciiTheme="majorBidi" w:hAnsiTheme="majorBidi" w:cstheme="majorBidi"/>
                <w:sz w:val="24"/>
                <w:szCs w:val="24"/>
              </w:rPr>
              <m:t>1</m:t>
            </m:r>
          </m:sub>
        </m:sSub>
        <m:sSub>
          <m:sSubPr>
            <m:ctrlPr>
              <w:rPr>
                <w:rFonts w:ascii="Cambria Math" w:hAnsi="Cambria Math" w:cstheme="majorBidi"/>
                <w:i/>
                <w:sz w:val="24"/>
                <w:szCs w:val="24"/>
              </w:rPr>
            </m:ctrlPr>
          </m:sSubPr>
          <m:e>
            <m:r>
              <m:rPr>
                <m:nor/>
              </m:rPr>
              <w:rPr>
                <w:rFonts w:asciiTheme="majorBidi" w:hAnsiTheme="majorBidi" w:cstheme="majorBidi"/>
                <w:i/>
                <w:iCs/>
                <w:sz w:val="24"/>
                <w:szCs w:val="24"/>
              </w:rPr>
              <m:t>IGM</m:t>
            </m:r>
            <m:r>
              <m:rPr>
                <m:nor/>
              </m:rPr>
              <w:rPr>
                <w:rFonts w:ascii="Cambria Math" w:hAnsiTheme="majorBidi" w:cstheme="majorBidi"/>
                <w:i/>
                <w:iCs/>
                <w:sz w:val="24"/>
                <w:szCs w:val="24"/>
              </w:rPr>
              <m:t>s</m:t>
            </m:r>
          </m:e>
          <m:sub>
            <m:r>
              <m:rPr>
                <m:nor/>
              </m:rPr>
              <w:rPr>
                <w:rFonts w:asciiTheme="majorBidi" w:hAnsiTheme="majorBidi" w:cstheme="majorBidi"/>
                <w:i/>
                <w:iCs/>
                <w:sz w:val="24"/>
                <w:szCs w:val="24"/>
              </w:rPr>
              <m:t>it</m:t>
            </m:r>
          </m:sub>
        </m:sSub>
        <m:r>
          <m:rPr>
            <m:nor/>
          </m:rPr>
          <w:rPr>
            <w:rFonts w:asciiTheme="majorBidi" w:hAnsiTheme="majorBidi" w:cstheme="majorBidi"/>
            <w:sz w:val="24"/>
            <w:szCs w:val="24"/>
          </w:rPr>
          <m:t>+</m:t>
        </m:r>
        <m:nary>
          <m:naryPr>
            <m:chr m:val="∑"/>
            <m:limLoc m:val="undOvr"/>
            <m:ctrlPr>
              <w:rPr>
                <w:rFonts w:ascii="Cambria Math" w:hAnsi="Cambria Math" w:cstheme="majorBidi"/>
                <w:i/>
                <w:sz w:val="24"/>
                <w:szCs w:val="24"/>
              </w:rPr>
            </m:ctrlPr>
          </m:naryPr>
          <m:sub>
            <m:r>
              <m:rPr>
                <m:nor/>
              </m:rPr>
              <w:rPr>
                <w:rFonts w:asciiTheme="majorBidi" w:hAnsiTheme="majorBidi" w:cstheme="majorBidi"/>
                <w:i/>
                <w:iCs/>
                <w:sz w:val="24"/>
                <w:szCs w:val="24"/>
              </w:rPr>
              <m:t>l</m:t>
            </m:r>
            <m:r>
              <m:rPr>
                <m:nor/>
              </m:rPr>
              <w:rPr>
                <w:rFonts w:asciiTheme="majorBidi" w:hAnsiTheme="majorBidi" w:cstheme="majorBidi"/>
                <w:sz w:val="24"/>
                <w:szCs w:val="24"/>
              </w:rPr>
              <m:t>=1</m:t>
            </m:r>
          </m:sub>
          <m:sup>
            <m:r>
              <m:rPr>
                <m:nor/>
              </m:rPr>
              <w:rPr>
                <w:rFonts w:asciiTheme="majorBidi" w:hAnsiTheme="majorBidi" w:cstheme="majorBidi"/>
                <w:sz w:val="24"/>
                <w:szCs w:val="24"/>
              </w:rPr>
              <m:t>12</m:t>
            </m:r>
          </m:sup>
          <m:e>
            <m:sSub>
              <m:sSubPr>
                <m:ctrlPr>
                  <w:rPr>
                    <w:rFonts w:ascii="Cambria Math" w:hAnsi="Cambria Math" w:cstheme="majorBidi"/>
                    <w:i/>
                    <w:sz w:val="24"/>
                    <w:szCs w:val="24"/>
                  </w:rPr>
                </m:ctrlPr>
              </m:sSubPr>
              <m:e>
                <m:r>
                  <m:rPr>
                    <m:nor/>
                  </m:rPr>
                  <w:rPr>
                    <w:rFonts w:asciiTheme="majorBidi" w:hAnsiTheme="majorBidi" w:cstheme="majorBidi"/>
                    <w:i/>
                    <w:iCs/>
                    <w:sz w:val="24"/>
                    <w:szCs w:val="24"/>
                  </w:rPr>
                  <m:t>β</m:t>
                </m:r>
              </m:e>
              <m:sub>
                <m:r>
                  <m:rPr>
                    <m:nor/>
                  </m:rPr>
                  <w:rPr>
                    <w:rFonts w:asciiTheme="majorBidi" w:hAnsiTheme="majorBidi" w:cstheme="majorBidi"/>
                    <w:i/>
                    <w:iCs/>
                    <w:sz w:val="24"/>
                    <w:szCs w:val="24"/>
                  </w:rPr>
                  <m:t>l</m:t>
                </m:r>
              </m:sub>
            </m:sSub>
            <m:sSub>
              <m:sSubPr>
                <m:ctrlPr>
                  <w:rPr>
                    <w:rFonts w:ascii="Cambria Math" w:hAnsi="Cambria Math" w:cstheme="majorBidi"/>
                    <w:i/>
                    <w:sz w:val="24"/>
                    <w:szCs w:val="24"/>
                  </w:rPr>
                </m:ctrlPr>
              </m:sSubPr>
              <m:e>
                <m:r>
                  <m:rPr>
                    <m:nor/>
                  </m:rPr>
                  <w:rPr>
                    <w:rFonts w:asciiTheme="majorBidi" w:hAnsiTheme="majorBidi" w:cstheme="majorBidi"/>
                    <w:i/>
                    <w:iCs/>
                    <w:sz w:val="24"/>
                    <w:szCs w:val="24"/>
                  </w:rPr>
                  <m:t>CNTS</m:t>
                </m:r>
              </m:e>
              <m:sub>
                <m:r>
                  <m:rPr>
                    <m:nor/>
                  </m:rPr>
                  <w:rPr>
                    <w:rFonts w:asciiTheme="majorBidi" w:hAnsiTheme="majorBidi" w:cstheme="majorBidi"/>
                    <w:i/>
                    <w:iCs/>
                    <w:sz w:val="24"/>
                    <w:szCs w:val="24"/>
                  </w:rPr>
                  <m:t>it</m:t>
                </m:r>
              </m:sub>
            </m:sSub>
          </m:e>
        </m:nary>
        <m:r>
          <m:rPr>
            <m:nor/>
          </m:rPr>
          <w:rPr>
            <w:rFonts w:asciiTheme="majorBidi" w:hAnsiTheme="majorBidi" w:cstheme="majorBidi"/>
            <w:sz w:val="24"/>
            <w:szCs w:val="24"/>
          </w:rPr>
          <m:t>+</m:t>
        </m:r>
        <m:sSub>
          <m:sSubPr>
            <m:ctrlPr>
              <w:rPr>
                <w:rFonts w:ascii="Cambria Math" w:hAnsi="Cambria Math" w:cstheme="majorBidi"/>
                <w:iCs/>
                <w:sz w:val="24"/>
                <w:szCs w:val="24"/>
              </w:rPr>
            </m:ctrlPr>
          </m:sSubPr>
          <m:e>
            <m:r>
              <m:rPr>
                <m:nor/>
              </m:rPr>
              <w:rPr>
                <w:rFonts w:asciiTheme="majorBidi" w:hAnsiTheme="majorBidi" w:cstheme="majorBidi"/>
                <w:i/>
                <w:sz w:val="24"/>
                <w:szCs w:val="24"/>
              </w:rPr>
              <m:t>ε</m:t>
            </m:r>
          </m:e>
          <m:sub>
            <m:r>
              <m:rPr>
                <m:nor/>
              </m:rPr>
              <w:rPr>
                <w:rFonts w:asciiTheme="majorBidi" w:hAnsiTheme="majorBidi" w:cstheme="majorBidi"/>
                <w:i/>
                <w:sz w:val="24"/>
                <w:szCs w:val="24"/>
              </w:rPr>
              <m:t>it</m:t>
            </m:r>
          </m:sub>
        </m:sSub>
      </m:oMath>
      <w:r>
        <w:rPr>
          <w:rFonts w:asciiTheme="majorBidi" w:eastAsiaTheme="minorEastAsia" w:hAnsiTheme="majorBidi" w:cstheme="majorBidi"/>
          <w:iCs/>
          <w:sz w:val="24"/>
          <w:szCs w:val="24"/>
        </w:rPr>
        <w:t xml:space="preserve">                                                       (1)</w:t>
      </w:r>
    </w:p>
    <w:p w14:paraId="46EC2670" w14:textId="77777777" w:rsidR="0081066F" w:rsidRPr="00CD4CE7" w:rsidRDefault="0081066F" w:rsidP="00605ADB">
      <w:pPr>
        <w:spacing w:after="0" w:line="240" w:lineRule="auto"/>
        <w:ind w:firstLine="426"/>
        <w:jc w:val="both"/>
        <w:rPr>
          <w:rFonts w:asciiTheme="majorBidi" w:hAnsiTheme="majorBidi" w:cstheme="majorBidi"/>
          <w:sz w:val="24"/>
          <w:szCs w:val="24"/>
        </w:rPr>
      </w:pPr>
    </w:p>
    <w:p w14:paraId="703D128E" w14:textId="451A902F" w:rsidR="00687CE3" w:rsidRDefault="00A13BE7" w:rsidP="00C47AC1">
      <w:pPr>
        <w:spacing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 xml:space="preserve">Where </w:t>
      </w:r>
      <w:r w:rsidRPr="00511F36">
        <w:rPr>
          <w:rFonts w:asciiTheme="majorBidi" w:hAnsiTheme="majorBidi" w:cstheme="majorBidi"/>
          <w:i/>
          <w:iCs/>
          <w:sz w:val="24"/>
          <w:szCs w:val="24"/>
        </w:rPr>
        <w:t>HEGI</w:t>
      </w:r>
      <w:r w:rsidRPr="00511F36">
        <w:rPr>
          <w:rFonts w:asciiTheme="majorBidi" w:hAnsiTheme="majorBidi" w:cstheme="majorBidi"/>
          <w:sz w:val="24"/>
          <w:szCs w:val="24"/>
        </w:rPr>
        <w:t xml:space="preserve"> is the UK HEIs Governance Index, </w:t>
      </w:r>
      <w:r w:rsidRPr="00511F36">
        <w:rPr>
          <w:rFonts w:asciiTheme="majorBidi" w:hAnsiTheme="majorBidi" w:cstheme="majorBidi"/>
          <w:i/>
          <w:iCs/>
          <w:sz w:val="24"/>
          <w:szCs w:val="24"/>
        </w:rPr>
        <w:t>IGM</w:t>
      </w:r>
      <w:r w:rsidR="00B706AB">
        <w:rPr>
          <w:rFonts w:asciiTheme="majorBidi" w:hAnsiTheme="majorBidi" w:cstheme="majorBidi"/>
          <w:i/>
          <w:iCs/>
          <w:sz w:val="24"/>
          <w:szCs w:val="24"/>
        </w:rPr>
        <w:t>s</w:t>
      </w:r>
      <w:r w:rsidRPr="00511F36">
        <w:rPr>
          <w:rFonts w:asciiTheme="majorBidi" w:hAnsiTheme="majorBidi" w:cstheme="majorBidi"/>
          <w:i/>
          <w:iCs/>
          <w:sz w:val="24"/>
          <w:szCs w:val="24"/>
        </w:rPr>
        <w:t xml:space="preserve"> </w:t>
      </w:r>
      <w:r w:rsidRPr="00511F36">
        <w:rPr>
          <w:rFonts w:asciiTheme="majorBidi" w:hAnsiTheme="majorBidi" w:cstheme="majorBidi"/>
          <w:sz w:val="24"/>
          <w:szCs w:val="24"/>
        </w:rPr>
        <w:t xml:space="preserve">refers to </w:t>
      </w:r>
      <w:r w:rsidR="007A5B02">
        <w:rPr>
          <w:rFonts w:asciiTheme="majorBidi" w:hAnsiTheme="majorBidi" w:cstheme="majorBidi"/>
          <w:sz w:val="24"/>
          <w:szCs w:val="24"/>
        </w:rPr>
        <w:t xml:space="preserve">five </w:t>
      </w:r>
      <w:r w:rsidR="00000354">
        <w:rPr>
          <w:rFonts w:asciiTheme="majorBidi" w:hAnsiTheme="majorBidi" w:cstheme="majorBidi"/>
          <w:sz w:val="24"/>
          <w:szCs w:val="24"/>
        </w:rPr>
        <w:t>i</w:t>
      </w:r>
      <w:r w:rsidR="007A5B02">
        <w:rPr>
          <w:rFonts w:asciiTheme="majorBidi" w:hAnsiTheme="majorBidi" w:cstheme="majorBidi"/>
          <w:sz w:val="24"/>
          <w:szCs w:val="24"/>
        </w:rPr>
        <w:t xml:space="preserve">ndividual </w:t>
      </w:r>
      <w:r w:rsidR="00000354">
        <w:rPr>
          <w:rFonts w:asciiTheme="majorBidi" w:hAnsiTheme="majorBidi" w:cstheme="majorBidi"/>
          <w:sz w:val="24"/>
          <w:szCs w:val="24"/>
        </w:rPr>
        <w:t>g</w:t>
      </w:r>
      <w:r w:rsidR="007A5B02">
        <w:rPr>
          <w:rFonts w:asciiTheme="majorBidi" w:hAnsiTheme="majorBidi" w:cstheme="majorBidi"/>
          <w:sz w:val="24"/>
          <w:szCs w:val="24"/>
        </w:rPr>
        <w:t xml:space="preserve">overnance </w:t>
      </w:r>
      <w:r w:rsidR="00000354">
        <w:rPr>
          <w:rFonts w:asciiTheme="majorBidi" w:hAnsiTheme="majorBidi" w:cstheme="majorBidi"/>
          <w:sz w:val="24"/>
          <w:szCs w:val="24"/>
        </w:rPr>
        <w:t>m</w:t>
      </w:r>
      <w:r w:rsidR="007A5B02">
        <w:rPr>
          <w:rFonts w:asciiTheme="majorBidi" w:hAnsiTheme="majorBidi" w:cstheme="majorBidi"/>
          <w:sz w:val="24"/>
          <w:szCs w:val="24"/>
        </w:rPr>
        <w:t>echanisms (</w:t>
      </w:r>
      <w:r w:rsidR="007A5B02" w:rsidRPr="007A5B02">
        <w:rPr>
          <w:rFonts w:asciiTheme="majorBidi" w:hAnsiTheme="majorBidi" w:cstheme="majorBidi"/>
          <w:i/>
          <w:iCs/>
          <w:sz w:val="24"/>
          <w:szCs w:val="24"/>
        </w:rPr>
        <w:t>IGMs</w:t>
      </w:r>
      <w:r w:rsidR="007A5B02">
        <w:rPr>
          <w:rFonts w:asciiTheme="majorBidi" w:hAnsiTheme="majorBidi" w:cstheme="majorBidi"/>
          <w:sz w:val="24"/>
          <w:szCs w:val="24"/>
        </w:rPr>
        <w:t>)</w:t>
      </w:r>
      <w:r w:rsidRPr="00511F36">
        <w:rPr>
          <w:rFonts w:asciiTheme="majorBidi" w:hAnsiTheme="majorBidi" w:cstheme="majorBidi"/>
          <w:sz w:val="24"/>
          <w:szCs w:val="24"/>
        </w:rPr>
        <w:t>, including vice-chancellor characteristics (</w:t>
      </w:r>
      <w:r w:rsidRPr="00511F36">
        <w:rPr>
          <w:rFonts w:asciiTheme="majorBidi" w:hAnsiTheme="majorBidi" w:cstheme="majorBidi"/>
          <w:i/>
          <w:iCs/>
          <w:sz w:val="24"/>
          <w:szCs w:val="24"/>
        </w:rPr>
        <w:t>V</w:t>
      </w:r>
      <w:r w:rsidR="0034465D">
        <w:rPr>
          <w:rFonts w:asciiTheme="majorBidi" w:hAnsiTheme="majorBidi" w:cstheme="majorBidi"/>
          <w:i/>
          <w:iCs/>
          <w:sz w:val="24"/>
          <w:szCs w:val="24"/>
        </w:rPr>
        <w:t>C</w:t>
      </w:r>
      <w:r w:rsidRPr="00511F36">
        <w:rPr>
          <w:rFonts w:asciiTheme="majorBidi" w:hAnsiTheme="majorBidi" w:cstheme="majorBidi"/>
          <w:i/>
          <w:iCs/>
          <w:sz w:val="24"/>
          <w:szCs w:val="24"/>
        </w:rPr>
        <w:t>G</w:t>
      </w:r>
      <w:r w:rsidR="0034465D">
        <w:rPr>
          <w:rFonts w:asciiTheme="majorBidi" w:hAnsiTheme="majorBidi" w:cstheme="majorBidi"/>
          <w:i/>
          <w:iCs/>
          <w:sz w:val="24"/>
          <w:szCs w:val="24"/>
        </w:rPr>
        <w:t>EN</w:t>
      </w:r>
      <w:r w:rsidRPr="00511F36">
        <w:rPr>
          <w:rFonts w:asciiTheme="majorBidi" w:hAnsiTheme="majorBidi" w:cstheme="majorBidi"/>
          <w:sz w:val="24"/>
          <w:szCs w:val="24"/>
        </w:rPr>
        <w:t xml:space="preserve">, </w:t>
      </w:r>
      <w:r w:rsidRPr="00511F36">
        <w:rPr>
          <w:rFonts w:asciiTheme="majorBidi" w:hAnsiTheme="majorBidi" w:cstheme="majorBidi"/>
          <w:i/>
          <w:iCs/>
          <w:sz w:val="24"/>
          <w:szCs w:val="24"/>
        </w:rPr>
        <w:t>V</w:t>
      </w:r>
      <w:r w:rsidR="0034465D">
        <w:rPr>
          <w:rFonts w:asciiTheme="majorBidi" w:hAnsiTheme="majorBidi" w:cstheme="majorBidi"/>
          <w:i/>
          <w:iCs/>
          <w:sz w:val="24"/>
          <w:szCs w:val="24"/>
        </w:rPr>
        <w:t>CE</w:t>
      </w:r>
      <w:r w:rsidRPr="00511F36">
        <w:rPr>
          <w:rFonts w:asciiTheme="majorBidi" w:hAnsiTheme="majorBidi" w:cstheme="majorBidi"/>
          <w:i/>
          <w:iCs/>
          <w:sz w:val="24"/>
          <w:szCs w:val="24"/>
        </w:rPr>
        <w:t>D</w:t>
      </w:r>
      <w:r w:rsidR="0034465D">
        <w:rPr>
          <w:rFonts w:asciiTheme="majorBidi" w:hAnsiTheme="majorBidi" w:cstheme="majorBidi"/>
          <w:i/>
          <w:iCs/>
          <w:sz w:val="24"/>
          <w:szCs w:val="24"/>
        </w:rPr>
        <w:t>U</w:t>
      </w:r>
      <w:r w:rsidRPr="00511F36">
        <w:rPr>
          <w:rFonts w:asciiTheme="majorBidi" w:hAnsiTheme="majorBidi" w:cstheme="majorBidi"/>
          <w:sz w:val="24"/>
          <w:szCs w:val="24"/>
        </w:rPr>
        <w:t xml:space="preserve">, </w:t>
      </w:r>
      <w:r w:rsidRPr="00511F36">
        <w:rPr>
          <w:rFonts w:asciiTheme="majorBidi" w:hAnsiTheme="majorBidi" w:cstheme="majorBidi"/>
          <w:i/>
          <w:iCs/>
          <w:sz w:val="24"/>
          <w:szCs w:val="24"/>
        </w:rPr>
        <w:t>V</w:t>
      </w:r>
      <w:r w:rsidR="0034465D">
        <w:rPr>
          <w:rFonts w:asciiTheme="majorBidi" w:hAnsiTheme="majorBidi" w:cstheme="majorBidi"/>
          <w:i/>
          <w:iCs/>
          <w:sz w:val="24"/>
          <w:szCs w:val="24"/>
        </w:rPr>
        <w:t>C</w:t>
      </w:r>
      <w:r w:rsidRPr="00511F36">
        <w:rPr>
          <w:rFonts w:asciiTheme="majorBidi" w:hAnsiTheme="majorBidi" w:cstheme="majorBidi"/>
          <w:i/>
          <w:iCs/>
          <w:sz w:val="24"/>
          <w:szCs w:val="24"/>
        </w:rPr>
        <w:t>A</w:t>
      </w:r>
      <w:r w:rsidR="0034465D">
        <w:rPr>
          <w:rFonts w:asciiTheme="majorBidi" w:hAnsiTheme="majorBidi" w:cstheme="majorBidi"/>
          <w:i/>
          <w:iCs/>
          <w:sz w:val="24"/>
          <w:szCs w:val="24"/>
        </w:rPr>
        <w:t>GE</w:t>
      </w:r>
      <w:r w:rsidRPr="00511F36">
        <w:rPr>
          <w:rFonts w:asciiTheme="majorBidi" w:hAnsiTheme="majorBidi" w:cstheme="majorBidi"/>
          <w:sz w:val="24"/>
          <w:szCs w:val="24"/>
        </w:rPr>
        <w:t xml:space="preserve"> and </w:t>
      </w:r>
      <w:r w:rsidRPr="00511F36">
        <w:rPr>
          <w:rFonts w:asciiTheme="majorBidi" w:hAnsiTheme="majorBidi" w:cstheme="majorBidi"/>
          <w:i/>
          <w:iCs/>
          <w:sz w:val="24"/>
          <w:szCs w:val="24"/>
        </w:rPr>
        <w:t>V</w:t>
      </w:r>
      <w:r w:rsidR="0034465D">
        <w:rPr>
          <w:rFonts w:asciiTheme="majorBidi" w:hAnsiTheme="majorBidi" w:cstheme="majorBidi"/>
          <w:i/>
          <w:iCs/>
          <w:sz w:val="24"/>
          <w:szCs w:val="24"/>
        </w:rPr>
        <w:t>C</w:t>
      </w:r>
      <w:r w:rsidRPr="00511F36">
        <w:rPr>
          <w:rFonts w:asciiTheme="majorBidi" w:hAnsiTheme="majorBidi" w:cstheme="majorBidi"/>
          <w:i/>
          <w:iCs/>
          <w:sz w:val="24"/>
          <w:szCs w:val="24"/>
        </w:rPr>
        <w:t>T</w:t>
      </w:r>
      <w:r w:rsidR="0034465D">
        <w:rPr>
          <w:rFonts w:asciiTheme="majorBidi" w:hAnsiTheme="majorBidi" w:cstheme="majorBidi"/>
          <w:i/>
          <w:iCs/>
          <w:sz w:val="24"/>
          <w:szCs w:val="24"/>
        </w:rPr>
        <w:t>EN</w:t>
      </w:r>
      <w:r w:rsidRPr="00511F36">
        <w:rPr>
          <w:rFonts w:asciiTheme="majorBidi" w:hAnsiTheme="majorBidi" w:cstheme="majorBidi"/>
          <w:sz w:val="24"/>
          <w:szCs w:val="24"/>
        </w:rPr>
        <w:t xml:space="preserve">), </w:t>
      </w:r>
      <w:r w:rsidR="00000354">
        <w:rPr>
          <w:rFonts w:asciiTheme="majorBidi" w:hAnsiTheme="majorBidi" w:cstheme="majorBidi"/>
          <w:sz w:val="24"/>
          <w:szCs w:val="24"/>
        </w:rPr>
        <w:t xml:space="preserve">the </w:t>
      </w:r>
      <w:r w:rsidRPr="00511F36">
        <w:rPr>
          <w:rFonts w:asciiTheme="majorBidi" w:hAnsiTheme="majorBidi" w:cstheme="majorBidi"/>
          <w:sz w:val="24"/>
          <w:szCs w:val="24"/>
        </w:rPr>
        <w:t xml:space="preserve">existence of </w:t>
      </w:r>
      <w:r w:rsidR="00000354">
        <w:rPr>
          <w:rFonts w:asciiTheme="majorBidi" w:hAnsiTheme="majorBidi" w:cstheme="majorBidi"/>
          <w:sz w:val="24"/>
          <w:szCs w:val="24"/>
        </w:rPr>
        <w:t xml:space="preserve">a </w:t>
      </w:r>
      <w:r w:rsidRPr="00511F36">
        <w:rPr>
          <w:rFonts w:asciiTheme="majorBidi" w:hAnsiTheme="majorBidi" w:cstheme="majorBidi"/>
          <w:sz w:val="24"/>
          <w:szCs w:val="24"/>
        </w:rPr>
        <w:t>governance committee (</w:t>
      </w:r>
      <w:r w:rsidR="0034465D">
        <w:rPr>
          <w:rFonts w:asciiTheme="majorBidi" w:hAnsiTheme="majorBidi" w:cstheme="majorBidi"/>
          <w:i/>
          <w:iCs/>
          <w:sz w:val="24"/>
          <w:szCs w:val="24"/>
        </w:rPr>
        <w:t>EGC</w:t>
      </w:r>
      <w:r w:rsidRPr="00511F36">
        <w:rPr>
          <w:rFonts w:asciiTheme="majorBidi" w:hAnsiTheme="majorBidi" w:cstheme="majorBidi"/>
          <w:sz w:val="24"/>
          <w:szCs w:val="24"/>
        </w:rPr>
        <w:t>),</w:t>
      </w:r>
      <w:r>
        <w:rPr>
          <w:rFonts w:asciiTheme="majorBidi" w:hAnsiTheme="majorBidi" w:cstheme="majorBidi"/>
          <w:sz w:val="24"/>
          <w:szCs w:val="24"/>
        </w:rPr>
        <w:t xml:space="preserve"> </w:t>
      </w:r>
      <w:r w:rsidR="0034465D">
        <w:rPr>
          <w:rFonts w:asciiTheme="majorBidi" w:hAnsiTheme="majorBidi" w:cstheme="majorBidi"/>
          <w:sz w:val="24"/>
          <w:szCs w:val="24"/>
        </w:rPr>
        <w:t xml:space="preserve">governing board </w:t>
      </w:r>
      <w:r w:rsidR="00000354">
        <w:rPr>
          <w:rFonts w:asciiTheme="majorBidi" w:hAnsiTheme="majorBidi" w:cstheme="majorBidi"/>
          <w:sz w:val="24"/>
          <w:szCs w:val="24"/>
        </w:rPr>
        <w:t xml:space="preserve">ethnic/gender </w:t>
      </w:r>
      <w:r w:rsidRPr="00511F36">
        <w:rPr>
          <w:rFonts w:asciiTheme="majorBidi" w:hAnsiTheme="majorBidi" w:cstheme="majorBidi"/>
          <w:sz w:val="24"/>
          <w:szCs w:val="24"/>
        </w:rPr>
        <w:t>diversity (</w:t>
      </w:r>
      <w:r w:rsidRPr="00511F36">
        <w:rPr>
          <w:rFonts w:asciiTheme="majorBidi" w:hAnsiTheme="majorBidi" w:cstheme="majorBidi"/>
          <w:i/>
          <w:iCs/>
          <w:sz w:val="24"/>
          <w:szCs w:val="24"/>
        </w:rPr>
        <w:t>G</w:t>
      </w:r>
      <w:r w:rsidR="0034465D">
        <w:rPr>
          <w:rFonts w:asciiTheme="majorBidi" w:hAnsiTheme="majorBidi" w:cstheme="majorBidi"/>
          <w:i/>
          <w:iCs/>
          <w:sz w:val="24"/>
          <w:szCs w:val="24"/>
        </w:rPr>
        <w:t>BGE</w:t>
      </w:r>
      <w:r w:rsidRPr="00511F36">
        <w:rPr>
          <w:rFonts w:asciiTheme="majorBidi" w:hAnsiTheme="majorBidi" w:cstheme="majorBidi"/>
          <w:i/>
          <w:iCs/>
          <w:sz w:val="24"/>
          <w:szCs w:val="24"/>
        </w:rPr>
        <w:t>D</w:t>
      </w:r>
      <w:r w:rsidRPr="00511F36">
        <w:rPr>
          <w:rFonts w:asciiTheme="majorBidi" w:hAnsiTheme="majorBidi" w:cstheme="majorBidi"/>
          <w:sz w:val="24"/>
          <w:szCs w:val="24"/>
        </w:rPr>
        <w:t>), independence (</w:t>
      </w:r>
      <w:r w:rsidR="0034465D">
        <w:rPr>
          <w:rFonts w:asciiTheme="majorBidi" w:hAnsiTheme="majorBidi" w:cstheme="majorBidi"/>
          <w:i/>
          <w:iCs/>
          <w:sz w:val="24"/>
          <w:szCs w:val="24"/>
        </w:rPr>
        <w:t>GBIND</w:t>
      </w:r>
      <w:r>
        <w:rPr>
          <w:rFonts w:asciiTheme="majorBidi" w:hAnsiTheme="majorBidi" w:cstheme="majorBidi"/>
          <w:sz w:val="24"/>
          <w:szCs w:val="24"/>
        </w:rPr>
        <w:t xml:space="preserve">) and </w:t>
      </w:r>
      <w:r w:rsidRPr="00511F36">
        <w:rPr>
          <w:rFonts w:asciiTheme="majorBidi" w:hAnsiTheme="majorBidi" w:cstheme="majorBidi"/>
          <w:sz w:val="24"/>
          <w:szCs w:val="24"/>
        </w:rPr>
        <w:t>meetings (</w:t>
      </w:r>
      <w:r w:rsidRPr="00511F36">
        <w:rPr>
          <w:rFonts w:asciiTheme="majorBidi" w:hAnsiTheme="majorBidi" w:cstheme="majorBidi"/>
          <w:i/>
          <w:iCs/>
          <w:sz w:val="24"/>
          <w:szCs w:val="24"/>
        </w:rPr>
        <w:t>G</w:t>
      </w:r>
      <w:r w:rsidR="0034465D">
        <w:rPr>
          <w:rFonts w:asciiTheme="majorBidi" w:hAnsiTheme="majorBidi" w:cstheme="majorBidi"/>
          <w:i/>
          <w:iCs/>
          <w:sz w:val="24"/>
          <w:szCs w:val="24"/>
        </w:rPr>
        <w:t>B</w:t>
      </w:r>
      <w:r w:rsidRPr="00511F36">
        <w:rPr>
          <w:rFonts w:asciiTheme="majorBidi" w:hAnsiTheme="majorBidi" w:cstheme="majorBidi"/>
          <w:i/>
          <w:iCs/>
          <w:sz w:val="24"/>
          <w:szCs w:val="24"/>
        </w:rPr>
        <w:t>M</w:t>
      </w:r>
      <w:r w:rsidR="0034465D">
        <w:rPr>
          <w:rFonts w:asciiTheme="majorBidi" w:hAnsiTheme="majorBidi" w:cstheme="majorBidi"/>
          <w:i/>
          <w:iCs/>
          <w:sz w:val="24"/>
          <w:szCs w:val="24"/>
        </w:rPr>
        <w:t>T</w:t>
      </w:r>
      <w:r w:rsidRPr="00511F36">
        <w:rPr>
          <w:rFonts w:asciiTheme="majorBidi" w:hAnsiTheme="majorBidi" w:cstheme="majorBidi"/>
          <w:sz w:val="24"/>
          <w:szCs w:val="24"/>
        </w:rPr>
        <w:t xml:space="preserve">). </w:t>
      </w:r>
      <w:r w:rsidRPr="009542CF">
        <w:rPr>
          <w:rFonts w:asciiTheme="majorBidi" w:hAnsiTheme="majorBidi" w:cstheme="majorBidi"/>
          <w:i/>
          <w:iCs/>
          <w:sz w:val="24"/>
          <w:szCs w:val="24"/>
        </w:rPr>
        <w:t>CNTS</w:t>
      </w:r>
      <w:r w:rsidRPr="00511F36">
        <w:rPr>
          <w:rFonts w:asciiTheme="majorBidi" w:hAnsiTheme="majorBidi" w:cstheme="majorBidi"/>
          <w:sz w:val="24"/>
          <w:szCs w:val="24"/>
        </w:rPr>
        <w:t xml:space="preserve"> </w:t>
      </w:r>
      <w:r w:rsidR="00736615">
        <w:rPr>
          <w:rFonts w:asciiTheme="majorBidi" w:hAnsiTheme="majorBidi" w:cstheme="majorBidi"/>
          <w:sz w:val="24"/>
          <w:szCs w:val="24"/>
        </w:rPr>
        <w:t>represents 12</w:t>
      </w:r>
      <w:r w:rsidRPr="00511F36">
        <w:rPr>
          <w:rFonts w:asciiTheme="majorBidi" w:hAnsiTheme="majorBidi" w:cstheme="majorBidi"/>
          <w:sz w:val="24"/>
          <w:szCs w:val="24"/>
        </w:rPr>
        <w:t xml:space="preserve"> control variables,</w:t>
      </w:r>
      <w:r w:rsidR="00EB6CC9">
        <w:rPr>
          <w:rFonts w:asciiTheme="majorBidi" w:hAnsiTheme="majorBidi" w:cstheme="majorBidi"/>
          <w:sz w:val="24"/>
          <w:szCs w:val="24"/>
        </w:rPr>
        <w:t xml:space="preserve"> which are</w:t>
      </w:r>
      <w:r w:rsidR="00EB6CC9" w:rsidRPr="00511F36">
        <w:rPr>
          <w:rFonts w:asciiTheme="majorBidi" w:hAnsiTheme="majorBidi" w:cstheme="majorBidi"/>
          <w:sz w:val="24"/>
          <w:szCs w:val="24"/>
        </w:rPr>
        <w:t xml:space="preserve"> </w:t>
      </w:r>
      <w:r w:rsidR="00EB6CC9">
        <w:rPr>
          <w:rFonts w:asciiTheme="majorBidi" w:hAnsiTheme="majorBidi" w:cstheme="majorBidi"/>
          <w:sz w:val="24"/>
          <w:szCs w:val="24"/>
        </w:rPr>
        <w:t xml:space="preserve">size of the </w:t>
      </w:r>
      <w:r>
        <w:rPr>
          <w:rFonts w:asciiTheme="majorBidi" w:hAnsiTheme="majorBidi" w:cstheme="majorBidi"/>
          <w:sz w:val="24"/>
          <w:szCs w:val="24"/>
        </w:rPr>
        <w:t>governing board (</w:t>
      </w:r>
      <w:r w:rsidRPr="009542CF">
        <w:rPr>
          <w:rFonts w:asciiTheme="majorBidi" w:hAnsiTheme="majorBidi" w:cstheme="majorBidi"/>
          <w:i/>
          <w:iCs/>
          <w:sz w:val="24"/>
          <w:szCs w:val="24"/>
        </w:rPr>
        <w:t>G</w:t>
      </w:r>
      <w:r w:rsidR="0034465D">
        <w:rPr>
          <w:rFonts w:asciiTheme="majorBidi" w:hAnsiTheme="majorBidi" w:cstheme="majorBidi"/>
          <w:i/>
          <w:iCs/>
          <w:sz w:val="24"/>
          <w:szCs w:val="24"/>
        </w:rPr>
        <w:t>B</w:t>
      </w:r>
      <w:r w:rsidRPr="009542CF">
        <w:rPr>
          <w:rFonts w:asciiTheme="majorBidi" w:hAnsiTheme="majorBidi" w:cstheme="majorBidi"/>
          <w:i/>
          <w:iCs/>
          <w:sz w:val="24"/>
          <w:szCs w:val="24"/>
        </w:rPr>
        <w:t>Z</w:t>
      </w:r>
      <w:r w:rsidR="0034465D">
        <w:rPr>
          <w:rFonts w:asciiTheme="majorBidi" w:hAnsiTheme="majorBidi" w:cstheme="majorBidi"/>
          <w:i/>
          <w:iCs/>
          <w:sz w:val="24"/>
          <w:szCs w:val="24"/>
        </w:rPr>
        <w:t>E</w:t>
      </w:r>
      <w:r>
        <w:rPr>
          <w:rFonts w:asciiTheme="majorBidi" w:hAnsiTheme="majorBidi" w:cstheme="majorBidi"/>
          <w:sz w:val="24"/>
          <w:szCs w:val="24"/>
        </w:rPr>
        <w:t>), audit firm size (</w:t>
      </w:r>
      <w:r w:rsidRPr="009542CF">
        <w:rPr>
          <w:rFonts w:asciiTheme="majorBidi" w:hAnsiTheme="majorBidi" w:cstheme="majorBidi"/>
          <w:i/>
          <w:iCs/>
          <w:sz w:val="24"/>
          <w:szCs w:val="24"/>
        </w:rPr>
        <w:t>A</w:t>
      </w:r>
      <w:r w:rsidR="0034465D">
        <w:rPr>
          <w:rFonts w:asciiTheme="majorBidi" w:hAnsiTheme="majorBidi" w:cstheme="majorBidi"/>
          <w:i/>
          <w:iCs/>
          <w:sz w:val="24"/>
          <w:szCs w:val="24"/>
        </w:rPr>
        <w:t>F</w:t>
      </w:r>
      <w:r w:rsidRPr="009542CF">
        <w:rPr>
          <w:rFonts w:asciiTheme="majorBidi" w:hAnsiTheme="majorBidi" w:cstheme="majorBidi"/>
          <w:i/>
          <w:iCs/>
          <w:sz w:val="24"/>
          <w:szCs w:val="24"/>
        </w:rPr>
        <w:t>Z</w:t>
      </w:r>
      <w:r w:rsidR="0034465D">
        <w:rPr>
          <w:rFonts w:asciiTheme="majorBidi" w:hAnsiTheme="majorBidi" w:cstheme="majorBidi"/>
          <w:i/>
          <w:iCs/>
          <w:sz w:val="24"/>
          <w:szCs w:val="24"/>
        </w:rPr>
        <w:t>E</w:t>
      </w:r>
      <w:r>
        <w:rPr>
          <w:rFonts w:asciiTheme="majorBidi" w:hAnsiTheme="majorBidi" w:cstheme="majorBidi"/>
          <w:sz w:val="24"/>
          <w:szCs w:val="24"/>
        </w:rPr>
        <w:t>)</w:t>
      </w:r>
      <w:r w:rsidR="00AD1A64">
        <w:rPr>
          <w:rFonts w:asciiTheme="majorBidi" w:hAnsiTheme="majorBidi" w:cstheme="majorBidi"/>
          <w:sz w:val="24"/>
          <w:szCs w:val="24"/>
        </w:rPr>
        <w:t>,</w:t>
      </w:r>
      <w:r>
        <w:rPr>
          <w:rFonts w:asciiTheme="majorBidi" w:hAnsiTheme="majorBidi" w:cstheme="majorBidi"/>
          <w:sz w:val="24"/>
          <w:szCs w:val="24"/>
        </w:rPr>
        <w:t xml:space="preserve"> </w:t>
      </w:r>
      <w:r w:rsidR="0034465D">
        <w:rPr>
          <w:rFonts w:asciiTheme="majorBidi" w:hAnsiTheme="majorBidi" w:cstheme="majorBidi"/>
          <w:sz w:val="24"/>
          <w:szCs w:val="24"/>
        </w:rPr>
        <w:t>HEI</w:t>
      </w:r>
      <w:r w:rsidR="0034465D" w:rsidRPr="00511F36">
        <w:rPr>
          <w:rFonts w:asciiTheme="majorBidi" w:hAnsiTheme="majorBidi" w:cstheme="majorBidi"/>
          <w:sz w:val="24"/>
          <w:szCs w:val="24"/>
        </w:rPr>
        <w:t xml:space="preserve"> </w:t>
      </w:r>
      <w:r w:rsidRPr="00511F36">
        <w:rPr>
          <w:rFonts w:asciiTheme="majorBidi" w:hAnsiTheme="majorBidi" w:cstheme="majorBidi"/>
          <w:sz w:val="24"/>
          <w:szCs w:val="24"/>
        </w:rPr>
        <w:t>age (</w:t>
      </w:r>
      <w:r w:rsidR="0034465D">
        <w:rPr>
          <w:rFonts w:asciiTheme="majorBidi" w:hAnsiTheme="majorBidi" w:cstheme="majorBidi"/>
          <w:i/>
          <w:iCs/>
          <w:sz w:val="24"/>
          <w:szCs w:val="24"/>
        </w:rPr>
        <w:t>HEIAGE</w:t>
      </w:r>
      <w:r w:rsidRPr="00511F36">
        <w:rPr>
          <w:rFonts w:asciiTheme="majorBidi" w:hAnsiTheme="majorBidi" w:cstheme="majorBidi"/>
          <w:sz w:val="24"/>
          <w:szCs w:val="24"/>
        </w:rPr>
        <w:t xml:space="preserve">), </w:t>
      </w:r>
      <w:r w:rsidR="0034465D">
        <w:rPr>
          <w:rFonts w:asciiTheme="majorBidi" w:hAnsiTheme="majorBidi" w:cstheme="majorBidi"/>
          <w:sz w:val="24"/>
          <w:szCs w:val="24"/>
        </w:rPr>
        <w:t>HEI</w:t>
      </w:r>
      <w:r w:rsidR="0034465D" w:rsidRPr="00511F36">
        <w:rPr>
          <w:rFonts w:asciiTheme="majorBidi" w:hAnsiTheme="majorBidi" w:cstheme="majorBidi"/>
          <w:sz w:val="24"/>
          <w:szCs w:val="24"/>
        </w:rPr>
        <w:t xml:space="preserve"> </w:t>
      </w:r>
      <w:r w:rsidRPr="00511F36">
        <w:rPr>
          <w:rFonts w:asciiTheme="majorBidi" w:hAnsiTheme="majorBidi" w:cstheme="majorBidi"/>
          <w:sz w:val="24"/>
          <w:szCs w:val="24"/>
        </w:rPr>
        <w:t>size (</w:t>
      </w:r>
      <w:r w:rsidR="0034465D">
        <w:rPr>
          <w:rFonts w:asciiTheme="majorBidi" w:hAnsiTheme="majorBidi" w:cstheme="majorBidi"/>
          <w:i/>
          <w:iCs/>
          <w:sz w:val="24"/>
          <w:szCs w:val="24"/>
        </w:rPr>
        <w:t>HEIZE</w:t>
      </w:r>
      <w:r w:rsidRPr="00511F36">
        <w:rPr>
          <w:rFonts w:asciiTheme="majorBidi" w:hAnsiTheme="majorBidi" w:cstheme="majorBidi"/>
          <w:sz w:val="24"/>
          <w:szCs w:val="24"/>
        </w:rPr>
        <w:t>), revenues from funding councils (</w:t>
      </w:r>
      <w:r w:rsidR="0034465D">
        <w:rPr>
          <w:rFonts w:asciiTheme="majorBidi" w:hAnsiTheme="majorBidi" w:cstheme="majorBidi"/>
          <w:i/>
          <w:iCs/>
          <w:sz w:val="24"/>
          <w:szCs w:val="24"/>
        </w:rPr>
        <w:t>CFUND</w:t>
      </w:r>
      <w:r w:rsidRPr="00511F36">
        <w:rPr>
          <w:rFonts w:asciiTheme="majorBidi" w:hAnsiTheme="majorBidi" w:cstheme="majorBidi"/>
          <w:sz w:val="24"/>
          <w:szCs w:val="24"/>
        </w:rPr>
        <w:t>), dummy for post-1992 (</w:t>
      </w:r>
      <w:r w:rsidRPr="00511F36">
        <w:rPr>
          <w:rFonts w:asciiTheme="majorBidi" w:hAnsiTheme="majorBidi" w:cstheme="majorBidi"/>
          <w:i/>
          <w:iCs/>
          <w:sz w:val="24"/>
          <w:szCs w:val="24"/>
        </w:rPr>
        <w:t>P</w:t>
      </w:r>
      <w:r w:rsidR="0034465D">
        <w:rPr>
          <w:rFonts w:asciiTheme="majorBidi" w:hAnsiTheme="majorBidi" w:cstheme="majorBidi"/>
          <w:i/>
          <w:iCs/>
          <w:sz w:val="24"/>
          <w:szCs w:val="24"/>
        </w:rPr>
        <w:t>ST</w:t>
      </w:r>
      <w:r w:rsidRPr="00511F36">
        <w:rPr>
          <w:rFonts w:asciiTheme="majorBidi" w:hAnsiTheme="majorBidi" w:cstheme="majorBidi"/>
          <w:i/>
          <w:iCs/>
          <w:sz w:val="24"/>
          <w:szCs w:val="24"/>
        </w:rPr>
        <w:t>92</w:t>
      </w:r>
      <w:r w:rsidRPr="00511F36">
        <w:rPr>
          <w:rFonts w:asciiTheme="majorBidi" w:hAnsiTheme="majorBidi" w:cstheme="majorBidi"/>
          <w:sz w:val="24"/>
          <w:szCs w:val="24"/>
        </w:rPr>
        <w:t>), Russell group dummy (</w:t>
      </w:r>
      <w:r w:rsidRPr="00511F36">
        <w:rPr>
          <w:rFonts w:asciiTheme="majorBidi" w:hAnsiTheme="majorBidi" w:cstheme="majorBidi"/>
          <w:i/>
          <w:iCs/>
          <w:sz w:val="24"/>
          <w:szCs w:val="24"/>
        </w:rPr>
        <w:t>R</w:t>
      </w:r>
      <w:r w:rsidR="0034465D">
        <w:rPr>
          <w:rFonts w:asciiTheme="majorBidi" w:hAnsiTheme="majorBidi" w:cstheme="majorBidi"/>
          <w:i/>
          <w:iCs/>
          <w:sz w:val="24"/>
          <w:szCs w:val="24"/>
        </w:rPr>
        <w:t>US</w:t>
      </w:r>
      <w:r w:rsidRPr="00511F36">
        <w:rPr>
          <w:rFonts w:asciiTheme="majorBidi" w:hAnsiTheme="majorBidi" w:cstheme="majorBidi"/>
          <w:i/>
          <w:iCs/>
          <w:sz w:val="24"/>
          <w:szCs w:val="24"/>
        </w:rPr>
        <w:t>G</w:t>
      </w:r>
      <w:r w:rsidRPr="00511F36">
        <w:rPr>
          <w:rFonts w:asciiTheme="majorBidi" w:hAnsiTheme="majorBidi" w:cstheme="majorBidi"/>
          <w:sz w:val="24"/>
          <w:szCs w:val="24"/>
        </w:rPr>
        <w:t>), liquidity (</w:t>
      </w:r>
      <w:r w:rsidRPr="00511F36">
        <w:rPr>
          <w:rFonts w:asciiTheme="majorBidi" w:hAnsiTheme="majorBidi" w:cstheme="majorBidi"/>
          <w:i/>
          <w:iCs/>
          <w:sz w:val="24"/>
          <w:szCs w:val="24"/>
        </w:rPr>
        <w:t>LQ</w:t>
      </w:r>
      <w:r w:rsidR="0034465D">
        <w:rPr>
          <w:rFonts w:asciiTheme="majorBidi" w:hAnsiTheme="majorBidi" w:cstheme="majorBidi"/>
          <w:i/>
          <w:iCs/>
          <w:sz w:val="24"/>
          <w:szCs w:val="24"/>
        </w:rPr>
        <w:t>UD</w:t>
      </w:r>
      <w:r w:rsidRPr="00511F36">
        <w:rPr>
          <w:rFonts w:asciiTheme="majorBidi" w:hAnsiTheme="majorBidi" w:cstheme="majorBidi"/>
          <w:sz w:val="24"/>
          <w:szCs w:val="24"/>
        </w:rPr>
        <w:t>), capital expenditure (</w:t>
      </w:r>
      <w:r w:rsidRPr="00511F36">
        <w:rPr>
          <w:rFonts w:asciiTheme="majorBidi" w:hAnsiTheme="majorBidi" w:cstheme="majorBidi"/>
          <w:i/>
          <w:iCs/>
          <w:sz w:val="24"/>
          <w:szCs w:val="24"/>
        </w:rPr>
        <w:t>C</w:t>
      </w:r>
      <w:r w:rsidR="0034465D">
        <w:rPr>
          <w:rFonts w:asciiTheme="majorBidi" w:hAnsiTheme="majorBidi" w:cstheme="majorBidi"/>
          <w:i/>
          <w:iCs/>
          <w:sz w:val="24"/>
          <w:szCs w:val="24"/>
        </w:rPr>
        <w:t>PE</w:t>
      </w:r>
      <w:r w:rsidRPr="00511F36">
        <w:rPr>
          <w:rFonts w:asciiTheme="majorBidi" w:hAnsiTheme="majorBidi" w:cstheme="majorBidi"/>
          <w:i/>
          <w:iCs/>
          <w:sz w:val="24"/>
          <w:szCs w:val="24"/>
        </w:rPr>
        <w:t>X</w:t>
      </w:r>
      <w:r w:rsidRPr="00511F36">
        <w:rPr>
          <w:rFonts w:asciiTheme="majorBidi" w:hAnsiTheme="majorBidi" w:cstheme="majorBidi"/>
          <w:sz w:val="24"/>
          <w:szCs w:val="24"/>
        </w:rPr>
        <w:t>), leverage (</w:t>
      </w:r>
      <w:r w:rsidRPr="00511F36">
        <w:rPr>
          <w:rFonts w:asciiTheme="majorBidi" w:hAnsiTheme="majorBidi" w:cstheme="majorBidi"/>
          <w:i/>
          <w:iCs/>
          <w:sz w:val="24"/>
          <w:szCs w:val="24"/>
        </w:rPr>
        <w:t>L</w:t>
      </w:r>
      <w:r w:rsidR="0034465D">
        <w:rPr>
          <w:rFonts w:asciiTheme="majorBidi" w:hAnsiTheme="majorBidi" w:cstheme="majorBidi"/>
          <w:i/>
          <w:iCs/>
          <w:sz w:val="24"/>
          <w:szCs w:val="24"/>
        </w:rPr>
        <w:t>E</w:t>
      </w:r>
      <w:r w:rsidRPr="00511F36">
        <w:rPr>
          <w:rFonts w:asciiTheme="majorBidi" w:hAnsiTheme="majorBidi" w:cstheme="majorBidi"/>
          <w:i/>
          <w:iCs/>
          <w:sz w:val="24"/>
          <w:szCs w:val="24"/>
        </w:rPr>
        <w:t>V</w:t>
      </w:r>
      <w:r w:rsidR="0034465D">
        <w:rPr>
          <w:rFonts w:asciiTheme="majorBidi" w:hAnsiTheme="majorBidi" w:cstheme="majorBidi"/>
          <w:i/>
          <w:iCs/>
          <w:sz w:val="24"/>
          <w:szCs w:val="24"/>
        </w:rPr>
        <w:t>R</w:t>
      </w:r>
      <w:r w:rsidRPr="00511F36">
        <w:rPr>
          <w:rFonts w:asciiTheme="majorBidi" w:hAnsiTheme="majorBidi" w:cstheme="majorBidi"/>
          <w:sz w:val="24"/>
          <w:szCs w:val="24"/>
        </w:rPr>
        <w:t>), growth (</w:t>
      </w:r>
      <w:r w:rsidRPr="00511F36">
        <w:rPr>
          <w:rFonts w:asciiTheme="majorBidi" w:hAnsiTheme="majorBidi" w:cstheme="majorBidi"/>
          <w:i/>
          <w:iCs/>
          <w:sz w:val="24"/>
          <w:szCs w:val="24"/>
        </w:rPr>
        <w:t>GR</w:t>
      </w:r>
      <w:r w:rsidR="0034465D">
        <w:rPr>
          <w:rFonts w:asciiTheme="majorBidi" w:hAnsiTheme="majorBidi" w:cstheme="majorBidi"/>
          <w:i/>
          <w:iCs/>
          <w:sz w:val="24"/>
          <w:szCs w:val="24"/>
        </w:rPr>
        <w:t>TH</w:t>
      </w:r>
      <w:r w:rsidRPr="00511F36">
        <w:rPr>
          <w:rFonts w:asciiTheme="majorBidi" w:hAnsiTheme="majorBidi" w:cstheme="majorBidi"/>
          <w:sz w:val="24"/>
          <w:szCs w:val="24"/>
        </w:rPr>
        <w:t>) and financial risk (</w:t>
      </w:r>
      <w:r w:rsidRPr="00511F36">
        <w:rPr>
          <w:rFonts w:asciiTheme="majorBidi" w:hAnsiTheme="majorBidi" w:cstheme="majorBidi"/>
          <w:i/>
          <w:iCs/>
          <w:sz w:val="24"/>
          <w:szCs w:val="24"/>
        </w:rPr>
        <w:t>R</w:t>
      </w:r>
      <w:r w:rsidR="0034465D">
        <w:rPr>
          <w:rFonts w:asciiTheme="majorBidi" w:hAnsiTheme="majorBidi" w:cstheme="majorBidi"/>
          <w:i/>
          <w:iCs/>
          <w:sz w:val="24"/>
          <w:szCs w:val="24"/>
        </w:rPr>
        <w:t>IS</w:t>
      </w:r>
      <w:r w:rsidRPr="00511F36">
        <w:rPr>
          <w:rFonts w:asciiTheme="majorBidi" w:hAnsiTheme="majorBidi" w:cstheme="majorBidi"/>
          <w:i/>
          <w:iCs/>
          <w:sz w:val="24"/>
          <w:szCs w:val="24"/>
        </w:rPr>
        <w:t>K</w:t>
      </w:r>
      <w:r w:rsidRPr="00511F36">
        <w:rPr>
          <w:rFonts w:asciiTheme="majorBidi" w:hAnsiTheme="majorBidi" w:cstheme="majorBidi"/>
          <w:sz w:val="24"/>
          <w:szCs w:val="24"/>
        </w:rPr>
        <w:t xml:space="preserve">). </w:t>
      </w:r>
      <w:r w:rsidR="007358B5">
        <w:rPr>
          <w:rFonts w:asciiTheme="majorBidi" w:hAnsiTheme="majorBidi" w:cstheme="majorBidi"/>
          <w:sz w:val="24"/>
          <w:szCs w:val="24"/>
        </w:rPr>
        <w:t xml:space="preserve">In the </w:t>
      </w:r>
      <w:r w:rsidR="00EB6CC9">
        <w:rPr>
          <w:rFonts w:asciiTheme="majorBidi" w:hAnsiTheme="majorBidi" w:cstheme="majorBidi"/>
          <w:sz w:val="24"/>
          <w:szCs w:val="24"/>
        </w:rPr>
        <w:t xml:space="preserve">following </w:t>
      </w:r>
      <w:r w:rsidR="007358B5">
        <w:rPr>
          <w:rFonts w:asciiTheme="majorBidi" w:hAnsiTheme="majorBidi" w:cstheme="majorBidi"/>
          <w:sz w:val="24"/>
          <w:szCs w:val="24"/>
        </w:rPr>
        <w:t xml:space="preserve">section, we present and discuss the empirical </w:t>
      </w:r>
      <w:r w:rsidR="00EB6CC9">
        <w:rPr>
          <w:rFonts w:asciiTheme="majorBidi" w:hAnsiTheme="majorBidi" w:cstheme="majorBidi"/>
          <w:sz w:val="24"/>
          <w:szCs w:val="24"/>
        </w:rPr>
        <w:t xml:space="preserve">findings </w:t>
      </w:r>
      <w:r w:rsidR="007358B5">
        <w:rPr>
          <w:rFonts w:asciiTheme="majorBidi" w:hAnsiTheme="majorBidi" w:cstheme="majorBidi"/>
          <w:sz w:val="24"/>
          <w:szCs w:val="24"/>
        </w:rPr>
        <w:t>relating to this paper.</w:t>
      </w:r>
    </w:p>
    <w:p w14:paraId="415C1D9B" w14:textId="428C9671" w:rsidR="005B5878" w:rsidRPr="002E541E" w:rsidRDefault="002E541E" w:rsidP="00EB6CC9">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  </w:t>
      </w:r>
      <w:r w:rsidR="00EB6CC9">
        <w:rPr>
          <w:rFonts w:asciiTheme="majorBidi" w:hAnsiTheme="majorBidi" w:cstheme="majorBidi"/>
          <w:b/>
          <w:bCs/>
          <w:sz w:val="24"/>
          <w:szCs w:val="24"/>
        </w:rPr>
        <w:t>Findings</w:t>
      </w:r>
      <w:r w:rsidR="00FA1117" w:rsidRPr="002E541E">
        <w:rPr>
          <w:rFonts w:asciiTheme="majorBidi" w:hAnsiTheme="majorBidi" w:cstheme="majorBidi"/>
          <w:b/>
          <w:bCs/>
          <w:sz w:val="24"/>
          <w:szCs w:val="24"/>
        </w:rPr>
        <w:t xml:space="preserve"> and discussion</w:t>
      </w:r>
    </w:p>
    <w:p w14:paraId="47C1EDE6" w14:textId="37B523FE" w:rsidR="00FA1117" w:rsidRPr="002A74B0" w:rsidRDefault="002A74B0" w:rsidP="00EB6CC9">
      <w:pPr>
        <w:spacing w:line="480" w:lineRule="auto"/>
        <w:jc w:val="both"/>
        <w:rPr>
          <w:rFonts w:asciiTheme="majorBidi" w:hAnsiTheme="majorBidi" w:cstheme="majorBidi"/>
          <w:b/>
          <w:i/>
          <w:iCs/>
          <w:sz w:val="24"/>
          <w:szCs w:val="24"/>
        </w:rPr>
      </w:pPr>
      <w:r w:rsidRPr="002A74B0">
        <w:rPr>
          <w:rFonts w:asciiTheme="majorBidi" w:hAnsiTheme="majorBidi" w:cstheme="majorBidi"/>
          <w:b/>
          <w:i/>
          <w:iCs/>
          <w:sz w:val="24"/>
          <w:szCs w:val="24"/>
        </w:rPr>
        <w:t xml:space="preserve">4.1 </w:t>
      </w:r>
      <w:r w:rsidR="00FA1117" w:rsidRPr="002A74B0">
        <w:rPr>
          <w:rFonts w:asciiTheme="majorBidi" w:hAnsiTheme="majorBidi" w:cstheme="majorBidi"/>
          <w:b/>
          <w:i/>
          <w:iCs/>
          <w:sz w:val="24"/>
          <w:szCs w:val="24"/>
        </w:rPr>
        <w:t>Summary descriptive</w:t>
      </w:r>
      <w:r w:rsidR="00057A08">
        <w:rPr>
          <w:rFonts w:asciiTheme="majorBidi" w:hAnsiTheme="majorBidi" w:cstheme="majorBidi"/>
          <w:b/>
          <w:i/>
          <w:iCs/>
          <w:sz w:val="24"/>
          <w:szCs w:val="24"/>
        </w:rPr>
        <w:t xml:space="preserve"> statistics</w:t>
      </w:r>
      <w:r w:rsidR="00FA1117" w:rsidRPr="002A74B0">
        <w:rPr>
          <w:rFonts w:asciiTheme="majorBidi" w:hAnsiTheme="majorBidi" w:cstheme="majorBidi"/>
          <w:b/>
          <w:i/>
          <w:iCs/>
          <w:sz w:val="24"/>
          <w:szCs w:val="24"/>
        </w:rPr>
        <w:t xml:space="preserve">, </w:t>
      </w:r>
      <w:r w:rsidR="00782BB3">
        <w:rPr>
          <w:rFonts w:asciiTheme="majorBidi" w:hAnsiTheme="majorBidi" w:cstheme="majorBidi"/>
          <w:b/>
          <w:i/>
          <w:iCs/>
          <w:sz w:val="24"/>
          <w:szCs w:val="24"/>
        </w:rPr>
        <w:t>univariate</w:t>
      </w:r>
      <w:r w:rsidR="00EB6CC9" w:rsidRPr="002A74B0">
        <w:rPr>
          <w:rFonts w:asciiTheme="majorBidi" w:hAnsiTheme="majorBidi" w:cstheme="majorBidi"/>
          <w:b/>
          <w:i/>
          <w:iCs/>
          <w:sz w:val="24"/>
          <w:szCs w:val="24"/>
        </w:rPr>
        <w:t xml:space="preserve"> </w:t>
      </w:r>
      <w:r w:rsidR="00FA1117" w:rsidRPr="002A74B0">
        <w:rPr>
          <w:rFonts w:asciiTheme="majorBidi" w:hAnsiTheme="majorBidi" w:cstheme="majorBidi"/>
          <w:b/>
          <w:i/>
          <w:iCs/>
          <w:sz w:val="24"/>
          <w:szCs w:val="24"/>
        </w:rPr>
        <w:t xml:space="preserve">and </w:t>
      </w:r>
      <w:r w:rsidR="00782BB3">
        <w:rPr>
          <w:rFonts w:asciiTheme="majorBidi" w:hAnsiTheme="majorBidi" w:cstheme="majorBidi"/>
          <w:b/>
          <w:i/>
          <w:iCs/>
          <w:sz w:val="24"/>
          <w:szCs w:val="24"/>
        </w:rPr>
        <w:t>bivariate</w:t>
      </w:r>
      <w:r w:rsidR="00FA1117" w:rsidRPr="002A74B0">
        <w:rPr>
          <w:rFonts w:asciiTheme="majorBidi" w:hAnsiTheme="majorBidi" w:cstheme="majorBidi"/>
          <w:b/>
          <w:i/>
          <w:iCs/>
          <w:sz w:val="24"/>
          <w:szCs w:val="24"/>
        </w:rPr>
        <w:t xml:space="preserve"> </w:t>
      </w:r>
      <w:r w:rsidR="00057A08">
        <w:rPr>
          <w:rFonts w:asciiTheme="majorBidi" w:hAnsiTheme="majorBidi" w:cstheme="majorBidi"/>
          <w:b/>
          <w:i/>
          <w:iCs/>
          <w:sz w:val="24"/>
          <w:szCs w:val="24"/>
        </w:rPr>
        <w:t>analyses</w:t>
      </w:r>
    </w:p>
    <w:p w14:paraId="75D070E9" w14:textId="3D71E6E7" w:rsidR="00690CE7" w:rsidRPr="00511F36" w:rsidRDefault="007358B5" w:rsidP="00C63EF2">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 xml:space="preserve">Table </w:t>
      </w:r>
      <w:r w:rsidR="001043BC">
        <w:rPr>
          <w:rFonts w:asciiTheme="majorBidi" w:hAnsiTheme="majorBidi" w:cstheme="majorBidi"/>
          <w:sz w:val="24"/>
          <w:szCs w:val="24"/>
        </w:rPr>
        <w:t>3</w:t>
      </w:r>
      <w:r>
        <w:rPr>
          <w:rFonts w:asciiTheme="majorBidi" w:hAnsiTheme="majorBidi" w:cstheme="majorBidi"/>
          <w:sz w:val="24"/>
          <w:szCs w:val="24"/>
        </w:rPr>
        <w:t xml:space="preserve"> and </w:t>
      </w:r>
      <w:r w:rsidR="001043BC">
        <w:rPr>
          <w:rFonts w:asciiTheme="majorBidi" w:hAnsiTheme="majorBidi" w:cstheme="majorBidi"/>
          <w:sz w:val="24"/>
          <w:szCs w:val="24"/>
        </w:rPr>
        <w:t>4</w:t>
      </w:r>
      <w:r>
        <w:rPr>
          <w:rFonts w:asciiTheme="majorBidi" w:hAnsiTheme="majorBidi" w:cstheme="majorBidi"/>
          <w:sz w:val="24"/>
          <w:szCs w:val="24"/>
        </w:rPr>
        <w:t xml:space="preserve"> </w:t>
      </w:r>
      <w:r w:rsidR="004B5D9D">
        <w:rPr>
          <w:rFonts w:asciiTheme="majorBidi" w:hAnsiTheme="majorBidi" w:cstheme="majorBidi"/>
          <w:sz w:val="24"/>
          <w:szCs w:val="24"/>
        </w:rPr>
        <w:t xml:space="preserve">outline </w:t>
      </w:r>
      <w:r>
        <w:rPr>
          <w:rFonts w:asciiTheme="majorBidi" w:hAnsiTheme="majorBidi" w:cstheme="majorBidi"/>
          <w:sz w:val="24"/>
          <w:szCs w:val="24"/>
        </w:rPr>
        <w:t xml:space="preserve">descriptive statistics for our research variables.  The statistics from </w:t>
      </w:r>
      <w:r w:rsidR="005035D3" w:rsidRPr="00511F36">
        <w:rPr>
          <w:rFonts w:asciiTheme="majorBidi" w:hAnsiTheme="majorBidi" w:cstheme="majorBidi"/>
          <w:sz w:val="24"/>
          <w:szCs w:val="24"/>
        </w:rPr>
        <w:t xml:space="preserve">Table </w:t>
      </w:r>
      <w:r w:rsidR="001043BC">
        <w:rPr>
          <w:rFonts w:asciiTheme="majorBidi" w:hAnsiTheme="majorBidi" w:cstheme="majorBidi"/>
          <w:sz w:val="24"/>
          <w:szCs w:val="24"/>
        </w:rPr>
        <w:t>3</w:t>
      </w:r>
      <w:r w:rsidR="005035D3" w:rsidRPr="00511F36">
        <w:rPr>
          <w:rFonts w:asciiTheme="majorBidi" w:hAnsiTheme="majorBidi" w:cstheme="majorBidi"/>
          <w:sz w:val="24"/>
          <w:szCs w:val="24"/>
        </w:rPr>
        <w:t xml:space="preserve"> indicate that </w:t>
      </w:r>
      <w:r w:rsidR="00540660" w:rsidRPr="00511F36">
        <w:rPr>
          <w:rFonts w:asciiTheme="majorBidi" w:hAnsiTheme="majorBidi" w:cstheme="majorBidi"/>
          <w:sz w:val="24"/>
          <w:szCs w:val="24"/>
        </w:rPr>
        <w:t xml:space="preserve">the levels of governance disclosures vary substantially </w:t>
      </w:r>
      <w:r w:rsidR="00410817" w:rsidRPr="00511F36">
        <w:rPr>
          <w:rFonts w:asciiTheme="majorBidi" w:hAnsiTheme="majorBidi" w:cstheme="majorBidi"/>
          <w:sz w:val="24"/>
          <w:szCs w:val="24"/>
        </w:rPr>
        <w:t>among all 117 UK HEIs. However, the disclosure levels</w:t>
      </w:r>
      <w:r w:rsidR="003E537E" w:rsidRPr="00511F36">
        <w:rPr>
          <w:rFonts w:asciiTheme="majorBidi" w:hAnsiTheme="majorBidi" w:cstheme="majorBidi"/>
          <w:sz w:val="24"/>
          <w:szCs w:val="24"/>
        </w:rPr>
        <w:t xml:space="preserve"> are relatively low, </w:t>
      </w:r>
      <w:r w:rsidR="007C438C">
        <w:rPr>
          <w:rFonts w:asciiTheme="majorBidi" w:hAnsiTheme="majorBidi" w:cstheme="majorBidi"/>
          <w:sz w:val="24"/>
          <w:szCs w:val="24"/>
        </w:rPr>
        <w:t>which is consistent with the findings of past studies that examined general disclosure practices among HEIs (</w:t>
      </w:r>
      <w:r w:rsidR="00787F2D">
        <w:rPr>
          <w:rFonts w:asciiTheme="majorBidi" w:hAnsiTheme="majorBidi" w:cstheme="majorBidi"/>
          <w:sz w:val="24"/>
          <w:szCs w:val="24"/>
        </w:rPr>
        <w:t xml:space="preserve">Banks &amp; Nelson, 1994; </w:t>
      </w:r>
      <w:r w:rsidR="00787F2D" w:rsidRPr="00787F2D">
        <w:rPr>
          <w:rFonts w:asciiTheme="majorBidi" w:hAnsiTheme="majorBidi" w:cstheme="majorBidi"/>
          <w:sz w:val="24"/>
          <w:szCs w:val="24"/>
        </w:rPr>
        <w:t>Dixon</w:t>
      </w:r>
      <w:r w:rsidR="00787F2D">
        <w:rPr>
          <w:rFonts w:asciiTheme="majorBidi" w:hAnsiTheme="majorBidi" w:cstheme="majorBidi"/>
          <w:sz w:val="24"/>
          <w:szCs w:val="24"/>
        </w:rPr>
        <w:t xml:space="preserve"> et al., 1991; </w:t>
      </w:r>
      <w:r w:rsidR="007C438C">
        <w:rPr>
          <w:rFonts w:asciiTheme="majorBidi" w:hAnsiTheme="majorBidi" w:cstheme="majorBidi"/>
          <w:sz w:val="24"/>
          <w:szCs w:val="24"/>
        </w:rPr>
        <w:t>Fischer et al., 2010; Ntim et al.,</w:t>
      </w:r>
      <w:r w:rsidR="0001127F">
        <w:rPr>
          <w:rFonts w:asciiTheme="majorBidi" w:hAnsiTheme="majorBidi" w:cstheme="majorBidi"/>
          <w:sz w:val="24"/>
          <w:szCs w:val="24"/>
        </w:rPr>
        <w:t xml:space="preserve"> 2017</w:t>
      </w:r>
      <w:r w:rsidR="007C438C">
        <w:rPr>
          <w:rFonts w:asciiTheme="majorBidi" w:hAnsiTheme="majorBidi" w:cstheme="majorBidi"/>
          <w:sz w:val="24"/>
          <w:szCs w:val="24"/>
        </w:rPr>
        <w:t xml:space="preserve">). </w:t>
      </w:r>
      <w:r w:rsidR="00526FA9" w:rsidRPr="00511F36">
        <w:rPr>
          <w:rFonts w:asciiTheme="majorBidi" w:hAnsiTheme="majorBidi" w:cstheme="majorBidi"/>
          <w:sz w:val="24"/>
          <w:szCs w:val="24"/>
        </w:rPr>
        <w:t xml:space="preserve">More precisely, Panel 1 of Table </w:t>
      </w:r>
      <w:r w:rsidR="001043BC">
        <w:rPr>
          <w:rFonts w:asciiTheme="majorBidi" w:hAnsiTheme="majorBidi" w:cstheme="majorBidi"/>
          <w:sz w:val="24"/>
          <w:szCs w:val="24"/>
        </w:rPr>
        <w:t>3</w:t>
      </w:r>
      <w:r w:rsidR="00526FA9" w:rsidRPr="00511F36">
        <w:rPr>
          <w:rFonts w:asciiTheme="majorBidi" w:hAnsiTheme="majorBidi" w:cstheme="majorBidi"/>
          <w:sz w:val="24"/>
          <w:szCs w:val="24"/>
        </w:rPr>
        <w:t xml:space="preserve"> </w:t>
      </w:r>
      <w:r w:rsidR="00526FA9" w:rsidRPr="00511F36">
        <w:rPr>
          <w:rFonts w:asciiTheme="majorBidi" w:hAnsiTheme="majorBidi" w:cstheme="majorBidi"/>
          <w:sz w:val="24"/>
          <w:szCs w:val="24"/>
        </w:rPr>
        <w:lastRenderedPageBreak/>
        <w:t xml:space="preserve">suggests that </w:t>
      </w:r>
      <w:r w:rsidR="00F70928" w:rsidRPr="00511F36">
        <w:rPr>
          <w:rFonts w:asciiTheme="majorBidi" w:hAnsiTheme="majorBidi" w:cstheme="majorBidi"/>
          <w:sz w:val="24"/>
          <w:szCs w:val="24"/>
        </w:rPr>
        <w:t xml:space="preserve">the </w:t>
      </w:r>
      <w:r w:rsidR="00F70928" w:rsidRPr="00511F36">
        <w:rPr>
          <w:rFonts w:asciiTheme="majorBidi" w:hAnsiTheme="majorBidi" w:cstheme="majorBidi"/>
          <w:i/>
          <w:iCs/>
          <w:sz w:val="24"/>
          <w:szCs w:val="24"/>
        </w:rPr>
        <w:t xml:space="preserve">HEGI </w:t>
      </w:r>
      <w:r w:rsidR="00F70928" w:rsidRPr="00511F36">
        <w:rPr>
          <w:rFonts w:asciiTheme="majorBidi" w:hAnsiTheme="majorBidi" w:cstheme="majorBidi"/>
          <w:sz w:val="24"/>
          <w:szCs w:val="24"/>
        </w:rPr>
        <w:t>score</w:t>
      </w:r>
      <w:r w:rsidR="00F70928" w:rsidRPr="00511F36">
        <w:rPr>
          <w:rFonts w:asciiTheme="majorBidi" w:hAnsiTheme="majorBidi" w:cstheme="majorBidi"/>
          <w:i/>
          <w:iCs/>
          <w:sz w:val="24"/>
          <w:szCs w:val="24"/>
        </w:rPr>
        <w:t xml:space="preserve"> </w:t>
      </w:r>
      <w:r w:rsidR="00F70928" w:rsidRPr="00511F36">
        <w:rPr>
          <w:rFonts w:asciiTheme="majorBidi" w:hAnsiTheme="majorBidi" w:cstheme="majorBidi"/>
          <w:sz w:val="24"/>
          <w:szCs w:val="24"/>
        </w:rPr>
        <w:t xml:space="preserve">ranges </w:t>
      </w:r>
      <w:r w:rsidR="00F30C6A">
        <w:rPr>
          <w:rFonts w:asciiTheme="majorBidi" w:hAnsiTheme="majorBidi" w:cstheme="majorBidi"/>
          <w:sz w:val="24"/>
          <w:szCs w:val="24"/>
        </w:rPr>
        <w:t>between</w:t>
      </w:r>
      <w:r w:rsidR="00F30C6A" w:rsidRPr="00511F36">
        <w:rPr>
          <w:rFonts w:asciiTheme="majorBidi" w:hAnsiTheme="majorBidi" w:cstheme="majorBidi"/>
          <w:sz w:val="24"/>
          <w:szCs w:val="24"/>
        </w:rPr>
        <w:t xml:space="preserve"> </w:t>
      </w:r>
      <w:r w:rsidR="00F70928" w:rsidRPr="00511F36">
        <w:rPr>
          <w:rFonts w:asciiTheme="majorBidi" w:hAnsiTheme="majorBidi" w:cstheme="majorBidi"/>
          <w:sz w:val="24"/>
          <w:szCs w:val="24"/>
        </w:rPr>
        <w:t xml:space="preserve">8% </w:t>
      </w:r>
      <w:r w:rsidR="00F30C6A">
        <w:rPr>
          <w:rFonts w:asciiTheme="majorBidi" w:hAnsiTheme="majorBidi" w:cstheme="majorBidi"/>
          <w:sz w:val="24"/>
          <w:szCs w:val="24"/>
        </w:rPr>
        <w:t>and</w:t>
      </w:r>
      <w:r w:rsidR="00D96EA4">
        <w:rPr>
          <w:rFonts w:asciiTheme="majorBidi" w:hAnsiTheme="majorBidi" w:cstheme="majorBidi"/>
          <w:sz w:val="24"/>
          <w:szCs w:val="24"/>
        </w:rPr>
        <w:t xml:space="preserve"> </w:t>
      </w:r>
      <w:r w:rsidR="00F70928" w:rsidRPr="00511F36">
        <w:rPr>
          <w:rFonts w:asciiTheme="majorBidi" w:hAnsiTheme="majorBidi" w:cstheme="majorBidi"/>
          <w:sz w:val="24"/>
          <w:szCs w:val="24"/>
        </w:rPr>
        <w:t xml:space="preserve">75% with </w:t>
      </w:r>
      <w:r w:rsidR="00F30C6A">
        <w:rPr>
          <w:rFonts w:asciiTheme="majorBidi" w:hAnsiTheme="majorBidi" w:cstheme="majorBidi"/>
          <w:sz w:val="24"/>
          <w:szCs w:val="24"/>
        </w:rPr>
        <w:t>an</w:t>
      </w:r>
      <w:r w:rsidR="00F30C6A" w:rsidRPr="00511F36">
        <w:rPr>
          <w:rFonts w:asciiTheme="majorBidi" w:hAnsiTheme="majorBidi" w:cstheme="majorBidi"/>
          <w:sz w:val="24"/>
          <w:szCs w:val="24"/>
        </w:rPr>
        <w:t xml:space="preserve"> </w:t>
      </w:r>
      <w:r w:rsidR="00F70928" w:rsidRPr="00511F36">
        <w:rPr>
          <w:rFonts w:asciiTheme="majorBidi" w:hAnsiTheme="majorBidi" w:cstheme="majorBidi"/>
          <w:sz w:val="24"/>
          <w:szCs w:val="24"/>
        </w:rPr>
        <w:t xml:space="preserve">average (median) </w:t>
      </w:r>
      <w:r w:rsidR="00F30C6A">
        <w:rPr>
          <w:rFonts w:asciiTheme="majorBidi" w:hAnsiTheme="majorBidi" w:cstheme="majorBidi"/>
          <w:sz w:val="24"/>
          <w:szCs w:val="24"/>
        </w:rPr>
        <w:t xml:space="preserve">of </w:t>
      </w:r>
      <w:r w:rsidR="00526FA9" w:rsidRPr="00511F36">
        <w:rPr>
          <w:rFonts w:asciiTheme="majorBidi" w:hAnsiTheme="majorBidi" w:cstheme="majorBidi"/>
          <w:sz w:val="24"/>
          <w:szCs w:val="24"/>
        </w:rPr>
        <w:t>40.02% (</w:t>
      </w:r>
      <w:r w:rsidR="00F70928" w:rsidRPr="00511F36">
        <w:rPr>
          <w:rFonts w:asciiTheme="majorBidi" w:hAnsiTheme="majorBidi" w:cstheme="majorBidi"/>
          <w:sz w:val="24"/>
          <w:szCs w:val="24"/>
        </w:rPr>
        <w:t>40.00%) of</w:t>
      </w:r>
      <w:r w:rsidR="00F30C6A">
        <w:rPr>
          <w:rFonts w:asciiTheme="majorBidi" w:hAnsiTheme="majorBidi" w:cstheme="majorBidi"/>
          <w:sz w:val="24"/>
          <w:szCs w:val="24"/>
        </w:rPr>
        <w:t xml:space="preserve"> HEIs in UK comply</w:t>
      </w:r>
      <w:r w:rsidR="00ED1805">
        <w:rPr>
          <w:rFonts w:asciiTheme="majorBidi" w:hAnsiTheme="majorBidi" w:cstheme="majorBidi"/>
          <w:sz w:val="24"/>
          <w:szCs w:val="24"/>
        </w:rPr>
        <w:t>ing</w:t>
      </w:r>
      <w:r w:rsidR="00F30C6A">
        <w:rPr>
          <w:rFonts w:asciiTheme="majorBidi" w:hAnsiTheme="majorBidi" w:cstheme="majorBidi"/>
          <w:sz w:val="24"/>
          <w:szCs w:val="24"/>
        </w:rPr>
        <w:t xml:space="preserve"> with</w:t>
      </w:r>
      <w:r w:rsidR="00F70928" w:rsidRPr="00511F36">
        <w:rPr>
          <w:rFonts w:asciiTheme="majorBidi" w:hAnsiTheme="majorBidi" w:cstheme="majorBidi"/>
          <w:sz w:val="24"/>
          <w:szCs w:val="24"/>
        </w:rPr>
        <w:t xml:space="preserve"> the 100 best governance </w:t>
      </w:r>
      <w:r w:rsidR="009229AE" w:rsidRPr="00511F36">
        <w:rPr>
          <w:rFonts w:asciiTheme="majorBidi" w:hAnsiTheme="majorBidi" w:cstheme="majorBidi"/>
          <w:sz w:val="24"/>
          <w:szCs w:val="24"/>
        </w:rPr>
        <w:t>recommendations</w:t>
      </w:r>
      <w:r w:rsidR="008F1445" w:rsidRPr="00511F36">
        <w:rPr>
          <w:rFonts w:asciiTheme="majorBidi" w:hAnsiTheme="majorBidi" w:cstheme="majorBidi"/>
          <w:sz w:val="24"/>
          <w:szCs w:val="24"/>
        </w:rPr>
        <w:t xml:space="preserve"> </w:t>
      </w:r>
      <w:r w:rsidR="00F70928" w:rsidRPr="00511F36">
        <w:rPr>
          <w:rFonts w:asciiTheme="majorBidi" w:hAnsiTheme="majorBidi" w:cstheme="majorBidi"/>
          <w:sz w:val="24"/>
          <w:szCs w:val="24"/>
        </w:rPr>
        <w:t xml:space="preserve">investigated. </w:t>
      </w:r>
      <w:r w:rsidR="00EE1818" w:rsidRPr="00511F36">
        <w:rPr>
          <w:rFonts w:asciiTheme="majorBidi" w:hAnsiTheme="majorBidi" w:cstheme="majorBidi"/>
          <w:sz w:val="24"/>
          <w:szCs w:val="24"/>
        </w:rPr>
        <w:t>In comparison and to contextual</w:t>
      </w:r>
      <w:r w:rsidR="00564A9A">
        <w:rPr>
          <w:rFonts w:asciiTheme="majorBidi" w:hAnsiTheme="majorBidi" w:cstheme="majorBidi"/>
          <w:sz w:val="24"/>
          <w:szCs w:val="24"/>
        </w:rPr>
        <w:t>ise</w:t>
      </w:r>
      <w:r w:rsidR="00EE1818" w:rsidRPr="00511F36">
        <w:rPr>
          <w:rFonts w:asciiTheme="majorBidi" w:hAnsiTheme="majorBidi" w:cstheme="majorBidi"/>
          <w:sz w:val="24"/>
          <w:szCs w:val="24"/>
        </w:rPr>
        <w:t xml:space="preserve"> the current finding</w:t>
      </w:r>
      <w:r w:rsidR="00D96EA4">
        <w:rPr>
          <w:rFonts w:asciiTheme="majorBidi" w:hAnsiTheme="majorBidi" w:cstheme="majorBidi"/>
          <w:sz w:val="24"/>
          <w:szCs w:val="24"/>
        </w:rPr>
        <w:t>s</w:t>
      </w:r>
      <w:r w:rsidR="00EE1818" w:rsidRPr="00511F36">
        <w:rPr>
          <w:rFonts w:asciiTheme="majorBidi" w:hAnsiTheme="majorBidi" w:cstheme="majorBidi"/>
          <w:sz w:val="24"/>
          <w:szCs w:val="24"/>
        </w:rPr>
        <w:t xml:space="preserve">, </w:t>
      </w:r>
      <w:r w:rsidR="003F56CE">
        <w:rPr>
          <w:rFonts w:asciiTheme="majorBidi" w:hAnsiTheme="majorBidi" w:cstheme="majorBidi"/>
          <w:sz w:val="24"/>
          <w:szCs w:val="24"/>
        </w:rPr>
        <w:t xml:space="preserve">Ntim et al. (2017) </w:t>
      </w:r>
      <w:r w:rsidR="0049107C" w:rsidRPr="00511F36">
        <w:rPr>
          <w:rFonts w:asciiTheme="majorBidi" w:hAnsiTheme="majorBidi" w:cstheme="majorBidi"/>
          <w:sz w:val="24"/>
          <w:szCs w:val="24"/>
        </w:rPr>
        <w:t>report</w:t>
      </w:r>
      <w:r w:rsidR="00C350C5">
        <w:rPr>
          <w:rFonts w:asciiTheme="majorBidi" w:hAnsiTheme="majorBidi" w:cstheme="majorBidi"/>
          <w:sz w:val="24"/>
          <w:szCs w:val="24"/>
        </w:rPr>
        <w:t xml:space="preserve"> that general disclosure score among 130 UK HEIs ranges between 78% and 15%, with a mean value of 44%.</w:t>
      </w:r>
    </w:p>
    <w:p w14:paraId="58888B1C" w14:textId="10A07571" w:rsidR="007A1F6D" w:rsidRPr="00511F36" w:rsidRDefault="00514C52" w:rsidP="00787F2D">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2A74B0">
        <w:rPr>
          <w:rFonts w:asciiTheme="majorBidi" w:hAnsiTheme="majorBidi" w:cstheme="majorBidi"/>
          <w:sz w:val="24"/>
          <w:szCs w:val="24"/>
        </w:rPr>
        <w:t xml:space="preserve">  </w:t>
      </w:r>
      <w:r w:rsidR="008813F3" w:rsidRPr="00511F36">
        <w:rPr>
          <w:rFonts w:asciiTheme="majorBidi" w:hAnsiTheme="majorBidi" w:cstheme="majorBidi"/>
          <w:sz w:val="24"/>
          <w:szCs w:val="24"/>
        </w:rPr>
        <w:t xml:space="preserve">Table </w:t>
      </w:r>
      <w:r w:rsidR="001043BC">
        <w:rPr>
          <w:rFonts w:asciiTheme="majorBidi" w:hAnsiTheme="majorBidi" w:cstheme="majorBidi"/>
          <w:sz w:val="24"/>
          <w:szCs w:val="24"/>
        </w:rPr>
        <w:t>3</w:t>
      </w:r>
      <w:r w:rsidR="008813F3" w:rsidRPr="00511F36">
        <w:rPr>
          <w:rFonts w:asciiTheme="majorBidi" w:hAnsiTheme="majorBidi" w:cstheme="majorBidi"/>
          <w:sz w:val="24"/>
          <w:szCs w:val="24"/>
        </w:rPr>
        <w:t xml:space="preserve"> </w:t>
      </w:r>
      <w:r w:rsidR="00690CE7" w:rsidRPr="00511F36">
        <w:rPr>
          <w:rFonts w:asciiTheme="majorBidi" w:hAnsiTheme="majorBidi" w:cstheme="majorBidi"/>
          <w:sz w:val="24"/>
          <w:szCs w:val="24"/>
        </w:rPr>
        <w:t xml:space="preserve">also </w:t>
      </w:r>
      <w:r w:rsidR="008813F3" w:rsidRPr="00511F36">
        <w:rPr>
          <w:rFonts w:asciiTheme="majorBidi" w:hAnsiTheme="majorBidi" w:cstheme="majorBidi"/>
          <w:sz w:val="24"/>
          <w:szCs w:val="24"/>
        </w:rPr>
        <w:t xml:space="preserve">shows that the levels of governance disclosures have increased over time and that is </w:t>
      </w:r>
      <w:r w:rsidR="00AB4573">
        <w:rPr>
          <w:rFonts w:asciiTheme="majorBidi" w:hAnsiTheme="majorBidi" w:cstheme="majorBidi"/>
          <w:sz w:val="24"/>
          <w:szCs w:val="24"/>
        </w:rPr>
        <w:t>similar to the findings of past</w:t>
      </w:r>
      <w:r w:rsidR="00787F2D">
        <w:rPr>
          <w:rFonts w:asciiTheme="majorBidi" w:hAnsiTheme="majorBidi" w:cstheme="majorBidi"/>
          <w:sz w:val="24"/>
          <w:szCs w:val="24"/>
        </w:rPr>
        <w:t xml:space="preserve"> HE</w:t>
      </w:r>
      <w:r w:rsidR="00AB4573">
        <w:rPr>
          <w:rFonts w:asciiTheme="majorBidi" w:hAnsiTheme="majorBidi" w:cstheme="majorBidi"/>
          <w:sz w:val="24"/>
          <w:szCs w:val="24"/>
        </w:rPr>
        <w:t xml:space="preserve"> disclosure studies </w:t>
      </w:r>
      <w:r w:rsidR="00787F2D">
        <w:rPr>
          <w:rFonts w:asciiTheme="majorBidi" w:hAnsiTheme="majorBidi" w:cstheme="majorBidi"/>
          <w:sz w:val="24"/>
          <w:szCs w:val="24"/>
        </w:rPr>
        <w:t xml:space="preserve">(Banks &amp; Nelson, 1994; </w:t>
      </w:r>
      <w:r w:rsidR="00787F2D" w:rsidRPr="00787F2D">
        <w:rPr>
          <w:rFonts w:asciiTheme="majorBidi" w:hAnsiTheme="majorBidi" w:cstheme="majorBidi"/>
          <w:sz w:val="24"/>
          <w:szCs w:val="24"/>
        </w:rPr>
        <w:t>Dixon</w:t>
      </w:r>
      <w:r w:rsidR="00787F2D">
        <w:rPr>
          <w:rFonts w:asciiTheme="majorBidi" w:hAnsiTheme="majorBidi" w:cstheme="majorBidi"/>
          <w:sz w:val="24"/>
          <w:szCs w:val="24"/>
        </w:rPr>
        <w:t xml:space="preserve"> et al., 1991</w:t>
      </w:r>
      <w:r w:rsidR="001D42DE">
        <w:rPr>
          <w:rFonts w:asciiTheme="majorBidi" w:hAnsiTheme="majorBidi" w:cstheme="majorBidi"/>
          <w:sz w:val="24"/>
          <w:szCs w:val="24"/>
        </w:rPr>
        <w:t xml:space="preserve">). </w:t>
      </w:r>
      <w:r w:rsidR="008813F3" w:rsidRPr="00511F36">
        <w:rPr>
          <w:rFonts w:asciiTheme="majorBidi" w:hAnsiTheme="majorBidi" w:cstheme="majorBidi"/>
          <w:sz w:val="24"/>
          <w:szCs w:val="24"/>
        </w:rPr>
        <w:t xml:space="preserve"> </w:t>
      </w:r>
      <w:r w:rsidR="00B8336E" w:rsidRPr="00511F36">
        <w:rPr>
          <w:rFonts w:asciiTheme="majorBidi" w:hAnsiTheme="majorBidi" w:cstheme="majorBidi"/>
          <w:sz w:val="24"/>
          <w:szCs w:val="24"/>
        </w:rPr>
        <w:t xml:space="preserve">For example, </w:t>
      </w:r>
      <w:r w:rsidR="00AB4573">
        <w:rPr>
          <w:rFonts w:asciiTheme="majorBidi" w:hAnsiTheme="majorBidi" w:cstheme="majorBidi"/>
          <w:sz w:val="24"/>
          <w:szCs w:val="24"/>
        </w:rPr>
        <w:t xml:space="preserve">the level of governance disclosures was 37.37% in 2009 and increased to 42.51% in 2014, and this resulted in an overall increase of </w:t>
      </w:r>
      <w:r w:rsidR="00CF3578">
        <w:rPr>
          <w:rFonts w:asciiTheme="majorBidi" w:hAnsiTheme="majorBidi" w:cstheme="majorBidi"/>
          <w:sz w:val="24"/>
          <w:szCs w:val="24"/>
        </w:rPr>
        <w:t xml:space="preserve">approximately </w:t>
      </w:r>
      <w:r w:rsidR="00AB4573">
        <w:rPr>
          <w:rFonts w:asciiTheme="majorBidi" w:hAnsiTheme="majorBidi" w:cstheme="majorBidi"/>
          <w:sz w:val="24"/>
          <w:szCs w:val="24"/>
        </w:rPr>
        <w:t>14% over the 2009-2014</w:t>
      </w:r>
      <w:r w:rsidR="007C30A3">
        <w:rPr>
          <w:rFonts w:asciiTheme="majorBidi" w:hAnsiTheme="majorBidi" w:cstheme="majorBidi"/>
          <w:sz w:val="24"/>
          <w:szCs w:val="24"/>
        </w:rPr>
        <w:t xml:space="preserve"> period</w:t>
      </w:r>
      <w:r w:rsidR="00AB4573">
        <w:rPr>
          <w:rFonts w:asciiTheme="majorBidi" w:hAnsiTheme="majorBidi" w:cstheme="majorBidi"/>
          <w:sz w:val="24"/>
          <w:szCs w:val="24"/>
        </w:rPr>
        <w:t>.</w:t>
      </w:r>
      <w:r w:rsidR="000B1C54" w:rsidRPr="00511F36">
        <w:rPr>
          <w:rFonts w:asciiTheme="majorBidi" w:hAnsiTheme="majorBidi" w:cstheme="majorBidi"/>
          <w:sz w:val="24"/>
          <w:szCs w:val="24"/>
        </w:rPr>
        <w:t xml:space="preserve"> </w:t>
      </w:r>
      <w:r w:rsidR="00690CE7" w:rsidRPr="00511F36">
        <w:rPr>
          <w:rFonts w:asciiTheme="majorBidi" w:hAnsiTheme="majorBidi" w:cstheme="majorBidi"/>
          <w:sz w:val="24"/>
          <w:szCs w:val="24"/>
        </w:rPr>
        <w:t>Additionally</w:t>
      </w:r>
      <w:r w:rsidR="000B1C54" w:rsidRPr="00511F36">
        <w:rPr>
          <w:rFonts w:asciiTheme="majorBidi" w:hAnsiTheme="majorBidi" w:cstheme="majorBidi"/>
          <w:sz w:val="24"/>
          <w:szCs w:val="24"/>
        </w:rPr>
        <w:t xml:space="preserve">, and in terms of the </w:t>
      </w:r>
      <w:r w:rsidR="000B1C54" w:rsidRPr="00511F36">
        <w:rPr>
          <w:rFonts w:asciiTheme="majorBidi" w:hAnsiTheme="majorBidi" w:cstheme="majorBidi"/>
          <w:i/>
          <w:iCs/>
          <w:sz w:val="24"/>
          <w:szCs w:val="24"/>
        </w:rPr>
        <w:t>HEGI’</w:t>
      </w:r>
      <w:r w:rsidR="000B1C54" w:rsidRPr="00511F36">
        <w:rPr>
          <w:rFonts w:asciiTheme="majorBidi" w:hAnsiTheme="majorBidi" w:cstheme="majorBidi"/>
          <w:sz w:val="24"/>
          <w:szCs w:val="24"/>
        </w:rPr>
        <w:t xml:space="preserve">s sub-indices, </w:t>
      </w:r>
      <w:r w:rsidR="00C64BD3" w:rsidRPr="00511F36">
        <w:rPr>
          <w:rFonts w:asciiTheme="majorBidi" w:hAnsiTheme="majorBidi" w:cstheme="majorBidi"/>
          <w:sz w:val="24"/>
          <w:szCs w:val="24"/>
        </w:rPr>
        <w:t xml:space="preserve">Table </w:t>
      </w:r>
      <w:r w:rsidR="001043BC">
        <w:rPr>
          <w:rFonts w:asciiTheme="majorBidi" w:hAnsiTheme="majorBidi" w:cstheme="majorBidi"/>
          <w:sz w:val="24"/>
          <w:szCs w:val="24"/>
        </w:rPr>
        <w:t>3</w:t>
      </w:r>
      <w:r w:rsidR="00C64BD3" w:rsidRPr="00511F36">
        <w:rPr>
          <w:rFonts w:asciiTheme="majorBidi" w:hAnsiTheme="majorBidi" w:cstheme="majorBidi"/>
          <w:sz w:val="24"/>
          <w:szCs w:val="24"/>
        </w:rPr>
        <w:t xml:space="preserve"> suggests similar low levels of governance disclosure with increasing patterns over time. </w:t>
      </w:r>
      <w:r w:rsidR="00C75C4F" w:rsidRPr="00511F36">
        <w:rPr>
          <w:rFonts w:asciiTheme="majorBidi" w:hAnsiTheme="majorBidi" w:cstheme="majorBidi"/>
          <w:sz w:val="24"/>
          <w:szCs w:val="24"/>
        </w:rPr>
        <w:t xml:space="preserve">For </w:t>
      </w:r>
      <w:r w:rsidR="00AB4573">
        <w:rPr>
          <w:rFonts w:asciiTheme="majorBidi" w:hAnsiTheme="majorBidi" w:cstheme="majorBidi"/>
          <w:sz w:val="24"/>
          <w:szCs w:val="24"/>
        </w:rPr>
        <w:t>example</w:t>
      </w:r>
      <w:r w:rsidR="00C75C4F" w:rsidRPr="00511F36">
        <w:rPr>
          <w:rFonts w:asciiTheme="majorBidi" w:hAnsiTheme="majorBidi" w:cstheme="majorBidi"/>
          <w:sz w:val="24"/>
          <w:szCs w:val="24"/>
        </w:rPr>
        <w:t xml:space="preserve">, </w:t>
      </w:r>
      <w:r w:rsidR="00AB4573">
        <w:rPr>
          <w:rFonts w:asciiTheme="majorBidi" w:hAnsiTheme="majorBidi" w:cstheme="majorBidi"/>
          <w:sz w:val="24"/>
          <w:szCs w:val="24"/>
        </w:rPr>
        <w:t xml:space="preserve">results reported in </w:t>
      </w:r>
      <w:r w:rsidR="00890F36" w:rsidRPr="00511F36">
        <w:rPr>
          <w:rFonts w:asciiTheme="majorBidi" w:hAnsiTheme="majorBidi" w:cstheme="majorBidi"/>
          <w:sz w:val="24"/>
          <w:szCs w:val="24"/>
        </w:rPr>
        <w:t xml:space="preserve">Table </w:t>
      </w:r>
      <w:r w:rsidR="001043BC">
        <w:rPr>
          <w:rFonts w:asciiTheme="majorBidi" w:hAnsiTheme="majorBidi" w:cstheme="majorBidi"/>
          <w:sz w:val="24"/>
          <w:szCs w:val="24"/>
        </w:rPr>
        <w:t>3</w:t>
      </w:r>
      <w:r w:rsidR="00890F36" w:rsidRPr="00511F36">
        <w:rPr>
          <w:rFonts w:asciiTheme="majorBidi" w:hAnsiTheme="majorBidi" w:cstheme="majorBidi"/>
          <w:sz w:val="24"/>
          <w:szCs w:val="24"/>
        </w:rPr>
        <w:t xml:space="preserve"> indicate that the average governing board</w:t>
      </w:r>
      <w:r w:rsidR="007C30A3">
        <w:rPr>
          <w:rFonts w:asciiTheme="majorBidi" w:hAnsiTheme="majorBidi" w:cstheme="majorBidi"/>
          <w:sz w:val="24"/>
          <w:szCs w:val="24"/>
        </w:rPr>
        <w:t xml:space="preserve"> (</w:t>
      </w:r>
      <w:r w:rsidR="00890F36" w:rsidRPr="00511F36">
        <w:rPr>
          <w:rFonts w:asciiTheme="majorBidi" w:hAnsiTheme="majorBidi" w:cstheme="majorBidi"/>
          <w:sz w:val="24"/>
          <w:szCs w:val="24"/>
        </w:rPr>
        <w:t>process and structure</w:t>
      </w:r>
      <w:r w:rsidR="007C30A3">
        <w:rPr>
          <w:rFonts w:asciiTheme="majorBidi" w:hAnsiTheme="majorBidi" w:cstheme="majorBidi"/>
          <w:sz w:val="24"/>
          <w:szCs w:val="24"/>
        </w:rPr>
        <w:t>)</w:t>
      </w:r>
      <w:r w:rsidR="00890F36" w:rsidRPr="00511F36">
        <w:rPr>
          <w:rFonts w:asciiTheme="majorBidi" w:hAnsiTheme="majorBidi" w:cstheme="majorBidi"/>
          <w:sz w:val="24"/>
          <w:szCs w:val="24"/>
        </w:rPr>
        <w:t xml:space="preserve"> disclosure score of 52.65% (31.52%), ranging </w:t>
      </w:r>
      <w:r w:rsidR="00AB4573">
        <w:rPr>
          <w:rFonts w:asciiTheme="majorBidi" w:hAnsiTheme="majorBidi" w:cstheme="majorBidi"/>
          <w:sz w:val="24"/>
          <w:szCs w:val="24"/>
        </w:rPr>
        <w:t>between</w:t>
      </w:r>
      <w:r w:rsidR="00890F36" w:rsidRPr="00511F36">
        <w:rPr>
          <w:rFonts w:asciiTheme="majorBidi" w:hAnsiTheme="majorBidi" w:cstheme="majorBidi"/>
          <w:sz w:val="24"/>
          <w:szCs w:val="24"/>
        </w:rPr>
        <w:t xml:space="preserve"> 14.81% (0.00%) </w:t>
      </w:r>
      <w:r w:rsidR="00AB4573">
        <w:rPr>
          <w:rFonts w:asciiTheme="majorBidi" w:hAnsiTheme="majorBidi" w:cstheme="majorBidi"/>
          <w:sz w:val="24"/>
          <w:szCs w:val="24"/>
        </w:rPr>
        <w:t>and</w:t>
      </w:r>
      <w:r w:rsidR="00890F36" w:rsidRPr="00511F36">
        <w:rPr>
          <w:rFonts w:asciiTheme="majorBidi" w:hAnsiTheme="majorBidi" w:cstheme="majorBidi"/>
          <w:sz w:val="24"/>
          <w:szCs w:val="24"/>
        </w:rPr>
        <w:t xml:space="preserve"> 74.07% (79.17%)</w:t>
      </w:r>
      <w:r w:rsidR="007C30A3">
        <w:rPr>
          <w:rFonts w:asciiTheme="majorBidi" w:hAnsiTheme="majorBidi" w:cstheme="majorBidi"/>
          <w:sz w:val="24"/>
          <w:szCs w:val="24"/>
        </w:rPr>
        <w:t>,</w:t>
      </w:r>
      <w:r w:rsidR="00890F36" w:rsidRPr="00511F36">
        <w:rPr>
          <w:rFonts w:asciiTheme="majorBidi" w:hAnsiTheme="majorBidi" w:cstheme="majorBidi"/>
          <w:sz w:val="24"/>
          <w:szCs w:val="24"/>
        </w:rPr>
        <w:t xml:space="preserve"> </w:t>
      </w:r>
      <w:r w:rsidR="007C30A3">
        <w:rPr>
          <w:rFonts w:asciiTheme="majorBidi" w:hAnsiTheme="majorBidi" w:cstheme="majorBidi"/>
          <w:sz w:val="24"/>
          <w:szCs w:val="24"/>
        </w:rPr>
        <w:t>has</w:t>
      </w:r>
      <w:r w:rsidR="00890F36" w:rsidRPr="00511F36">
        <w:rPr>
          <w:rFonts w:asciiTheme="majorBidi" w:hAnsiTheme="majorBidi" w:cstheme="majorBidi"/>
          <w:sz w:val="24"/>
          <w:szCs w:val="24"/>
        </w:rPr>
        <w:t xml:space="preserve"> increas</w:t>
      </w:r>
      <w:r w:rsidR="007C30A3">
        <w:rPr>
          <w:rFonts w:asciiTheme="majorBidi" w:hAnsiTheme="majorBidi" w:cstheme="majorBidi"/>
          <w:sz w:val="24"/>
          <w:szCs w:val="24"/>
        </w:rPr>
        <w:t>ed</w:t>
      </w:r>
      <w:r w:rsidR="00890F36" w:rsidRPr="00511F36">
        <w:rPr>
          <w:rFonts w:asciiTheme="majorBidi" w:hAnsiTheme="majorBidi" w:cstheme="majorBidi"/>
          <w:sz w:val="24"/>
          <w:szCs w:val="24"/>
        </w:rPr>
        <w:t xml:space="preserve"> steadily from 49.51% (29.17%) in 2009 to 55.21% (34.12%) in 2014</w:t>
      </w:r>
      <w:r w:rsidR="00A13E58">
        <w:rPr>
          <w:rFonts w:asciiTheme="majorBidi" w:hAnsiTheme="majorBidi" w:cstheme="majorBidi"/>
          <w:sz w:val="24"/>
          <w:szCs w:val="24"/>
        </w:rPr>
        <w:t>. This has</w:t>
      </w:r>
      <w:r w:rsidR="00890F36" w:rsidRPr="00511F36">
        <w:rPr>
          <w:rFonts w:asciiTheme="majorBidi" w:hAnsiTheme="majorBidi" w:cstheme="majorBidi"/>
          <w:sz w:val="24"/>
          <w:szCs w:val="24"/>
        </w:rPr>
        <w:t xml:space="preserve"> </w:t>
      </w:r>
      <w:r w:rsidR="00AD408B">
        <w:rPr>
          <w:rFonts w:asciiTheme="majorBidi" w:hAnsiTheme="majorBidi" w:cstheme="majorBidi"/>
          <w:sz w:val="24"/>
          <w:szCs w:val="24"/>
        </w:rPr>
        <w:t>result</w:t>
      </w:r>
      <w:r w:rsidR="00A13E58">
        <w:rPr>
          <w:rFonts w:asciiTheme="majorBidi" w:hAnsiTheme="majorBidi" w:cstheme="majorBidi"/>
          <w:sz w:val="24"/>
          <w:szCs w:val="24"/>
        </w:rPr>
        <w:t>ed</w:t>
      </w:r>
      <w:r w:rsidR="00AD408B">
        <w:rPr>
          <w:rFonts w:asciiTheme="majorBidi" w:hAnsiTheme="majorBidi" w:cstheme="majorBidi"/>
          <w:sz w:val="24"/>
          <w:szCs w:val="24"/>
        </w:rPr>
        <w:t xml:space="preserve"> in an overall increase of 11% (17%) in the level of governance disclosures over the 2009-2014</w:t>
      </w:r>
      <w:r w:rsidR="00803799">
        <w:rPr>
          <w:rFonts w:asciiTheme="majorBidi" w:hAnsiTheme="majorBidi" w:cstheme="majorBidi"/>
          <w:sz w:val="24"/>
          <w:szCs w:val="24"/>
        </w:rPr>
        <w:t xml:space="preserve"> period</w:t>
      </w:r>
      <w:r w:rsidR="00AD408B">
        <w:rPr>
          <w:rFonts w:asciiTheme="majorBidi" w:hAnsiTheme="majorBidi" w:cstheme="majorBidi"/>
          <w:sz w:val="24"/>
          <w:szCs w:val="24"/>
        </w:rPr>
        <w:t>. Further</w:t>
      </w:r>
      <w:r w:rsidR="00890F36" w:rsidRPr="00511F36">
        <w:rPr>
          <w:rFonts w:asciiTheme="majorBidi" w:hAnsiTheme="majorBidi" w:cstheme="majorBidi"/>
          <w:sz w:val="24"/>
          <w:szCs w:val="24"/>
        </w:rPr>
        <w:t>, the pattern of increases in the remaining three sub-indices</w:t>
      </w:r>
      <w:r w:rsidR="007A1F6D" w:rsidRPr="00511F36">
        <w:rPr>
          <w:rFonts w:asciiTheme="majorBidi" w:hAnsiTheme="majorBidi" w:cstheme="majorBidi"/>
          <w:sz w:val="24"/>
          <w:szCs w:val="24"/>
        </w:rPr>
        <w:t xml:space="preserve"> </w:t>
      </w:r>
      <w:r w:rsidR="00890F36" w:rsidRPr="00511F36">
        <w:rPr>
          <w:rFonts w:asciiTheme="majorBidi" w:hAnsiTheme="majorBidi" w:cstheme="majorBidi"/>
          <w:sz w:val="24"/>
          <w:szCs w:val="24"/>
        </w:rPr>
        <w:t>(</w:t>
      </w:r>
      <w:r w:rsidR="00AD408B">
        <w:rPr>
          <w:rFonts w:asciiTheme="majorBidi" w:hAnsiTheme="majorBidi" w:cstheme="majorBidi"/>
          <w:sz w:val="24"/>
          <w:szCs w:val="24"/>
        </w:rPr>
        <w:t>stakeholder dialogue disclosures; accountability and auditing disclosures; and rewards, pay and evaluation of performance disclosures)</w:t>
      </w:r>
      <w:r w:rsidR="007A1F6D" w:rsidRPr="00511F36">
        <w:rPr>
          <w:rFonts w:asciiTheme="majorBidi" w:hAnsiTheme="majorBidi" w:cstheme="majorBidi"/>
          <w:sz w:val="24"/>
          <w:szCs w:val="24"/>
        </w:rPr>
        <w:t xml:space="preserve"> are</w:t>
      </w:r>
      <w:r w:rsidR="00890F36" w:rsidRPr="00511F36">
        <w:rPr>
          <w:rFonts w:asciiTheme="majorBidi" w:hAnsiTheme="majorBidi" w:cstheme="majorBidi"/>
          <w:sz w:val="24"/>
          <w:szCs w:val="24"/>
        </w:rPr>
        <w:t xml:space="preserve"> similar to those of </w:t>
      </w:r>
      <w:r w:rsidR="003A1AB0">
        <w:rPr>
          <w:rFonts w:asciiTheme="majorBidi" w:hAnsiTheme="majorBidi" w:cstheme="majorBidi"/>
          <w:sz w:val="24"/>
          <w:szCs w:val="24"/>
        </w:rPr>
        <w:t xml:space="preserve">(i) </w:t>
      </w:r>
      <w:r w:rsidR="007A1F6D" w:rsidRPr="00511F36">
        <w:rPr>
          <w:rFonts w:asciiTheme="majorBidi" w:hAnsiTheme="majorBidi" w:cstheme="majorBidi"/>
          <w:sz w:val="24"/>
          <w:szCs w:val="24"/>
        </w:rPr>
        <w:t>governing board</w:t>
      </w:r>
      <w:r w:rsidR="003A1AB0">
        <w:rPr>
          <w:rFonts w:asciiTheme="majorBidi" w:hAnsiTheme="majorBidi" w:cstheme="majorBidi"/>
          <w:sz w:val="24"/>
          <w:szCs w:val="24"/>
        </w:rPr>
        <w:t>,</w:t>
      </w:r>
      <w:r w:rsidR="007A1F6D" w:rsidRPr="00511F36">
        <w:rPr>
          <w:rFonts w:asciiTheme="majorBidi" w:hAnsiTheme="majorBidi" w:cstheme="majorBidi"/>
          <w:sz w:val="24"/>
          <w:szCs w:val="24"/>
        </w:rPr>
        <w:t xml:space="preserve"> and </w:t>
      </w:r>
      <w:r w:rsidR="003A1AB0">
        <w:rPr>
          <w:rFonts w:asciiTheme="majorBidi" w:hAnsiTheme="majorBidi" w:cstheme="majorBidi"/>
          <w:sz w:val="24"/>
          <w:szCs w:val="24"/>
        </w:rPr>
        <w:t xml:space="preserve">(ii) </w:t>
      </w:r>
      <w:r w:rsidR="007A1F6D" w:rsidRPr="00511F36">
        <w:rPr>
          <w:rFonts w:asciiTheme="majorBidi" w:hAnsiTheme="majorBidi" w:cstheme="majorBidi"/>
          <w:sz w:val="24"/>
          <w:szCs w:val="24"/>
        </w:rPr>
        <w:t xml:space="preserve">process and structure disclosures. </w:t>
      </w:r>
    </w:p>
    <w:p w14:paraId="094DA3BE" w14:textId="3F2F1154" w:rsidR="00643274" w:rsidRPr="00511F36" w:rsidRDefault="00643274" w:rsidP="00567D34">
      <w:pPr>
        <w:spacing w:line="480" w:lineRule="auto"/>
        <w:jc w:val="center"/>
        <w:rPr>
          <w:rFonts w:asciiTheme="majorBidi" w:hAnsiTheme="majorBidi" w:cstheme="majorBidi"/>
          <w:sz w:val="24"/>
          <w:szCs w:val="24"/>
        </w:rPr>
      </w:pPr>
      <w:r w:rsidRPr="00511F36">
        <w:rPr>
          <w:rFonts w:asciiTheme="majorBidi" w:hAnsiTheme="majorBidi" w:cstheme="majorBidi"/>
          <w:sz w:val="24"/>
          <w:szCs w:val="24"/>
        </w:rPr>
        <w:t xml:space="preserve">Table </w:t>
      </w:r>
      <w:r w:rsidR="001043BC">
        <w:rPr>
          <w:rFonts w:asciiTheme="majorBidi" w:hAnsiTheme="majorBidi" w:cstheme="majorBidi"/>
          <w:sz w:val="24"/>
          <w:szCs w:val="24"/>
        </w:rPr>
        <w:t>3</w:t>
      </w:r>
      <w:r w:rsidRPr="00511F36">
        <w:rPr>
          <w:rFonts w:asciiTheme="majorBidi" w:hAnsiTheme="majorBidi" w:cstheme="majorBidi"/>
          <w:sz w:val="24"/>
          <w:szCs w:val="24"/>
        </w:rPr>
        <w:t xml:space="preserve"> </w:t>
      </w:r>
      <w:r w:rsidR="00511F36">
        <w:rPr>
          <w:rFonts w:asciiTheme="majorBidi" w:hAnsiTheme="majorBidi" w:cstheme="majorBidi"/>
          <w:sz w:val="24"/>
          <w:szCs w:val="24"/>
        </w:rPr>
        <w:t>near</w:t>
      </w:r>
      <w:r w:rsidRPr="00511F36">
        <w:rPr>
          <w:rFonts w:asciiTheme="majorBidi" w:hAnsiTheme="majorBidi" w:cstheme="majorBidi"/>
          <w:sz w:val="24"/>
          <w:szCs w:val="24"/>
        </w:rPr>
        <w:t xml:space="preserve"> here</w:t>
      </w:r>
    </w:p>
    <w:p w14:paraId="36F15B3C" w14:textId="2F533DA5" w:rsidR="00C63EF2" w:rsidRDefault="00D80DD0" w:rsidP="00C63EF2">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Second,</w:t>
      </w:r>
      <w:r w:rsidR="00DC23F8">
        <w:rPr>
          <w:rFonts w:asciiTheme="majorBidi" w:hAnsiTheme="majorBidi" w:cstheme="majorBidi"/>
          <w:sz w:val="24"/>
          <w:szCs w:val="24"/>
        </w:rPr>
        <w:t xml:space="preserve"> we split our sample into two groups based on their status (0 given to pre-92 and 1 for post-92</w:t>
      </w:r>
      <w:r w:rsidR="001D42DE">
        <w:rPr>
          <w:rFonts w:asciiTheme="majorBidi" w:hAnsiTheme="majorBidi" w:cstheme="majorBidi"/>
          <w:sz w:val="24"/>
          <w:szCs w:val="24"/>
        </w:rPr>
        <w:t xml:space="preserve"> HEIs</w:t>
      </w:r>
      <w:r w:rsidR="00DC23F8">
        <w:rPr>
          <w:rFonts w:asciiTheme="majorBidi" w:hAnsiTheme="majorBidi" w:cstheme="majorBidi"/>
          <w:sz w:val="24"/>
          <w:szCs w:val="24"/>
        </w:rPr>
        <w:t xml:space="preserve">) and run the independent samples </w:t>
      </w:r>
      <w:r w:rsidR="00DC23F8" w:rsidRPr="0026139E">
        <w:rPr>
          <w:rFonts w:asciiTheme="majorBidi" w:hAnsiTheme="majorBidi" w:cstheme="majorBidi"/>
          <w:i/>
          <w:sz w:val="24"/>
          <w:szCs w:val="24"/>
        </w:rPr>
        <w:t>t</w:t>
      </w:r>
      <w:r w:rsidR="00DC23F8">
        <w:rPr>
          <w:rFonts w:asciiTheme="majorBidi" w:hAnsiTheme="majorBidi" w:cstheme="majorBidi"/>
          <w:sz w:val="24"/>
          <w:szCs w:val="24"/>
        </w:rPr>
        <w:t xml:space="preserve">-test to compute the mean differences and Mann-Whitney test to compute the median differences among our sample from both distributions. </w:t>
      </w:r>
      <w:r w:rsidR="00E2754B">
        <w:rPr>
          <w:rFonts w:asciiTheme="majorBidi" w:hAnsiTheme="majorBidi" w:cstheme="majorBidi"/>
          <w:sz w:val="24"/>
          <w:szCs w:val="24"/>
        </w:rPr>
        <w:t>T</w:t>
      </w:r>
      <w:r w:rsidRPr="00511F36">
        <w:rPr>
          <w:rFonts w:asciiTheme="majorBidi" w:hAnsiTheme="majorBidi" w:cstheme="majorBidi"/>
          <w:sz w:val="24"/>
          <w:szCs w:val="24"/>
        </w:rPr>
        <w:t>he</w:t>
      </w:r>
      <w:r w:rsidR="00AD408B">
        <w:rPr>
          <w:rFonts w:asciiTheme="majorBidi" w:hAnsiTheme="majorBidi" w:cstheme="majorBidi"/>
          <w:sz w:val="24"/>
          <w:szCs w:val="24"/>
        </w:rPr>
        <w:t xml:space="preserve"> results of</w:t>
      </w:r>
      <w:r w:rsidR="00354DE4">
        <w:rPr>
          <w:rFonts w:asciiTheme="majorBidi" w:hAnsiTheme="majorBidi" w:cstheme="majorBidi"/>
          <w:sz w:val="24"/>
          <w:szCs w:val="24"/>
        </w:rPr>
        <w:t xml:space="preserve"> the</w:t>
      </w:r>
      <w:r w:rsidR="00AD408B">
        <w:rPr>
          <w:rFonts w:asciiTheme="majorBidi" w:hAnsiTheme="majorBidi" w:cstheme="majorBidi"/>
          <w:sz w:val="24"/>
          <w:szCs w:val="24"/>
        </w:rPr>
        <w:t xml:space="preserve"> </w:t>
      </w:r>
      <w:r w:rsidR="005A3601">
        <w:rPr>
          <w:rFonts w:asciiTheme="majorBidi" w:hAnsiTheme="majorBidi" w:cstheme="majorBidi"/>
          <w:sz w:val="24"/>
          <w:szCs w:val="24"/>
        </w:rPr>
        <w:t>univariate analysis (</w:t>
      </w:r>
      <w:r w:rsidR="00354DE4">
        <w:rPr>
          <w:rFonts w:asciiTheme="majorBidi" w:hAnsiTheme="majorBidi" w:cstheme="majorBidi"/>
          <w:i/>
          <w:iCs/>
          <w:sz w:val="24"/>
          <w:szCs w:val="24"/>
        </w:rPr>
        <w:t>t-test</w:t>
      </w:r>
      <w:r w:rsidR="005A3601">
        <w:rPr>
          <w:rFonts w:asciiTheme="majorBidi" w:hAnsiTheme="majorBidi" w:cstheme="majorBidi"/>
          <w:sz w:val="24"/>
          <w:szCs w:val="24"/>
        </w:rPr>
        <w:t>)</w:t>
      </w:r>
      <w:r w:rsidR="00F1259A">
        <w:rPr>
          <w:rFonts w:asciiTheme="majorBidi" w:hAnsiTheme="majorBidi" w:cstheme="majorBidi"/>
          <w:sz w:val="24"/>
          <w:szCs w:val="24"/>
        </w:rPr>
        <w:t xml:space="preserve"> in Table </w:t>
      </w:r>
      <w:r w:rsidR="001043BC">
        <w:rPr>
          <w:rFonts w:asciiTheme="majorBidi" w:hAnsiTheme="majorBidi" w:cstheme="majorBidi"/>
          <w:sz w:val="24"/>
          <w:szCs w:val="24"/>
        </w:rPr>
        <w:t>3</w:t>
      </w:r>
      <w:r w:rsidR="00354DE4">
        <w:rPr>
          <w:rFonts w:asciiTheme="majorBidi" w:hAnsiTheme="majorBidi" w:cstheme="majorBidi"/>
          <w:i/>
          <w:iCs/>
          <w:sz w:val="24"/>
          <w:szCs w:val="24"/>
        </w:rPr>
        <w:t xml:space="preserve"> </w:t>
      </w:r>
      <w:r w:rsidRPr="00511F36">
        <w:rPr>
          <w:rFonts w:asciiTheme="majorBidi" w:hAnsiTheme="majorBidi" w:cstheme="majorBidi"/>
          <w:sz w:val="24"/>
          <w:szCs w:val="24"/>
        </w:rPr>
        <w:t xml:space="preserve">suggest that generally, the levels of voluntary governance disclosures are not </w:t>
      </w:r>
      <w:r w:rsidR="00ED1805">
        <w:rPr>
          <w:rFonts w:asciiTheme="majorBidi" w:hAnsiTheme="majorBidi" w:cstheme="majorBidi"/>
          <w:sz w:val="24"/>
          <w:szCs w:val="24"/>
        </w:rPr>
        <w:t xml:space="preserve">statistically </w:t>
      </w:r>
      <w:r w:rsidRPr="00511F36">
        <w:rPr>
          <w:rFonts w:asciiTheme="majorBidi" w:hAnsiTheme="majorBidi" w:cstheme="majorBidi"/>
          <w:sz w:val="24"/>
          <w:szCs w:val="24"/>
        </w:rPr>
        <w:t>different between pre-</w:t>
      </w:r>
      <w:r w:rsidR="00AD408B">
        <w:rPr>
          <w:rFonts w:asciiTheme="majorBidi" w:hAnsiTheme="majorBidi" w:cstheme="majorBidi"/>
          <w:sz w:val="24"/>
          <w:szCs w:val="24"/>
        </w:rPr>
        <w:t>92</w:t>
      </w:r>
      <w:r w:rsidR="001F6314" w:rsidRPr="00511F36">
        <w:rPr>
          <w:rFonts w:asciiTheme="majorBidi" w:hAnsiTheme="majorBidi" w:cstheme="majorBidi"/>
          <w:sz w:val="24"/>
          <w:szCs w:val="24"/>
        </w:rPr>
        <w:t xml:space="preserve"> </w:t>
      </w:r>
      <w:r w:rsidRPr="00511F36">
        <w:rPr>
          <w:rFonts w:asciiTheme="majorBidi" w:hAnsiTheme="majorBidi" w:cstheme="majorBidi"/>
          <w:sz w:val="24"/>
          <w:szCs w:val="24"/>
        </w:rPr>
        <w:t xml:space="preserve">and </w:t>
      </w:r>
      <w:r w:rsidRPr="00511F36">
        <w:rPr>
          <w:rFonts w:asciiTheme="majorBidi" w:hAnsiTheme="majorBidi" w:cstheme="majorBidi"/>
          <w:sz w:val="24"/>
          <w:szCs w:val="24"/>
        </w:rPr>
        <w:lastRenderedPageBreak/>
        <w:t xml:space="preserve">post-92 </w:t>
      </w:r>
      <w:r w:rsidR="00AD408B">
        <w:rPr>
          <w:rFonts w:asciiTheme="majorBidi" w:hAnsiTheme="majorBidi" w:cstheme="majorBidi"/>
          <w:sz w:val="24"/>
          <w:szCs w:val="24"/>
        </w:rPr>
        <w:t>HEIs</w:t>
      </w:r>
      <w:r w:rsidR="001F6314" w:rsidRPr="00511F36">
        <w:rPr>
          <w:rFonts w:asciiTheme="majorBidi" w:hAnsiTheme="majorBidi" w:cstheme="majorBidi"/>
          <w:sz w:val="24"/>
          <w:szCs w:val="24"/>
        </w:rPr>
        <w:t xml:space="preserve">. </w:t>
      </w:r>
      <w:r w:rsidR="00287E9E" w:rsidRPr="00511F36">
        <w:rPr>
          <w:rFonts w:asciiTheme="majorBidi" w:hAnsiTheme="majorBidi" w:cstheme="majorBidi"/>
          <w:sz w:val="24"/>
          <w:szCs w:val="24"/>
        </w:rPr>
        <w:t>Third, the descriptive statistics relating</w:t>
      </w:r>
      <w:r w:rsidR="00B67F92">
        <w:rPr>
          <w:rFonts w:asciiTheme="majorBidi" w:hAnsiTheme="majorBidi" w:cstheme="majorBidi"/>
          <w:sz w:val="24"/>
          <w:szCs w:val="24"/>
        </w:rPr>
        <w:t xml:space="preserve"> to the</w:t>
      </w:r>
      <w:r w:rsidR="00287E9E" w:rsidRPr="00511F36">
        <w:rPr>
          <w:rFonts w:asciiTheme="majorBidi" w:hAnsiTheme="majorBidi" w:cstheme="majorBidi"/>
          <w:sz w:val="24"/>
          <w:szCs w:val="24"/>
        </w:rPr>
        <w:t xml:space="preserve"> internal governance mechanisms (</w:t>
      </w:r>
      <w:r w:rsidR="00287E9E" w:rsidRPr="00511F36">
        <w:rPr>
          <w:rFonts w:asciiTheme="majorBidi" w:hAnsiTheme="majorBidi" w:cstheme="majorBidi"/>
          <w:i/>
          <w:iCs/>
          <w:sz w:val="24"/>
          <w:szCs w:val="24"/>
        </w:rPr>
        <w:t>IGM</w:t>
      </w:r>
      <w:r w:rsidR="005C60A7">
        <w:rPr>
          <w:rFonts w:asciiTheme="majorBidi" w:hAnsiTheme="majorBidi" w:cstheme="majorBidi"/>
          <w:i/>
          <w:iCs/>
          <w:sz w:val="24"/>
          <w:szCs w:val="24"/>
        </w:rPr>
        <w:t>s</w:t>
      </w:r>
      <w:r w:rsidR="00287E9E" w:rsidRPr="00511F36">
        <w:rPr>
          <w:rFonts w:asciiTheme="majorBidi" w:hAnsiTheme="majorBidi" w:cstheme="majorBidi"/>
          <w:sz w:val="24"/>
          <w:szCs w:val="24"/>
        </w:rPr>
        <w:t>)</w:t>
      </w:r>
      <w:r w:rsidR="00287E9E" w:rsidRPr="00511F36">
        <w:rPr>
          <w:rFonts w:asciiTheme="majorBidi" w:hAnsiTheme="majorBidi" w:cstheme="majorBidi"/>
          <w:i/>
          <w:iCs/>
          <w:sz w:val="24"/>
          <w:szCs w:val="24"/>
        </w:rPr>
        <w:t xml:space="preserve"> </w:t>
      </w:r>
      <w:r w:rsidR="00287E9E" w:rsidRPr="00511F36">
        <w:rPr>
          <w:rFonts w:asciiTheme="majorBidi" w:hAnsiTheme="majorBidi" w:cstheme="majorBidi"/>
          <w:sz w:val="24"/>
          <w:szCs w:val="24"/>
        </w:rPr>
        <w:t>and control variables (</w:t>
      </w:r>
      <w:r w:rsidR="00287E9E" w:rsidRPr="00511F36">
        <w:rPr>
          <w:rFonts w:asciiTheme="majorBidi" w:hAnsiTheme="majorBidi" w:cstheme="majorBidi"/>
          <w:i/>
          <w:iCs/>
          <w:sz w:val="24"/>
          <w:szCs w:val="24"/>
        </w:rPr>
        <w:t>CNTS</w:t>
      </w:r>
      <w:r w:rsidR="00FC41B8" w:rsidRPr="00511F36">
        <w:rPr>
          <w:rFonts w:asciiTheme="majorBidi" w:hAnsiTheme="majorBidi" w:cstheme="majorBidi"/>
          <w:sz w:val="24"/>
          <w:szCs w:val="24"/>
        </w:rPr>
        <w:t xml:space="preserve">) are reported in Table </w:t>
      </w:r>
      <w:r w:rsidR="001043BC">
        <w:rPr>
          <w:rFonts w:asciiTheme="majorBidi" w:hAnsiTheme="majorBidi" w:cstheme="majorBidi"/>
          <w:sz w:val="24"/>
          <w:szCs w:val="24"/>
        </w:rPr>
        <w:t>4</w:t>
      </w:r>
      <w:r w:rsidR="00FC41B8" w:rsidRPr="00511F36">
        <w:rPr>
          <w:rFonts w:asciiTheme="majorBidi" w:hAnsiTheme="majorBidi" w:cstheme="majorBidi"/>
          <w:sz w:val="24"/>
          <w:szCs w:val="24"/>
        </w:rPr>
        <w:t>, which exhibit wide variability in their distributions</w:t>
      </w:r>
      <w:r w:rsidR="00377923" w:rsidRPr="00511F36">
        <w:rPr>
          <w:rFonts w:asciiTheme="majorBidi" w:hAnsiTheme="majorBidi" w:cstheme="majorBidi"/>
          <w:sz w:val="24"/>
          <w:szCs w:val="24"/>
        </w:rPr>
        <w:t xml:space="preserve">. For example, Panel 1 of Table </w:t>
      </w:r>
      <w:r w:rsidR="001043BC">
        <w:rPr>
          <w:rFonts w:asciiTheme="majorBidi" w:hAnsiTheme="majorBidi" w:cstheme="majorBidi"/>
          <w:sz w:val="24"/>
          <w:szCs w:val="24"/>
        </w:rPr>
        <w:t>4</w:t>
      </w:r>
      <w:r w:rsidR="00377923" w:rsidRPr="00511F36">
        <w:rPr>
          <w:rFonts w:asciiTheme="majorBidi" w:hAnsiTheme="majorBidi" w:cstheme="majorBidi"/>
          <w:sz w:val="24"/>
          <w:szCs w:val="24"/>
        </w:rPr>
        <w:t xml:space="preserve"> shows that on average 82.91% </w:t>
      </w:r>
      <w:r w:rsidR="00A25341" w:rsidRPr="00511F36">
        <w:rPr>
          <w:rFonts w:asciiTheme="majorBidi" w:hAnsiTheme="majorBidi" w:cstheme="majorBidi"/>
          <w:sz w:val="24"/>
          <w:szCs w:val="24"/>
        </w:rPr>
        <w:t xml:space="preserve">of UK HEIs’ vice-chancellors are men, ranging </w:t>
      </w:r>
      <w:r w:rsidR="00354DE4">
        <w:rPr>
          <w:rFonts w:asciiTheme="majorBidi" w:hAnsiTheme="majorBidi" w:cstheme="majorBidi"/>
          <w:sz w:val="24"/>
          <w:szCs w:val="24"/>
        </w:rPr>
        <w:t xml:space="preserve">between </w:t>
      </w:r>
      <w:r w:rsidR="00A25341" w:rsidRPr="00511F36">
        <w:rPr>
          <w:rFonts w:asciiTheme="majorBidi" w:hAnsiTheme="majorBidi" w:cstheme="majorBidi"/>
          <w:sz w:val="24"/>
          <w:szCs w:val="24"/>
        </w:rPr>
        <w:t>0.00% and 100% over the six</w:t>
      </w:r>
      <w:r w:rsidR="000711DA">
        <w:rPr>
          <w:rFonts w:asciiTheme="majorBidi" w:hAnsiTheme="majorBidi" w:cstheme="majorBidi"/>
          <w:sz w:val="24"/>
          <w:szCs w:val="24"/>
        </w:rPr>
        <w:t>-</w:t>
      </w:r>
      <w:r w:rsidR="00A25341" w:rsidRPr="00511F36">
        <w:rPr>
          <w:rFonts w:asciiTheme="majorBidi" w:hAnsiTheme="majorBidi" w:cstheme="majorBidi"/>
          <w:sz w:val="24"/>
          <w:szCs w:val="24"/>
        </w:rPr>
        <w:t>year analysed.</w:t>
      </w:r>
      <w:r w:rsidR="00C63EF2">
        <w:rPr>
          <w:rFonts w:asciiTheme="majorBidi" w:hAnsiTheme="majorBidi" w:cstheme="majorBidi"/>
          <w:sz w:val="24"/>
          <w:szCs w:val="24"/>
        </w:rPr>
        <w:t xml:space="preserve"> </w:t>
      </w:r>
    </w:p>
    <w:p w14:paraId="0A319332" w14:textId="7743AFE4" w:rsidR="00354DE4" w:rsidRDefault="00A25341" w:rsidP="00C63EF2">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Similarly,</w:t>
      </w:r>
      <w:r w:rsidR="00E9381C" w:rsidRPr="00511F36">
        <w:rPr>
          <w:rFonts w:asciiTheme="majorBidi" w:hAnsiTheme="majorBidi" w:cstheme="majorBidi"/>
          <w:sz w:val="24"/>
          <w:szCs w:val="24"/>
        </w:rPr>
        <w:t xml:space="preserve"> Table </w:t>
      </w:r>
      <w:r w:rsidR="001043BC">
        <w:rPr>
          <w:rFonts w:asciiTheme="majorBidi" w:hAnsiTheme="majorBidi" w:cstheme="majorBidi"/>
          <w:sz w:val="24"/>
          <w:szCs w:val="24"/>
        </w:rPr>
        <w:t>4</w:t>
      </w:r>
      <w:r w:rsidR="00E9381C" w:rsidRPr="00511F36">
        <w:rPr>
          <w:rFonts w:asciiTheme="majorBidi" w:hAnsiTheme="majorBidi" w:cstheme="majorBidi"/>
          <w:sz w:val="24"/>
          <w:szCs w:val="24"/>
        </w:rPr>
        <w:t xml:space="preserve"> shows that on average 17.24% of UK HEIs</w:t>
      </w:r>
      <w:r w:rsidR="00B54DE0">
        <w:rPr>
          <w:rFonts w:asciiTheme="majorBidi" w:hAnsiTheme="majorBidi" w:cstheme="majorBidi"/>
          <w:sz w:val="24"/>
          <w:szCs w:val="24"/>
        </w:rPr>
        <w:t xml:space="preserve"> have</w:t>
      </w:r>
      <w:r w:rsidR="00E9381C" w:rsidRPr="00511F36">
        <w:rPr>
          <w:rFonts w:asciiTheme="majorBidi" w:hAnsiTheme="majorBidi" w:cstheme="majorBidi"/>
          <w:sz w:val="24"/>
          <w:szCs w:val="24"/>
        </w:rPr>
        <w:t xml:space="preserve"> establish</w:t>
      </w:r>
      <w:r w:rsidR="00B54DE0">
        <w:rPr>
          <w:rFonts w:asciiTheme="majorBidi" w:hAnsiTheme="majorBidi" w:cstheme="majorBidi"/>
          <w:sz w:val="24"/>
          <w:szCs w:val="24"/>
        </w:rPr>
        <w:t>ed</w:t>
      </w:r>
      <w:r w:rsidR="00E9381C" w:rsidRPr="00511F36">
        <w:rPr>
          <w:rFonts w:asciiTheme="majorBidi" w:hAnsiTheme="majorBidi" w:cstheme="majorBidi"/>
          <w:sz w:val="24"/>
          <w:szCs w:val="24"/>
        </w:rPr>
        <w:t xml:space="preserve"> an independent governance committee, </w:t>
      </w:r>
      <w:r w:rsidR="00EF74C1" w:rsidRPr="00511F36">
        <w:rPr>
          <w:rFonts w:asciiTheme="majorBidi" w:hAnsiTheme="majorBidi" w:cstheme="majorBidi"/>
          <w:sz w:val="24"/>
          <w:szCs w:val="24"/>
        </w:rPr>
        <w:t>whilst</w:t>
      </w:r>
      <w:r w:rsidR="00E9381C" w:rsidRPr="00511F36">
        <w:rPr>
          <w:rFonts w:asciiTheme="majorBidi" w:hAnsiTheme="majorBidi" w:cstheme="majorBidi"/>
          <w:sz w:val="24"/>
          <w:szCs w:val="24"/>
        </w:rPr>
        <w:t xml:space="preserve"> th</w:t>
      </w:r>
      <w:r w:rsidR="00EF74C1" w:rsidRPr="00511F36">
        <w:rPr>
          <w:rFonts w:asciiTheme="majorBidi" w:hAnsiTheme="majorBidi" w:cstheme="majorBidi"/>
          <w:sz w:val="24"/>
          <w:szCs w:val="24"/>
        </w:rPr>
        <w:t xml:space="preserve">e majority of UK HEIs’ boards are </w:t>
      </w:r>
      <w:r w:rsidR="00354DE4">
        <w:rPr>
          <w:rFonts w:asciiTheme="majorBidi" w:hAnsiTheme="majorBidi" w:cstheme="majorBidi"/>
          <w:sz w:val="24"/>
          <w:szCs w:val="24"/>
        </w:rPr>
        <w:t>controlled</w:t>
      </w:r>
      <w:r w:rsidR="00354DE4" w:rsidRPr="00511F36">
        <w:rPr>
          <w:rFonts w:asciiTheme="majorBidi" w:hAnsiTheme="majorBidi" w:cstheme="majorBidi"/>
          <w:sz w:val="24"/>
          <w:szCs w:val="24"/>
        </w:rPr>
        <w:t xml:space="preserve"> </w:t>
      </w:r>
      <w:r w:rsidR="00EF74C1" w:rsidRPr="00511F36">
        <w:rPr>
          <w:rFonts w:asciiTheme="majorBidi" w:hAnsiTheme="majorBidi" w:cstheme="majorBidi"/>
          <w:sz w:val="24"/>
          <w:szCs w:val="24"/>
        </w:rPr>
        <w:t>by lay</w:t>
      </w:r>
      <w:r w:rsidR="00354DE4">
        <w:rPr>
          <w:rFonts w:asciiTheme="majorBidi" w:hAnsiTheme="majorBidi" w:cstheme="majorBidi"/>
          <w:sz w:val="24"/>
          <w:szCs w:val="24"/>
        </w:rPr>
        <w:t xml:space="preserve"> managers</w:t>
      </w:r>
      <w:r w:rsidR="00EF74C1" w:rsidRPr="00511F36">
        <w:rPr>
          <w:rFonts w:asciiTheme="majorBidi" w:hAnsiTheme="majorBidi" w:cstheme="majorBidi"/>
          <w:sz w:val="24"/>
          <w:szCs w:val="24"/>
        </w:rPr>
        <w:t>, which is consistent with the recommendations of CUC (2014</w:t>
      </w:r>
      <w:r w:rsidR="00596E43">
        <w:rPr>
          <w:rFonts w:asciiTheme="majorBidi" w:hAnsiTheme="majorBidi" w:cstheme="majorBidi"/>
          <w:sz w:val="24"/>
          <w:szCs w:val="24"/>
        </w:rPr>
        <w:t>, 2018</w:t>
      </w:r>
      <w:r w:rsidR="00EF74C1" w:rsidRPr="00511F36">
        <w:rPr>
          <w:rFonts w:asciiTheme="majorBidi" w:hAnsiTheme="majorBidi" w:cstheme="majorBidi"/>
          <w:sz w:val="24"/>
          <w:szCs w:val="24"/>
        </w:rPr>
        <w:t>) and the finding</w:t>
      </w:r>
      <w:r w:rsidR="00B51634">
        <w:rPr>
          <w:rFonts w:asciiTheme="majorBidi" w:hAnsiTheme="majorBidi" w:cstheme="majorBidi"/>
          <w:sz w:val="24"/>
          <w:szCs w:val="24"/>
        </w:rPr>
        <w:t xml:space="preserve">s of prior </w:t>
      </w:r>
      <w:r w:rsidR="001D42DE">
        <w:rPr>
          <w:rFonts w:asciiTheme="majorBidi" w:hAnsiTheme="majorBidi" w:cstheme="majorBidi"/>
          <w:sz w:val="24"/>
          <w:szCs w:val="24"/>
        </w:rPr>
        <w:t xml:space="preserve">HE </w:t>
      </w:r>
      <w:r w:rsidR="00B51634">
        <w:rPr>
          <w:rFonts w:asciiTheme="majorBidi" w:hAnsiTheme="majorBidi" w:cstheme="majorBidi"/>
          <w:sz w:val="24"/>
          <w:szCs w:val="24"/>
        </w:rPr>
        <w:t>studies (</w:t>
      </w:r>
      <w:r w:rsidR="0067220E">
        <w:rPr>
          <w:rFonts w:asciiTheme="majorBidi" w:hAnsiTheme="majorBidi" w:cstheme="majorBidi"/>
          <w:sz w:val="24"/>
          <w:szCs w:val="24"/>
        </w:rPr>
        <w:t xml:space="preserve">Ntim et al., </w:t>
      </w:r>
      <w:r w:rsidR="00DF4C18">
        <w:rPr>
          <w:rFonts w:asciiTheme="majorBidi" w:hAnsiTheme="majorBidi" w:cstheme="majorBidi"/>
          <w:sz w:val="24"/>
          <w:szCs w:val="24"/>
        </w:rPr>
        <w:t>2017</w:t>
      </w:r>
      <w:r w:rsidR="00EF74C1" w:rsidRPr="00511F36">
        <w:rPr>
          <w:rFonts w:asciiTheme="majorBidi" w:hAnsiTheme="majorBidi" w:cstheme="majorBidi"/>
          <w:sz w:val="24"/>
          <w:szCs w:val="24"/>
        </w:rPr>
        <w:t xml:space="preserve">). Further, the evidence of Table </w:t>
      </w:r>
      <w:r w:rsidR="001043BC">
        <w:rPr>
          <w:rFonts w:asciiTheme="majorBidi" w:hAnsiTheme="majorBidi" w:cstheme="majorBidi"/>
          <w:sz w:val="24"/>
          <w:szCs w:val="24"/>
        </w:rPr>
        <w:t>4</w:t>
      </w:r>
      <w:r w:rsidR="00EF74C1" w:rsidRPr="00511F36">
        <w:rPr>
          <w:rFonts w:asciiTheme="majorBidi" w:hAnsiTheme="majorBidi" w:cstheme="majorBidi"/>
          <w:sz w:val="24"/>
          <w:szCs w:val="24"/>
        </w:rPr>
        <w:t xml:space="preserve"> indicates that the </w:t>
      </w:r>
      <w:r w:rsidR="00391235" w:rsidRPr="00511F36">
        <w:rPr>
          <w:rFonts w:asciiTheme="majorBidi" w:hAnsiTheme="majorBidi" w:cstheme="majorBidi"/>
          <w:sz w:val="24"/>
          <w:szCs w:val="24"/>
        </w:rPr>
        <w:t xml:space="preserve">representation of women, </w:t>
      </w:r>
      <w:r w:rsidR="00EF74C1" w:rsidRPr="00511F36">
        <w:rPr>
          <w:rFonts w:asciiTheme="majorBidi" w:hAnsiTheme="majorBidi" w:cstheme="majorBidi"/>
          <w:sz w:val="24"/>
          <w:szCs w:val="24"/>
        </w:rPr>
        <w:t>Black, Asian and Ethnic Minorities</w:t>
      </w:r>
      <w:r w:rsidR="00596E43">
        <w:rPr>
          <w:rFonts w:asciiTheme="majorBidi" w:hAnsiTheme="majorBidi" w:cstheme="majorBidi"/>
          <w:sz w:val="24"/>
          <w:szCs w:val="24"/>
        </w:rPr>
        <w:t xml:space="preserve"> (BAME)</w:t>
      </w:r>
      <w:r w:rsidR="00EF74C1" w:rsidRPr="00511F36">
        <w:rPr>
          <w:rFonts w:asciiTheme="majorBidi" w:hAnsiTheme="majorBidi" w:cstheme="majorBidi"/>
          <w:sz w:val="24"/>
          <w:szCs w:val="24"/>
        </w:rPr>
        <w:t xml:space="preserve"> </w:t>
      </w:r>
      <w:r w:rsidR="002B2470" w:rsidRPr="00511F36">
        <w:rPr>
          <w:rFonts w:asciiTheme="majorBidi" w:hAnsiTheme="majorBidi" w:cstheme="majorBidi"/>
          <w:sz w:val="24"/>
          <w:szCs w:val="24"/>
        </w:rPr>
        <w:t xml:space="preserve">on UK HEIs’ governing board are relatively low, </w:t>
      </w:r>
      <w:r w:rsidR="00EF74C1" w:rsidRPr="00511F36">
        <w:rPr>
          <w:rFonts w:asciiTheme="majorBidi" w:hAnsiTheme="majorBidi" w:cstheme="majorBidi"/>
          <w:sz w:val="24"/>
          <w:szCs w:val="24"/>
        </w:rPr>
        <w:t xml:space="preserve">ranging from a minimum of 5.26% to 65.52%, with an average of 31.74%. </w:t>
      </w:r>
      <w:r w:rsidR="0073042B" w:rsidRPr="00511F36">
        <w:rPr>
          <w:rFonts w:asciiTheme="majorBidi" w:hAnsiTheme="majorBidi" w:cstheme="majorBidi"/>
          <w:sz w:val="24"/>
          <w:szCs w:val="24"/>
        </w:rPr>
        <w:t xml:space="preserve">Table </w:t>
      </w:r>
      <w:r w:rsidR="001043BC">
        <w:rPr>
          <w:rFonts w:asciiTheme="majorBidi" w:hAnsiTheme="majorBidi" w:cstheme="majorBidi"/>
          <w:sz w:val="24"/>
          <w:szCs w:val="24"/>
        </w:rPr>
        <w:t>4</w:t>
      </w:r>
      <w:r w:rsidR="0073042B" w:rsidRPr="00511F36">
        <w:rPr>
          <w:rFonts w:asciiTheme="majorBidi" w:hAnsiTheme="majorBidi" w:cstheme="majorBidi"/>
          <w:sz w:val="24"/>
          <w:szCs w:val="24"/>
        </w:rPr>
        <w:t xml:space="preserve"> also shows that governing board size (frequency of meetings) ranges </w:t>
      </w:r>
      <w:r w:rsidR="00354DE4">
        <w:rPr>
          <w:rFonts w:asciiTheme="majorBidi" w:hAnsiTheme="majorBidi" w:cstheme="majorBidi"/>
          <w:sz w:val="24"/>
          <w:szCs w:val="24"/>
        </w:rPr>
        <w:t>between</w:t>
      </w:r>
      <w:r w:rsidR="0073042B" w:rsidRPr="00511F36">
        <w:rPr>
          <w:rFonts w:asciiTheme="majorBidi" w:hAnsiTheme="majorBidi" w:cstheme="majorBidi"/>
          <w:sz w:val="24"/>
          <w:szCs w:val="24"/>
        </w:rPr>
        <w:t xml:space="preserve"> 11 (3) and 39 governors (12 meetings), with the average governing board having 23.49 governors (4.87</w:t>
      </w:r>
      <w:r w:rsidR="00DE5FEB" w:rsidRPr="00511F36">
        <w:rPr>
          <w:rFonts w:asciiTheme="majorBidi" w:hAnsiTheme="majorBidi" w:cstheme="majorBidi"/>
          <w:sz w:val="24"/>
          <w:szCs w:val="24"/>
        </w:rPr>
        <w:t xml:space="preserve"> meetings). </w:t>
      </w:r>
      <w:r w:rsidR="00354DE4" w:rsidRPr="00511F36">
        <w:rPr>
          <w:rFonts w:asciiTheme="majorBidi" w:hAnsiTheme="majorBidi" w:cstheme="majorBidi"/>
          <w:sz w:val="24"/>
          <w:szCs w:val="24"/>
        </w:rPr>
        <w:t>This is largely</w:t>
      </w:r>
      <w:r w:rsidR="00354DE4">
        <w:rPr>
          <w:rFonts w:asciiTheme="majorBidi" w:hAnsiTheme="majorBidi" w:cstheme="majorBidi"/>
          <w:sz w:val="24"/>
          <w:szCs w:val="24"/>
        </w:rPr>
        <w:t xml:space="preserve"> consistent with the recommendations of 1997 Dearing Report and 2009/2014 CUC</w:t>
      </w:r>
      <w:r w:rsidR="00057A08">
        <w:rPr>
          <w:rFonts w:asciiTheme="majorBidi" w:hAnsiTheme="majorBidi" w:cstheme="majorBidi"/>
          <w:sz w:val="24"/>
          <w:szCs w:val="24"/>
        </w:rPr>
        <w:t xml:space="preserve"> governance Code</w:t>
      </w:r>
      <w:r w:rsidR="00354DE4">
        <w:rPr>
          <w:rFonts w:asciiTheme="majorBidi" w:hAnsiTheme="majorBidi" w:cstheme="majorBidi"/>
          <w:sz w:val="24"/>
          <w:szCs w:val="24"/>
        </w:rPr>
        <w:t xml:space="preserve">, which indicate that the size of a HEI’s board should be between 12 and 25 members. Results reported in Table </w:t>
      </w:r>
      <w:r w:rsidR="001043BC">
        <w:rPr>
          <w:rFonts w:asciiTheme="majorBidi" w:hAnsiTheme="majorBidi" w:cstheme="majorBidi"/>
          <w:sz w:val="24"/>
          <w:szCs w:val="24"/>
        </w:rPr>
        <w:t>4</w:t>
      </w:r>
      <w:r w:rsidR="00354DE4">
        <w:rPr>
          <w:rFonts w:asciiTheme="majorBidi" w:hAnsiTheme="majorBidi" w:cstheme="majorBidi"/>
          <w:sz w:val="24"/>
          <w:szCs w:val="24"/>
        </w:rPr>
        <w:t xml:space="preserve"> also indicate that there </w:t>
      </w:r>
      <w:r w:rsidR="00CF3578">
        <w:rPr>
          <w:rFonts w:asciiTheme="majorBidi" w:hAnsiTheme="majorBidi" w:cstheme="majorBidi"/>
          <w:sz w:val="24"/>
          <w:szCs w:val="24"/>
        </w:rPr>
        <w:t>is</w:t>
      </w:r>
      <w:r w:rsidR="00354DE4">
        <w:rPr>
          <w:rFonts w:asciiTheme="majorBidi" w:hAnsiTheme="majorBidi" w:cstheme="majorBidi"/>
          <w:sz w:val="24"/>
          <w:szCs w:val="24"/>
        </w:rPr>
        <w:t xml:space="preserve"> </w:t>
      </w:r>
      <w:r w:rsidR="00CF3578">
        <w:rPr>
          <w:rFonts w:asciiTheme="majorBidi" w:hAnsiTheme="majorBidi" w:cstheme="majorBidi"/>
          <w:sz w:val="24"/>
          <w:szCs w:val="24"/>
        </w:rPr>
        <w:t>great</w:t>
      </w:r>
      <w:r w:rsidR="000D2E02">
        <w:rPr>
          <w:rFonts w:asciiTheme="majorBidi" w:hAnsiTheme="majorBidi" w:cstheme="majorBidi"/>
          <w:sz w:val="24"/>
          <w:szCs w:val="24"/>
        </w:rPr>
        <w:t xml:space="preserve"> </w:t>
      </w:r>
      <w:r w:rsidR="004556E1">
        <w:rPr>
          <w:rFonts w:asciiTheme="majorBidi" w:hAnsiTheme="majorBidi" w:cstheme="majorBidi"/>
          <w:sz w:val="24"/>
          <w:szCs w:val="24"/>
        </w:rPr>
        <w:t>variation</w:t>
      </w:r>
      <w:r w:rsidR="00354DE4">
        <w:rPr>
          <w:rFonts w:asciiTheme="majorBidi" w:hAnsiTheme="majorBidi" w:cstheme="majorBidi"/>
          <w:sz w:val="24"/>
          <w:szCs w:val="24"/>
        </w:rPr>
        <w:t xml:space="preserve"> among all of </w:t>
      </w:r>
      <w:r w:rsidR="00057A08">
        <w:rPr>
          <w:rFonts w:asciiTheme="majorBidi" w:hAnsiTheme="majorBidi" w:cstheme="majorBidi"/>
          <w:sz w:val="24"/>
          <w:szCs w:val="24"/>
        </w:rPr>
        <w:t xml:space="preserve">the </w:t>
      </w:r>
      <w:r w:rsidR="00354DE4">
        <w:rPr>
          <w:rFonts w:asciiTheme="majorBidi" w:hAnsiTheme="majorBidi" w:cstheme="majorBidi"/>
          <w:sz w:val="24"/>
          <w:szCs w:val="24"/>
        </w:rPr>
        <w:t xml:space="preserve">other remaining independent and control variables. </w:t>
      </w:r>
    </w:p>
    <w:p w14:paraId="50596926" w14:textId="6AE9FF63" w:rsidR="003777D3" w:rsidRDefault="009E3B15" w:rsidP="00567D34">
      <w:pPr>
        <w:spacing w:line="480" w:lineRule="auto"/>
        <w:jc w:val="center"/>
        <w:rPr>
          <w:rFonts w:asciiTheme="majorBidi" w:hAnsiTheme="majorBidi" w:cstheme="majorBidi"/>
          <w:sz w:val="24"/>
          <w:szCs w:val="24"/>
        </w:rPr>
      </w:pPr>
      <w:r w:rsidRPr="00511F36">
        <w:rPr>
          <w:rFonts w:asciiTheme="majorBidi" w:hAnsiTheme="majorBidi" w:cstheme="majorBidi"/>
          <w:sz w:val="24"/>
          <w:szCs w:val="24"/>
        </w:rPr>
        <w:t xml:space="preserve">Table </w:t>
      </w:r>
      <w:r w:rsidR="001043BC">
        <w:rPr>
          <w:rFonts w:asciiTheme="majorBidi" w:hAnsiTheme="majorBidi" w:cstheme="majorBidi"/>
          <w:sz w:val="24"/>
          <w:szCs w:val="24"/>
        </w:rPr>
        <w:t>4</w:t>
      </w:r>
      <w:r w:rsidRPr="00511F36">
        <w:rPr>
          <w:rFonts w:asciiTheme="majorBidi" w:hAnsiTheme="majorBidi" w:cstheme="majorBidi"/>
          <w:sz w:val="24"/>
          <w:szCs w:val="24"/>
        </w:rPr>
        <w:t xml:space="preserve"> </w:t>
      </w:r>
      <w:r w:rsidR="00511F36">
        <w:rPr>
          <w:rFonts w:asciiTheme="majorBidi" w:hAnsiTheme="majorBidi" w:cstheme="majorBidi"/>
          <w:sz w:val="24"/>
          <w:szCs w:val="24"/>
        </w:rPr>
        <w:t>near</w:t>
      </w:r>
      <w:r w:rsidR="003777D3">
        <w:rPr>
          <w:rFonts w:asciiTheme="majorBidi" w:hAnsiTheme="majorBidi" w:cstheme="majorBidi"/>
          <w:sz w:val="24"/>
          <w:szCs w:val="24"/>
        </w:rPr>
        <w:t xml:space="preserve"> here</w:t>
      </w:r>
    </w:p>
    <w:p w14:paraId="1BA238EB" w14:textId="09338461" w:rsidR="00C63EF2" w:rsidRDefault="009E3B15" w:rsidP="00C63EF2">
      <w:pPr>
        <w:spacing w:after="0" w:line="480" w:lineRule="auto"/>
        <w:ind w:firstLine="720"/>
        <w:jc w:val="both"/>
        <w:rPr>
          <w:rFonts w:asciiTheme="majorBidi" w:hAnsiTheme="majorBidi" w:cstheme="majorBidi"/>
          <w:sz w:val="24"/>
          <w:szCs w:val="24"/>
        </w:rPr>
      </w:pPr>
      <w:r w:rsidRPr="00511F36">
        <w:rPr>
          <w:rFonts w:asciiTheme="majorBidi" w:hAnsiTheme="majorBidi" w:cstheme="majorBidi"/>
          <w:sz w:val="24"/>
          <w:szCs w:val="24"/>
        </w:rPr>
        <w:t>Finally,</w:t>
      </w:r>
      <w:r w:rsidR="0012791F">
        <w:rPr>
          <w:rFonts w:asciiTheme="majorBidi" w:hAnsiTheme="majorBidi" w:cstheme="majorBidi"/>
          <w:sz w:val="24"/>
          <w:szCs w:val="24"/>
        </w:rPr>
        <w:t xml:space="preserve"> Table </w:t>
      </w:r>
      <w:r w:rsidR="001043BC">
        <w:rPr>
          <w:rFonts w:asciiTheme="majorBidi" w:hAnsiTheme="majorBidi" w:cstheme="majorBidi"/>
          <w:sz w:val="24"/>
          <w:szCs w:val="24"/>
        </w:rPr>
        <w:t>5</w:t>
      </w:r>
      <w:r w:rsidR="0012791F">
        <w:rPr>
          <w:rFonts w:asciiTheme="majorBidi" w:hAnsiTheme="majorBidi" w:cstheme="majorBidi"/>
          <w:sz w:val="24"/>
          <w:szCs w:val="24"/>
        </w:rPr>
        <w:t xml:space="preserve"> reports the results of correlation matrices in order to check the issue of multicollinearity</w:t>
      </w:r>
      <w:r w:rsidR="005747F4" w:rsidRPr="00511F36">
        <w:rPr>
          <w:rFonts w:asciiTheme="majorBidi" w:hAnsiTheme="majorBidi" w:cstheme="majorBidi"/>
          <w:sz w:val="24"/>
          <w:szCs w:val="24"/>
        </w:rPr>
        <w:t xml:space="preserve">. </w:t>
      </w:r>
      <w:r w:rsidR="000D2E02">
        <w:rPr>
          <w:rFonts w:asciiTheme="majorBidi" w:hAnsiTheme="majorBidi" w:cstheme="majorBidi"/>
          <w:sz w:val="24"/>
          <w:szCs w:val="24"/>
        </w:rPr>
        <w:t xml:space="preserve">The results of Pearson and Spearman </w:t>
      </w:r>
      <w:r w:rsidR="005747F4" w:rsidRPr="00511F36">
        <w:rPr>
          <w:rFonts w:asciiTheme="majorBidi" w:hAnsiTheme="majorBidi" w:cstheme="majorBidi"/>
          <w:sz w:val="24"/>
          <w:szCs w:val="24"/>
        </w:rPr>
        <w:t xml:space="preserve">have been reported as a robustness check and, crucially, </w:t>
      </w:r>
      <w:r w:rsidR="000D2E02">
        <w:rPr>
          <w:rFonts w:asciiTheme="majorBidi" w:hAnsiTheme="majorBidi" w:cstheme="majorBidi"/>
          <w:sz w:val="24"/>
          <w:szCs w:val="24"/>
        </w:rPr>
        <w:t xml:space="preserve">both tests have similar correlation coefficients, implying that </w:t>
      </w:r>
      <w:r w:rsidR="005747F4" w:rsidRPr="00511F36">
        <w:rPr>
          <w:rFonts w:asciiTheme="majorBidi" w:hAnsiTheme="majorBidi" w:cstheme="majorBidi"/>
          <w:sz w:val="24"/>
          <w:szCs w:val="24"/>
        </w:rPr>
        <w:t>any remaining multicollinearities may not be statistically harmful</w:t>
      </w:r>
      <w:r w:rsidR="0060608F">
        <w:rPr>
          <w:rFonts w:asciiTheme="majorBidi" w:hAnsiTheme="majorBidi" w:cstheme="majorBidi"/>
          <w:sz w:val="24"/>
          <w:szCs w:val="24"/>
        </w:rPr>
        <w:t xml:space="preserve">. Further, and as shown in </w:t>
      </w:r>
      <w:r w:rsidR="00BD7069">
        <w:rPr>
          <w:rFonts w:asciiTheme="majorBidi" w:hAnsiTheme="majorBidi" w:cstheme="majorBidi"/>
          <w:sz w:val="24"/>
          <w:szCs w:val="24"/>
        </w:rPr>
        <w:t xml:space="preserve">Models 1-10 of </w:t>
      </w:r>
      <w:r w:rsidR="0060608F">
        <w:rPr>
          <w:rFonts w:asciiTheme="majorBidi" w:hAnsiTheme="majorBidi" w:cstheme="majorBidi"/>
          <w:sz w:val="24"/>
          <w:szCs w:val="24"/>
        </w:rPr>
        <w:t>Table</w:t>
      </w:r>
      <w:r w:rsidR="00F4486F">
        <w:rPr>
          <w:rFonts w:asciiTheme="majorBidi" w:hAnsiTheme="majorBidi" w:cstheme="majorBidi"/>
          <w:sz w:val="24"/>
          <w:szCs w:val="24"/>
        </w:rPr>
        <w:t xml:space="preserve"> 6</w:t>
      </w:r>
      <w:r w:rsidR="0060608F">
        <w:rPr>
          <w:rFonts w:asciiTheme="majorBidi" w:hAnsiTheme="majorBidi" w:cstheme="majorBidi"/>
          <w:sz w:val="24"/>
          <w:szCs w:val="24"/>
        </w:rPr>
        <w:t xml:space="preserve">, the VIF values relating to all of our examined variables </w:t>
      </w:r>
      <w:r w:rsidR="0095527E">
        <w:rPr>
          <w:rFonts w:asciiTheme="majorBidi" w:hAnsiTheme="majorBidi" w:cstheme="majorBidi"/>
          <w:sz w:val="24"/>
          <w:szCs w:val="24"/>
        </w:rPr>
        <w:t xml:space="preserve">are relatively low and </w:t>
      </w:r>
      <w:r w:rsidR="0060608F">
        <w:rPr>
          <w:rFonts w:asciiTheme="majorBidi" w:hAnsiTheme="majorBidi" w:cstheme="majorBidi"/>
          <w:sz w:val="24"/>
          <w:szCs w:val="24"/>
        </w:rPr>
        <w:t>do not exceed 10, implying that</w:t>
      </w:r>
      <w:r w:rsidR="00231E98">
        <w:rPr>
          <w:rFonts w:asciiTheme="majorBidi" w:hAnsiTheme="majorBidi" w:cstheme="majorBidi"/>
          <w:sz w:val="24"/>
          <w:szCs w:val="24"/>
        </w:rPr>
        <w:t xml:space="preserve"> </w:t>
      </w:r>
      <w:r w:rsidR="00231E98" w:rsidRPr="00231E98">
        <w:rPr>
          <w:rFonts w:asciiTheme="majorBidi" w:hAnsiTheme="majorBidi" w:cstheme="majorBidi"/>
          <w:sz w:val="24"/>
          <w:szCs w:val="24"/>
        </w:rPr>
        <w:t>our variables do not suffer from any serious multicollinearity problems</w:t>
      </w:r>
      <w:r w:rsidR="00231E98">
        <w:rPr>
          <w:rFonts w:asciiTheme="majorBidi" w:hAnsiTheme="majorBidi" w:cstheme="majorBidi"/>
          <w:sz w:val="24"/>
          <w:szCs w:val="24"/>
        </w:rPr>
        <w:t xml:space="preserve"> (</w:t>
      </w:r>
      <w:r w:rsidR="00BD7069" w:rsidRPr="00F4486F">
        <w:rPr>
          <w:rFonts w:asciiTheme="majorBidi" w:hAnsiTheme="majorBidi" w:cstheme="majorBidi"/>
          <w:sz w:val="24"/>
          <w:szCs w:val="24"/>
          <w:shd w:val="clear" w:color="auto" w:fill="FFFFFF"/>
        </w:rPr>
        <w:t>Cohen</w:t>
      </w:r>
      <w:r w:rsidR="00BD7069">
        <w:rPr>
          <w:rFonts w:asciiTheme="majorBidi" w:hAnsiTheme="majorBidi" w:cstheme="majorBidi"/>
          <w:sz w:val="24"/>
          <w:szCs w:val="24"/>
          <w:shd w:val="clear" w:color="auto" w:fill="FFFFFF"/>
        </w:rPr>
        <w:t xml:space="preserve"> et al., 2003</w:t>
      </w:r>
      <w:r w:rsidR="00231E98">
        <w:rPr>
          <w:rFonts w:asciiTheme="majorBidi" w:hAnsiTheme="majorBidi" w:cstheme="majorBidi"/>
          <w:sz w:val="24"/>
          <w:szCs w:val="24"/>
        </w:rPr>
        <w:t>)</w:t>
      </w:r>
      <w:r w:rsidR="005747F4" w:rsidRPr="00511F36">
        <w:rPr>
          <w:rFonts w:asciiTheme="majorBidi" w:hAnsiTheme="majorBidi" w:cstheme="majorBidi"/>
          <w:sz w:val="24"/>
          <w:szCs w:val="24"/>
        </w:rPr>
        <w:t>.</w:t>
      </w:r>
      <w:r w:rsidR="00BF7976" w:rsidRPr="00511F36">
        <w:rPr>
          <w:rFonts w:asciiTheme="majorBidi" w:hAnsiTheme="majorBidi" w:cstheme="majorBidi"/>
          <w:sz w:val="24"/>
          <w:szCs w:val="24"/>
        </w:rPr>
        <w:t xml:space="preserve"> </w:t>
      </w:r>
    </w:p>
    <w:p w14:paraId="1123AD94" w14:textId="18BCBCC3" w:rsidR="00447425" w:rsidRPr="00511F36" w:rsidRDefault="00AA3A9F" w:rsidP="00C63EF2">
      <w:pPr>
        <w:spacing w:after="0" w:line="480" w:lineRule="auto"/>
        <w:ind w:firstLine="720"/>
        <w:jc w:val="both"/>
        <w:rPr>
          <w:rFonts w:asciiTheme="majorBidi" w:hAnsiTheme="majorBidi" w:cstheme="majorBidi"/>
          <w:sz w:val="24"/>
          <w:szCs w:val="24"/>
        </w:rPr>
      </w:pPr>
      <w:r w:rsidRPr="00511F36">
        <w:rPr>
          <w:rFonts w:asciiTheme="majorBidi" w:hAnsiTheme="majorBidi" w:cstheme="majorBidi"/>
          <w:sz w:val="24"/>
          <w:szCs w:val="24"/>
        </w:rPr>
        <w:lastRenderedPageBreak/>
        <w:t xml:space="preserve">Moreover, </w:t>
      </w:r>
      <w:r w:rsidR="005340F2" w:rsidRPr="00511F36">
        <w:rPr>
          <w:rFonts w:asciiTheme="majorBidi" w:hAnsiTheme="majorBidi" w:cstheme="majorBidi"/>
          <w:sz w:val="24"/>
          <w:szCs w:val="24"/>
        </w:rPr>
        <w:t xml:space="preserve">and </w:t>
      </w:r>
      <w:r w:rsidR="00CB3C06">
        <w:rPr>
          <w:rFonts w:asciiTheme="majorBidi" w:hAnsiTheme="majorBidi" w:cstheme="majorBidi"/>
          <w:sz w:val="24"/>
          <w:szCs w:val="24"/>
        </w:rPr>
        <w:t xml:space="preserve">similar to the findings of </w:t>
      </w:r>
      <w:r w:rsidR="005340F2" w:rsidRPr="00511F36">
        <w:rPr>
          <w:rFonts w:asciiTheme="majorBidi" w:hAnsiTheme="majorBidi" w:cstheme="majorBidi"/>
          <w:sz w:val="24"/>
          <w:szCs w:val="24"/>
        </w:rPr>
        <w:t xml:space="preserve">prior studies on </w:t>
      </w:r>
      <w:r w:rsidR="001D42DE">
        <w:rPr>
          <w:rFonts w:asciiTheme="majorBidi" w:hAnsiTheme="majorBidi" w:cstheme="majorBidi"/>
          <w:sz w:val="24"/>
          <w:szCs w:val="24"/>
        </w:rPr>
        <w:t>non-profitable organisations (</w:t>
      </w:r>
      <w:r w:rsidR="00421EDC" w:rsidRPr="00421EDC">
        <w:rPr>
          <w:rFonts w:asciiTheme="majorBidi" w:hAnsiTheme="majorBidi" w:cstheme="majorBidi"/>
          <w:sz w:val="24"/>
          <w:szCs w:val="24"/>
        </w:rPr>
        <w:t>del Mar Gálvez-Rodríguez</w:t>
      </w:r>
      <w:r w:rsidR="00421EDC">
        <w:rPr>
          <w:rFonts w:asciiTheme="majorBidi" w:hAnsiTheme="majorBidi" w:cstheme="majorBidi"/>
          <w:sz w:val="24"/>
          <w:szCs w:val="24"/>
        </w:rPr>
        <w:t xml:space="preserve"> et al., 2014; Saxton et al., 2012; Xue &amp; Niu, 2019), </w:t>
      </w:r>
      <w:r w:rsidR="00EA0CDA" w:rsidRPr="00511F36">
        <w:rPr>
          <w:rFonts w:asciiTheme="majorBidi" w:hAnsiTheme="majorBidi" w:cstheme="majorBidi"/>
          <w:sz w:val="24"/>
          <w:szCs w:val="24"/>
        </w:rPr>
        <w:t xml:space="preserve">Table </w:t>
      </w:r>
      <w:r w:rsidR="001043BC">
        <w:rPr>
          <w:rFonts w:asciiTheme="majorBidi" w:hAnsiTheme="majorBidi" w:cstheme="majorBidi"/>
          <w:sz w:val="24"/>
          <w:szCs w:val="24"/>
        </w:rPr>
        <w:t>5</w:t>
      </w:r>
      <w:r w:rsidR="00EA0CDA" w:rsidRPr="00511F36">
        <w:rPr>
          <w:rFonts w:asciiTheme="majorBidi" w:hAnsiTheme="majorBidi" w:cstheme="majorBidi"/>
          <w:sz w:val="24"/>
          <w:szCs w:val="24"/>
        </w:rPr>
        <w:t xml:space="preserve"> demonstrates that, in general, </w:t>
      </w:r>
      <w:r w:rsidR="00596E43">
        <w:rPr>
          <w:rFonts w:asciiTheme="majorBidi" w:hAnsiTheme="majorBidi" w:cstheme="majorBidi"/>
          <w:sz w:val="24"/>
          <w:szCs w:val="24"/>
        </w:rPr>
        <w:t>i</w:t>
      </w:r>
      <w:r w:rsidR="00EA0CDA" w:rsidRPr="00511F36">
        <w:rPr>
          <w:rFonts w:asciiTheme="majorBidi" w:hAnsiTheme="majorBidi" w:cstheme="majorBidi"/>
          <w:sz w:val="24"/>
          <w:szCs w:val="24"/>
        </w:rPr>
        <w:t xml:space="preserve">nternal </w:t>
      </w:r>
      <w:r w:rsidR="00596E43">
        <w:rPr>
          <w:rFonts w:asciiTheme="majorBidi" w:hAnsiTheme="majorBidi" w:cstheme="majorBidi"/>
          <w:sz w:val="24"/>
          <w:szCs w:val="24"/>
        </w:rPr>
        <w:t>g</w:t>
      </w:r>
      <w:r w:rsidR="00EA0CDA" w:rsidRPr="00511F36">
        <w:rPr>
          <w:rFonts w:asciiTheme="majorBidi" w:hAnsiTheme="majorBidi" w:cstheme="majorBidi"/>
          <w:sz w:val="24"/>
          <w:szCs w:val="24"/>
        </w:rPr>
        <w:t xml:space="preserve">overnance </w:t>
      </w:r>
      <w:r w:rsidR="00596E43">
        <w:rPr>
          <w:rFonts w:asciiTheme="majorBidi" w:hAnsiTheme="majorBidi" w:cstheme="majorBidi"/>
          <w:sz w:val="24"/>
          <w:szCs w:val="24"/>
        </w:rPr>
        <w:t>m</w:t>
      </w:r>
      <w:r w:rsidR="00EA0CDA" w:rsidRPr="00511F36">
        <w:rPr>
          <w:rFonts w:asciiTheme="majorBidi" w:hAnsiTheme="majorBidi" w:cstheme="majorBidi"/>
          <w:sz w:val="24"/>
          <w:szCs w:val="24"/>
        </w:rPr>
        <w:t>echanisms (</w:t>
      </w:r>
      <w:r w:rsidR="00EA0CDA" w:rsidRPr="00511F36">
        <w:rPr>
          <w:rFonts w:asciiTheme="majorBidi" w:hAnsiTheme="majorBidi" w:cstheme="majorBidi"/>
          <w:i/>
          <w:iCs/>
          <w:sz w:val="24"/>
          <w:szCs w:val="24"/>
        </w:rPr>
        <w:t>IGM</w:t>
      </w:r>
      <w:r w:rsidR="005C60A7">
        <w:rPr>
          <w:rFonts w:asciiTheme="majorBidi" w:hAnsiTheme="majorBidi" w:cstheme="majorBidi"/>
          <w:i/>
          <w:iCs/>
          <w:sz w:val="24"/>
          <w:szCs w:val="24"/>
        </w:rPr>
        <w:t>s</w:t>
      </w:r>
      <w:r w:rsidR="00EA0CDA" w:rsidRPr="00511F36">
        <w:rPr>
          <w:rFonts w:asciiTheme="majorBidi" w:hAnsiTheme="majorBidi" w:cstheme="majorBidi"/>
          <w:sz w:val="24"/>
          <w:szCs w:val="24"/>
        </w:rPr>
        <w:t>) and control variables (</w:t>
      </w:r>
      <w:r w:rsidR="00EA0CDA" w:rsidRPr="00511F36">
        <w:rPr>
          <w:rFonts w:asciiTheme="majorBidi" w:hAnsiTheme="majorBidi" w:cstheme="majorBidi"/>
          <w:i/>
          <w:iCs/>
          <w:sz w:val="24"/>
          <w:szCs w:val="24"/>
        </w:rPr>
        <w:t>CNTS</w:t>
      </w:r>
      <w:r w:rsidR="00EA0CDA" w:rsidRPr="00511F36">
        <w:rPr>
          <w:rFonts w:asciiTheme="majorBidi" w:hAnsiTheme="majorBidi" w:cstheme="majorBidi"/>
          <w:sz w:val="24"/>
          <w:szCs w:val="24"/>
        </w:rPr>
        <w:t xml:space="preserve">) are significantly correlated with </w:t>
      </w:r>
      <w:r w:rsidR="00EA0CDA" w:rsidRPr="00511F36">
        <w:rPr>
          <w:rFonts w:asciiTheme="majorBidi" w:hAnsiTheme="majorBidi" w:cstheme="majorBidi"/>
          <w:i/>
          <w:iCs/>
          <w:sz w:val="24"/>
          <w:szCs w:val="24"/>
        </w:rPr>
        <w:t>HEGI</w:t>
      </w:r>
      <w:r w:rsidR="00EA0CDA" w:rsidRPr="00511F36">
        <w:rPr>
          <w:rFonts w:asciiTheme="majorBidi" w:hAnsiTheme="majorBidi" w:cstheme="majorBidi"/>
          <w:sz w:val="24"/>
          <w:szCs w:val="24"/>
        </w:rPr>
        <w:t xml:space="preserve">. </w:t>
      </w:r>
      <w:r w:rsidR="00B20057" w:rsidRPr="00511F36">
        <w:rPr>
          <w:rFonts w:asciiTheme="majorBidi" w:hAnsiTheme="majorBidi" w:cstheme="majorBidi"/>
          <w:sz w:val="24"/>
          <w:szCs w:val="24"/>
        </w:rPr>
        <w:t xml:space="preserve">For </w:t>
      </w:r>
      <w:r w:rsidR="008E5065" w:rsidRPr="00511F36">
        <w:rPr>
          <w:rFonts w:asciiTheme="majorBidi" w:hAnsiTheme="majorBidi" w:cstheme="majorBidi"/>
          <w:sz w:val="24"/>
          <w:szCs w:val="24"/>
        </w:rPr>
        <w:t>instance, and in line with our predictions, vice-chancellor tenure (</w:t>
      </w:r>
      <w:r w:rsidR="008E5065" w:rsidRPr="00511F36">
        <w:rPr>
          <w:rFonts w:asciiTheme="majorBidi" w:hAnsiTheme="majorBidi" w:cstheme="majorBidi"/>
          <w:i/>
          <w:iCs/>
          <w:sz w:val="24"/>
          <w:szCs w:val="24"/>
        </w:rPr>
        <w:t>V</w:t>
      </w:r>
      <w:r w:rsidR="00D103E6">
        <w:rPr>
          <w:rFonts w:asciiTheme="majorBidi" w:hAnsiTheme="majorBidi" w:cstheme="majorBidi"/>
          <w:i/>
          <w:iCs/>
          <w:sz w:val="24"/>
          <w:szCs w:val="24"/>
        </w:rPr>
        <w:t>C</w:t>
      </w:r>
      <w:r w:rsidR="008E5065" w:rsidRPr="00511F36">
        <w:rPr>
          <w:rFonts w:asciiTheme="majorBidi" w:hAnsiTheme="majorBidi" w:cstheme="majorBidi"/>
          <w:i/>
          <w:iCs/>
          <w:sz w:val="24"/>
          <w:szCs w:val="24"/>
        </w:rPr>
        <w:t>T</w:t>
      </w:r>
      <w:r w:rsidR="00D103E6">
        <w:rPr>
          <w:rFonts w:asciiTheme="majorBidi" w:hAnsiTheme="majorBidi" w:cstheme="majorBidi"/>
          <w:i/>
          <w:iCs/>
          <w:sz w:val="24"/>
          <w:szCs w:val="24"/>
        </w:rPr>
        <w:t>EN</w:t>
      </w:r>
      <w:r w:rsidR="008E5065" w:rsidRPr="00511F36">
        <w:rPr>
          <w:rFonts w:asciiTheme="majorBidi" w:hAnsiTheme="majorBidi" w:cstheme="majorBidi"/>
          <w:sz w:val="24"/>
          <w:szCs w:val="24"/>
        </w:rPr>
        <w:t xml:space="preserve">), existence of </w:t>
      </w:r>
      <w:r w:rsidR="00596E43">
        <w:rPr>
          <w:rFonts w:asciiTheme="majorBidi" w:hAnsiTheme="majorBidi" w:cstheme="majorBidi"/>
          <w:sz w:val="24"/>
          <w:szCs w:val="24"/>
        </w:rPr>
        <w:t xml:space="preserve">a </w:t>
      </w:r>
      <w:r w:rsidR="008E5065" w:rsidRPr="00511F36">
        <w:rPr>
          <w:rFonts w:asciiTheme="majorBidi" w:hAnsiTheme="majorBidi" w:cstheme="majorBidi"/>
          <w:sz w:val="24"/>
          <w:szCs w:val="24"/>
        </w:rPr>
        <w:t>governance committees (</w:t>
      </w:r>
      <w:r w:rsidR="00D103E6">
        <w:rPr>
          <w:rFonts w:asciiTheme="majorBidi" w:hAnsiTheme="majorBidi" w:cstheme="majorBidi"/>
          <w:i/>
          <w:iCs/>
          <w:sz w:val="24"/>
          <w:szCs w:val="24"/>
        </w:rPr>
        <w:t>EGC</w:t>
      </w:r>
      <w:r w:rsidR="008E5065" w:rsidRPr="00511F36">
        <w:rPr>
          <w:rFonts w:asciiTheme="majorBidi" w:hAnsiTheme="majorBidi" w:cstheme="majorBidi"/>
          <w:sz w:val="24"/>
          <w:szCs w:val="24"/>
        </w:rPr>
        <w:t>), governing board independence (</w:t>
      </w:r>
      <w:r w:rsidR="00D103E6">
        <w:rPr>
          <w:rFonts w:asciiTheme="majorBidi" w:hAnsiTheme="majorBidi" w:cstheme="majorBidi"/>
          <w:i/>
          <w:iCs/>
          <w:sz w:val="24"/>
          <w:szCs w:val="24"/>
        </w:rPr>
        <w:t>GBIND</w:t>
      </w:r>
      <w:r w:rsidR="008E5065" w:rsidRPr="00511F36">
        <w:rPr>
          <w:rFonts w:asciiTheme="majorBidi" w:hAnsiTheme="majorBidi" w:cstheme="majorBidi"/>
          <w:sz w:val="24"/>
          <w:szCs w:val="24"/>
        </w:rPr>
        <w:t>), meetings (</w:t>
      </w:r>
      <w:r w:rsidR="008E5065" w:rsidRPr="00511F36">
        <w:rPr>
          <w:rFonts w:asciiTheme="majorBidi" w:hAnsiTheme="majorBidi" w:cstheme="majorBidi"/>
          <w:i/>
          <w:iCs/>
          <w:sz w:val="24"/>
          <w:szCs w:val="24"/>
        </w:rPr>
        <w:t>G</w:t>
      </w:r>
      <w:r w:rsidR="00D103E6">
        <w:rPr>
          <w:rFonts w:asciiTheme="majorBidi" w:hAnsiTheme="majorBidi" w:cstheme="majorBidi"/>
          <w:i/>
          <w:iCs/>
          <w:sz w:val="24"/>
          <w:szCs w:val="24"/>
        </w:rPr>
        <w:t>B</w:t>
      </w:r>
      <w:r w:rsidR="008E5065" w:rsidRPr="00511F36">
        <w:rPr>
          <w:rFonts w:asciiTheme="majorBidi" w:hAnsiTheme="majorBidi" w:cstheme="majorBidi"/>
          <w:i/>
          <w:iCs/>
          <w:sz w:val="24"/>
          <w:szCs w:val="24"/>
        </w:rPr>
        <w:t>M</w:t>
      </w:r>
      <w:r w:rsidR="00D103E6">
        <w:rPr>
          <w:rFonts w:asciiTheme="majorBidi" w:hAnsiTheme="majorBidi" w:cstheme="majorBidi"/>
          <w:i/>
          <w:iCs/>
          <w:sz w:val="24"/>
          <w:szCs w:val="24"/>
        </w:rPr>
        <w:t>T</w:t>
      </w:r>
      <w:r w:rsidR="008E5065" w:rsidRPr="00511F36">
        <w:rPr>
          <w:rFonts w:asciiTheme="majorBidi" w:hAnsiTheme="majorBidi" w:cstheme="majorBidi"/>
          <w:sz w:val="24"/>
          <w:szCs w:val="24"/>
        </w:rPr>
        <w:t xml:space="preserve">), </w:t>
      </w:r>
      <w:r w:rsidR="00D103E6">
        <w:rPr>
          <w:rFonts w:asciiTheme="majorBidi" w:hAnsiTheme="majorBidi" w:cstheme="majorBidi"/>
          <w:sz w:val="24"/>
          <w:szCs w:val="24"/>
        </w:rPr>
        <w:t>HEI</w:t>
      </w:r>
      <w:r w:rsidR="00D103E6" w:rsidRPr="00511F36">
        <w:rPr>
          <w:rFonts w:asciiTheme="majorBidi" w:hAnsiTheme="majorBidi" w:cstheme="majorBidi"/>
          <w:sz w:val="24"/>
          <w:szCs w:val="24"/>
        </w:rPr>
        <w:t xml:space="preserve"> </w:t>
      </w:r>
      <w:r w:rsidR="008E5065" w:rsidRPr="00511F36">
        <w:rPr>
          <w:rFonts w:asciiTheme="majorBidi" w:hAnsiTheme="majorBidi" w:cstheme="majorBidi"/>
          <w:sz w:val="24"/>
          <w:szCs w:val="24"/>
        </w:rPr>
        <w:t>size (</w:t>
      </w:r>
      <w:r w:rsidR="00D103E6">
        <w:rPr>
          <w:rFonts w:asciiTheme="majorBidi" w:hAnsiTheme="majorBidi" w:cstheme="majorBidi"/>
          <w:i/>
          <w:iCs/>
          <w:sz w:val="24"/>
          <w:szCs w:val="24"/>
        </w:rPr>
        <w:t>HEIZE</w:t>
      </w:r>
      <w:r w:rsidR="008E5065" w:rsidRPr="00511F36">
        <w:rPr>
          <w:rFonts w:asciiTheme="majorBidi" w:hAnsiTheme="majorBidi" w:cstheme="majorBidi"/>
          <w:sz w:val="24"/>
          <w:szCs w:val="24"/>
        </w:rPr>
        <w:t>), revenues from funding councils (</w:t>
      </w:r>
      <w:r w:rsidR="00D103E6">
        <w:rPr>
          <w:rFonts w:asciiTheme="majorBidi" w:hAnsiTheme="majorBidi" w:cstheme="majorBidi"/>
          <w:i/>
          <w:iCs/>
          <w:sz w:val="24"/>
          <w:szCs w:val="24"/>
        </w:rPr>
        <w:t>CFUND</w:t>
      </w:r>
      <w:r w:rsidR="008E5065" w:rsidRPr="00511F36">
        <w:rPr>
          <w:rFonts w:asciiTheme="majorBidi" w:hAnsiTheme="majorBidi" w:cstheme="majorBidi"/>
          <w:sz w:val="24"/>
          <w:szCs w:val="24"/>
        </w:rPr>
        <w:t xml:space="preserve">) are positively related to </w:t>
      </w:r>
      <w:r w:rsidR="008E5065" w:rsidRPr="00511F36">
        <w:rPr>
          <w:rFonts w:asciiTheme="majorBidi" w:hAnsiTheme="majorBidi" w:cstheme="majorBidi"/>
          <w:i/>
          <w:iCs/>
          <w:sz w:val="24"/>
          <w:szCs w:val="24"/>
        </w:rPr>
        <w:t>HEGI</w:t>
      </w:r>
      <w:r w:rsidR="008E5065" w:rsidRPr="00511F36">
        <w:rPr>
          <w:rFonts w:asciiTheme="majorBidi" w:hAnsiTheme="majorBidi" w:cstheme="majorBidi"/>
          <w:sz w:val="24"/>
          <w:szCs w:val="24"/>
        </w:rPr>
        <w:t xml:space="preserve">. </w:t>
      </w:r>
      <w:r w:rsidR="00712D6C" w:rsidRPr="00511F36">
        <w:rPr>
          <w:rFonts w:asciiTheme="majorBidi" w:hAnsiTheme="majorBidi" w:cstheme="majorBidi"/>
          <w:sz w:val="24"/>
          <w:szCs w:val="24"/>
        </w:rPr>
        <w:t xml:space="preserve">In contrast, and not consistent with our expectations, the </w:t>
      </w:r>
      <w:r w:rsidR="00712D6C" w:rsidRPr="00511F36">
        <w:rPr>
          <w:rFonts w:asciiTheme="majorBidi" w:hAnsiTheme="majorBidi" w:cstheme="majorBidi"/>
          <w:i/>
          <w:iCs/>
          <w:sz w:val="24"/>
          <w:szCs w:val="24"/>
        </w:rPr>
        <w:t xml:space="preserve">HEGI </w:t>
      </w:r>
      <w:r w:rsidR="00712D6C" w:rsidRPr="00511F36">
        <w:rPr>
          <w:rFonts w:asciiTheme="majorBidi" w:hAnsiTheme="majorBidi" w:cstheme="majorBidi"/>
          <w:sz w:val="24"/>
          <w:szCs w:val="24"/>
        </w:rPr>
        <w:t>is negatively related to governing board diversity (</w:t>
      </w:r>
      <w:r w:rsidR="00712D6C" w:rsidRPr="00511F36">
        <w:rPr>
          <w:rFonts w:asciiTheme="majorBidi" w:hAnsiTheme="majorBidi" w:cstheme="majorBidi"/>
          <w:i/>
          <w:iCs/>
          <w:sz w:val="24"/>
          <w:szCs w:val="24"/>
        </w:rPr>
        <w:t>G</w:t>
      </w:r>
      <w:r w:rsidR="00D103E6">
        <w:rPr>
          <w:rFonts w:asciiTheme="majorBidi" w:hAnsiTheme="majorBidi" w:cstheme="majorBidi"/>
          <w:i/>
          <w:iCs/>
          <w:sz w:val="24"/>
          <w:szCs w:val="24"/>
        </w:rPr>
        <w:t>BGE</w:t>
      </w:r>
      <w:r w:rsidR="00712D6C" w:rsidRPr="00511F36">
        <w:rPr>
          <w:rFonts w:asciiTheme="majorBidi" w:hAnsiTheme="majorBidi" w:cstheme="majorBidi"/>
          <w:i/>
          <w:iCs/>
          <w:sz w:val="24"/>
          <w:szCs w:val="24"/>
        </w:rPr>
        <w:t>D</w:t>
      </w:r>
      <w:r w:rsidR="00712D6C" w:rsidRPr="00511F36">
        <w:rPr>
          <w:rFonts w:asciiTheme="majorBidi" w:hAnsiTheme="majorBidi" w:cstheme="majorBidi"/>
          <w:sz w:val="24"/>
          <w:szCs w:val="24"/>
        </w:rPr>
        <w:t>) and audit firm size (</w:t>
      </w:r>
      <w:r w:rsidR="00712D6C" w:rsidRPr="00511F36">
        <w:rPr>
          <w:rFonts w:asciiTheme="majorBidi" w:hAnsiTheme="majorBidi" w:cstheme="majorBidi"/>
          <w:i/>
          <w:iCs/>
          <w:sz w:val="24"/>
          <w:szCs w:val="24"/>
        </w:rPr>
        <w:t>A</w:t>
      </w:r>
      <w:r w:rsidR="00D103E6">
        <w:rPr>
          <w:rFonts w:asciiTheme="majorBidi" w:hAnsiTheme="majorBidi" w:cstheme="majorBidi"/>
          <w:i/>
          <w:iCs/>
          <w:sz w:val="24"/>
          <w:szCs w:val="24"/>
        </w:rPr>
        <w:t>F</w:t>
      </w:r>
      <w:r w:rsidR="00712D6C" w:rsidRPr="00511F36">
        <w:rPr>
          <w:rFonts w:asciiTheme="majorBidi" w:hAnsiTheme="majorBidi" w:cstheme="majorBidi"/>
          <w:i/>
          <w:iCs/>
          <w:sz w:val="24"/>
          <w:szCs w:val="24"/>
        </w:rPr>
        <w:t>Z</w:t>
      </w:r>
      <w:r w:rsidR="00D103E6">
        <w:rPr>
          <w:rFonts w:asciiTheme="majorBidi" w:hAnsiTheme="majorBidi" w:cstheme="majorBidi"/>
          <w:i/>
          <w:iCs/>
          <w:sz w:val="24"/>
          <w:szCs w:val="24"/>
        </w:rPr>
        <w:t>E</w:t>
      </w:r>
      <w:r w:rsidR="00712D6C" w:rsidRPr="00511F36">
        <w:rPr>
          <w:rFonts w:asciiTheme="majorBidi" w:hAnsiTheme="majorBidi" w:cstheme="majorBidi"/>
          <w:sz w:val="24"/>
          <w:szCs w:val="24"/>
        </w:rPr>
        <w:t xml:space="preserve">). Similarly, the evidence of no association among the </w:t>
      </w:r>
      <w:r w:rsidR="00712D6C" w:rsidRPr="00511F36">
        <w:rPr>
          <w:rFonts w:asciiTheme="majorBidi" w:hAnsiTheme="majorBidi" w:cstheme="majorBidi"/>
          <w:i/>
          <w:iCs/>
          <w:sz w:val="24"/>
          <w:szCs w:val="24"/>
        </w:rPr>
        <w:t>HEGI</w:t>
      </w:r>
      <w:r w:rsidR="00712D6C" w:rsidRPr="00511F36">
        <w:rPr>
          <w:rFonts w:asciiTheme="majorBidi" w:hAnsiTheme="majorBidi" w:cstheme="majorBidi"/>
          <w:sz w:val="24"/>
          <w:szCs w:val="24"/>
        </w:rPr>
        <w:t>, vice-chancellor gender (</w:t>
      </w:r>
      <w:r w:rsidR="00712D6C" w:rsidRPr="00511F36">
        <w:rPr>
          <w:rFonts w:asciiTheme="majorBidi" w:hAnsiTheme="majorBidi" w:cstheme="majorBidi"/>
          <w:i/>
          <w:iCs/>
          <w:sz w:val="24"/>
          <w:szCs w:val="24"/>
        </w:rPr>
        <w:t>V</w:t>
      </w:r>
      <w:r w:rsidR="00D103E6">
        <w:rPr>
          <w:rFonts w:asciiTheme="majorBidi" w:hAnsiTheme="majorBidi" w:cstheme="majorBidi"/>
          <w:i/>
          <w:iCs/>
          <w:sz w:val="24"/>
          <w:szCs w:val="24"/>
        </w:rPr>
        <w:t>C</w:t>
      </w:r>
      <w:r w:rsidR="00712D6C" w:rsidRPr="00511F36">
        <w:rPr>
          <w:rFonts w:asciiTheme="majorBidi" w:hAnsiTheme="majorBidi" w:cstheme="majorBidi"/>
          <w:i/>
          <w:iCs/>
          <w:sz w:val="24"/>
          <w:szCs w:val="24"/>
        </w:rPr>
        <w:t>G</w:t>
      </w:r>
      <w:r w:rsidR="00D103E6">
        <w:rPr>
          <w:rFonts w:asciiTheme="majorBidi" w:hAnsiTheme="majorBidi" w:cstheme="majorBidi"/>
          <w:i/>
          <w:iCs/>
          <w:sz w:val="24"/>
          <w:szCs w:val="24"/>
        </w:rPr>
        <w:t>EN</w:t>
      </w:r>
      <w:r w:rsidR="00712D6C" w:rsidRPr="00511F36">
        <w:rPr>
          <w:rFonts w:asciiTheme="majorBidi" w:hAnsiTheme="majorBidi" w:cstheme="majorBidi"/>
          <w:sz w:val="24"/>
          <w:szCs w:val="24"/>
        </w:rPr>
        <w:t>), discipline (</w:t>
      </w:r>
      <w:r w:rsidR="00712D6C" w:rsidRPr="00511F36">
        <w:rPr>
          <w:rFonts w:asciiTheme="majorBidi" w:hAnsiTheme="majorBidi" w:cstheme="majorBidi"/>
          <w:i/>
          <w:iCs/>
          <w:sz w:val="24"/>
          <w:szCs w:val="24"/>
        </w:rPr>
        <w:t>V</w:t>
      </w:r>
      <w:r w:rsidR="00D103E6">
        <w:rPr>
          <w:rFonts w:asciiTheme="majorBidi" w:hAnsiTheme="majorBidi" w:cstheme="majorBidi"/>
          <w:i/>
          <w:iCs/>
          <w:sz w:val="24"/>
          <w:szCs w:val="24"/>
        </w:rPr>
        <w:t>CE</w:t>
      </w:r>
      <w:r w:rsidR="00712D6C" w:rsidRPr="00511F36">
        <w:rPr>
          <w:rFonts w:asciiTheme="majorBidi" w:hAnsiTheme="majorBidi" w:cstheme="majorBidi"/>
          <w:i/>
          <w:iCs/>
          <w:sz w:val="24"/>
          <w:szCs w:val="24"/>
        </w:rPr>
        <w:t>D</w:t>
      </w:r>
      <w:r w:rsidR="00D103E6">
        <w:rPr>
          <w:rFonts w:asciiTheme="majorBidi" w:hAnsiTheme="majorBidi" w:cstheme="majorBidi"/>
          <w:i/>
          <w:iCs/>
          <w:sz w:val="24"/>
          <w:szCs w:val="24"/>
        </w:rPr>
        <w:t>U</w:t>
      </w:r>
      <w:r w:rsidR="00712D6C" w:rsidRPr="00511F36">
        <w:rPr>
          <w:rFonts w:asciiTheme="majorBidi" w:hAnsiTheme="majorBidi" w:cstheme="majorBidi"/>
          <w:sz w:val="24"/>
          <w:szCs w:val="24"/>
        </w:rPr>
        <w:t>), age (</w:t>
      </w:r>
      <w:r w:rsidR="00712D6C" w:rsidRPr="00511F36">
        <w:rPr>
          <w:rFonts w:asciiTheme="majorBidi" w:hAnsiTheme="majorBidi" w:cstheme="majorBidi"/>
          <w:i/>
          <w:iCs/>
          <w:sz w:val="24"/>
          <w:szCs w:val="24"/>
        </w:rPr>
        <w:t>V</w:t>
      </w:r>
      <w:r w:rsidR="00D103E6">
        <w:rPr>
          <w:rFonts w:asciiTheme="majorBidi" w:hAnsiTheme="majorBidi" w:cstheme="majorBidi"/>
          <w:i/>
          <w:iCs/>
          <w:sz w:val="24"/>
          <w:szCs w:val="24"/>
        </w:rPr>
        <w:t>C</w:t>
      </w:r>
      <w:r w:rsidR="00712D6C" w:rsidRPr="00511F36">
        <w:rPr>
          <w:rFonts w:asciiTheme="majorBidi" w:hAnsiTheme="majorBidi" w:cstheme="majorBidi"/>
          <w:i/>
          <w:iCs/>
          <w:sz w:val="24"/>
          <w:szCs w:val="24"/>
        </w:rPr>
        <w:t>A</w:t>
      </w:r>
      <w:r w:rsidR="00D103E6">
        <w:rPr>
          <w:rFonts w:asciiTheme="majorBidi" w:hAnsiTheme="majorBidi" w:cstheme="majorBidi"/>
          <w:i/>
          <w:iCs/>
          <w:sz w:val="24"/>
          <w:szCs w:val="24"/>
        </w:rPr>
        <w:t>GE</w:t>
      </w:r>
      <w:r w:rsidR="00712D6C" w:rsidRPr="00511F36">
        <w:rPr>
          <w:rFonts w:asciiTheme="majorBidi" w:hAnsiTheme="majorBidi" w:cstheme="majorBidi"/>
          <w:sz w:val="24"/>
          <w:szCs w:val="24"/>
        </w:rPr>
        <w:t>), governing board size (</w:t>
      </w:r>
      <w:r w:rsidR="00712D6C" w:rsidRPr="00511F36">
        <w:rPr>
          <w:rFonts w:asciiTheme="majorBidi" w:hAnsiTheme="majorBidi" w:cstheme="majorBidi"/>
          <w:i/>
          <w:iCs/>
          <w:sz w:val="24"/>
          <w:szCs w:val="24"/>
        </w:rPr>
        <w:t>G</w:t>
      </w:r>
      <w:r w:rsidR="00D103E6">
        <w:rPr>
          <w:rFonts w:asciiTheme="majorBidi" w:hAnsiTheme="majorBidi" w:cstheme="majorBidi"/>
          <w:i/>
          <w:iCs/>
          <w:sz w:val="24"/>
          <w:szCs w:val="24"/>
        </w:rPr>
        <w:t>B</w:t>
      </w:r>
      <w:r w:rsidR="00712D6C" w:rsidRPr="00511F36">
        <w:rPr>
          <w:rFonts w:asciiTheme="majorBidi" w:hAnsiTheme="majorBidi" w:cstheme="majorBidi"/>
          <w:i/>
          <w:iCs/>
          <w:sz w:val="24"/>
          <w:szCs w:val="24"/>
        </w:rPr>
        <w:t>Z</w:t>
      </w:r>
      <w:r w:rsidR="00D103E6">
        <w:rPr>
          <w:rFonts w:asciiTheme="majorBidi" w:hAnsiTheme="majorBidi" w:cstheme="majorBidi"/>
          <w:i/>
          <w:iCs/>
          <w:sz w:val="24"/>
          <w:szCs w:val="24"/>
        </w:rPr>
        <w:t>E</w:t>
      </w:r>
      <w:r w:rsidR="00712D6C" w:rsidRPr="00511F36">
        <w:rPr>
          <w:rFonts w:asciiTheme="majorBidi" w:hAnsiTheme="majorBidi" w:cstheme="majorBidi"/>
          <w:sz w:val="24"/>
          <w:szCs w:val="24"/>
        </w:rPr>
        <w:t xml:space="preserve">), </w:t>
      </w:r>
      <w:r w:rsidR="00D103E6">
        <w:rPr>
          <w:rFonts w:asciiTheme="majorBidi" w:hAnsiTheme="majorBidi" w:cstheme="majorBidi"/>
          <w:sz w:val="24"/>
          <w:szCs w:val="24"/>
        </w:rPr>
        <w:t>HEI</w:t>
      </w:r>
      <w:r w:rsidR="00D103E6" w:rsidRPr="00511F36">
        <w:rPr>
          <w:rFonts w:asciiTheme="majorBidi" w:hAnsiTheme="majorBidi" w:cstheme="majorBidi"/>
          <w:sz w:val="24"/>
          <w:szCs w:val="24"/>
        </w:rPr>
        <w:t xml:space="preserve"> </w:t>
      </w:r>
      <w:r w:rsidR="00712D6C" w:rsidRPr="00511F36">
        <w:rPr>
          <w:rFonts w:asciiTheme="majorBidi" w:hAnsiTheme="majorBidi" w:cstheme="majorBidi"/>
          <w:sz w:val="24"/>
          <w:szCs w:val="24"/>
        </w:rPr>
        <w:t>age (</w:t>
      </w:r>
      <w:r w:rsidR="00D103E6">
        <w:rPr>
          <w:rFonts w:asciiTheme="majorBidi" w:hAnsiTheme="majorBidi" w:cstheme="majorBidi"/>
          <w:i/>
          <w:iCs/>
          <w:sz w:val="24"/>
          <w:szCs w:val="24"/>
        </w:rPr>
        <w:t>HEIAGE</w:t>
      </w:r>
      <w:r w:rsidR="00712D6C" w:rsidRPr="00511F36">
        <w:rPr>
          <w:rFonts w:asciiTheme="majorBidi" w:hAnsiTheme="majorBidi" w:cstheme="majorBidi"/>
          <w:sz w:val="24"/>
          <w:szCs w:val="24"/>
        </w:rPr>
        <w:t>), status (</w:t>
      </w:r>
      <w:r w:rsidR="00712D6C" w:rsidRPr="00511F36">
        <w:rPr>
          <w:rFonts w:asciiTheme="majorBidi" w:hAnsiTheme="majorBidi" w:cstheme="majorBidi"/>
          <w:i/>
          <w:iCs/>
          <w:sz w:val="24"/>
          <w:szCs w:val="24"/>
        </w:rPr>
        <w:t>P</w:t>
      </w:r>
      <w:r w:rsidR="00D103E6">
        <w:rPr>
          <w:rFonts w:asciiTheme="majorBidi" w:hAnsiTheme="majorBidi" w:cstheme="majorBidi"/>
          <w:i/>
          <w:iCs/>
          <w:sz w:val="24"/>
          <w:szCs w:val="24"/>
        </w:rPr>
        <w:t>ST</w:t>
      </w:r>
      <w:r w:rsidR="00712D6C" w:rsidRPr="00511F36">
        <w:rPr>
          <w:rFonts w:asciiTheme="majorBidi" w:hAnsiTheme="majorBidi" w:cstheme="majorBidi"/>
          <w:i/>
          <w:iCs/>
          <w:sz w:val="24"/>
          <w:szCs w:val="24"/>
        </w:rPr>
        <w:t>92</w:t>
      </w:r>
      <w:r w:rsidR="00712D6C" w:rsidRPr="00511F36">
        <w:rPr>
          <w:rFonts w:asciiTheme="majorBidi" w:hAnsiTheme="majorBidi" w:cstheme="majorBidi"/>
          <w:sz w:val="24"/>
          <w:szCs w:val="24"/>
        </w:rPr>
        <w:t>), Russel group (</w:t>
      </w:r>
      <w:r w:rsidR="00712D6C" w:rsidRPr="00511F36">
        <w:rPr>
          <w:rFonts w:asciiTheme="majorBidi" w:hAnsiTheme="majorBidi" w:cstheme="majorBidi"/>
          <w:i/>
          <w:iCs/>
          <w:sz w:val="24"/>
          <w:szCs w:val="24"/>
        </w:rPr>
        <w:t>R</w:t>
      </w:r>
      <w:r w:rsidR="00D103E6">
        <w:rPr>
          <w:rFonts w:asciiTheme="majorBidi" w:hAnsiTheme="majorBidi" w:cstheme="majorBidi"/>
          <w:i/>
          <w:iCs/>
          <w:sz w:val="24"/>
          <w:szCs w:val="24"/>
        </w:rPr>
        <w:t>US</w:t>
      </w:r>
      <w:r w:rsidR="00712D6C" w:rsidRPr="00511F36">
        <w:rPr>
          <w:rFonts w:asciiTheme="majorBidi" w:hAnsiTheme="majorBidi" w:cstheme="majorBidi"/>
          <w:i/>
          <w:iCs/>
          <w:sz w:val="24"/>
          <w:szCs w:val="24"/>
        </w:rPr>
        <w:t>G</w:t>
      </w:r>
      <w:r w:rsidR="00712D6C" w:rsidRPr="00511F36">
        <w:rPr>
          <w:rFonts w:asciiTheme="majorBidi" w:hAnsiTheme="majorBidi" w:cstheme="majorBidi"/>
          <w:sz w:val="24"/>
          <w:szCs w:val="24"/>
        </w:rPr>
        <w:t>), liquidity (</w:t>
      </w:r>
      <w:r w:rsidR="00712D6C" w:rsidRPr="00511F36">
        <w:rPr>
          <w:rFonts w:asciiTheme="majorBidi" w:hAnsiTheme="majorBidi" w:cstheme="majorBidi"/>
          <w:i/>
          <w:iCs/>
          <w:sz w:val="24"/>
          <w:szCs w:val="24"/>
        </w:rPr>
        <w:t>LQ</w:t>
      </w:r>
      <w:r w:rsidR="00D103E6">
        <w:rPr>
          <w:rFonts w:asciiTheme="majorBidi" w:hAnsiTheme="majorBidi" w:cstheme="majorBidi"/>
          <w:i/>
          <w:iCs/>
          <w:sz w:val="24"/>
          <w:szCs w:val="24"/>
        </w:rPr>
        <w:t>UD</w:t>
      </w:r>
      <w:r w:rsidR="00712D6C" w:rsidRPr="00511F36">
        <w:rPr>
          <w:rFonts w:asciiTheme="majorBidi" w:hAnsiTheme="majorBidi" w:cstheme="majorBidi"/>
          <w:sz w:val="24"/>
          <w:szCs w:val="24"/>
        </w:rPr>
        <w:t>), capital expenditure (</w:t>
      </w:r>
      <w:r w:rsidR="00712D6C" w:rsidRPr="00511F36">
        <w:rPr>
          <w:rFonts w:asciiTheme="majorBidi" w:hAnsiTheme="majorBidi" w:cstheme="majorBidi"/>
          <w:i/>
          <w:iCs/>
          <w:sz w:val="24"/>
          <w:szCs w:val="24"/>
        </w:rPr>
        <w:t>C</w:t>
      </w:r>
      <w:r w:rsidR="00D103E6">
        <w:rPr>
          <w:rFonts w:asciiTheme="majorBidi" w:hAnsiTheme="majorBidi" w:cstheme="majorBidi"/>
          <w:i/>
          <w:iCs/>
          <w:sz w:val="24"/>
          <w:szCs w:val="24"/>
        </w:rPr>
        <w:t>PE</w:t>
      </w:r>
      <w:r w:rsidR="00712D6C" w:rsidRPr="00511F36">
        <w:rPr>
          <w:rFonts w:asciiTheme="majorBidi" w:hAnsiTheme="majorBidi" w:cstheme="majorBidi"/>
          <w:i/>
          <w:iCs/>
          <w:sz w:val="24"/>
          <w:szCs w:val="24"/>
        </w:rPr>
        <w:t>X</w:t>
      </w:r>
      <w:r w:rsidR="00712D6C" w:rsidRPr="00511F36">
        <w:rPr>
          <w:rFonts w:asciiTheme="majorBidi" w:hAnsiTheme="majorBidi" w:cstheme="majorBidi"/>
          <w:sz w:val="24"/>
          <w:szCs w:val="24"/>
        </w:rPr>
        <w:t>), leverage (</w:t>
      </w:r>
      <w:r w:rsidR="00712D6C" w:rsidRPr="00511F36">
        <w:rPr>
          <w:rFonts w:asciiTheme="majorBidi" w:hAnsiTheme="majorBidi" w:cstheme="majorBidi"/>
          <w:i/>
          <w:iCs/>
          <w:sz w:val="24"/>
          <w:szCs w:val="24"/>
        </w:rPr>
        <w:t>L</w:t>
      </w:r>
      <w:r w:rsidR="00D103E6">
        <w:rPr>
          <w:rFonts w:asciiTheme="majorBidi" w:hAnsiTheme="majorBidi" w:cstheme="majorBidi"/>
          <w:i/>
          <w:iCs/>
          <w:sz w:val="24"/>
          <w:szCs w:val="24"/>
        </w:rPr>
        <w:t>E</w:t>
      </w:r>
      <w:r w:rsidR="00712D6C" w:rsidRPr="00511F36">
        <w:rPr>
          <w:rFonts w:asciiTheme="majorBidi" w:hAnsiTheme="majorBidi" w:cstheme="majorBidi"/>
          <w:i/>
          <w:iCs/>
          <w:sz w:val="24"/>
          <w:szCs w:val="24"/>
        </w:rPr>
        <w:t>V</w:t>
      </w:r>
      <w:r w:rsidR="00D103E6">
        <w:rPr>
          <w:rFonts w:asciiTheme="majorBidi" w:hAnsiTheme="majorBidi" w:cstheme="majorBidi"/>
          <w:i/>
          <w:iCs/>
          <w:sz w:val="24"/>
          <w:szCs w:val="24"/>
        </w:rPr>
        <w:t>R</w:t>
      </w:r>
      <w:r w:rsidR="00712D6C" w:rsidRPr="00511F36">
        <w:rPr>
          <w:rFonts w:asciiTheme="majorBidi" w:hAnsiTheme="majorBidi" w:cstheme="majorBidi"/>
          <w:sz w:val="24"/>
          <w:szCs w:val="24"/>
        </w:rPr>
        <w:t>), growth (</w:t>
      </w:r>
      <w:r w:rsidR="00712D6C" w:rsidRPr="00511F36">
        <w:rPr>
          <w:rFonts w:asciiTheme="majorBidi" w:hAnsiTheme="majorBidi" w:cstheme="majorBidi"/>
          <w:i/>
          <w:iCs/>
          <w:sz w:val="24"/>
          <w:szCs w:val="24"/>
        </w:rPr>
        <w:t>GR</w:t>
      </w:r>
      <w:r w:rsidR="00D103E6">
        <w:rPr>
          <w:rFonts w:asciiTheme="majorBidi" w:hAnsiTheme="majorBidi" w:cstheme="majorBidi"/>
          <w:i/>
          <w:iCs/>
          <w:sz w:val="24"/>
          <w:szCs w:val="24"/>
        </w:rPr>
        <w:t>TH</w:t>
      </w:r>
      <w:r w:rsidR="00712D6C" w:rsidRPr="00511F36">
        <w:rPr>
          <w:rFonts w:asciiTheme="majorBidi" w:hAnsiTheme="majorBidi" w:cstheme="majorBidi"/>
          <w:sz w:val="24"/>
          <w:szCs w:val="24"/>
        </w:rPr>
        <w:t>) and risk (</w:t>
      </w:r>
      <w:r w:rsidR="00712D6C" w:rsidRPr="00511F36">
        <w:rPr>
          <w:rFonts w:asciiTheme="majorBidi" w:hAnsiTheme="majorBidi" w:cstheme="majorBidi"/>
          <w:i/>
          <w:iCs/>
          <w:sz w:val="24"/>
          <w:szCs w:val="24"/>
        </w:rPr>
        <w:t>R</w:t>
      </w:r>
      <w:r w:rsidR="00D103E6">
        <w:rPr>
          <w:rFonts w:asciiTheme="majorBidi" w:hAnsiTheme="majorBidi" w:cstheme="majorBidi"/>
          <w:i/>
          <w:iCs/>
          <w:sz w:val="24"/>
          <w:szCs w:val="24"/>
        </w:rPr>
        <w:t>IS</w:t>
      </w:r>
      <w:r w:rsidR="00712D6C" w:rsidRPr="00511F36">
        <w:rPr>
          <w:rFonts w:asciiTheme="majorBidi" w:hAnsiTheme="majorBidi" w:cstheme="majorBidi"/>
          <w:i/>
          <w:iCs/>
          <w:sz w:val="24"/>
          <w:szCs w:val="24"/>
        </w:rPr>
        <w:t>K</w:t>
      </w:r>
      <w:r w:rsidR="00712D6C" w:rsidRPr="00511F36">
        <w:rPr>
          <w:rFonts w:asciiTheme="majorBidi" w:hAnsiTheme="majorBidi" w:cstheme="majorBidi"/>
          <w:sz w:val="24"/>
          <w:szCs w:val="24"/>
        </w:rPr>
        <w:t>).</w:t>
      </w:r>
    </w:p>
    <w:p w14:paraId="4253D259" w14:textId="158D6707" w:rsidR="00193130" w:rsidRDefault="00712D6C" w:rsidP="006A25BF">
      <w:pPr>
        <w:tabs>
          <w:tab w:val="left" w:pos="6534"/>
        </w:tabs>
        <w:spacing w:line="480" w:lineRule="auto"/>
        <w:jc w:val="center"/>
        <w:rPr>
          <w:rFonts w:asciiTheme="majorBidi" w:hAnsiTheme="majorBidi" w:cstheme="majorBidi"/>
          <w:sz w:val="24"/>
          <w:szCs w:val="24"/>
        </w:rPr>
      </w:pPr>
      <w:r w:rsidRPr="00511F36">
        <w:rPr>
          <w:rFonts w:asciiTheme="majorBidi" w:hAnsiTheme="majorBidi" w:cstheme="majorBidi"/>
          <w:sz w:val="24"/>
          <w:szCs w:val="24"/>
        </w:rPr>
        <w:t xml:space="preserve">Table </w:t>
      </w:r>
      <w:r w:rsidR="001043BC">
        <w:rPr>
          <w:rFonts w:asciiTheme="majorBidi" w:hAnsiTheme="majorBidi" w:cstheme="majorBidi"/>
          <w:sz w:val="24"/>
          <w:szCs w:val="24"/>
        </w:rPr>
        <w:t>5</w:t>
      </w:r>
      <w:r w:rsidRPr="00511F36">
        <w:rPr>
          <w:rFonts w:asciiTheme="majorBidi" w:hAnsiTheme="majorBidi" w:cstheme="majorBidi"/>
          <w:sz w:val="24"/>
          <w:szCs w:val="24"/>
        </w:rPr>
        <w:t xml:space="preserve"> </w:t>
      </w:r>
      <w:r w:rsidR="00511F36">
        <w:rPr>
          <w:rFonts w:asciiTheme="majorBidi" w:hAnsiTheme="majorBidi" w:cstheme="majorBidi"/>
          <w:sz w:val="24"/>
          <w:szCs w:val="24"/>
        </w:rPr>
        <w:t>near</w:t>
      </w:r>
      <w:r w:rsidRPr="00511F36">
        <w:rPr>
          <w:rFonts w:asciiTheme="majorBidi" w:hAnsiTheme="majorBidi" w:cstheme="majorBidi"/>
          <w:sz w:val="24"/>
          <w:szCs w:val="24"/>
        </w:rPr>
        <w:t xml:space="preserve"> here</w:t>
      </w:r>
    </w:p>
    <w:p w14:paraId="028A9235" w14:textId="12D57304" w:rsidR="00712D6C" w:rsidRPr="002A74B0" w:rsidRDefault="002A74B0" w:rsidP="0024341B">
      <w:pPr>
        <w:spacing w:line="480" w:lineRule="auto"/>
        <w:jc w:val="both"/>
        <w:rPr>
          <w:rFonts w:asciiTheme="majorBidi" w:hAnsiTheme="majorBidi" w:cstheme="majorBidi"/>
          <w:b/>
          <w:i/>
          <w:iCs/>
          <w:sz w:val="24"/>
          <w:szCs w:val="24"/>
        </w:rPr>
      </w:pPr>
      <w:r w:rsidRPr="002A74B0">
        <w:rPr>
          <w:rFonts w:asciiTheme="majorBidi" w:hAnsiTheme="majorBidi" w:cstheme="majorBidi"/>
          <w:b/>
          <w:i/>
          <w:iCs/>
          <w:sz w:val="24"/>
          <w:szCs w:val="24"/>
        </w:rPr>
        <w:t xml:space="preserve">4.2 </w:t>
      </w:r>
      <w:r w:rsidR="0024341B">
        <w:rPr>
          <w:rFonts w:asciiTheme="majorBidi" w:hAnsiTheme="majorBidi" w:cstheme="majorBidi"/>
          <w:b/>
          <w:i/>
          <w:iCs/>
          <w:sz w:val="24"/>
          <w:szCs w:val="24"/>
        </w:rPr>
        <w:t>R</w:t>
      </w:r>
      <w:r w:rsidR="00712D6C" w:rsidRPr="002A74B0">
        <w:rPr>
          <w:rFonts w:asciiTheme="majorBidi" w:hAnsiTheme="majorBidi" w:cstheme="majorBidi"/>
          <w:b/>
          <w:i/>
          <w:iCs/>
          <w:sz w:val="24"/>
          <w:szCs w:val="24"/>
        </w:rPr>
        <w:t>egression analyses</w:t>
      </w:r>
      <w:r w:rsidR="0024341B">
        <w:rPr>
          <w:rFonts w:asciiTheme="majorBidi" w:hAnsiTheme="majorBidi" w:cstheme="majorBidi"/>
          <w:b/>
          <w:i/>
          <w:iCs/>
          <w:sz w:val="24"/>
          <w:szCs w:val="24"/>
        </w:rPr>
        <w:t xml:space="preserve"> and discussion</w:t>
      </w:r>
    </w:p>
    <w:p w14:paraId="1917BAF2" w14:textId="4C12735E" w:rsidR="003777D3" w:rsidRDefault="00AD3520" w:rsidP="00C63EF2">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 xml:space="preserve">Table </w:t>
      </w:r>
      <w:r w:rsidR="001043BC">
        <w:rPr>
          <w:rFonts w:asciiTheme="majorBidi" w:hAnsiTheme="majorBidi" w:cstheme="majorBidi"/>
          <w:sz w:val="24"/>
          <w:szCs w:val="24"/>
        </w:rPr>
        <w:t>6</w:t>
      </w:r>
      <w:r w:rsidRPr="00511F36">
        <w:rPr>
          <w:rFonts w:asciiTheme="majorBidi" w:hAnsiTheme="majorBidi" w:cstheme="majorBidi"/>
          <w:sz w:val="24"/>
          <w:szCs w:val="24"/>
        </w:rPr>
        <w:t xml:space="preserve"> </w:t>
      </w:r>
      <w:r w:rsidR="00887D5D" w:rsidRPr="00887D5D">
        <w:rPr>
          <w:rFonts w:asciiTheme="majorBidi" w:hAnsiTheme="majorBidi" w:cstheme="majorBidi"/>
          <w:sz w:val="24"/>
          <w:szCs w:val="24"/>
        </w:rPr>
        <w:t xml:space="preserve">presents the multivariate (OLS) regression </w:t>
      </w:r>
      <w:r w:rsidR="0024341B">
        <w:rPr>
          <w:rFonts w:asciiTheme="majorBidi" w:hAnsiTheme="majorBidi" w:cstheme="majorBidi"/>
          <w:sz w:val="24"/>
          <w:szCs w:val="24"/>
        </w:rPr>
        <w:t>estimates</w:t>
      </w:r>
      <w:r w:rsidR="0024341B" w:rsidRPr="00887D5D">
        <w:rPr>
          <w:rFonts w:asciiTheme="majorBidi" w:hAnsiTheme="majorBidi" w:cstheme="majorBidi"/>
          <w:sz w:val="24"/>
          <w:szCs w:val="24"/>
        </w:rPr>
        <w:t xml:space="preserve"> </w:t>
      </w:r>
      <w:r w:rsidR="00887D5D" w:rsidRPr="00887D5D">
        <w:rPr>
          <w:rFonts w:asciiTheme="majorBidi" w:hAnsiTheme="majorBidi" w:cstheme="majorBidi"/>
          <w:sz w:val="24"/>
          <w:szCs w:val="24"/>
        </w:rPr>
        <w:t>of the effect of governance variables – vice-chancellor characteristics (</w:t>
      </w:r>
      <w:r w:rsidR="00887D5D" w:rsidRPr="0012791F">
        <w:rPr>
          <w:rFonts w:asciiTheme="majorBidi" w:hAnsiTheme="majorBidi" w:cstheme="majorBidi"/>
          <w:i/>
          <w:iCs/>
          <w:sz w:val="24"/>
          <w:szCs w:val="24"/>
        </w:rPr>
        <w:t>V</w:t>
      </w:r>
      <w:r w:rsidR="00564C6A">
        <w:rPr>
          <w:rFonts w:asciiTheme="majorBidi" w:hAnsiTheme="majorBidi" w:cstheme="majorBidi"/>
          <w:i/>
          <w:iCs/>
          <w:sz w:val="24"/>
          <w:szCs w:val="24"/>
        </w:rPr>
        <w:t>C</w:t>
      </w:r>
      <w:r w:rsidR="00887D5D" w:rsidRPr="0012791F">
        <w:rPr>
          <w:rFonts w:asciiTheme="majorBidi" w:hAnsiTheme="majorBidi" w:cstheme="majorBidi"/>
          <w:i/>
          <w:iCs/>
          <w:sz w:val="24"/>
          <w:szCs w:val="24"/>
        </w:rPr>
        <w:t>G</w:t>
      </w:r>
      <w:r w:rsidR="00564C6A">
        <w:rPr>
          <w:rFonts w:asciiTheme="majorBidi" w:hAnsiTheme="majorBidi" w:cstheme="majorBidi"/>
          <w:i/>
          <w:iCs/>
          <w:sz w:val="24"/>
          <w:szCs w:val="24"/>
        </w:rPr>
        <w:t>EN</w:t>
      </w:r>
      <w:r w:rsidR="00887D5D" w:rsidRPr="00887D5D">
        <w:rPr>
          <w:rFonts w:asciiTheme="majorBidi" w:hAnsiTheme="majorBidi" w:cstheme="majorBidi"/>
          <w:sz w:val="24"/>
          <w:szCs w:val="24"/>
        </w:rPr>
        <w:t xml:space="preserve">, </w:t>
      </w:r>
      <w:r w:rsidR="00887D5D" w:rsidRPr="0012791F">
        <w:rPr>
          <w:rFonts w:asciiTheme="majorBidi" w:hAnsiTheme="majorBidi" w:cstheme="majorBidi"/>
          <w:i/>
          <w:iCs/>
          <w:sz w:val="24"/>
          <w:szCs w:val="24"/>
        </w:rPr>
        <w:t>V</w:t>
      </w:r>
      <w:r w:rsidR="00564C6A">
        <w:rPr>
          <w:rFonts w:asciiTheme="majorBidi" w:hAnsiTheme="majorBidi" w:cstheme="majorBidi"/>
          <w:i/>
          <w:iCs/>
          <w:sz w:val="24"/>
          <w:szCs w:val="24"/>
        </w:rPr>
        <w:t>CE</w:t>
      </w:r>
      <w:r w:rsidR="00887D5D" w:rsidRPr="0012791F">
        <w:rPr>
          <w:rFonts w:asciiTheme="majorBidi" w:hAnsiTheme="majorBidi" w:cstheme="majorBidi"/>
          <w:i/>
          <w:iCs/>
          <w:sz w:val="24"/>
          <w:szCs w:val="24"/>
        </w:rPr>
        <w:t>D</w:t>
      </w:r>
      <w:r w:rsidR="00564C6A">
        <w:rPr>
          <w:rFonts w:asciiTheme="majorBidi" w:hAnsiTheme="majorBidi" w:cstheme="majorBidi"/>
          <w:i/>
          <w:iCs/>
          <w:sz w:val="24"/>
          <w:szCs w:val="24"/>
        </w:rPr>
        <w:t>U</w:t>
      </w:r>
      <w:r w:rsidR="00887D5D" w:rsidRPr="00887D5D">
        <w:rPr>
          <w:rFonts w:asciiTheme="majorBidi" w:hAnsiTheme="majorBidi" w:cstheme="majorBidi"/>
          <w:sz w:val="24"/>
          <w:szCs w:val="24"/>
        </w:rPr>
        <w:t xml:space="preserve">, </w:t>
      </w:r>
      <w:r w:rsidR="00887D5D" w:rsidRPr="0012791F">
        <w:rPr>
          <w:rFonts w:asciiTheme="majorBidi" w:hAnsiTheme="majorBidi" w:cstheme="majorBidi"/>
          <w:i/>
          <w:iCs/>
          <w:sz w:val="24"/>
          <w:szCs w:val="24"/>
        </w:rPr>
        <w:t>V</w:t>
      </w:r>
      <w:r w:rsidR="00564C6A">
        <w:rPr>
          <w:rFonts w:asciiTheme="majorBidi" w:hAnsiTheme="majorBidi" w:cstheme="majorBidi"/>
          <w:i/>
          <w:iCs/>
          <w:sz w:val="24"/>
          <w:szCs w:val="24"/>
        </w:rPr>
        <w:t>C</w:t>
      </w:r>
      <w:r w:rsidR="00887D5D" w:rsidRPr="0012791F">
        <w:rPr>
          <w:rFonts w:asciiTheme="majorBidi" w:hAnsiTheme="majorBidi" w:cstheme="majorBidi"/>
          <w:i/>
          <w:iCs/>
          <w:sz w:val="24"/>
          <w:szCs w:val="24"/>
        </w:rPr>
        <w:t>A</w:t>
      </w:r>
      <w:r w:rsidR="00564C6A">
        <w:rPr>
          <w:rFonts w:asciiTheme="majorBidi" w:hAnsiTheme="majorBidi" w:cstheme="majorBidi"/>
          <w:i/>
          <w:iCs/>
          <w:sz w:val="24"/>
          <w:szCs w:val="24"/>
        </w:rPr>
        <w:t>GE</w:t>
      </w:r>
      <w:r w:rsidR="00887D5D" w:rsidRPr="00887D5D">
        <w:rPr>
          <w:rFonts w:asciiTheme="majorBidi" w:hAnsiTheme="majorBidi" w:cstheme="majorBidi"/>
          <w:sz w:val="24"/>
          <w:szCs w:val="24"/>
        </w:rPr>
        <w:t xml:space="preserve"> and </w:t>
      </w:r>
      <w:r w:rsidR="00887D5D" w:rsidRPr="0012791F">
        <w:rPr>
          <w:rFonts w:asciiTheme="majorBidi" w:hAnsiTheme="majorBidi" w:cstheme="majorBidi"/>
          <w:i/>
          <w:iCs/>
          <w:sz w:val="24"/>
          <w:szCs w:val="24"/>
        </w:rPr>
        <w:t>V</w:t>
      </w:r>
      <w:r w:rsidR="00564C6A">
        <w:rPr>
          <w:rFonts w:asciiTheme="majorBidi" w:hAnsiTheme="majorBidi" w:cstheme="majorBidi"/>
          <w:i/>
          <w:iCs/>
          <w:sz w:val="24"/>
          <w:szCs w:val="24"/>
        </w:rPr>
        <w:t>C</w:t>
      </w:r>
      <w:r w:rsidR="00887D5D" w:rsidRPr="0012791F">
        <w:rPr>
          <w:rFonts w:asciiTheme="majorBidi" w:hAnsiTheme="majorBidi" w:cstheme="majorBidi"/>
          <w:i/>
          <w:iCs/>
          <w:sz w:val="24"/>
          <w:szCs w:val="24"/>
        </w:rPr>
        <w:t>T</w:t>
      </w:r>
      <w:r w:rsidR="00564C6A">
        <w:rPr>
          <w:rFonts w:asciiTheme="majorBidi" w:hAnsiTheme="majorBidi" w:cstheme="majorBidi"/>
          <w:i/>
          <w:iCs/>
          <w:sz w:val="24"/>
          <w:szCs w:val="24"/>
        </w:rPr>
        <w:t>EN</w:t>
      </w:r>
      <w:r w:rsidR="00887D5D" w:rsidRPr="00887D5D">
        <w:rPr>
          <w:rFonts w:asciiTheme="majorBidi" w:hAnsiTheme="majorBidi" w:cstheme="majorBidi"/>
          <w:sz w:val="24"/>
          <w:szCs w:val="24"/>
        </w:rPr>
        <w:t>),</w:t>
      </w:r>
      <w:r w:rsidR="00EB6BA0">
        <w:rPr>
          <w:rFonts w:asciiTheme="majorBidi" w:hAnsiTheme="majorBidi" w:cstheme="majorBidi"/>
          <w:sz w:val="24"/>
          <w:szCs w:val="24"/>
        </w:rPr>
        <w:t xml:space="preserve"> the </w:t>
      </w:r>
      <w:r w:rsidR="00EB6BA0" w:rsidRPr="00511F36">
        <w:rPr>
          <w:rFonts w:asciiTheme="majorBidi" w:hAnsiTheme="majorBidi" w:cstheme="majorBidi"/>
          <w:sz w:val="24"/>
          <w:szCs w:val="24"/>
        </w:rPr>
        <w:t xml:space="preserve">existence of </w:t>
      </w:r>
      <w:r w:rsidR="00EB6BA0">
        <w:rPr>
          <w:rFonts w:asciiTheme="majorBidi" w:hAnsiTheme="majorBidi" w:cstheme="majorBidi"/>
          <w:sz w:val="24"/>
          <w:szCs w:val="24"/>
        </w:rPr>
        <w:t xml:space="preserve">a </w:t>
      </w:r>
      <w:r w:rsidR="00EB6BA0" w:rsidRPr="00511F36">
        <w:rPr>
          <w:rFonts w:asciiTheme="majorBidi" w:hAnsiTheme="majorBidi" w:cstheme="majorBidi"/>
          <w:sz w:val="24"/>
          <w:szCs w:val="24"/>
        </w:rPr>
        <w:t>governance committee (</w:t>
      </w:r>
      <w:r w:rsidR="00EB6BA0">
        <w:rPr>
          <w:rFonts w:asciiTheme="majorBidi" w:hAnsiTheme="majorBidi" w:cstheme="majorBidi"/>
          <w:i/>
          <w:iCs/>
          <w:sz w:val="24"/>
          <w:szCs w:val="24"/>
        </w:rPr>
        <w:t>EGC</w:t>
      </w:r>
      <w:r w:rsidR="00EB6BA0" w:rsidRPr="00511F36">
        <w:rPr>
          <w:rFonts w:asciiTheme="majorBidi" w:hAnsiTheme="majorBidi" w:cstheme="majorBidi"/>
          <w:sz w:val="24"/>
          <w:szCs w:val="24"/>
        </w:rPr>
        <w:t>),</w:t>
      </w:r>
      <w:r w:rsidR="00EB6BA0">
        <w:rPr>
          <w:rFonts w:asciiTheme="majorBidi" w:hAnsiTheme="majorBidi" w:cstheme="majorBidi"/>
          <w:sz w:val="24"/>
          <w:szCs w:val="24"/>
        </w:rPr>
        <w:t xml:space="preserve"> </w:t>
      </w:r>
      <w:r w:rsidR="00887D5D" w:rsidRPr="00887D5D">
        <w:rPr>
          <w:rFonts w:asciiTheme="majorBidi" w:hAnsiTheme="majorBidi" w:cstheme="majorBidi"/>
          <w:sz w:val="24"/>
          <w:szCs w:val="24"/>
        </w:rPr>
        <w:t>diversity (</w:t>
      </w:r>
      <w:r w:rsidR="00887D5D" w:rsidRPr="0012791F">
        <w:rPr>
          <w:rFonts w:asciiTheme="majorBidi" w:hAnsiTheme="majorBidi" w:cstheme="majorBidi"/>
          <w:i/>
          <w:iCs/>
          <w:sz w:val="24"/>
          <w:szCs w:val="24"/>
        </w:rPr>
        <w:t>G</w:t>
      </w:r>
      <w:r w:rsidR="00564C6A">
        <w:rPr>
          <w:rFonts w:asciiTheme="majorBidi" w:hAnsiTheme="majorBidi" w:cstheme="majorBidi"/>
          <w:i/>
          <w:iCs/>
          <w:sz w:val="24"/>
          <w:szCs w:val="24"/>
        </w:rPr>
        <w:t>BGE</w:t>
      </w:r>
      <w:r w:rsidR="00887D5D" w:rsidRPr="0012791F">
        <w:rPr>
          <w:rFonts w:asciiTheme="majorBidi" w:hAnsiTheme="majorBidi" w:cstheme="majorBidi"/>
          <w:i/>
          <w:iCs/>
          <w:sz w:val="24"/>
          <w:szCs w:val="24"/>
        </w:rPr>
        <w:t>D</w:t>
      </w:r>
      <w:r w:rsidR="00887D5D" w:rsidRPr="00887D5D">
        <w:rPr>
          <w:rFonts w:asciiTheme="majorBidi" w:hAnsiTheme="majorBidi" w:cstheme="majorBidi"/>
          <w:sz w:val="24"/>
          <w:szCs w:val="24"/>
        </w:rPr>
        <w:t>), independence (</w:t>
      </w:r>
      <w:r w:rsidR="00887D5D" w:rsidRPr="0012791F">
        <w:rPr>
          <w:rFonts w:asciiTheme="majorBidi" w:hAnsiTheme="majorBidi" w:cstheme="majorBidi"/>
          <w:i/>
          <w:iCs/>
          <w:sz w:val="24"/>
          <w:szCs w:val="24"/>
        </w:rPr>
        <w:t>G</w:t>
      </w:r>
      <w:r w:rsidR="00564C6A">
        <w:rPr>
          <w:rFonts w:asciiTheme="majorBidi" w:hAnsiTheme="majorBidi" w:cstheme="majorBidi"/>
          <w:i/>
          <w:iCs/>
          <w:sz w:val="24"/>
          <w:szCs w:val="24"/>
        </w:rPr>
        <w:t>B</w:t>
      </w:r>
      <w:r w:rsidR="00887D5D" w:rsidRPr="0012791F">
        <w:rPr>
          <w:rFonts w:asciiTheme="majorBidi" w:hAnsiTheme="majorBidi" w:cstheme="majorBidi"/>
          <w:i/>
          <w:iCs/>
          <w:sz w:val="24"/>
          <w:szCs w:val="24"/>
        </w:rPr>
        <w:t>I</w:t>
      </w:r>
      <w:r w:rsidR="00564C6A">
        <w:rPr>
          <w:rFonts w:asciiTheme="majorBidi" w:hAnsiTheme="majorBidi" w:cstheme="majorBidi"/>
          <w:i/>
          <w:iCs/>
          <w:sz w:val="24"/>
          <w:szCs w:val="24"/>
        </w:rPr>
        <w:t>ND</w:t>
      </w:r>
      <w:r w:rsidR="00887D5D" w:rsidRPr="00887D5D">
        <w:rPr>
          <w:rFonts w:asciiTheme="majorBidi" w:hAnsiTheme="majorBidi" w:cstheme="majorBidi"/>
          <w:sz w:val="24"/>
          <w:szCs w:val="24"/>
        </w:rPr>
        <w:t>) and meetings (</w:t>
      </w:r>
      <w:r w:rsidR="00887D5D" w:rsidRPr="0012791F">
        <w:rPr>
          <w:rFonts w:asciiTheme="majorBidi" w:hAnsiTheme="majorBidi" w:cstheme="majorBidi"/>
          <w:i/>
          <w:iCs/>
          <w:sz w:val="24"/>
          <w:szCs w:val="24"/>
        </w:rPr>
        <w:t>G</w:t>
      </w:r>
      <w:r w:rsidR="00564C6A">
        <w:rPr>
          <w:rFonts w:asciiTheme="majorBidi" w:hAnsiTheme="majorBidi" w:cstheme="majorBidi"/>
          <w:i/>
          <w:iCs/>
          <w:sz w:val="24"/>
          <w:szCs w:val="24"/>
        </w:rPr>
        <w:t>B</w:t>
      </w:r>
      <w:r w:rsidR="00887D5D" w:rsidRPr="0012791F">
        <w:rPr>
          <w:rFonts w:asciiTheme="majorBidi" w:hAnsiTheme="majorBidi" w:cstheme="majorBidi"/>
          <w:i/>
          <w:iCs/>
          <w:sz w:val="24"/>
          <w:szCs w:val="24"/>
        </w:rPr>
        <w:t>M</w:t>
      </w:r>
      <w:r w:rsidR="00564C6A">
        <w:rPr>
          <w:rFonts w:asciiTheme="majorBidi" w:hAnsiTheme="majorBidi" w:cstheme="majorBidi"/>
          <w:i/>
          <w:iCs/>
          <w:sz w:val="24"/>
          <w:szCs w:val="24"/>
        </w:rPr>
        <w:t>T</w:t>
      </w:r>
      <w:r w:rsidR="00887D5D" w:rsidRPr="00887D5D">
        <w:rPr>
          <w:rFonts w:asciiTheme="majorBidi" w:hAnsiTheme="majorBidi" w:cstheme="majorBidi"/>
          <w:sz w:val="24"/>
          <w:szCs w:val="24"/>
        </w:rPr>
        <w:t xml:space="preserve">) on </w:t>
      </w:r>
      <w:r w:rsidR="00887D5D" w:rsidRPr="0012791F">
        <w:rPr>
          <w:rFonts w:asciiTheme="majorBidi" w:hAnsiTheme="majorBidi" w:cstheme="majorBidi"/>
          <w:i/>
          <w:iCs/>
          <w:sz w:val="24"/>
          <w:szCs w:val="24"/>
        </w:rPr>
        <w:t>HEGI</w:t>
      </w:r>
      <w:r w:rsidR="00887D5D" w:rsidRPr="00887D5D">
        <w:rPr>
          <w:rFonts w:asciiTheme="majorBidi" w:hAnsiTheme="majorBidi" w:cstheme="majorBidi"/>
          <w:sz w:val="24"/>
          <w:szCs w:val="24"/>
        </w:rPr>
        <w:t xml:space="preserve">. Overall, the results </w:t>
      </w:r>
      <w:r w:rsidR="00E643FA">
        <w:rPr>
          <w:rFonts w:asciiTheme="majorBidi" w:hAnsiTheme="majorBidi" w:cstheme="majorBidi"/>
          <w:sz w:val="24"/>
          <w:szCs w:val="24"/>
        </w:rPr>
        <w:t>show</w:t>
      </w:r>
      <w:r w:rsidR="00E643FA" w:rsidRPr="00887D5D">
        <w:rPr>
          <w:rFonts w:asciiTheme="majorBidi" w:hAnsiTheme="majorBidi" w:cstheme="majorBidi"/>
          <w:sz w:val="24"/>
          <w:szCs w:val="24"/>
        </w:rPr>
        <w:t xml:space="preserve"> </w:t>
      </w:r>
      <w:r w:rsidR="00887D5D" w:rsidRPr="00887D5D">
        <w:rPr>
          <w:rFonts w:asciiTheme="majorBidi" w:hAnsiTheme="majorBidi" w:cstheme="majorBidi"/>
          <w:sz w:val="24"/>
          <w:szCs w:val="24"/>
        </w:rPr>
        <w:t xml:space="preserve">that the governance </w:t>
      </w:r>
      <w:r w:rsidR="00E643FA">
        <w:rPr>
          <w:rFonts w:asciiTheme="majorBidi" w:hAnsiTheme="majorBidi" w:cstheme="majorBidi"/>
          <w:sz w:val="24"/>
          <w:szCs w:val="24"/>
        </w:rPr>
        <w:t>variables</w:t>
      </w:r>
      <w:r w:rsidR="00E643FA" w:rsidRPr="00887D5D">
        <w:rPr>
          <w:rFonts w:asciiTheme="majorBidi" w:hAnsiTheme="majorBidi" w:cstheme="majorBidi"/>
          <w:sz w:val="24"/>
          <w:szCs w:val="24"/>
        </w:rPr>
        <w:t xml:space="preserve"> </w:t>
      </w:r>
      <w:r w:rsidR="00887D5D" w:rsidRPr="00887D5D">
        <w:rPr>
          <w:rFonts w:asciiTheme="majorBidi" w:hAnsiTheme="majorBidi" w:cstheme="majorBidi"/>
          <w:sz w:val="24"/>
          <w:szCs w:val="24"/>
        </w:rPr>
        <w:t xml:space="preserve">are </w:t>
      </w:r>
      <w:r w:rsidR="00344611">
        <w:rPr>
          <w:rFonts w:asciiTheme="majorBidi" w:hAnsiTheme="majorBidi" w:cstheme="majorBidi"/>
          <w:sz w:val="24"/>
          <w:szCs w:val="24"/>
        </w:rPr>
        <w:t xml:space="preserve">important in explaining the observed differences in the </w:t>
      </w:r>
      <w:r w:rsidR="00887D5D" w:rsidRPr="0012791F">
        <w:rPr>
          <w:rFonts w:asciiTheme="majorBidi" w:hAnsiTheme="majorBidi" w:cstheme="majorBidi"/>
          <w:i/>
          <w:iCs/>
          <w:sz w:val="24"/>
          <w:szCs w:val="24"/>
        </w:rPr>
        <w:t>HEGI</w:t>
      </w:r>
      <w:r w:rsidR="00887D5D" w:rsidRPr="00887D5D">
        <w:rPr>
          <w:rFonts w:asciiTheme="majorBidi" w:hAnsiTheme="majorBidi" w:cstheme="majorBidi"/>
          <w:sz w:val="24"/>
          <w:szCs w:val="24"/>
        </w:rPr>
        <w:t>.</w:t>
      </w:r>
    </w:p>
    <w:p w14:paraId="3E6B9887" w14:textId="1FFCD495" w:rsidR="00712E0B" w:rsidRPr="00511F36" w:rsidRDefault="006A6F36" w:rsidP="00C63EF2">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 xml:space="preserve">First, and as shown in Model 1 of Table </w:t>
      </w:r>
      <w:r w:rsidR="001043BC">
        <w:rPr>
          <w:rFonts w:asciiTheme="majorBidi" w:hAnsiTheme="majorBidi" w:cstheme="majorBidi"/>
          <w:sz w:val="24"/>
          <w:szCs w:val="24"/>
        </w:rPr>
        <w:t>6</w:t>
      </w:r>
      <w:r w:rsidRPr="00511F36">
        <w:rPr>
          <w:rFonts w:asciiTheme="majorBidi" w:hAnsiTheme="majorBidi" w:cstheme="majorBidi"/>
          <w:sz w:val="24"/>
          <w:szCs w:val="24"/>
        </w:rPr>
        <w:t xml:space="preserve">, </w:t>
      </w:r>
      <w:r w:rsidR="00730E72" w:rsidRPr="00511F36">
        <w:rPr>
          <w:rFonts w:asciiTheme="majorBidi" w:hAnsiTheme="majorBidi" w:cstheme="majorBidi"/>
          <w:sz w:val="24"/>
          <w:szCs w:val="24"/>
        </w:rPr>
        <w:t xml:space="preserve">vice-chancellor </w:t>
      </w:r>
      <w:r w:rsidR="00712E0B" w:rsidRPr="00511F36">
        <w:rPr>
          <w:rFonts w:asciiTheme="majorBidi" w:hAnsiTheme="majorBidi" w:cstheme="majorBidi"/>
          <w:sz w:val="24"/>
          <w:szCs w:val="24"/>
        </w:rPr>
        <w:t>occupational background</w:t>
      </w:r>
      <w:r w:rsidR="00730E72" w:rsidRPr="00511F36">
        <w:rPr>
          <w:rFonts w:asciiTheme="majorBidi" w:hAnsiTheme="majorBidi" w:cstheme="majorBidi"/>
          <w:sz w:val="24"/>
          <w:szCs w:val="24"/>
        </w:rPr>
        <w:t xml:space="preserve"> (</w:t>
      </w:r>
      <w:r w:rsidR="00712E0B" w:rsidRPr="00511F36">
        <w:rPr>
          <w:rFonts w:asciiTheme="majorBidi" w:hAnsiTheme="majorBidi" w:cstheme="majorBidi"/>
          <w:i/>
          <w:iCs/>
          <w:sz w:val="24"/>
          <w:szCs w:val="24"/>
        </w:rPr>
        <w:t>V</w:t>
      </w:r>
      <w:r w:rsidR="00564C6A">
        <w:rPr>
          <w:rFonts w:asciiTheme="majorBidi" w:hAnsiTheme="majorBidi" w:cstheme="majorBidi"/>
          <w:i/>
          <w:iCs/>
          <w:sz w:val="24"/>
          <w:szCs w:val="24"/>
        </w:rPr>
        <w:t>CE</w:t>
      </w:r>
      <w:r w:rsidR="00712E0B" w:rsidRPr="00511F36">
        <w:rPr>
          <w:rFonts w:asciiTheme="majorBidi" w:hAnsiTheme="majorBidi" w:cstheme="majorBidi"/>
          <w:i/>
          <w:iCs/>
          <w:sz w:val="24"/>
          <w:szCs w:val="24"/>
        </w:rPr>
        <w:t>D</w:t>
      </w:r>
      <w:r w:rsidR="00564C6A">
        <w:rPr>
          <w:rFonts w:asciiTheme="majorBidi" w:hAnsiTheme="majorBidi" w:cstheme="majorBidi"/>
          <w:i/>
          <w:iCs/>
          <w:sz w:val="24"/>
          <w:szCs w:val="24"/>
        </w:rPr>
        <w:t>U</w:t>
      </w:r>
      <w:r w:rsidR="00730E72" w:rsidRPr="00511F36">
        <w:rPr>
          <w:rFonts w:asciiTheme="majorBidi" w:hAnsiTheme="majorBidi" w:cstheme="majorBidi"/>
          <w:sz w:val="24"/>
          <w:szCs w:val="24"/>
        </w:rPr>
        <w:t>) and gender (</w:t>
      </w:r>
      <w:r w:rsidR="00730E72" w:rsidRPr="00511F36">
        <w:rPr>
          <w:rFonts w:asciiTheme="majorBidi" w:hAnsiTheme="majorBidi" w:cstheme="majorBidi"/>
          <w:i/>
          <w:iCs/>
          <w:sz w:val="24"/>
          <w:szCs w:val="24"/>
        </w:rPr>
        <w:t>V</w:t>
      </w:r>
      <w:r w:rsidR="00564C6A">
        <w:rPr>
          <w:rFonts w:asciiTheme="majorBidi" w:hAnsiTheme="majorBidi" w:cstheme="majorBidi"/>
          <w:i/>
          <w:iCs/>
          <w:sz w:val="24"/>
          <w:szCs w:val="24"/>
        </w:rPr>
        <w:t>C</w:t>
      </w:r>
      <w:r w:rsidR="00730E72" w:rsidRPr="00511F36">
        <w:rPr>
          <w:rFonts w:asciiTheme="majorBidi" w:hAnsiTheme="majorBidi" w:cstheme="majorBidi"/>
          <w:i/>
          <w:iCs/>
          <w:sz w:val="24"/>
          <w:szCs w:val="24"/>
        </w:rPr>
        <w:t>G</w:t>
      </w:r>
      <w:r w:rsidR="00564C6A">
        <w:rPr>
          <w:rFonts w:asciiTheme="majorBidi" w:hAnsiTheme="majorBidi" w:cstheme="majorBidi"/>
          <w:i/>
          <w:iCs/>
          <w:sz w:val="24"/>
          <w:szCs w:val="24"/>
        </w:rPr>
        <w:t>EN</w:t>
      </w:r>
      <w:r w:rsidR="00730E72" w:rsidRPr="00511F36">
        <w:rPr>
          <w:rFonts w:asciiTheme="majorBidi" w:hAnsiTheme="majorBidi" w:cstheme="majorBidi"/>
          <w:sz w:val="24"/>
          <w:szCs w:val="24"/>
        </w:rPr>
        <w:t>)</w:t>
      </w:r>
      <w:r w:rsidR="005F7247" w:rsidRPr="00511F36">
        <w:rPr>
          <w:rFonts w:asciiTheme="majorBidi" w:hAnsiTheme="majorBidi" w:cstheme="majorBidi"/>
          <w:sz w:val="24"/>
          <w:szCs w:val="24"/>
        </w:rPr>
        <w:t xml:space="preserve"> are insignificantly </w:t>
      </w:r>
      <w:r w:rsidR="004556E1">
        <w:rPr>
          <w:rFonts w:asciiTheme="majorBidi" w:hAnsiTheme="majorBidi" w:cstheme="majorBidi"/>
          <w:sz w:val="24"/>
          <w:szCs w:val="24"/>
        </w:rPr>
        <w:t>associated</w:t>
      </w:r>
      <w:r w:rsidR="00344611">
        <w:rPr>
          <w:rFonts w:asciiTheme="majorBidi" w:hAnsiTheme="majorBidi" w:cstheme="majorBidi"/>
          <w:sz w:val="24"/>
          <w:szCs w:val="24"/>
        </w:rPr>
        <w:t xml:space="preserve"> with</w:t>
      </w:r>
      <w:r w:rsidR="00344611" w:rsidRPr="00511F36">
        <w:rPr>
          <w:rFonts w:asciiTheme="majorBidi" w:hAnsiTheme="majorBidi" w:cstheme="majorBidi"/>
          <w:sz w:val="24"/>
          <w:szCs w:val="24"/>
        </w:rPr>
        <w:t xml:space="preserve"> </w:t>
      </w:r>
      <w:r w:rsidR="005F7247" w:rsidRPr="00511F36">
        <w:rPr>
          <w:rFonts w:asciiTheme="majorBidi" w:hAnsiTheme="majorBidi" w:cstheme="majorBidi"/>
          <w:sz w:val="24"/>
          <w:szCs w:val="24"/>
        </w:rPr>
        <w:t xml:space="preserve">the </w:t>
      </w:r>
      <w:r w:rsidR="005F7247" w:rsidRPr="00511F36">
        <w:rPr>
          <w:rFonts w:asciiTheme="majorBidi" w:hAnsiTheme="majorBidi" w:cstheme="majorBidi"/>
          <w:i/>
          <w:iCs/>
          <w:sz w:val="24"/>
          <w:szCs w:val="24"/>
        </w:rPr>
        <w:t>HEGI</w:t>
      </w:r>
      <w:r w:rsidR="005F7247" w:rsidRPr="00511F36">
        <w:rPr>
          <w:rFonts w:asciiTheme="majorBidi" w:hAnsiTheme="majorBidi" w:cstheme="majorBidi"/>
          <w:sz w:val="24"/>
          <w:szCs w:val="24"/>
        </w:rPr>
        <w:t xml:space="preserve">, which is not </w:t>
      </w:r>
      <w:r w:rsidR="00344611">
        <w:rPr>
          <w:rFonts w:asciiTheme="majorBidi" w:hAnsiTheme="majorBidi" w:cstheme="majorBidi"/>
          <w:sz w:val="24"/>
          <w:szCs w:val="24"/>
        </w:rPr>
        <w:t>in line</w:t>
      </w:r>
      <w:r w:rsidR="00344611" w:rsidRPr="00511F36">
        <w:rPr>
          <w:rFonts w:asciiTheme="majorBidi" w:hAnsiTheme="majorBidi" w:cstheme="majorBidi"/>
          <w:sz w:val="24"/>
          <w:szCs w:val="24"/>
        </w:rPr>
        <w:t xml:space="preserve"> </w:t>
      </w:r>
      <w:r w:rsidR="005F7247" w:rsidRPr="00511F36">
        <w:rPr>
          <w:rFonts w:asciiTheme="majorBidi" w:hAnsiTheme="majorBidi" w:cstheme="majorBidi"/>
          <w:sz w:val="24"/>
          <w:szCs w:val="24"/>
        </w:rPr>
        <w:t xml:space="preserve">with </w:t>
      </w:r>
      <w:r w:rsidR="005F7247" w:rsidRPr="00511F36">
        <w:rPr>
          <w:rFonts w:asciiTheme="majorBidi" w:hAnsiTheme="majorBidi" w:cstheme="majorBidi"/>
          <w:i/>
          <w:iCs/>
          <w:sz w:val="24"/>
          <w:szCs w:val="24"/>
        </w:rPr>
        <w:t>H1</w:t>
      </w:r>
      <w:r w:rsidR="00BB6F53" w:rsidRPr="00511F36">
        <w:rPr>
          <w:rFonts w:asciiTheme="majorBidi" w:hAnsiTheme="majorBidi" w:cstheme="majorBidi"/>
          <w:sz w:val="24"/>
          <w:szCs w:val="24"/>
        </w:rPr>
        <w:t xml:space="preserve">. The insignificant effect of </w:t>
      </w:r>
      <w:r w:rsidR="00BB6F53" w:rsidRPr="00511F36">
        <w:rPr>
          <w:rFonts w:asciiTheme="majorBidi" w:hAnsiTheme="majorBidi" w:cstheme="majorBidi"/>
          <w:i/>
          <w:iCs/>
          <w:sz w:val="24"/>
          <w:szCs w:val="24"/>
        </w:rPr>
        <w:t>V</w:t>
      </w:r>
      <w:r w:rsidR="00564C6A">
        <w:rPr>
          <w:rFonts w:asciiTheme="majorBidi" w:hAnsiTheme="majorBidi" w:cstheme="majorBidi"/>
          <w:i/>
          <w:iCs/>
          <w:sz w:val="24"/>
          <w:szCs w:val="24"/>
        </w:rPr>
        <w:t>C</w:t>
      </w:r>
      <w:r w:rsidR="00BB6F53" w:rsidRPr="00511F36">
        <w:rPr>
          <w:rFonts w:asciiTheme="majorBidi" w:hAnsiTheme="majorBidi" w:cstheme="majorBidi"/>
          <w:i/>
          <w:iCs/>
          <w:sz w:val="24"/>
          <w:szCs w:val="24"/>
        </w:rPr>
        <w:t>G</w:t>
      </w:r>
      <w:r w:rsidR="00564C6A">
        <w:rPr>
          <w:rFonts w:asciiTheme="majorBidi" w:hAnsiTheme="majorBidi" w:cstheme="majorBidi"/>
          <w:i/>
          <w:iCs/>
          <w:sz w:val="24"/>
          <w:szCs w:val="24"/>
        </w:rPr>
        <w:t>EN</w:t>
      </w:r>
      <w:r w:rsidR="00BB6F53" w:rsidRPr="00511F36">
        <w:rPr>
          <w:rFonts w:asciiTheme="majorBidi" w:hAnsiTheme="majorBidi" w:cstheme="majorBidi"/>
          <w:i/>
          <w:iCs/>
          <w:sz w:val="24"/>
          <w:szCs w:val="24"/>
        </w:rPr>
        <w:t xml:space="preserve"> </w:t>
      </w:r>
      <w:r w:rsidR="00BB6F53" w:rsidRPr="00511F36">
        <w:rPr>
          <w:rFonts w:asciiTheme="majorBidi" w:hAnsiTheme="majorBidi" w:cstheme="majorBidi"/>
          <w:sz w:val="24"/>
          <w:szCs w:val="24"/>
        </w:rPr>
        <w:t xml:space="preserve">is empirically supported by </w:t>
      </w:r>
      <w:r w:rsidR="0067220E">
        <w:rPr>
          <w:rFonts w:asciiTheme="majorBidi" w:hAnsiTheme="majorBidi" w:cstheme="majorBidi"/>
          <w:sz w:val="24"/>
          <w:szCs w:val="24"/>
        </w:rPr>
        <w:t xml:space="preserve">Ntim et al. </w:t>
      </w:r>
      <w:r w:rsidR="00BB6F53" w:rsidRPr="00511F36">
        <w:rPr>
          <w:rFonts w:asciiTheme="majorBidi" w:hAnsiTheme="majorBidi" w:cstheme="majorBidi"/>
          <w:sz w:val="24"/>
          <w:szCs w:val="24"/>
        </w:rPr>
        <w:t>(</w:t>
      </w:r>
      <w:r w:rsidR="00DF4C18">
        <w:rPr>
          <w:rFonts w:asciiTheme="majorBidi" w:hAnsiTheme="majorBidi" w:cstheme="majorBidi"/>
          <w:sz w:val="24"/>
          <w:szCs w:val="24"/>
        </w:rPr>
        <w:t>2017</w:t>
      </w:r>
      <w:r w:rsidR="00BB6F53" w:rsidRPr="00511F36">
        <w:rPr>
          <w:rFonts w:asciiTheme="majorBidi" w:hAnsiTheme="majorBidi" w:cstheme="majorBidi"/>
          <w:sz w:val="24"/>
          <w:szCs w:val="24"/>
        </w:rPr>
        <w:t xml:space="preserve">), who find evidence of </w:t>
      </w:r>
      <w:r w:rsidR="00344611">
        <w:rPr>
          <w:rFonts w:asciiTheme="majorBidi" w:hAnsiTheme="majorBidi" w:cstheme="majorBidi"/>
          <w:sz w:val="24"/>
          <w:szCs w:val="24"/>
        </w:rPr>
        <w:t>in</w:t>
      </w:r>
      <w:r w:rsidR="00BB6F53" w:rsidRPr="00511F36">
        <w:rPr>
          <w:rFonts w:asciiTheme="majorBidi" w:hAnsiTheme="majorBidi" w:cstheme="majorBidi"/>
          <w:sz w:val="24"/>
          <w:szCs w:val="24"/>
        </w:rPr>
        <w:t xml:space="preserve">significant effect of </w:t>
      </w:r>
      <w:r w:rsidR="00BB6F53" w:rsidRPr="00511F36">
        <w:rPr>
          <w:rFonts w:asciiTheme="majorBidi" w:hAnsiTheme="majorBidi" w:cstheme="majorBidi"/>
          <w:i/>
          <w:iCs/>
          <w:sz w:val="24"/>
          <w:szCs w:val="24"/>
        </w:rPr>
        <w:t>V</w:t>
      </w:r>
      <w:r w:rsidR="00564C6A">
        <w:rPr>
          <w:rFonts w:asciiTheme="majorBidi" w:hAnsiTheme="majorBidi" w:cstheme="majorBidi"/>
          <w:i/>
          <w:iCs/>
          <w:sz w:val="24"/>
          <w:szCs w:val="24"/>
        </w:rPr>
        <w:t>C</w:t>
      </w:r>
      <w:r w:rsidR="00BB6F53" w:rsidRPr="00511F36">
        <w:rPr>
          <w:rFonts w:asciiTheme="majorBidi" w:hAnsiTheme="majorBidi" w:cstheme="majorBidi"/>
          <w:i/>
          <w:iCs/>
          <w:sz w:val="24"/>
          <w:szCs w:val="24"/>
        </w:rPr>
        <w:t>G</w:t>
      </w:r>
      <w:r w:rsidR="00564C6A">
        <w:rPr>
          <w:rFonts w:asciiTheme="majorBidi" w:hAnsiTheme="majorBidi" w:cstheme="majorBidi"/>
          <w:i/>
          <w:iCs/>
          <w:sz w:val="24"/>
          <w:szCs w:val="24"/>
        </w:rPr>
        <w:t>EN</w:t>
      </w:r>
      <w:r w:rsidR="00BB6F53" w:rsidRPr="00511F36">
        <w:rPr>
          <w:rFonts w:asciiTheme="majorBidi" w:hAnsiTheme="majorBidi" w:cstheme="majorBidi"/>
          <w:i/>
          <w:iCs/>
          <w:sz w:val="24"/>
          <w:szCs w:val="24"/>
        </w:rPr>
        <w:t xml:space="preserve"> </w:t>
      </w:r>
      <w:r w:rsidR="00BB6F53" w:rsidRPr="00511F36">
        <w:rPr>
          <w:rFonts w:asciiTheme="majorBidi" w:hAnsiTheme="majorBidi" w:cstheme="majorBidi"/>
          <w:sz w:val="24"/>
          <w:szCs w:val="24"/>
        </w:rPr>
        <w:t>on the general disclosure</w:t>
      </w:r>
      <w:r w:rsidR="00794482">
        <w:rPr>
          <w:rFonts w:asciiTheme="majorBidi" w:hAnsiTheme="majorBidi" w:cstheme="majorBidi"/>
          <w:sz w:val="24"/>
          <w:szCs w:val="24"/>
        </w:rPr>
        <w:t>s</w:t>
      </w:r>
      <w:r w:rsidR="00BB6F53" w:rsidRPr="00511F36">
        <w:rPr>
          <w:rFonts w:asciiTheme="majorBidi" w:hAnsiTheme="majorBidi" w:cstheme="majorBidi"/>
          <w:sz w:val="24"/>
          <w:szCs w:val="24"/>
        </w:rPr>
        <w:t xml:space="preserve"> </w:t>
      </w:r>
      <w:r w:rsidR="00794482">
        <w:rPr>
          <w:rFonts w:asciiTheme="majorBidi" w:hAnsiTheme="majorBidi" w:cstheme="majorBidi"/>
          <w:sz w:val="24"/>
          <w:szCs w:val="24"/>
        </w:rPr>
        <w:t>of the</w:t>
      </w:r>
      <w:r w:rsidR="00BB6F53" w:rsidRPr="00511F36">
        <w:rPr>
          <w:rFonts w:asciiTheme="majorBidi" w:hAnsiTheme="majorBidi" w:cstheme="majorBidi"/>
          <w:sz w:val="24"/>
          <w:szCs w:val="24"/>
        </w:rPr>
        <w:t xml:space="preserve"> 130 UK HEIs. This </w:t>
      </w:r>
      <w:r w:rsidR="00182942">
        <w:rPr>
          <w:rFonts w:asciiTheme="majorBidi" w:hAnsiTheme="majorBidi" w:cstheme="majorBidi"/>
          <w:sz w:val="24"/>
          <w:szCs w:val="24"/>
        </w:rPr>
        <w:t>in</w:t>
      </w:r>
      <w:r w:rsidR="00BB6F53" w:rsidRPr="00511F36">
        <w:rPr>
          <w:rFonts w:asciiTheme="majorBidi" w:hAnsiTheme="majorBidi" w:cstheme="majorBidi"/>
          <w:sz w:val="24"/>
          <w:szCs w:val="24"/>
        </w:rPr>
        <w:t xml:space="preserve">significant effect of </w:t>
      </w:r>
      <w:r w:rsidR="00BB6F53" w:rsidRPr="00511F36">
        <w:rPr>
          <w:rFonts w:asciiTheme="majorBidi" w:hAnsiTheme="majorBidi" w:cstheme="majorBidi"/>
          <w:i/>
          <w:iCs/>
          <w:sz w:val="24"/>
          <w:szCs w:val="24"/>
        </w:rPr>
        <w:t>V</w:t>
      </w:r>
      <w:r w:rsidR="00564C6A">
        <w:rPr>
          <w:rFonts w:asciiTheme="majorBidi" w:hAnsiTheme="majorBidi" w:cstheme="majorBidi"/>
          <w:i/>
          <w:iCs/>
          <w:sz w:val="24"/>
          <w:szCs w:val="24"/>
        </w:rPr>
        <w:t>C</w:t>
      </w:r>
      <w:r w:rsidR="00BB6F53" w:rsidRPr="00511F36">
        <w:rPr>
          <w:rFonts w:asciiTheme="majorBidi" w:hAnsiTheme="majorBidi" w:cstheme="majorBidi"/>
          <w:i/>
          <w:iCs/>
          <w:sz w:val="24"/>
          <w:szCs w:val="24"/>
        </w:rPr>
        <w:t>G</w:t>
      </w:r>
      <w:r w:rsidR="00564C6A">
        <w:rPr>
          <w:rFonts w:asciiTheme="majorBidi" w:hAnsiTheme="majorBidi" w:cstheme="majorBidi"/>
          <w:i/>
          <w:iCs/>
          <w:sz w:val="24"/>
          <w:szCs w:val="24"/>
        </w:rPr>
        <w:t>EN</w:t>
      </w:r>
      <w:r w:rsidR="00BB6F53" w:rsidRPr="00511F36">
        <w:rPr>
          <w:rFonts w:asciiTheme="majorBidi" w:hAnsiTheme="majorBidi" w:cstheme="majorBidi"/>
          <w:sz w:val="24"/>
          <w:szCs w:val="24"/>
        </w:rPr>
        <w:t xml:space="preserve"> </w:t>
      </w:r>
      <w:r w:rsidR="00863AE7" w:rsidRPr="00511F36">
        <w:rPr>
          <w:rFonts w:asciiTheme="majorBidi" w:hAnsiTheme="majorBidi" w:cstheme="majorBidi"/>
          <w:sz w:val="24"/>
          <w:szCs w:val="24"/>
        </w:rPr>
        <w:t xml:space="preserve">may due </w:t>
      </w:r>
      <w:r w:rsidR="00AA0E33">
        <w:rPr>
          <w:rFonts w:asciiTheme="majorBidi" w:hAnsiTheme="majorBidi" w:cstheme="majorBidi"/>
          <w:sz w:val="24"/>
          <w:szCs w:val="24"/>
        </w:rPr>
        <w:t xml:space="preserve">to </w:t>
      </w:r>
      <w:r w:rsidR="005E276D">
        <w:rPr>
          <w:rFonts w:asciiTheme="majorBidi" w:hAnsiTheme="majorBidi" w:cstheme="majorBidi"/>
          <w:sz w:val="24"/>
          <w:szCs w:val="24"/>
        </w:rPr>
        <w:t xml:space="preserve">the fact </w:t>
      </w:r>
      <w:r w:rsidR="00AA0E33">
        <w:rPr>
          <w:rFonts w:asciiTheme="majorBidi" w:hAnsiTheme="majorBidi" w:cstheme="majorBidi"/>
          <w:sz w:val="24"/>
          <w:szCs w:val="24"/>
        </w:rPr>
        <w:t xml:space="preserve">that UK HEIs are dominated by male VCs </w:t>
      </w:r>
      <w:r w:rsidR="00863AE7" w:rsidRPr="00511F36">
        <w:rPr>
          <w:rFonts w:asciiTheme="majorBidi" w:hAnsiTheme="majorBidi" w:cstheme="majorBidi"/>
          <w:sz w:val="24"/>
          <w:szCs w:val="24"/>
        </w:rPr>
        <w:t xml:space="preserve">(less than 18% of UK HEIs appoint women as vice-chancellors, see Table </w:t>
      </w:r>
      <w:r w:rsidR="001043BC">
        <w:rPr>
          <w:rFonts w:asciiTheme="majorBidi" w:hAnsiTheme="majorBidi" w:cstheme="majorBidi"/>
          <w:sz w:val="24"/>
          <w:szCs w:val="24"/>
        </w:rPr>
        <w:t>4</w:t>
      </w:r>
      <w:r w:rsidR="00863AE7" w:rsidRPr="00511F36">
        <w:rPr>
          <w:rFonts w:asciiTheme="majorBidi" w:hAnsiTheme="majorBidi" w:cstheme="majorBidi"/>
          <w:sz w:val="24"/>
          <w:szCs w:val="24"/>
        </w:rPr>
        <w:t xml:space="preserve">), </w:t>
      </w:r>
      <w:r w:rsidR="003C3C81">
        <w:rPr>
          <w:rFonts w:asciiTheme="majorBidi" w:hAnsiTheme="majorBidi" w:cstheme="majorBidi"/>
          <w:sz w:val="24"/>
          <w:szCs w:val="24"/>
        </w:rPr>
        <w:t xml:space="preserve">with </w:t>
      </w:r>
      <w:r w:rsidR="003C3C81">
        <w:rPr>
          <w:rFonts w:asciiTheme="majorBidi" w:hAnsiTheme="majorBidi" w:cstheme="majorBidi"/>
          <w:sz w:val="24"/>
          <w:szCs w:val="24"/>
        </w:rPr>
        <w:lastRenderedPageBreak/>
        <w:t>a clear</w:t>
      </w:r>
      <w:r w:rsidR="00BB6F53" w:rsidRPr="00511F36">
        <w:rPr>
          <w:rFonts w:asciiTheme="majorBidi" w:hAnsiTheme="majorBidi" w:cstheme="majorBidi"/>
          <w:sz w:val="24"/>
          <w:szCs w:val="24"/>
        </w:rPr>
        <w:t xml:space="preserve"> majority (more than 82%) of HEIs vice-chancellors </w:t>
      </w:r>
      <w:r w:rsidR="003C3C81">
        <w:rPr>
          <w:rFonts w:asciiTheme="majorBidi" w:hAnsiTheme="majorBidi" w:cstheme="majorBidi"/>
          <w:sz w:val="24"/>
          <w:szCs w:val="24"/>
        </w:rPr>
        <w:t>being</w:t>
      </w:r>
      <w:r w:rsidR="00BB6F53" w:rsidRPr="00511F36">
        <w:rPr>
          <w:rFonts w:asciiTheme="majorBidi" w:hAnsiTheme="majorBidi" w:cstheme="majorBidi"/>
          <w:sz w:val="24"/>
          <w:szCs w:val="24"/>
        </w:rPr>
        <w:t xml:space="preserve"> men (see Table </w:t>
      </w:r>
      <w:r w:rsidR="001043BC">
        <w:rPr>
          <w:rFonts w:asciiTheme="majorBidi" w:hAnsiTheme="majorBidi" w:cstheme="majorBidi"/>
          <w:sz w:val="24"/>
          <w:szCs w:val="24"/>
        </w:rPr>
        <w:t>4</w:t>
      </w:r>
      <w:r w:rsidR="00BB6F53" w:rsidRPr="00511F36">
        <w:rPr>
          <w:rFonts w:asciiTheme="majorBidi" w:hAnsiTheme="majorBidi" w:cstheme="majorBidi"/>
          <w:sz w:val="24"/>
          <w:szCs w:val="24"/>
        </w:rPr>
        <w:t xml:space="preserve"> for more details)</w:t>
      </w:r>
      <w:r w:rsidR="003C3C81">
        <w:rPr>
          <w:rFonts w:asciiTheme="majorBidi" w:hAnsiTheme="majorBidi" w:cstheme="majorBidi"/>
          <w:sz w:val="24"/>
          <w:szCs w:val="24"/>
        </w:rPr>
        <w:t>. This</w:t>
      </w:r>
      <w:r w:rsidR="00863AE7" w:rsidRPr="00511F36">
        <w:rPr>
          <w:rFonts w:asciiTheme="majorBidi" w:hAnsiTheme="majorBidi" w:cstheme="majorBidi"/>
          <w:sz w:val="24"/>
          <w:szCs w:val="24"/>
        </w:rPr>
        <w:t xml:space="preserve"> impli</w:t>
      </w:r>
      <w:r w:rsidR="003C3C81">
        <w:rPr>
          <w:rFonts w:asciiTheme="majorBidi" w:hAnsiTheme="majorBidi" w:cstheme="majorBidi"/>
          <w:sz w:val="24"/>
          <w:szCs w:val="24"/>
        </w:rPr>
        <w:t>es</w:t>
      </w:r>
      <w:r w:rsidR="00863AE7" w:rsidRPr="00511F36">
        <w:rPr>
          <w:rFonts w:asciiTheme="majorBidi" w:hAnsiTheme="majorBidi" w:cstheme="majorBidi"/>
          <w:sz w:val="24"/>
          <w:szCs w:val="24"/>
        </w:rPr>
        <w:t xml:space="preserve"> that women have </w:t>
      </w:r>
      <w:r w:rsidR="00AA0E33">
        <w:rPr>
          <w:rFonts w:asciiTheme="majorBidi" w:hAnsiTheme="majorBidi" w:cstheme="majorBidi"/>
          <w:sz w:val="24"/>
          <w:szCs w:val="24"/>
        </w:rPr>
        <w:t>limited impact on</w:t>
      </w:r>
      <w:r w:rsidR="00AA0E33" w:rsidRPr="00511F36">
        <w:rPr>
          <w:rFonts w:asciiTheme="majorBidi" w:hAnsiTheme="majorBidi" w:cstheme="majorBidi"/>
          <w:sz w:val="24"/>
          <w:szCs w:val="24"/>
        </w:rPr>
        <w:t xml:space="preserve"> </w:t>
      </w:r>
      <w:r w:rsidR="00863AE7" w:rsidRPr="00511F36">
        <w:rPr>
          <w:rFonts w:asciiTheme="majorBidi" w:hAnsiTheme="majorBidi" w:cstheme="majorBidi"/>
          <w:sz w:val="24"/>
          <w:szCs w:val="24"/>
        </w:rPr>
        <w:t xml:space="preserve">boards’ decisions, including voluntary governance disclosures. </w:t>
      </w:r>
      <w:r w:rsidR="00AA0E33">
        <w:rPr>
          <w:rFonts w:asciiTheme="majorBidi" w:hAnsiTheme="majorBidi" w:cstheme="majorBidi"/>
          <w:sz w:val="24"/>
          <w:szCs w:val="24"/>
        </w:rPr>
        <w:t>Further</w:t>
      </w:r>
      <w:r w:rsidR="00863AE7" w:rsidRPr="00511F36">
        <w:rPr>
          <w:rFonts w:asciiTheme="majorBidi" w:hAnsiTheme="majorBidi" w:cstheme="majorBidi"/>
          <w:sz w:val="24"/>
          <w:szCs w:val="24"/>
        </w:rPr>
        <w:t xml:space="preserve">, the evidence of an insignificant effect of </w:t>
      </w:r>
      <w:r w:rsidR="00712E0B" w:rsidRPr="00511F36">
        <w:rPr>
          <w:rFonts w:asciiTheme="majorBidi" w:hAnsiTheme="majorBidi" w:cstheme="majorBidi"/>
          <w:i/>
          <w:iCs/>
          <w:sz w:val="24"/>
          <w:szCs w:val="24"/>
        </w:rPr>
        <w:t>V</w:t>
      </w:r>
      <w:r w:rsidR="00564C6A">
        <w:rPr>
          <w:rFonts w:asciiTheme="majorBidi" w:hAnsiTheme="majorBidi" w:cstheme="majorBidi"/>
          <w:i/>
          <w:iCs/>
          <w:sz w:val="24"/>
          <w:szCs w:val="24"/>
        </w:rPr>
        <w:t>CE</w:t>
      </w:r>
      <w:r w:rsidR="00712E0B" w:rsidRPr="00511F36">
        <w:rPr>
          <w:rFonts w:asciiTheme="majorBidi" w:hAnsiTheme="majorBidi" w:cstheme="majorBidi"/>
          <w:i/>
          <w:iCs/>
          <w:sz w:val="24"/>
          <w:szCs w:val="24"/>
        </w:rPr>
        <w:t>D</w:t>
      </w:r>
      <w:r w:rsidR="00564C6A">
        <w:rPr>
          <w:rFonts w:asciiTheme="majorBidi" w:hAnsiTheme="majorBidi" w:cstheme="majorBidi"/>
          <w:i/>
          <w:iCs/>
          <w:sz w:val="24"/>
          <w:szCs w:val="24"/>
        </w:rPr>
        <w:t>U</w:t>
      </w:r>
      <w:r w:rsidR="00863AE7" w:rsidRPr="00511F36">
        <w:rPr>
          <w:rFonts w:asciiTheme="majorBidi" w:hAnsiTheme="majorBidi" w:cstheme="majorBidi"/>
          <w:i/>
          <w:iCs/>
          <w:sz w:val="24"/>
          <w:szCs w:val="24"/>
        </w:rPr>
        <w:t xml:space="preserve"> </w:t>
      </w:r>
      <w:r w:rsidR="00863AE7" w:rsidRPr="00511F36">
        <w:rPr>
          <w:rFonts w:asciiTheme="majorBidi" w:hAnsiTheme="majorBidi" w:cstheme="majorBidi"/>
          <w:sz w:val="24"/>
          <w:szCs w:val="24"/>
        </w:rPr>
        <w:t xml:space="preserve">on the </w:t>
      </w:r>
      <w:r w:rsidR="00863AE7" w:rsidRPr="00511F36">
        <w:rPr>
          <w:rFonts w:asciiTheme="majorBidi" w:hAnsiTheme="majorBidi" w:cstheme="majorBidi"/>
          <w:i/>
          <w:iCs/>
          <w:sz w:val="24"/>
          <w:szCs w:val="24"/>
        </w:rPr>
        <w:t xml:space="preserve">HEGI </w:t>
      </w:r>
      <w:r w:rsidR="00AA0E33">
        <w:rPr>
          <w:rFonts w:asciiTheme="majorBidi" w:hAnsiTheme="majorBidi" w:cstheme="majorBidi"/>
          <w:sz w:val="24"/>
          <w:szCs w:val="24"/>
        </w:rPr>
        <w:t>is inconsistent with</w:t>
      </w:r>
      <w:r w:rsidR="00AA0E33" w:rsidRPr="00511F36">
        <w:rPr>
          <w:rFonts w:asciiTheme="majorBidi" w:hAnsiTheme="majorBidi" w:cstheme="majorBidi"/>
          <w:sz w:val="24"/>
          <w:szCs w:val="24"/>
        </w:rPr>
        <w:t xml:space="preserve"> </w:t>
      </w:r>
      <w:r w:rsidR="00863AE7" w:rsidRPr="00511F36">
        <w:rPr>
          <w:rFonts w:asciiTheme="majorBidi" w:hAnsiTheme="majorBidi" w:cstheme="majorBidi"/>
          <w:i/>
          <w:iCs/>
          <w:sz w:val="24"/>
          <w:szCs w:val="24"/>
        </w:rPr>
        <w:t>H1</w:t>
      </w:r>
      <w:r w:rsidR="0024731E" w:rsidRPr="00511F36">
        <w:rPr>
          <w:rFonts w:asciiTheme="majorBidi" w:hAnsiTheme="majorBidi" w:cstheme="majorBidi"/>
          <w:sz w:val="24"/>
          <w:szCs w:val="24"/>
        </w:rPr>
        <w:t xml:space="preserve">. </w:t>
      </w:r>
    </w:p>
    <w:p w14:paraId="40C74FE1" w14:textId="025081FC" w:rsidR="00954433" w:rsidRPr="00511F36" w:rsidRDefault="00954433" w:rsidP="00567D34">
      <w:pPr>
        <w:tabs>
          <w:tab w:val="left" w:pos="6534"/>
        </w:tabs>
        <w:spacing w:line="480" w:lineRule="auto"/>
        <w:jc w:val="center"/>
        <w:rPr>
          <w:rFonts w:asciiTheme="majorBidi" w:hAnsiTheme="majorBidi" w:cstheme="majorBidi"/>
          <w:sz w:val="24"/>
          <w:szCs w:val="24"/>
        </w:rPr>
      </w:pPr>
      <w:r w:rsidRPr="00511F36">
        <w:rPr>
          <w:rFonts w:asciiTheme="majorBidi" w:hAnsiTheme="majorBidi" w:cstheme="majorBidi"/>
          <w:sz w:val="24"/>
          <w:szCs w:val="24"/>
        </w:rPr>
        <w:t xml:space="preserve">Table </w:t>
      </w:r>
      <w:r w:rsidR="001043BC">
        <w:rPr>
          <w:rFonts w:asciiTheme="majorBidi" w:hAnsiTheme="majorBidi" w:cstheme="majorBidi"/>
          <w:sz w:val="24"/>
          <w:szCs w:val="24"/>
        </w:rPr>
        <w:t>6</w:t>
      </w:r>
      <w:r w:rsidRPr="00511F36">
        <w:rPr>
          <w:rFonts w:asciiTheme="majorBidi" w:hAnsiTheme="majorBidi" w:cstheme="majorBidi"/>
          <w:sz w:val="24"/>
          <w:szCs w:val="24"/>
        </w:rPr>
        <w:t xml:space="preserve"> </w:t>
      </w:r>
      <w:r w:rsidR="00511F36">
        <w:rPr>
          <w:rFonts w:asciiTheme="majorBidi" w:hAnsiTheme="majorBidi" w:cstheme="majorBidi"/>
          <w:sz w:val="24"/>
          <w:szCs w:val="24"/>
        </w:rPr>
        <w:t>near</w:t>
      </w:r>
      <w:r w:rsidRPr="00511F36">
        <w:rPr>
          <w:rFonts w:asciiTheme="majorBidi" w:hAnsiTheme="majorBidi" w:cstheme="majorBidi"/>
          <w:sz w:val="24"/>
          <w:szCs w:val="24"/>
        </w:rPr>
        <w:t xml:space="preserve"> here</w:t>
      </w:r>
    </w:p>
    <w:p w14:paraId="3950469A" w14:textId="1B373C0F" w:rsidR="003777D3" w:rsidRDefault="00841D16" w:rsidP="009932B4">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 xml:space="preserve">Model 1 of </w:t>
      </w:r>
      <w:r w:rsidR="0024731E" w:rsidRPr="00511F36">
        <w:rPr>
          <w:rFonts w:asciiTheme="majorBidi" w:hAnsiTheme="majorBidi" w:cstheme="majorBidi"/>
          <w:sz w:val="24"/>
          <w:szCs w:val="24"/>
        </w:rPr>
        <w:t xml:space="preserve">Table </w:t>
      </w:r>
      <w:r w:rsidR="001043BC">
        <w:rPr>
          <w:rFonts w:asciiTheme="majorBidi" w:hAnsiTheme="majorBidi" w:cstheme="majorBidi"/>
          <w:sz w:val="24"/>
          <w:szCs w:val="24"/>
        </w:rPr>
        <w:t>6</w:t>
      </w:r>
      <w:r w:rsidR="0024731E" w:rsidRPr="00511F36">
        <w:rPr>
          <w:rFonts w:asciiTheme="majorBidi" w:hAnsiTheme="majorBidi" w:cstheme="majorBidi"/>
          <w:sz w:val="24"/>
          <w:szCs w:val="24"/>
        </w:rPr>
        <w:t xml:space="preserve"> also show</w:t>
      </w:r>
      <w:r w:rsidR="00D96EA4">
        <w:rPr>
          <w:rFonts w:asciiTheme="majorBidi" w:hAnsiTheme="majorBidi" w:cstheme="majorBidi"/>
          <w:sz w:val="24"/>
          <w:szCs w:val="24"/>
        </w:rPr>
        <w:t>s</w:t>
      </w:r>
      <w:r w:rsidR="0024731E" w:rsidRPr="00511F36">
        <w:rPr>
          <w:rFonts w:asciiTheme="majorBidi" w:hAnsiTheme="majorBidi" w:cstheme="majorBidi"/>
          <w:sz w:val="24"/>
          <w:szCs w:val="24"/>
        </w:rPr>
        <w:t xml:space="preserve"> that </w:t>
      </w:r>
      <w:r w:rsidR="008F3496" w:rsidRPr="00511F36">
        <w:rPr>
          <w:rFonts w:asciiTheme="majorBidi" w:hAnsiTheme="majorBidi" w:cstheme="majorBidi"/>
          <w:sz w:val="24"/>
          <w:szCs w:val="24"/>
        </w:rPr>
        <w:t>both vice-chancellor age (</w:t>
      </w:r>
      <w:r w:rsidR="008F3496" w:rsidRPr="00511F36">
        <w:rPr>
          <w:rFonts w:asciiTheme="majorBidi" w:hAnsiTheme="majorBidi" w:cstheme="majorBidi"/>
          <w:i/>
          <w:iCs/>
          <w:sz w:val="24"/>
          <w:szCs w:val="24"/>
        </w:rPr>
        <w:t>V</w:t>
      </w:r>
      <w:r w:rsidR="00564C6A">
        <w:rPr>
          <w:rFonts w:asciiTheme="majorBidi" w:hAnsiTheme="majorBidi" w:cstheme="majorBidi"/>
          <w:i/>
          <w:iCs/>
          <w:sz w:val="24"/>
          <w:szCs w:val="24"/>
        </w:rPr>
        <w:t>C</w:t>
      </w:r>
      <w:r w:rsidR="008F3496" w:rsidRPr="00511F36">
        <w:rPr>
          <w:rFonts w:asciiTheme="majorBidi" w:hAnsiTheme="majorBidi" w:cstheme="majorBidi"/>
          <w:i/>
          <w:iCs/>
          <w:sz w:val="24"/>
          <w:szCs w:val="24"/>
        </w:rPr>
        <w:t>A</w:t>
      </w:r>
      <w:r w:rsidR="00564C6A">
        <w:rPr>
          <w:rFonts w:asciiTheme="majorBidi" w:hAnsiTheme="majorBidi" w:cstheme="majorBidi"/>
          <w:i/>
          <w:iCs/>
          <w:sz w:val="24"/>
          <w:szCs w:val="24"/>
        </w:rPr>
        <w:t>GE</w:t>
      </w:r>
      <w:r w:rsidR="008F3496" w:rsidRPr="00511F36">
        <w:rPr>
          <w:rFonts w:asciiTheme="majorBidi" w:hAnsiTheme="majorBidi" w:cstheme="majorBidi"/>
          <w:sz w:val="24"/>
          <w:szCs w:val="24"/>
        </w:rPr>
        <w:t>) and tenure (</w:t>
      </w:r>
      <w:r w:rsidR="008F3496" w:rsidRPr="00511F36">
        <w:rPr>
          <w:rFonts w:asciiTheme="majorBidi" w:hAnsiTheme="majorBidi" w:cstheme="majorBidi"/>
          <w:i/>
          <w:iCs/>
          <w:sz w:val="24"/>
          <w:szCs w:val="24"/>
        </w:rPr>
        <w:t>V</w:t>
      </w:r>
      <w:r w:rsidR="00564C6A">
        <w:rPr>
          <w:rFonts w:asciiTheme="majorBidi" w:hAnsiTheme="majorBidi" w:cstheme="majorBidi"/>
          <w:i/>
          <w:iCs/>
          <w:sz w:val="24"/>
          <w:szCs w:val="24"/>
        </w:rPr>
        <w:t>C</w:t>
      </w:r>
      <w:r w:rsidR="008F3496" w:rsidRPr="00511F36">
        <w:rPr>
          <w:rFonts w:asciiTheme="majorBidi" w:hAnsiTheme="majorBidi" w:cstheme="majorBidi"/>
          <w:i/>
          <w:iCs/>
          <w:sz w:val="24"/>
          <w:szCs w:val="24"/>
        </w:rPr>
        <w:t>T</w:t>
      </w:r>
      <w:r w:rsidR="00564C6A">
        <w:rPr>
          <w:rFonts w:asciiTheme="majorBidi" w:hAnsiTheme="majorBidi" w:cstheme="majorBidi"/>
          <w:i/>
          <w:iCs/>
          <w:sz w:val="24"/>
          <w:szCs w:val="24"/>
        </w:rPr>
        <w:t>EN</w:t>
      </w:r>
      <w:r w:rsidR="008F3496" w:rsidRPr="00511F36">
        <w:rPr>
          <w:rFonts w:asciiTheme="majorBidi" w:hAnsiTheme="majorBidi" w:cstheme="majorBidi"/>
          <w:sz w:val="24"/>
          <w:szCs w:val="24"/>
        </w:rPr>
        <w:t xml:space="preserve">) have significant influence on </w:t>
      </w:r>
      <w:r w:rsidR="008F3496" w:rsidRPr="00511F36">
        <w:rPr>
          <w:rFonts w:asciiTheme="majorBidi" w:hAnsiTheme="majorBidi" w:cstheme="majorBidi"/>
          <w:i/>
          <w:iCs/>
          <w:sz w:val="24"/>
          <w:szCs w:val="24"/>
        </w:rPr>
        <w:t>HEGI</w:t>
      </w:r>
      <w:r w:rsidR="008F3496" w:rsidRPr="00511F36">
        <w:rPr>
          <w:rFonts w:asciiTheme="majorBidi" w:hAnsiTheme="majorBidi" w:cstheme="majorBidi"/>
          <w:sz w:val="24"/>
          <w:szCs w:val="24"/>
        </w:rPr>
        <w:t xml:space="preserve">. Specifically, Table </w:t>
      </w:r>
      <w:r w:rsidR="001043BC">
        <w:rPr>
          <w:rFonts w:asciiTheme="majorBidi" w:hAnsiTheme="majorBidi" w:cstheme="majorBidi"/>
          <w:sz w:val="24"/>
          <w:szCs w:val="24"/>
        </w:rPr>
        <w:t>6</w:t>
      </w:r>
      <w:r w:rsidR="008F3496" w:rsidRPr="00511F36">
        <w:rPr>
          <w:rFonts w:asciiTheme="majorBidi" w:hAnsiTheme="majorBidi" w:cstheme="majorBidi"/>
          <w:sz w:val="24"/>
          <w:szCs w:val="24"/>
        </w:rPr>
        <w:t xml:space="preserve"> demonstrates that </w:t>
      </w:r>
      <w:r w:rsidR="00EB6BA0" w:rsidRPr="00511F36">
        <w:rPr>
          <w:rFonts w:asciiTheme="majorBidi" w:hAnsiTheme="majorBidi" w:cstheme="majorBidi"/>
          <w:i/>
          <w:iCs/>
          <w:sz w:val="24"/>
          <w:szCs w:val="24"/>
        </w:rPr>
        <w:t>V</w:t>
      </w:r>
      <w:r w:rsidR="00EB6BA0">
        <w:rPr>
          <w:rFonts w:asciiTheme="majorBidi" w:hAnsiTheme="majorBidi" w:cstheme="majorBidi"/>
          <w:i/>
          <w:iCs/>
          <w:sz w:val="24"/>
          <w:szCs w:val="24"/>
        </w:rPr>
        <w:t>C</w:t>
      </w:r>
      <w:r w:rsidR="00EB6BA0" w:rsidRPr="00511F36">
        <w:rPr>
          <w:rFonts w:asciiTheme="majorBidi" w:hAnsiTheme="majorBidi" w:cstheme="majorBidi"/>
          <w:i/>
          <w:iCs/>
          <w:sz w:val="24"/>
          <w:szCs w:val="24"/>
        </w:rPr>
        <w:t>A</w:t>
      </w:r>
      <w:r w:rsidR="00EB6BA0">
        <w:rPr>
          <w:rFonts w:asciiTheme="majorBidi" w:hAnsiTheme="majorBidi" w:cstheme="majorBidi"/>
          <w:i/>
          <w:iCs/>
          <w:sz w:val="24"/>
          <w:szCs w:val="24"/>
        </w:rPr>
        <w:t>GE</w:t>
      </w:r>
      <w:r w:rsidR="00EB6BA0" w:rsidRPr="00511F36" w:rsidDel="00EB6BA0">
        <w:rPr>
          <w:rFonts w:asciiTheme="majorBidi" w:hAnsiTheme="majorBidi" w:cstheme="majorBidi"/>
          <w:i/>
          <w:iCs/>
          <w:sz w:val="24"/>
          <w:szCs w:val="24"/>
        </w:rPr>
        <w:t xml:space="preserve"> </w:t>
      </w:r>
      <w:r w:rsidR="008F3496" w:rsidRPr="00511F36">
        <w:rPr>
          <w:rFonts w:asciiTheme="majorBidi" w:hAnsiTheme="majorBidi" w:cstheme="majorBidi"/>
          <w:sz w:val="24"/>
          <w:szCs w:val="24"/>
        </w:rPr>
        <w:t xml:space="preserve">is negatively associated with </w:t>
      </w:r>
      <w:r w:rsidR="008F3496" w:rsidRPr="00511F36">
        <w:rPr>
          <w:rFonts w:asciiTheme="majorBidi" w:hAnsiTheme="majorBidi" w:cstheme="majorBidi"/>
          <w:i/>
          <w:iCs/>
          <w:sz w:val="24"/>
          <w:szCs w:val="24"/>
        </w:rPr>
        <w:t>HEGI</w:t>
      </w:r>
      <w:r w:rsidR="008F3496" w:rsidRPr="00511F36">
        <w:rPr>
          <w:rFonts w:asciiTheme="majorBidi" w:hAnsiTheme="majorBidi" w:cstheme="majorBidi"/>
          <w:sz w:val="24"/>
          <w:szCs w:val="24"/>
        </w:rPr>
        <w:t xml:space="preserve">, which </w:t>
      </w:r>
      <w:r w:rsidR="002A178E" w:rsidRPr="00511F36">
        <w:rPr>
          <w:rFonts w:asciiTheme="majorBidi" w:hAnsiTheme="majorBidi" w:cstheme="majorBidi"/>
          <w:sz w:val="24"/>
          <w:szCs w:val="24"/>
        </w:rPr>
        <w:t>is</w:t>
      </w:r>
      <w:r w:rsidR="00661BB0">
        <w:rPr>
          <w:rFonts w:asciiTheme="majorBidi" w:hAnsiTheme="majorBidi" w:cstheme="majorBidi"/>
          <w:sz w:val="24"/>
          <w:szCs w:val="24"/>
        </w:rPr>
        <w:t xml:space="preserve"> not</w:t>
      </w:r>
      <w:r w:rsidR="002A178E" w:rsidRPr="00511F36">
        <w:rPr>
          <w:rFonts w:asciiTheme="majorBidi" w:hAnsiTheme="majorBidi" w:cstheme="majorBidi"/>
          <w:sz w:val="24"/>
          <w:szCs w:val="24"/>
        </w:rPr>
        <w:t xml:space="preserve"> </w:t>
      </w:r>
      <w:r w:rsidR="00FF04EC">
        <w:rPr>
          <w:rFonts w:asciiTheme="majorBidi" w:hAnsiTheme="majorBidi" w:cstheme="majorBidi"/>
          <w:sz w:val="24"/>
          <w:szCs w:val="24"/>
        </w:rPr>
        <w:t>in line</w:t>
      </w:r>
      <w:r w:rsidR="00FF04EC" w:rsidRPr="00511F36">
        <w:rPr>
          <w:rFonts w:asciiTheme="majorBidi" w:hAnsiTheme="majorBidi" w:cstheme="majorBidi"/>
          <w:sz w:val="24"/>
          <w:szCs w:val="24"/>
        </w:rPr>
        <w:t xml:space="preserve"> </w:t>
      </w:r>
      <w:r w:rsidR="002A178E" w:rsidRPr="00511F36">
        <w:rPr>
          <w:rFonts w:asciiTheme="majorBidi" w:hAnsiTheme="majorBidi" w:cstheme="majorBidi"/>
          <w:sz w:val="24"/>
          <w:szCs w:val="24"/>
        </w:rPr>
        <w:t xml:space="preserve">with </w:t>
      </w:r>
      <w:r w:rsidR="002A178E" w:rsidRPr="002C18D3">
        <w:rPr>
          <w:rFonts w:asciiTheme="majorBidi" w:hAnsiTheme="majorBidi" w:cstheme="majorBidi"/>
          <w:i/>
          <w:iCs/>
          <w:sz w:val="24"/>
          <w:szCs w:val="24"/>
        </w:rPr>
        <w:t>H1</w:t>
      </w:r>
      <w:r w:rsidR="00661BB0">
        <w:rPr>
          <w:rFonts w:asciiTheme="majorBidi" w:hAnsiTheme="majorBidi" w:cstheme="majorBidi"/>
          <w:sz w:val="24"/>
          <w:szCs w:val="24"/>
        </w:rPr>
        <w:t xml:space="preserve"> nor the findings of </w:t>
      </w:r>
      <w:r w:rsidR="009932B4">
        <w:rPr>
          <w:rFonts w:asciiTheme="majorBidi" w:hAnsiTheme="majorBidi" w:cstheme="majorBidi"/>
          <w:sz w:val="24"/>
          <w:szCs w:val="24"/>
        </w:rPr>
        <w:t xml:space="preserve">prior studies that have been conducted </w:t>
      </w:r>
      <w:r w:rsidR="00961893">
        <w:rPr>
          <w:rFonts w:asciiTheme="majorBidi" w:hAnsiTheme="majorBidi" w:cstheme="majorBidi"/>
          <w:sz w:val="24"/>
          <w:szCs w:val="24"/>
        </w:rPr>
        <w:t>i</w:t>
      </w:r>
      <w:r w:rsidR="009932B4">
        <w:rPr>
          <w:rFonts w:asciiTheme="majorBidi" w:hAnsiTheme="majorBidi" w:cstheme="majorBidi"/>
          <w:sz w:val="24"/>
          <w:szCs w:val="24"/>
        </w:rPr>
        <w:t>n non-profitable organisations (</w:t>
      </w:r>
      <w:r w:rsidR="009932B4">
        <w:rPr>
          <w:rFonts w:asciiTheme="majorBidi" w:eastAsia="Times New Roman" w:hAnsiTheme="majorBidi" w:cstheme="majorBidi"/>
          <w:sz w:val="24"/>
          <w:szCs w:val="24"/>
          <w:lang w:eastAsia="en-GB"/>
        </w:rPr>
        <w:t>Brickley et al., 2010) and HEIs (</w:t>
      </w:r>
      <w:r w:rsidR="00661BB0">
        <w:rPr>
          <w:rFonts w:asciiTheme="majorBidi" w:eastAsia="Times New Roman" w:hAnsiTheme="majorBidi" w:cstheme="majorBidi"/>
          <w:sz w:val="24"/>
          <w:szCs w:val="24"/>
          <w:lang w:eastAsia="en-GB"/>
        </w:rPr>
        <w:t xml:space="preserve">Breakwell </w:t>
      </w:r>
      <w:r w:rsidR="009932B4">
        <w:rPr>
          <w:rFonts w:asciiTheme="majorBidi" w:eastAsia="Times New Roman" w:hAnsiTheme="majorBidi" w:cstheme="majorBidi"/>
          <w:sz w:val="24"/>
          <w:szCs w:val="24"/>
          <w:lang w:eastAsia="en-GB"/>
        </w:rPr>
        <w:t>&amp;</w:t>
      </w:r>
      <w:r w:rsidR="00661BB0">
        <w:rPr>
          <w:rFonts w:asciiTheme="majorBidi" w:eastAsia="Times New Roman" w:hAnsiTheme="majorBidi" w:cstheme="majorBidi"/>
          <w:sz w:val="24"/>
          <w:szCs w:val="24"/>
          <w:lang w:eastAsia="en-GB"/>
        </w:rPr>
        <w:t xml:space="preserve"> </w:t>
      </w:r>
      <w:r w:rsidR="00661BB0" w:rsidRPr="005E07D6">
        <w:rPr>
          <w:rFonts w:asciiTheme="majorBidi" w:eastAsia="Times New Roman" w:hAnsiTheme="majorBidi" w:cstheme="majorBidi"/>
          <w:sz w:val="24"/>
          <w:szCs w:val="24"/>
          <w:lang w:eastAsia="en-GB"/>
        </w:rPr>
        <w:t>Tytherleigh</w:t>
      </w:r>
      <w:r w:rsidR="009932B4">
        <w:rPr>
          <w:rFonts w:asciiTheme="majorBidi" w:eastAsia="Times New Roman" w:hAnsiTheme="majorBidi" w:cstheme="majorBidi"/>
          <w:sz w:val="24"/>
          <w:szCs w:val="24"/>
          <w:lang w:eastAsia="en-GB"/>
        </w:rPr>
        <w:t xml:space="preserve">, </w:t>
      </w:r>
      <w:r w:rsidR="00661BB0">
        <w:rPr>
          <w:rFonts w:asciiTheme="majorBidi" w:eastAsia="Times New Roman" w:hAnsiTheme="majorBidi" w:cstheme="majorBidi"/>
          <w:sz w:val="24"/>
          <w:szCs w:val="24"/>
          <w:lang w:eastAsia="en-GB"/>
        </w:rPr>
        <w:t xml:space="preserve">2010). </w:t>
      </w:r>
      <w:r w:rsidR="002A178E" w:rsidRPr="00511F36">
        <w:rPr>
          <w:rFonts w:asciiTheme="majorBidi" w:hAnsiTheme="majorBidi" w:cstheme="majorBidi"/>
          <w:sz w:val="24"/>
          <w:szCs w:val="24"/>
        </w:rPr>
        <w:t xml:space="preserve">Theoretically, we argue that this evidence </w:t>
      </w:r>
      <w:r w:rsidR="00FF04EC">
        <w:rPr>
          <w:rFonts w:asciiTheme="majorBidi" w:hAnsiTheme="majorBidi" w:cstheme="majorBidi"/>
          <w:sz w:val="24"/>
          <w:szCs w:val="24"/>
        </w:rPr>
        <w:t>lends</w:t>
      </w:r>
      <w:r w:rsidR="00FF04EC" w:rsidRPr="00511F36">
        <w:rPr>
          <w:rFonts w:asciiTheme="majorBidi" w:hAnsiTheme="majorBidi" w:cstheme="majorBidi"/>
          <w:sz w:val="24"/>
          <w:szCs w:val="24"/>
        </w:rPr>
        <w:t xml:space="preserve"> </w:t>
      </w:r>
      <w:r w:rsidR="002A178E" w:rsidRPr="00511F36">
        <w:rPr>
          <w:rFonts w:asciiTheme="majorBidi" w:hAnsiTheme="majorBidi" w:cstheme="majorBidi"/>
          <w:sz w:val="24"/>
          <w:szCs w:val="24"/>
        </w:rPr>
        <w:t xml:space="preserve">support </w:t>
      </w:r>
      <w:r w:rsidR="00182942">
        <w:rPr>
          <w:rFonts w:asciiTheme="majorBidi" w:hAnsiTheme="majorBidi" w:cstheme="majorBidi"/>
          <w:sz w:val="24"/>
          <w:szCs w:val="24"/>
        </w:rPr>
        <w:t>f</w:t>
      </w:r>
      <w:r w:rsidR="002A178E" w:rsidRPr="00511F36">
        <w:rPr>
          <w:rFonts w:asciiTheme="majorBidi" w:hAnsiTheme="majorBidi" w:cstheme="majorBidi"/>
          <w:sz w:val="24"/>
          <w:szCs w:val="24"/>
        </w:rPr>
        <w:t>o</w:t>
      </w:r>
      <w:r w:rsidR="00182942">
        <w:rPr>
          <w:rFonts w:asciiTheme="majorBidi" w:hAnsiTheme="majorBidi" w:cstheme="majorBidi"/>
          <w:sz w:val="24"/>
          <w:szCs w:val="24"/>
        </w:rPr>
        <w:t>r</w:t>
      </w:r>
      <w:r w:rsidR="002A178E" w:rsidRPr="00511F36">
        <w:rPr>
          <w:rFonts w:asciiTheme="majorBidi" w:hAnsiTheme="majorBidi" w:cstheme="majorBidi"/>
          <w:sz w:val="24"/>
          <w:szCs w:val="24"/>
        </w:rPr>
        <w:t xml:space="preserve"> </w:t>
      </w:r>
      <w:r w:rsidR="001E0D41">
        <w:rPr>
          <w:rFonts w:asciiTheme="majorBidi" w:hAnsiTheme="majorBidi" w:cstheme="majorBidi"/>
          <w:sz w:val="24"/>
          <w:szCs w:val="24"/>
        </w:rPr>
        <w:t xml:space="preserve">the </w:t>
      </w:r>
      <w:r w:rsidR="00C03330">
        <w:rPr>
          <w:rFonts w:asciiTheme="majorBidi" w:hAnsiTheme="majorBidi" w:cstheme="majorBidi"/>
          <w:sz w:val="24"/>
          <w:szCs w:val="24"/>
        </w:rPr>
        <w:t>legitimation</w:t>
      </w:r>
      <w:r w:rsidR="001E0D41">
        <w:rPr>
          <w:rFonts w:asciiTheme="majorBidi" w:hAnsiTheme="majorBidi" w:cstheme="majorBidi"/>
          <w:sz w:val="24"/>
          <w:szCs w:val="24"/>
        </w:rPr>
        <w:t xml:space="preserve"> view of neo-institutional theory that</w:t>
      </w:r>
      <w:r w:rsidR="00615722" w:rsidRPr="00511F36">
        <w:rPr>
          <w:rFonts w:asciiTheme="majorBidi" w:hAnsiTheme="majorBidi" w:cstheme="majorBidi"/>
          <w:sz w:val="24"/>
          <w:szCs w:val="24"/>
        </w:rPr>
        <w:t>, organisations with old</w:t>
      </w:r>
      <w:r w:rsidR="00182942">
        <w:rPr>
          <w:rFonts w:asciiTheme="majorBidi" w:hAnsiTheme="majorBidi" w:cstheme="majorBidi"/>
          <w:sz w:val="24"/>
          <w:szCs w:val="24"/>
        </w:rPr>
        <w:t>er</w:t>
      </w:r>
      <w:r w:rsidR="00615722" w:rsidRPr="00511F36">
        <w:rPr>
          <w:rFonts w:asciiTheme="majorBidi" w:hAnsiTheme="majorBidi" w:cstheme="majorBidi"/>
          <w:sz w:val="24"/>
          <w:szCs w:val="24"/>
        </w:rPr>
        <w:t xml:space="preserve"> managers are less likely need to be accountable to </w:t>
      </w:r>
      <w:r w:rsidR="00182942">
        <w:rPr>
          <w:rFonts w:asciiTheme="majorBidi" w:hAnsiTheme="majorBidi" w:cstheme="majorBidi"/>
          <w:sz w:val="24"/>
          <w:szCs w:val="24"/>
        </w:rPr>
        <w:t xml:space="preserve">the </w:t>
      </w:r>
      <w:r w:rsidR="00615722" w:rsidRPr="00511F36">
        <w:rPr>
          <w:rFonts w:asciiTheme="majorBidi" w:hAnsiTheme="majorBidi" w:cstheme="majorBidi"/>
          <w:sz w:val="24"/>
          <w:szCs w:val="24"/>
        </w:rPr>
        <w:t>public</w:t>
      </w:r>
      <w:r w:rsidR="00182942">
        <w:rPr>
          <w:rFonts w:asciiTheme="majorBidi" w:hAnsiTheme="majorBidi" w:cstheme="majorBidi"/>
          <w:sz w:val="24"/>
          <w:szCs w:val="24"/>
        </w:rPr>
        <w:t>,</w:t>
      </w:r>
      <w:r w:rsidR="00615722" w:rsidRPr="00511F36">
        <w:rPr>
          <w:rFonts w:asciiTheme="majorBidi" w:hAnsiTheme="majorBidi" w:cstheme="majorBidi"/>
          <w:sz w:val="24"/>
          <w:szCs w:val="24"/>
        </w:rPr>
        <w:t xml:space="preserve"> </w:t>
      </w:r>
      <w:r w:rsidR="00E26E48" w:rsidRPr="00511F36">
        <w:rPr>
          <w:rFonts w:asciiTheme="majorBidi" w:hAnsiTheme="majorBidi" w:cstheme="majorBidi"/>
          <w:sz w:val="24"/>
          <w:szCs w:val="24"/>
        </w:rPr>
        <w:t xml:space="preserve">and this </w:t>
      </w:r>
      <w:r w:rsidR="00FF04EC">
        <w:rPr>
          <w:rFonts w:asciiTheme="majorBidi" w:hAnsiTheme="majorBidi" w:cstheme="majorBidi"/>
          <w:sz w:val="24"/>
          <w:szCs w:val="24"/>
        </w:rPr>
        <w:t xml:space="preserve">can </w:t>
      </w:r>
      <w:r w:rsidR="00BC7FCC">
        <w:rPr>
          <w:rFonts w:asciiTheme="majorBidi" w:hAnsiTheme="majorBidi" w:cstheme="majorBidi"/>
          <w:sz w:val="24"/>
          <w:szCs w:val="24"/>
        </w:rPr>
        <w:t xml:space="preserve">be </w:t>
      </w:r>
      <w:r w:rsidR="00E26E48" w:rsidRPr="00511F36">
        <w:rPr>
          <w:rFonts w:asciiTheme="majorBidi" w:hAnsiTheme="majorBidi" w:cstheme="majorBidi"/>
          <w:sz w:val="24"/>
          <w:szCs w:val="24"/>
        </w:rPr>
        <w:t>due to</w:t>
      </w:r>
      <w:r w:rsidR="00BC7FCC">
        <w:rPr>
          <w:rFonts w:asciiTheme="majorBidi" w:hAnsiTheme="majorBidi" w:cstheme="majorBidi"/>
          <w:sz w:val="24"/>
          <w:szCs w:val="24"/>
        </w:rPr>
        <w:t xml:space="preserve"> </w:t>
      </w:r>
      <w:r w:rsidR="008061CC">
        <w:rPr>
          <w:rFonts w:asciiTheme="majorBidi" w:hAnsiTheme="majorBidi" w:cstheme="majorBidi"/>
          <w:sz w:val="24"/>
          <w:szCs w:val="24"/>
        </w:rPr>
        <w:t xml:space="preserve">the </w:t>
      </w:r>
      <w:r w:rsidR="00BC7FCC">
        <w:rPr>
          <w:rFonts w:asciiTheme="majorBidi" w:hAnsiTheme="majorBidi" w:cstheme="majorBidi"/>
          <w:sz w:val="24"/>
          <w:szCs w:val="24"/>
        </w:rPr>
        <w:t>fact</w:t>
      </w:r>
      <w:r w:rsidR="00E26E48" w:rsidRPr="00511F36">
        <w:rPr>
          <w:rFonts w:asciiTheme="majorBidi" w:hAnsiTheme="majorBidi" w:cstheme="majorBidi"/>
          <w:sz w:val="24"/>
          <w:szCs w:val="24"/>
        </w:rPr>
        <w:t xml:space="preserve"> that </w:t>
      </w:r>
      <w:r w:rsidR="00615722" w:rsidRPr="00511F36">
        <w:rPr>
          <w:rFonts w:asciiTheme="majorBidi" w:hAnsiTheme="majorBidi" w:cstheme="majorBidi"/>
          <w:sz w:val="24"/>
          <w:szCs w:val="24"/>
        </w:rPr>
        <w:t xml:space="preserve">boards with older </w:t>
      </w:r>
      <w:r w:rsidR="00FF04EC">
        <w:rPr>
          <w:rFonts w:asciiTheme="majorBidi" w:hAnsiTheme="majorBidi" w:cstheme="majorBidi"/>
          <w:sz w:val="24"/>
          <w:szCs w:val="24"/>
        </w:rPr>
        <w:t>governors</w:t>
      </w:r>
      <w:r w:rsidR="00FF04EC" w:rsidRPr="00511F36">
        <w:rPr>
          <w:rFonts w:asciiTheme="majorBidi" w:hAnsiTheme="majorBidi" w:cstheme="majorBidi"/>
          <w:sz w:val="24"/>
          <w:szCs w:val="24"/>
        </w:rPr>
        <w:t xml:space="preserve"> </w:t>
      </w:r>
      <w:r w:rsidR="00615722" w:rsidRPr="00511F36">
        <w:rPr>
          <w:rFonts w:asciiTheme="majorBidi" w:hAnsiTheme="majorBidi" w:cstheme="majorBidi"/>
          <w:sz w:val="24"/>
          <w:szCs w:val="24"/>
        </w:rPr>
        <w:t xml:space="preserve">are often associated with </w:t>
      </w:r>
      <w:r w:rsidR="00FF04EC">
        <w:rPr>
          <w:rFonts w:asciiTheme="majorBidi" w:hAnsiTheme="majorBidi" w:cstheme="majorBidi"/>
          <w:sz w:val="24"/>
          <w:szCs w:val="24"/>
        </w:rPr>
        <w:t>higher</w:t>
      </w:r>
      <w:r w:rsidR="00FF04EC" w:rsidRPr="00511F36">
        <w:rPr>
          <w:rFonts w:asciiTheme="majorBidi" w:hAnsiTheme="majorBidi" w:cstheme="majorBidi"/>
          <w:sz w:val="24"/>
          <w:szCs w:val="24"/>
        </w:rPr>
        <w:t xml:space="preserve"> </w:t>
      </w:r>
      <w:r w:rsidR="00E26E48" w:rsidRPr="00511F36">
        <w:rPr>
          <w:rFonts w:asciiTheme="majorBidi" w:hAnsiTheme="majorBidi" w:cstheme="majorBidi"/>
          <w:sz w:val="24"/>
          <w:szCs w:val="24"/>
        </w:rPr>
        <w:t>monitoring and independence (</w:t>
      </w:r>
      <w:r w:rsidR="003C70BC">
        <w:rPr>
          <w:rFonts w:asciiTheme="majorBidi" w:hAnsiTheme="majorBidi" w:cstheme="majorBidi"/>
          <w:sz w:val="24"/>
          <w:szCs w:val="24"/>
        </w:rPr>
        <w:t>Ntim et al., 2017</w:t>
      </w:r>
      <w:r w:rsidR="00E26E48" w:rsidRPr="00511F36">
        <w:rPr>
          <w:rFonts w:asciiTheme="majorBidi" w:hAnsiTheme="majorBidi" w:cstheme="majorBidi"/>
          <w:sz w:val="24"/>
          <w:szCs w:val="24"/>
        </w:rPr>
        <w:t xml:space="preserve">). </w:t>
      </w:r>
      <w:r w:rsidR="009D0A29" w:rsidRPr="00511F36">
        <w:rPr>
          <w:rFonts w:asciiTheme="majorBidi" w:hAnsiTheme="majorBidi" w:cstheme="majorBidi"/>
          <w:sz w:val="24"/>
          <w:szCs w:val="24"/>
        </w:rPr>
        <w:t>Consequently</w:t>
      </w:r>
      <w:r w:rsidR="00E26E48" w:rsidRPr="00511F36">
        <w:rPr>
          <w:rFonts w:asciiTheme="majorBidi" w:hAnsiTheme="majorBidi" w:cstheme="majorBidi"/>
          <w:sz w:val="24"/>
          <w:szCs w:val="24"/>
        </w:rPr>
        <w:t xml:space="preserve">, this can reduce the need for organisations to engage in increased voluntary governance disclosures. Additionally, findings in Table </w:t>
      </w:r>
      <w:r w:rsidR="001043BC">
        <w:rPr>
          <w:rFonts w:asciiTheme="majorBidi" w:hAnsiTheme="majorBidi" w:cstheme="majorBidi"/>
          <w:sz w:val="24"/>
          <w:szCs w:val="24"/>
        </w:rPr>
        <w:t>6</w:t>
      </w:r>
      <w:r w:rsidR="00E26E48" w:rsidRPr="00511F36">
        <w:rPr>
          <w:rFonts w:asciiTheme="majorBidi" w:hAnsiTheme="majorBidi" w:cstheme="majorBidi"/>
          <w:sz w:val="24"/>
          <w:szCs w:val="24"/>
        </w:rPr>
        <w:t xml:space="preserve"> indicate that </w:t>
      </w:r>
      <w:r w:rsidR="00E26E48" w:rsidRPr="00511F36">
        <w:rPr>
          <w:rFonts w:asciiTheme="majorBidi" w:hAnsiTheme="majorBidi" w:cstheme="majorBidi"/>
          <w:i/>
          <w:iCs/>
          <w:sz w:val="24"/>
          <w:szCs w:val="24"/>
        </w:rPr>
        <w:t>V</w:t>
      </w:r>
      <w:r w:rsidR="00564C6A">
        <w:rPr>
          <w:rFonts w:asciiTheme="majorBidi" w:hAnsiTheme="majorBidi" w:cstheme="majorBidi"/>
          <w:i/>
          <w:iCs/>
          <w:sz w:val="24"/>
          <w:szCs w:val="24"/>
        </w:rPr>
        <w:t>C</w:t>
      </w:r>
      <w:r w:rsidR="00E26E48" w:rsidRPr="00511F36">
        <w:rPr>
          <w:rFonts w:asciiTheme="majorBidi" w:hAnsiTheme="majorBidi" w:cstheme="majorBidi"/>
          <w:i/>
          <w:iCs/>
          <w:sz w:val="24"/>
          <w:szCs w:val="24"/>
        </w:rPr>
        <w:t>T</w:t>
      </w:r>
      <w:r w:rsidR="00564C6A">
        <w:rPr>
          <w:rFonts w:asciiTheme="majorBidi" w:hAnsiTheme="majorBidi" w:cstheme="majorBidi"/>
          <w:i/>
          <w:iCs/>
          <w:sz w:val="24"/>
          <w:szCs w:val="24"/>
        </w:rPr>
        <w:t>EN</w:t>
      </w:r>
      <w:r w:rsidR="00E26E48" w:rsidRPr="00511F36">
        <w:rPr>
          <w:rFonts w:asciiTheme="majorBidi" w:hAnsiTheme="majorBidi" w:cstheme="majorBidi"/>
          <w:i/>
          <w:iCs/>
          <w:sz w:val="24"/>
          <w:szCs w:val="24"/>
        </w:rPr>
        <w:t xml:space="preserve"> </w:t>
      </w:r>
      <w:r w:rsidR="00FF04EC">
        <w:rPr>
          <w:rFonts w:asciiTheme="majorBidi" w:hAnsiTheme="majorBidi" w:cstheme="majorBidi"/>
          <w:sz w:val="24"/>
          <w:szCs w:val="24"/>
        </w:rPr>
        <w:t>has a strong and positive</w:t>
      </w:r>
      <w:r w:rsidR="00FF04EC" w:rsidRPr="00511F36">
        <w:rPr>
          <w:rFonts w:asciiTheme="majorBidi" w:hAnsiTheme="majorBidi" w:cstheme="majorBidi"/>
          <w:sz w:val="24"/>
          <w:szCs w:val="24"/>
        </w:rPr>
        <w:t xml:space="preserve"> </w:t>
      </w:r>
      <w:r w:rsidR="00FF04EC">
        <w:rPr>
          <w:rFonts w:asciiTheme="majorBidi" w:hAnsiTheme="majorBidi" w:cstheme="majorBidi"/>
          <w:sz w:val="24"/>
          <w:szCs w:val="24"/>
        </w:rPr>
        <w:t xml:space="preserve">influence on </w:t>
      </w:r>
      <w:r w:rsidR="00E26E48" w:rsidRPr="00511F36">
        <w:rPr>
          <w:rFonts w:asciiTheme="majorBidi" w:hAnsiTheme="majorBidi" w:cstheme="majorBidi"/>
          <w:i/>
          <w:iCs/>
          <w:sz w:val="24"/>
          <w:szCs w:val="24"/>
        </w:rPr>
        <w:t>HEGI</w:t>
      </w:r>
      <w:r w:rsidR="00E26E48" w:rsidRPr="00511F36">
        <w:rPr>
          <w:rFonts w:asciiTheme="majorBidi" w:hAnsiTheme="majorBidi" w:cstheme="majorBidi"/>
          <w:sz w:val="24"/>
          <w:szCs w:val="24"/>
        </w:rPr>
        <w:t xml:space="preserve">, </w:t>
      </w:r>
      <w:r w:rsidR="00DE5205" w:rsidRPr="00511F36">
        <w:rPr>
          <w:rFonts w:asciiTheme="majorBidi" w:hAnsiTheme="majorBidi" w:cstheme="majorBidi"/>
          <w:sz w:val="24"/>
          <w:szCs w:val="24"/>
        </w:rPr>
        <w:t xml:space="preserve">which </w:t>
      </w:r>
      <w:r w:rsidR="00904459">
        <w:rPr>
          <w:rFonts w:asciiTheme="majorBidi" w:hAnsiTheme="majorBidi" w:cstheme="majorBidi"/>
          <w:sz w:val="24"/>
          <w:szCs w:val="24"/>
        </w:rPr>
        <w:t xml:space="preserve">lend support </w:t>
      </w:r>
      <w:r w:rsidR="001B15D4">
        <w:rPr>
          <w:rFonts w:asciiTheme="majorBidi" w:hAnsiTheme="majorBidi" w:cstheme="majorBidi"/>
          <w:sz w:val="24"/>
          <w:szCs w:val="24"/>
        </w:rPr>
        <w:t>f</w:t>
      </w:r>
      <w:r w:rsidR="00904459">
        <w:rPr>
          <w:rFonts w:asciiTheme="majorBidi" w:hAnsiTheme="majorBidi" w:cstheme="majorBidi"/>
          <w:sz w:val="24"/>
          <w:szCs w:val="24"/>
        </w:rPr>
        <w:t>o</w:t>
      </w:r>
      <w:r w:rsidR="001B15D4">
        <w:rPr>
          <w:rFonts w:asciiTheme="majorBidi" w:hAnsiTheme="majorBidi" w:cstheme="majorBidi"/>
          <w:sz w:val="24"/>
          <w:szCs w:val="24"/>
        </w:rPr>
        <w:t>r</w:t>
      </w:r>
      <w:r w:rsidR="00DE5205" w:rsidRPr="00511F36">
        <w:rPr>
          <w:rFonts w:asciiTheme="majorBidi" w:hAnsiTheme="majorBidi" w:cstheme="majorBidi"/>
          <w:sz w:val="24"/>
          <w:szCs w:val="24"/>
        </w:rPr>
        <w:t xml:space="preserve"> our hypothesis (</w:t>
      </w:r>
      <w:r w:rsidR="00DE5205" w:rsidRPr="00511F36">
        <w:rPr>
          <w:rFonts w:asciiTheme="majorBidi" w:hAnsiTheme="majorBidi" w:cstheme="majorBidi"/>
          <w:i/>
          <w:iCs/>
          <w:sz w:val="24"/>
          <w:szCs w:val="24"/>
        </w:rPr>
        <w:t>H1</w:t>
      </w:r>
      <w:r w:rsidR="00DE5205" w:rsidRPr="00511F36">
        <w:rPr>
          <w:rFonts w:asciiTheme="majorBidi" w:hAnsiTheme="majorBidi" w:cstheme="majorBidi"/>
          <w:sz w:val="24"/>
          <w:szCs w:val="24"/>
        </w:rPr>
        <w:t xml:space="preserve">) and </w:t>
      </w:r>
      <w:r w:rsidR="009D0A29" w:rsidRPr="00511F36">
        <w:rPr>
          <w:rFonts w:asciiTheme="majorBidi" w:hAnsiTheme="majorBidi" w:cstheme="majorBidi"/>
          <w:sz w:val="24"/>
          <w:szCs w:val="24"/>
        </w:rPr>
        <w:t xml:space="preserve">the </w:t>
      </w:r>
      <w:r w:rsidR="00C03330">
        <w:rPr>
          <w:rFonts w:asciiTheme="majorBidi" w:hAnsiTheme="majorBidi" w:cstheme="majorBidi"/>
          <w:sz w:val="24"/>
          <w:szCs w:val="24"/>
        </w:rPr>
        <w:t>efficiency</w:t>
      </w:r>
      <w:r w:rsidR="001E0D41">
        <w:rPr>
          <w:rFonts w:asciiTheme="majorBidi" w:hAnsiTheme="majorBidi" w:cstheme="majorBidi"/>
          <w:sz w:val="24"/>
          <w:szCs w:val="24"/>
        </w:rPr>
        <w:t xml:space="preserve"> view of neo-institutional theory,</w:t>
      </w:r>
      <w:r w:rsidR="009D0A29" w:rsidRPr="00511F36">
        <w:rPr>
          <w:rFonts w:asciiTheme="majorBidi" w:hAnsiTheme="majorBidi" w:cstheme="majorBidi"/>
          <w:sz w:val="24"/>
          <w:szCs w:val="24"/>
        </w:rPr>
        <w:t xml:space="preserve"> that</w:t>
      </w:r>
      <w:r w:rsidR="00995447" w:rsidRPr="00511F36">
        <w:rPr>
          <w:rFonts w:asciiTheme="majorBidi" w:hAnsiTheme="majorBidi" w:cstheme="majorBidi"/>
          <w:sz w:val="24"/>
          <w:szCs w:val="24"/>
        </w:rPr>
        <w:t xml:space="preserve"> </w:t>
      </w:r>
      <w:r w:rsidR="00374365" w:rsidRPr="00511F36">
        <w:rPr>
          <w:rFonts w:asciiTheme="majorBidi" w:hAnsiTheme="majorBidi" w:cstheme="majorBidi"/>
          <w:sz w:val="24"/>
          <w:szCs w:val="24"/>
        </w:rPr>
        <w:t>boards with long-tenured directors</w:t>
      </w:r>
      <w:r w:rsidR="001849BA">
        <w:rPr>
          <w:rFonts w:asciiTheme="majorBidi" w:hAnsiTheme="majorBidi" w:cstheme="majorBidi"/>
          <w:sz w:val="24"/>
          <w:szCs w:val="24"/>
        </w:rPr>
        <w:t xml:space="preserve"> often suffer from poor governance structures</w:t>
      </w:r>
      <w:r w:rsidR="00374365" w:rsidRPr="00511F36">
        <w:rPr>
          <w:rFonts w:asciiTheme="majorBidi" w:hAnsiTheme="majorBidi" w:cstheme="majorBidi"/>
          <w:sz w:val="24"/>
          <w:szCs w:val="24"/>
        </w:rPr>
        <w:t xml:space="preserve">, and as a result, </w:t>
      </w:r>
      <w:r w:rsidR="00CC13F5" w:rsidRPr="00511F36">
        <w:rPr>
          <w:rFonts w:asciiTheme="majorBidi" w:hAnsiTheme="majorBidi" w:cstheme="majorBidi"/>
          <w:sz w:val="24"/>
          <w:szCs w:val="24"/>
        </w:rPr>
        <w:t xml:space="preserve">voluntary governance disclosures </w:t>
      </w:r>
      <w:r w:rsidR="003E464F">
        <w:rPr>
          <w:rFonts w:asciiTheme="majorBidi" w:hAnsiTheme="majorBidi" w:cstheme="majorBidi"/>
          <w:sz w:val="24"/>
          <w:szCs w:val="24"/>
        </w:rPr>
        <w:t xml:space="preserve">appear to </w:t>
      </w:r>
      <w:r w:rsidR="00CC13F5" w:rsidRPr="00511F36">
        <w:rPr>
          <w:rFonts w:asciiTheme="majorBidi" w:hAnsiTheme="majorBidi" w:cstheme="majorBidi"/>
          <w:sz w:val="24"/>
          <w:szCs w:val="24"/>
        </w:rPr>
        <w:t xml:space="preserve">act as a substitute for weak internal control </w:t>
      </w:r>
      <w:r w:rsidR="001849BA">
        <w:rPr>
          <w:rFonts w:asciiTheme="majorBidi" w:hAnsiTheme="majorBidi" w:cstheme="majorBidi"/>
          <w:sz w:val="24"/>
          <w:szCs w:val="24"/>
        </w:rPr>
        <w:t>systems</w:t>
      </w:r>
      <w:r w:rsidRPr="00511F36">
        <w:rPr>
          <w:rFonts w:asciiTheme="majorBidi" w:hAnsiTheme="majorBidi" w:cstheme="majorBidi"/>
          <w:sz w:val="24"/>
          <w:szCs w:val="24"/>
        </w:rPr>
        <w:t>.</w:t>
      </w:r>
    </w:p>
    <w:p w14:paraId="4854D420" w14:textId="7BAE3251" w:rsidR="003777D3" w:rsidRDefault="00841D16" w:rsidP="00564C6A">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 xml:space="preserve">Second, </w:t>
      </w:r>
      <w:r w:rsidR="005246BA">
        <w:rPr>
          <w:rFonts w:asciiTheme="majorBidi" w:hAnsiTheme="majorBidi" w:cstheme="majorBidi"/>
          <w:sz w:val="24"/>
          <w:szCs w:val="24"/>
        </w:rPr>
        <w:t xml:space="preserve">regression estimates in </w:t>
      </w:r>
      <w:r w:rsidR="00D76DDE" w:rsidRPr="00511F36">
        <w:rPr>
          <w:rFonts w:asciiTheme="majorBidi" w:hAnsiTheme="majorBidi" w:cstheme="majorBidi"/>
          <w:sz w:val="24"/>
          <w:szCs w:val="24"/>
        </w:rPr>
        <w:t xml:space="preserve">Table </w:t>
      </w:r>
      <w:r w:rsidR="001043BC">
        <w:rPr>
          <w:rFonts w:asciiTheme="majorBidi" w:hAnsiTheme="majorBidi" w:cstheme="majorBidi"/>
          <w:sz w:val="24"/>
          <w:szCs w:val="24"/>
        </w:rPr>
        <w:t>6</w:t>
      </w:r>
      <w:r w:rsidR="005246BA">
        <w:rPr>
          <w:rFonts w:asciiTheme="majorBidi" w:hAnsiTheme="majorBidi" w:cstheme="majorBidi"/>
          <w:sz w:val="24"/>
          <w:szCs w:val="24"/>
        </w:rPr>
        <w:t xml:space="preserve"> (</w:t>
      </w:r>
      <w:r w:rsidR="005246BA" w:rsidRPr="00511F36">
        <w:rPr>
          <w:rFonts w:asciiTheme="majorBidi" w:hAnsiTheme="majorBidi" w:cstheme="majorBidi"/>
          <w:sz w:val="24"/>
          <w:szCs w:val="24"/>
        </w:rPr>
        <w:t>Model 1</w:t>
      </w:r>
      <w:r w:rsidR="005246BA">
        <w:rPr>
          <w:rFonts w:asciiTheme="majorBidi" w:hAnsiTheme="majorBidi" w:cstheme="majorBidi"/>
          <w:sz w:val="24"/>
          <w:szCs w:val="24"/>
        </w:rPr>
        <w:t>)</w:t>
      </w:r>
      <w:r w:rsidR="00D76DDE" w:rsidRPr="00511F36">
        <w:rPr>
          <w:rFonts w:asciiTheme="majorBidi" w:hAnsiTheme="majorBidi" w:cstheme="majorBidi"/>
          <w:sz w:val="24"/>
          <w:szCs w:val="24"/>
        </w:rPr>
        <w:t xml:space="preserve"> </w:t>
      </w:r>
      <w:r w:rsidR="005246BA">
        <w:rPr>
          <w:rFonts w:asciiTheme="majorBidi" w:hAnsiTheme="majorBidi" w:cstheme="majorBidi"/>
          <w:sz w:val="24"/>
          <w:szCs w:val="24"/>
        </w:rPr>
        <w:t xml:space="preserve">reveal a significant positive effect of </w:t>
      </w:r>
      <w:r w:rsidR="003E464F">
        <w:rPr>
          <w:rFonts w:asciiTheme="majorBidi" w:hAnsiTheme="majorBidi" w:cstheme="majorBidi"/>
          <w:sz w:val="24"/>
          <w:szCs w:val="24"/>
        </w:rPr>
        <w:t>the</w:t>
      </w:r>
      <w:r w:rsidR="00D76DDE" w:rsidRPr="00511F36">
        <w:rPr>
          <w:rFonts w:asciiTheme="majorBidi" w:hAnsiTheme="majorBidi" w:cstheme="majorBidi"/>
          <w:sz w:val="24"/>
          <w:szCs w:val="24"/>
        </w:rPr>
        <w:t xml:space="preserve"> </w:t>
      </w:r>
      <w:r w:rsidR="007120BB" w:rsidRPr="00511F36">
        <w:rPr>
          <w:rFonts w:asciiTheme="majorBidi" w:hAnsiTheme="majorBidi" w:cstheme="majorBidi"/>
          <w:sz w:val="24"/>
          <w:szCs w:val="24"/>
        </w:rPr>
        <w:t xml:space="preserve">existence of </w:t>
      </w:r>
      <w:r w:rsidR="0026534E">
        <w:rPr>
          <w:rFonts w:asciiTheme="majorBidi" w:hAnsiTheme="majorBidi" w:cstheme="majorBidi"/>
          <w:sz w:val="24"/>
          <w:szCs w:val="24"/>
        </w:rPr>
        <w:t xml:space="preserve">a </w:t>
      </w:r>
      <w:r w:rsidR="007120BB" w:rsidRPr="00511F36">
        <w:rPr>
          <w:rFonts w:asciiTheme="majorBidi" w:hAnsiTheme="majorBidi" w:cstheme="majorBidi"/>
          <w:sz w:val="24"/>
          <w:szCs w:val="24"/>
        </w:rPr>
        <w:t>governance committee (</w:t>
      </w:r>
      <w:r w:rsidR="00564C6A">
        <w:rPr>
          <w:rFonts w:asciiTheme="majorBidi" w:hAnsiTheme="majorBidi" w:cstheme="majorBidi"/>
          <w:i/>
          <w:iCs/>
          <w:sz w:val="24"/>
          <w:szCs w:val="24"/>
        </w:rPr>
        <w:t>EGC</w:t>
      </w:r>
      <w:r w:rsidR="007120BB" w:rsidRPr="00511F36">
        <w:rPr>
          <w:rFonts w:asciiTheme="majorBidi" w:hAnsiTheme="majorBidi" w:cstheme="majorBidi"/>
          <w:sz w:val="24"/>
          <w:szCs w:val="24"/>
        </w:rPr>
        <w:t>)</w:t>
      </w:r>
      <w:r w:rsidR="00DB1913" w:rsidRPr="00511F36">
        <w:rPr>
          <w:rFonts w:asciiTheme="majorBidi" w:hAnsiTheme="majorBidi" w:cstheme="majorBidi"/>
          <w:sz w:val="24"/>
          <w:szCs w:val="24"/>
        </w:rPr>
        <w:t xml:space="preserve"> </w:t>
      </w:r>
      <w:r w:rsidR="005246BA">
        <w:rPr>
          <w:rFonts w:asciiTheme="majorBidi" w:hAnsiTheme="majorBidi" w:cstheme="majorBidi"/>
          <w:sz w:val="24"/>
          <w:szCs w:val="24"/>
        </w:rPr>
        <w:t>on</w:t>
      </w:r>
      <w:r w:rsidR="005246BA" w:rsidRPr="00511F36">
        <w:rPr>
          <w:rFonts w:asciiTheme="majorBidi" w:hAnsiTheme="majorBidi" w:cstheme="majorBidi"/>
          <w:sz w:val="24"/>
          <w:szCs w:val="24"/>
        </w:rPr>
        <w:t xml:space="preserve"> </w:t>
      </w:r>
      <w:r w:rsidR="00D76DDE" w:rsidRPr="00511F36">
        <w:rPr>
          <w:rFonts w:asciiTheme="majorBidi" w:hAnsiTheme="majorBidi" w:cstheme="majorBidi"/>
          <w:i/>
          <w:iCs/>
          <w:sz w:val="24"/>
          <w:szCs w:val="24"/>
        </w:rPr>
        <w:t>HEGI</w:t>
      </w:r>
      <w:r w:rsidR="00D76DDE" w:rsidRPr="00511F36">
        <w:rPr>
          <w:rFonts w:asciiTheme="majorBidi" w:hAnsiTheme="majorBidi" w:cstheme="majorBidi"/>
          <w:sz w:val="24"/>
          <w:szCs w:val="24"/>
        </w:rPr>
        <w:t xml:space="preserve">, and </w:t>
      </w:r>
      <w:r w:rsidR="005246BA">
        <w:rPr>
          <w:rFonts w:asciiTheme="majorBidi" w:hAnsiTheme="majorBidi" w:cstheme="majorBidi"/>
          <w:sz w:val="24"/>
          <w:szCs w:val="24"/>
        </w:rPr>
        <w:t>hence</w:t>
      </w:r>
      <w:r w:rsidR="00D76DDE" w:rsidRPr="00511F36">
        <w:rPr>
          <w:rFonts w:asciiTheme="majorBidi" w:hAnsiTheme="majorBidi" w:cstheme="majorBidi"/>
          <w:sz w:val="24"/>
          <w:szCs w:val="24"/>
        </w:rPr>
        <w:t xml:space="preserve">, </w:t>
      </w:r>
      <w:r w:rsidR="00D76DDE" w:rsidRPr="00511F36">
        <w:rPr>
          <w:rFonts w:asciiTheme="majorBidi" w:hAnsiTheme="majorBidi" w:cstheme="majorBidi"/>
          <w:i/>
          <w:iCs/>
          <w:sz w:val="24"/>
          <w:szCs w:val="24"/>
        </w:rPr>
        <w:t xml:space="preserve">H2 </w:t>
      </w:r>
      <w:r w:rsidR="00D76DDE" w:rsidRPr="00511F36">
        <w:rPr>
          <w:rFonts w:asciiTheme="majorBidi" w:hAnsiTheme="majorBidi" w:cstheme="majorBidi"/>
          <w:sz w:val="24"/>
          <w:szCs w:val="24"/>
        </w:rPr>
        <w:t xml:space="preserve">is supported. This </w:t>
      </w:r>
      <w:r w:rsidR="005A53E0">
        <w:rPr>
          <w:rFonts w:asciiTheme="majorBidi" w:hAnsiTheme="majorBidi" w:cstheme="majorBidi"/>
          <w:sz w:val="24"/>
          <w:szCs w:val="24"/>
        </w:rPr>
        <w:t xml:space="preserve">positive effect of </w:t>
      </w:r>
      <w:r w:rsidR="00564C6A">
        <w:rPr>
          <w:rFonts w:asciiTheme="majorBidi" w:hAnsiTheme="majorBidi" w:cstheme="majorBidi"/>
          <w:i/>
          <w:iCs/>
          <w:sz w:val="24"/>
          <w:szCs w:val="24"/>
        </w:rPr>
        <w:t xml:space="preserve">EGC </w:t>
      </w:r>
      <w:r w:rsidR="005A53E0">
        <w:rPr>
          <w:rFonts w:asciiTheme="majorBidi" w:hAnsiTheme="majorBidi" w:cstheme="majorBidi"/>
          <w:sz w:val="24"/>
          <w:szCs w:val="24"/>
        </w:rPr>
        <w:t xml:space="preserve">also lends support </w:t>
      </w:r>
      <w:r w:rsidR="00CB1DDF">
        <w:rPr>
          <w:rFonts w:asciiTheme="majorBidi" w:hAnsiTheme="majorBidi" w:cstheme="majorBidi"/>
          <w:sz w:val="24"/>
          <w:szCs w:val="24"/>
        </w:rPr>
        <w:t>f</w:t>
      </w:r>
      <w:r w:rsidR="005A53E0">
        <w:rPr>
          <w:rFonts w:asciiTheme="majorBidi" w:hAnsiTheme="majorBidi" w:cstheme="majorBidi"/>
          <w:sz w:val="24"/>
          <w:szCs w:val="24"/>
        </w:rPr>
        <w:t>o</w:t>
      </w:r>
      <w:r w:rsidR="00CB1DDF">
        <w:rPr>
          <w:rFonts w:asciiTheme="majorBidi" w:hAnsiTheme="majorBidi" w:cstheme="majorBidi"/>
          <w:sz w:val="24"/>
          <w:szCs w:val="24"/>
        </w:rPr>
        <w:t>r</w:t>
      </w:r>
      <w:r w:rsidR="009B5D56">
        <w:rPr>
          <w:rFonts w:asciiTheme="majorBidi" w:hAnsiTheme="majorBidi" w:cstheme="majorBidi"/>
          <w:sz w:val="24"/>
          <w:szCs w:val="24"/>
        </w:rPr>
        <w:t xml:space="preserve"> the findings of Ntim et al. (201</w:t>
      </w:r>
      <w:r w:rsidR="00840C4E">
        <w:rPr>
          <w:rFonts w:asciiTheme="majorBidi" w:hAnsiTheme="majorBidi" w:cstheme="majorBidi"/>
          <w:sz w:val="24"/>
          <w:szCs w:val="24"/>
        </w:rPr>
        <w:t>7</w:t>
      </w:r>
      <w:r w:rsidR="009B5D56">
        <w:rPr>
          <w:rFonts w:asciiTheme="majorBidi" w:hAnsiTheme="majorBidi" w:cstheme="majorBidi"/>
          <w:sz w:val="24"/>
          <w:szCs w:val="24"/>
        </w:rPr>
        <w:t>)</w:t>
      </w:r>
      <w:r w:rsidR="00796372">
        <w:rPr>
          <w:rFonts w:asciiTheme="majorBidi" w:hAnsiTheme="majorBidi" w:cstheme="majorBidi"/>
          <w:sz w:val="24"/>
          <w:szCs w:val="24"/>
        </w:rPr>
        <w:t>. Theoretically, this is in line with</w:t>
      </w:r>
      <w:r w:rsidR="00D76DDE" w:rsidRPr="00511F36">
        <w:rPr>
          <w:rFonts w:asciiTheme="majorBidi" w:hAnsiTheme="majorBidi" w:cstheme="majorBidi"/>
          <w:sz w:val="24"/>
          <w:szCs w:val="24"/>
        </w:rPr>
        <w:t xml:space="preserve"> the predictions of </w:t>
      </w:r>
      <w:r w:rsidR="0069419F">
        <w:rPr>
          <w:rFonts w:asciiTheme="majorBidi" w:hAnsiTheme="majorBidi" w:cstheme="majorBidi"/>
          <w:sz w:val="24"/>
          <w:szCs w:val="24"/>
        </w:rPr>
        <w:t>the neo-institutional (legitimation view) theory</w:t>
      </w:r>
      <w:r w:rsidR="00D76DDE" w:rsidRPr="00511F36">
        <w:rPr>
          <w:rFonts w:asciiTheme="majorBidi" w:hAnsiTheme="majorBidi" w:cstheme="majorBidi"/>
          <w:sz w:val="24"/>
          <w:szCs w:val="24"/>
        </w:rPr>
        <w:t xml:space="preserve"> </w:t>
      </w:r>
      <w:r w:rsidR="008355B2" w:rsidRPr="00511F36">
        <w:rPr>
          <w:rFonts w:asciiTheme="majorBidi" w:hAnsiTheme="majorBidi" w:cstheme="majorBidi"/>
          <w:sz w:val="24"/>
          <w:szCs w:val="24"/>
        </w:rPr>
        <w:t xml:space="preserve">that HEIs may voluntarily establish </w:t>
      </w:r>
      <w:r w:rsidR="00640EC0">
        <w:rPr>
          <w:rFonts w:asciiTheme="majorBidi" w:hAnsiTheme="majorBidi" w:cstheme="majorBidi"/>
          <w:sz w:val="24"/>
          <w:szCs w:val="24"/>
        </w:rPr>
        <w:t xml:space="preserve">a </w:t>
      </w:r>
      <w:r w:rsidR="008355B2" w:rsidRPr="00511F36">
        <w:rPr>
          <w:rFonts w:asciiTheme="majorBidi" w:hAnsiTheme="majorBidi" w:cstheme="majorBidi"/>
          <w:sz w:val="24"/>
          <w:szCs w:val="24"/>
        </w:rPr>
        <w:t xml:space="preserve">governance committee </w:t>
      </w:r>
      <w:r w:rsidR="008E17AD">
        <w:rPr>
          <w:rFonts w:asciiTheme="majorBidi" w:hAnsiTheme="majorBidi" w:cstheme="majorBidi"/>
          <w:sz w:val="24"/>
          <w:szCs w:val="24"/>
        </w:rPr>
        <w:t xml:space="preserve">in order </w:t>
      </w:r>
      <w:r w:rsidR="008355B2" w:rsidRPr="00511F36">
        <w:rPr>
          <w:rFonts w:asciiTheme="majorBidi" w:hAnsiTheme="majorBidi" w:cstheme="majorBidi"/>
          <w:sz w:val="24"/>
          <w:szCs w:val="24"/>
        </w:rPr>
        <w:t>to demonstrate</w:t>
      </w:r>
      <w:r w:rsidR="00AF5A81" w:rsidRPr="00511F36">
        <w:rPr>
          <w:rFonts w:asciiTheme="majorBidi" w:hAnsiTheme="majorBidi" w:cstheme="majorBidi"/>
          <w:sz w:val="24"/>
          <w:szCs w:val="24"/>
        </w:rPr>
        <w:t xml:space="preserve"> </w:t>
      </w:r>
      <w:r w:rsidR="005A53E0">
        <w:rPr>
          <w:rFonts w:asciiTheme="majorBidi" w:hAnsiTheme="majorBidi" w:cstheme="majorBidi"/>
          <w:sz w:val="24"/>
          <w:szCs w:val="24"/>
        </w:rPr>
        <w:t xml:space="preserve">greater transparency and accountability to the community, as well as to </w:t>
      </w:r>
      <w:r w:rsidR="009B5D56">
        <w:rPr>
          <w:rFonts w:asciiTheme="majorBidi" w:hAnsiTheme="majorBidi" w:cstheme="majorBidi"/>
          <w:sz w:val="24"/>
          <w:szCs w:val="24"/>
        </w:rPr>
        <w:t xml:space="preserve">enhance </w:t>
      </w:r>
      <w:r w:rsidR="005A53E0">
        <w:rPr>
          <w:rFonts w:asciiTheme="majorBidi" w:hAnsiTheme="majorBidi" w:cstheme="majorBidi"/>
          <w:sz w:val="24"/>
          <w:szCs w:val="24"/>
        </w:rPr>
        <w:t xml:space="preserve">their legitimacy/image in the </w:t>
      </w:r>
      <w:r w:rsidR="005A53E0">
        <w:rPr>
          <w:rFonts w:asciiTheme="majorBidi" w:hAnsiTheme="majorBidi" w:cstheme="majorBidi"/>
          <w:sz w:val="24"/>
          <w:szCs w:val="24"/>
        </w:rPr>
        <w:lastRenderedPageBreak/>
        <w:t>marketplace.</w:t>
      </w:r>
      <w:r w:rsidR="00AF5A81" w:rsidRPr="00511F36">
        <w:rPr>
          <w:rFonts w:asciiTheme="majorBidi" w:hAnsiTheme="majorBidi" w:cstheme="majorBidi"/>
          <w:sz w:val="24"/>
          <w:szCs w:val="24"/>
        </w:rPr>
        <w:t xml:space="preserve"> </w:t>
      </w:r>
      <w:r w:rsidR="00D1777A">
        <w:rPr>
          <w:rFonts w:asciiTheme="majorBidi" w:hAnsiTheme="majorBidi" w:cstheme="majorBidi"/>
          <w:sz w:val="24"/>
          <w:szCs w:val="24"/>
        </w:rPr>
        <w:t xml:space="preserve">In addition, </w:t>
      </w:r>
      <w:r w:rsidR="009B5D56">
        <w:rPr>
          <w:rFonts w:asciiTheme="majorBidi" w:hAnsiTheme="majorBidi" w:cstheme="majorBidi"/>
          <w:sz w:val="24"/>
          <w:szCs w:val="24"/>
        </w:rPr>
        <w:t xml:space="preserve">the regression results illustrated in Table </w:t>
      </w:r>
      <w:r w:rsidR="001043BC">
        <w:rPr>
          <w:rFonts w:asciiTheme="majorBidi" w:hAnsiTheme="majorBidi" w:cstheme="majorBidi"/>
          <w:sz w:val="24"/>
          <w:szCs w:val="24"/>
        </w:rPr>
        <w:t>6</w:t>
      </w:r>
      <w:r w:rsidR="009B5D56">
        <w:rPr>
          <w:rFonts w:asciiTheme="majorBidi" w:hAnsiTheme="majorBidi" w:cstheme="majorBidi"/>
          <w:sz w:val="24"/>
          <w:szCs w:val="24"/>
        </w:rPr>
        <w:t xml:space="preserve"> reveal that </w:t>
      </w:r>
      <w:r w:rsidR="00520553" w:rsidRPr="00511F36">
        <w:rPr>
          <w:rFonts w:asciiTheme="majorBidi" w:hAnsiTheme="majorBidi" w:cstheme="majorBidi"/>
          <w:sz w:val="24"/>
          <w:szCs w:val="24"/>
        </w:rPr>
        <w:t>governing board diversity (</w:t>
      </w:r>
      <w:r w:rsidR="00520553" w:rsidRPr="00511F36">
        <w:rPr>
          <w:rFonts w:asciiTheme="majorBidi" w:hAnsiTheme="majorBidi" w:cstheme="majorBidi"/>
          <w:i/>
          <w:iCs/>
          <w:sz w:val="24"/>
          <w:szCs w:val="24"/>
        </w:rPr>
        <w:t>G</w:t>
      </w:r>
      <w:r w:rsidR="00564C6A">
        <w:rPr>
          <w:rFonts w:asciiTheme="majorBidi" w:hAnsiTheme="majorBidi" w:cstheme="majorBidi"/>
          <w:i/>
          <w:iCs/>
          <w:sz w:val="24"/>
          <w:szCs w:val="24"/>
        </w:rPr>
        <w:t>BGE</w:t>
      </w:r>
      <w:r w:rsidR="00520553" w:rsidRPr="00511F36">
        <w:rPr>
          <w:rFonts w:asciiTheme="majorBidi" w:hAnsiTheme="majorBidi" w:cstheme="majorBidi"/>
          <w:i/>
          <w:iCs/>
          <w:sz w:val="24"/>
          <w:szCs w:val="24"/>
        </w:rPr>
        <w:t>D</w:t>
      </w:r>
      <w:r w:rsidR="00520553" w:rsidRPr="00511F36">
        <w:rPr>
          <w:rFonts w:asciiTheme="majorBidi" w:hAnsiTheme="majorBidi" w:cstheme="majorBidi"/>
          <w:sz w:val="24"/>
          <w:szCs w:val="24"/>
        </w:rPr>
        <w:t>)</w:t>
      </w:r>
      <w:r w:rsidR="009B5D56">
        <w:rPr>
          <w:rFonts w:asciiTheme="majorBidi" w:hAnsiTheme="majorBidi" w:cstheme="majorBidi"/>
          <w:sz w:val="24"/>
          <w:szCs w:val="24"/>
        </w:rPr>
        <w:t xml:space="preserve"> has a significant negative influence on </w:t>
      </w:r>
      <w:r w:rsidR="009B5D56">
        <w:rPr>
          <w:rFonts w:asciiTheme="majorBidi" w:hAnsiTheme="majorBidi" w:cstheme="majorBidi"/>
          <w:i/>
          <w:iCs/>
          <w:sz w:val="24"/>
          <w:szCs w:val="24"/>
        </w:rPr>
        <w:t>HEGI</w:t>
      </w:r>
      <w:r w:rsidR="009B5D56">
        <w:rPr>
          <w:rFonts w:asciiTheme="majorBidi" w:hAnsiTheme="majorBidi" w:cstheme="majorBidi"/>
          <w:sz w:val="24"/>
          <w:szCs w:val="24"/>
        </w:rPr>
        <w:t xml:space="preserve">. The negative effect of </w:t>
      </w:r>
      <w:r w:rsidR="009B5D56">
        <w:rPr>
          <w:rFonts w:asciiTheme="majorBidi" w:hAnsiTheme="majorBidi" w:cstheme="majorBidi"/>
          <w:i/>
          <w:iCs/>
          <w:sz w:val="24"/>
          <w:szCs w:val="24"/>
        </w:rPr>
        <w:t>G</w:t>
      </w:r>
      <w:r w:rsidR="00564C6A">
        <w:rPr>
          <w:rFonts w:asciiTheme="majorBidi" w:hAnsiTheme="majorBidi" w:cstheme="majorBidi"/>
          <w:i/>
          <w:iCs/>
          <w:sz w:val="24"/>
          <w:szCs w:val="24"/>
        </w:rPr>
        <w:t>BGE</w:t>
      </w:r>
      <w:r w:rsidR="009B5D56">
        <w:rPr>
          <w:rFonts w:asciiTheme="majorBidi" w:hAnsiTheme="majorBidi" w:cstheme="majorBidi"/>
          <w:i/>
          <w:iCs/>
          <w:sz w:val="24"/>
          <w:szCs w:val="24"/>
        </w:rPr>
        <w:t xml:space="preserve">D </w:t>
      </w:r>
      <w:r w:rsidR="009B5D56">
        <w:rPr>
          <w:rFonts w:asciiTheme="majorBidi" w:hAnsiTheme="majorBidi" w:cstheme="majorBidi"/>
          <w:sz w:val="24"/>
          <w:szCs w:val="24"/>
        </w:rPr>
        <w:t xml:space="preserve">does not lend support </w:t>
      </w:r>
      <w:r w:rsidR="008061CC">
        <w:rPr>
          <w:rFonts w:asciiTheme="majorBidi" w:hAnsiTheme="majorBidi" w:cstheme="majorBidi"/>
          <w:sz w:val="24"/>
          <w:szCs w:val="24"/>
        </w:rPr>
        <w:t>f</w:t>
      </w:r>
      <w:r w:rsidR="009B5D56">
        <w:rPr>
          <w:rFonts w:asciiTheme="majorBidi" w:hAnsiTheme="majorBidi" w:cstheme="majorBidi"/>
          <w:sz w:val="24"/>
          <w:szCs w:val="24"/>
        </w:rPr>
        <w:t>o</w:t>
      </w:r>
      <w:r w:rsidR="008061CC">
        <w:rPr>
          <w:rFonts w:asciiTheme="majorBidi" w:hAnsiTheme="majorBidi" w:cstheme="majorBidi"/>
          <w:sz w:val="24"/>
          <w:szCs w:val="24"/>
        </w:rPr>
        <w:t>r</w:t>
      </w:r>
      <w:r w:rsidR="009B5D56">
        <w:rPr>
          <w:rFonts w:asciiTheme="majorBidi" w:hAnsiTheme="majorBidi" w:cstheme="majorBidi"/>
          <w:sz w:val="24"/>
          <w:szCs w:val="24"/>
        </w:rPr>
        <w:t xml:space="preserve"> our hypothesis (</w:t>
      </w:r>
      <w:r w:rsidR="009B5D56">
        <w:rPr>
          <w:rFonts w:asciiTheme="majorBidi" w:hAnsiTheme="majorBidi" w:cstheme="majorBidi"/>
          <w:i/>
          <w:iCs/>
          <w:sz w:val="24"/>
          <w:szCs w:val="24"/>
        </w:rPr>
        <w:t>H3</w:t>
      </w:r>
      <w:r w:rsidR="009B5D56">
        <w:rPr>
          <w:rFonts w:asciiTheme="majorBidi" w:hAnsiTheme="majorBidi" w:cstheme="majorBidi"/>
          <w:sz w:val="24"/>
          <w:szCs w:val="24"/>
        </w:rPr>
        <w:t xml:space="preserve">) and the findings of prior studies on </w:t>
      </w:r>
      <w:r w:rsidR="00840C4E">
        <w:rPr>
          <w:rFonts w:asciiTheme="majorBidi" w:hAnsiTheme="majorBidi" w:cstheme="majorBidi"/>
          <w:sz w:val="24"/>
          <w:szCs w:val="24"/>
        </w:rPr>
        <w:t xml:space="preserve">non-profitable organisations (Buse et al., 2016), </w:t>
      </w:r>
      <w:r w:rsidR="00AD255C">
        <w:rPr>
          <w:rFonts w:asciiTheme="majorBidi" w:hAnsiTheme="majorBidi" w:cstheme="majorBidi"/>
          <w:sz w:val="24"/>
          <w:szCs w:val="24"/>
        </w:rPr>
        <w:t xml:space="preserve">which indicate that having diverse boards can increase the pressure on organisation to commit to high governance disclosures.  </w:t>
      </w:r>
      <w:r w:rsidR="001C687A" w:rsidRPr="00511F36">
        <w:rPr>
          <w:rFonts w:asciiTheme="majorBidi" w:hAnsiTheme="majorBidi" w:cstheme="majorBidi"/>
          <w:sz w:val="24"/>
          <w:szCs w:val="24"/>
        </w:rPr>
        <w:t>However, t</w:t>
      </w:r>
      <w:r w:rsidR="00520553" w:rsidRPr="00511F36">
        <w:rPr>
          <w:rFonts w:asciiTheme="majorBidi" w:hAnsiTheme="majorBidi" w:cstheme="majorBidi"/>
          <w:sz w:val="24"/>
          <w:szCs w:val="24"/>
        </w:rPr>
        <w:t>h</w:t>
      </w:r>
      <w:r w:rsidR="00463BBA">
        <w:rPr>
          <w:rFonts w:asciiTheme="majorBidi" w:hAnsiTheme="majorBidi" w:cstheme="majorBidi"/>
          <w:sz w:val="24"/>
          <w:szCs w:val="24"/>
        </w:rPr>
        <w:t xml:space="preserve">is negative impact may </w:t>
      </w:r>
      <w:r w:rsidR="008061CC">
        <w:rPr>
          <w:rFonts w:asciiTheme="majorBidi" w:hAnsiTheme="majorBidi" w:cstheme="majorBidi"/>
          <w:sz w:val="24"/>
          <w:szCs w:val="24"/>
        </w:rPr>
        <w:t xml:space="preserve">be </w:t>
      </w:r>
      <w:r w:rsidR="00463BBA">
        <w:rPr>
          <w:rFonts w:asciiTheme="majorBidi" w:hAnsiTheme="majorBidi" w:cstheme="majorBidi"/>
          <w:sz w:val="24"/>
          <w:szCs w:val="24"/>
        </w:rPr>
        <w:t>due to</w:t>
      </w:r>
      <w:r w:rsidR="008061CC">
        <w:rPr>
          <w:rFonts w:asciiTheme="majorBidi" w:hAnsiTheme="majorBidi" w:cstheme="majorBidi"/>
          <w:sz w:val="24"/>
          <w:szCs w:val="24"/>
        </w:rPr>
        <w:t xml:space="preserve"> the fact</w:t>
      </w:r>
      <w:r w:rsidR="00463BBA">
        <w:rPr>
          <w:rFonts w:asciiTheme="majorBidi" w:hAnsiTheme="majorBidi" w:cstheme="majorBidi"/>
          <w:sz w:val="24"/>
          <w:szCs w:val="24"/>
        </w:rPr>
        <w:t xml:space="preserve"> that greater diversity of an organisation board can increase disagreement between board members </w:t>
      </w:r>
      <w:r w:rsidR="001C687A" w:rsidRPr="00511F36">
        <w:rPr>
          <w:rFonts w:asciiTheme="majorBidi" w:hAnsiTheme="majorBidi" w:cstheme="majorBidi"/>
          <w:sz w:val="24"/>
          <w:szCs w:val="24"/>
        </w:rPr>
        <w:t xml:space="preserve">and that can </w:t>
      </w:r>
      <w:r w:rsidR="00DD5503">
        <w:rPr>
          <w:rFonts w:asciiTheme="majorBidi" w:hAnsiTheme="majorBidi" w:cstheme="majorBidi"/>
          <w:sz w:val="24"/>
          <w:szCs w:val="24"/>
        </w:rPr>
        <w:t xml:space="preserve">also </w:t>
      </w:r>
      <w:r w:rsidR="001C687A" w:rsidRPr="00511F36">
        <w:rPr>
          <w:rFonts w:asciiTheme="majorBidi" w:hAnsiTheme="majorBidi" w:cstheme="majorBidi"/>
          <w:sz w:val="24"/>
          <w:szCs w:val="24"/>
        </w:rPr>
        <w:t>diminish boardroom performance and effectiveness</w:t>
      </w:r>
      <w:r w:rsidR="006D2FC7">
        <w:rPr>
          <w:rFonts w:asciiTheme="majorBidi" w:hAnsiTheme="majorBidi" w:cstheme="majorBidi"/>
          <w:sz w:val="24"/>
          <w:szCs w:val="24"/>
        </w:rPr>
        <w:t xml:space="preserve"> (Young, 2004),</w:t>
      </w:r>
      <w:r w:rsidR="001C687A" w:rsidRPr="00511F36">
        <w:rPr>
          <w:rFonts w:asciiTheme="majorBidi" w:hAnsiTheme="majorBidi" w:cstheme="majorBidi"/>
          <w:sz w:val="24"/>
          <w:szCs w:val="24"/>
        </w:rPr>
        <w:t xml:space="preserve"> which may impact negatively on disclosure practices. </w:t>
      </w:r>
    </w:p>
    <w:p w14:paraId="795AA7F6" w14:textId="3107D568" w:rsidR="003777D3" w:rsidRDefault="00D1777A" w:rsidP="006D2FC7">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Third</w:t>
      </w:r>
      <w:r w:rsidR="00C16F96" w:rsidRPr="00511F36">
        <w:rPr>
          <w:rFonts w:asciiTheme="majorBidi" w:hAnsiTheme="majorBidi" w:cstheme="majorBidi"/>
          <w:sz w:val="24"/>
          <w:szCs w:val="24"/>
        </w:rPr>
        <w:t xml:space="preserve">, </w:t>
      </w:r>
      <w:r w:rsidR="008B6FA4">
        <w:rPr>
          <w:rFonts w:asciiTheme="majorBidi" w:hAnsiTheme="majorBidi" w:cstheme="majorBidi"/>
          <w:sz w:val="24"/>
          <w:szCs w:val="24"/>
        </w:rPr>
        <w:t xml:space="preserve">the regression estimates in Table </w:t>
      </w:r>
      <w:r w:rsidR="001043BC">
        <w:rPr>
          <w:rFonts w:asciiTheme="majorBidi" w:hAnsiTheme="majorBidi" w:cstheme="majorBidi"/>
          <w:sz w:val="24"/>
          <w:szCs w:val="24"/>
        </w:rPr>
        <w:t>6</w:t>
      </w:r>
      <w:r w:rsidR="008B6FA4">
        <w:rPr>
          <w:rFonts w:asciiTheme="majorBidi" w:hAnsiTheme="majorBidi" w:cstheme="majorBidi"/>
          <w:sz w:val="24"/>
          <w:szCs w:val="24"/>
        </w:rPr>
        <w:t xml:space="preserve"> (Model 1) reveal a significant positive effect of </w:t>
      </w:r>
      <w:r w:rsidR="00C16F96" w:rsidRPr="00511F36">
        <w:rPr>
          <w:rFonts w:asciiTheme="majorBidi" w:hAnsiTheme="majorBidi" w:cstheme="majorBidi"/>
          <w:sz w:val="24"/>
          <w:szCs w:val="24"/>
        </w:rPr>
        <w:t>governing board independence (</w:t>
      </w:r>
      <w:r w:rsidR="00C16F96" w:rsidRPr="00511F36">
        <w:rPr>
          <w:rFonts w:asciiTheme="majorBidi" w:hAnsiTheme="majorBidi" w:cstheme="majorBidi"/>
          <w:i/>
          <w:iCs/>
          <w:sz w:val="24"/>
          <w:szCs w:val="24"/>
        </w:rPr>
        <w:t>G</w:t>
      </w:r>
      <w:r w:rsidR="00564C6A">
        <w:rPr>
          <w:rFonts w:asciiTheme="majorBidi" w:hAnsiTheme="majorBidi" w:cstheme="majorBidi"/>
          <w:i/>
          <w:iCs/>
          <w:sz w:val="24"/>
          <w:szCs w:val="24"/>
        </w:rPr>
        <w:t>B</w:t>
      </w:r>
      <w:r w:rsidR="00C16F96" w:rsidRPr="00511F36">
        <w:rPr>
          <w:rFonts w:asciiTheme="majorBidi" w:hAnsiTheme="majorBidi" w:cstheme="majorBidi"/>
          <w:i/>
          <w:iCs/>
          <w:sz w:val="24"/>
          <w:szCs w:val="24"/>
        </w:rPr>
        <w:t>I</w:t>
      </w:r>
      <w:r w:rsidR="00564C6A">
        <w:rPr>
          <w:rFonts w:asciiTheme="majorBidi" w:hAnsiTheme="majorBidi" w:cstheme="majorBidi"/>
          <w:i/>
          <w:iCs/>
          <w:sz w:val="24"/>
          <w:szCs w:val="24"/>
        </w:rPr>
        <w:t>ND</w:t>
      </w:r>
      <w:r w:rsidR="00C16F96" w:rsidRPr="00511F36">
        <w:rPr>
          <w:rFonts w:asciiTheme="majorBidi" w:hAnsiTheme="majorBidi" w:cstheme="majorBidi"/>
          <w:sz w:val="24"/>
          <w:szCs w:val="24"/>
        </w:rPr>
        <w:t xml:space="preserve">) </w:t>
      </w:r>
      <w:r w:rsidR="008B6FA4">
        <w:rPr>
          <w:rFonts w:asciiTheme="majorBidi" w:hAnsiTheme="majorBidi" w:cstheme="majorBidi"/>
          <w:sz w:val="24"/>
          <w:szCs w:val="24"/>
        </w:rPr>
        <w:t>on</w:t>
      </w:r>
      <w:r w:rsidR="00C16F96" w:rsidRPr="00511F36">
        <w:rPr>
          <w:rFonts w:asciiTheme="majorBidi" w:hAnsiTheme="majorBidi" w:cstheme="majorBidi"/>
          <w:sz w:val="24"/>
          <w:szCs w:val="24"/>
        </w:rPr>
        <w:t xml:space="preserve"> </w:t>
      </w:r>
      <w:r w:rsidR="00C16F96" w:rsidRPr="00511F36">
        <w:rPr>
          <w:rFonts w:asciiTheme="majorBidi" w:hAnsiTheme="majorBidi" w:cstheme="majorBidi"/>
          <w:i/>
          <w:iCs/>
          <w:sz w:val="24"/>
          <w:szCs w:val="24"/>
        </w:rPr>
        <w:t>HEGI</w:t>
      </w:r>
      <w:r w:rsidR="00C16F96" w:rsidRPr="00511F36">
        <w:rPr>
          <w:rFonts w:asciiTheme="majorBidi" w:hAnsiTheme="majorBidi" w:cstheme="majorBidi"/>
          <w:sz w:val="24"/>
          <w:szCs w:val="24"/>
        </w:rPr>
        <w:t xml:space="preserve">. </w:t>
      </w:r>
      <w:r w:rsidR="00836EAE" w:rsidRPr="00511F36">
        <w:rPr>
          <w:rFonts w:asciiTheme="majorBidi" w:hAnsiTheme="majorBidi" w:cstheme="majorBidi"/>
          <w:sz w:val="24"/>
          <w:szCs w:val="24"/>
        </w:rPr>
        <w:t xml:space="preserve">This </w:t>
      </w:r>
      <w:r w:rsidR="008B6FA4">
        <w:rPr>
          <w:rFonts w:asciiTheme="majorBidi" w:hAnsiTheme="majorBidi" w:cstheme="majorBidi"/>
          <w:sz w:val="24"/>
          <w:szCs w:val="24"/>
        </w:rPr>
        <w:t>positive relationship</w:t>
      </w:r>
      <w:r w:rsidR="008B6FA4" w:rsidRPr="00511F36">
        <w:rPr>
          <w:rFonts w:asciiTheme="majorBidi" w:hAnsiTheme="majorBidi" w:cstheme="majorBidi"/>
          <w:sz w:val="24"/>
          <w:szCs w:val="24"/>
        </w:rPr>
        <w:t xml:space="preserve"> </w:t>
      </w:r>
      <w:r w:rsidR="008B6FA4">
        <w:rPr>
          <w:rFonts w:asciiTheme="majorBidi" w:hAnsiTheme="majorBidi" w:cstheme="majorBidi"/>
          <w:sz w:val="24"/>
          <w:szCs w:val="24"/>
        </w:rPr>
        <w:t>lends</w:t>
      </w:r>
      <w:r w:rsidR="008B6FA4" w:rsidRPr="00511F36">
        <w:rPr>
          <w:rFonts w:asciiTheme="majorBidi" w:hAnsiTheme="majorBidi" w:cstheme="majorBidi"/>
          <w:i/>
          <w:iCs/>
          <w:sz w:val="24"/>
          <w:szCs w:val="24"/>
        </w:rPr>
        <w:t xml:space="preserve"> </w:t>
      </w:r>
      <w:r w:rsidR="00C16F96" w:rsidRPr="00511F36">
        <w:rPr>
          <w:rFonts w:asciiTheme="majorBidi" w:hAnsiTheme="majorBidi" w:cstheme="majorBidi"/>
          <w:sz w:val="24"/>
          <w:szCs w:val="24"/>
        </w:rPr>
        <w:t xml:space="preserve">empirical support </w:t>
      </w:r>
      <w:r w:rsidR="00AB4461">
        <w:rPr>
          <w:rFonts w:asciiTheme="majorBidi" w:hAnsiTheme="majorBidi" w:cstheme="majorBidi"/>
          <w:sz w:val="24"/>
          <w:szCs w:val="24"/>
        </w:rPr>
        <w:t>f</w:t>
      </w:r>
      <w:r w:rsidR="00C16F96" w:rsidRPr="00511F36">
        <w:rPr>
          <w:rFonts w:asciiTheme="majorBidi" w:hAnsiTheme="majorBidi" w:cstheme="majorBidi"/>
          <w:sz w:val="24"/>
          <w:szCs w:val="24"/>
        </w:rPr>
        <w:t>o</w:t>
      </w:r>
      <w:r w:rsidR="00AB4461">
        <w:rPr>
          <w:rFonts w:asciiTheme="majorBidi" w:hAnsiTheme="majorBidi" w:cstheme="majorBidi"/>
          <w:sz w:val="24"/>
          <w:szCs w:val="24"/>
        </w:rPr>
        <w:t>r</w:t>
      </w:r>
      <w:r w:rsidR="008B6FA4">
        <w:rPr>
          <w:rFonts w:asciiTheme="majorBidi" w:hAnsiTheme="majorBidi" w:cstheme="majorBidi"/>
          <w:sz w:val="24"/>
          <w:szCs w:val="24"/>
        </w:rPr>
        <w:t xml:space="preserve"> our hypothesis (</w:t>
      </w:r>
      <w:r w:rsidR="008B6FA4">
        <w:rPr>
          <w:rFonts w:asciiTheme="majorBidi" w:hAnsiTheme="majorBidi" w:cstheme="majorBidi"/>
          <w:i/>
          <w:iCs/>
          <w:sz w:val="24"/>
          <w:szCs w:val="24"/>
        </w:rPr>
        <w:t>H4</w:t>
      </w:r>
      <w:r w:rsidR="008B6FA4">
        <w:rPr>
          <w:rFonts w:asciiTheme="majorBidi" w:hAnsiTheme="majorBidi" w:cstheme="majorBidi"/>
          <w:sz w:val="24"/>
          <w:szCs w:val="24"/>
        </w:rPr>
        <w:t>)</w:t>
      </w:r>
      <w:r w:rsidR="00C16F96" w:rsidRPr="00511F36">
        <w:rPr>
          <w:rFonts w:asciiTheme="majorBidi" w:hAnsiTheme="majorBidi" w:cstheme="majorBidi"/>
          <w:sz w:val="24"/>
          <w:szCs w:val="24"/>
        </w:rPr>
        <w:t xml:space="preserve"> </w:t>
      </w:r>
      <w:r w:rsidR="008B6FA4">
        <w:rPr>
          <w:rFonts w:asciiTheme="majorBidi" w:hAnsiTheme="majorBidi" w:cstheme="majorBidi"/>
          <w:sz w:val="24"/>
          <w:szCs w:val="24"/>
        </w:rPr>
        <w:t xml:space="preserve">and </w:t>
      </w:r>
      <w:r w:rsidR="00C16F96" w:rsidRPr="00511F36">
        <w:rPr>
          <w:rFonts w:asciiTheme="majorBidi" w:hAnsiTheme="majorBidi" w:cstheme="majorBidi"/>
          <w:sz w:val="24"/>
          <w:szCs w:val="24"/>
        </w:rPr>
        <w:t>the findings of prior</w:t>
      </w:r>
      <w:r w:rsidR="006D2FC7">
        <w:rPr>
          <w:rFonts w:asciiTheme="majorBidi" w:hAnsiTheme="majorBidi" w:cstheme="majorBidi"/>
          <w:sz w:val="24"/>
          <w:szCs w:val="24"/>
        </w:rPr>
        <w:t xml:space="preserve"> HE</w:t>
      </w:r>
      <w:r w:rsidR="00C16F96" w:rsidRPr="00511F36">
        <w:rPr>
          <w:rFonts w:asciiTheme="majorBidi" w:hAnsiTheme="majorBidi" w:cstheme="majorBidi"/>
          <w:sz w:val="24"/>
          <w:szCs w:val="24"/>
        </w:rPr>
        <w:t xml:space="preserve"> studies </w:t>
      </w:r>
      <w:r w:rsidR="006D2FC7">
        <w:rPr>
          <w:rFonts w:asciiTheme="majorBidi" w:hAnsiTheme="majorBidi" w:cstheme="majorBidi"/>
          <w:sz w:val="24"/>
          <w:szCs w:val="24"/>
        </w:rPr>
        <w:t>(</w:t>
      </w:r>
      <w:r w:rsidR="006D2FC7" w:rsidRPr="00511F36">
        <w:rPr>
          <w:rFonts w:asciiTheme="majorBidi" w:hAnsiTheme="majorBidi" w:cstheme="majorBidi"/>
          <w:sz w:val="24"/>
          <w:szCs w:val="24"/>
        </w:rPr>
        <w:t>M</w:t>
      </w:r>
      <w:r w:rsidR="006D2FC7">
        <w:rPr>
          <w:rFonts w:asciiTheme="majorBidi" w:hAnsiTheme="majorBidi" w:cstheme="majorBidi"/>
          <w:sz w:val="24"/>
          <w:szCs w:val="24"/>
        </w:rPr>
        <w:t>aingot &amp; Zeghal, 2008;</w:t>
      </w:r>
      <w:r w:rsidR="00030A86">
        <w:rPr>
          <w:rFonts w:asciiTheme="majorBidi" w:hAnsiTheme="majorBidi" w:cstheme="majorBidi"/>
          <w:sz w:val="24"/>
          <w:szCs w:val="24"/>
        </w:rPr>
        <w:t xml:space="preserve"> </w:t>
      </w:r>
      <w:r w:rsidR="006D2FC7">
        <w:rPr>
          <w:rFonts w:asciiTheme="majorBidi" w:hAnsiTheme="majorBidi" w:cstheme="majorBidi"/>
          <w:sz w:val="24"/>
          <w:szCs w:val="24"/>
        </w:rPr>
        <w:t xml:space="preserve">Nelson et al., </w:t>
      </w:r>
      <w:r w:rsidR="006D2FC7" w:rsidRPr="00511F36">
        <w:rPr>
          <w:rFonts w:asciiTheme="majorBidi" w:hAnsiTheme="majorBidi" w:cstheme="majorBidi"/>
          <w:sz w:val="24"/>
          <w:szCs w:val="24"/>
        </w:rPr>
        <w:t>2003)</w:t>
      </w:r>
      <w:r w:rsidR="006D2FC7">
        <w:rPr>
          <w:rFonts w:asciiTheme="majorBidi" w:hAnsiTheme="majorBidi" w:cstheme="majorBidi"/>
          <w:sz w:val="24"/>
          <w:szCs w:val="24"/>
        </w:rPr>
        <w:t>,</w:t>
      </w:r>
      <w:r w:rsidR="00884792" w:rsidRPr="00511F36">
        <w:rPr>
          <w:rFonts w:asciiTheme="majorBidi" w:hAnsiTheme="majorBidi" w:cstheme="majorBidi"/>
          <w:sz w:val="24"/>
          <w:szCs w:val="24"/>
        </w:rPr>
        <w:t xml:space="preserve"> which indicate that </w:t>
      </w:r>
      <w:r w:rsidR="006D2FC7">
        <w:rPr>
          <w:rFonts w:asciiTheme="majorBidi" w:hAnsiTheme="majorBidi" w:cstheme="majorBidi"/>
          <w:sz w:val="24"/>
          <w:szCs w:val="24"/>
        </w:rPr>
        <w:t>HEIs</w:t>
      </w:r>
      <w:r w:rsidR="006D2FC7" w:rsidRPr="00511F36">
        <w:rPr>
          <w:rFonts w:asciiTheme="majorBidi" w:hAnsiTheme="majorBidi" w:cstheme="majorBidi"/>
          <w:sz w:val="24"/>
          <w:szCs w:val="24"/>
        </w:rPr>
        <w:t xml:space="preserve"> </w:t>
      </w:r>
      <w:r w:rsidR="00884792" w:rsidRPr="00511F36">
        <w:rPr>
          <w:rFonts w:asciiTheme="majorBidi" w:hAnsiTheme="majorBidi" w:cstheme="majorBidi"/>
          <w:sz w:val="24"/>
          <w:szCs w:val="24"/>
        </w:rPr>
        <w:t xml:space="preserve">with more </w:t>
      </w:r>
      <w:r w:rsidR="008B6FA4">
        <w:rPr>
          <w:rFonts w:asciiTheme="majorBidi" w:hAnsiTheme="majorBidi" w:cstheme="majorBidi"/>
          <w:sz w:val="24"/>
          <w:szCs w:val="24"/>
        </w:rPr>
        <w:t>outsider</w:t>
      </w:r>
      <w:r w:rsidR="006D2FC7">
        <w:rPr>
          <w:rFonts w:asciiTheme="majorBidi" w:hAnsiTheme="majorBidi" w:cstheme="majorBidi"/>
          <w:sz w:val="24"/>
          <w:szCs w:val="24"/>
        </w:rPr>
        <w:t>/lay</w:t>
      </w:r>
      <w:r w:rsidR="008B6FA4">
        <w:rPr>
          <w:rFonts w:asciiTheme="majorBidi" w:hAnsiTheme="majorBidi" w:cstheme="majorBidi"/>
          <w:sz w:val="24"/>
          <w:szCs w:val="24"/>
        </w:rPr>
        <w:t xml:space="preserve"> directors</w:t>
      </w:r>
      <w:r w:rsidR="00884792" w:rsidRPr="00511F36">
        <w:rPr>
          <w:rFonts w:asciiTheme="majorBidi" w:hAnsiTheme="majorBidi" w:cstheme="majorBidi"/>
          <w:sz w:val="24"/>
          <w:szCs w:val="24"/>
        </w:rPr>
        <w:t xml:space="preserve"> tend to </w:t>
      </w:r>
      <w:r w:rsidR="008B6FA4">
        <w:rPr>
          <w:rFonts w:asciiTheme="majorBidi" w:hAnsiTheme="majorBidi" w:cstheme="majorBidi"/>
          <w:sz w:val="24"/>
          <w:szCs w:val="24"/>
        </w:rPr>
        <w:t>commit to greater governance disclosures</w:t>
      </w:r>
      <w:r w:rsidR="00884792" w:rsidRPr="00511F36">
        <w:rPr>
          <w:rFonts w:asciiTheme="majorBidi" w:hAnsiTheme="majorBidi" w:cstheme="majorBidi"/>
          <w:sz w:val="24"/>
          <w:szCs w:val="24"/>
        </w:rPr>
        <w:t xml:space="preserve">. Theoretically, the obtained </w:t>
      </w:r>
      <w:r w:rsidR="00D96EA4">
        <w:rPr>
          <w:rFonts w:asciiTheme="majorBidi" w:hAnsiTheme="majorBidi" w:cstheme="majorBidi"/>
          <w:sz w:val="24"/>
          <w:szCs w:val="24"/>
        </w:rPr>
        <w:t xml:space="preserve">results provide evidence to </w:t>
      </w:r>
      <w:r w:rsidR="00051765">
        <w:rPr>
          <w:rFonts w:asciiTheme="majorBidi" w:hAnsiTheme="majorBidi" w:cstheme="majorBidi"/>
          <w:sz w:val="24"/>
          <w:szCs w:val="24"/>
        </w:rPr>
        <w:t xml:space="preserve">support our employed </w:t>
      </w:r>
      <w:r w:rsidR="0069419F">
        <w:rPr>
          <w:rFonts w:asciiTheme="majorBidi" w:hAnsiTheme="majorBidi" w:cstheme="majorBidi"/>
          <w:sz w:val="24"/>
          <w:szCs w:val="24"/>
        </w:rPr>
        <w:t>theory</w:t>
      </w:r>
      <w:r w:rsidR="00051765">
        <w:rPr>
          <w:rFonts w:asciiTheme="majorBidi" w:hAnsiTheme="majorBidi" w:cstheme="majorBidi"/>
          <w:sz w:val="24"/>
          <w:szCs w:val="24"/>
        </w:rPr>
        <w:t xml:space="preserve">. For instance, </w:t>
      </w:r>
      <w:r w:rsidR="0069419F">
        <w:rPr>
          <w:rFonts w:asciiTheme="majorBidi" w:hAnsiTheme="majorBidi" w:cstheme="majorBidi"/>
          <w:sz w:val="24"/>
          <w:szCs w:val="24"/>
        </w:rPr>
        <w:t xml:space="preserve">neo-institutional (efficiency and </w:t>
      </w:r>
      <w:r w:rsidR="00C03330">
        <w:rPr>
          <w:rFonts w:asciiTheme="majorBidi" w:hAnsiTheme="majorBidi" w:cstheme="majorBidi"/>
          <w:sz w:val="24"/>
          <w:szCs w:val="24"/>
        </w:rPr>
        <w:t>legitimation</w:t>
      </w:r>
      <w:r w:rsidR="0069419F">
        <w:rPr>
          <w:rFonts w:asciiTheme="majorBidi" w:hAnsiTheme="majorBidi" w:cstheme="majorBidi"/>
          <w:sz w:val="24"/>
          <w:szCs w:val="24"/>
        </w:rPr>
        <w:t xml:space="preserve"> views) theory</w:t>
      </w:r>
      <w:r w:rsidR="00063AE7" w:rsidRPr="00511F36">
        <w:rPr>
          <w:rFonts w:asciiTheme="majorBidi" w:hAnsiTheme="majorBidi" w:cstheme="majorBidi"/>
          <w:sz w:val="24"/>
          <w:szCs w:val="24"/>
        </w:rPr>
        <w:t xml:space="preserve"> </w:t>
      </w:r>
      <w:r w:rsidR="00051765">
        <w:rPr>
          <w:rFonts w:asciiTheme="majorBidi" w:hAnsiTheme="majorBidi" w:cstheme="majorBidi"/>
          <w:sz w:val="24"/>
          <w:szCs w:val="24"/>
        </w:rPr>
        <w:t>propose</w:t>
      </w:r>
      <w:r w:rsidR="0069419F">
        <w:rPr>
          <w:rFonts w:asciiTheme="majorBidi" w:hAnsiTheme="majorBidi" w:cstheme="majorBidi"/>
          <w:sz w:val="24"/>
          <w:szCs w:val="24"/>
        </w:rPr>
        <w:t>s</w:t>
      </w:r>
      <w:r w:rsidR="00051765" w:rsidRPr="00511F36">
        <w:rPr>
          <w:rFonts w:asciiTheme="majorBidi" w:hAnsiTheme="majorBidi" w:cstheme="majorBidi"/>
          <w:sz w:val="24"/>
          <w:szCs w:val="24"/>
        </w:rPr>
        <w:t xml:space="preserve"> </w:t>
      </w:r>
      <w:r w:rsidR="00063AE7" w:rsidRPr="00511F36">
        <w:rPr>
          <w:rFonts w:asciiTheme="majorBidi" w:hAnsiTheme="majorBidi" w:cstheme="majorBidi"/>
          <w:sz w:val="24"/>
          <w:szCs w:val="24"/>
        </w:rPr>
        <w:t xml:space="preserve">that organisations tend to appoint independent directors in order to improve stakeholder representation, and that in turn </w:t>
      </w:r>
      <w:r w:rsidR="00AB4461">
        <w:rPr>
          <w:rFonts w:asciiTheme="majorBidi" w:hAnsiTheme="majorBidi" w:cstheme="majorBidi"/>
          <w:sz w:val="24"/>
          <w:szCs w:val="24"/>
        </w:rPr>
        <w:t xml:space="preserve">can </w:t>
      </w:r>
      <w:r w:rsidR="00063AE7" w:rsidRPr="00511F36">
        <w:rPr>
          <w:rFonts w:asciiTheme="majorBidi" w:hAnsiTheme="majorBidi" w:cstheme="majorBidi"/>
          <w:sz w:val="24"/>
          <w:szCs w:val="24"/>
        </w:rPr>
        <w:t>help in improving their reputation/image, as well as allow them to access critical resources</w:t>
      </w:r>
      <w:r w:rsidR="006D2FC7">
        <w:rPr>
          <w:rFonts w:asciiTheme="majorBidi" w:hAnsiTheme="majorBidi" w:cstheme="majorBidi"/>
          <w:sz w:val="24"/>
          <w:szCs w:val="24"/>
        </w:rPr>
        <w:t xml:space="preserve"> (</w:t>
      </w:r>
      <w:r w:rsidR="006D2FC7" w:rsidRPr="00511F36">
        <w:rPr>
          <w:rFonts w:asciiTheme="majorBidi" w:hAnsiTheme="majorBidi" w:cstheme="majorBidi"/>
          <w:sz w:val="24"/>
          <w:szCs w:val="24"/>
        </w:rPr>
        <w:t xml:space="preserve">Freeman </w:t>
      </w:r>
      <w:r w:rsidR="006D2FC7">
        <w:rPr>
          <w:rFonts w:asciiTheme="majorBidi" w:hAnsiTheme="majorBidi" w:cstheme="majorBidi"/>
          <w:sz w:val="24"/>
          <w:szCs w:val="24"/>
        </w:rPr>
        <w:t>&amp;</w:t>
      </w:r>
      <w:r w:rsidR="006D2FC7" w:rsidRPr="00511F36">
        <w:rPr>
          <w:rFonts w:asciiTheme="majorBidi" w:hAnsiTheme="majorBidi" w:cstheme="majorBidi"/>
          <w:sz w:val="24"/>
          <w:szCs w:val="24"/>
        </w:rPr>
        <w:t xml:space="preserve"> Reed</w:t>
      </w:r>
      <w:r w:rsidR="006D2FC7">
        <w:rPr>
          <w:rFonts w:asciiTheme="majorBidi" w:hAnsiTheme="majorBidi" w:cstheme="majorBidi"/>
          <w:sz w:val="24"/>
          <w:szCs w:val="24"/>
        </w:rPr>
        <w:t>,</w:t>
      </w:r>
      <w:r w:rsidR="006D2FC7" w:rsidRPr="00511F36">
        <w:rPr>
          <w:rFonts w:asciiTheme="majorBidi" w:hAnsiTheme="majorBidi" w:cstheme="majorBidi"/>
          <w:sz w:val="24"/>
          <w:szCs w:val="24"/>
        </w:rPr>
        <w:t xml:space="preserve"> 1983</w:t>
      </w:r>
      <w:r w:rsidR="006D2FC7">
        <w:rPr>
          <w:rFonts w:asciiTheme="majorBidi" w:hAnsiTheme="majorBidi" w:cstheme="majorBidi"/>
          <w:sz w:val="24"/>
          <w:szCs w:val="24"/>
        </w:rPr>
        <w:t xml:space="preserve">; </w:t>
      </w:r>
      <w:r w:rsidR="006D2FC7" w:rsidRPr="00511F36">
        <w:rPr>
          <w:rFonts w:asciiTheme="majorBidi" w:hAnsiTheme="majorBidi" w:cstheme="majorBidi"/>
          <w:sz w:val="24"/>
          <w:szCs w:val="24"/>
        </w:rPr>
        <w:t>Suchman</w:t>
      </w:r>
      <w:r w:rsidR="006D2FC7">
        <w:rPr>
          <w:rFonts w:asciiTheme="majorBidi" w:hAnsiTheme="majorBidi" w:cstheme="majorBidi"/>
          <w:sz w:val="24"/>
          <w:szCs w:val="24"/>
        </w:rPr>
        <w:t>,</w:t>
      </w:r>
      <w:r w:rsidR="006D2FC7" w:rsidRPr="00511F36">
        <w:rPr>
          <w:rFonts w:asciiTheme="majorBidi" w:hAnsiTheme="majorBidi" w:cstheme="majorBidi"/>
          <w:sz w:val="24"/>
          <w:szCs w:val="24"/>
        </w:rPr>
        <w:t xml:space="preserve"> 1995</w:t>
      </w:r>
      <w:r w:rsidR="006D2FC7">
        <w:rPr>
          <w:rFonts w:asciiTheme="majorBidi" w:hAnsiTheme="majorBidi" w:cstheme="majorBidi"/>
          <w:sz w:val="24"/>
          <w:szCs w:val="24"/>
        </w:rPr>
        <w:t>)</w:t>
      </w:r>
      <w:r w:rsidR="00063AE7" w:rsidRPr="00511F36">
        <w:rPr>
          <w:rFonts w:asciiTheme="majorBidi" w:hAnsiTheme="majorBidi" w:cstheme="majorBidi"/>
          <w:sz w:val="24"/>
          <w:szCs w:val="24"/>
        </w:rPr>
        <w:t xml:space="preserve">. </w:t>
      </w:r>
    </w:p>
    <w:p w14:paraId="67D8AAF4" w14:textId="7834F805" w:rsidR="00081690" w:rsidRDefault="00D1777A" w:rsidP="00CA6D07">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Finally</w:t>
      </w:r>
      <w:r w:rsidR="00836EAE" w:rsidRPr="00511F36">
        <w:rPr>
          <w:rFonts w:asciiTheme="majorBidi" w:hAnsiTheme="majorBidi" w:cstheme="majorBidi"/>
          <w:sz w:val="24"/>
          <w:szCs w:val="24"/>
        </w:rPr>
        <w:t xml:space="preserve">, </w:t>
      </w:r>
      <w:r w:rsidR="00747F71">
        <w:rPr>
          <w:rFonts w:asciiTheme="majorBidi" w:hAnsiTheme="majorBidi" w:cstheme="majorBidi"/>
          <w:sz w:val="24"/>
          <w:szCs w:val="24"/>
        </w:rPr>
        <w:t xml:space="preserve">the reported results in Table </w:t>
      </w:r>
      <w:r w:rsidR="001043BC">
        <w:rPr>
          <w:rFonts w:asciiTheme="majorBidi" w:hAnsiTheme="majorBidi" w:cstheme="majorBidi"/>
          <w:sz w:val="24"/>
          <w:szCs w:val="24"/>
        </w:rPr>
        <w:t>6</w:t>
      </w:r>
      <w:r w:rsidR="00747F71">
        <w:rPr>
          <w:rFonts w:asciiTheme="majorBidi" w:hAnsiTheme="majorBidi" w:cstheme="majorBidi"/>
          <w:sz w:val="24"/>
          <w:szCs w:val="24"/>
        </w:rPr>
        <w:t xml:space="preserve"> (Model 1) reveal a significant positive influence of </w:t>
      </w:r>
      <w:r w:rsidR="00836EAE" w:rsidRPr="00511F36">
        <w:rPr>
          <w:rFonts w:asciiTheme="majorBidi" w:hAnsiTheme="majorBidi" w:cstheme="majorBidi"/>
          <w:sz w:val="24"/>
          <w:szCs w:val="24"/>
        </w:rPr>
        <w:t>governing board meeting</w:t>
      </w:r>
      <w:r w:rsidR="002914E5">
        <w:rPr>
          <w:rFonts w:asciiTheme="majorBidi" w:hAnsiTheme="majorBidi" w:cstheme="majorBidi"/>
          <w:sz w:val="24"/>
          <w:szCs w:val="24"/>
        </w:rPr>
        <w:t>s</w:t>
      </w:r>
      <w:r w:rsidR="00836EAE" w:rsidRPr="00511F36">
        <w:rPr>
          <w:rFonts w:asciiTheme="majorBidi" w:hAnsiTheme="majorBidi" w:cstheme="majorBidi"/>
          <w:sz w:val="24"/>
          <w:szCs w:val="24"/>
        </w:rPr>
        <w:t xml:space="preserve"> (</w:t>
      </w:r>
      <w:r w:rsidR="00836EAE" w:rsidRPr="00511F36">
        <w:rPr>
          <w:rFonts w:asciiTheme="majorBidi" w:hAnsiTheme="majorBidi" w:cstheme="majorBidi"/>
          <w:i/>
          <w:iCs/>
          <w:sz w:val="24"/>
          <w:szCs w:val="24"/>
        </w:rPr>
        <w:t>G</w:t>
      </w:r>
      <w:r w:rsidR="00564C6A">
        <w:rPr>
          <w:rFonts w:asciiTheme="majorBidi" w:hAnsiTheme="majorBidi" w:cstheme="majorBidi"/>
          <w:i/>
          <w:iCs/>
          <w:sz w:val="24"/>
          <w:szCs w:val="24"/>
        </w:rPr>
        <w:t>B</w:t>
      </w:r>
      <w:r w:rsidR="00836EAE" w:rsidRPr="00511F36">
        <w:rPr>
          <w:rFonts w:asciiTheme="majorBidi" w:hAnsiTheme="majorBidi" w:cstheme="majorBidi"/>
          <w:i/>
          <w:iCs/>
          <w:sz w:val="24"/>
          <w:szCs w:val="24"/>
        </w:rPr>
        <w:t>M</w:t>
      </w:r>
      <w:r w:rsidR="00564C6A">
        <w:rPr>
          <w:rFonts w:asciiTheme="majorBidi" w:hAnsiTheme="majorBidi" w:cstheme="majorBidi"/>
          <w:i/>
          <w:iCs/>
          <w:sz w:val="24"/>
          <w:szCs w:val="24"/>
        </w:rPr>
        <w:t>T</w:t>
      </w:r>
      <w:r w:rsidR="00836EAE" w:rsidRPr="00511F36">
        <w:rPr>
          <w:rFonts w:asciiTheme="majorBidi" w:hAnsiTheme="majorBidi" w:cstheme="majorBidi"/>
          <w:sz w:val="24"/>
          <w:szCs w:val="24"/>
        </w:rPr>
        <w:t xml:space="preserve">) </w:t>
      </w:r>
      <w:r w:rsidR="00747F71">
        <w:rPr>
          <w:rFonts w:asciiTheme="majorBidi" w:hAnsiTheme="majorBidi" w:cstheme="majorBidi"/>
          <w:sz w:val="24"/>
          <w:szCs w:val="24"/>
        </w:rPr>
        <w:t>on</w:t>
      </w:r>
      <w:r w:rsidR="00747F71" w:rsidRPr="00511F36">
        <w:rPr>
          <w:rFonts w:asciiTheme="majorBidi" w:hAnsiTheme="majorBidi" w:cstheme="majorBidi"/>
          <w:sz w:val="24"/>
          <w:szCs w:val="24"/>
        </w:rPr>
        <w:t xml:space="preserve"> </w:t>
      </w:r>
      <w:r w:rsidR="00836EAE" w:rsidRPr="00511F36">
        <w:rPr>
          <w:rFonts w:asciiTheme="majorBidi" w:hAnsiTheme="majorBidi" w:cstheme="majorBidi"/>
          <w:i/>
          <w:iCs/>
          <w:sz w:val="24"/>
          <w:szCs w:val="24"/>
        </w:rPr>
        <w:t>HEGI</w:t>
      </w:r>
      <w:r w:rsidR="00747F71">
        <w:rPr>
          <w:rFonts w:asciiTheme="majorBidi" w:hAnsiTheme="majorBidi" w:cstheme="majorBidi"/>
          <w:sz w:val="24"/>
          <w:szCs w:val="24"/>
        </w:rPr>
        <w:t>. The evidence of this positive impact is in line with our hypothesis (</w:t>
      </w:r>
      <w:r w:rsidR="00747F71">
        <w:rPr>
          <w:rFonts w:asciiTheme="majorBidi" w:hAnsiTheme="majorBidi" w:cstheme="majorBidi"/>
          <w:i/>
          <w:iCs/>
          <w:sz w:val="24"/>
          <w:szCs w:val="24"/>
        </w:rPr>
        <w:t>H5</w:t>
      </w:r>
      <w:r w:rsidR="00747F71">
        <w:rPr>
          <w:rFonts w:asciiTheme="majorBidi" w:hAnsiTheme="majorBidi" w:cstheme="majorBidi"/>
          <w:sz w:val="24"/>
          <w:szCs w:val="24"/>
        </w:rPr>
        <w:t xml:space="preserve">) and the theoretical notion </w:t>
      </w:r>
      <w:r w:rsidR="0069419F">
        <w:rPr>
          <w:rFonts w:asciiTheme="majorBidi" w:hAnsiTheme="majorBidi" w:cstheme="majorBidi"/>
          <w:sz w:val="24"/>
          <w:szCs w:val="24"/>
        </w:rPr>
        <w:t xml:space="preserve">(efficiency and legitimation perspectives) </w:t>
      </w:r>
      <w:r w:rsidR="00747F71">
        <w:rPr>
          <w:rFonts w:asciiTheme="majorBidi" w:hAnsiTheme="majorBidi" w:cstheme="majorBidi"/>
          <w:sz w:val="24"/>
          <w:szCs w:val="24"/>
        </w:rPr>
        <w:t xml:space="preserve">that </w:t>
      </w:r>
      <w:r w:rsidR="00836EAE" w:rsidRPr="00511F36">
        <w:rPr>
          <w:rFonts w:asciiTheme="majorBidi" w:hAnsiTheme="majorBidi" w:cstheme="majorBidi"/>
          <w:sz w:val="24"/>
          <w:szCs w:val="24"/>
        </w:rPr>
        <w:t xml:space="preserve">that </w:t>
      </w:r>
      <w:r w:rsidR="00CE4DAE" w:rsidRPr="00511F36">
        <w:rPr>
          <w:rFonts w:asciiTheme="majorBidi" w:hAnsiTheme="majorBidi" w:cstheme="majorBidi"/>
          <w:sz w:val="24"/>
          <w:szCs w:val="24"/>
        </w:rPr>
        <w:t>regular board meeting</w:t>
      </w:r>
      <w:r w:rsidR="00597B2A">
        <w:rPr>
          <w:rFonts w:asciiTheme="majorBidi" w:hAnsiTheme="majorBidi" w:cstheme="majorBidi"/>
          <w:sz w:val="24"/>
          <w:szCs w:val="24"/>
        </w:rPr>
        <w:t>s</w:t>
      </w:r>
      <w:r w:rsidR="00CE4DAE" w:rsidRPr="00511F36">
        <w:rPr>
          <w:rFonts w:asciiTheme="majorBidi" w:hAnsiTheme="majorBidi" w:cstheme="majorBidi"/>
          <w:sz w:val="24"/>
          <w:szCs w:val="24"/>
        </w:rPr>
        <w:t xml:space="preserve"> may enhance public accountability and transparency by increasing managerial monitoring and that in turn can provide access to critical resources by improving HEIs legitimacy and image </w:t>
      </w:r>
      <w:r w:rsidR="00597B2A">
        <w:rPr>
          <w:rFonts w:asciiTheme="majorBidi" w:hAnsiTheme="majorBidi" w:cstheme="majorBidi"/>
          <w:sz w:val="24"/>
          <w:szCs w:val="24"/>
        </w:rPr>
        <w:t>via improvement in</w:t>
      </w:r>
      <w:r w:rsidR="00CE4DAE" w:rsidRPr="00511F36">
        <w:rPr>
          <w:rFonts w:asciiTheme="majorBidi" w:hAnsiTheme="majorBidi" w:cstheme="majorBidi"/>
          <w:sz w:val="24"/>
          <w:szCs w:val="24"/>
        </w:rPr>
        <w:t xml:space="preserve"> the </w:t>
      </w:r>
      <w:r w:rsidR="002914E5">
        <w:rPr>
          <w:rFonts w:asciiTheme="majorBidi" w:hAnsiTheme="majorBidi" w:cstheme="majorBidi"/>
          <w:sz w:val="24"/>
          <w:szCs w:val="24"/>
        </w:rPr>
        <w:t xml:space="preserve">board </w:t>
      </w:r>
      <w:r w:rsidR="00CE4DAE" w:rsidRPr="00511F36">
        <w:rPr>
          <w:rFonts w:asciiTheme="majorBidi" w:hAnsiTheme="majorBidi" w:cstheme="majorBidi"/>
          <w:sz w:val="24"/>
          <w:szCs w:val="24"/>
        </w:rPr>
        <w:t xml:space="preserve">representation of </w:t>
      </w:r>
      <w:r w:rsidR="00CE4DAE" w:rsidRPr="00511F36">
        <w:rPr>
          <w:rFonts w:asciiTheme="majorBidi" w:hAnsiTheme="majorBidi" w:cstheme="majorBidi"/>
          <w:sz w:val="24"/>
          <w:szCs w:val="24"/>
        </w:rPr>
        <w:lastRenderedPageBreak/>
        <w:t>stakeholders</w:t>
      </w:r>
      <w:r w:rsidR="006D2FC7">
        <w:rPr>
          <w:rFonts w:asciiTheme="majorBidi" w:hAnsiTheme="majorBidi" w:cstheme="majorBidi"/>
          <w:sz w:val="24"/>
          <w:szCs w:val="24"/>
        </w:rPr>
        <w:t xml:space="preserve"> (</w:t>
      </w:r>
      <w:r w:rsidR="006D2FC7" w:rsidRPr="00511F36">
        <w:rPr>
          <w:rFonts w:asciiTheme="majorBidi" w:hAnsiTheme="majorBidi" w:cstheme="majorBidi"/>
          <w:sz w:val="24"/>
          <w:szCs w:val="24"/>
        </w:rPr>
        <w:t>Coy</w:t>
      </w:r>
      <w:r w:rsidR="006D2FC7">
        <w:rPr>
          <w:rFonts w:asciiTheme="majorBidi" w:hAnsiTheme="majorBidi" w:cstheme="majorBidi"/>
          <w:sz w:val="24"/>
          <w:szCs w:val="24"/>
        </w:rPr>
        <w:t xml:space="preserve"> et al., </w:t>
      </w:r>
      <w:r w:rsidR="00877732" w:rsidRPr="00511F36">
        <w:rPr>
          <w:rFonts w:asciiTheme="majorBidi" w:hAnsiTheme="majorBidi" w:cstheme="majorBidi"/>
          <w:sz w:val="24"/>
          <w:szCs w:val="24"/>
        </w:rPr>
        <w:t>20</w:t>
      </w:r>
      <w:r w:rsidR="00877732">
        <w:rPr>
          <w:rFonts w:asciiTheme="majorBidi" w:hAnsiTheme="majorBidi" w:cstheme="majorBidi"/>
          <w:sz w:val="24"/>
          <w:szCs w:val="24"/>
        </w:rPr>
        <w:t>0</w:t>
      </w:r>
      <w:r w:rsidR="00877732" w:rsidRPr="00511F36">
        <w:rPr>
          <w:rFonts w:asciiTheme="majorBidi" w:hAnsiTheme="majorBidi" w:cstheme="majorBidi"/>
          <w:sz w:val="24"/>
          <w:szCs w:val="24"/>
        </w:rPr>
        <w:t>1</w:t>
      </w:r>
      <w:r w:rsidR="006D2FC7" w:rsidRPr="00511F36">
        <w:rPr>
          <w:rFonts w:asciiTheme="majorBidi" w:hAnsiTheme="majorBidi" w:cstheme="majorBidi"/>
          <w:sz w:val="24"/>
          <w:szCs w:val="24"/>
        </w:rPr>
        <w:t xml:space="preserve">; </w:t>
      </w:r>
      <w:r w:rsidR="006D2FC7">
        <w:rPr>
          <w:rFonts w:asciiTheme="majorBidi" w:hAnsiTheme="majorBidi" w:cstheme="majorBidi"/>
          <w:sz w:val="24"/>
          <w:szCs w:val="24"/>
        </w:rPr>
        <w:t>Ntim et al., 2017)</w:t>
      </w:r>
      <w:r w:rsidR="00CE4DAE" w:rsidRPr="00511F36">
        <w:rPr>
          <w:rFonts w:asciiTheme="majorBidi" w:hAnsiTheme="majorBidi" w:cstheme="majorBidi"/>
          <w:sz w:val="24"/>
          <w:szCs w:val="24"/>
        </w:rPr>
        <w:t xml:space="preserve">. Similarly, our </w:t>
      </w:r>
      <w:r w:rsidR="00CE4DAE" w:rsidRPr="00511F36">
        <w:rPr>
          <w:rFonts w:asciiTheme="majorBidi" w:hAnsiTheme="majorBidi" w:cstheme="majorBidi"/>
          <w:i/>
          <w:iCs/>
          <w:sz w:val="24"/>
          <w:szCs w:val="24"/>
        </w:rPr>
        <w:t>G</w:t>
      </w:r>
      <w:r w:rsidR="00564C6A">
        <w:rPr>
          <w:rFonts w:asciiTheme="majorBidi" w:hAnsiTheme="majorBidi" w:cstheme="majorBidi"/>
          <w:i/>
          <w:iCs/>
          <w:sz w:val="24"/>
          <w:szCs w:val="24"/>
        </w:rPr>
        <w:t>B</w:t>
      </w:r>
      <w:r w:rsidR="00CE4DAE" w:rsidRPr="00511F36">
        <w:rPr>
          <w:rFonts w:asciiTheme="majorBidi" w:hAnsiTheme="majorBidi" w:cstheme="majorBidi"/>
          <w:i/>
          <w:iCs/>
          <w:sz w:val="24"/>
          <w:szCs w:val="24"/>
        </w:rPr>
        <w:t>M</w:t>
      </w:r>
      <w:r w:rsidR="00564C6A">
        <w:rPr>
          <w:rFonts w:asciiTheme="majorBidi" w:hAnsiTheme="majorBidi" w:cstheme="majorBidi"/>
          <w:i/>
          <w:iCs/>
          <w:sz w:val="24"/>
          <w:szCs w:val="24"/>
        </w:rPr>
        <w:t>T</w:t>
      </w:r>
      <w:r w:rsidR="00CE4DAE" w:rsidRPr="00511F36">
        <w:rPr>
          <w:rFonts w:asciiTheme="majorBidi" w:hAnsiTheme="majorBidi" w:cstheme="majorBidi"/>
          <w:i/>
          <w:iCs/>
          <w:sz w:val="24"/>
          <w:szCs w:val="24"/>
        </w:rPr>
        <w:t xml:space="preserve"> </w:t>
      </w:r>
      <w:r w:rsidR="00CE4DAE" w:rsidRPr="00511F36">
        <w:rPr>
          <w:rFonts w:asciiTheme="majorBidi" w:hAnsiTheme="majorBidi" w:cstheme="majorBidi"/>
          <w:sz w:val="24"/>
          <w:szCs w:val="24"/>
        </w:rPr>
        <w:t xml:space="preserve">findings </w:t>
      </w:r>
      <w:r w:rsidR="00747F71">
        <w:rPr>
          <w:rFonts w:asciiTheme="majorBidi" w:hAnsiTheme="majorBidi" w:cstheme="majorBidi"/>
          <w:sz w:val="24"/>
          <w:szCs w:val="24"/>
        </w:rPr>
        <w:t>lend</w:t>
      </w:r>
      <w:r w:rsidR="00747F71" w:rsidRPr="00511F36">
        <w:rPr>
          <w:rFonts w:asciiTheme="majorBidi" w:hAnsiTheme="majorBidi" w:cstheme="majorBidi"/>
          <w:sz w:val="24"/>
          <w:szCs w:val="24"/>
        </w:rPr>
        <w:t xml:space="preserve"> </w:t>
      </w:r>
      <w:r w:rsidR="00CE4DAE" w:rsidRPr="00511F36">
        <w:rPr>
          <w:rFonts w:asciiTheme="majorBidi" w:hAnsiTheme="majorBidi" w:cstheme="majorBidi"/>
          <w:sz w:val="24"/>
          <w:szCs w:val="24"/>
        </w:rPr>
        <w:t xml:space="preserve">support </w:t>
      </w:r>
      <w:r w:rsidR="002914E5">
        <w:rPr>
          <w:rFonts w:asciiTheme="majorBidi" w:hAnsiTheme="majorBidi" w:cstheme="majorBidi"/>
          <w:sz w:val="24"/>
          <w:szCs w:val="24"/>
        </w:rPr>
        <w:t>f</w:t>
      </w:r>
      <w:r w:rsidR="00CE4DAE" w:rsidRPr="00511F36">
        <w:rPr>
          <w:rFonts w:asciiTheme="majorBidi" w:hAnsiTheme="majorBidi" w:cstheme="majorBidi"/>
          <w:sz w:val="24"/>
          <w:szCs w:val="24"/>
        </w:rPr>
        <w:t>o</w:t>
      </w:r>
      <w:r w:rsidR="002914E5">
        <w:rPr>
          <w:rFonts w:asciiTheme="majorBidi" w:hAnsiTheme="majorBidi" w:cstheme="majorBidi"/>
          <w:sz w:val="24"/>
          <w:szCs w:val="24"/>
        </w:rPr>
        <w:t>r</w:t>
      </w:r>
      <w:r w:rsidR="00CE4DAE" w:rsidRPr="00511F36">
        <w:rPr>
          <w:rFonts w:asciiTheme="majorBidi" w:hAnsiTheme="majorBidi" w:cstheme="majorBidi"/>
          <w:sz w:val="24"/>
          <w:szCs w:val="24"/>
        </w:rPr>
        <w:t xml:space="preserve"> </w:t>
      </w:r>
      <w:r w:rsidR="00747F71">
        <w:rPr>
          <w:rFonts w:asciiTheme="majorBidi" w:hAnsiTheme="majorBidi" w:cstheme="majorBidi"/>
          <w:sz w:val="24"/>
          <w:szCs w:val="24"/>
        </w:rPr>
        <w:t>the findings of</w:t>
      </w:r>
      <w:r w:rsidR="006D2FC7">
        <w:rPr>
          <w:rFonts w:asciiTheme="majorBidi" w:hAnsiTheme="majorBidi" w:cstheme="majorBidi"/>
          <w:sz w:val="24"/>
          <w:szCs w:val="24"/>
        </w:rPr>
        <w:t xml:space="preserve"> </w:t>
      </w:r>
      <w:r w:rsidR="00D30237">
        <w:rPr>
          <w:rFonts w:asciiTheme="majorBidi" w:eastAsia="Times New Roman" w:hAnsiTheme="majorBidi" w:cstheme="majorBidi"/>
          <w:sz w:val="24"/>
          <w:szCs w:val="24"/>
          <w:lang w:eastAsia="en-GB"/>
        </w:rPr>
        <w:t xml:space="preserve">Van </w:t>
      </w:r>
      <w:r w:rsidR="006D2FC7" w:rsidRPr="007237BC">
        <w:rPr>
          <w:rFonts w:asciiTheme="majorBidi" w:eastAsia="Times New Roman" w:hAnsiTheme="majorBidi" w:cstheme="majorBidi"/>
          <w:sz w:val="24"/>
          <w:szCs w:val="24"/>
          <w:lang w:eastAsia="en-GB"/>
        </w:rPr>
        <w:t xml:space="preserve">Puyvelde et </w:t>
      </w:r>
      <w:r w:rsidR="006D2FC7">
        <w:rPr>
          <w:rFonts w:asciiTheme="majorBidi" w:eastAsia="Times New Roman" w:hAnsiTheme="majorBidi" w:cstheme="majorBidi"/>
          <w:sz w:val="24"/>
          <w:szCs w:val="24"/>
          <w:lang w:eastAsia="en-GB"/>
        </w:rPr>
        <w:t xml:space="preserve">al. (2018), who report that </w:t>
      </w:r>
      <w:r w:rsidR="00081690">
        <w:rPr>
          <w:rFonts w:asciiTheme="majorBidi" w:hAnsiTheme="majorBidi" w:cstheme="majorBidi"/>
          <w:sz w:val="24"/>
          <w:szCs w:val="24"/>
        </w:rPr>
        <w:t>regular meetings of the board can</w:t>
      </w:r>
      <w:r w:rsidR="00081690" w:rsidRPr="00511F36">
        <w:rPr>
          <w:rFonts w:asciiTheme="majorBidi" w:hAnsiTheme="majorBidi" w:cstheme="majorBidi"/>
          <w:sz w:val="24"/>
          <w:szCs w:val="24"/>
        </w:rPr>
        <w:t xml:space="preserve"> enhance board </w:t>
      </w:r>
      <w:r w:rsidR="00081690">
        <w:rPr>
          <w:rFonts w:asciiTheme="majorBidi" w:hAnsiTheme="majorBidi" w:cstheme="majorBidi"/>
          <w:sz w:val="24"/>
          <w:szCs w:val="24"/>
        </w:rPr>
        <w:t>efficiency and effectiveness by</w:t>
      </w:r>
      <w:r w:rsidR="00081690" w:rsidRPr="00511F36">
        <w:rPr>
          <w:rFonts w:asciiTheme="majorBidi" w:hAnsiTheme="majorBidi" w:cstheme="majorBidi"/>
          <w:sz w:val="24"/>
          <w:szCs w:val="24"/>
        </w:rPr>
        <w:t xml:space="preserve"> </w:t>
      </w:r>
      <w:r w:rsidR="00081690">
        <w:rPr>
          <w:rFonts w:asciiTheme="majorBidi" w:hAnsiTheme="majorBidi" w:cstheme="majorBidi"/>
          <w:sz w:val="24"/>
          <w:szCs w:val="24"/>
        </w:rPr>
        <w:t xml:space="preserve">granting </w:t>
      </w:r>
      <w:r w:rsidR="00081690" w:rsidRPr="00511F36">
        <w:rPr>
          <w:rFonts w:asciiTheme="majorBidi" w:hAnsiTheme="majorBidi" w:cstheme="majorBidi"/>
          <w:sz w:val="24"/>
          <w:szCs w:val="24"/>
        </w:rPr>
        <w:t>governors more time to plan, discuss and assess the performance of executives</w:t>
      </w:r>
      <w:r w:rsidR="00081690">
        <w:rPr>
          <w:rFonts w:asciiTheme="majorBidi" w:hAnsiTheme="majorBidi" w:cstheme="majorBidi"/>
          <w:sz w:val="24"/>
          <w:szCs w:val="24"/>
        </w:rPr>
        <w:t>, and this can impact positively on governance disclosure practices.</w:t>
      </w:r>
    </w:p>
    <w:p w14:paraId="35E35E9B" w14:textId="2F421B0F" w:rsidR="006A25BF" w:rsidRDefault="00F36781" w:rsidP="00087F2C">
      <w:pPr>
        <w:spacing w:line="480" w:lineRule="auto"/>
        <w:ind w:firstLine="426"/>
        <w:jc w:val="both"/>
        <w:rPr>
          <w:rFonts w:asciiTheme="majorBidi" w:hAnsiTheme="majorBidi" w:cstheme="majorBidi"/>
          <w:sz w:val="24"/>
          <w:szCs w:val="24"/>
        </w:rPr>
      </w:pPr>
      <w:r>
        <w:rPr>
          <w:rFonts w:asciiTheme="majorBidi" w:hAnsiTheme="majorBidi" w:cstheme="majorBidi"/>
          <w:sz w:val="24"/>
          <w:szCs w:val="24"/>
        </w:rPr>
        <w:t>R</w:t>
      </w:r>
      <w:r w:rsidR="001D09C8">
        <w:rPr>
          <w:rFonts w:asciiTheme="majorBidi" w:hAnsiTheme="majorBidi" w:cstheme="majorBidi"/>
          <w:sz w:val="24"/>
          <w:szCs w:val="24"/>
        </w:rPr>
        <w:t xml:space="preserve">egarding </w:t>
      </w:r>
      <w:r w:rsidR="00805588" w:rsidRPr="00511F36">
        <w:rPr>
          <w:rFonts w:asciiTheme="majorBidi" w:hAnsiTheme="majorBidi" w:cstheme="majorBidi"/>
          <w:sz w:val="24"/>
          <w:szCs w:val="24"/>
        </w:rPr>
        <w:t>the control variables, the coefficients on</w:t>
      </w:r>
      <w:r w:rsidR="00A60440">
        <w:rPr>
          <w:rFonts w:asciiTheme="majorBidi" w:hAnsiTheme="majorBidi" w:cstheme="majorBidi"/>
          <w:sz w:val="24"/>
          <w:szCs w:val="24"/>
        </w:rPr>
        <w:t xml:space="preserve"> the</w:t>
      </w:r>
      <w:r w:rsidR="00805588" w:rsidRPr="00511F36">
        <w:rPr>
          <w:rFonts w:asciiTheme="majorBidi" w:hAnsiTheme="majorBidi" w:cstheme="majorBidi"/>
          <w:sz w:val="24"/>
          <w:szCs w:val="24"/>
        </w:rPr>
        <w:t xml:space="preserve"> </w:t>
      </w:r>
      <w:r w:rsidR="00087F2C">
        <w:rPr>
          <w:rFonts w:asciiTheme="majorBidi" w:hAnsiTheme="majorBidi" w:cstheme="majorBidi"/>
          <w:sz w:val="24"/>
          <w:szCs w:val="24"/>
        </w:rPr>
        <w:t>HEI</w:t>
      </w:r>
      <w:r w:rsidR="00087F2C" w:rsidRPr="00511F36">
        <w:rPr>
          <w:rFonts w:asciiTheme="majorBidi" w:hAnsiTheme="majorBidi" w:cstheme="majorBidi"/>
          <w:sz w:val="24"/>
          <w:szCs w:val="24"/>
        </w:rPr>
        <w:t xml:space="preserve"> </w:t>
      </w:r>
      <w:r w:rsidR="00805588" w:rsidRPr="00511F36">
        <w:rPr>
          <w:rFonts w:asciiTheme="majorBidi" w:hAnsiTheme="majorBidi" w:cstheme="majorBidi"/>
          <w:sz w:val="24"/>
          <w:szCs w:val="24"/>
        </w:rPr>
        <w:t>size (</w:t>
      </w:r>
      <w:r w:rsidR="00087F2C" w:rsidRPr="00321B4A">
        <w:rPr>
          <w:rFonts w:asciiTheme="majorBidi" w:hAnsiTheme="majorBidi" w:cstheme="majorBidi"/>
          <w:i/>
          <w:iCs/>
          <w:sz w:val="24"/>
          <w:szCs w:val="24"/>
        </w:rPr>
        <w:t>HEIZE</w:t>
      </w:r>
      <w:r w:rsidR="00805588" w:rsidRPr="00511F36">
        <w:rPr>
          <w:rFonts w:asciiTheme="majorBidi" w:hAnsiTheme="majorBidi" w:cstheme="majorBidi"/>
          <w:sz w:val="24"/>
          <w:szCs w:val="24"/>
        </w:rPr>
        <w:t>), age (</w:t>
      </w:r>
      <w:r w:rsidR="00087F2C" w:rsidRPr="000711DA">
        <w:rPr>
          <w:rFonts w:asciiTheme="majorBidi" w:hAnsiTheme="majorBidi" w:cstheme="majorBidi"/>
          <w:i/>
          <w:iCs/>
          <w:sz w:val="24"/>
          <w:szCs w:val="24"/>
        </w:rPr>
        <w:t>HEIAGE</w:t>
      </w:r>
      <w:r w:rsidR="00805588" w:rsidRPr="00511F36">
        <w:rPr>
          <w:rFonts w:asciiTheme="majorBidi" w:hAnsiTheme="majorBidi" w:cstheme="majorBidi"/>
          <w:sz w:val="24"/>
          <w:szCs w:val="24"/>
        </w:rPr>
        <w:t>) and</w:t>
      </w:r>
      <w:r w:rsidR="0069202B" w:rsidRPr="00511F36">
        <w:rPr>
          <w:rFonts w:asciiTheme="majorBidi" w:hAnsiTheme="majorBidi" w:cstheme="majorBidi"/>
          <w:sz w:val="24"/>
          <w:szCs w:val="24"/>
        </w:rPr>
        <w:t xml:space="preserve"> revenues from funding councils (</w:t>
      </w:r>
      <w:r w:rsidR="00087F2C">
        <w:rPr>
          <w:rFonts w:asciiTheme="majorBidi" w:hAnsiTheme="majorBidi" w:cstheme="majorBidi"/>
          <w:i/>
          <w:iCs/>
          <w:sz w:val="24"/>
          <w:szCs w:val="24"/>
        </w:rPr>
        <w:t>CFUND</w:t>
      </w:r>
      <w:r w:rsidR="0069202B" w:rsidRPr="00511F36">
        <w:rPr>
          <w:rFonts w:asciiTheme="majorBidi" w:hAnsiTheme="majorBidi" w:cstheme="majorBidi"/>
          <w:sz w:val="24"/>
          <w:szCs w:val="24"/>
        </w:rPr>
        <w:t>) are consistent with our predictions. In contrary, the negative effect of Russell group (</w:t>
      </w:r>
      <w:r w:rsidR="0069202B" w:rsidRPr="00511F36">
        <w:rPr>
          <w:rFonts w:asciiTheme="majorBidi" w:hAnsiTheme="majorBidi" w:cstheme="majorBidi"/>
          <w:i/>
          <w:iCs/>
          <w:sz w:val="24"/>
          <w:szCs w:val="24"/>
        </w:rPr>
        <w:t>R</w:t>
      </w:r>
      <w:r w:rsidR="00087F2C">
        <w:rPr>
          <w:rFonts w:asciiTheme="majorBidi" w:hAnsiTheme="majorBidi" w:cstheme="majorBidi"/>
          <w:i/>
          <w:iCs/>
          <w:sz w:val="24"/>
          <w:szCs w:val="24"/>
        </w:rPr>
        <w:t>US</w:t>
      </w:r>
      <w:r w:rsidR="0069202B" w:rsidRPr="00511F36">
        <w:rPr>
          <w:rFonts w:asciiTheme="majorBidi" w:hAnsiTheme="majorBidi" w:cstheme="majorBidi"/>
          <w:i/>
          <w:iCs/>
          <w:sz w:val="24"/>
          <w:szCs w:val="24"/>
        </w:rPr>
        <w:t>G</w:t>
      </w:r>
      <w:r w:rsidR="0069202B" w:rsidRPr="00511F36">
        <w:rPr>
          <w:rFonts w:asciiTheme="majorBidi" w:hAnsiTheme="majorBidi" w:cstheme="majorBidi"/>
          <w:sz w:val="24"/>
          <w:szCs w:val="24"/>
        </w:rPr>
        <w:t>), and insignificant effect of post-1992 (</w:t>
      </w:r>
      <w:r w:rsidR="0069202B" w:rsidRPr="00511F36">
        <w:rPr>
          <w:rFonts w:asciiTheme="majorBidi" w:hAnsiTheme="majorBidi" w:cstheme="majorBidi"/>
          <w:i/>
          <w:iCs/>
          <w:sz w:val="24"/>
          <w:szCs w:val="24"/>
        </w:rPr>
        <w:t>P</w:t>
      </w:r>
      <w:r w:rsidR="00087F2C">
        <w:rPr>
          <w:rFonts w:asciiTheme="majorBidi" w:hAnsiTheme="majorBidi" w:cstheme="majorBidi"/>
          <w:i/>
          <w:iCs/>
          <w:sz w:val="24"/>
          <w:szCs w:val="24"/>
        </w:rPr>
        <w:t>ST</w:t>
      </w:r>
      <w:r w:rsidR="0069202B" w:rsidRPr="00511F36">
        <w:rPr>
          <w:rFonts w:asciiTheme="majorBidi" w:hAnsiTheme="majorBidi" w:cstheme="majorBidi"/>
          <w:i/>
          <w:iCs/>
          <w:sz w:val="24"/>
          <w:szCs w:val="24"/>
        </w:rPr>
        <w:t>92</w:t>
      </w:r>
      <w:r w:rsidR="0069202B" w:rsidRPr="00511F36">
        <w:rPr>
          <w:rFonts w:asciiTheme="majorBidi" w:hAnsiTheme="majorBidi" w:cstheme="majorBidi"/>
          <w:sz w:val="24"/>
          <w:szCs w:val="24"/>
        </w:rPr>
        <w:t>), liquidity (</w:t>
      </w:r>
      <w:r w:rsidR="0069202B" w:rsidRPr="00511F36">
        <w:rPr>
          <w:rFonts w:asciiTheme="majorBidi" w:hAnsiTheme="majorBidi" w:cstheme="majorBidi"/>
          <w:i/>
          <w:iCs/>
          <w:sz w:val="24"/>
          <w:szCs w:val="24"/>
        </w:rPr>
        <w:t>LQ</w:t>
      </w:r>
      <w:r w:rsidR="00087F2C">
        <w:rPr>
          <w:rFonts w:asciiTheme="majorBidi" w:hAnsiTheme="majorBidi" w:cstheme="majorBidi"/>
          <w:i/>
          <w:iCs/>
          <w:sz w:val="24"/>
          <w:szCs w:val="24"/>
        </w:rPr>
        <w:t>UD</w:t>
      </w:r>
      <w:r w:rsidR="0069202B" w:rsidRPr="00511F36">
        <w:rPr>
          <w:rFonts w:asciiTheme="majorBidi" w:hAnsiTheme="majorBidi" w:cstheme="majorBidi"/>
          <w:sz w:val="24"/>
          <w:szCs w:val="24"/>
        </w:rPr>
        <w:t>), capital expenditure (</w:t>
      </w:r>
      <w:r w:rsidR="0069202B" w:rsidRPr="00511F36">
        <w:rPr>
          <w:rFonts w:asciiTheme="majorBidi" w:hAnsiTheme="majorBidi" w:cstheme="majorBidi"/>
          <w:i/>
          <w:iCs/>
          <w:sz w:val="24"/>
          <w:szCs w:val="24"/>
        </w:rPr>
        <w:t>C</w:t>
      </w:r>
      <w:r w:rsidR="00087F2C">
        <w:rPr>
          <w:rFonts w:asciiTheme="majorBidi" w:hAnsiTheme="majorBidi" w:cstheme="majorBidi"/>
          <w:i/>
          <w:iCs/>
          <w:sz w:val="24"/>
          <w:szCs w:val="24"/>
        </w:rPr>
        <w:t>PE</w:t>
      </w:r>
      <w:r w:rsidR="0069202B" w:rsidRPr="00511F36">
        <w:rPr>
          <w:rFonts w:asciiTheme="majorBidi" w:hAnsiTheme="majorBidi" w:cstheme="majorBidi"/>
          <w:i/>
          <w:iCs/>
          <w:sz w:val="24"/>
          <w:szCs w:val="24"/>
        </w:rPr>
        <w:t>X</w:t>
      </w:r>
      <w:r w:rsidR="0069202B" w:rsidRPr="00511F36">
        <w:rPr>
          <w:rFonts w:asciiTheme="majorBidi" w:hAnsiTheme="majorBidi" w:cstheme="majorBidi"/>
          <w:sz w:val="24"/>
          <w:szCs w:val="24"/>
        </w:rPr>
        <w:t>), leverage (</w:t>
      </w:r>
      <w:r w:rsidR="0069202B" w:rsidRPr="00511F36">
        <w:rPr>
          <w:rFonts w:asciiTheme="majorBidi" w:hAnsiTheme="majorBidi" w:cstheme="majorBidi"/>
          <w:i/>
          <w:iCs/>
          <w:sz w:val="24"/>
          <w:szCs w:val="24"/>
        </w:rPr>
        <w:t>L</w:t>
      </w:r>
      <w:r w:rsidR="00087F2C">
        <w:rPr>
          <w:rFonts w:asciiTheme="majorBidi" w:hAnsiTheme="majorBidi" w:cstheme="majorBidi"/>
          <w:i/>
          <w:iCs/>
          <w:sz w:val="24"/>
          <w:szCs w:val="24"/>
        </w:rPr>
        <w:t>E</w:t>
      </w:r>
      <w:r w:rsidR="0069202B" w:rsidRPr="00511F36">
        <w:rPr>
          <w:rFonts w:asciiTheme="majorBidi" w:hAnsiTheme="majorBidi" w:cstheme="majorBidi"/>
          <w:i/>
          <w:iCs/>
          <w:sz w:val="24"/>
          <w:szCs w:val="24"/>
        </w:rPr>
        <w:t>V</w:t>
      </w:r>
      <w:r w:rsidR="00087F2C">
        <w:rPr>
          <w:rFonts w:asciiTheme="majorBidi" w:hAnsiTheme="majorBidi" w:cstheme="majorBidi"/>
          <w:i/>
          <w:iCs/>
          <w:sz w:val="24"/>
          <w:szCs w:val="24"/>
        </w:rPr>
        <w:t>R</w:t>
      </w:r>
      <w:r w:rsidR="0069202B" w:rsidRPr="00511F36">
        <w:rPr>
          <w:rFonts w:asciiTheme="majorBidi" w:hAnsiTheme="majorBidi" w:cstheme="majorBidi"/>
          <w:sz w:val="24"/>
          <w:szCs w:val="24"/>
        </w:rPr>
        <w:t>), growth (</w:t>
      </w:r>
      <w:r w:rsidR="0069202B" w:rsidRPr="00511F36">
        <w:rPr>
          <w:rFonts w:asciiTheme="majorBidi" w:hAnsiTheme="majorBidi" w:cstheme="majorBidi"/>
          <w:i/>
          <w:iCs/>
          <w:sz w:val="24"/>
          <w:szCs w:val="24"/>
        </w:rPr>
        <w:t>GR</w:t>
      </w:r>
      <w:r w:rsidR="00087F2C">
        <w:rPr>
          <w:rFonts w:asciiTheme="majorBidi" w:hAnsiTheme="majorBidi" w:cstheme="majorBidi"/>
          <w:i/>
          <w:iCs/>
          <w:sz w:val="24"/>
          <w:szCs w:val="24"/>
        </w:rPr>
        <w:t>TH</w:t>
      </w:r>
      <w:r w:rsidR="0069202B" w:rsidRPr="00511F36">
        <w:rPr>
          <w:rFonts w:asciiTheme="majorBidi" w:hAnsiTheme="majorBidi" w:cstheme="majorBidi"/>
          <w:sz w:val="24"/>
          <w:szCs w:val="24"/>
        </w:rPr>
        <w:t>) and financial risk (</w:t>
      </w:r>
      <w:r w:rsidR="0069202B" w:rsidRPr="00511F36">
        <w:rPr>
          <w:rFonts w:asciiTheme="majorBidi" w:hAnsiTheme="majorBidi" w:cstheme="majorBidi"/>
          <w:i/>
          <w:iCs/>
          <w:sz w:val="24"/>
          <w:szCs w:val="24"/>
        </w:rPr>
        <w:t>R</w:t>
      </w:r>
      <w:r w:rsidR="00087F2C">
        <w:rPr>
          <w:rFonts w:asciiTheme="majorBidi" w:hAnsiTheme="majorBidi" w:cstheme="majorBidi"/>
          <w:i/>
          <w:iCs/>
          <w:sz w:val="24"/>
          <w:szCs w:val="24"/>
        </w:rPr>
        <w:t>IS</w:t>
      </w:r>
      <w:r w:rsidR="0069202B" w:rsidRPr="00511F36">
        <w:rPr>
          <w:rFonts w:asciiTheme="majorBidi" w:hAnsiTheme="majorBidi" w:cstheme="majorBidi"/>
          <w:i/>
          <w:iCs/>
          <w:sz w:val="24"/>
          <w:szCs w:val="24"/>
        </w:rPr>
        <w:t>K</w:t>
      </w:r>
      <w:r w:rsidR="0069202B" w:rsidRPr="00511F36">
        <w:rPr>
          <w:rFonts w:asciiTheme="majorBidi" w:hAnsiTheme="majorBidi" w:cstheme="majorBidi"/>
          <w:sz w:val="24"/>
          <w:szCs w:val="24"/>
        </w:rPr>
        <w:t>) are not expected.</w:t>
      </w:r>
      <w:r w:rsidR="00ED77DF" w:rsidRPr="00511F36">
        <w:rPr>
          <w:rFonts w:asciiTheme="majorBidi" w:hAnsiTheme="majorBidi" w:cstheme="majorBidi"/>
          <w:sz w:val="24"/>
          <w:szCs w:val="24"/>
        </w:rPr>
        <w:t xml:space="preserve"> </w:t>
      </w:r>
    </w:p>
    <w:p w14:paraId="4D22EAC6" w14:textId="77777777" w:rsidR="00C63EF2" w:rsidRDefault="002A74B0" w:rsidP="00C63EF2">
      <w:pPr>
        <w:spacing w:after="0" w:line="480" w:lineRule="auto"/>
        <w:jc w:val="both"/>
        <w:rPr>
          <w:rFonts w:asciiTheme="majorBidi" w:hAnsiTheme="majorBidi" w:cstheme="majorBidi"/>
          <w:b/>
          <w:i/>
          <w:iCs/>
          <w:sz w:val="24"/>
          <w:szCs w:val="24"/>
        </w:rPr>
      </w:pPr>
      <w:r w:rsidRPr="002A74B0">
        <w:rPr>
          <w:rFonts w:asciiTheme="majorBidi" w:hAnsiTheme="majorBidi" w:cstheme="majorBidi"/>
          <w:b/>
          <w:i/>
          <w:iCs/>
          <w:sz w:val="24"/>
          <w:szCs w:val="24"/>
        </w:rPr>
        <w:t xml:space="preserve">4.3 </w:t>
      </w:r>
      <w:r w:rsidR="0058646B" w:rsidRPr="002A74B0">
        <w:rPr>
          <w:rFonts w:asciiTheme="majorBidi" w:hAnsiTheme="majorBidi" w:cstheme="majorBidi"/>
          <w:b/>
          <w:i/>
          <w:iCs/>
          <w:sz w:val="24"/>
          <w:szCs w:val="24"/>
        </w:rPr>
        <w:t xml:space="preserve">Robustness tests </w:t>
      </w:r>
    </w:p>
    <w:p w14:paraId="3DED2DB8" w14:textId="77777777" w:rsidR="0039130A" w:rsidRDefault="00B3318F" w:rsidP="0039130A">
      <w:pPr>
        <w:spacing w:after="0" w:line="480" w:lineRule="auto"/>
        <w:ind w:firstLine="426"/>
        <w:jc w:val="both"/>
        <w:rPr>
          <w:rFonts w:asciiTheme="majorBidi" w:hAnsiTheme="majorBidi" w:cstheme="majorBidi"/>
          <w:b/>
          <w:i/>
          <w:iCs/>
          <w:sz w:val="24"/>
          <w:szCs w:val="24"/>
        </w:rPr>
      </w:pPr>
      <w:r w:rsidRPr="00511F36">
        <w:rPr>
          <w:rFonts w:asciiTheme="majorBidi" w:hAnsiTheme="majorBidi" w:cstheme="majorBidi"/>
          <w:sz w:val="24"/>
          <w:szCs w:val="24"/>
        </w:rPr>
        <w:t xml:space="preserve">We </w:t>
      </w:r>
      <w:r w:rsidR="0058646B">
        <w:rPr>
          <w:rFonts w:asciiTheme="majorBidi" w:hAnsiTheme="majorBidi" w:cstheme="majorBidi"/>
          <w:sz w:val="24"/>
          <w:szCs w:val="24"/>
        </w:rPr>
        <w:t xml:space="preserve">perform </w:t>
      </w:r>
      <w:r w:rsidR="00A20225">
        <w:rPr>
          <w:rFonts w:asciiTheme="majorBidi" w:hAnsiTheme="majorBidi" w:cstheme="majorBidi"/>
          <w:sz w:val="24"/>
          <w:szCs w:val="24"/>
        </w:rPr>
        <w:t>different</w:t>
      </w:r>
      <w:r w:rsidR="006C51C6">
        <w:rPr>
          <w:rFonts w:asciiTheme="majorBidi" w:hAnsiTheme="majorBidi" w:cstheme="majorBidi"/>
          <w:sz w:val="24"/>
          <w:szCs w:val="24"/>
        </w:rPr>
        <w:t xml:space="preserve"> additional</w:t>
      </w:r>
      <w:r w:rsidR="0058646B">
        <w:rPr>
          <w:rFonts w:asciiTheme="majorBidi" w:hAnsiTheme="majorBidi" w:cstheme="majorBidi"/>
          <w:sz w:val="24"/>
          <w:szCs w:val="24"/>
        </w:rPr>
        <w:t xml:space="preserve"> tests </w:t>
      </w:r>
      <w:r w:rsidR="006C51C6">
        <w:rPr>
          <w:rFonts w:asciiTheme="majorBidi" w:hAnsiTheme="majorBidi" w:cstheme="majorBidi"/>
          <w:sz w:val="24"/>
          <w:szCs w:val="24"/>
        </w:rPr>
        <w:t xml:space="preserve">to deal with </w:t>
      </w:r>
      <w:r w:rsidR="004E3F3E">
        <w:rPr>
          <w:rFonts w:asciiTheme="majorBidi" w:hAnsiTheme="majorBidi" w:cstheme="majorBidi"/>
          <w:sz w:val="24"/>
          <w:szCs w:val="24"/>
        </w:rPr>
        <w:t>the usage of different proxies of</w:t>
      </w:r>
      <w:r w:rsidR="00DE365F">
        <w:rPr>
          <w:rFonts w:asciiTheme="majorBidi" w:hAnsiTheme="majorBidi" w:cstheme="majorBidi"/>
          <w:sz w:val="24"/>
          <w:szCs w:val="24"/>
        </w:rPr>
        <w:t xml:space="preserve"> </w:t>
      </w:r>
      <w:r w:rsidR="004E3F3E">
        <w:rPr>
          <w:rFonts w:asciiTheme="majorBidi" w:hAnsiTheme="majorBidi" w:cstheme="majorBidi"/>
          <w:sz w:val="24"/>
          <w:szCs w:val="24"/>
        </w:rPr>
        <w:t>governance</w:t>
      </w:r>
      <w:r w:rsidR="008B1AFD">
        <w:rPr>
          <w:rFonts w:asciiTheme="majorBidi" w:hAnsiTheme="majorBidi" w:cstheme="majorBidi"/>
          <w:sz w:val="24"/>
          <w:szCs w:val="24"/>
        </w:rPr>
        <w:t xml:space="preserve"> index</w:t>
      </w:r>
      <w:r w:rsidR="00DE365F">
        <w:rPr>
          <w:rFonts w:asciiTheme="majorBidi" w:hAnsiTheme="majorBidi" w:cstheme="majorBidi"/>
          <w:sz w:val="24"/>
          <w:szCs w:val="24"/>
        </w:rPr>
        <w:t>,</w:t>
      </w:r>
      <w:r w:rsidR="00FE7133">
        <w:rPr>
          <w:rFonts w:asciiTheme="majorBidi" w:hAnsiTheme="majorBidi" w:cstheme="majorBidi"/>
          <w:sz w:val="24"/>
          <w:szCs w:val="24"/>
        </w:rPr>
        <w:t xml:space="preserve"> </w:t>
      </w:r>
      <w:r w:rsidR="00DE365F">
        <w:rPr>
          <w:rFonts w:asciiTheme="majorBidi" w:hAnsiTheme="majorBidi" w:cstheme="majorBidi"/>
          <w:sz w:val="24"/>
          <w:szCs w:val="24"/>
        </w:rPr>
        <w:t>HEIs’ size, status (</w:t>
      </w:r>
      <w:r w:rsidR="00EE030C">
        <w:rPr>
          <w:rFonts w:asciiTheme="majorBidi" w:hAnsiTheme="majorBidi" w:cstheme="majorBidi"/>
          <w:sz w:val="24"/>
          <w:szCs w:val="24"/>
        </w:rPr>
        <w:t xml:space="preserve">i.e., </w:t>
      </w:r>
      <w:r w:rsidR="00DE365F">
        <w:rPr>
          <w:rFonts w:asciiTheme="majorBidi" w:hAnsiTheme="majorBidi" w:cstheme="majorBidi"/>
          <w:sz w:val="24"/>
          <w:szCs w:val="24"/>
        </w:rPr>
        <w:t xml:space="preserve">university vs. non-university), </w:t>
      </w:r>
      <w:r w:rsidR="00EE030C">
        <w:rPr>
          <w:rFonts w:asciiTheme="majorBidi" w:hAnsiTheme="majorBidi" w:cstheme="majorBidi"/>
          <w:sz w:val="24"/>
          <w:szCs w:val="24"/>
        </w:rPr>
        <w:t>geographical distribution</w:t>
      </w:r>
      <w:r w:rsidR="00DE365F">
        <w:rPr>
          <w:rFonts w:asciiTheme="majorBidi" w:hAnsiTheme="majorBidi" w:cstheme="majorBidi"/>
          <w:sz w:val="24"/>
          <w:szCs w:val="24"/>
        </w:rPr>
        <w:t xml:space="preserve"> (</w:t>
      </w:r>
      <w:r w:rsidR="00EE030C">
        <w:rPr>
          <w:rFonts w:asciiTheme="majorBidi" w:hAnsiTheme="majorBidi" w:cstheme="majorBidi"/>
          <w:sz w:val="24"/>
          <w:szCs w:val="24"/>
        </w:rPr>
        <w:t xml:space="preserve">i.e., </w:t>
      </w:r>
      <w:r w:rsidR="00DE365F">
        <w:rPr>
          <w:rFonts w:asciiTheme="majorBidi" w:hAnsiTheme="majorBidi" w:cstheme="majorBidi"/>
          <w:sz w:val="24"/>
          <w:szCs w:val="24"/>
        </w:rPr>
        <w:t>Scotland, Wales, Northern Ireland and England), and</w:t>
      </w:r>
      <w:r w:rsidR="004E3F3E">
        <w:rPr>
          <w:rFonts w:asciiTheme="majorBidi" w:hAnsiTheme="majorBidi" w:cstheme="majorBidi"/>
          <w:sz w:val="24"/>
          <w:szCs w:val="24"/>
        </w:rPr>
        <w:t xml:space="preserve"> </w:t>
      </w:r>
      <w:r w:rsidR="006C51C6">
        <w:rPr>
          <w:rFonts w:asciiTheme="majorBidi" w:hAnsiTheme="majorBidi" w:cstheme="majorBidi"/>
          <w:sz w:val="24"/>
          <w:szCs w:val="24"/>
        </w:rPr>
        <w:t xml:space="preserve">various types of </w:t>
      </w:r>
      <w:r w:rsidR="004556E1">
        <w:rPr>
          <w:rFonts w:asciiTheme="majorBidi" w:hAnsiTheme="majorBidi" w:cstheme="majorBidi"/>
          <w:sz w:val="24"/>
          <w:szCs w:val="24"/>
        </w:rPr>
        <w:t>endogeneity issues</w:t>
      </w:r>
      <w:r w:rsidR="006C51C6">
        <w:rPr>
          <w:rFonts w:asciiTheme="majorBidi" w:hAnsiTheme="majorBidi" w:cstheme="majorBidi"/>
          <w:sz w:val="24"/>
          <w:szCs w:val="24"/>
        </w:rPr>
        <w:t xml:space="preserve">. </w:t>
      </w:r>
      <w:r w:rsidR="005C60A7">
        <w:rPr>
          <w:rFonts w:asciiTheme="majorBidi" w:hAnsiTheme="majorBidi" w:cstheme="majorBidi"/>
          <w:sz w:val="24"/>
          <w:szCs w:val="24"/>
        </w:rPr>
        <w:t>First</w:t>
      </w:r>
      <w:r w:rsidR="005C60A7" w:rsidRPr="005C60A7">
        <w:rPr>
          <w:rFonts w:asciiTheme="majorBidi" w:hAnsiTheme="majorBidi" w:cstheme="majorBidi"/>
          <w:sz w:val="24"/>
          <w:szCs w:val="24"/>
        </w:rPr>
        <w:t xml:space="preserve">, our </w:t>
      </w:r>
      <w:r w:rsidR="005C60A7">
        <w:rPr>
          <w:rFonts w:asciiTheme="majorBidi" w:hAnsiTheme="majorBidi" w:cstheme="majorBidi"/>
          <w:sz w:val="24"/>
          <w:szCs w:val="24"/>
        </w:rPr>
        <w:t>results</w:t>
      </w:r>
      <w:r w:rsidR="005C60A7" w:rsidRPr="005C60A7">
        <w:rPr>
          <w:rFonts w:asciiTheme="majorBidi" w:hAnsiTheme="majorBidi" w:cstheme="majorBidi"/>
          <w:sz w:val="24"/>
          <w:szCs w:val="24"/>
        </w:rPr>
        <w:t xml:space="preserve"> </w:t>
      </w:r>
      <w:r w:rsidR="005C60A7">
        <w:rPr>
          <w:rFonts w:asciiTheme="majorBidi" w:hAnsiTheme="majorBidi" w:cstheme="majorBidi"/>
          <w:sz w:val="24"/>
          <w:szCs w:val="24"/>
        </w:rPr>
        <w:t>indicate that variations</w:t>
      </w:r>
      <w:r w:rsidR="005C60A7" w:rsidRPr="005C60A7">
        <w:rPr>
          <w:rFonts w:asciiTheme="majorBidi" w:hAnsiTheme="majorBidi" w:cstheme="majorBidi"/>
          <w:sz w:val="24"/>
          <w:szCs w:val="24"/>
        </w:rPr>
        <w:t xml:space="preserve"> in the </w:t>
      </w:r>
      <w:r w:rsidR="005C60A7">
        <w:rPr>
          <w:rFonts w:asciiTheme="majorBidi" w:hAnsiTheme="majorBidi" w:cstheme="majorBidi"/>
          <w:i/>
          <w:iCs/>
          <w:sz w:val="24"/>
          <w:szCs w:val="24"/>
        </w:rPr>
        <w:t>HEGI</w:t>
      </w:r>
      <w:r w:rsidR="005C60A7" w:rsidRPr="005C60A7">
        <w:rPr>
          <w:rFonts w:asciiTheme="majorBidi" w:hAnsiTheme="majorBidi" w:cstheme="majorBidi"/>
          <w:sz w:val="24"/>
          <w:szCs w:val="24"/>
        </w:rPr>
        <w:t xml:space="preserve"> </w:t>
      </w:r>
      <w:r w:rsidR="005C60A7">
        <w:rPr>
          <w:rFonts w:asciiTheme="majorBidi" w:hAnsiTheme="majorBidi" w:cstheme="majorBidi"/>
          <w:sz w:val="24"/>
          <w:szCs w:val="24"/>
        </w:rPr>
        <w:t xml:space="preserve">can primarily be accounted for by the </w:t>
      </w:r>
      <w:r w:rsidR="002914E5">
        <w:rPr>
          <w:rFonts w:asciiTheme="majorBidi" w:hAnsiTheme="majorBidi" w:cstheme="majorBidi"/>
          <w:sz w:val="24"/>
          <w:szCs w:val="24"/>
        </w:rPr>
        <w:t>i</w:t>
      </w:r>
      <w:r w:rsidR="000005E4">
        <w:rPr>
          <w:rFonts w:asciiTheme="majorBidi" w:hAnsiTheme="majorBidi" w:cstheme="majorBidi"/>
          <w:sz w:val="24"/>
          <w:szCs w:val="24"/>
        </w:rPr>
        <w:t xml:space="preserve">ndividual </w:t>
      </w:r>
      <w:r w:rsidR="002914E5">
        <w:rPr>
          <w:rFonts w:asciiTheme="majorBidi" w:hAnsiTheme="majorBidi" w:cstheme="majorBidi"/>
          <w:sz w:val="24"/>
          <w:szCs w:val="24"/>
        </w:rPr>
        <w:t>g</w:t>
      </w:r>
      <w:r w:rsidR="000005E4">
        <w:rPr>
          <w:rFonts w:asciiTheme="majorBidi" w:hAnsiTheme="majorBidi" w:cstheme="majorBidi"/>
          <w:sz w:val="24"/>
          <w:szCs w:val="24"/>
        </w:rPr>
        <w:t xml:space="preserve">overnance </w:t>
      </w:r>
      <w:r w:rsidR="002914E5">
        <w:rPr>
          <w:rFonts w:asciiTheme="majorBidi" w:hAnsiTheme="majorBidi" w:cstheme="majorBidi"/>
          <w:sz w:val="24"/>
          <w:szCs w:val="24"/>
        </w:rPr>
        <w:t>m</w:t>
      </w:r>
      <w:r w:rsidR="000005E4">
        <w:rPr>
          <w:rFonts w:asciiTheme="majorBidi" w:hAnsiTheme="majorBidi" w:cstheme="majorBidi"/>
          <w:sz w:val="24"/>
          <w:szCs w:val="24"/>
        </w:rPr>
        <w:t>echanisms (</w:t>
      </w:r>
      <w:r w:rsidR="005C60A7" w:rsidRPr="00321B4A">
        <w:rPr>
          <w:rFonts w:asciiTheme="majorBidi" w:hAnsiTheme="majorBidi" w:cstheme="majorBidi"/>
          <w:i/>
          <w:iCs/>
          <w:sz w:val="24"/>
          <w:szCs w:val="24"/>
        </w:rPr>
        <w:t>IGMs</w:t>
      </w:r>
      <w:r w:rsidR="000005E4">
        <w:rPr>
          <w:rFonts w:asciiTheme="majorBidi" w:hAnsiTheme="majorBidi" w:cstheme="majorBidi"/>
          <w:sz w:val="24"/>
          <w:szCs w:val="24"/>
        </w:rPr>
        <w:t>)</w:t>
      </w:r>
      <w:r w:rsidR="005C60A7">
        <w:rPr>
          <w:rFonts w:asciiTheme="majorBidi" w:hAnsiTheme="majorBidi" w:cstheme="majorBidi"/>
          <w:sz w:val="24"/>
          <w:szCs w:val="24"/>
        </w:rPr>
        <w:t xml:space="preserve">. However, the </w:t>
      </w:r>
      <w:r w:rsidR="005C60A7" w:rsidRPr="00D773EF">
        <w:rPr>
          <w:rFonts w:asciiTheme="majorBidi" w:hAnsiTheme="majorBidi" w:cstheme="majorBidi"/>
          <w:i/>
          <w:iCs/>
          <w:sz w:val="24"/>
          <w:szCs w:val="24"/>
        </w:rPr>
        <w:t xml:space="preserve">HEGI </w:t>
      </w:r>
      <w:r w:rsidR="00D773EF">
        <w:rPr>
          <w:rFonts w:asciiTheme="majorBidi" w:hAnsiTheme="majorBidi" w:cstheme="majorBidi"/>
          <w:sz w:val="24"/>
          <w:szCs w:val="24"/>
        </w:rPr>
        <w:t>is made up of five different types of governance items (</w:t>
      </w:r>
      <w:r w:rsidR="00D773EF" w:rsidRPr="00605ADB">
        <w:rPr>
          <w:rFonts w:asciiTheme="majorBidi" w:hAnsiTheme="majorBidi" w:cstheme="majorBidi"/>
          <w:i/>
          <w:iCs/>
          <w:sz w:val="24"/>
          <w:szCs w:val="24"/>
        </w:rPr>
        <w:t xml:space="preserve">GONB, PROS, PERW, ACNA </w:t>
      </w:r>
      <w:r w:rsidR="00D773EF" w:rsidRPr="00D773EF">
        <w:rPr>
          <w:rFonts w:asciiTheme="majorBidi" w:hAnsiTheme="majorBidi" w:cstheme="majorBidi"/>
          <w:sz w:val="24"/>
          <w:szCs w:val="24"/>
        </w:rPr>
        <w:t>and</w:t>
      </w:r>
      <w:r w:rsidR="00D773EF" w:rsidRPr="00605ADB">
        <w:rPr>
          <w:rFonts w:asciiTheme="majorBidi" w:hAnsiTheme="majorBidi" w:cstheme="majorBidi"/>
          <w:i/>
          <w:iCs/>
          <w:sz w:val="24"/>
          <w:szCs w:val="24"/>
        </w:rPr>
        <w:t xml:space="preserve"> STKD</w:t>
      </w:r>
      <w:r w:rsidR="00D773EF">
        <w:rPr>
          <w:rFonts w:asciiTheme="majorBidi" w:hAnsiTheme="majorBidi" w:cstheme="majorBidi"/>
          <w:sz w:val="24"/>
          <w:szCs w:val="24"/>
        </w:rPr>
        <w:t xml:space="preserve">, respectively). This implies that it is likely for the association between each component of the </w:t>
      </w:r>
      <w:r w:rsidR="00D773EF">
        <w:rPr>
          <w:rFonts w:asciiTheme="majorBidi" w:hAnsiTheme="majorBidi" w:cstheme="majorBidi"/>
          <w:i/>
          <w:iCs/>
          <w:sz w:val="24"/>
          <w:szCs w:val="24"/>
        </w:rPr>
        <w:t xml:space="preserve">HEGI </w:t>
      </w:r>
      <w:r w:rsidR="00D773EF">
        <w:rPr>
          <w:rFonts w:asciiTheme="majorBidi" w:hAnsiTheme="majorBidi" w:cstheme="majorBidi"/>
          <w:sz w:val="24"/>
          <w:szCs w:val="24"/>
        </w:rPr>
        <w:t>to vary, whereby some section</w:t>
      </w:r>
      <w:r w:rsidR="00337EDC">
        <w:rPr>
          <w:rFonts w:asciiTheme="majorBidi" w:hAnsiTheme="majorBidi" w:cstheme="majorBidi"/>
          <w:sz w:val="24"/>
          <w:szCs w:val="24"/>
        </w:rPr>
        <w:t>s</w:t>
      </w:r>
      <w:r w:rsidR="00D773EF">
        <w:rPr>
          <w:rFonts w:asciiTheme="majorBidi" w:hAnsiTheme="majorBidi" w:cstheme="majorBidi"/>
          <w:sz w:val="24"/>
          <w:szCs w:val="24"/>
        </w:rPr>
        <w:t xml:space="preserve"> may have powerful links with the </w:t>
      </w:r>
      <w:r w:rsidR="00D773EF">
        <w:rPr>
          <w:rFonts w:asciiTheme="majorBidi" w:hAnsiTheme="majorBidi" w:cstheme="majorBidi"/>
          <w:i/>
          <w:iCs/>
          <w:sz w:val="24"/>
          <w:szCs w:val="24"/>
        </w:rPr>
        <w:t>HEGI</w:t>
      </w:r>
      <w:r w:rsidR="00D773EF">
        <w:rPr>
          <w:rFonts w:asciiTheme="majorBidi" w:hAnsiTheme="majorBidi" w:cstheme="majorBidi"/>
          <w:sz w:val="24"/>
          <w:szCs w:val="24"/>
        </w:rPr>
        <w:t xml:space="preserve">, whilst other sections </w:t>
      </w:r>
      <w:r w:rsidR="00337EDC">
        <w:rPr>
          <w:rFonts w:asciiTheme="majorBidi" w:hAnsiTheme="majorBidi" w:cstheme="majorBidi"/>
          <w:sz w:val="24"/>
          <w:szCs w:val="24"/>
        </w:rPr>
        <w:t xml:space="preserve">may </w:t>
      </w:r>
      <w:r w:rsidR="00D773EF">
        <w:rPr>
          <w:rFonts w:asciiTheme="majorBidi" w:hAnsiTheme="majorBidi" w:cstheme="majorBidi"/>
          <w:sz w:val="24"/>
          <w:szCs w:val="24"/>
        </w:rPr>
        <w:t xml:space="preserve">have weaker relationships with the </w:t>
      </w:r>
      <w:r w:rsidR="00D773EF">
        <w:rPr>
          <w:rFonts w:asciiTheme="majorBidi" w:hAnsiTheme="majorBidi" w:cstheme="majorBidi"/>
          <w:i/>
          <w:iCs/>
          <w:sz w:val="24"/>
          <w:szCs w:val="24"/>
        </w:rPr>
        <w:t>HEGI</w:t>
      </w:r>
      <w:r w:rsidR="00D773EF">
        <w:rPr>
          <w:rFonts w:asciiTheme="majorBidi" w:hAnsiTheme="majorBidi" w:cstheme="majorBidi"/>
          <w:sz w:val="24"/>
          <w:szCs w:val="24"/>
        </w:rPr>
        <w:t xml:space="preserve">. </w:t>
      </w:r>
      <w:r w:rsidR="00354471">
        <w:rPr>
          <w:rFonts w:asciiTheme="majorBidi" w:hAnsiTheme="majorBidi" w:cstheme="majorBidi"/>
          <w:sz w:val="24"/>
          <w:szCs w:val="24"/>
        </w:rPr>
        <w:t>Therefore,</w:t>
      </w:r>
      <w:r w:rsidR="000219DE">
        <w:rPr>
          <w:rFonts w:asciiTheme="majorBidi" w:hAnsiTheme="majorBidi" w:cstheme="majorBidi"/>
          <w:sz w:val="24"/>
          <w:szCs w:val="24"/>
        </w:rPr>
        <w:t xml:space="preserve"> in order t</w:t>
      </w:r>
      <w:r w:rsidR="00337EDC">
        <w:rPr>
          <w:rFonts w:asciiTheme="majorBidi" w:hAnsiTheme="majorBidi" w:cstheme="majorBidi"/>
          <w:sz w:val="24"/>
          <w:szCs w:val="24"/>
        </w:rPr>
        <w:t xml:space="preserve">o ascertain whether the association between individual components of the </w:t>
      </w:r>
      <w:r w:rsidR="00337EDC">
        <w:rPr>
          <w:rFonts w:asciiTheme="majorBidi" w:hAnsiTheme="majorBidi" w:cstheme="majorBidi"/>
          <w:i/>
          <w:iCs/>
          <w:sz w:val="24"/>
          <w:szCs w:val="24"/>
        </w:rPr>
        <w:t xml:space="preserve">HEGI </w:t>
      </w:r>
      <w:r w:rsidR="00337EDC">
        <w:rPr>
          <w:rFonts w:asciiTheme="majorBidi" w:hAnsiTheme="majorBidi" w:cstheme="majorBidi"/>
          <w:sz w:val="24"/>
          <w:szCs w:val="24"/>
        </w:rPr>
        <w:t xml:space="preserve">and </w:t>
      </w:r>
      <w:r w:rsidR="00337EDC" w:rsidRPr="00321B4A">
        <w:rPr>
          <w:rFonts w:asciiTheme="majorBidi" w:hAnsiTheme="majorBidi" w:cstheme="majorBidi"/>
          <w:i/>
          <w:iCs/>
          <w:sz w:val="24"/>
          <w:szCs w:val="24"/>
        </w:rPr>
        <w:t>IGMs</w:t>
      </w:r>
      <w:r w:rsidR="00337EDC">
        <w:rPr>
          <w:rFonts w:asciiTheme="majorBidi" w:hAnsiTheme="majorBidi" w:cstheme="majorBidi"/>
          <w:sz w:val="24"/>
          <w:szCs w:val="24"/>
        </w:rPr>
        <w:t xml:space="preserve"> differ across the various components, we </w:t>
      </w:r>
      <w:r w:rsidR="002165B7">
        <w:rPr>
          <w:rFonts w:asciiTheme="majorBidi" w:hAnsiTheme="majorBidi" w:cstheme="majorBidi"/>
          <w:sz w:val="24"/>
          <w:szCs w:val="24"/>
        </w:rPr>
        <w:t xml:space="preserve">have </w:t>
      </w:r>
      <w:r w:rsidR="00337EDC">
        <w:rPr>
          <w:rFonts w:asciiTheme="majorBidi" w:hAnsiTheme="majorBidi" w:cstheme="majorBidi"/>
          <w:sz w:val="24"/>
          <w:szCs w:val="24"/>
        </w:rPr>
        <w:t>re-estimate</w:t>
      </w:r>
      <w:r w:rsidR="002165B7">
        <w:rPr>
          <w:rFonts w:asciiTheme="majorBidi" w:hAnsiTheme="majorBidi" w:cstheme="majorBidi"/>
          <w:sz w:val="24"/>
          <w:szCs w:val="24"/>
        </w:rPr>
        <w:t>d</w:t>
      </w:r>
      <w:r w:rsidR="00337EDC">
        <w:rPr>
          <w:rFonts w:asciiTheme="majorBidi" w:hAnsiTheme="majorBidi" w:cstheme="majorBidi"/>
          <w:sz w:val="24"/>
          <w:szCs w:val="24"/>
        </w:rPr>
        <w:t xml:space="preserve"> our model by replacing the </w:t>
      </w:r>
      <w:r w:rsidR="00337EDC">
        <w:rPr>
          <w:rFonts w:asciiTheme="majorBidi" w:hAnsiTheme="majorBidi" w:cstheme="majorBidi"/>
          <w:i/>
          <w:iCs/>
          <w:sz w:val="24"/>
          <w:szCs w:val="24"/>
        </w:rPr>
        <w:t xml:space="preserve">HEGI </w:t>
      </w:r>
      <w:r w:rsidR="00337EDC">
        <w:rPr>
          <w:rFonts w:asciiTheme="majorBidi" w:hAnsiTheme="majorBidi" w:cstheme="majorBidi"/>
          <w:sz w:val="24"/>
          <w:szCs w:val="24"/>
        </w:rPr>
        <w:t xml:space="preserve">with each component at a time. </w:t>
      </w:r>
      <w:r w:rsidR="008301EE" w:rsidRPr="00511F36">
        <w:rPr>
          <w:rFonts w:asciiTheme="majorBidi" w:hAnsiTheme="majorBidi" w:cstheme="majorBidi"/>
          <w:sz w:val="24"/>
          <w:szCs w:val="24"/>
        </w:rPr>
        <w:t xml:space="preserve">Overall, the results reported in Models 2-6 </w:t>
      </w:r>
      <w:r w:rsidR="008301EE">
        <w:rPr>
          <w:rFonts w:asciiTheme="majorBidi" w:hAnsiTheme="majorBidi" w:cstheme="majorBidi"/>
          <w:sz w:val="24"/>
          <w:szCs w:val="24"/>
        </w:rPr>
        <w:t>are comparable to those</w:t>
      </w:r>
      <w:r w:rsidR="008301EE" w:rsidRPr="00511F36">
        <w:rPr>
          <w:rFonts w:asciiTheme="majorBidi" w:hAnsiTheme="majorBidi" w:cstheme="majorBidi"/>
          <w:sz w:val="24"/>
          <w:szCs w:val="24"/>
        </w:rPr>
        <w:t xml:space="preserve"> presented in Model 1 of Table </w:t>
      </w:r>
      <w:r w:rsidR="001043BC">
        <w:rPr>
          <w:rFonts w:asciiTheme="majorBidi" w:hAnsiTheme="majorBidi" w:cstheme="majorBidi"/>
          <w:sz w:val="24"/>
          <w:szCs w:val="24"/>
        </w:rPr>
        <w:t>6</w:t>
      </w:r>
      <w:r w:rsidR="008301EE" w:rsidRPr="00511F36">
        <w:rPr>
          <w:rFonts w:asciiTheme="majorBidi" w:hAnsiTheme="majorBidi" w:cstheme="majorBidi"/>
          <w:sz w:val="24"/>
          <w:szCs w:val="24"/>
        </w:rPr>
        <w:t xml:space="preserve">, </w:t>
      </w:r>
      <w:r w:rsidR="008301EE">
        <w:rPr>
          <w:rFonts w:asciiTheme="majorBidi" w:hAnsiTheme="majorBidi" w:cstheme="majorBidi"/>
          <w:sz w:val="24"/>
          <w:szCs w:val="24"/>
        </w:rPr>
        <w:t>and thus our findings are not affected by the use of different sub</w:t>
      </w:r>
      <w:r w:rsidR="00337EDC">
        <w:rPr>
          <w:rFonts w:asciiTheme="majorBidi" w:hAnsiTheme="majorBidi" w:cstheme="majorBidi"/>
          <w:sz w:val="24"/>
          <w:szCs w:val="24"/>
        </w:rPr>
        <w:t>-indices.</w:t>
      </w:r>
    </w:p>
    <w:p w14:paraId="1F542F29" w14:textId="40F173D4" w:rsidR="0039130A" w:rsidRDefault="00081690" w:rsidP="0039130A">
      <w:pPr>
        <w:spacing w:after="0" w:line="480" w:lineRule="auto"/>
        <w:ind w:firstLine="426"/>
        <w:jc w:val="both"/>
        <w:rPr>
          <w:rFonts w:asciiTheme="majorBidi" w:hAnsiTheme="majorBidi" w:cstheme="majorBidi"/>
          <w:b/>
          <w:i/>
          <w:iCs/>
          <w:sz w:val="24"/>
          <w:szCs w:val="24"/>
        </w:rPr>
      </w:pPr>
      <w:r>
        <w:rPr>
          <w:rFonts w:asciiTheme="majorBidi" w:hAnsiTheme="majorBidi" w:cstheme="majorBidi"/>
          <w:sz w:val="24"/>
          <w:szCs w:val="24"/>
        </w:rPr>
        <w:lastRenderedPageBreak/>
        <w:t>Second, and as explained in the research design section, all items incorporated in our index (</w:t>
      </w:r>
      <w:r>
        <w:rPr>
          <w:rFonts w:asciiTheme="majorBidi" w:hAnsiTheme="majorBidi" w:cstheme="majorBidi"/>
          <w:i/>
          <w:iCs/>
          <w:sz w:val="24"/>
          <w:szCs w:val="24"/>
        </w:rPr>
        <w:t>HEGI</w:t>
      </w:r>
      <w:r>
        <w:rPr>
          <w:rFonts w:asciiTheme="majorBidi" w:hAnsiTheme="majorBidi" w:cstheme="majorBidi"/>
          <w:sz w:val="24"/>
          <w:szCs w:val="24"/>
        </w:rPr>
        <w:t xml:space="preserve">) are given the same weight. However, and given that the five sub-sections of our index differ substantially in terms of </w:t>
      </w:r>
      <w:r w:rsidR="006736B4">
        <w:rPr>
          <w:rFonts w:asciiTheme="majorBidi" w:hAnsiTheme="majorBidi" w:cstheme="majorBidi"/>
          <w:sz w:val="24"/>
          <w:szCs w:val="24"/>
        </w:rPr>
        <w:t xml:space="preserve">the </w:t>
      </w:r>
      <w:r>
        <w:rPr>
          <w:rFonts w:asciiTheme="majorBidi" w:hAnsiTheme="majorBidi" w:cstheme="majorBidi"/>
          <w:sz w:val="24"/>
          <w:szCs w:val="24"/>
        </w:rPr>
        <w:t xml:space="preserve">number of items incorporated in each of them, this resulted in allocating different weight to each sub-section (i.e., </w:t>
      </w:r>
      <w:r>
        <w:rPr>
          <w:rFonts w:asciiTheme="majorBidi" w:hAnsiTheme="majorBidi" w:cstheme="majorBidi"/>
          <w:i/>
          <w:iCs/>
          <w:sz w:val="24"/>
          <w:szCs w:val="24"/>
        </w:rPr>
        <w:t xml:space="preserve">GONB </w:t>
      </w:r>
      <w:r>
        <w:rPr>
          <w:rFonts w:asciiTheme="majorBidi" w:hAnsiTheme="majorBidi" w:cstheme="majorBidi"/>
          <w:sz w:val="24"/>
          <w:szCs w:val="24"/>
        </w:rPr>
        <w:t xml:space="preserve">27%, </w:t>
      </w:r>
      <w:r>
        <w:rPr>
          <w:rFonts w:asciiTheme="majorBidi" w:hAnsiTheme="majorBidi" w:cstheme="majorBidi"/>
          <w:i/>
          <w:iCs/>
          <w:sz w:val="24"/>
          <w:szCs w:val="24"/>
        </w:rPr>
        <w:t xml:space="preserve">PROS </w:t>
      </w:r>
      <w:r>
        <w:rPr>
          <w:rFonts w:asciiTheme="majorBidi" w:hAnsiTheme="majorBidi" w:cstheme="majorBidi"/>
          <w:sz w:val="24"/>
          <w:szCs w:val="24"/>
        </w:rPr>
        <w:t xml:space="preserve">24%, </w:t>
      </w:r>
      <w:r>
        <w:rPr>
          <w:rFonts w:asciiTheme="majorBidi" w:hAnsiTheme="majorBidi" w:cstheme="majorBidi"/>
          <w:i/>
          <w:iCs/>
          <w:sz w:val="24"/>
          <w:szCs w:val="24"/>
        </w:rPr>
        <w:t xml:space="preserve">PERW </w:t>
      </w:r>
      <w:r>
        <w:rPr>
          <w:rFonts w:asciiTheme="majorBidi" w:hAnsiTheme="majorBidi" w:cstheme="majorBidi"/>
          <w:sz w:val="24"/>
          <w:szCs w:val="24"/>
        </w:rPr>
        <w:t xml:space="preserve">22%, </w:t>
      </w:r>
      <w:r>
        <w:rPr>
          <w:rFonts w:asciiTheme="majorBidi" w:hAnsiTheme="majorBidi" w:cstheme="majorBidi"/>
          <w:i/>
          <w:iCs/>
          <w:sz w:val="24"/>
          <w:szCs w:val="24"/>
        </w:rPr>
        <w:t xml:space="preserve">ACNA </w:t>
      </w:r>
      <w:r>
        <w:rPr>
          <w:rFonts w:asciiTheme="majorBidi" w:hAnsiTheme="majorBidi" w:cstheme="majorBidi"/>
          <w:sz w:val="24"/>
          <w:szCs w:val="24"/>
        </w:rPr>
        <w:t xml:space="preserve">20% and </w:t>
      </w:r>
      <w:r>
        <w:rPr>
          <w:rFonts w:asciiTheme="majorBidi" w:hAnsiTheme="majorBidi" w:cstheme="majorBidi"/>
          <w:i/>
          <w:iCs/>
          <w:sz w:val="24"/>
          <w:szCs w:val="24"/>
        </w:rPr>
        <w:t xml:space="preserve">STKD </w:t>
      </w:r>
      <w:r>
        <w:rPr>
          <w:rFonts w:asciiTheme="majorBidi" w:hAnsiTheme="majorBidi" w:cstheme="majorBidi"/>
          <w:sz w:val="24"/>
          <w:szCs w:val="24"/>
        </w:rPr>
        <w:t>7%). Therefore, to ascertain whether the association between our explanatory (</w:t>
      </w:r>
      <w:r w:rsidRPr="00511F36">
        <w:rPr>
          <w:rFonts w:asciiTheme="majorBidi" w:hAnsiTheme="majorBidi" w:cstheme="majorBidi"/>
          <w:i/>
          <w:iCs/>
          <w:sz w:val="24"/>
          <w:szCs w:val="24"/>
        </w:rPr>
        <w:t>IGM</w:t>
      </w:r>
      <w:r>
        <w:rPr>
          <w:rFonts w:asciiTheme="majorBidi" w:hAnsiTheme="majorBidi" w:cstheme="majorBidi"/>
          <w:sz w:val="24"/>
          <w:szCs w:val="24"/>
        </w:rPr>
        <w:t>) and predicted (</w:t>
      </w:r>
      <w:r>
        <w:rPr>
          <w:rFonts w:asciiTheme="majorBidi" w:hAnsiTheme="majorBidi" w:cstheme="majorBidi"/>
          <w:i/>
          <w:iCs/>
          <w:sz w:val="24"/>
          <w:szCs w:val="24"/>
        </w:rPr>
        <w:t>HEGI</w:t>
      </w:r>
      <w:r>
        <w:rPr>
          <w:rFonts w:asciiTheme="majorBidi" w:hAnsiTheme="majorBidi" w:cstheme="majorBidi"/>
          <w:sz w:val="24"/>
          <w:szCs w:val="24"/>
        </w:rPr>
        <w:t xml:space="preserve">) variables is not affected by the weight given to each of these five sub-sections, we developed a new index, named </w:t>
      </w:r>
      <w:r>
        <w:rPr>
          <w:rFonts w:asciiTheme="majorBidi" w:hAnsiTheme="majorBidi" w:cstheme="majorBidi"/>
          <w:i/>
          <w:iCs/>
          <w:sz w:val="24"/>
          <w:szCs w:val="24"/>
        </w:rPr>
        <w:t>WHEGI</w:t>
      </w:r>
      <w:r>
        <w:rPr>
          <w:rFonts w:asciiTheme="majorBidi" w:hAnsiTheme="majorBidi" w:cstheme="majorBidi"/>
          <w:sz w:val="24"/>
          <w:szCs w:val="24"/>
        </w:rPr>
        <w:t xml:space="preserve">, by giving the same weight of 20% to each of the five sub-section. The reported results in Table 6 (Model 7) remain very similar to what we </w:t>
      </w:r>
      <w:r w:rsidR="00DB6E91">
        <w:rPr>
          <w:rFonts w:asciiTheme="majorBidi" w:hAnsiTheme="majorBidi" w:cstheme="majorBidi"/>
          <w:sz w:val="24"/>
          <w:szCs w:val="24"/>
        </w:rPr>
        <w:t xml:space="preserve">have </w:t>
      </w:r>
      <w:r>
        <w:rPr>
          <w:rFonts w:asciiTheme="majorBidi" w:hAnsiTheme="majorBidi" w:cstheme="majorBidi"/>
          <w:sz w:val="24"/>
          <w:szCs w:val="24"/>
        </w:rPr>
        <w:t>report</w:t>
      </w:r>
      <w:r w:rsidR="00DB6E91">
        <w:rPr>
          <w:rFonts w:asciiTheme="majorBidi" w:hAnsiTheme="majorBidi" w:cstheme="majorBidi"/>
          <w:sz w:val="24"/>
          <w:szCs w:val="24"/>
        </w:rPr>
        <w:t>ed</w:t>
      </w:r>
      <w:r>
        <w:rPr>
          <w:rFonts w:asciiTheme="majorBidi" w:hAnsiTheme="majorBidi" w:cstheme="majorBidi"/>
          <w:sz w:val="24"/>
          <w:szCs w:val="24"/>
        </w:rPr>
        <w:t xml:space="preserve"> in Model 1, and hence our main findings seem not to be influenced by the weight of the five sub-sections.</w:t>
      </w:r>
    </w:p>
    <w:p w14:paraId="2BCCF0EF" w14:textId="7B344551" w:rsidR="00F36781" w:rsidRPr="0039130A" w:rsidRDefault="00DE365F" w:rsidP="0039130A">
      <w:pPr>
        <w:spacing w:after="0" w:line="480" w:lineRule="auto"/>
        <w:ind w:firstLine="426"/>
        <w:jc w:val="both"/>
        <w:rPr>
          <w:rFonts w:asciiTheme="majorBidi" w:hAnsiTheme="majorBidi" w:cstheme="majorBidi"/>
          <w:b/>
          <w:i/>
          <w:iCs/>
          <w:sz w:val="24"/>
          <w:szCs w:val="24"/>
        </w:rPr>
      </w:pPr>
      <w:r>
        <w:rPr>
          <w:rFonts w:asciiTheme="majorBidi" w:hAnsiTheme="majorBidi" w:cstheme="majorBidi"/>
          <w:sz w:val="24"/>
          <w:szCs w:val="24"/>
        </w:rPr>
        <w:t xml:space="preserve">Third, </w:t>
      </w:r>
      <w:r w:rsidR="00B776E4">
        <w:rPr>
          <w:rFonts w:asciiTheme="majorBidi" w:hAnsiTheme="majorBidi" w:cstheme="majorBidi"/>
          <w:sz w:val="24"/>
          <w:szCs w:val="24"/>
        </w:rPr>
        <w:t>and in line with prior HE studies</w:t>
      </w:r>
      <w:r>
        <w:rPr>
          <w:rFonts w:asciiTheme="majorBidi" w:hAnsiTheme="majorBidi" w:cstheme="majorBidi"/>
          <w:sz w:val="24"/>
          <w:szCs w:val="24"/>
        </w:rPr>
        <w:t xml:space="preserve"> (</w:t>
      </w:r>
      <w:r w:rsidR="004A683F">
        <w:rPr>
          <w:rFonts w:asciiTheme="majorBidi" w:hAnsiTheme="majorBidi" w:cstheme="majorBidi"/>
          <w:sz w:val="24"/>
          <w:szCs w:val="24"/>
        </w:rPr>
        <w:t>Heinicke</w:t>
      </w:r>
      <w:r w:rsidR="004A683F" w:rsidRPr="004A683F">
        <w:rPr>
          <w:rFonts w:asciiTheme="majorBidi" w:hAnsiTheme="majorBidi" w:cstheme="majorBidi"/>
          <w:sz w:val="24"/>
          <w:szCs w:val="24"/>
        </w:rPr>
        <w:t xml:space="preserve"> &amp; Guenther</w:t>
      </w:r>
      <w:r w:rsidR="00781FB7">
        <w:rPr>
          <w:rFonts w:asciiTheme="majorBidi" w:hAnsiTheme="majorBidi" w:cstheme="majorBidi"/>
          <w:sz w:val="24"/>
          <w:szCs w:val="24"/>
        </w:rPr>
        <w:t>, 20</w:t>
      </w:r>
      <w:r w:rsidR="00193130">
        <w:rPr>
          <w:rFonts w:asciiTheme="majorBidi" w:hAnsiTheme="majorBidi" w:cstheme="majorBidi"/>
          <w:sz w:val="24"/>
          <w:szCs w:val="24"/>
        </w:rPr>
        <w:t>20</w:t>
      </w:r>
      <w:r w:rsidR="00781FB7">
        <w:rPr>
          <w:rFonts w:asciiTheme="majorBidi" w:hAnsiTheme="majorBidi" w:cstheme="majorBidi"/>
          <w:sz w:val="24"/>
          <w:szCs w:val="24"/>
        </w:rPr>
        <w:t xml:space="preserve">; </w:t>
      </w:r>
      <w:r w:rsidR="00781FB7" w:rsidRPr="00781FB7">
        <w:rPr>
          <w:rFonts w:asciiTheme="majorBidi" w:eastAsia="Times New Roman" w:hAnsiTheme="majorBidi" w:cstheme="majorBidi"/>
          <w:sz w:val="24"/>
          <w:szCs w:val="24"/>
          <w:lang w:eastAsia="en-GB"/>
        </w:rPr>
        <w:t>McDonald,</w:t>
      </w:r>
      <w:r w:rsidR="00B776E4">
        <w:rPr>
          <w:rFonts w:asciiTheme="majorBidi" w:eastAsia="Times New Roman" w:hAnsiTheme="majorBidi" w:cstheme="majorBidi"/>
          <w:sz w:val="24"/>
          <w:szCs w:val="24"/>
          <w:lang w:eastAsia="en-GB"/>
        </w:rPr>
        <w:t xml:space="preserve"> 2013) we used the number of staff as an alternative measure of HEIs’ size. As shown in Model 8 Table </w:t>
      </w:r>
      <w:r w:rsidR="002825FF">
        <w:rPr>
          <w:rFonts w:asciiTheme="majorBidi" w:eastAsia="Times New Roman" w:hAnsiTheme="majorBidi" w:cstheme="majorBidi"/>
          <w:sz w:val="24"/>
          <w:szCs w:val="24"/>
          <w:lang w:eastAsia="en-GB"/>
        </w:rPr>
        <w:t>6</w:t>
      </w:r>
      <w:r w:rsidR="00B776E4">
        <w:rPr>
          <w:rFonts w:asciiTheme="majorBidi" w:eastAsia="Times New Roman" w:hAnsiTheme="majorBidi" w:cstheme="majorBidi"/>
          <w:sz w:val="24"/>
          <w:szCs w:val="24"/>
          <w:lang w:eastAsia="en-GB"/>
        </w:rPr>
        <w:t xml:space="preserve">), the results relating to our independent variables remain very similar to those reported in Model 1, implying that our main findings remain robust to the use of alternative size measures. Fourth, </w:t>
      </w:r>
      <w:r w:rsidR="00625145">
        <w:rPr>
          <w:rFonts w:asciiTheme="majorBidi" w:eastAsia="Times New Roman" w:hAnsiTheme="majorBidi" w:cstheme="majorBidi"/>
          <w:sz w:val="24"/>
          <w:szCs w:val="24"/>
          <w:lang w:eastAsia="en-GB"/>
        </w:rPr>
        <w:t>prior studies suggest that universities</w:t>
      </w:r>
      <w:r w:rsidR="00220F59">
        <w:rPr>
          <w:rFonts w:asciiTheme="majorBidi" w:eastAsia="Times New Roman" w:hAnsiTheme="majorBidi" w:cstheme="majorBidi"/>
          <w:sz w:val="24"/>
          <w:szCs w:val="24"/>
          <w:lang w:eastAsia="en-GB"/>
        </w:rPr>
        <w:t xml:space="preserve"> tend to be large</w:t>
      </w:r>
      <w:r w:rsidR="00867AE4">
        <w:rPr>
          <w:rFonts w:asciiTheme="majorBidi" w:eastAsia="Times New Roman" w:hAnsiTheme="majorBidi" w:cstheme="majorBidi"/>
          <w:sz w:val="24"/>
          <w:szCs w:val="24"/>
          <w:lang w:eastAsia="en-GB"/>
        </w:rPr>
        <w:t xml:space="preserve"> institutions and have complex governance structures </w:t>
      </w:r>
      <w:r w:rsidR="00A107AB">
        <w:rPr>
          <w:rFonts w:asciiTheme="majorBidi" w:eastAsia="Times New Roman" w:hAnsiTheme="majorBidi" w:cstheme="majorBidi"/>
          <w:sz w:val="24"/>
          <w:szCs w:val="24"/>
          <w:lang w:eastAsia="en-GB"/>
        </w:rPr>
        <w:t>than their</w:t>
      </w:r>
      <w:r w:rsidR="00867AE4">
        <w:rPr>
          <w:rFonts w:asciiTheme="majorBidi" w:eastAsia="Times New Roman" w:hAnsiTheme="majorBidi" w:cstheme="majorBidi"/>
          <w:sz w:val="24"/>
          <w:szCs w:val="24"/>
          <w:lang w:eastAsia="en-GB"/>
        </w:rPr>
        <w:t xml:space="preserve"> non-universities </w:t>
      </w:r>
      <w:r w:rsidR="00A107AB">
        <w:rPr>
          <w:rFonts w:asciiTheme="majorBidi" w:eastAsia="Times New Roman" w:hAnsiTheme="majorBidi" w:cstheme="majorBidi"/>
          <w:sz w:val="24"/>
          <w:szCs w:val="24"/>
          <w:lang w:eastAsia="en-GB"/>
        </w:rPr>
        <w:t xml:space="preserve">counterparts </w:t>
      </w:r>
      <w:r w:rsidR="00867AE4">
        <w:rPr>
          <w:rFonts w:asciiTheme="majorBidi" w:eastAsia="Times New Roman" w:hAnsiTheme="majorBidi" w:cstheme="majorBidi"/>
          <w:sz w:val="24"/>
          <w:szCs w:val="24"/>
          <w:lang w:eastAsia="en-GB"/>
        </w:rPr>
        <w:t>(</w:t>
      </w:r>
      <w:r w:rsidR="00867AE4" w:rsidRPr="00867AE4">
        <w:rPr>
          <w:rFonts w:asciiTheme="majorBidi" w:hAnsiTheme="majorBidi" w:cstheme="majorBidi"/>
          <w:sz w:val="24"/>
          <w:szCs w:val="24"/>
        </w:rPr>
        <w:t>Franco-Santos</w:t>
      </w:r>
      <w:r w:rsidR="00867AE4">
        <w:rPr>
          <w:rFonts w:asciiTheme="majorBidi" w:hAnsiTheme="majorBidi" w:cstheme="majorBidi"/>
          <w:sz w:val="24"/>
          <w:szCs w:val="24"/>
        </w:rPr>
        <w:t xml:space="preserve"> et al., 201</w:t>
      </w:r>
      <w:r w:rsidR="00A64DC4">
        <w:rPr>
          <w:rFonts w:asciiTheme="majorBidi" w:hAnsiTheme="majorBidi" w:cstheme="majorBidi"/>
          <w:sz w:val="24"/>
          <w:szCs w:val="24"/>
        </w:rPr>
        <w:t>4</w:t>
      </w:r>
      <w:r w:rsidR="00867AE4">
        <w:rPr>
          <w:rFonts w:asciiTheme="majorBidi" w:hAnsiTheme="majorBidi" w:cstheme="majorBidi"/>
          <w:sz w:val="24"/>
          <w:szCs w:val="24"/>
        </w:rPr>
        <w:t xml:space="preserve">; </w:t>
      </w:r>
      <w:r w:rsidR="00867AE4">
        <w:rPr>
          <w:rFonts w:asciiTheme="majorBidi" w:eastAsia="Times New Roman" w:hAnsiTheme="majorBidi" w:cstheme="majorBidi"/>
          <w:sz w:val="24"/>
          <w:szCs w:val="24"/>
          <w:lang w:eastAsia="en-GB"/>
        </w:rPr>
        <w:t xml:space="preserve">Teichler, 1998), and this can </w:t>
      </w:r>
      <w:r w:rsidR="00A107AB">
        <w:rPr>
          <w:rFonts w:asciiTheme="majorBidi" w:eastAsia="Times New Roman" w:hAnsiTheme="majorBidi" w:cstheme="majorBidi"/>
          <w:sz w:val="24"/>
          <w:szCs w:val="24"/>
          <w:lang w:eastAsia="en-GB"/>
        </w:rPr>
        <w:t>influence</w:t>
      </w:r>
      <w:r w:rsidR="00867AE4">
        <w:rPr>
          <w:rFonts w:asciiTheme="majorBidi" w:eastAsia="Times New Roman" w:hAnsiTheme="majorBidi" w:cstheme="majorBidi"/>
          <w:sz w:val="24"/>
          <w:szCs w:val="24"/>
          <w:lang w:eastAsia="en-GB"/>
        </w:rPr>
        <w:t xml:space="preserve"> governance </w:t>
      </w:r>
      <w:r w:rsidR="00A107AB">
        <w:rPr>
          <w:rFonts w:asciiTheme="majorBidi" w:eastAsia="Times New Roman" w:hAnsiTheme="majorBidi" w:cstheme="majorBidi"/>
          <w:sz w:val="24"/>
          <w:szCs w:val="24"/>
          <w:lang w:eastAsia="en-GB"/>
        </w:rPr>
        <w:t>disclosure practices differently. Therefore, we replaced the Russel Group universities dummy (</w:t>
      </w:r>
      <w:r w:rsidR="00A107AB" w:rsidRPr="000005E4">
        <w:rPr>
          <w:rFonts w:asciiTheme="majorBidi" w:eastAsia="Times New Roman" w:hAnsiTheme="majorBidi" w:cstheme="majorBidi"/>
          <w:i/>
          <w:iCs/>
          <w:sz w:val="24"/>
          <w:szCs w:val="24"/>
          <w:lang w:eastAsia="en-GB"/>
        </w:rPr>
        <w:t>R</w:t>
      </w:r>
      <w:r w:rsidR="000005E4" w:rsidRPr="000005E4">
        <w:rPr>
          <w:rFonts w:asciiTheme="majorBidi" w:eastAsia="Times New Roman" w:hAnsiTheme="majorBidi" w:cstheme="majorBidi"/>
          <w:i/>
          <w:iCs/>
          <w:sz w:val="24"/>
          <w:szCs w:val="24"/>
          <w:lang w:eastAsia="en-GB"/>
        </w:rPr>
        <w:t>US</w:t>
      </w:r>
      <w:r w:rsidR="00A107AB" w:rsidRPr="000005E4">
        <w:rPr>
          <w:rFonts w:asciiTheme="majorBidi" w:eastAsia="Times New Roman" w:hAnsiTheme="majorBidi" w:cstheme="majorBidi"/>
          <w:i/>
          <w:iCs/>
          <w:sz w:val="24"/>
          <w:szCs w:val="24"/>
          <w:lang w:eastAsia="en-GB"/>
        </w:rPr>
        <w:t>G</w:t>
      </w:r>
      <w:r w:rsidR="00A107AB">
        <w:rPr>
          <w:rFonts w:asciiTheme="majorBidi" w:eastAsia="Times New Roman" w:hAnsiTheme="majorBidi" w:cstheme="majorBidi"/>
          <w:sz w:val="24"/>
          <w:szCs w:val="24"/>
          <w:lang w:eastAsia="en-GB"/>
        </w:rPr>
        <w:t xml:space="preserve">) in Model 1 with university vs. non-university dummy, and the results are presented in Model 9 (Table </w:t>
      </w:r>
      <w:r w:rsidR="002825FF">
        <w:rPr>
          <w:rFonts w:asciiTheme="majorBidi" w:eastAsia="Times New Roman" w:hAnsiTheme="majorBidi" w:cstheme="majorBidi"/>
          <w:sz w:val="24"/>
          <w:szCs w:val="24"/>
          <w:lang w:eastAsia="en-GB"/>
        </w:rPr>
        <w:t>6</w:t>
      </w:r>
      <w:r w:rsidR="00A107AB">
        <w:rPr>
          <w:rFonts w:asciiTheme="majorBidi" w:eastAsia="Times New Roman" w:hAnsiTheme="majorBidi" w:cstheme="majorBidi"/>
          <w:sz w:val="24"/>
          <w:szCs w:val="24"/>
          <w:lang w:eastAsia="en-GB"/>
        </w:rPr>
        <w:t>). Overall, our findings remain robust to the inclusion of university and non-university dummies.</w:t>
      </w:r>
    </w:p>
    <w:p w14:paraId="1F49D992" w14:textId="3C152DFD" w:rsidR="0039130A" w:rsidRDefault="00A107AB" w:rsidP="00EB6BA0">
      <w:pPr>
        <w:spacing w:after="0" w:line="480" w:lineRule="auto"/>
        <w:ind w:firstLine="426"/>
        <w:jc w:val="both"/>
        <w:rPr>
          <w:rFonts w:asciiTheme="majorBidi" w:hAnsiTheme="majorBidi" w:cstheme="majorBidi"/>
          <w:sz w:val="24"/>
          <w:szCs w:val="24"/>
        </w:rPr>
      </w:pPr>
      <w:r>
        <w:rPr>
          <w:rFonts w:asciiTheme="majorBidi" w:eastAsia="Times New Roman" w:hAnsiTheme="majorBidi" w:cstheme="majorBidi"/>
          <w:sz w:val="24"/>
          <w:szCs w:val="24"/>
          <w:lang w:eastAsia="en-GB"/>
        </w:rPr>
        <w:t xml:space="preserve">Fifth, </w:t>
      </w:r>
      <w:r w:rsidR="00EE030C">
        <w:rPr>
          <w:rFonts w:asciiTheme="majorBidi" w:eastAsia="Times New Roman" w:hAnsiTheme="majorBidi" w:cstheme="majorBidi"/>
          <w:sz w:val="24"/>
          <w:szCs w:val="24"/>
          <w:lang w:eastAsia="en-GB"/>
        </w:rPr>
        <w:t>and consistent with prior UK HE studies (</w:t>
      </w:r>
      <w:r w:rsidR="00EE030C">
        <w:rPr>
          <w:rFonts w:asciiTheme="majorBidi" w:hAnsiTheme="majorBidi" w:cstheme="majorBidi"/>
          <w:sz w:val="24"/>
          <w:szCs w:val="24"/>
        </w:rPr>
        <w:t>Croxford</w:t>
      </w:r>
      <w:r w:rsidR="00EE030C" w:rsidRPr="00EE030C">
        <w:rPr>
          <w:rFonts w:asciiTheme="majorBidi" w:hAnsiTheme="majorBidi" w:cstheme="majorBidi"/>
          <w:sz w:val="24"/>
          <w:szCs w:val="24"/>
        </w:rPr>
        <w:t xml:space="preserve"> &amp; Raffe</w:t>
      </w:r>
      <w:r w:rsidR="00EE030C">
        <w:rPr>
          <w:rFonts w:asciiTheme="majorBidi" w:hAnsiTheme="majorBidi" w:cstheme="majorBidi"/>
          <w:sz w:val="24"/>
          <w:szCs w:val="24"/>
        </w:rPr>
        <w:t>, 2015)</w:t>
      </w:r>
      <w:r w:rsidR="00D07A3A">
        <w:rPr>
          <w:rFonts w:asciiTheme="majorBidi" w:hAnsiTheme="majorBidi" w:cstheme="majorBidi"/>
          <w:sz w:val="24"/>
          <w:szCs w:val="24"/>
        </w:rPr>
        <w:t>,</w:t>
      </w:r>
      <w:r w:rsidR="00EE030C">
        <w:rPr>
          <w:rFonts w:asciiTheme="majorBidi" w:hAnsiTheme="majorBidi" w:cstheme="majorBidi"/>
          <w:sz w:val="24"/>
          <w:szCs w:val="24"/>
        </w:rPr>
        <w:t xml:space="preserve"> we include four country dummies (i.e., Scotland, Wales, Northern Ireland and England) to control for geographical differences among UK HEIs</w:t>
      </w:r>
      <w:r w:rsidR="00F815D7">
        <w:rPr>
          <w:rFonts w:asciiTheme="majorBidi" w:hAnsiTheme="majorBidi" w:cstheme="majorBidi"/>
          <w:sz w:val="24"/>
          <w:szCs w:val="24"/>
        </w:rPr>
        <w:t xml:space="preserve">. Our results that </w:t>
      </w:r>
      <w:r w:rsidR="00EC08CA">
        <w:rPr>
          <w:rFonts w:asciiTheme="majorBidi" w:hAnsiTheme="majorBidi" w:cstheme="majorBidi"/>
          <w:sz w:val="24"/>
          <w:szCs w:val="24"/>
        </w:rPr>
        <w:t xml:space="preserve">are </w:t>
      </w:r>
      <w:r w:rsidR="00F815D7">
        <w:rPr>
          <w:rFonts w:asciiTheme="majorBidi" w:hAnsiTheme="majorBidi" w:cstheme="majorBidi"/>
          <w:sz w:val="24"/>
          <w:szCs w:val="24"/>
        </w:rPr>
        <w:t xml:space="preserve">reported in Model 10 (Table </w:t>
      </w:r>
      <w:r w:rsidR="002825FF">
        <w:rPr>
          <w:rFonts w:asciiTheme="majorBidi" w:hAnsiTheme="majorBidi" w:cstheme="majorBidi"/>
          <w:sz w:val="24"/>
          <w:szCs w:val="24"/>
        </w:rPr>
        <w:t>6</w:t>
      </w:r>
      <w:r w:rsidR="00F815D7">
        <w:rPr>
          <w:rFonts w:asciiTheme="majorBidi" w:hAnsiTheme="majorBidi" w:cstheme="majorBidi"/>
          <w:sz w:val="24"/>
          <w:szCs w:val="24"/>
        </w:rPr>
        <w:t>) remain very simila</w:t>
      </w:r>
      <w:r w:rsidR="002825FF">
        <w:rPr>
          <w:rFonts w:asciiTheme="majorBidi" w:hAnsiTheme="majorBidi" w:cstheme="majorBidi"/>
          <w:sz w:val="24"/>
          <w:szCs w:val="24"/>
        </w:rPr>
        <w:t>r to those reported in Model 1</w:t>
      </w:r>
      <w:r w:rsidR="00F815D7">
        <w:rPr>
          <w:rFonts w:asciiTheme="majorBidi" w:hAnsiTheme="majorBidi" w:cstheme="majorBidi"/>
          <w:sz w:val="24"/>
          <w:szCs w:val="24"/>
        </w:rPr>
        <w:t>, confirming the robustness of our main findings.</w:t>
      </w:r>
    </w:p>
    <w:p w14:paraId="2545CEA9" w14:textId="77777777" w:rsidR="0039130A" w:rsidRDefault="00081690" w:rsidP="0039130A">
      <w:pPr>
        <w:spacing w:after="0" w:line="480" w:lineRule="auto"/>
        <w:ind w:firstLine="426"/>
        <w:jc w:val="both"/>
        <w:rPr>
          <w:rFonts w:asciiTheme="majorBidi" w:eastAsia="Times New Roman" w:hAnsiTheme="majorBidi" w:cstheme="majorBidi"/>
          <w:sz w:val="24"/>
          <w:szCs w:val="24"/>
          <w:lang w:eastAsia="en-GB"/>
        </w:rPr>
      </w:pPr>
      <w:r>
        <w:rPr>
          <w:rFonts w:asciiTheme="majorBidi" w:hAnsiTheme="majorBidi" w:cstheme="majorBidi"/>
          <w:sz w:val="24"/>
          <w:szCs w:val="24"/>
        </w:rPr>
        <w:lastRenderedPageBreak/>
        <w:t xml:space="preserve">Sixth, to control for reverse causality bias between </w:t>
      </w:r>
      <w:r>
        <w:rPr>
          <w:rFonts w:asciiTheme="majorBidi" w:hAnsiTheme="majorBidi" w:cstheme="majorBidi"/>
          <w:i/>
          <w:iCs/>
          <w:sz w:val="24"/>
          <w:szCs w:val="24"/>
        </w:rPr>
        <w:t>IGM</w:t>
      </w:r>
      <w:r w:rsidR="000005E4">
        <w:rPr>
          <w:rFonts w:asciiTheme="majorBidi" w:hAnsiTheme="majorBidi" w:cstheme="majorBidi"/>
          <w:i/>
          <w:iCs/>
          <w:sz w:val="24"/>
          <w:szCs w:val="24"/>
        </w:rPr>
        <w:t>s</w:t>
      </w:r>
      <w:r>
        <w:rPr>
          <w:rFonts w:asciiTheme="majorBidi" w:hAnsiTheme="majorBidi" w:cstheme="majorBidi"/>
          <w:i/>
          <w:iCs/>
          <w:sz w:val="24"/>
          <w:szCs w:val="24"/>
        </w:rPr>
        <w:t xml:space="preserve"> </w:t>
      </w:r>
      <w:r>
        <w:rPr>
          <w:rFonts w:asciiTheme="majorBidi" w:hAnsiTheme="majorBidi" w:cstheme="majorBidi"/>
          <w:sz w:val="24"/>
          <w:szCs w:val="24"/>
        </w:rPr>
        <w:t xml:space="preserve">and </w:t>
      </w:r>
      <w:r>
        <w:rPr>
          <w:rFonts w:asciiTheme="majorBidi" w:hAnsiTheme="majorBidi" w:cstheme="majorBidi"/>
          <w:i/>
          <w:iCs/>
          <w:sz w:val="24"/>
          <w:szCs w:val="24"/>
        </w:rPr>
        <w:t>HEGI</w:t>
      </w:r>
      <w:r>
        <w:rPr>
          <w:rFonts w:asciiTheme="majorBidi" w:hAnsiTheme="majorBidi" w:cstheme="majorBidi"/>
          <w:sz w:val="24"/>
          <w:szCs w:val="24"/>
        </w:rPr>
        <w:t xml:space="preserve">, as well as to prevent the correlation between </w:t>
      </w:r>
      <w:r>
        <w:rPr>
          <w:rFonts w:asciiTheme="majorBidi" w:hAnsiTheme="majorBidi" w:cstheme="majorBidi"/>
          <w:i/>
          <w:iCs/>
          <w:sz w:val="24"/>
          <w:szCs w:val="24"/>
        </w:rPr>
        <w:t>IGM</w:t>
      </w:r>
      <w:r w:rsidR="00D47542">
        <w:rPr>
          <w:rFonts w:asciiTheme="majorBidi" w:hAnsiTheme="majorBidi" w:cstheme="majorBidi"/>
          <w:i/>
          <w:iCs/>
          <w:sz w:val="24"/>
          <w:szCs w:val="24"/>
        </w:rPr>
        <w:t>s</w:t>
      </w:r>
      <w:r>
        <w:rPr>
          <w:rFonts w:asciiTheme="majorBidi" w:hAnsiTheme="majorBidi" w:cstheme="majorBidi"/>
          <w:i/>
          <w:iCs/>
          <w:sz w:val="24"/>
          <w:szCs w:val="24"/>
        </w:rPr>
        <w:t xml:space="preserve"> </w:t>
      </w:r>
      <w:r>
        <w:rPr>
          <w:rFonts w:asciiTheme="majorBidi" w:hAnsiTheme="majorBidi" w:cstheme="majorBidi"/>
          <w:sz w:val="24"/>
          <w:szCs w:val="24"/>
        </w:rPr>
        <w:t xml:space="preserve">and the error terms, we replicate Model 1 of Table 6 by using one-year lagged values for all independent and control variables. The coefficients of the lagged-effect model presented in Table 7 (Model 1) remain very similar to what we have reported in Table 6 (Model 1), and hence our findings hold for the usage of lagged-structure model. </w:t>
      </w:r>
      <w:r w:rsidR="004B1222">
        <w:rPr>
          <w:rFonts w:asciiTheme="majorBidi" w:hAnsiTheme="majorBidi" w:cstheme="majorBidi"/>
          <w:sz w:val="24"/>
          <w:szCs w:val="24"/>
        </w:rPr>
        <w:t>Seventh</w:t>
      </w:r>
      <w:r w:rsidR="00F815D7">
        <w:rPr>
          <w:rFonts w:asciiTheme="majorBidi" w:hAnsiTheme="majorBidi" w:cstheme="majorBidi"/>
          <w:sz w:val="24"/>
          <w:szCs w:val="24"/>
        </w:rPr>
        <w:t xml:space="preserve">, </w:t>
      </w:r>
      <w:r w:rsidR="00B3318F" w:rsidRPr="00511F36">
        <w:rPr>
          <w:rFonts w:asciiTheme="majorBidi" w:hAnsiTheme="majorBidi" w:cstheme="majorBidi"/>
          <w:sz w:val="24"/>
          <w:szCs w:val="24"/>
        </w:rPr>
        <w:t>prior studies suggest that our independent (</w:t>
      </w:r>
      <w:r w:rsidR="00B3318F" w:rsidRPr="00511F36">
        <w:rPr>
          <w:rFonts w:asciiTheme="majorBidi" w:hAnsiTheme="majorBidi" w:cstheme="majorBidi"/>
          <w:i/>
          <w:iCs/>
          <w:sz w:val="24"/>
          <w:szCs w:val="24"/>
        </w:rPr>
        <w:t>IGM</w:t>
      </w:r>
      <w:r w:rsidR="00D47542">
        <w:rPr>
          <w:rFonts w:asciiTheme="majorBidi" w:hAnsiTheme="majorBidi" w:cstheme="majorBidi"/>
          <w:i/>
          <w:iCs/>
          <w:sz w:val="24"/>
          <w:szCs w:val="24"/>
        </w:rPr>
        <w:t>s</w:t>
      </w:r>
      <w:r w:rsidR="00B3318F" w:rsidRPr="00511F36">
        <w:rPr>
          <w:rFonts w:asciiTheme="majorBidi" w:hAnsiTheme="majorBidi" w:cstheme="majorBidi"/>
          <w:sz w:val="24"/>
          <w:szCs w:val="24"/>
        </w:rPr>
        <w:t>) and dependent (</w:t>
      </w:r>
      <w:r w:rsidR="00B3318F" w:rsidRPr="00511F36">
        <w:rPr>
          <w:rFonts w:asciiTheme="majorBidi" w:hAnsiTheme="majorBidi" w:cstheme="majorBidi"/>
          <w:i/>
          <w:iCs/>
          <w:sz w:val="24"/>
          <w:szCs w:val="24"/>
        </w:rPr>
        <w:t>HEGI</w:t>
      </w:r>
      <w:r w:rsidR="00B3318F" w:rsidRPr="00511F36">
        <w:rPr>
          <w:rFonts w:asciiTheme="majorBidi" w:hAnsiTheme="majorBidi" w:cstheme="majorBidi"/>
          <w:sz w:val="24"/>
          <w:szCs w:val="24"/>
        </w:rPr>
        <w:t xml:space="preserve">) variables can </w:t>
      </w:r>
      <w:r w:rsidR="00A60440">
        <w:rPr>
          <w:rFonts w:asciiTheme="majorBidi" w:hAnsiTheme="majorBidi" w:cstheme="majorBidi"/>
          <w:sz w:val="24"/>
          <w:szCs w:val="24"/>
        </w:rPr>
        <w:t xml:space="preserve">be </w:t>
      </w:r>
      <w:r w:rsidR="00B3318F" w:rsidRPr="00511F36">
        <w:rPr>
          <w:rFonts w:asciiTheme="majorBidi" w:hAnsiTheme="majorBidi" w:cstheme="majorBidi"/>
          <w:sz w:val="24"/>
          <w:szCs w:val="24"/>
        </w:rPr>
        <w:t xml:space="preserve">determined by </w:t>
      </w:r>
      <w:r w:rsidR="008301EE">
        <w:rPr>
          <w:rFonts w:asciiTheme="majorBidi" w:hAnsiTheme="majorBidi" w:cstheme="majorBidi"/>
          <w:sz w:val="24"/>
          <w:szCs w:val="24"/>
        </w:rPr>
        <w:t>unidentified</w:t>
      </w:r>
      <w:r w:rsidR="00AF1E0C">
        <w:rPr>
          <w:rFonts w:asciiTheme="majorBidi" w:hAnsiTheme="majorBidi" w:cstheme="majorBidi"/>
          <w:sz w:val="24"/>
          <w:szCs w:val="24"/>
        </w:rPr>
        <w:t xml:space="preserve"> </w:t>
      </w:r>
      <w:r w:rsidR="00B3318F" w:rsidRPr="00511F36">
        <w:rPr>
          <w:rFonts w:asciiTheme="majorBidi" w:hAnsiTheme="majorBidi" w:cstheme="majorBidi"/>
          <w:sz w:val="24"/>
          <w:szCs w:val="24"/>
        </w:rPr>
        <w:t>HEI-specific heterogeneities (e.g., operational, cultural and managerial differences) (</w:t>
      </w:r>
      <w:r w:rsidR="00D51F99">
        <w:rPr>
          <w:rFonts w:asciiTheme="majorBidi" w:hAnsiTheme="majorBidi" w:cstheme="majorBidi"/>
          <w:sz w:val="24"/>
          <w:szCs w:val="24"/>
        </w:rPr>
        <w:t xml:space="preserve">Ntim et al., </w:t>
      </w:r>
      <w:r w:rsidR="00DF4C18">
        <w:rPr>
          <w:rFonts w:asciiTheme="majorBidi" w:hAnsiTheme="majorBidi" w:cstheme="majorBidi"/>
          <w:sz w:val="24"/>
          <w:szCs w:val="24"/>
        </w:rPr>
        <w:t>2017</w:t>
      </w:r>
      <w:r w:rsidR="00B3318F" w:rsidRPr="00511F36">
        <w:rPr>
          <w:rFonts w:asciiTheme="majorBidi" w:hAnsiTheme="majorBidi" w:cstheme="majorBidi"/>
          <w:sz w:val="24"/>
          <w:szCs w:val="24"/>
        </w:rPr>
        <w:t xml:space="preserve">). Thus, </w:t>
      </w:r>
      <w:r w:rsidR="00B51634" w:rsidRPr="00511F36">
        <w:rPr>
          <w:rFonts w:asciiTheme="majorBidi" w:hAnsiTheme="majorBidi" w:cstheme="majorBidi"/>
          <w:sz w:val="24"/>
          <w:szCs w:val="24"/>
        </w:rPr>
        <w:t xml:space="preserve">to </w:t>
      </w:r>
      <w:r w:rsidR="002D7B7F">
        <w:rPr>
          <w:rFonts w:asciiTheme="majorBidi" w:hAnsiTheme="majorBidi" w:cstheme="majorBidi"/>
          <w:sz w:val="24"/>
          <w:szCs w:val="24"/>
        </w:rPr>
        <w:t xml:space="preserve">address such </w:t>
      </w:r>
      <w:r w:rsidR="008301EE">
        <w:rPr>
          <w:rFonts w:asciiTheme="majorBidi" w:hAnsiTheme="majorBidi" w:cstheme="majorBidi"/>
          <w:sz w:val="24"/>
          <w:szCs w:val="24"/>
        </w:rPr>
        <w:t xml:space="preserve">a </w:t>
      </w:r>
      <w:r w:rsidR="002D7B7F">
        <w:rPr>
          <w:rFonts w:asciiTheme="majorBidi" w:hAnsiTheme="majorBidi" w:cstheme="majorBidi"/>
          <w:sz w:val="24"/>
          <w:szCs w:val="24"/>
        </w:rPr>
        <w:t>problem</w:t>
      </w:r>
      <w:r w:rsidR="00466658">
        <w:rPr>
          <w:rFonts w:asciiTheme="majorBidi" w:hAnsiTheme="majorBidi" w:cstheme="majorBidi"/>
          <w:sz w:val="24"/>
          <w:szCs w:val="24"/>
        </w:rPr>
        <w:t xml:space="preserve">, a fixed-effect model is </w:t>
      </w:r>
      <w:r w:rsidR="002D7B7F">
        <w:rPr>
          <w:rFonts w:asciiTheme="majorBidi" w:hAnsiTheme="majorBidi" w:cstheme="majorBidi"/>
          <w:sz w:val="24"/>
          <w:szCs w:val="24"/>
        </w:rPr>
        <w:t xml:space="preserve">estimated. </w:t>
      </w:r>
      <w:r w:rsidR="006E6D06">
        <w:rPr>
          <w:rFonts w:asciiTheme="majorBidi" w:hAnsiTheme="majorBidi" w:cstheme="majorBidi"/>
          <w:sz w:val="24"/>
          <w:szCs w:val="24"/>
        </w:rPr>
        <w:t xml:space="preserve">The obtained findings in Table </w:t>
      </w:r>
      <w:r w:rsidR="001043BC">
        <w:rPr>
          <w:rFonts w:asciiTheme="majorBidi" w:hAnsiTheme="majorBidi" w:cstheme="majorBidi"/>
          <w:sz w:val="24"/>
          <w:szCs w:val="24"/>
        </w:rPr>
        <w:t>7</w:t>
      </w:r>
      <w:r w:rsidR="006E6D06">
        <w:rPr>
          <w:rFonts w:asciiTheme="majorBidi" w:hAnsiTheme="majorBidi" w:cstheme="majorBidi"/>
          <w:sz w:val="24"/>
          <w:szCs w:val="24"/>
        </w:rPr>
        <w:t xml:space="preserve"> (Model 2) are consistent with what we report</w:t>
      </w:r>
      <w:r w:rsidR="00D07A3A">
        <w:rPr>
          <w:rFonts w:asciiTheme="majorBidi" w:hAnsiTheme="majorBidi" w:cstheme="majorBidi"/>
          <w:sz w:val="24"/>
          <w:szCs w:val="24"/>
        </w:rPr>
        <w:t>ed</w:t>
      </w:r>
      <w:r w:rsidR="006E6D06">
        <w:rPr>
          <w:rFonts w:asciiTheme="majorBidi" w:hAnsiTheme="majorBidi" w:cstheme="majorBidi"/>
          <w:sz w:val="24"/>
          <w:szCs w:val="24"/>
        </w:rPr>
        <w:t xml:space="preserve"> </w:t>
      </w:r>
      <w:r w:rsidR="00D07A3A">
        <w:rPr>
          <w:rFonts w:asciiTheme="majorBidi" w:hAnsiTheme="majorBidi" w:cstheme="majorBidi"/>
          <w:sz w:val="24"/>
          <w:szCs w:val="24"/>
        </w:rPr>
        <w:t>for</w:t>
      </w:r>
      <w:r w:rsidR="006E6D06">
        <w:rPr>
          <w:rFonts w:asciiTheme="majorBidi" w:hAnsiTheme="majorBidi" w:cstheme="majorBidi"/>
          <w:sz w:val="24"/>
          <w:szCs w:val="24"/>
        </w:rPr>
        <w:t xml:space="preserve"> Model 1 of Table </w:t>
      </w:r>
      <w:r w:rsidR="001043BC">
        <w:rPr>
          <w:rFonts w:asciiTheme="majorBidi" w:hAnsiTheme="majorBidi" w:cstheme="majorBidi"/>
          <w:sz w:val="24"/>
          <w:szCs w:val="24"/>
        </w:rPr>
        <w:t>6</w:t>
      </w:r>
      <w:r w:rsidR="006E6D06">
        <w:rPr>
          <w:rFonts w:asciiTheme="majorBidi" w:hAnsiTheme="majorBidi" w:cstheme="majorBidi"/>
          <w:sz w:val="24"/>
          <w:szCs w:val="24"/>
        </w:rPr>
        <w:t xml:space="preserve">, and this offers further support for the robustness of our findings. </w:t>
      </w:r>
    </w:p>
    <w:p w14:paraId="115C28EC" w14:textId="6EC270AC" w:rsidR="002D7B7F" w:rsidRPr="0039130A" w:rsidRDefault="006E6D06" w:rsidP="0039130A">
      <w:pPr>
        <w:spacing w:line="480" w:lineRule="auto"/>
        <w:ind w:firstLine="426"/>
        <w:jc w:val="both"/>
        <w:rPr>
          <w:rFonts w:asciiTheme="majorBidi" w:eastAsia="Times New Roman" w:hAnsiTheme="majorBidi" w:cstheme="majorBidi"/>
          <w:sz w:val="24"/>
          <w:szCs w:val="24"/>
          <w:lang w:eastAsia="en-GB"/>
        </w:rPr>
      </w:pPr>
      <w:r>
        <w:rPr>
          <w:rFonts w:asciiTheme="majorBidi" w:hAnsiTheme="majorBidi" w:cstheme="majorBidi"/>
          <w:sz w:val="24"/>
          <w:szCs w:val="24"/>
        </w:rPr>
        <w:t>Finally, we</w:t>
      </w:r>
      <w:r w:rsidR="00751CAB">
        <w:rPr>
          <w:rFonts w:asciiTheme="majorBidi" w:hAnsiTheme="majorBidi" w:cstheme="majorBidi"/>
          <w:sz w:val="24"/>
          <w:szCs w:val="24"/>
        </w:rPr>
        <w:t xml:space="preserve"> conduct </w:t>
      </w:r>
      <w:r w:rsidR="000C3520">
        <w:rPr>
          <w:rFonts w:asciiTheme="majorBidi" w:hAnsiTheme="majorBidi" w:cstheme="majorBidi"/>
          <w:sz w:val="24"/>
          <w:szCs w:val="24"/>
        </w:rPr>
        <w:t xml:space="preserve">the dynamic </w:t>
      </w:r>
      <w:r w:rsidR="00751CAB">
        <w:rPr>
          <w:rFonts w:asciiTheme="majorBidi" w:hAnsiTheme="majorBidi" w:cstheme="majorBidi"/>
          <w:sz w:val="24"/>
          <w:szCs w:val="24"/>
        </w:rPr>
        <w:t>system GMM to</w:t>
      </w:r>
      <w:r w:rsidR="00605ADB">
        <w:rPr>
          <w:rFonts w:asciiTheme="majorBidi" w:hAnsiTheme="majorBidi" w:cstheme="majorBidi"/>
          <w:sz w:val="24"/>
          <w:szCs w:val="24"/>
        </w:rPr>
        <w:t xml:space="preserve"> </w:t>
      </w:r>
      <w:r w:rsidR="000C3520">
        <w:rPr>
          <w:rFonts w:asciiTheme="majorBidi" w:hAnsiTheme="majorBidi" w:cstheme="majorBidi"/>
          <w:sz w:val="24"/>
          <w:szCs w:val="24"/>
        </w:rPr>
        <w:t xml:space="preserve">further address the </w:t>
      </w:r>
      <w:r w:rsidR="008B43C8">
        <w:rPr>
          <w:rFonts w:asciiTheme="majorBidi" w:hAnsiTheme="majorBidi" w:cstheme="majorBidi"/>
          <w:sz w:val="24"/>
          <w:szCs w:val="24"/>
        </w:rPr>
        <w:t xml:space="preserve">potential </w:t>
      </w:r>
      <w:r w:rsidR="000C3520">
        <w:rPr>
          <w:rFonts w:asciiTheme="majorBidi" w:hAnsiTheme="majorBidi" w:cstheme="majorBidi"/>
          <w:sz w:val="24"/>
          <w:szCs w:val="24"/>
        </w:rPr>
        <w:t>issues</w:t>
      </w:r>
      <w:r w:rsidR="00605ADB">
        <w:rPr>
          <w:rFonts w:asciiTheme="majorBidi" w:hAnsiTheme="majorBidi" w:cstheme="majorBidi"/>
          <w:sz w:val="24"/>
          <w:szCs w:val="24"/>
        </w:rPr>
        <w:t xml:space="preserve"> of omitted variables and</w:t>
      </w:r>
      <w:r w:rsidR="00751CAB">
        <w:rPr>
          <w:rFonts w:asciiTheme="majorBidi" w:hAnsiTheme="majorBidi" w:cstheme="majorBidi"/>
          <w:sz w:val="24"/>
          <w:szCs w:val="24"/>
        </w:rPr>
        <w:t xml:space="preserve"> dynamic</w:t>
      </w:r>
      <w:r w:rsidR="00605ADB">
        <w:rPr>
          <w:rFonts w:asciiTheme="majorBidi" w:hAnsiTheme="majorBidi" w:cstheme="majorBidi"/>
          <w:sz w:val="24"/>
          <w:szCs w:val="24"/>
        </w:rPr>
        <w:t xml:space="preserve"> </w:t>
      </w:r>
      <w:r w:rsidR="000C3520">
        <w:rPr>
          <w:rFonts w:asciiTheme="majorBidi" w:hAnsiTheme="majorBidi" w:cstheme="majorBidi"/>
          <w:sz w:val="24"/>
          <w:szCs w:val="24"/>
        </w:rPr>
        <w:t>and simultaneous endogeneity.</w:t>
      </w:r>
      <w:r w:rsidR="00751CAB">
        <w:rPr>
          <w:rFonts w:asciiTheme="majorBidi" w:hAnsiTheme="majorBidi" w:cstheme="majorBidi"/>
          <w:sz w:val="24"/>
          <w:szCs w:val="24"/>
        </w:rPr>
        <w:t xml:space="preserve"> </w:t>
      </w:r>
      <w:r w:rsidR="000C3520">
        <w:rPr>
          <w:rFonts w:asciiTheme="majorBidi" w:hAnsiTheme="majorBidi" w:cstheme="majorBidi"/>
          <w:sz w:val="24"/>
          <w:szCs w:val="24"/>
        </w:rPr>
        <w:t xml:space="preserve">Specifically, </w:t>
      </w:r>
      <w:r w:rsidR="000C3520" w:rsidRPr="000C3520">
        <w:rPr>
          <w:rFonts w:asciiTheme="majorBidi" w:hAnsiTheme="majorBidi" w:cstheme="majorBidi"/>
          <w:sz w:val="24"/>
          <w:szCs w:val="24"/>
        </w:rPr>
        <w:t>it uses internal instruments derived from lagged values of the independent and dependent variables to control for the existence of dynamic and simultaneous endogeneity (</w:t>
      </w:r>
      <w:r w:rsidR="008B43C8" w:rsidRPr="008B43C8">
        <w:rPr>
          <w:rFonts w:asciiTheme="majorBidi" w:hAnsiTheme="majorBidi" w:cstheme="majorBidi"/>
          <w:sz w:val="24"/>
          <w:szCs w:val="24"/>
        </w:rPr>
        <w:t xml:space="preserve">Blundell </w:t>
      </w:r>
      <w:r w:rsidR="004B1222">
        <w:rPr>
          <w:rFonts w:asciiTheme="majorBidi" w:hAnsiTheme="majorBidi" w:cstheme="majorBidi"/>
          <w:sz w:val="24"/>
          <w:szCs w:val="24"/>
        </w:rPr>
        <w:t>&amp;</w:t>
      </w:r>
      <w:r w:rsidR="004B1222" w:rsidRPr="008B43C8">
        <w:rPr>
          <w:rFonts w:asciiTheme="majorBidi" w:hAnsiTheme="majorBidi" w:cstheme="majorBidi"/>
          <w:sz w:val="24"/>
          <w:szCs w:val="24"/>
        </w:rPr>
        <w:t xml:space="preserve"> </w:t>
      </w:r>
      <w:r w:rsidR="008B43C8" w:rsidRPr="008B43C8">
        <w:rPr>
          <w:rFonts w:asciiTheme="majorBidi" w:hAnsiTheme="majorBidi" w:cstheme="majorBidi"/>
          <w:sz w:val="24"/>
          <w:szCs w:val="24"/>
        </w:rPr>
        <w:t>Bond, 1998</w:t>
      </w:r>
      <w:r w:rsidR="000C3520" w:rsidRPr="000C3520">
        <w:rPr>
          <w:rFonts w:asciiTheme="majorBidi" w:hAnsiTheme="majorBidi" w:cstheme="majorBidi"/>
          <w:sz w:val="24"/>
          <w:szCs w:val="24"/>
        </w:rPr>
        <w:t>; Wintoki et al., 2012).</w:t>
      </w:r>
      <w:r w:rsidR="000C3520">
        <w:rPr>
          <w:rFonts w:asciiTheme="majorBidi" w:hAnsiTheme="majorBidi" w:cstheme="majorBidi"/>
          <w:sz w:val="24"/>
          <w:szCs w:val="24"/>
        </w:rPr>
        <w:t xml:space="preserve"> </w:t>
      </w:r>
      <w:r w:rsidR="000C3520" w:rsidRPr="000C3520">
        <w:rPr>
          <w:rFonts w:asciiTheme="majorBidi" w:hAnsiTheme="majorBidi" w:cstheme="majorBidi"/>
          <w:sz w:val="24"/>
          <w:szCs w:val="24"/>
        </w:rPr>
        <w:t>To ensure the validation of the system GMM, we performed a number of tests</w:t>
      </w:r>
      <w:r w:rsidR="00FB6F33">
        <w:rPr>
          <w:rFonts w:asciiTheme="majorBidi" w:hAnsiTheme="majorBidi" w:cstheme="majorBidi"/>
          <w:sz w:val="24"/>
          <w:szCs w:val="24"/>
        </w:rPr>
        <w:t>,</w:t>
      </w:r>
      <w:r w:rsidR="000C3520" w:rsidRPr="000C3520">
        <w:rPr>
          <w:rFonts w:asciiTheme="majorBidi" w:hAnsiTheme="majorBidi" w:cstheme="majorBidi"/>
          <w:sz w:val="24"/>
          <w:szCs w:val="24"/>
        </w:rPr>
        <w:t xml:space="preserve"> including first-order and second-order autocorrelation tests </w:t>
      </w:r>
      <w:r w:rsidR="000C3520" w:rsidRPr="0026139E">
        <w:rPr>
          <w:rFonts w:asciiTheme="majorBidi" w:hAnsiTheme="majorBidi" w:cstheme="majorBidi"/>
          <w:i/>
          <w:sz w:val="24"/>
          <w:szCs w:val="24"/>
        </w:rPr>
        <w:t>AR</w:t>
      </w:r>
      <w:r w:rsidR="000C3520" w:rsidRPr="000C3520">
        <w:rPr>
          <w:rFonts w:asciiTheme="majorBidi" w:hAnsiTheme="majorBidi" w:cstheme="majorBidi"/>
          <w:sz w:val="24"/>
          <w:szCs w:val="24"/>
        </w:rPr>
        <w:t xml:space="preserve"> (1) and </w:t>
      </w:r>
      <w:r w:rsidR="000C3520" w:rsidRPr="0026139E">
        <w:rPr>
          <w:rFonts w:asciiTheme="majorBidi" w:hAnsiTheme="majorBidi" w:cstheme="majorBidi"/>
          <w:i/>
          <w:sz w:val="24"/>
          <w:szCs w:val="24"/>
        </w:rPr>
        <w:t>AR</w:t>
      </w:r>
      <w:r w:rsidR="000C3520" w:rsidRPr="000C3520">
        <w:rPr>
          <w:rFonts w:asciiTheme="majorBidi" w:hAnsiTheme="majorBidi" w:cstheme="majorBidi"/>
          <w:sz w:val="24"/>
          <w:szCs w:val="24"/>
        </w:rPr>
        <w:t xml:space="preserve"> (2) and Hansen test. First, we find that </w:t>
      </w:r>
      <w:r w:rsidR="008B43C8">
        <w:rPr>
          <w:rFonts w:asciiTheme="majorBidi" w:hAnsiTheme="majorBidi" w:cstheme="majorBidi"/>
          <w:sz w:val="24"/>
          <w:szCs w:val="24"/>
        </w:rPr>
        <w:t xml:space="preserve">the result of </w:t>
      </w:r>
      <w:r w:rsidR="000C3520" w:rsidRPr="0026139E">
        <w:rPr>
          <w:rFonts w:asciiTheme="majorBidi" w:hAnsiTheme="majorBidi" w:cstheme="majorBidi"/>
          <w:i/>
          <w:sz w:val="24"/>
          <w:szCs w:val="24"/>
        </w:rPr>
        <w:t>AR</w:t>
      </w:r>
      <w:r w:rsidR="000C3520" w:rsidRPr="000C3520">
        <w:rPr>
          <w:rFonts w:asciiTheme="majorBidi" w:hAnsiTheme="majorBidi" w:cstheme="majorBidi"/>
          <w:sz w:val="24"/>
          <w:szCs w:val="24"/>
        </w:rPr>
        <w:t xml:space="preserve"> (1) reported in Table </w:t>
      </w:r>
      <w:r w:rsidR="001043BC">
        <w:rPr>
          <w:rFonts w:asciiTheme="majorBidi" w:hAnsiTheme="majorBidi" w:cstheme="majorBidi"/>
          <w:sz w:val="24"/>
          <w:szCs w:val="24"/>
        </w:rPr>
        <w:t>7</w:t>
      </w:r>
      <w:r w:rsidR="000C3520" w:rsidRPr="000C3520">
        <w:rPr>
          <w:rFonts w:asciiTheme="majorBidi" w:hAnsiTheme="majorBidi" w:cstheme="majorBidi"/>
          <w:sz w:val="24"/>
          <w:szCs w:val="24"/>
        </w:rPr>
        <w:t xml:space="preserve"> (Model 3) is significant</w:t>
      </w:r>
      <w:r w:rsidR="009C16ED">
        <w:rPr>
          <w:rFonts w:asciiTheme="majorBidi" w:hAnsiTheme="majorBidi" w:cstheme="majorBidi"/>
          <w:sz w:val="24"/>
          <w:szCs w:val="24"/>
        </w:rPr>
        <w:t>,</w:t>
      </w:r>
      <w:r w:rsidR="000C3520" w:rsidRPr="000C3520">
        <w:rPr>
          <w:rFonts w:asciiTheme="majorBidi" w:hAnsiTheme="majorBidi" w:cstheme="majorBidi"/>
          <w:sz w:val="24"/>
          <w:szCs w:val="24"/>
        </w:rPr>
        <w:t xml:space="preserve"> whereas </w:t>
      </w:r>
      <w:r w:rsidR="008B43C8">
        <w:rPr>
          <w:rFonts w:asciiTheme="majorBidi" w:hAnsiTheme="majorBidi" w:cstheme="majorBidi"/>
          <w:sz w:val="24"/>
          <w:szCs w:val="24"/>
        </w:rPr>
        <w:t xml:space="preserve">the result of </w:t>
      </w:r>
      <w:r w:rsidR="000C3520" w:rsidRPr="0026139E">
        <w:rPr>
          <w:rFonts w:asciiTheme="majorBidi" w:hAnsiTheme="majorBidi" w:cstheme="majorBidi"/>
          <w:i/>
          <w:sz w:val="24"/>
          <w:szCs w:val="24"/>
        </w:rPr>
        <w:t>AR (</w:t>
      </w:r>
      <w:r w:rsidR="000C3520" w:rsidRPr="000C3520">
        <w:rPr>
          <w:rFonts w:asciiTheme="majorBidi" w:hAnsiTheme="majorBidi" w:cstheme="majorBidi"/>
          <w:sz w:val="24"/>
          <w:szCs w:val="24"/>
        </w:rPr>
        <w:t xml:space="preserve">2) is insignificant, implying that the residuals in the equations are not serially correlated. Second, we use the Hansen test to test whether the model is over-identified and the results of Hansen test in Table </w:t>
      </w:r>
      <w:r w:rsidR="001043BC">
        <w:rPr>
          <w:rFonts w:asciiTheme="majorBidi" w:hAnsiTheme="majorBidi" w:cstheme="majorBidi"/>
          <w:sz w:val="24"/>
          <w:szCs w:val="24"/>
        </w:rPr>
        <w:t>7</w:t>
      </w:r>
      <w:r w:rsidR="000C3520" w:rsidRPr="000C3520">
        <w:rPr>
          <w:rFonts w:asciiTheme="majorBidi" w:hAnsiTheme="majorBidi" w:cstheme="majorBidi"/>
          <w:sz w:val="24"/>
          <w:szCs w:val="24"/>
        </w:rPr>
        <w:t xml:space="preserve"> (Model 3) confirm the validation of all the instruments. </w:t>
      </w:r>
      <w:r w:rsidR="00751CAB">
        <w:rPr>
          <w:rFonts w:asciiTheme="majorBidi" w:hAnsiTheme="majorBidi" w:cstheme="majorBidi"/>
          <w:sz w:val="24"/>
          <w:szCs w:val="24"/>
        </w:rPr>
        <w:t xml:space="preserve">As observed in Model 3 of Table </w:t>
      </w:r>
      <w:r w:rsidR="001043BC">
        <w:rPr>
          <w:rFonts w:asciiTheme="majorBidi" w:hAnsiTheme="majorBidi" w:cstheme="majorBidi"/>
          <w:sz w:val="24"/>
          <w:szCs w:val="24"/>
        </w:rPr>
        <w:t>7</w:t>
      </w:r>
      <w:r w:rsidR="00751CAB">
        <w:rPr>
          <w:rFonts w:asciiTheme="majorBidi" w:hAnsiTheme="majorBidi" w:cstheme="majorBidi"/>
          <w:sz w:val="24"/>
          <w:szCs w:val="24"/>
        </w:rPr>
        <w:t xml:space="preserve">, our variables have similar directional signs and </w:t>
      </w:r>
      <w:r w:rsidR="00466658">
        <w:rPr>
          <w:rFonts w:asciiTheme="majorBidi" w:hAnsiTheme="majorBidi" w:cstheme="majorBidi"/>
          <w:sz w:val="24"/>
          <w:szCs w:val="24"/>
        </w:rPr>
        <w:t xml:space="preserve">level of significance, and hence our findings hold </w:t>
      </w:r>
      <w:r w:rsidR="009C16ED">
        <w:rPr>
          <w:rFonts w:asciiTheme="majorBidi" w:hAnsiTheme="majorBidi" w:cstheme="majorBidi"/>
          <w:sz w:val="24"/>
          <w:szCs w:val="24"/>
        </w:rPr>
        <w:t>in the presence of possible</w:t>
      </w:r>
      <w:r w:rsidR="00466658">
        <w:rPr>
          <w:rFonts w:asciiTheme="majorBidi" w:hAnsiTheme="majorBidi" w:cstheme="majorBidi"/>
          <w:sz w:val="24"/>
          <w:szCs w:val="24"/>
        </w:rPr>
        <w:t xml:space="preserve"> different </w:t>
      </w:r>
      <w:r w:rsidR="00A60040">
        <w:rPr>
          <w:rFonts w:asciiTheme="majorBidi" w:hAnsiTheme="majorBidi" w:cstheme="majorBidi"/>
          <w:sz w:val="24"/>
          <w:szCs w:val="24"/>
        </w:rPr>
        <w:t xml:space="preserve">types of </w:t>
      </w:r>
      <w:r w:rsidR="00466658">
        <w:rPr>
          <w:rFonts w:asciiTheme="majorBidi" w:hAnsiTheme="majorBidi" w:cstheme="majorBidi"/>
          <w:sz w:val="24"/>
          <w:szCs w:val="24"/>
        </w:rPr>
        <w:t xml:space="preserve">endogeneity problems. </w:t>
      </w:r>
      <w:r w:rsidR="00751CAB">
        <w:rPr>
          <w:rFonts w:asciiTheme="majorBidi" w:hAnsiTheme="majorBidi" w:cstheme="majorBidi"/>
          <w:sz w:val="24"/>
          <w:szCs w:val="24"/>
        </w:rPr>
        <w:t xml:space="preserve">  </w:t>
      </w:r>
    </w:p>
    <w:p w14:paraId="7DD3F083" w14:textId="2EBA1C7A" w:rsidR="00954433" w:rsidRPr="00511F36" w:rsidRDefault="00954433" w:rsidP="00567D34">
      <w:pPr>
        <w:spacing w:line="480" w:lineRule="auto"/>
        <w:jc w:val="center"/>
        <w:rPr>
          <w:rFonts w:asciiTheme="majorBidi" w:hAnsiTheme="majorBidi" w:cstheme="majorBidi"/>
          <w:sz w:val="24"/>
          <w:szCs w:val="24"/>
        </w:rPr>
      </w:pPr>
      <w:r w:rsidRPr="00511F36">
        <w:rPr>
          <w:rFonts w:asciiTheme="majorBidi" w:hAnsiTheme="majorBidi" w:cstheme="majorBidi"/>
          <w:sz w:val="24"/>
          <w:szCs w:val="24"/>
        </w:rPr>
        <w:t xml:space="preserve">Table </w:t>
      </w:r>
      <w:r w:rsidR="001043BC">
        <w:rPr>
          <w:rFonts w:asciiTheme="majorBidi" w:hAnsiTheme="majorBidi" w:cstheme="majorBidi"/>
          <w:sz w:val="24"/>
          <w:szCs w:val="24"/>
        </w:rPr>
        <w:t>7</w:t>
      </w:r>
      <w:r w:rsidRPr="00511F36">
        <w:rPr>
          <w:rFonts w:asciiTheme="majorBidi" w:hAnsiTheme="majorBidi" w:cstheme="majorBidi"/>
          <w:sz w:val="24"/>
          <w:szCs w:val="24"/>
        </w:rPr>
        <w:t xml:space="preserve"> </w:t>
      </w:r>
      <w:r w:rsidR="001E5DB9">
        <w:rPr>
          <w:rFonts w:asciiTheme="majorBidi" w:hAnsiTheme="majorBidi" w:cstheme="majorBidi"/>
          <w:sz w:val="24"/>
          <w:szCs w:val="24"/>
        </w:rPr>
        <w:t>near</w:t>
      </w:r>
      <w:r w:rsidRPr="00511F36">
        <w:rPr>
          <w:rFonts w:asciiTheme="majorBidi" w:hAnsiTheme="majorBidi" w:cstheme="majorBidi"/>
          <w:sz w:val="24"/>
          <w:szCs w:val="24"/>
        </w:rPr>
        <w:t xml:space="preserve"> here</w:t>
      </w:r>
    </w:p>
    <w:p w14:paraId="21524CC5" w14:textId="2D5403E3" w:rsidR="00CE72A8" w:rsidRPr="00723BA0" w:rsidRDefault="002E541E" w:rsidP="0039130A">
      <w:pPr>
        <w:spacing w:after="0" w:line="480" w:lineRule="auto"/>
        <w:jc w:val="both"/>
        <w:rPr>
          <w:rFonts w:asciiTheme="majorBidi" w:hAnsiTheme="majorBidi" w:cstheme="majorBidi"/>
          <w:b/>
          <w:bCs/>
          <w:sz w:val="24"/>
          <w:szCs w:val="24"/>
        </w:rPr>
      </w:pPr>
      <w:r w:rsidRPr="00723BA0">
        <w:rPr>
          <w:rFonts w:asciiTheme="majorBidi" w:hAnsiTheme="majorBidi" w:cstheme="majorBidi"/>
          <w:b/>
          <w:bCs/>
          <w:sz w:val="24"/>
          <w:szCs w:val="24"/>
        </w:rPr>
        <w:lastRenderedPageBreak/>
        <w:t xml:space="preserve">5.  </w:t>
      </w:r>
      <w:r w:rsidR="00C82989" w:rsidRPr="00723BA0">
        <w:rPr>
          <w:rFonts w:asciiTheme="majorBidi" w:hAnsiTheme="majorBidi" w:cstheme="majorBidi"/>
          <w:b/>
          <w:bCs/>
          <w:sz w:val="24"/>
          <w:szCs w:val="24"/>
        </w:rPr>
        <w:t>Summary and conclusion</w:t>
      </w:r>
    </w:p>
    <w:p w14:paraId="5A89EFCD" w14:textId="2770C061" w:rsidR="0039130A" w:rsidRDefault="00CB2A4C" w:rsidP="0039130A">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 xml:space="preserve">Despite </w:t>
      </w:r>
      <w:r w:rsidR="000106AD">
        <w:rPr>
          <w:rFonts w:asciiTheme="majorBidi" w:hAnsiTheme="majorBidi" w:cstheme="majorBidi"/>
          <w:sz w:val="24"/>
          <w:szCs w:val="24"/>
        </w:rPr>
        <w:t xml:space="preserve">the </w:t>
      </w:r>
      <w:r w:rsidRPr="00511F36">
        <w:rPr>
          <w:rFonts w:asciiTheme="majorBidi" w:hAnsiTheme="majorBidi" w:cstheme="majorBidi"/>
          <w:sz w:val="24"/>
          <w:szCs w:val="24"/>
        </w:rPr>
        <w:t xml:space="preserve">increasing </w:t>
      </w:r>
      <w:r w:rsidR="001F4D41">
        <w:rPr>
          <w:rFonts w:asciiTheme="majorBidi" w:hAnsiTheme="majorBidi" w:cstheme="majorBidi"/>
          <w:sz w:val="24"/>
          <w:szCs w:val="24"/>
        </w:rPr>
        <w:t xml:space="preserve">demand </w:t>
      </w:r>
      <w:r w:rsidR="0021354B">
        <w:rPr>
          <w:rFonts w:asciiTheme="majorBidi" w:hAnsiTheme="majorBidi" w:cstheme="majorBidi"/>
          <w:sz w:val="24"/>
          <w:szCs w:val="24"/>
        </w:rPr>
        <w:t>for</w:t>
      </w:r>
      <w:r w:rsidR="0021354B" w:rsidRPr="00511F36">
        <w:rPr>
          <w:rFonts w:asciiTheme="majorBidi" w:hAnsiTheme="majorBidi" w:cstheme="majorBidi"/>
          <w:sz w:val="24"/>
          <w:szCs w:val="24"/>
        </w:rPr>
        <w:t xml:space="preserve"> </w:t>
      </w:r>
      <w:r w:rsidRPr="00511F36">
        <w:rPr>
          <w:rFonts w:asciiTheme="majorBidi" w:hAnsiTheme="majorBidi" w:cstheme="majorBidi"/>
          <w:sz w:val="24"/>
          <w:szCs w:val="24"/>
        </w:rPr>
        <w:t xml:space="preserve">sound governance practices and the </w:t>
      </w:r>
      <w:r w:rsidR="00C7225E" w:rsidRPr="00511F36">
        <w:rPr>
          <w:rFonts w:asciiTheme="majorBidi" w:hAnsiTheme="majorBidi" w:cstheme="majorBidi"/>
          <w:sz w:val="24"/>
          <w:szCs w:val="24"/>
        </w:rPr>
        <w:t>significant</w:t>
      </w:r>
      <w:r w:rsidRPr="00511F36">
        <w:rPr>
          <w:rFonts w:asciiTheme="majorBidi" w:hAnsiTheme="majorBidi" w:cstheme="majorBidi"/>
          <w:sz w:val="24"/>
          <w:szCs w:val="24"/>
        </w:rPr>
        <w:t xml:space="preserve"> </w:t>
      </w:r>
      <w:r w:rsidR="00C7225E" w:rsidRPr="00511F36">
        <w:rPr>
          <w:rFonts w:asciiTheme="majorBidi" w:hAnsiTheme="majorBidi" w:cstheme="majorBidi"/>
          <w:sz w:val="24"/>
          <w:szCs w:val="24"/>
        </w:rPr>
        <w:t>changes in</w:t>
      </w:r>
      <w:r w:rsidR="00293251">
        <w:rPr>
          <w:rFonts w:asciiTheme="majorBidi" w:hAnsiTheme="majorBidi" w:cstheme="majorBidi"/>
          <w:sz w:val="24"/>
          <w:szCs w:val="24"/>
        </w:rPr>
        <w:t xml:space="preserve"> government</w:t>
      </w:r>
      <w:r w:rsidR="00C7225E" w:rsidRPr="00511F36">
        <w:rPr>
          <w:rFonts w:asciiTheme="majorBidi" w:hAnsiTheme="majorBidi" w:cstheme="majorBidi"/>
          <w:sz w:val="24"/>
          <w:szCs w:val="24"/>
        </w:rPr>
        <w:t xml:space="preserve"> policy and funding landscape of UK higher education institutions (HEIs), there </w:t>
      </w:r>
      <w:r w:rsidR="001F4D41">
        <w:rPr>
          <w:rFonts w:asciiTheme="majorBidi" w:hAnsiTheme="majorBidi" w:cstheme="majorBidi"/>
          <w:sz w:val="24"/>
          <w:szCs w:val="24"/>
        </w:rPr>
        <w:t>has been</w:t>
      </w:r>
      <w:r w:rsidR="00C7225E" w:rsidRPr="00511F36">
        <w:rPr>
          <w:rFonts w:asciiTheme="majorBidi" w:hAnsiTheme="majorBidi" w:cstheme="majorBidi"/>
          <w:sz w:val="24"/>
          <w:szCs w:val="24"/>
        </w:rPr>
        <w:t xml:space="preserve"> </w:t>
      </w:r>
      <w:r w:rsidR="0021354B">
        <w:rPr>
          <w:rFonts w:asciiTheme="majorBidi" w:hAnsiTheme="majorBidi" w:cstheme="majorBidi"/>
          <w:sz w:val="24"/>
          <w:szCs w:val="24"/>
        </w:rPr>
        <w:t>limited research</w:t>
      </w:r>
      <w:r w:rsidR="00C7225E" w:rsidRPr="00511F36">
        <w:rPr>
          <w:rFonts w:asciiTheme="majorBidi" w:hAnsiTheme="majorBidi" w:cstheme="majorBidi"/>
          <w:sz w:val="24"/>
          <w:szCs w:val="24"/>
        </w:rPr>
        <w:t xml:space="preserve"> </w:t>
      </w:r>
      <w:r w:rsidR="0021354B">
        <w:rPr>
          <w:rFonts w:asciiTheme="majorBidi" w:hAnsiTheme="majorBidi" w:cstheme="majorBidi"/>
          <w:sz w:val="24"/>
          <w:szCs w:val="24"/>
        </w:rPr>
        <w:t>investigating governance disclosure</w:t>
      </w:r>
      <w:r w:rsidR="00BC281D">
        <w:rPr>
          <w:rFonts w:asciiTheme="majorBidi" w:hAnsiTheme="majorBidi" w:cstheme="majorBidi"/>
          <w:sz w:val="24"/>
          <w:szCs w:val="24"/>
        </w:rPr>
        <w:t>s</w:t>
      </w:r>
      <w:r w:rsidR="0021354B">
        <w:rPr>
          <w:rFonts w:asciiTheme="majorBidi" w:hAnsiTheme="majorBidi" w:cstheme="majorBidi"/>
          <w:sz w:val="24"/>
          <w:szCs w:val="24"/>
        </w:rPr>
        <w:t xml:space="preserve"> among UK HEIs. </w:t>
      </w:r>
      <w:r w:rsidR="0049107C" w:rsidRPr="00511F36">
        <w:rPr>
          <w:rFonts w:asciiTheme="majorBidi" w:hAnsiTheme="majorBidi" w:cstheme="majorBidi"/>
          <w:sz w:val="24"/>
          <w:szCs w:val="24"/>
        </w:rPr>
        <w:t xml:space="preserve">Therefore, this </w:t>
      </w:r>
      <w:r w:rsidR="003C080D" w:rsidRPr="00511F36">
        <w:rPr>
          <w:rFonts w:asciiTheme="majorBidi" w:hAnsiTheme="majorBidi" w:cstheme="majorBidi"/>
          <w:sz w:val="24"/>
          <w:szCs w:val="24"/>
        </w:rPr>
        <w:t xml:space="preserve">study </w:t>
      </w:r>
      <w:r w:rsidR="000106AD">
        <w:rPr>
          <w:rFonts w:asciiTheme="majorBidi" w:hAnsiTheme="majorBidi" w:cstheme="majorBidi"/>
          <w:sz w:val="24"/>
          <w:szCs w:val="24"/>
        </w:rPr>
        <w:t xml:space="preserve">timely </w:t>
      </w:r>
      <w:r w:rsidR="0021354B">
        <w:rPr>
          <w:rFonts w:asciiTheme="majorBidi" w:hAnsiTheme="majorBidi" w:cstheme="majorBidi"/>
          <w:sz w:val="24"/>
          <w:szCs w:val="24"/>
        </w:rPr>
        <w:t>explores</w:t>
      </w:r>
      <w:r w:rsidR="0021354B" w:rsidRPr="00511F36">
        <w:rPr>
          <w:rFonts w:asciiTheme="majorBidi" w:hAnsiTheme="majorBidi" w:cstheme="majorBidi"/>
          <w:sz w:val="24"/>
          <w:szCs w:val="24"/>
        </w:rPr>
        <w:t xml:space="preserve"> </w:t>
      </w:r>
      <w:r w:rsidR="003C080D" w:rsidRPr="00511F36">
        <w:rPr>
          <w:rFonts w:asciiTheme="majorBidi" w:hAnsiTheme="majorBidi" w:cstheme="majorBidi"/>
          <w:sz w:val="24"/>
          <w:szCs w:val="24"/>
        </w:rPr>
        <w:t>the extent to which UK HEIs engage in voluntary governance disclosure</w:t>
      </w:r>
      <w:r w:rsidR="00952C65" w:rsidRPr="00511F36">
        <w:rPr>
          <w:rFonts w:asciiTheme="majorBidi" w:hAnsiTheme="majorBidi" w:cstheme="majorBidi"/>
          <w:sz w:val="24"/>
          <w:szCs w:val="24"/>
        </w:rPr>
        <w:t>s</w:t>
      </w:r>
      <w:r w:rsidR="003C080D" w:rsidRPr="00511F36">
        <w:rPr>
          <w:rFonts w:asciiTheme="majorBidi" w:hAnsiTheme="majorBidi" w:cstheme="majorBidi"/>
          <w:sz w:val="24"/>
          <w:szCs w:val="24"/>
        </w:rPr>
        <w:t xml:space="preserve">, and consequently </w:t>
      </w:r>
      <w:r w:rsidR="00713378" w:rsidRPr="00511F36">
        <w:rPr>
          <w:rFonts w:asciiTheme="majorBidi" w:hAnsiTheme="majorBidi" w:cstheme="majorBidi"/>
          <w:sz w:val="24"/>
          <w:szCs w:val="24"/>
        </w:rPr>
        <w:t xml:space="preserve">investigates whether internal governance mechanisms influence voluntary disclosures. Specifically, we </w:t>
      </w:r>
      <w:r w:rsidR="00EB19E6" w:rsidRPr="00511F36">
        <w:rPr>
          <w:rFonts w:asciiTheme="majorBidi" w:hAnsiTheme="majorBidi" w:cstheme="majorBidi"/>
          <w:sz w:val="24"/>
          <w:szCs w:val="24"/>
        </w:rPr>
        <w:t>investigate the impact of vice-chancellor characteristics (age, gender, education background and tenure) and governing board mechanisms (governing board</w:t>
      </w:r>
      <w:r w:rsidR="005076CA">
        <w:rPr>
          <w:rFonts w:asciiTheme="majorBidi" w:hAnsiTheme="majorBidi" w:cstheme="majorBidi"/>
          <w:sz w:val="24"/>
          <w:szCs w:val="24"/>
        </w:rPr>
        <w:t xml:space="preserve"> ethnic/gender</w:t>
      </w:r>
      <w:r w:rsidR="00EB19E6" w:rsidRPr="00511F36">
        <w:rPr>
          <w:rFonts w:asciiTheme="majorBidi" w:hAnsiTheme="majorBidi" w:cstheme="majorBidi"/>
          <w:sz w:val="24"/>
          <w:szCs w:val="24"/>
        </w:rPr>
        <w:t xml:space="preserve"> diversity,</w:t>
      </w:r>
      <w:r w:rsidR="002B12AF">
        <w:rPr>
          <w:rFonts w:asciiTheme="majorBidi" w:hAnsiTheme="majorBidi" w:cstheme="majorBidi"/>
          <w:sz w:val="24"/>
          <w:szCs w:val="24"/>
        </w:rPr>
        <w:t xml:space="preserve"> </w:t>
      </w:r>
      <w:r w:rsidR="00EB19E6" w:rsidRPr="00511F36">
        <w:rPr>
          <w:rFonts w:asciiTheme="majorBidi" w:hAnsiTheme="majorBidi" w:cstheme="majorBidi"/>
          <w:sz w:val="24"/>
          <w:szCs w:val="24"/>
        </w:rPr>
        <w:t>independence, meetings</w:t>
      </w:r>
      <w:r w:rsidR="00E745B9">
        <w:rPr>
          <w:rFonts w:asciiTheme="majorBidi" w:hAnsiTheme="majorBidi" w:cstheme="majorBidi"/>
          <w:sz w:val="24"/>
          <w:szCs w:val="24"/>
        </w:rPr>
        <w:t xml:space="preserve"> and </w:t>
      </w:r>
      <w:r w:rsidR="005076CA">
        <w:rPr>
          <w:rFonts w:asciiTheme="majorBidi" w:hAnsiTheme="majorBidi" w:cstheme="majorBidi"/>
          <w:sz w:val="24"/>
          <w:szCs w:val="24"/>
        </w:rPr>
        <w:t xml:space="preserve">the presence of a </w:t>
      </w:r>
      <w:r w:rsidR="00EB19E6" w:rsidRPr="00511F36">
        <w:rPr>
          <w:rFonts w:asciiTheme="majorBidi" w:hAnsiTheme="majorBidi" w:cstheme="majorBidi"/>
          <w:sz w:val="24"/>
          <w:szCs w:val="24"/>
        </w:rPr>
        <w:t>governance committee) on voluntary governance disclosures</w:t>
      </w:r>
      <w:r w:rsidRPr="00511F36">
        <w:rPr>
          <w:rFonts w:asciiTheme="majorBidi" w:hAnsiTheme="majorBidi" w:cstheme="majorBidi"/>
          <w:sz w:val="24"/>
          <w:szCs w:val="24"/>
        </w:rPr>
        <w:t xml:space="preserve"> among 117 UK </w:t>
      </w:r>
      <w:r w:rsidRPr="00511F36">
        <w:rPr>
          <w:rFonts w:asciiTheme="majorBidi" w:hAnsiTheme="majorBidi" w:cstheme="majorBidi"/>
          <w:i/>
          <w:iCs/>
          <w:sz w:val="24"/>
          <w:szCs w:val="24"/>
        </w:rPr>
        <w:t>HEIs</w:t>
      </w:r>
      <w:r w:rsidRPr="00511F36">
        <w:rPr>
          <w:rFonts w:asciiTheme="majorBidi" w:hAnsiTheme="majorBidi" w:cstheme="majorBidi"/>
          <w:sz w:val="24"/>
          <w:szCs w:val="24"/>
        </w:rPr>
        <w:t>.</w:t>
      </w:r>
      <w:r w:rsidR="0049107C" w:rsidRPr="00511F36">
        <w:rPr>
          <w:rFonts w:asciiTheme="majorBidi" w:hAnsiTheme="majorBidi" w:cstheme="majorBidi"/>
          <w:sz w:val="24"/>
          <w:szCs w:val="24"/>
        </w:rPr>
        <w:t xml:space="preserve"> </w:t>
      </w:r>
    </w:p>
    <w:p w14:paraId="00BADBCC" w14:textId="77777777" w:rsidR="0039130A" w:rsidRDefault="0049107C" w:rsidP="0039130A">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 xml:space="preserve">We find that the levels of governance disclosure </w:t>
      </w:r>
      <w:r w:rsidR="00AB2165">
        <w:rPr>
          <w:rFonts w:asciiTheme="majorBidi" w:hAnsiTheme="majorBidi" w:cstheme="majorBidi"/>
          <w:sz w:val="24"/>
          <w:szCs w:val="24"/>
        </w:rPr>
        <w:t>among</w:t>
      </w:r>
      <w:r w:rsidRPr="00511F36">
        <w:rPr>
          <w:rFonts w:asciiTheme="majorBidi" w:hAnsiTheme="majorBidi" w:cstheme="majorBidi"/>
          <w:sz w:val="24"/>
          <w:szCs w:val="24"/>
        </w:rPr>
        <w:t xml:space="preserve"> HEIs</w:t>
      </w:r>
      <w:r w:rsidR="00AB2165">
        <w:rPr>
          <w:rFonts w:asciiTheme="majorBidi" w:hAnsiTheme="majorBidi" w:cstheme="majorBidi"/>
          <w:sz w:val="24"/>
          <w:szCs w:val="24"/>
        </w:rPr>
        <w:t xml:space="preserve"> in the UK</w:t>
      </w:r>
      <w:r w:rsidRPr="00511F36">
        <w:rPr>
          <w:rFonts w:asciiTheme="majorBidi" w:hAnsiTheme="majorBidi" w:cstheme="majorBidi"/>
          <w:sz w:val="24"/>
          <w:szCs w:val="24"/>
        </w:rPr>
        <w:t xml:space="preserve"> are significantly low </w:t>
      </w:r>
      <w:r w:rsidR="00A93188">
        <w:rPr>
          <w:rFonts w:asciiTheme="majorBidi" w:hAnsiTheme="majorBidi" w:cstheme="majorBidi"/>
          <w:sz w:val="24"/>
          <w:szCs w:val="24"/>
        </w:rPr>
        <w:t xml:space="preserve">compared to the findings of prior studies that have been conducted </w:t>
      </w:r>
      <w:r w:rsidR="00BC281D">
        <w:rPr>
          <w:rFonts w:asciiTheme="majorBidi" w:hAnsiTheme="majorBidi" w:cstheme="majorBidi"/>
          <w:sz w:val="24"/>
          <w:szCs w:val="24"/>
        </w:rPr>
        <w:t xml:space="preserve">in </w:t>
      </w:r>
      <w:r w:rsidR="00AB2165">
        <w:rPr>
          <w:rFonts w:asciiTheme="majorBidi" w:hAnsiTheme="majorBidi" w:cstheme="majorBidi"/>
          <w:sz w:val="24"/>
          <w:szCs w:val="24"/>
        </w:rPr>
        <w:t xml:space="preserve">similar-sized </w:t>
      </w:r>
      <w:r w:rsidR="00A93188" w:rsidRPr="00511F36">
        <w:rPr>
          <w:rFonts w:asciiTheme="majorBidi" w:hAnsiTheme="majorBidi" w:cstheme="majorBidi"/>
          <w:sz w:val="24"/>
          <w:szCs w:val="24"/>
        </w:rPr>
        <w:t>publicly traded corporations</w:t>
      </w:r>
      <w:r w:rsidR="00A93188">
        <w:rPr>
          <w:rFonts w:asciiTheme="majorBidi" w:hAnsiTheme="majorBidi" w:cstheme="majorBidi"/>
          <w:sz w:val="24"/>
          <w:szCs w:val="24"/>
        </w:rPr>
        <w:t xml:space="preserve">. </w:t>
      </w:r>
      <w:r w:rsidRPr="00511F36">
        <w:rPr>
          <w:rFonts w:asciiTheme="majorBidi" w:hAnsiTheme="majorBidi" w:cstheme="majorBidi"/>
          <w:sz w:val="24"/>
          <w:szCs w:val="24"/>
        </w:rPr>
        <w:t xml:space="preserve">We also find that vice-chancellor characteristics and </w:t>
      </w:r>
      <w:r w:rsidR="00046C2C" w:rsidRPr="00511F36">
        <w:rPr>
          <w:rFonts w:asciiTheme="majorBidi" w:hAnsiTheme="majorBidi" w:cstheme="majorBidi"/>
          <w:sz w:val="24"/>
          <w:szCs w:val="24"/>
        </w:rPr>
        <w:t>governing board mechanisms have significant impact on voluntary governance disclosures. Specifically, we report positive and significant association among vice-chancellor tenure (</w:t>
      </w:r>
      <w:r w:rsidR="00046C2C" w:rsidRPr="00511F36">
        <w:rPr>
          <w:rFonts w:asciiTheme="majorBidi" w:hAnsiTheme="majorBidi" w:cstheme="majorBidi"/>
          <w:i/>
          <w:iCs/>
          <w:sz w:val="24"/>
          <w:szCs w:val="24"/>
        </w:rPr>
        <w:t>V</w:t>
      </w:r>
      <w:r w:rsidR="00AB3F27">
        <w:rPr>
          <w:rFonts w:asciiTheme="majorBidi" w:hAnsiTheme="majorBidi" w:cstheme="majorBidi"/>
          <w:i/>
          <w:iCs/>
          <w:sz w:val="24"/>
          <w:szCs w:val="24"/>
        </w:rPr>
        <w:t>C</w:t>
      </w:r>
      <w:r w:rsidR="00046C2C" w:rsidRPr="00511F36">
        <w:rPr>
          <w:rFonts w:asciiTheme="majorBidi" w:hAnsiTheme="majorBidi" w:cstheme="majorBidi"/>
          <w:i/>
          <w:iCs/>
          <w:sz w:val="24"/>
          <w:szCs w:val="24"/>
        </w:rPr>
        <w:t>T</w:t>
      </w:r>
      <w:r w:rsidR="00AB3F27">
        <w:rPr>
          <w:rFonts w:asciiTheme="majorBidi" w:hAnsiTheme="majorBidi" w:cstheme="majorBidi"/>
          <w:i/>
          <w:iCs/>
          <w:sz w:val="24"/>
          <w:szCs w:val="24"/>
        </w:rPr>
        <w:t>EN</w:t>
      </w:r>
      <w:r w:rsidR="00046C2C" w:rsidRPr="00511F36">
        <w:rPr>
          <w:rFonts w:asciiTheme="majorBidi" w:hAnsiTheme="majorBidi" w:cstheme="majorBidi"/>
          <w:sz w:val="24"/>
          <w:szCs w:val="24"/>
        </w:rPr>
        <w:t>), governing board independence (</w:t>
      </w:r>
      <w:r w:rsidR="00046C2C" w:rsidRPr="00511F36">
        <w:rPr>
          <w:rFonts w:asciiTheme="majorBidi" w:hAnsiTheme="majorBidi" w:cstheme="majorBidi"/>
          <w:i/>
          <w:iCs/>
          <w:sz w:val="24"/>
          <w:szCs w:val="24"/>
        </w:rPr>
        <w:t>G</w:t>
      </w:r>
      <w:r w:rsidR="00AB3F27">
        <w:rPr>
          <w:rFonts w:asciiTheme="majorBidi" w:hAnsiTheme="majorBidi" w:cstheme="majorBidi"/>
          <w:i/>
          <w:iCs/>
          <w:sz w:val="24"/>
          <w:szCs w:val="24"/>
        </w:rPr>
        <w:t>B</w:t>
      </w:r>
      <w:r w:rsidR="00046C2C" w:rsidRPr="00511F36">
        <w:rPr>
          <w:rFonts w:asciiTheme="majorBidi" w:hAnsiTheme="majorBidi" w:cstheme="majorBidi"/>
          <w:i/>
          <w:iCs/>
          <w:sz w:val="24"/>
          <w:szCs w:val="24"/>
        </w:rPr>
        <w:t>I</w:t>
      </w:r>
      <w:r w:rsidR="00AB3F27">
        <w:rPr>
          <w:rFonts w:asciiTheme="majorBidi" w:hAnsiTheme="majorBidi" w:cstheme="majorBidi"/>
          <w:i/>
          <w:iCs/>
          <w:sz w:val="24"/>
          <w:szCs w:val="24"/>
        </w:rPr>
        <w:t>ND</w:t>
      </w:r>
      <w:r w:rsidR="00046C2C" w:rsidRPr="00511F36">
        <w:rPr>
          <w:rFonts w:asciiTheme="majorBidi" w:hAnsiTheme="majorBidi" w:cstheme="majorBidi"/>
          <w:sz w:val="24"/>
          <w:szCs w:val="24"/>
        </w:rPr>
        <w:t>)</w:t>
      </w:r>
      <w:r w:rsidR="003C2617">
        <w:rPr>
          <w:rFonts w:asciiTheme="majorBidi" w:hAnsiTheme="majorBidi" w:cstheme="majorBidi"/>
          <w:sz w:val="24"/>
          <w:szCs w:val="24"/>
        </w:rPr>
        <w:t>,</w:t>
      </w:r>
      <w:r w:rsidR="00046C2C" w:rsidRPr="00511F36">
        <w:rPr>
          <w:rFonts w:asciiTheme="majorBidi" w:hAnsiTheme="majorBidi" w:cstheme="majorBidi"/>
          <w:sz w:val="24"/>
          <w:szCs w:val="24"/>
        </w:rPr>
        <w:t xml:space="preserve"> meetings (</w:t>
      </w:r>
      <w:r w:rsidR="00046C2C" w:rsidRPr="00511F36">
        <w:rPr>
          <w:rFonts w:asciiTheme="majorBidi" w:hAnsiTheme="majorBidi" w:cstheme="majorBidi"/>
          <w:i/>
          <w:iCs/>
          <w:sz w:val="24"/>
          <w:szCs w:val="24"/>
        </w:rPr>
        <w:t>G</w:t>
      </w:r>
      <w:r w:rsidR="00AB3F27">
        <w:rPr>
          <w:rFonts w:asciiTheme="majorBidi" w:hAnsiTheme="majorBidi" w:cstheme="majorBidi"/>
          <w:i/>
          <w:iCs/>
          <w:sz w:val="24"/>
          <w:szCs w:val="24"/>
        </w:rPr>
        <w:t>B</w:t>
      </w:r>
      <w:r w:rsidR="00046C2C" w:rsidRPr="00511F36">
        <w:rPr>
          <w:rFonts w:asciiTheme="majorBidi" w:hAnsiTheme="majorBidi" w:cstheme="majorBidi"/>
          <w:i/>
          <w:iCs/>
          <w:sz w:val="24"/>
          <w:szCs w:val="24"/>
        </w:rPr>
        <w:t>M</w:t>
      </w:r>
      <w:r w:rsidR="00AB3F27">
        <w:rPr>
          <w:rFonts w:asciiTheme="majorBidi" w:hAnsiTheme="majorBidi" w:cstheme="majorBidi"/>
          <w:i/>
          <w:iCs/>
          <w:sz w:val="24"/>
          <w:szCs w:val="24"/>
        </w:rPr>
        <w:t>T</w:t>
      </w:r>
      <w:r w:rsidR="00046C2C" w:rsidRPr="00511F36">
        <w:rPr>
          <w:rFonts w:asciiTheme="majorBidi" w:hAnsiTheme="majorBidi" w:cstheme="majorBidi"/>
          <w:sz w:val="24"/>
          <w:szCs w:val="24"/>
        </w:rPr>
        <w:t xml:space="preserve">), </w:t>
      </w:r>
      <w:r w:rsidR="00A12F46">
        <w:rPr>
          <w:rFonts w:asciiTheme="majorBidi" w:hAnsiTheme="majorBidi" w:cstheme="majorBidi"/>
          <w:sz w:val="24"/>
          <w:szCs w:val="24"/>
        </w:rPr>
        <w:t xml:space="preserve">the presence of a </w:t>
      </w:r>
      <w:r w:rsidR="00046C2C" w:rsidRPr="00511F36">
        <w:rPr>
          <w:rFonts w:asciiTheme="majorBidi" w:hAnsiTheme="majorBidi" w:cstheme="majorBidi"/>
          <w:sz w:val="24"/>
          <w:szCs w:val="24"/>
        </w:rPr>
        <w:t>governance committee (</w:t>
      </w:r>
      <w:r w:rsidR="00AB3F27">
        <w:rPr>
          <w:rFonts w:asciiTheme="majorBidi" w:hAnsiTheme="majorBidi" w:cstheme="majorBidi"/>
          <w:i/>
          <w:iCs/>
          <w:sz w:val="24"/>
          <w:szCs w:val="24"/>
        </w:rPr>
        <w:t>EGC</w:t>
      </w:r>
      <w:r w:rsidR="00046C2C" w:rsidRPr="00511F36">
        <w:rPr>
          <w:rFonts w:asciiTheme="majorBidi" w:hAnsiTheme="majorBidi" w:cstheme="majorBidi"/>
          <w:sz w:val="24"/>
          <w:szCs w:val="24"/>
        </w:rPr>
        <w:t>) and voluntary governance disclosures (</w:t>
      </w:r>
      <w:r w:rsidR="00046C2C" w:rsidRPr="00511F36">
        <w:rPr>
          <w:rFonts w:asciiTheme="majorBidi" w:hAnsiTheme="majorBidi" w:cstheme="majorBidi"/>
          <w:i/>
          <w:iCs/>
          <w:sz w:val="24"/>
          <w:szCs w:val="24"/>
        </w:rPr>
        <w:t>HEGI</w:t>
      </w:r>
      <w:r w:rsidR="00046C2C" w:rsidRPr="00511F36">
        <w:rPr>
          <w:rFonts w:asciiTheme="majorBidi" w:hAnsiTheme="majorBidi" w:cstheme="majorBidi"/>
          <w:sz w:val="24"/>
          <w:szCs w:val="24"/>
        </w:rPr>
        <w:t xml:space="preserve">). </w:t>
      </w:r>
      <w:r w:rsidR="003C2617">
        <w:rPr>
          <w:rFonts w:asciiTheme="majorBidi" w:hAnsiTheme="majorBidi" w:cstheme="majorBidi"/>
          <w:sz w:val="24"/>
          <w:szCs w:val="24"/>
        </w:rPr>
        <w:t>By contrast</w:t>
      </w:r>
      <w:r w:rsidR="00046C2C" w:rsidRPr="00511F36">
        <w:rPr>
          <w:rFonts w:asciiTheme="majorBidi" w:hAnsiTheme="majorBidi" w:cstheme="majorBidi"/>
          <w:sz w:val="24"/>
          <w:szCs w:val="24"/>
        </w:rPr>
        <w:t>, we find that vice-chancellor age (</w:t>
      </w:r>
      <w:r w:rsidR="00046C2C" w:rsidRPr="00511F36">
        <w:rPr>
          <w:rFonts w:asciiTheme="majorBidi" w:hAnsiTheme="majorBidi" w:cstheme="majorBidi"/>
          <w:i/>
          <w:iCs/>
          <w:sz w:val="24"/>
          <w:szCs w:val="24"/>
        </w:rPr>
        <w:t>V</w:t>
      </w:r>
      <w:r w:rsidR="00AB3F27">
        <w:rPr>
          <w:rFonts w:asciiTheme="majorBidi" w:hAnsiTheme="majorBidi" w:cstheme="majorBidi"/>
          <w:i/>
          <w:iCs/>
          <w:sz w:val="24"/>
          <w:szCs w:val="24"/>
        </w:rPr>
        <w:t>C</w:t>
      </w:r>
      <w:r w:rsidR="00046C2C" w:rsidRPr="00511F36">
        <w:rPr>
          <w:rFonts w:asciiTheme="majorBidi" w:hAnsiTheme="majorBidi" w:cstheme="majorBidi"/>
          <w:i/>
          <w:iCs/>
          <w:sz w:val="24"/>
          <w:szCs w:val="24"/>
        </w:rPr>
        <w:t>A</w:t>
      </w:r>
      <w:r w:rsidR="00AB3F27">
        <w:rPr>
          <w:rFonts w:asciiTheme="majorBidi" w:hAnsiTheme="majorBidi" w:cstheme="majorBidi"/>
          <w:i/>
          <w:iCs/>
          <w:sz w:val="24"/>
          <w:szCs w:val="24"/>
        </w:rPr>
        <w:t>GE</w:t>
      </w:r>
      <w:r w:rsidR="00046C2C" w:rsidRPr="00511F36">
        <w:rPr>
          <w:rFonts w:asciiTheme="majorBidi" w:hAnsiTheme="majorBidi" w:cstheme="majorBidi"/>
          <w:sz w:val="24"/>
          <w:szCs w:val="24"/>
        </w:rPr>
        <w:t xml:space="preserve">), </w:t>
      </w:r>
      <w:r w:rsidR="00E745B9">
        <w:rPr>
          <w:rFonts w:asciiTheme="majorBidi" w:hAnsiTheme="majorBidi" w:cstheme="majorBidi"/>
          <w:sz w:val="24"/>
          <w:szCs w:val="24"/>
        </w:rPr>
        <w:t xml:space="preserve">and </w:t>
      </w:r>
      <w:r w:rsidR="00046C2C" w:rsidRPr="00511F36">
        <w:rPr>
          <w:rFonts w:asciiTheme="majorBidi" w:hAnsiTheme="majorBidi" w:cstheme="majorBidi"/>
          <w:sz w:val="24"/>
          <w:szCs w:val="24"/>
        </w:rPr>
        <w:t>board diversity (</w:t>
      </w:r>
      <w:r w:rsidR="00046C2C" w:rsidRPr="00511F36">
        <w:rPr>
          <w:rFonts w:asciiTheme="majorBidi" w:hAnsiTheme="majorBidi" w:cstheme="majorBidi"/>
          <w:i/>
          <w:iCs/>
          <w:sz w:val="24"/>
          <w:szCs w:val="24"/>
        </w:rPr>
        <w:t>G</w:t>
      </w:r>
      <w:r w:rsidR="00AB3F27">
        <w:rPr>
          <w:rFonts w:asciiTheme="majorBidi" w:hAnsiTheme="majorBidi" w:cstheme="majorBidi"/>
          <w:i/>
          <w:iCs/>
          <w:sz w:val="24"/>
          <w:szCs w:val="24"/>
        </w:rPr>
        <w:t>BGE</w:t>
      </w:r>
      <w:r w:rsidR="00046C2C" w:rsidRPr="00511F36">
        <w:rPr>
          <w:rFonts w:asciiTheme="majorBidi" w:hAnsiTheme="majorBidi" w:cstheme="majorBidi"/>
          <w:i/>
          <w:iCs/>
          <w:sz w:val="24"/>
          <w:szCs w:val="24"/>
        </w:rPr>
        <w:t>D</w:t>
      </w:r>
      <w:r w:rsidR="00046C2C" w:rsidRPr="00511F36">
        <w:rPr>
          <w:rFonts w:asciiTheme="majorBidi" w:hAnsiTheme="majorBidi" w:cstheme="majorBidi"/>
          <w:sz w:val="24"/>
          <w:szCs w:val="24"/>
        </w:rPr>
        <w:t xml:space="preserve">) have negative association with the </w:t>
      </w:r>
      <w:r w:rsidR="00046C2C" w:rsidRPr="00511F36">
        <w:rPr>
          <w:rFonts w:asciiTheme="majorBidi" w:hAnsiTheme="majorBidi" w:cstheme="majorBidi"/>
          <w:i/>
          <w:iCs/>
          <w:sz w:val="24"/>
          <w:szCs w:val="24"/>
        </w:rPr>
        <w:t>HEGI</w:t>
      </w:r>
      <w:r w:rsidR="00046C2C" w:rsidRPr="00511F36">
        <w:rPr>
          <w:rFonts w:asciiTheme="majorBidi" w:hAnsiTheme="majorBidi" w:cstheme="majorBidi"/>
          <w:sz w:val="24"/>
          <w:szCs w:val="24"/>
        </w:rPr>
        <w:t>, whereas vice-chancellor gender (</w:t>
      </w:r>
      <w:r w:rsidR="00046C2C" w:rsidRPr="00511F36">
        <w:rPr>
          <w:rFonts w:asciiTheme="majorBidi" w:hAnsiTheme="majorBidi" w:cstheme="majorBidi"/>
          <w:i/>
          <w:iCs/>
          <w:sz w:val="24"/>
          <w:szCs w:val="24"/>
        </w:rPr>
        <w:t>V</w:t>
      </w:r>
      <w:r w:rsidR="00AB3F27">
        <w:rPr>
          <w:rFonts w:asciiTheme="majorBidi" w:hAnsiTheme="majorBidi" w:cstheme="majorBidi"/>
          <w:i/>
          <w:iCs/>
          <w:sz w:val="24"/>
          <w:szCs w:val="24"/>
        </w:rPr>
        <w:t>C</w:t>
      </w:r>
      <w:r w:rsidR="00046C2C" w:rsidRPr="00511F36">
        <w:rPr>
          <w:rFonts w:asciiTheme="majorBidi" w:hAnsiTheme="majorBidi" w:cstheme="majorBidi"/>
          <w:i/>
          <w:iCs/>
          <w:sz w:val="24"/>
          <w:szCs w:val="24"/>
        </w:rPr>
        <w:t>G</w:t>
      </w:r>
      <w:r w:rsidR="00AB3F27">
        <w:rPr>
          <w:rFonts w:asciiTheme="majorBidi" w:hAnsiTheme="majorBidi" w:cstheme="majorBidi"/>
          <w:i/>
          <w:iCs/>
          <w:sz w:val="24"/>
          <w:szCs w:val="24"/>
        </w:rPr>
        <w:t>EN</w:t>
      </w:r>
      <w:r w:rsidR="00046C2C" w:rsidRPr="00511F36">
        <w:rPr>
          <w:rFonts w:asciiTheme="majorBidi" w:hAnsiTheme="majorBidi" w:cstheme="majorBidi"/>
          <w:sz w:val="24"/>
          <w:szCs w:val="24"/>
        </w:rPr>
        <w:t>)</w:t>
      </w:r>
      <w:r w:rsidR="00E745B9">
        <w:rPr>
          <w:rFonts w:asciiTheme="majorBidi" w:hAnsiTheme="majorBidi" w:cstheme="majorBidi"/>
          <w:sz w:val="24"/>
          <w:szCs w:val="24"/>
        </w:rPr>
        <w:t xml:space="preserve"> and</w:t>
      </w:r>
      <w:r w:rsidR="00046C2C" w:rsidRPr="00511F36">
        <w:rPr>
          <w:rFonts w:asciiTheme="majorBidi" w:hAnsiTheme="majorBidi" w:cstheme="majorBidi"/>
          <w:sz w:val="24"/>
          <w:szCs w:val="24"/>
        </w:rPr>
        <w:t xml:space="preserve"> </w:t>
      </w:r>
      <w:r w:rsidR="006D7C8A" w:rsidRPr="00511F36">
        <w:rPr>
          <w:rFonts w:asciiTheme="majorBidi" w:hAnsiTheme="majorBidi" w:cstheme="majorBidi"/>
          <w:sz w:val="24"/>
          <w:szCs w:val="24"/>
        </w:rPr>
        <w:t>education</w:t>
      </w:r>
      <w:r w:rsidR="00046C2C" w:rsidRPr="00511F36">
        <w:rPr>
          <w:rFonts w:asciiTheme="majorBidi" w:hAnsiTheme="majorBidi" w:cstheme="majorBidi"/>
          <w:sz w:val="24"/>
          <w:szCs w:val="24"/>
        </w:rPr>
        <w:t xml:space="preserve"> background (</w:t>
      </w:r>
      <w:r w:rsidR="00046C2C" w:rsidRPr="00511F36">
        <w:rPr>
          <w:rFonts w:asciiTheme="majorBidi" w:hAnsiTheme="majorBidi" w:cstheme="majorBidi"/>
          <w:i/>
          <w:iCs/>
          <w:sz w:val="24"/>
          <w:szCs w:val="24"/>
        </w:rPr>
        <w:t>V</w:t>
      </w:r>
      <w:r w:rsidR="00AB3F27">
        <w:rPr>
          <w:rFonts w:asciiTheme="majorBidi" w:hAnsiTheme="majorBidi" w:cstheme="majorBidi"/>
          <w:i/>
          <w:iCs/>
          <w:sz w:val="24"/>
          <w:szCs w:val="24"/>
        </w:rPr>
        <w:t>CE</w:t>
      </w:r>
      <w:r w:rsidR="00046C2C" w:rsidRPr="00511F36">
        <w:rPr>
          <w:rFonts w:asciiTheme="majorBidi" w:hAnsiTheme="majorBidi" w:cstheme="majorBidi"/>
          <w:i/>
          <w:iCs/>
          <w:sz w:val="24"/>
          <w:szCs w:val="24"/>
        </w:rPr>
        <w:t>D</w:t>
      </w:r>
      <w:r w:rsidR="00AB3F27">
        <w:rPr>
          <w:rFonts w:asciiTheme="majorBidi" w:hAnsiTheme="majorBidi" w:cstheme="majorBidi"/>
          <w:i/>
          <w:iCs/>
          <w:sz w:val="24"/>
          <w:szCs w:val="24"/>
        </w:rPr>
        <w:t>U</w:t>
      </w:r>
      <w:r w:rsidR="00046C2C" w:rsidRPr="00511F36">
        <w:rPr>
          <w:rFonts w:asciiTheme="majorBidi" w:hAnsiTheme="majorBidi" w:cstheme="majorBidi"/>
          <w:sz w:val="24"/>
          <w:szCs w:val="24"/>
        </w:rPr>
        <w:t xml:space="preserve">) have no association with the </w:t>
      </w:r>
      <w:r w:rsidR="00046C2C" w:rsidRPr="00511F36">
        <w:rPr>
          <w:rFonts w:asciiTheme="majorBidi" w:hAnsiTheme="majorBidi" w:cstheme="majorBidi"/>
          <w:i/>
          <w:iCs/>
          <w:sz w:val="24"/>
          <w:szCs w:val="24"/>
        </w:rPr>
        <w:t>HEGI</w:t>
      </w:r>
      <w:r w:rsidR="00046C2C" w:rsidRPr="00511F36">
        <w:rPr>
          <w:rFonts w:asciiTheme="majorBidi" w:hAnsiTheme="majorBidi" w:cstheme="majorBidi"/>
          <w:sz w:val="24"/>
          <w:szCs w:val="24"/>
        </w:rPr>
        <w:t>.</w:t>
      </w:r>
    </w:p>
    <w:p w14:paraId="38722E2D" w14:textId="28BBA1F5" w:rsidR="0039130A" w:rsidRDefault="006A7EDA" w:rsidP="0039130A">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 xml:space="preserve">Our findings </w:t>
      </w:r>
      <w:r w:rsidR="00BC6094">
        <w:rPr>
          <w:rFonts w:asciiTheme="majorBidi" w:hAnsiTheme="majorBidi" w:cstheme="majorBidi"/>
          <w:sz w:val="24"/>
          <w:szCs w:val="24"/>
        </w:rPr>
        <w:t>have</w:t>
      </w:r>
      <w:r>
        <w:rPr>
          <w:rFonts w:asciiTheme="majorBidi" w:hAnsiTheme="majorBidi" w:cstheme="majorBidi"/>
          <w:sz w:val="24"/>
          <w:szCs w:val="24"/>
        </w:rPr>
        <w:t xml:space="preserve"> several practical implications for </w:t>
      </w:r>
      <w:r w:rsidR="009A523C" w:rsidRPr="00E132DB">
        <w:rPr>
          <w:rFonts w:asciiTheme="majorBidi" w:hAnsiTheme="majorBidi" w:cstheme="majorBidi"/>
          <w:sz w:val="24"/>
          <w:szCs w:val="24"/>
        </w:rPr>
        <w:t>UK</w:t>
      </w:r>
      <w:r w:rsidR="0005644E" w:rsidRPr="00E132DB">
        <w:rPr>
          <w:rFonts w:asciiTheme="majorBidi" w:hAnsiTheme="majorBidi" w:cstheme="majorBidi"/>
          <w:sz w:val="24"/>
          <w:szCs w:val="24"/>
        </w:rPr>
        <w:t xml:space="preserve"> </w:t>
      </w:r>
      <w:r w:rsidR="009A523C" w:rsidRPr="00E132DB">
        <w:rPr>
          <w:rFonts w:asciiTheme="majorBidi" w:hAnsiTheme="majorBidi" w:cstheme="majorBidi"/>
          <w:sz w:val="24"/>
          <w:szCs w:val="24"/>
        </w:rPr>
        <w:t>regulatory and enforcement bodies</w:t>
      </w:r>
      <w:r w:rsidR="0005644E" w:rsidRPr="00E132DB">
        <w:rPr>
          <w:rFonts w:asciiTheme="majorBidi" w:hAnsiTheme="majorBidi" w:cstheme="majorBidi"/>
          <w:sz w:val="24"/>
          <w:szCs w:val="24"/>
        </w:rPr>
        <w:t xml:space="preserve">. For </w:t>
      </w:r>
      <w:r>
        <w:rPr>
          <w:rFonts w:asciiTheme="majorBidi" w:hAnsiTheme="majorBidi" w:cstheme="majorBidi"/>
          <w:sz w:val="24"/>
          <w:szCs w:val="24"/>
        </w:rPr>
        <w:t>instance</w:t>
      </w:r>
      <w:r w:rsidR="0005644E" w:rsidRPr="00E132DB">
        <w:rPr>
          <w:rFonts w:asciiTheme="majorBidi" w:hAnsiTheme="majorBidi" w:cstheme="majorBidi"/>
          <w:sz w:val="24"/>
          <w:szCs w:val="24"/>
        </w:rPr>
        <w:t xml:space="preserve">, our </w:t>
      </w:r>
      <w:r>
        <w:rPr>
          <w:rFonts w:asciiTheme="majorBidi" w:hAnsiTheme="majorBidi" w:cstheme="majorBidi"/>
          <w:sz w:val="24"/>
          <w:szCs w:val="24"/>
        </w:rPr>
        <w:t>results</w:t>
      </w:r>
      <w:r w:rsidRPr="00E132DB">
        <w:rPr>
          <w:rFonts w:asciiTheme="majorBidi" w:hAnsiTheme="majorBidi" w:cstheme="majorBidi"/>
          <w:sz w:val="24"/>
          <w:szCs w:val="24"/>
        </w:rPr>
        <w:t xml:space="preserve"> </w:t>
      </w:r>
      <w:r w:rsidR="0005644E" w:rsidRPr="00E132DB">
        <w:rPr>
          <w:rFonts w:asciiTheme="majorBidi" w:hAnsiTheme="majorBidi" w:cstheme="majorBidi"/>
          <w:sz w:val="24"/>
          <w:szCs w:val="24"/>
        </w:rPr>
        <w:t xml:space="preserve">reveal that </w:t>
      </w:r>
      <w:r w:rsidR="00A56E9C" w:rsidRPr="00E132DB">
        <w:rPr>
          <w:rFonts w:asciiTheme="majorBidi" w:hAnsiTheme="majorBidi" w:cstheme="majorBidi"/>
          <w:sz w:val="24"/>
          <w:szCs w:val="24"/>
        </w:rPr>
        <w:t>governance disclosure</w:t>
      </w:r>
      <w:r w:rsidR="006A6F67">
        <w:rPr>
          <w:rFonts w:asciiTheme="majorBidi" w:hAnsiTheme="majorBidi" w:cstheme="majorBidi"/>
          <w:sz w:val="24"/>
          <w:szCs w:val="24"/>
        </w:rPr>
        <w:t>s</w:t>
      </w:r>
      <w:r w:rsidR="00A56E9C" w:rsidRPr="00E132DB">
        <w:rPr>
          <w:rFonts w:asciiTheme="majorBidi" w:hAnsiTheme="majorBidi" w:cstheme="majorBidi"/>
          <w:sz w:val="24"/>
          <w:szCs w:val="24"/>
        </w:rPr>
        <w:t xml:space="preserve"> </w:t>
      </w:r>
      <w:r w:rsidR="006A6F67">
        <w:rPr>
          <w:rFonts w:asciiTheme="majorBidi" w:hAnsiTheme="majorBidi" w:cstheme="majorBidi"/>
          <w:sz w:val="24"/>
          <w:szCs w:val="24"/>
        </w:rPr>
        <w:t>differ</w:t>
      </w:r>
      <w:r w:rsidR="006A6F67" w:rsidRPr="00E132DB">
        <w:rPr>
          <w:rFonts w:asciiTheme="majorBidi" w:hAnsiTheme="majorBidi" w:cstheme="majorBidi"/>
          <w:sz w:val="24"/>
          <w:szCs w:val="24"/>
        </w:rPr>
        <w:t xml:space="preserve"> </w:t>
      </w:r>
      <w:r w:rsidR="00F176B0" w:rsidRPr="00E132DB">
        <w:rPr>
          <w:rFonts w:asciiTheme="majorBidi" w:hAnsiTheme="majorBidi" w:cstheme="majorBidi"/>
          <w:sz w:val="24"/>
          <w:szCs w:val="24"/>
        </w:rPr>
        <w:t>significantly</w:t>
      </w:r>
      <w:r w:rsidR="00A56E9C" w:rsidRPr="00E132DB">
        <w:rPr>
          <w:rFonts w:asciiTheme="majorBidi" w:hAnsiTheme="majorBidi" w:cstheme="majorBidi"/>
          <w:sz w:val="24"/>
          <w:szCs w:val="24"/>
        </w:rPr>
        <w:t xml:space="preserve"> among HEIs</w:t>
      </w:r>
      <w:r w:rsidR="006A6F67">
        <w:rPr>
          <w:rFonts w:asciiTheme="majorBidi" w:hAnsiTheme="majorBidi" w:cstheme="majorBidi"/>
          <w:sz w:val="24"/>
          <w:szCs w:val="24"/>
        </w:rPr>
        <w:t xml:space="preserve"> in the UK</w:t>
      </w:r>
      <w:r w:rsidR="00A56E9C" w:rsidRPr="00E132DB">
        <w:rPr>
          <w:rFonts w:asciiTheme="majorBidi" w:hAnsiTheme="majorBidi" w:cstheme="majorBidi"/>
          <w:sz w:val="24"/>
          <w:szCs w:val="24"/>
        </w:rPr>
        <w:t xml:space="preserve"> and this may </w:t>
      </w:r>
      <w:r w:rsidR="00C86C12">
        <w:rPr>
          <w:rFonts w:asciiTheme="majorBidi" w:hAnsiTheme="majorBidi" w:cstheme="majorBidi"/>
          <w:sz w:val="24"/>
          <w:szCs w:val="24"/>
        </w:rPr>
        <w:t>serve as an impetus for</w:t>
      </w:r>
      <w:r w:rsidR="00A56E9C" w:rsidRPr="00E132DB">
        <w:rPr>
          <w:rFonts w:asciiTheme="majorBidi" w:hAnsiTheme="majorBidi" w:cstheme="majorBidi"/>
          <w:sz w:val="24"/>
          <w:szCs w:val="24"/>
        </w:rPr>
        <w:t xml:space="preserve"> UK </w:t>
      </w:r>
      <w:r w:rsidR="009A523C" w:rsidRPr="00E132DB">
        <w:rPr>
          <w:rFonts w:asciiTheme="majorBidi" w:hAnsiTheme="majorBidi" w:cstheme="majorBidi"/>
          <w:sz w:val="24"/>
          <w:szCs w:val="24"/>
        </w:rPr>
        <w:t>regulatory bodies</w:t>
      </w:r>
      <w:r w:rsidR="00A56E9C" w:rsidRPr="00E132DB">
        <w:rPr>
          <w:rFonts w:asciiTheme="majorBidi" w:hAnsiTheme="majorBidi" w:cstheme="majorBidi"/>
          <w:sz w:val="24"/>
          <w:szCs w:val="24"/>
        </w:rPr>
        <w:t xml:space="preserve"> and policy-makers to find ways to improve </w:t>
      </w:r>
      <w:r w:rsidR="00A47955">
        <w:rPr>
          <w:rFonts w:asciiTheme="majorBidi" w:hAnsiTheme="majorBidi" w:cstheme="majorBidi"/>
          <w:sz w:val="24"/>
          <w:szCs w:val="24"/>
        </w:rPr>
        <w:t xml:space="preserve">governance </w:t>
      </w:r>
      <w:r w:rsidR="00C12411" w:rsidRPr="00E132DB">
        <w:rPr>
          <w:rFonts w:asciiTheme="majorBidi" w:hAnsiTheme="majorBidi" w:cstheme="majorBidi"/>
          <w:sz w:val="24"/>
          <w:szCs w:val="24"/>
        </w:rPr>
        <w:t>compliance</w:t>
      </w:r>
      <w:r w:rsidR="00A47955">
        <w:rPr>
          <w:rFonts w:asciiTheme="majorBidi" w:hAnsiTheme="majorBidi" w:cstheme="majorBidi"/>
          <w:sz w:val="24"/>
          <w:szCs w:val="24"/>
        </w:rPr>
        <w:t>/</w:t>
      </w:r>
      <w:r w:rsidR="00C12411" w:rsidRPr="00E132DB">
        <w:rPr>
          <w:rFonts w:asciiTheme="majorBidi" w:hAnsiTheme="majorBidi" w:cstheme="majorBidi"/>
          <w:sz w:val="24"/>
          <w:szCs w:val="24"/>
        </w:rPr>
        <w:t xml:space="preserve">disclosure </w:t>
      </w:r>
      <w:r w:rsidR="00A47955">
        <w:rPr>
          <w:rFonts w:asciiTheme="majorBidi" w:hAnsiTheme="majorBidi" w:cstheme="majorBidi"/>
          <w:sz w:val="24"/>
          <w:szCs w:val="24"/>
        </w:rPr>
        <w:t>behaviour</w:t>
      </w:r>
      <w:r w:rsidR="00C12411" w:rsidRPr="00E132DB">
        <w:rPr>
          <w:rFonts w:asciiTheme="majorBidi" w:hAnsiTheme="majorBidi" w:cstheme="majorBidi"/>
          <w:sz w:val="24"/>
          <w:szCs w:val="24"/>
        </w:rPr>
        <w:t xml:space="preserve">. To </w:t>
      </w:r>
      <w:r w:rsidR="00DB477A" w:rsidRPr="00E132DB">
        <w:rPr>
          <w:rFonts w:asciiTheme="majorBidi" w:hAnsiTheme="majorBidi" w:cstheme="majorBidi"/>
          <w:sz w:val="24"/>
          <w:szCs w:val="24"/>
        </w:rPr>
        <w:t>enhance compliance</w:t>
      </w:r>
      <w:r w:rsidR="00C12411" w:rsidRPr="00E132DB">
        <w:rPr>
          <w:rFonts w:asciiTheme="majorBidi" w:hAnsiTheme="majorBidi" w:cstheme="majorBidi"/>
          <w:sz w:val="24"/>
          <w:szCs w:val="24"/>
        </w:rPr>
        <w:t xml:space="preserve"> and disclosure of governance practices,</w:t>
      </w:r>
      <w:r w:rsidR="002D1CE2" w:rsidRPr="00E132DB">
        <w:rPr>
          <w:rFonts w:asciiTheme="majorBidi" w:hAnsiTheme="majorBidi" w:cstheme="majorBidi"/>
          <w:sz w:val="24"/>
          <w:szCs w:val="24"/>
        </w:rPr>
        <w:t xml:space="preserve"> the </w:t>
      </w:r>
      <w:r w:rsidR="009A523C" w:rsidRPr="00E132DB">
        <w:rPr>
          <w:rFonts w:asciiTheme="majorBidi" w:hAnsiTheme="majorBidi" w:cstheme="majorBidi"/>
          <w:sz w:val="24"/>
          <w:szCs w:val="24"/>
        </w:rPr>
        <w:t>UK regulatory bodies</w:t>
      </w:r>
      <w:r w:rsidR="002D1CE2" w:rsidRPr="00E132DB">
        <w:rPr>
          <w:rFonts w:asciiTheme="majorBidi" w:hAnsiTheme="majorBidi" w:cstheme="majorBidi"/>
          <w:sz w:val="24"/>
          <w:szCs w:val="24"/>
        </w:rPr>
        <w:t xml:space="preserve"> (e.g., </w:t>
      </w:r>
      <w:r w:rsidR="009A523C" w:rsidRPr="00E132DB">
        <w:rPr>
          <w:rFonts w:asciiTheme="majorBidi" w:hAnsiTheme="majorBidi" w:cstheme="majorBidi"/>
          <w:sz w:val="24"/>
          <w:szCs w:val="24"/>
        </w:rPr>
        <w:t xml:space="preserve">CUC, CSC, and </w:t>
      </w:r>
      <w:r w:rsidR="009A523C" w:rsidRPr="00E132DB">
        <w:rPr>
          <w:rFonts w:asciiTheme="majorBidi" w:hAnsiTheme="majorBidi" w:cstheme="majorBidi"/>
          <w:sz w:val="24"/>
          <w:szCs w:val="24"/>
        </w:rPr>
        <w:lastRenderedPageBreak/>
        <w:t>HEFCE) may cons</w:t>
      </w:r>
      <w:r w:rsidR="00DB477A" w:rsidRPr="00E132DB">
        <w:rPr>
          <w:rFonts w:asciiTheme="majorBidi" w:hAnsiTheme="majorBidi" w:cstheme="majorBidi"/>
          <w:sz w:val="24"/>
          <w:szCs w:val="24"/>
        </w:rPr>
        <w:t xml:space="preserve">ider setting-up an independent committee to monitor the implementation and disclosure of governance practices among UK HEIs. </w:t>
      </w:r>
      <w:r w:rsidR="000B2974" w:rsidRPr="00E132DB">
        <w:rPr>
          <w:rFonts w:asciiTheme="majorBidi" w:hAnsiTheme="majorBidi" w:cstheme="majorBidi"/>
          <w:sz w:val="24"/>
          <w:szCs w:val="24"/>
        </w:rPr>
        <w:t xml:space="preserve">Further, the findings indicate that vice-chancellor gender diversity is </w:t>
      </w:r>
      <w:r w:rsidR="00A47955">
        <w:rPr>
          <w:rFonts w:asciiTheme="majorBidi" w:hAnsiTheme="majorBidi" w:cstheme="majorBidi"/>
          <w:sz w:val="24"/>
          <w:szCs w:val="24"/>
        </w:rPr>
        <w:t>not related to</w:t>
      </w:r>
      <w:r w:rsidR="000B2974" w:rsidRPr="00E132DB">
        <w:rPr>
          <w:rFonts w:asciiTheme="majorBidi" w:hAnsiTheme="majorBidi" w:cstheme="majorBidi"/>
          <w:sz w:val="24"/>
          <w:szCs w:val="24"/>
        </w:rPr>
        <w:t xml:space="preserve"> governance compliance</w:t>
      </w:r>
      <w:r w:rsidR="00A47955">
        <w:rPr>
          <w:rFonts w:asciiTheme="majorBidi" w:hAnsiTheme="majorBidi" w:cstheme="majorBidi"/>
          <w:sz w:val="24"/>
          <w:szCs w:val="24"/>
        </w:rPr>
        <w:t>/</w:t>
      </w:r>
      <w:r w:rsidR="000B2974" w:rsidRPr="00E132DB">
        <w:rPr>
          <w:rFonts w:asciiTheme="majorBidi" w:hAnsiTheme="majorBidi" w:cstheme="majorBidi"/>
          <w:sz w:val="24"/>
          <w:szCs w:val="24"/>
        </w:rPr>
        <w:t>disclosure behaviour and this may</w:t>
      </w:r>
      <w:r w:rsidR="00B20C78">
        <w:rPr>
          <w:rFonts w:asciiTheme="majorBidi" w:hAnsiTheme="majorBidi" w:cstheme="majorBidi"/>
          <w:sz w:val="24"/>
          <w:szCs w:val="24"/>
        </w:rPr>
        <w:t xml:space="preserve"> be</w:t>
      </w:r>
      <w:r w:rsidR="000B2974" w:rsidRPr="00E132DB">
        <w:rPr>
          <w:rFonts w:asciiTheme="majorBidi" w:hAnsiTheme="majorBidi" w:cstheme="majorBidi"/>
          <w:sz w:val="24"/>
          <w:szCs w:val="24"/>
        </w:rPr>
        <w:t xml:space="preserve"> due to </w:t>
      </w:r>
      <w:r w:rsidR="0011300E">
        <w:rPr>
          <w:rFonts w:asciiTheme="majorBidi" w:hAnsiTheme="majorBidi" w:cstheme="majorBidi"/>
          <w:sz w:val="24"/>
          <w:szCs w:val="24"/>
        </w:rPr>
        <w:t xml:space="preserve">the fact </w:t>
      </w:r>
      <w:r w:rsidR="000B2974" w:rsidRPr="00E132DB">
        <w:rPr>
          <w:rFonts w:asciiTheme="majorBidi" w:hAnsiTheme="majorBidi" w:cstheme="majorBidi"/>
          <w:sz w:val="24"/>
          <w:szCs w:val="24"/>
        </w:rPr>
        <w:t xml:space="preserve">that UK HEIs’ boards are dominated by </w:t>
      </w:r>
      <w:r w:rsidR="000E4575" w:rsidRPr="00E132DB">
        <w:rPr>
          <w:rFonts w:asciiTheme="majorBidi" w:hAnsiTheme="majorBidi" w:cstheme="majorBidi"/>
          <w:sz w:val="24"/>
          <w:szCs w:val="24"/>
        </w:rPr>
        <w:t>male vice-chancellors</w:t>
      </w:r>
      <w:r w:rsidR="000B2974" w:rsidRPr="00E132DB">
        <w:rPr>
          <w:rFonts w:asciiTheme="majorBidi" w:hAnsiTheme="majorBidi" w:cstheme="majorBidi"/>
          <w:sz w:val="24"/>
          <w:szCs w:val="24"/>
        </w:rPr>
        <w:t xml:space="preserve"> (i.e., 82.91%, see Table </w:t>
      </w:r>
      <w:r w:rsidR="001043BC">
        <w:rPr>
          <w:rFonts w:asciiTheme="majorBidi" w:hAnsiTheme="majorBidi" w:cstheme="majorBidi"/>
          <w:sz w:val="24"/>
          <w:szCs w:val="24"/>
        </w:rPr>
        <w:t>4</w:t>
      </w:r>
      <w:r w:rsidR="000B2974" w:rsidRPr="00E132DB">
        <w:rPr>
          <w:rFonts w:asciiTheme="majorBidi" w:hAnsiTheme="majorBidi" w:cstheme="majorBidi"/>
          <w:sz w:val="24"/>
          <w:szCs w:val="24"/>
        </w:rPr>
        <w:t>).</w:t>
      </w:r>
      <w:r w:rsidR="000E4575" w:rsidRPr="00E132DB">
        <w:rPr>
          <w:rFonts w:asciiTheme="majorBidi" w:hAnsiTheme="majorBidi" w:cstheme="majorBidi"/>
          <w:sz w:val="24"/>
          <w:szCs w:val="24"/>
        </w:rPr>
        <w:t xml:space="preserve"> This </w:t>
      </w:r>
      <w:r w:rsidR="0097536A">
        <w:rPr>
          <w:rFonts w:asciiTheme="majorBidi" w:hAnsiTheme="majorBidi" w:cstheme="majorBidi"/>
          <w:sz w:val="24"/>
          <w:szCs w:val="24"/>
        </w:rPr>
        <w:t>insignificant evidence may lead to policy reforms aimed at</w:t>
      </w:r>
      <w:r w:rsidR="000E4575" w:rsidRPr="00E132DB">
        <w:rPr>
          <w:rFonts w:asciiTheme="majorBidi" w:hAnsiTheme="majorBidi" w:cstheme="majorBidi"/>
          <w:sz w:val="24"/>
          <w:szCs w:val="24"/>
        </w:rPr>
        <w:t xml:space="preserve"> increasing the percentage and participation of female vice-chancellors in UK HEIs’ boardrooms. </w:t>
      </w:r>
    </w:p>
    <w:p w14:paraId="6CC060EB" w14:textId="77777777" w:rsidR="0039130A" w:rsidRDefault="000E4575" w:rsidP="0039130A">
      <w:pPr>
        <w:spacing w:after="0" w:line="480" w:lineRule="auto"/>
        <w:ind w:firstLine="426"/>
        <w:jc w:val="both"/>
        <w:rPr>
          <w:rFonts w:asciiTheme="majorBidi" w:hAnsiTheme="majorBidi" w:cstheme="majorBidi"/>
          <w:sz w:val="24"/>
          <w:szCs w:val="24"/>
        </w:rPr>
      </w:pPr>
      <w:r w:rsidRPr="00E132DB">
        <w:rPr>
          <w:rFonts w:asciiTheme="majorBidi" w:hAnsiTheme="majorBidi" w:cstheme="majorBidi"/>
          <w:sz w:val="24"/>
          <w:szCs w:val="24"/>
        </w:rPr>
        <w:t xml:space="preserve">Additionally, our findings suggest that UK HEIs that have </w:t>
      </w:r>
      <w:r w:rsidR="007F1365">
        <w:rPr>
          <w:rFonts w:asciiTheme="majorBidi" w:hAnsiTheme="majorBidi" w:cstheme="majorBidi"/>
          <w:sz w:val="24"/>
          <w:szCs w:val="24"/>
        </w:rPr>
        <w:t xml:space="preserve">a </w:t>
      </w:r>
      <w:r w:rsidRPr="00E132DB">
        <w:rPr>
          <w:rFonts w:asciiTheme="majorBidi" w:hAnsiTheme="majorBidi" w:cstheme="majorBidi"/>
          <w:sz w:val="24"/>
          <w:szCs w:val="24"/>
        </w:rPr>
        <w:t xml:space="preserve">separate governance committee tend to have better governance compliance and disclosure scores, and this may motivate </w:t>
      </w:r>
      <w:r w:rsidR="001836C6">
        <w:rPr>
          <w:rFonts w:asciiTheme="majorBidi" w:hAnsiTheme="majorBidi" w:cstheme="majorBidi"/>
          <w:sz w:val="24"/>
          <w:szCs w:val="24"/>
        </w:rPr>
        <w:t xml:space="preserve">regulators in the UK to develop </w:t>
      </w:r>
      <w:r w:rsidR="00916478" w:rsidRPr="00E132DB">
        <w:rPr>
          <w:rFonts w:asciiTheme="majorBidi" w:hAnsiTheme="majorBidi" w:cstheme="majorBidi"/>
          <w:sz w:val="24"/>
          <w:szCs w:val="24"/>
        </w:rPr>
        <w:t xml:space="preserve">new legislations that encourage UK HEIs to establish </w:t>
      </w:r>
      <w:r w:rsidR="00476D2F">
        <w:rPr>
          <w:rFonts w:asciiTheme="majorBidi" w:hAnsiTheme="majorBidi" w:cstheme="majorBidi"/>
          <w:sz w:val="24"/>
          <w:szCs w:val="24"/>
        </w:rPr>
        <w:t xml:space="preserve">a </w:t>
      </w:r>
      <w:r w:rsidR="00916478" w:rsidRPr="00E132DB">
        <w:rPr>
          <w:rFonts w:asciiTheme="majorBidi" w:hAnsiTheme="majorBidi" w:cstheme="majorBidi"/>
          <w:sz w:val="24"/>
          <w:szCs w:val="24"/>
        </w:rPr>
        <w:t xml:space="preserve">separate governance committee in order to </w:t>
      </w:r>
      <w:r w:rsidR="001836C6">
        <w:rPr>
          <w:rFonts w:asciiTheme="majorBidi" w:hAnsiTheme="majorBidi" w:cstheme="majorBidi"/>
          <w:sz w:val="24"/>
          <w:szCs w:val="24"/>
        </w:rPr>
        <w:t>strengthen</w:t>
      </w:r>
      <w:r w:rsidR="001836C6" w:rsidRPr="00E132DB">
        <w:rPr>
          <w:rFonts w:asciiTheme="majorBidi" w:hAnsiTheme="majorBidi" w:cstheme="majorBidi"/>
          <w:sz w:val="24"/>
          <w:szCs w:val="24"/>
        </w:rPr>
        <w:t xml:space="preserve"> </w:t>
      </w:r>
      <w:r w:rsidR="00916478" w:rsidRPr="00E132DB">
        <w:rPr>
          <w:rFonts w:asciiTheme="majorBidi" w:hAnsiTheme="majorBidi" w:cstheme="majorBidi"/>
          <w:sz w:val="24"/>
          <w:szCs w:val="24"/>
        </w:rPr>
        <w:t xml:space="preserve">the implementation and disclosure of governance practices. In addition, the findings indicate that </w:t>
      </w:r>
      <w:r w:rsidR="001836C6">
        <w:rPr>
          <w:rFonts w:asciiTheme="majorBidi" w:hAnsiTheme="majorBidi" w:cstheme="majorBidi"/>
          <w:sz w:val="24"/>
          <w:szCs w:val="24"/>
        </w:rPr>
        <w:t xml:space="preserve">ethnic and gender diversity of the </w:t>
      </w:r>
      <w:r w:rsidR="00916478" w:rsidRPr="00E132DB">
        <w:rPr>
          <w:rFonts w:asciiTheme="majorBidi" w:hAnsiTheme="majorBidi" w:cstheme="majorBidi"/>
          <w:sz w:val="24"/>
          <w:szCs w:val="24"/>
        </w:rPr>
        <w:t xml:space="preserve">governing </w:t>
      </w:r>
      <w:r w:rsidR="001836C6">
        <w:rPr>
          <w:rFonts w:asciiTheme="majorBidi" w:hAnsiTheme="majorBidi" w:cstheme="majorBidi"/>
          <w:sz w:val="24"/>
          <w:szCs w:val="24"/>
        </w:rPr>
        <w:t xml:space="preserve">has significant negative relationship </w:t>
      </w:r>
      <w:r w:rsidR="00916478" w:rsidRPr="00E132DB">
        <w:rPr>
          <w:rFonts w:asciiTheme="majorBidi" w:hAnsiTheme="majorBidi" w:cstheme="majorBidi"/>
          <w:sz w:val="24"/>
          <w:szCs w:val="24"/>
        </w:rPr>
        <w:t>with governance compliance and disclosure score, and this may due to</w:t>
      </w:r>
      <w:r w:rsidR="00CB7B7B" w:rsidRPr="00E132DB">
        <w:rPr>
          <w:rFonts w:asciiTheme="majorBidi" w:hAnsiTheme="majorBidi" w:cstheme="majorBidi"/>
          <w:sz w:val="24"/>
          <w:szCs w:val="24"/>
        </w:rPr>
        <w:t xml:space="preserve"> </w:t>
      </w:r>
      <w:r w:rsidR="00C86C12">
        <w:rPr>
          <w:rFonts w:asciiTheme="majorBidi" w:hAnsiTheme="majorBidi" w:cstheme="majorBidi"/>
          <w:sz w:val="24"/>
          <w:szCs w:val="24"/>
        </w:rPr>
        <w:t xml:space="preserve">the fact that </w:t>
      </w:r>
      <w:r w:rsidR="00CB7B7B" w:rsidRPr="00E132DB">
        <w:rPr>
          <w:rFonts w:asciiTheme="majorBidi" w:hAnsiTheme="majorBidi" w:cstheme="majorBidi"/>
          <w:sz w:val="24"/>
          <w:szCs w:val="24"/>
        </w:rPr>
        <w:t xml:space="preserve">UK HEIs’ boardrooms are dominated by white male </w:t>
      </w:r>
      <w:r w:rsidR="00C86C12">
        <w:rPr>
          <w:rFonts w:asciiTheme="majorBidi" w:hAnsiTheme="majorBidi" w:cstheme="majorBidi"/>
          <w:sz w:val="24"/>
          <w:szCs w:val="24"/>
        </w:rPr>
        <w:t>governors</w:t>
      </w:r>
      <w:r w:rsidR="00CB7B7B" w:rsidRPr="00E132DB">
        <w:rPr>
          <w:rFonts w:asciiTheme="majorBidi" w:hAnsiTheme="majorBidi" w:cstheme="majorBidi"/>
          <w:sz w:val="24"/>
          <w:szCs w:val="24"/>
        </w:rPr>
        <w:t xml:space="preserve">. </w:t>
      </w:r>
      <w:r w:rsidR="001836C6">
        <w:rPr>
          <w:rFonts w:asciiTheme="majorBidi" w:hAnsiTheme="majorBidi" w:cstheme="majorBidi"/>
          <w:sz w:val="24"/>
          <w:szCs w:val="24"/>
        </w:rPr>
        <w:t>This evidence may lead to policy reforms</w:t>
      </w:r>
      <w:r w:rsidR="00BC281D">
        <w:rPr>
          <w:rFonts w:asciiTheme="majorBidi" w:hAnsiTheme="majorBidi" w:cstheme="majorBidi"/>
          <w:sz w:val="24"/>
          <w:szCs w:val="24"/>
        </w:rPr>
        <w:t xml:space="preserve"> that seek</w:t>
      </w:r>
      <w:r w:rsidR="001836C6">
        <w:rPr>
          <w:rFonts w:asciiTheme="majorBidi" w:hAnsiTheme="majorBidi" w:cstheme="majorBidi"/>
          <w:sz w:val="24"/>
          <w:szCs w:val="24"/>
        </w:rPr>
        <w:t xml:space="preserve"> </w:t>
      </w:r>
      <w:r w:rsidR="0092274B">
        <w:rPr>
          <w:rFonts w:asciiTheme="majorBidi" w:hAnsiTheme="majorBidi" w:cstheme="majorBidi"/>
          <w:sz w:val="24"/>
          <w:szCs w:val="24"/>
        </w:rPr>
        <w:t>to increase female/ethnic minorities participation in top managerial positions</w:t>
      </w:r>
      <w:r w:rsidR="007F5963">
        <w:rPr>
          <w:rFonts w:asciiTheme="majorBidi" w:hAnsiTheme="majorBidi" w:cstheme="majorBidi"/>
          <w:sz w:val="24"/>
          <w:szCs w:val="24"/>
        </w:rPr>
        <w:t xml:space="preserve"> within the UK HE sector</w:t>
      </w:r>
      <w:r w:rsidR="0092274B">
        <w:rPr>
          <w:rFonts w:asciiTheme="majorBidi" w:hAnsiTheme="majorBidi" w:cstheme="majorBidi"/>
          <w:sz w:val="24"/>
          <w:szCs w:val="24"/>
        </w:rPr>
        <w:t>.</w:t>
      </w:r>
    </w:p>
    <w:p w14:paraId="4BA09565" w14:textId="57BBDA13" w:rsidR="001836C6" w:rsidRDefault="008F0AF7" w:rsidP="0039130A">
      <w:pPr>
        <w:spacing w:after="0" w:line="480" w:lineRule="auto"/>
        <w:ind w:firstLine="426"/>
        <w:jc w:val="both"/>
        <w:rPr>
          <w:rFonts w:asciiTheme="majorBidi" w:hAnsiTheme="majorBidi" w:cstheme="majorBidi"/>
          <w:sz w:val="24"/>
          <w:szCs w:val="24"/>
        </w:rPr>
      </w:pPr>
      <w:r w:rsidRPr="008F0AF7">
        <w:rPr>
          <w:rFonts w:asciiTheme="majorBidi" w:hAnsiTheme="majorBidi" w:cstheme="majorBidi"/>
          <w:sz w:val="24"/>
          <w:szCs w:val="24"/>
        </w:rPr>
        <w:t xml:space="preserve">Our findings can be generalised to other HEIs around the world due to the following reasons. First and although the UK higher education governance system is different from </w:t>
      </w:r>
      <w:r w:rsidR="00F526E0" w:rsidRPr="00F526E0">
        <w:rPr>
          <w:rFonts w:asciiTheme="majorBidi" w:hAnsiTheme="majorBidi" w:cstheme="majorBidi"/>
          <w:sz w:val="24"/>
          <w:szCs w:val="24"/>
        </w:rPr>
        <w:t>that of other European countries</w:t>
      </w:r>
      <w:r w:rsidRPr="008F0AF7">
        <w:rPr>
          <w:rFonts w:asciiTheme="majorBidi" w:hAnsiTheme="majorBidi" w:cstheme="majorBidi"/>
          <w:sz w:val="24"/>
          <w:szCs w:val="24"/>
        </w:rPr>
        <w:t xml:space="preserve"> in that the former is characterised by the “market governance model”, where HEIs are viewed as independent legal entities from central government and with greater financial autonomy</w:t>
      </w:r>
      <w:r w:rsidR="006F69A8">
        <w:rPr>
          <w:rFonts w:asciiTheme="majorBidi" w:hAnsiTheme="majorBidi" w:cstheme="majorBidi"/>
          <w:sz w:val="24"/>
          <w:szCs w:val="24"/>
        </w:rPr>
        <w:t>.</w:t>
      </w:r>
      <w:r w:rsidRPr="008F0AF7">
        <w:rPr>
          <w:rFonts w:asciiTheme="majorBidi" w:hAnsiTheme="majorBidi" w:cstheme="majorBidi"/>
          <w:sz w:val="24"/>
          <w:szCs w:val="24"/>
        </w:rPr>
        <w:t xml:space="preserve"> </w:t>
      </w:r>
      <w:r w:rsidR="006F69A8">
        <w:rPr>
          <w:rFonts w:asciiTheme="majorBidi" w:hAnsiTheme="majorBidi" w:cstheme="majorBidi"/>
          <w:sz w:val="24"/>
          <w:szCs w:val="24"/>
        </w:rPr>
        <w:t>B</w:t>
      </w:r>
      <w:r w:rsidRPr="008F0AF7">
        <w:rPr>
          <w:rFonts w:asciiTheme="majorBidi" w:hAnsiTheme="majorBidi" w:cstheme="majorBidi"/>
          <w:sz w:val="24"/>
          <w:szCs w:val="24"/>
        </w:rPr>
        <w:t xml:space="preserve">y contrast, </w:t>
      </w:r>
      <w:r w:rsidR="006F69A8">
        <w:rPr>
          <w:rFonts w:asciiTheme="majorBidi" w:hAnsiTheme="majorBidi" w:cstheme="majorBidi"/>
          <w:sz w:val="24"/>
          <w:szCs w:val="24"/>
        </w:rPr>
        <w:t>HEIs in</w:t>
      </w:r>
      <w:r w:rsidRPr="008F0AF7">
        <w:rPr>
          <w:rFonts w:asciiTheme="majorBidi" w:hAnsiTheme="majorBidi" w:cstheme="majorBidi"/>
          <w:sz w:val="24"/>
          <w:szCs w:val="24"/>
        </w:rPr>
        <w:t xml:space="preserve"> </w:t>
      </w:r>
      <w:r w:rsidR="006F69A8">
        <w:rPr>
          <w:rFonts w:asciiTheme="majorBidi" w:hAnsiTheme="majorBidi" w:cstheme="majorBidi"/>
          <w:sz w:val="24"/>
          <w:szCs w:val="24"/>
        </w:rPr>
        <w:t>European countries</w:t>
      </w:r>
      <w:r w:rsidRPr="008F0AF7">
        <w:rPr>
          <w:rFonts w:asciiTheme="majorBidi" w:hAnsiTheme="majorBidi" w:cstheme="majorBidi"/>
          <w:sz w:val="24"/>
          <w:szCs w:val="24"/>
        </w:rPr>
        <w:t xml:space="preserve"> </w:t>
      </w:r>
      <w:r w:rsidR="006F69A8">
        <w:rPr>
          <w:rFonts w:asciiTheme="majorBidi" w:hAnsiTheme="majorBidi" w:cstheme="majorBidi"/>
          <w:sz w:val="24"/>
          <w:szCs w:val="24"/>
        </w:rPr>
        <w:t>are</w:t>
      </w:r>
      <w:r w:rsidRPr="008F0AF7">
        <w:rPr>
          <w:rFonts w:asciiTheme="majorBidi" w:hAnsiTheme="majorBidi" w:cstheme="majorBidi"/>
          <w:sz w:val="24"/>
          <w:szCs w:val="24"/>
        </w:rPr>
        <w:t xml:space="preserve"> characterised by the “Napoleonic or Humboldtian governance models”</w:t>
      </w:r>
      <w:r w:rsidRPr="008F0AF7">
        <w:rPr>
          <w:rFonts w:asciiTheme="majorBidi" w:hAnsiTheme="majorBidi" w:cstheme="majorBidi"/>
          <w:sz w:val="24"/>
          <w:szCs w:val="24"/>
          <w:vertAlign w:val="superscript"/>
        </w:rPr>
        <w:footnoteReference w:id="5"/>
      </w:r>
      <w:r w:rsidRPr="008F0AF7">
        <w:rPr>
          <w:rFonts w:asciiTheme="majorBidi" w:hAnsiTheme="majorBidi" w:cstheme="majorBidi"/>
          <w:sz w:val="24"/>
          <w:szCs w:val="24"/>
        </w:rPr>
        <w:t xml:space="preserve">, where the central government play strong </w:t>
      </w:r>
      <w:r w:rsidRPr="008F0AF7">
        <w:rPr>
          <w:rFonts w:asciiTheme="majorBidi" w:hAnsiTheme="majorBidi" w:cstheme="majorBidi"/>
          <w:sz w:val="24"/>
          <w:szCs w:val="24"/>
        </w:rPr>
        <w:lastRenderedPageBreak/>
        <w:t>role in the leadership, regulation and funding of HEIs (De Boer et al., 2008)</w:t>
      </w:r>
      <w:r w:rsidR="006F69A8">
        <w:rPr>
          <w:rFonts w:asciiTheme="majorBidi" w:hAnsiTheme="majorBidi" w:cstheme="majorBidi"/>
          <w:sz w:val="24"/>
          <w:szCs w:val="24"/>
        </w:rPr>
        <w:t>.</w:t>
      </w:r>
      <w:r w:rsidRPr="008F0AF7">
        <w:rPr>
          <w:rFonts w:asciiTheme="majorBidi" w:hAnsiTheme="majorBidi" w:cstheme="majorBidi"/>
          <w:sz w:val="24"/>
          <w:szCs w:val="24"/>
        </w:rPr>
        <w:t xml:space="preserve"> </w:t>
      </w:r>
      <w:r w:rsidR="006F69A8">
        <w:rPr>
          <w:rFonts w:asciiTheme="majorBidi" w:hAnsiTheme="majorBidi" w:cstheme="majorBidi"/>
          <w:sz w:val="24"/>
          <w:szCs w:val="24"/>
        </w:rPr>
        <w:t xml:space="preserve">However, </w:t>
      </w:r>
      <w:r w:rsidR="00490D64">
        <w:rPr>
          <w:rFonts w:asciiTheme="majorBidi" w:hAnsiTheme="majorBidi" w:cstheme="majorBidi"/>
          <w:sz w:val="24"/>
          <w:szCs w:val="24"/>
        </w:rPr>
        <w:t>with</w:t>
      </w:r>
      <w:r w:rsidR="006F69A8">
        <w:rPr>
          <w:rFonts w:asciiTheme="majorBidi" w:hAnsiTheme="majorBidi" w:cstheme="majorBidi"/>
          <w:sz w:val="24"/>
          <w:szCs w:val="24"/>
        </w:rPr>
        <w:t xml:space="preserve"> </w:t>
      </w:r>
      <w:r w:rsidR="0051703F">
        <w:rPr>
          <w:rFonts w:asciiTheme="majorBidi" w:hAnsiTheme="majorBidi" w:cstheme="majorBidi"/>
          <w:sz w:val="24"/>
          <w:szCs w:val="24"/>
        </w:rPr>
        <w:t>the</w:t>
      </w:r>
      <w:r w:rsidRPr="008F0AF7">
        <w:rPr>
          <w:rFonts w:asciiTheme="majorBidi" w:hAnsiTheme="majorBidi" w:cstheme="majorBidi"/>
          <w:sz w:val="24"/>
          <w:szCs w:val="24"/>
        </w:rPr>
        <w:t xml:space="preserve"> </w:t>
      </w:r>
      <w:r w:rsidR="000E06A8">
        <w:rPr>
          <w:rFonts w:asciiTheme="majorBidi" w:hAnsiTheme="majorBidi" w:cstheme="majorBidi"/>
          <w:sz w:val="24"/>
          <w:szCs w:val="24"/>
        </w:rPr>
        <w:t>increasing</w:t>
      </w:r>
      <w:r w:rsidRPr="008F0AF7">
        <w:rPr>
          <w:rFonts w:asciiTheme="majorBidi" w:hAnsiTheme="majorBidi" w:cstheme="majorBidi"/>
          <w:sz w:val="24"/>
          <w:szCs w:val="24"/>
        </w:rPr>
        <w:t xml:space="preserve"> number of private HEIs, competition, managerialism, financing constraints and market reforms in the HE sector (granting greater autonomy to HEIs), there is an increas</w:t>
      </w:r>
      <w:r w:rsidR="006F69A8">
        <w:rPr>
          <w:rFonts w:asciiTheme="majorBidi" w:hAnsiTheme="majorBidi" w:cstheme="majorBidi"/>
          <w:sz w:val="24"/>
          <w:szCs w:val="24"/>
        </w:rPr>
        <w:t>ing</w:t>
      </w:r>
      <w:r w:rsidRPr="008F0AF7">
        <w:rPr>
          <w:rFonts w:asciiTheme="majorBidi" w:hAnsiTheme="majorBidi" w:cstheme="majorBidi"/>
          <w:sz w:val="24"/>
          <w:szCs w:val="24"/>
        </w:rPr>
        <w:t xml:space="preserve"> pressure on HEIs, not only in the UK, but also worldwide, to demonstrate greater accountability, governance, transparency and value for money in order to maintain sustainable operations (Lazzeretti &amp; Tavoletti, 2006). </w:t>
      </w:r>
      <w:r w:rsidR="006A7604">
        <w:rPr>
          <w:rFonts w:asciiTheme="majorBidi" w:hAnsiTheme="majorBidi" w:cstheme="majorBidi"/>
          <w:sz w:val="24"/>
          <w:szCs w:val="24"/>
        </w:rPr>
        <w:t>Second</w:t>
      </w:r>
      <w:r w:rsidRPr="008F0AF7">
        <w:rPr>
          <w:rFonts w:asciiTheme="majorBidi" w:hAnsiTheme="majorBidi" w:cstheme="majorBidi"/>
          <w:sz w:val="24"/>
          <w:szCs w:val="24"/>
        </w:rPr>
        <w:t>, our governance disclosure framework can be generalised to other nations, as UK HE governance reforms are argued to have a strong influence on the development of governance guidelines/reports of many nations worldwide (Stott &amp; White, 2015). For example, the UK has been at the forefront of developing a number of governance codes since 1995 for over 20 years, and hence, this study will have crucial implications for governance reforms, not only in the UK HE sector, but also worldwide.</w:t>
      </w:r>
    </w:p>
    <w:p w14:paraId="653A247E" w14:textId="75734129" w:rsidR="00F36781" w:rsidRDefault="006D7C8A" w:rsidP="00B859B8">
      <w:pPr>
        <w:spacing w:after="0" w:line="480" w:lineRule="auto"/>
        <w:ind w:firstLine="426"/>
        <w:jc w:val="both"/>
        <w:rPr>
          <w:rFonts w:asciiTheme="majorBidi" w:hAnsiTheme="majorBidi" w:cstheme="majorBidi"/>
          <w:sz w:val="24"/>
          <w:szCs w:val="24"/>
        </w:rPr>
      </w:pPr>
      <w:r w:rsidRPr="00511F36">
        <w:rPr>
          <w:rFonts w:asciiTheme="majorBidi" w:hAnsiTheme="majorBidi" w:cstheme="majorBidi"/>
          <w:sz w:val="24"/>
          <w:szCs w:val="24"/>
        </w:rPr>
        <w:t xml:space="preserve">Although </w:t>
      </w:r>
      <w:r w:rsidR="00A679EE">
        <w:rPr>
          <w:rFonts w:asciiTheme="majorBidi" w:hAnsiTheme="majorBidi" w:cstheme="majorBidi"/>
          <w:sz w:val="24"/>
          <w:szCs w:val="24"/>
        </w:rPr>
        <w:t xml:space="preserve">our study is important as it provides early evidence on </w:t>
      </w:r>
      <w:r w:rsidR="00036ECA">
        <w:rPr>
          <w:rFonts w:asciiTheme="majorBidi" w:hAnsiTheme="majorBidi" w:cstheme="majorBidi"/>
          <w:sz w:val="24"/>
          <w:szCs w:val="24"/>
        </w:rPr>
        <w:t xml:space="preserve">the levels and antecedents of </w:t>
      </w:r>
      <w:r w:rsidR="00A679EE">
        <w:rPr>
          <w:rFonts w:asciiTheme="majorBidi" w:hAnsiTheme="majorBidi" w:cstheme="majorBidi"/>
          <w:sz w:val="24"/>
          <w:szCs w:val="24"/>
        </w:rPr>
        <w:t>governance disclosure</w:t>
      </w:r>
      <w:r w:rsidR="00036ECA">
        <w:rPr>
          <w:rFonts w:asciiTheme="majorBidi" w:hAnsiTheme="majorBidi" w:cstheme="majorBidi"/>
          <w:sz w:val="24"/>
          <w:szCs w:val="24"/>
        </w:rPr>
        <w:t>s</w:t>
      </w:r>
      <w:r w:rsidR="00A679EE">
        <w:rPr>
          <w:rFonts w:asciiTheme="majorBidi" w:hAnsiTheme="majorBidi" w:cstheme="majorBidi"/>
          <w:sz w:val="24"/>
          <w:szCs w:val="24"/>
        </w:rPr>
        <w:t xml:space="preserve"> </w:t>
      </w:r>
      <w:r w:rsidR="00036ECA">
        <w:rPr>
          <w:rFonts w:asciiTheme="majorBidi" w:hAnsiTheme="majorBidi" w:cstheme="majorBidi"/>
          <w:sz w:val="24"/>
          <w:szCs w:val="24"/>
        </w:rPr>
        <w:t>among 117 UK HEIs</w:t>
      </w:r>
      <w:r w:rsidR="00A679EE">
        <w:rPr>
          <w:rFonts w:asciiTheme="majorBidi" w:hAnsiTheme="majorBidi" w:cstheme="majorBidi"/>
          <w:sz w:val="24"/>
          <w:szCs w:val="24"/>
        </w:rPr>
        <w:t>, it suffer</w:t>
      </w:r>
      <w:r w:rsidR="007F5963">
        <w:rPr>
          <w:rFonts w:asciiTheme="majorBidi" w:hAnsiTheme="majorBidi" w:cstheme="majorBidi"/>
          <w:sz w:val="24"/>
          <w:szCs w:val="24"/>
        </w:rPr>
        <w:t>s</w:t>
      </w:r>
      <w:r w:rsidR="00A679EE">
        <w:rPr>
          <w:rFonts w:asciiTheme="majorBidi" w:hAnsiTheme="majorBidi" w:cstheme="majorBidi"/>
          <w:sz w:val="24"/>
          <w:szCs w:val="24"/>
        </w:rPr>
        <w:t xml:space="preserve"> from the following limitations. First,</w:t>
      </w:r>
      <w:r w:rsidR="00036ECA">
        <w:rPr>
          <w:rFonts w:asciiTheme="majorBidi" w:hAnsiTheme="majorBidi" w:cstheme="majorBidi"/>
          <w:sz w:val="24"/>
          <w:szCs w:val="24"/>
        </w:rPr>
        <w:t xml:space="preserve"> </w:t>
      </w:r>
      <w:r w:rsidR="00036ECA" w:rsidRPr="00036ECA">
        <w:rPr>
          <w:rFonts w:asciiTheme="majorBidi" w:hAnsiTheme="majorBidi" w:cstheme="majorBidi"/>
          <w:sz w:val="24"/>
          <w:szCs w:val="24"/>
        </w:rPr>
        <w:t>the current study has only focused on governance disclosures among</w:t>
      </w:r>
      <w:r w:rsidR="005551A8">
        <w:rPr>
          <w:rFonts w:asciiTheme="majorBidi" w:hAnsiTheme="majorBidi" w:cstheme="majorBidi"/>
          <w:sz w:val="24"/>
          <w:szCs w:val="24"/>
        </w:rPr>
        <w:t xml:space="preserve"> </w:t>
      </w:r>
      <w:r w:rsidR="00036ECA" w:rsidRPr="00036ECA">
        <w:rPr>
          <w:rFonts w:asciiTheme="majorBidi" w:hAnsiTheme="majorBidi" w:cstheme="majorBidi"/>
          <w:sz w:val="24"/>
          <w:szCs w:val="24"/>
        </w:rPr>
        <w:t>HEIs</w:t>
      </w:r>
      <w:r w:rsidR="0035601F">
        <w:rPr>
          <w:rFonts w:asciiTheme="majorBidi" w:hAnsiTheme="majorBidi" w:cstheme="majorBidi"/>
          <w:sz w:val="24"/>
          <w:szCs w:val="24"/>
        </w:rPr>
        <w:t xml:space="preserve"> in the UK</w:t>
      </w:r>
      <w:r w:rsidR="00523F5A">
        <w:rPr>
          <w:rFonts w:asciiTheme="majorBidi" w:hAnsiTheme="majorBidi" w:cstheme="majorBidi"/>
          <w:sz w:val="24"/>
          <w:szCs w:val="24"/>
        </w:rPr>
        <w:t>,</w:t>
      </w:r>
      <w:r w:rsidR="0035601F">
        <w:rPr>
          <w:rFonts w:asciiTheme="majorBidi" w:hAnsiTheme="majorBidi" w:cstheme="majorBidi"/>
          <w:sz w:val="24"/>
          <w:szCs w:val="24"/>
        </w:rPr>
        <w:t xml:space="preserve"> where IFRS standards are adopted</w:t>
      </w:r>
      <w:r w:rsidR="00036ECA" w:rsidRPr="00036ECA">
        <w:rPr>
          <w:rFonts w:asciiTheme="majorBidi" w:hAnsiTheme="majorBidi" w:cstheme="majorBidi"/>
          <w:sz w:val="24"/>
          <w:szCs w:val="24"/>
        </w:rPr>
        <w:t xml:space="preserve">, and hence </w:t>
      </w:r>
      <w:r w:rsidR="00036ECA">
        <w:rPr>
          <w:rFonts w:asciiTheme="majorBidi" w:hAnsiTheme="majorBidi" w:cstheme="majorBidi"/>
          <w:sz w:val="24"/>
          <w:szCs w:val="24"/>
        </w:rPr>
        <w:t xml:space="preserve">further research </w:t>
      </w:r>
      <w:r w:rsidR="00036ECA" w:rsidRPr="00036ECA">
        <w:rPr>
          <w:rFonts w:asciiTheme="majorBidi" w:hAnsiTheme="majorBidi" w:cstheme="majorBidi"/>
          <w:sz w:val="24"/>
          <w:szCs w:val="24"/>
        </w:rPr>
        <w:t xml:space="preserve">may </w:t>
      </w:r>
      <w:r w:rsidR="007F5963">
        <w:rPr>
          <w:rFonts w:asciiTheme="majorBidi" w:hAnsiTheme="majorBidi" w:cstheme="majorBidi"/>
          <w:sz w:val="24"/>
          <w:szCs w:val="24"/>
        </w:rPr>
        <w:t xml:space="preserve">offer new insights by </w:t>
      </w:r>
      <w:r w:rsidR="00036ECA">
        <w:rPr>
          <w:rFonts w:asciiTheme="majorBidi" w:hAnsiTheme="majorBidi" w:cstheme="majorBidi"/>
          <w:sz w:val="24"/>
          <w:szCs w:val="24"/>
        </w:rPr>
        <w:t>extend</w:t>
      </w:r>
      <w:r w:rsidR="007F5963">
        <w:rPr>
          <w:rFonts w:asciiTheme="majorBidi" w:hAnsiTheme="majorBidi" w:cstheme="majorBidi"/>
          <w:sz w:val="24"/>
          <w:szCs w:val="24"/>
        </w:rPr>
        <w:t>ing</w:t>
      </w:r>
      <w:r w:rsidR="00036ECA">
        <w:rPr>
          <w:rFonts w:asciiTheme="majorBidi" w:hAnsiTheme="majorBidi" w:cstheme="majorBidi"/>
          <w:sz w:val="24"/>
          <w:szCs w:val="24"/>
        </w:rPr>
        <w:t xml:space="preserve"> our analysis</w:t>
      </w:r>
      <w:r w:rsidR="00036ECA" w:rsidRPr="00036ECA">
        <w:rPr>
          <w:rFonts w:asciiTheme="majorBidi" w:hAnsiTheme="majorBidi" w:cstheme="majorBidi"/>
          <w:sz w:val="24"/>
          <w:szCs w:val="24"/>
        </w:rPr>
        <w:t xml:space="preserve"> by examining the levels and antecedents of voluntary governance disclosure in different international governance environments</w:t>
      </w:r>
      <w:r w:rsidR="0035601F">
        <w:rPr>
          <w:rFonts w:asciiTheme="majorBidi" w:hAnsiTheme="majorBidi" w:cstheme="majorBidi"/>
          <w:sz w:val="24"/>
          <w:szCs w:val="24"/>
        </w:rPr>
        <w:t xml:space="preserve"> </w:t>
      </w:r>
      <w:r w:rsidR="00C80D48">
        <w:rPr>
          <w:rFonts w:asciiTheme="majorBidi" w:hAnsiTheme="majorBidi" w:cstheme="majorBidi"/>
          <w:sz w:val="24"/>
          <w:szCs w:val="24"/>
        </w:rPr>
        <w:t>(</w:t>
      </w:r>
      <w:r w:rsidR="00036ECA" w:rsidRPr="00036ECA">
        <w:rPr>
          <w:rFonts w:asciiTheme="majorBidi" w:hAnsiTheme="majorBidi" w:cstheme="majorBidi"/>
          <w:sz w:val="24"/>
          <w:szCs w:val="24"/>
        </w:rPr>
        <w:t>such as Africa, America</w:t>
      </w:r>
      <w:r w:rsidR="00523F5A">
        <w:rPr>
          <w:rFonts w:asciiTheme="majorBidi" w:hAnsiTheme="majorBidi" w:cstheme="majorBidi"/>
          <w:sz w:val="24"/>
          <w:szCs w:val="24"/>
        </w:rPr>
        <w:t>,</w:t>
      </w:r>
      <w:r w:rsidR="00476D2F">
        <w:rPr>
          <w:rFonts w:asciiTheme="majorBidi" w:hAnsiTheme="majorBidi" w:cstheme="majorBidi"/>
          <w:sz w:val="24"/>
          <w:szCs w:val="24"/>
        </w:rPr>
        <w:t xml:space="preserve"> </w:t>
      </w:r>
      <w:r w:rsidR="00036ECA" w:rsidRPr="00036ECA">
        <w:rPr>
          <w:rFonts w:asciiTheme="majorBidi" w:hAnsiTheme="majorBidi" w:cstheme="majorBidi"/>
          <w:sz w:val="24"/>
          <w:szCs w:val="24"/>
        </w:rPr>
        <w:t>Asia</w:t>
      </w:r>
      <w:r w:rsidR="00523F5A">
        <w:rPr>
          <w:rFonts w:asciiTheme="majorBidi" w:hAnsiTheme="majorBidi" w:cstheme="majorBidi"/>
          <w:sz w:val="24"/>
          <w:szCs w:val="24"/>
        </w:rPr>
        <w:t xml:space="preserve"> and Europe</w:t>
      </w:r>
      <w:r w:rsidR="0035601F">
        <w:rPr>
          <w:rFonts w:asciiTheme="majorBidi" w:hAnsiTheme="majorBidi" w:cstheme="majorBidi"/>
          <w:sz w:val="24"/>
          <w:szCs w:val="24"/>
        </w:rPr>
        <w:t xml:space="preserve">) and different accounting standards (such as </w:t>
      </w:r>
      <w:r w:rsidR="00476D2F">
        <w:rPr>
          <w:rFonts w:asciiTheme="majorBidi" w:hAnsiTheme="majorBidi" w:cstheme="majorBidi"/>
          <w:sz w:val="24"/>
          <w:szCs w:val="24"/>
        </w:rPr>
        <w:t xml:space="preserve">the US </w:t>
      </w:r>
      <w:r w:rsidR="0035601F">
        <w:rPr>
          <w:rFonts w:asciiTheme="majorBidi" w:hAnsiTheme="majorBidi" w:cstheme="majorBidi"/>
          <w:sz w:val="24"/>
          <w:szCs w:val="24"/>
        </w:rPr>
        <w:t>GAAP)</w:t>
      </w:r>
      <w:r w:rsidR="00036ECA" w:rsidRPr="00036ECA">
        <w:rPr>
          <w:rFonts w:asciiTheme="majorBidi" w:hAnsiTheme="majorBidi" w:cstheme="majorBidi"/>
          <w:sz w:val="24"/>
          <w:szCs w:val="24"/>
        </w:rPr>
        <w:t>.</w:t>
      </w:r>
      <w:r w:rsidR="00823C7D">
        <w:rPr>
          <w:rFonts w:asciiTheme="majorBidi" w:hAnsiTheme="majorBidi" w:cstheme="majorBidi"/>
          <w:sz w:val="24"/>
          <w:szCs w:val="24"/>
        </w:rPr>
        <w:t xml:space="preserve"> Second, the analysis of this study is limited to only internal provisions of governance, and hence we call for future studies to explore the effect of external provisions of governance on </w:t>
      </w:r>
      <w:r w:rsidR="00E170E5">
        <w:rPr>
          <w:rFonts w:asciiTheme="majorBidi" w:hAnsiTheme="majorBidi" w:cstheme="majorBidi"/>
          <w:sz w:val="24"/>
          <w:szCs w:val="24"/>
        </w:rPr>
        <w:t xml:space="preserve">voluntary </w:t>
      </w:r>
      <w:r w:rsidR="008343E4">
        <w:rPr>
          <w:rFonts w:asciiTheme="majorBidi" w:hAnsiTheme="majorBidi" w:cstheme="majorBidi"/>
          <w:sz w:val="24"/>
          <w:szCs w:val="24"/>
        </w:rPr>
        <w:t>disclosure</w:t>
      </w:r>
      <w:r w:rsidR="007D35A7">
        <w:rPr>
          <w:rFonts w:asciiTheme="majorBidi" w:hAnsiTheme="majorBidi" w:cstheme="majorBidi"/>
          <w:sz w:val="24"/>
          <w:szCs w:val="24"/>
        </w:rPr>
        <w:t>s</w:t>
      </w:r>
      <w:r w:rsidR="00823C7D">
        <w:rPr>
          <w:rFonts w:asciiTheme="majorBidi" w:hAnsiTheme="majorBidi" w:cstheme="majorBidi"/>
          <w:sz w:val="24"/>
          <w:szCs w:val="24"/>
        </w:rPr>
        <w:t xml:space="preserve">. </w:t>
      </w:r>
    </w:p>
    <w:p w14:paraId="55213854" w14:textId="77777777" w:rsidR="00B33C19" w:rsidRDefault="00F01D8B" w:rsidP="00B33C19">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Third</w:t>
      </w:r>
      <w:r w:rsidR="008E7E57">
        <w:rPr>
          <w:rFonts w:asciiTheme="majorBidi" w:hAnsiTheme="majorBidi" w:cstheme="majorBidi"/>
          <w:sz w:val="24"/>
          <w:szCs w:val="24"/>
        </w:rPr>
        <w:t xml:space="preserve">, our analysis is limited to 2014 and this is mainly due to </w:t>
      </w:r>
      <w:r w:rsidR="00476D2F">
        <w:rPr>
          <w:rFonts w:asciiTheme="majorBidi" w:hAnsiTheme="majorBidi" w:cstheme="majorBidi"/>
          <w:sz w:val="24"/>
          <w:szCs w:val="24"/>
        </w:rPr>
        <w:t xml:space="preserve">the fact </w:t>
      </w:r>
      <w:r w:rsidR="002F2708">
        <w:rPr>
          <w:rFonts w:asciiTheme="majorBidi" w:hAnsiTheme="majorBidi" w:cstheme="majorBidi"/>
          <w:sz w:val="24"/>
          <w:szCs w:val="24"/>
        </w:rPr>
        <w:t>that,</w:t>
      </w:r>
      <w:r w:rsidR="008E7E57">
        <w:rPr>
          <w:rFonts w:asciiTheme="majorBidi" w:hAnsiTheme="majorBidi" w:cstheme="majorBidi"/>
          <w:sz w:val="24"/>
          <w:szCs w:val="24"/>
        </w:rPr>
        <w:t xml:space="preserve"> this year was the last year for which the required data was available when our data collection started.</w:t>
      </w:r>
      <w:r w:rsidR="002F2708">
        <w:rPr>
          <w:rFonts w:asciiTheme="majorBidi" w:hAnsiTheme="majorBidi" w:cstheme="majorBidi"/>
          <w:sz w:val="24"/>
          <w:szCs w:val="24"/>
        </w:rPr>
        <w:t xml:space="preserve"> Therefore, o</w:t>
      </w:r>
      <w:r w:rsidR="008E7E57">
        <w:rPr>
          <w:rFonts w:asciiTheme="majorBidi" w:hAnsiTheme="majorBidi" w:cstheme="majorBidi"/>
          <w:sz w:val="24"/>
          <w:szCs w:val="24"/>
        </w:rPr>
        <w:t>ur findings may not be generalis</w:t>
      </w:r>
      <w:r w:rsidR="005B5857">
        <w:rPr>
          <w:rFonts w:asciiTheme="majorBidi" w:hAnsiTheme="majorBidi" w:cstheme="majorBidi"/>
          <w:sz w:val="24"/>
          <w:szCs w:val="24"/>
        </w:rPr>
        <w:t>able</w:t>
      </w:r>
      <w:r w:rsidR="008E7E57">
        <w:rPr>
          <w:rFonts w:asciiTheme="majorBidi" w:hAnsiTheme="majorBidi" w:cstheme="majorBidi"/>
          <w:sz w:val="24"/>
          <w:szCs w:val="24"/>
        </w:rPr>
        <w:t xml:space="preserve"> to the subsequent years, particularly after the </w:t>
      </w:r>
      <w:r w:rsidR="008E7E57">
        <w:rPr>
          <w:rFonts w:asciiTheme="majorBidi" w:hAnsiTheme="majorBidi" w:cstheme="majorBidi"/>
          <w:sz w:val="24"/>
          <w:szCs w:val="24"/>
        </w:rPr>
        <w:lastRenderedPageBreak/>
        <w:t xml:space="preserve">revision of the </w:t>
      </w:r>
      <w:r w:rsidR="002F2708">
        <w:rPr>
          <w:rFonts w:asciiTheme="majorBidi" w:hAnsiTheme="majorBidi" w:cstheme="majorBidi"/>
          <w:sz w:val="24"/>
          <w:szCs w:val="24"/>
        </w:rPr>
        <w:t xml:space="preserve">UK </w:t>
      </w:r>
      <w:r w:rsidR="008E7E57">
        <w:rPr>
          <w:rFonts w:asciiTheme="majorBidi" w:hAnsiTheme="majorBidi" w:cstheme="majorBidi"/>
          <w:sz w:val="24"/>
          <w:szCs w:val="24"/>
        </w:rPr>
        <w:t xml:space="preserve">HEI accounting standards in 2015 by the Financial Reporting Council (FRC). </w:t>
      </w:r>
      <w:r w:rsidR="002F2708">
        <w:rPr>
          <w:rFonts w:asciiTheme="majorBidi" w:hAnsiTheme="majorBidi" w:cstheme="majorBidi"/>
          <w:sz w:val="24"/>
          <w:szCs w:val="24"/>
        </w:rPr>
        <w:t xml:space="preserve">Future studies may extend our study by analysing the period following the revision of UK HEI accounting standards. </w:t>
      </w:r>
      <w:r w:rsidR="00C41E68">
        <w:rPr>
          <w:rFonts w:asciiTheme="majorBidi" w:hAnsiTheme="majorBidi" w:cstheme="majorBidi"/>
          <w:sz w:val="24"/>
          <w:szCs w:val="24"/>
        </w:rPr>
        <w:t xml:space="preserve">Fourth and although we have employed a neo-institutional theoretical framework in interpreting our findings, we have not been able to </w:t>
      </w:r>
      <w:r w:rsidR="005B5325">
        <w:rPr>
          <w:rFonts w:asciiTheme="majorBidi" w:hAnsiTheme="majorBidi" w:cstheme="majorBidi"/>
          <w:sz w:val="24"/>
          <w:szCs w:val="24"/>
        </w:rPr>
        <w:t xml:space="preserve">explicitly </w:t>
      </w:r>
      <w:r w:rsidR="00C41E68">
        <w:rPr>
          <w:rFonts w:asciiTheme="majorBidi" w:hAnsiTheme="majorBidi" w:cstheme="majorBidi"/>
          <w:sz w:val="24"/>
          <w:szCs w:val="24"/>
        </w:rPr>
        <w:t>attribute specific variables to specific aspects (e.g., efficiency and legitimation) of this theory</w:t>
      </w:r>
      <w:r w:rsidR="00CE6D2B">
        <w:rPr>
          <w:rFonts w:asciiTheme="majorBidi" w:hAnsiTheme="majorBidi" w:cstheme="majorBidi"/>
          <w:sz w:val="24"/>
          <w:szCs w:val="24"/>
        </w:rPr>
        <w:t xml:space="preserve"> in our </w:t>
      </w:r>
      <w:r w:rsidR="000F68F2">
        <w:rPr>
          <w:rFonts w:asciiTheme="majorBidi" w:hAnsiTheme="majorBidi" w:cstheme="majorBidi"/>
          <w:sz w:val="24"/>
          <w:szCs w:val="24"/>
        </w:rPr>
        <w:t xml:space="preserve">current research. </w:t>
      </w:r>
      <w:r w:rsidR="005B5325">
        <w:rPr>
          <w:rFonts w:asciiTheme="majorBidi" w:hAnsiTheme="majorBidi" w:cstheme="majorBidi"/>
          <w:sz w:val="24"/>
          <w:szCs w:val="24"/>
        </w:rPr>
        <w:t xml:space="preserve">Opportunity, therefore, exists for future researchers to improve on our framing and research design by explicitly operationalising the variables into the specific (efficiency and legitimation) aspects of the neo-institutional theoretical framework. </w:t>
      </w:r>
      <w:r w:rsidR="00823C7D">
        <w:rPr>
          <w:rFonts w:asciiTheme="majorBidi" w:hAnsiTheme="majorBidi" w:cstheme="majorBidi"/>
          <w:sz w:val="24"/>
          <w:szCs w:val="24"/>
        </w:rPr>
        <w:t xml:space="preserve">Finally, a quantitative research approach has been </w:t>
      </w:r>
      <w:r w:rsidR="00E170E5">
        <w:rPr>
          <w:rFonts w:asciiTheme="majorBidi" w:hAnsiTheme="majorBidi" w:cstheme="majorBidi"/>
          <w:sz w:val="24"/>
          <w:szCs w:val="24"/>
        </w:rPr>
        <w:t>used</w:t>
      </w:r>
      <w:r w:rsidR="00823C7D">
        <w:rPr>
          <w:rFonts w:asciiTheme="majorBidi" w:hAnsiTheme="majorBidi" w:cstheme="majorBidi"/>
          <w:sz w:val="24"/>
          <w:szCs w:val="24"/>
        </w:rPr>
        <w:t xml:space="preserve"> in the current study, </w:t>
      </w:r>
      <w:r w:rsidR="008276D0">
        <w:rPr>
          <w:rFonts w:asciiTheme="majorBidi" w:hAnsiTheme="majorBidi" w:cstheme="majorBidi"/>
          <w:sz w:val="24"/>
          <w:szCs w:val="24"/>
        </w:rPr>
        <w:t>which is not capable of offering in-depth and more nuanced insights about the drivers of voluntary governance disclosures among HEIs. T</w:t>
      </w:r>
      <w:r w:rsidR="00E170E5">
        <w:rPr>
          <w:rFonts w:asciiTheme="majorBidi" w:hAnsiTheme="majorBidi" w:cstheme="majorBidi"/>
          <w:sz w:val="24"/>
          <w:szCs w:val="24"/>
        </w:rPr>
        <w:t>hus</w:t>
      </w:r>
      <w:r w:rsidR="008276D0">
        <w:rPr>
          <w:rFonts w:asciiTheme="majorBidi" w:hAnsiTheme="majorBidi" w:cstheme="majorBidi"/>
          <w:sz w:val="24"/>
          <w:szCs w:val="24"/>
        </w:rPr>
        <w:t>,</w:t>
      </w:r>
      <w:r w:rsidR="00E170E5">
        <w:rPr>
          <w:rFonts w:asciiTheme="majorBidi" w:hAnsiTheme="majorBidi" w:cstheme="majorBidi"/>
          <w:sz w:val="24"/>
          <w:szCs w:val="24"/>
        </w:rPr>
        <w:t xml:space="preserve"> we suggest that further research may </w:t>
      </w:r>
      <w:r w:rsidR="00F4226C">
        <w:rPr>
          <w:rFonts w:asciiTheme="majorBidi" w:hAnsiTheme="majorBidi" w:cstheme="majorBidi"/>
          <w:sz w:val="24"/>
          <w:szCs w:val="24"/>
        </w:rPr>
        <w:t>extend our analysis by employing qualitative data (e.g., case studies</w:t>
      </w:r>
      <w:r w:rsidR="005B5325">
        <w:rPr>
          <w:rFonts w:asciiTheme="majorBidi" w:hAnsiTheme="majorBidi" w:cstheme="majorBidi"/>
          <w:sz w:val="24"/>
          <w:szCs w:val="24"/>
        </w:rPr>
        <w:t>, which may also help in terms translating the neo-institutional theoretical framework into practice, as suggested above</w:t>
      </w:r>
      <w:r w:rsidR="00F4226C">
        <w:rPr>
          <w:rFonts w:asciiTheme="majorBidi" w:hAnsiTheme="majorBidi" w:cstheme="majorBidi"/>
          <w:sz w:val="24"/>
          <w:szCs w:val="24"/>
        </w:rPr>
        <w:t xml:space="preserve">) to better understand the extent and determinants of governance disclosures among HEIs.   </w:t>
      </w:r>
      <w:r w:rsidR="00E170E5">
        <w:rPr>
          <w:rFonts w:asciiTheme="majorBidi" w:hAnsiTheme="majorBidi" w:cstheme="majorBidi"/>
          <w:sz w:val="24"/>
          <w:szCs w:val="24"/>
        </w:rPr>
        <w:t xml:space="preserve"> </w:t>
      </w:r>
    </w:p>
    <w:p w14:paraId="40A12153" w14:textId="77777777" w:rsidR="00B33C19" w:rsidRDefault="00B33C19" w:rsidP="00B33C19">
      <w:pPr>
        <w:spacing w:after="0" w:line="480" w:lineRule="auto"/>
        <w:jc w:val="both"/>
        <w:rPr>
          <w:rFonts w:asciiTheme="majorBidi" w:hAnsiTheme="majorBidi" w:cstheme="majorBidi"/>
          <w:sz w:val="24"/>
          <w:szCs w:val="24"/>
        </w:rPr>
      </w:pPr>
    </w:p>
    <w:p w14:paraId="39F17DC5" w14:textId="442046CD" w:rsidR="00B33C19" w:rsidRDefault="00B33C19" w:rsidP="00B33C19">
      <w:pPr>
        <w:spacing w:after="0" w:line="480" w:lineRule="auto"/>
        <w:jc w:val="both"/>
        <w:rPr>
          <w:rFonts w:asciiTheme="majorBidi" w:hAnsiTheme="majorBidi" w:cstheme="majorBidi"/>
          <w:b/>
          <w:bCs/>
          <w:sz w:val="24"/>
          <w:szCs w:val="24"/>
        </w:rPr>
      </w:pPr>
      <w:r w:rsidRPr="002E69BB">
        <w:rPr>
          <w:rFonts w:asciiTheme="majorBidi" w:hAnsiTheme="majorBidi" w:cstheme="majorBidi"/>
          <w:b/>
          <w:bCs/>
          <w:sz w:val="24"/>
          <w:szCs w:val="24"/>
        </w:rPr>
        <w:t>Acknowledgement</w:t>
      </w:r>
      <w:r>
        <w:rPr>
          <w:rFonts w:asciiTheme="majorBidi" w:hAnsiTheme="majorBidi" w:cstheme="majorBidi"/>
          <w:b/>
          <w:bCs/>
          <w:sz w:val="24"/>
          <w:szCs w:val="24"/>
        </w:rPr>
        <w:t>s</w:t>
      </w:r>
    </w:p>
    <w:p w14:paraId="6A3B84E0" w14:textId="267BB2CA" w:rsidR="00B33C19" w:rsidRPr="002E69BB" w:rsidRDefault="00B33C19" w:rsidP="00B33C19">
      <w:pPr>
        <w:spacing w:after="0" w:line="480" w:lineRule="auto"/>
        <w:jc w:val="both"/>
        <w:rPr>
          <w:rFonts w:asciiTheme="majorBidi" w:hAnsiTheme="majorBidi" w:cstheme="majorBidi"/>
          <w:b/>
          <w:bCs/>
          <w:sz w:val="24"/>
          <w:szCs w:val="24"/>
        </w:rPr>
        <w:sectPr w:rsidR="00B33C19" w:rsidRPr="002E69BB">
          <w:pgSz w:w="11906" w:h="16838"/>
          <w:pgMar w:top="1440" w:right="1440" w:bottom="1440" w:left="1440" w:header="708" w:footer="708" w:gutter="0"/>
          <w:cols w:space="708"/>
          <w:docGrid w:linePitch="360"/>
        </w:sectPr>
      </w:pPr>
      <w:r>
        <w:rPr>
          <w:rFonts w:asciiTheme="majorBidi" w:hAnsiTheme="majorBidi" w:cstheme="majorBidi"/>
          <w:sz w:val="24"/>
          <w:szCs w:val="24"/>
        </w:rPr>
        <w:t>We are grateful to the Editor-in-Chief, Professor Robert K</w:t>
      </w:r>
      <w:r w:rsidR="00030AA0">
        <w:rPr>
          <w:rFonts w:asciiTheme="majorBidi" w:hAnsiTheme="majorBidi" w:cstheme="majorBidi"/>
          <w:sz w:val="24"/>
          <w:szCs w:val="24"/>
        </w:rPr>
        <w:t>.</w:t>
      </w:r>
      <w:r>
        <w:rPr>
          <w:rFonts w:asciiTheme="majorBidi" w:hAnsiTheme="majorBidi" w:cstheme="majorBidi"/>
          <w:sz w:val="24"/>
          <w:szCs w:val="24"/>
        </w:rPr>
        <w:t xml:space="preserve"> Larson and two anonymous reviewers for their valuable comments and suggestions. </w:t>
      </w:r>
      <w:r w:rsidR="00D1241B">
        <w:rPr>
          <w:rFonts w:asciiTheme="majorBidi" w:hAnsiTheme="majorBidi" w:cstheme="majorBidi"/>
          <w:sz w:val="24"/>
          <w:szCs w:val="24"/>
        </w:rPr>
        <w:t xml:space="preserve">We would like to acknowledge </w:t>
      </w:r>
      <w:r w:rsidR="00D1241B" w:rsidRPr="00D1241B">
        <w:rPr>
          <w:rFonts w:asciiTheme="majorBidi" w:hAnsiTheme="majorBidi" w:cstheme="majorBidi"/>
          <w:sz w:val="24"/>
          <w:szCs w:val="24"/>
        </w:rPr>
        <w:t>the Leadership Foundation</w:t>
      </w:r>
      <w:r w:rsidR="00D1241B">
        <w:rPr>
          <w:rFonts w:asciiTheme="majorBidi" w:hAnsiTheme="majorBidi" w:cstheme="majorBidi"/>
          <w:sz w:val="24"/>
          <w:szCs w:val="24"/>
        </w:rPr>
        <w:t xml:space="preserve"> </w:t>
      </w:r>
      <w:r w:rsidR="00D1241B" w:rsidRPr="00D1241B">
        <w:rPr>
          <w:rFonts w:asciiTheme="majorBidi" w:hAnsiTheme="majorBidi" w:cstheme="majorBidi"/>
          <w:sz w:val="24"/>
          <w:szCs w:val="24"/>
        </w:rPr>
        <w:t>for Higher Education</w:t>
      </w:r>
      <w:r w:rsidR="00D1241B">
        <w:rPr>
          <w:rFonts w:asciiTheme="majorBidi" w:hAnsiTheme="majorBidi" w:cstheme="majorBidi"/>
          <w:sz w:val="24"/>
          <w:szCs w:val="24"/>
        </w:rPr>
        <w:t xml:space="preserve"> (UK) for their generous support of this project through</w:t>
      </w:r>
      <w:r w:rsidR="00D1241B" w:rsidRPr="00D1241B">
        <w:rPr>
          <w:rFonts w:asciiTheme="majorBidi" w:hAnsiTheme="majorBidi" w:cstheme="majorBidi"/>
          <w:sz w:val="24"/>
          <w:szCs w:val="24"/>
        </w:rPr>
        <w:t xml:space="preserve"> the 201</w:t>
      </w:r>
      <w:r w:rsidR="00FE4D1A">
        <w:rPr>
          <w:rFonts w:asciiTheme="majorBidi" w:hAnsiTheme="majorBidi" w:cstheme="majorBidi"/>
          <w:sz w:val="24"/>
          <w:szCs w:val="24"/>
        </w:rPr>
        <w:t>5</w:t>
      </w:r>
      <w:r w:rsidR="00D1241B" w:rsidRPr="00D1241B">
        <w:rPr>
          <w:rFonts w:asciiTheme="majorBidi" w:hAnsiTheme="majorBidi" w:cstheme="majorBidi"/>
          <w:sz w:val="24"/>
          <w:szCs w:val="24"/>
        </w:rPr>
        <w:t xml:space="preserve"> Small Development Projects funding stream.</w:t>
      </w:r>
    </w:p>
    <w:p w14:paraId="6F9BE5AA" w14:textId="306C79B3" w:rsidR="00566D02" w:rsidRDefault="004E5B85" w:rsidP="0039130A">
      <w:pPr>
        <w:spacing w:after="0" w:line="480" w:lineRule="auto"/>
        <w:jc w:val="both"/>
        <w:rPr>
          <w:rFonts w:asciiTheme="majorBidi" w:hAnsiTheme="majorBidi" w:cstheme="majorBidi"/>
          <w:b/>
          <w:bCs/>
          <w:sz w:val="28"/>
          <w:szCs w:val="28"/>
          <w:lang w:val="pt-PT"/>
        </w:rPr>
      </w:pPr>
      <w:r w:rsidRPr="00605ADB">
        <w:rPr>
          <w:rFonts w:asciiTheme="majorBidi" w:hAnsiTheme="majorBidi" w:cstheme="majorBidi"/>
          <w:b/>
          <w:bCs/>
          <w:sz w:val="28"/>
          <w:szCs w:val="28"/>
          <w:lang w:val="pt-PT"/>
        </w:rPr>
        <w:lastRenderedPageBreak/>
        <w:t>References</w:t>
      </w:r>
    </w:p>
    <w:p w14:paraId="101E9201" w14:textId="7286A94D" w:rsidR="005253EC" w:rsidRDefault="00A7455C">
      <w:pPr>
        <w:spacing w:after="0" w:line="240" w:lineRule="auto"/>
        <w:ind w:left="170" w:hanging="170"/>
        <w:jc w:val="both"/>
        <w:rPr>
          <w:rFonts w:asciiTheme="majorBidi" w:eastAsia="Times New Roman" w:hAnsiTheme="majorBidi" w:cstheme="majorBidi"/>
          <w:sz w:val="24"/>
          <w:szCs w:val="24"/>
          <w:lang w:val="pt-PT" w:eastAsia="en-GB"/>
        </w:rPr>
      </w:pPr>
      <w:r w:rsidRPr="00A7455C">
        <w:rPr>
          <w:rFonts w:asciiTheme="majorBidi" w:eastAsia="Times New Roman" w:hAnsiTheme="majorBidi" w:cstheme="majorBidi"/>
          <w:sz w:val="24"/>
          <w:szCs w:val="24"/>
          <w:lang w:val="pt-PT" w:eastAsia="en-GB"/>
        </w:rPr>
        <w:t>Adhikariparajul, M., Hassan, A., Fletcher, M., &amp; Elamer, A.A. (2019). Integrated reporting in UK higher education institutions. </w:t>
      </w:r>
      <w:r w:rsidRPr="00A7455C">
        <w:rPr>
          <w:rFonts w:asciiTheme="majorBidi" w:eastAsia="Times New Roman" w:hAnsiTheme="majorBidi" w:cstheme="majorBidi"/>
          <w:i/>
          <w:iCs/>
          <w:sz w:val="24"/>
          <w:szCs w:val="24"/>
          <w:lang w:val="pt-PT" w:eastAsia="en-GB"/>
        </w:rPr>
        <w:t>Sustainability Accounting, Management and Policy Journal</w:t>
      </w:r>
      <w:r w:rsidR="00C01999">
        <w:rPr>
          <w:rFonts w:asciiTheme="majorBidi" w:eastAsia="Times New Roman" w:hAnsiTheme="majorBidi" w:cstheme="majorBidi"/>
          <w:i/>
          <w:iCs/>
          <w:sz w:val="24"/>
          <w:szCs w:val="24"/>
          <w:lang w:val="pt-PT" w:eastAsia="en-GB"/>
        </w:rPr>
        <w:t>, 10</w:t>
      </w:r>
      <w:r w:rsidR="00C01999">
        <w:rPr>
          <w:rFonts w:asciiTheme="majorBidi" w:eastAsia="Times New Roman" w:hAnsiTheme="majorBidi" w:cstheme="majorBidi"/>
          <w:sz w:val="24"/>
          <w:szCs w:val="24"/>
          <w:lang w:val="pt-PT" w:eastAsia="en-GB"/>
        </w:rPr>
        <w:t xml:space="preserve">(5), 844-876. </w:t>
      </w:r>
      <w:hyperlink r:id="rId10" w:history="1">
        <w:r w:rsidR="00C01999" w:rsidRPr="007623DA">
          <w:rPr>
            <w:rStyle w:val="Hyperlink"/>
            <w:rFonts w:asciiTheme="majorBidi" w:eastAsia="Times New Roman" w:hAnsiTheme="majorBidi" w:cstheme="majorBidi"/>
            <w:sz w:val="24"/>
            <w:szCs w:val="24"/>
            <w:lang w:val="pt-PT" w:eastAsia="en-GB"/>
          </w:rPr>
          <w:t>https://doi.org/10.1108/SAMPJ-03-2018-0093</w:t>
        </w:r>
      </w:hyperlink>
      <w:r w:rsidR="00C01999">
        <w:rPr>
          <w:rFonts w:asciiTheme="majorBidi" w:eastAsia="Times New Roman" w:hAnsiTheme="majorBidi" w:cstheme="majorBidi"/>
          <w:sz w:val="24"/>
          <w:szCs w:val="24"/>
          <w:lang w:val="pt-PT" w:eastAsia="en-GB"/>
        </w:rPr>
        <w:t xml:space="preserve">. </w:t>
      </w:r>
    </w:p>
    <w:p w14:paraId="44DDE6C6" w14:textId="69013B55" w:rsidR="00561ABA" w:rsidRPr="00561ABA" w:rsidRDefault="00561ABA" w:rsidP="00561ABA">
      <w:pPr>
        <w:spacing w:after="0" w:line="240" w:lineRule="auto"/>
        <w:ind w:left="170" w:hanging="170"/>
        <w:jc w:val="both"/>
        <w:rPr>
          <w:rFonts w:asciiTheme="majorBidi" w:eastAsia="Times New Roman" w:hAnsiTheme="majorBidi" w:cstheme="majorBidi"/>
          <w:sz w:val="24"/>
          <w:szCs w:val="24"/>
          <w:lang w:eastAsia="en-GB"/>
        </w:rPr>
      </w:pPr>
      <w:r w:rsidRPr="005253EC">
        <w:rPr>
          <w:rFonts w:asciiTheme="majorBidi" w:eastAsia="Times New Roman" w:hAnsiTheme="majorBidi" w:cstheme="majorBidi"/>
          <w:sz w:val="24"/>
          <w:szCs w:val="24"/>
          <w:lang w:eastAsia="en-GB"/>
        </w:rPr>
        <w:t>Aguilera, R.V., Rupp, D.E., Williams, C.A., &amp; Ganapathi, J. (2007). Putting the S back in corporate social responsibility: A multilevel theory of social change in organizations. </w:t>
      </w:r>
      <w:r w:rsidRPr="005253EC">
        <w:rPr>
          <w:rFonts w:asciiTheme="majorBidi" w:eastAsia="Times New Roman" w:hAnsiTheme="majorBidi" w:cstheme="majorBidi"/>
          <w:i/>
          <w:iCs/>
          <w:sz w:val="24"/>
          <w:szCs w:val="24"/>
          <w:lang w:eastAsia="en-GB"/>
        </w:rPr>
        <w:t>Academy of Management Review, 32</w:t>
      </w:r>
      <w:r w:rsidRPr="005253EC">
        <w:rPr>
          <w:rFonts w:asciiTheme="majorBidi" w:eastAsia="Times New Roman" w:hAnsiTheme="majorBidi" w:cstheme="majorBidi"/>
          <w:sz w:val="24"/>
          <w:szCs w:val="24"/>
          <w:lang w:eastAsia="en-GB"/>
        </w:rPr>
        <w:t>(3),</w:t>
      </w:r>
      <w:r w:rsidR="00373B72">
        <w:rPr>
          <w:rFonts w:asciiTheme="majorBidi" w:eastAsia="Times New Roman" w:hAnsiTheme="majorBidi" w:cstheme="majorBidi"/>
          <w:sz w:val="24"/>
          <w:szCs w:val="24"/>
          <w:lang w:eastAsia="en-GB"/>
        </w:rPr>
        <w:t xml:space="preserve"> </w:t>
      </w:r>
      <w:r w:rsidRPr="005253EC">
        <w:rPr>
          <w:rFonts w:asciiTheme="majorBidi" w:eastAsia="Times New Roman" w:hAnsiTheme="majorBidi" w:cstheme="majorBidi"/>
          <w:sz w:val="24"/>
          <w:szCs w:val="24"/>
          <w:lang w:eastAsia="en-GB"/>
        </w:rPr>
        <w:t>836-863.</w:t>
      </w:r>
      <w:r>
        <w:rPr>
          <w:rFonts w:asciiTheme="majorBidi" w:eastAsia="Times New Roman" w:hAnsiTheme="majorBidi" w:cstheme="majorBidi"/>
          <w:sz w:val="24"/>
          <w:szCs w:val="24"/>
          <w:lang w:eastAsia="en-GB"/>
        </w:rPr>
        <w:t xml:space="preserve"> </w:t>
      </w:r>
      <w:hyperlink r:id="rId11" w:history="1">
        <w:r w:rsidRPr="007623DA">
          <w:rPr>
            <w:rStyle w:val="Hyperlink"/>
            <w:rFonts w:asciiTheme="majorBidi" w:eastAsia="Times New Roman" w:hAnsiTheme="majorBidi" w:cstheme="majorBidi"/>
            <w:sz w:val="24"/>
            <w:szCs w:val="24"/>
            <w:lang w:eastAsia="en-GB"/>
          </w:rPr>
          <w:t>https://www.jstor.org/stable/20159338</w:t>
        </w:r>
      </w:hyperlink>
      <w:r>
        <w:rPr>
          <w:rFonts w:asciiTheme="majorBidi" w:eastAsia="Times New Roman" w:hAnsiTheme="majorBidi" w:cstheme="majorBidi"/>
          <w:sz w:val="24"/>
          <w:szCs w:val="24"/>
          <w:lang w:eastAsia="en-GB"/>
        </w:rPr>
        <w:t xml:space="preserve">. </w:t>
      </w:r>
    </w:p>
    <w:p w14:paraId="55701E35" w14:textId="47791CAE" w:rsidR="00561ABA" w:rsidRPr="00561ABA" w:rsidRDefault="00C86DB5" w:rsidP="00561ABA">
      <w:pPr>
        <w:spacing w:after="0" w:line="240" w:lineRule="auto"/>
        <w:ind w:left="170" w:hanging="170"/>
        <w:jc w:val="both"/>
        <w:rPr>
          <w:rFonts w:asciiTheme="majorBidi" w:eastAsia="Times New Roman" w:hAnsiTheme="majorBidi" w:cstheme="majorBidi"/>
          <w:sz w:val="24"/>
          <w:szCs w:val="24"/>
          <w:lang w:val="pt-PT" w:eastAsia="en-GB"/>
        </w:rPr>
      </w:pPr>
      <w:r w:rsidRPr="00C86DB5">
        <w:rPr>
          <w:rFonts w:asciiTheme="majorBidi" w:eastAsia="Times New Roman" w:hAnsiTheme="majorBidi" w:cstheme="majorBidi"/>
          <w:sz w:val="24"/>
          <w:szCs w:val="24"/>
          <w:lang w:val="pt-PT" w:eastAsia="en-GB"/>
        </w:rPr>
        <w:t>Ahrens, T., &amp; Khalifa, R. (2015). The impact of regulation on management control</w:t>
      </w:r>
      <w:r w:rsidR="00561ABA">
        <w:rPr>
          <w:rFonts w:asciiTheme="majorBidi" w:eastAsia="Times New Roman" w:hAnsiTheme="majorBidi" w:cstheme="majorBidi"/>
          <w:sz w:val="24"/>
          <w:szCs w:val="24"/>
          <w:lang w:val="pt-PT" w:eastAsia="en-GB"/>
        </w:rPr>
        <w:t xml:space="preserve">: </w:t>
      </w:r>
      <w:r w:rsidR="00561ABA" w:rsidRPr="00561ABA">
        <w:rPr>
          <w:rFonts w:asciiTheme="majorBidi" w:eastAsia="Times New Roman" w:hAnsiTheme="majorBidi" w:cstheme="majorBidi"/>
          <w:sz w:val="24"/>
          <w:szCs w:val="24"/>
          <w:lang w:val="pt-PT" w:eastAsia="en-GB"/>
        </w:rPr>
        <w:t>Compliance as a strategic response to institutional logics of university accreditation</w:t>
      </w:r>
      <w:r w:rsidRPr="00C86DB5">
        <w:rPr>
          <w:rFonts w:asciiTheme="majorBidi" w:eastAsia="Times New Roman" w:hAnsiTheme="majorBidi" w:cstheme="majorBidi"/>
          <w:sz w:val="24"/>
          <w:szCs w:val="24"/>
          <w:lang w:val="pt-PT" w:eastAsia="en-GB"/>
        </w:rPr>
        <w:t xml:space="preserve">. </w:t>
      </w:r>
      <w:r w:rsidRPr="00561ABA">
        <w:rPr>
          <w:rFonts w:asciiTheme="majorBidi" w:eastAsia="Times New Roman" w:hAnsiTheme="majorBidi" w:cstheme="majorBidi"/>
          <w:i/>
          <w:iCs/>
          <w:sz w:val="24"/>
          <w:szCs w:val="24"/>
          <w:lang w:val="pt-PT" w:eastAsia="en-GB"/>
        </w:rPr>
        <w:t xml:space="preserve">Qualitative Research in Accounting </w:t>
      </w:r>
      <w:r w:rsidR="00561ABA">
        <w:rPr>
          <w:rFonts w:asciiTheme="majorBidi" w:eastAsia="Times New Roman" w:hAnsiTheme="majorBidi" w:cstheme="majorBidi"/>
          <w:i/>
          <w:iCs/>
          <w:sz w:val="24"/>
          <w:szCs w:val="24"/>
          <w:lang w:val="pt-PT" w:eastAsia="en-GB"/>
        </w:rPr>
        <w:t>and</w:t>
      </w:r>
      <w:r w:rsidRPr="00561ABA">
        <w:rPr>
          <w:rFonts w:asciiTheme="majorBidi" w:eastAsia="Times New Roman" w:hAnsiTheme="majorBidi" w:cstheme="majorBidi"/>
          <w:i/>
          <w:iCs/>
          <w:sz w:val="24"/>
          <w:szCs w:val="24"/>
          <w:lang w:val="pt-PT" w:eastAsia="en-GB"/>
        </w:rPr>
        <w:t xml:space="preserve"> Managemen</w:t>
      </w:r>
      <w:r w:rsidR="00561ABA">
        <w:rPr>
          <w:rFonts w:asciiTheme="majorBidi" w:eastAsia="Times New Roman" w:hAnsiTheme="majorBidi" w:cstheme="majorBidi"/>
          <w:i/>
          <w:iCs/>
          <w:sz w:val="24"/>
          <w:szCs w:val="24"/>
          <w:lang w:val="pt-PT" w:eastAsia="en-GB"/>
        </w:rPr>
        <w:t>t, 12</w:t>
      </w:r>
      <w:r w:rsidR="00561ABA">
        <w:rPr>
          <w:rFonts w:asciiTheme="majorBidi" w:eastAsia="Times New Roman" w:hAnsiTheme="majorBidi" w:cstheme="majorBidi"/>
          <w:sz w:val="24"/>
          <w:szCs w:val="24"/>
          <w:lang w:val="pt-PT" w:eastAsia="en-GB"/>
        </w:rPr>
        <w:t xml:space="preserve">(2), 106-126. </w:t>
      </w:r>
      <w:hyperlink r:id="rId12" w:history="1">
        <w:r w:rsidR="00561ABA" w:rsidRPr="007623DA">
          <w:rPr>
            <w:rStyle w:val="Hyperlink"/>
            <w:rFonts w:asciiTheme="majorBidi" w:eastAsia="Times New Roman" w:hAnsiTheme="majorBidi" w:cstheme="majorBidi"/>
            <w:sz w:val="24"/>
            <w:szCs w:val="24"/>
            <w:lang w:val="pt-PT" w:eastAsia="en-GB"/>
          </w:rPr>
          <w:t>https://doi.org/10.1108/QRAM-04-2015-0041</w:t>
        </w:r>
      </w:hyperlink>
      <w:r w:rsidR="00561ABA">
        <w:rPr>
          <w:rFonts w:asciiTheme="majorBidi" w:eastAsia="Times New Roman" w:hAnsiTheme="majorBidi" w:cstheme="majorBidi"/>
          <w:sz w:val="24"/>
          <w:szCs w:val="24"/>
          <w:lang w:val="pt-PT" w:eastAsia="en-GB"/>
        </w:rPr>
        <w:t xml:space="preserve">. </w:t>
      </w:r>
    </w:p>
    <w:p w14:paraId="6D9EE899" w14:textId="77777777" w:rsidR="00E25DDA" w:rsidRDefault="00560019" w:rsidP="00AB3F27">
      <w:pPr>
        <w:spacing w:after="0" w:line="240" w:lineRule="auto"/>
        <w:ind w:left="170" w:hanging="170"/>
        <w:jc w:val="both"/>
        <w:rPr>
          <w:rFonts w:asciiTheme="majorBidi" w:eastAsia="Times New Roman" w:hAnsiTheme="majorBidi" w:cstheme="majorBidi"/>
          <w:sz w:val="24"/>
          <w:szCs w:val="24"/>
          <w:lang w:eastAsia="en-GB"/>
        </w:rPr>
      </w:pPr>
      <w:r w:rsidRPr="00605ADB">
        <w:rPr>
          <w:rFonts w:asciiTheme="majorBidi" w:eastAsia="Times New Roman" w:hAnsiTheme="majorBidi" w:cstheme="majorBidi"/>
          <w:sz w:val="24"/>
          <w:szCs w:val="24"/>
          <w:lang w:val="pt-PT" w:eastAsia="en-GB"/>
        </w:rPr>
        <w:t xml:space="preserve">Allegrini, M., </w:t>
      </w:r>
      <w:r w:rsidR="000829AF" w:rsidRPr="00605ADB">
        <w:rPr>
          <w:rFonts w:asciiTheme="majorBidi" w:eastAsia="Times New Roman" w:hAnsiTheme="majorBidi" w:cstheme="majorBidi"/>
          <w:sz w:val="24"/>
          <w:szCs w:val="24"/>
          <w:lang w:val="pt-PT" w:eastAsia="en-GB"/>
        </w:rPr>
        <w:t>&amp;</w:t>
      </w:r>
      <w:r w:rsidRPr="00605ADB">
        <w:rPr>
          <w:rFonts w:asciiTheme="majorBidi" w:eastAsia="Times New Roman" w:hAnsiTheme="majorBidi" w:cstheme="majorBidi"/>
          <w:sz w:val="24"/>
          <w:szCs w:val="24"/>
          <w:lang w:val="pt-PT" w:eastAsia="en-GB"/>
        </w:rPr>
        <w:t xml:space="preserve"> Greco, G. </w:t>
      </w:r>
      <w:r w:rsidR="00C76B31" w:rsidRPr="00605ADB">
        <w:rPr>
          <w:rFonts w:asciiTheme="majorBidi" w:eastAsia="Times New Roman" w:hAnsiTheme="majorBidi" w:cstheme="majorBidi"/>
          <w:sz w:val="24"/>
          <w:szCs w:val="24"/>
          <w:lang w:val="pt-PT" w:eastAsia="en-GB"/>
        </w:rPr>
        <w:t>(</w:t>
      </w:r>
      <w:r w:rsidR="004E5B85" w:rsidRPr="00605ADB">
        <w:rPr>
          <w:rFonts w:asciiTheme="majorBidi" w:eastAsia="Times New Roman" w:hAnsiTheme="majorBidi" w:cstheme="majorBidi"/>
          <w:sz w:val="24"/>
          <w:szCs w:val="24"/>
          <w:lang w:val="pt-PT" w:eastAsia="en-GB"/>
        </w:rPr>
        <w:t>2013</w:t>
      </w:r>
      <w:r w:rsidR="00C76B31" w:rsidRPr="00605ADB">
        <w:rPr>
          <w:rFonts w:asciiTheme="majorBidi" w:eastAsia="Times New Roman" w:hAnsiTheme="majorBidi" w:cstheme="majorBidi"/>
          <w:sz w:val="24"/>
          <w:szCs w:val="24"/>
          <w:lang w:val="pt-PT" w:eastAsia="en-GB"/>
        </w:rPr>
        <w:t>)</w:t>
      </w:r>
      <w:r w:rsidR="004E5B85" w:rsidRPr="00605ADB">
        <w:rPr>
          <w:rFonts w:asciiTheme="majorBidi" w:eastAsia="Times New Roman" w:hAnsiTheme="majorBidi" w:cstheme="majorBidi"/>
          <w:sz w:val="24"/>
          <w:szCs w:val="24"/>
          <w:lang w:val="pt-PT" w:eastAsia="en-GB"/>
        </w:rPr>
        <w:t xml:space="preserve">. </w:t>
      </w:r>
      <w:r w:rsidR="004E5B85" w:rsidRPr="00511F36">
        <w:rPr>
          <w:rFonts w:asciiTheme="majorBidi" w:eastAsia="Times New Roman" w:hAnsiTheme="majorBidi" w:cstheme="majorBidi"/>
          <w:sz w:val="24"/>
          <w:szCs w:val="24"/>
          <w:lang w:eastAsia="en-GB"/>
        </w:rPr>
        <w:t xml:space="preserve">Corporate boards, audit committees and voluntary disclosure: Evidence from Italian listed companies. </w:t>
      </w:r>
      <w:r w:rsidR="004E5B85" w:rsidRPr="00511F36">
        <w:rPr>
          <w:rFonts w:asciiTheme="majorBidi" w:eastAsia="Times New Roman" w:hAnsiTheme="majorBidi" w:cstheme="majorBidi"/>
          <w:i/>
          <w:iCs/>
          <w:sz w:val="24"/>
          <w:szCs w:val="24"/>
          <w:lang w:eastAsia="en-GB"/>
        </w:rPr>
        <w:t xml:space="preserve">Journal of Management </w:t>
      </w:r>
      <w:r w:rsidR="00F87668">
        <w:rPr>
          <w:rFonts w:asciiTheme="majorBidi" w:eastAsia="Times New Roman" w:hAnsiTheme="majorBidi" w:cstheme="majorBidi"/>
          <w:i/>
          <w:iCs/>
          <w:sz w:val="24"/>
          <w:szCs w:val="24"/>
          <w:lang w:eastAsia="en-GB"/>
        </w:rPr>
        <w:t>and</w:t>
      </w:r>
      <w:r w:rsidR="004E5B85" w:rsidRPr="00511F36">
        <w:rPr>
          <w:rFonts w:asciiTheme="majorBidi" w:eastAsia="Times New Roman" w:hAnsiTheme="majorBidi" w:cstheme="majorBidi"/>
          <w:i/>
          <w:iCs/>
          <w:sz w:val="24"/>
          <w:szCs w:val="24"/>
          <w:lang w:eastAsia="en-GB"/>
        </w:rPr>
        <w:t xml:space="preserve"> Governance</w:t>
      </w:r>
      <w:r w:rsidR="00C76B31">
        <w:rPr>
          <w:rFonts w:asciiTheme="majorBidi" w:eastAsia="Times New Roman" w:hAnsiTheme="majorBidi" w:cstheme="majorBidi"/>
          <w:i/>
          <w:iCs/>
          <w:sz w:val="24"/>
          <w:szCs w:val="24"/>
          <w:lang w:eastAsia="en-GB"/>
        </w:rPr>
        <w:t>,</w:t>
      </w:r>
      <w:r w:rsidR="004E5B85" w:rsidRPr="00511F36">
        <w:rPr>
          <w:rFonts w:asciiTheme="majorBidi" w:eastAsia="Times New Roman" w:hAnsiTheme="majorBidi" w:cstheme="majorBidi"/>
          <w:sz w:val="24"/>
          <w:szCs w:val="24"/>
          <w:lang w:eastAsia="en-GB"/>
        </w:rPr>
        <w:t xml:space="preserve"> </w:t>
      </w:r>
      <w:r w:rsidR="004E5B85" w:rsidRPr="00511F36">
        <w:rPr>
          <w:rFonts w:asciiTheme="majorBidi" w:eastAsia="Times New Roman" w:hAnsiTheme="majorBidi" w:cstheme="majorBidi"/>
          <w:i/>
          <w:iCs/>
          <w:sz w:val="24"/>
          <w:szCs w:val="24"/>
          <w:lang w:eastAsia="en-GB"/>
        </w:rPr>
        <w:t>17</w:t>
      </w:r>
      <w:r w:rsidR="004E5B85" w:rsidRPr="00511F36">
        <w:rPr>
          <w:rFonts w:asciiTheme="majorBidi" w:eastAsia="Times New Roman" w:hAnsiTheme="majorBidi" w:cstheme="majorBidi"/>
          <w:sz w:val="24"/>
          <w:szCs w:val="24"/>
          <w:lang w:eastAsia="en-GB"/>
        </w:rPr>
        <w:t>(1)</w:t>
      </w:r>
      <w:r w:rsidR="00C76B31">
        <w:rPr>
          <w:rFonts w:asciiTheme="majorBidi" w:eastAsia="Times New Roman" w:hAnsiTheme="majorBidi" w:cstheme="majorBidi"/>
          <w:sz w:val="24"/>
          <w:szCs w:val="24"/>
          <w:lang w:eastAsia="en-GB"/>
        </w:rPr>
        <w:t>,</w:t>
      </w:r>
      <w:r w:rsidR="004E5B85" w:rsidRPr="00511F36">
        <w:rPr>
          <w:rFonts w:asciiTheme="majorBidi" w:eastAsia="Times New Roman" w:hAnsiTheme="majorBidi" w:cstheme="majorBidi"/>
          <w:sz w:val="24"/>
          <w:szCs w:val="24"/>
          <w:lang w:eastAsia="en-GB"/>
        </w:rPr>
        <w:t xml:space="preserve"> 187-216.</w:t>
      </w:r>
      <w:r w:rsidR="007E2EA6">
        <w:rPr>
          <w:rFonts w:asciiTheme="majorBidi" w:eastAsia="Times New Roman" w:hAnsiTheme="majorBidi" w:cstheme="majorBidi"/>
          <w:sz w:val="24"/>
          <w:szCs w:val="24"/>
          <w:lang w:eastAsia="en-GB"/>
        </w:rPr>
        <w:t xml:space="preserve"> </w:t>
      </w:r>
      <w:hyperlink r:id="rId13" w:history="1">
        <w:r w:rsidR="007E2EA6" w:rsidRPr="007623DA">
          <w:rPr>
            <w:rStyle w:val="Hyperlink"/>
            <w:rFonts w:asciiTheme="majorBidi" w:eastAsia="Times New Roman" w:hAnsiTheme="majorBidi" w:cstheme="majorBidi"/>
            <w:sz w:val="24"/>
            <w:szCs w:val="24"/>
            <w:lang w:eastAsia="en-GB"/>
          </w:rPr>
          <w:t>https://doi.org/10.1007/s10997-011-9168-3</w:t>
        </w:r>
      </w:hyperlink>
      <w:r w:rsidR="007E2EA6">
        <w:rPr>
          <w:rFonts w:asciiTheme="majorBidi" w:eastAsia="Times New Roman" w:hAnsiTheme="majorBidi" w:cstheme="majorBidi"/>
          <w:sz w:val="24"/>
          <w:szCs w:val="24"/>
          <w:lang w:eastAsia="en-GB"/>
        </w:rPr>
        <w:t xml:space="preserve">. </w:t>
      </w:r>
    </w:p>
    <w:p w14:paraId="5AECD8F6" w14:textId="237CD019" w:rsidR="00827CDB" w:rsidRPr="00511F36" w:rsidRDefault="002A7340" w:rsidP="00AB3F27">
      <w:pPr>
        <w:spacing w:after="0" w:line="240" w:lineRule="auto"/>
        <w:ind w:left="170" w:hanging="170"/>
        <w:jc w:val="both"/>
        <w:rPr>
          <w:rFonts w:asciiTheme="majorBidi" w:eastAsia="Times New Roman" w:hAnsiTheme="majorBidi" w:cstheme="majorBidi"/>
          <w:sz w:val="24"/>
          <w:szCs w:val="24"/>
          <w:lang w:eastAsia="en-GB"/>
        </w:rPr>
      </w:pPr>
      <w:r w:rsidRPr="002A7340">
        <w:rPr>
          <w:rFonts w:asciiTheme="majorBidi" w:eastAsia="Times New Roman" w:hAnsiTheme="majorBidi" w:cstheme="majorBidi"/>
          <w:sz w:val="24"/>
          <w:szCs w:val="24"/>
          <w:lang w:eastAsia="en-GB"/>
        </w:rPr>
        <w:t xml:space="preserve">Ashforth, B.E., &amp; Gibbs, B.W. (1990). The double-edge of organizational legitimation. </w:t>
      </w:r>
      <w:r w:rsidRPr="00EB719B">
        <w:rPr>
          <w:rFonts w:asciiTheme="majorBidi" w:eastAsia="Times New Roman" w:hAnsiTheme="majorBidi" w:cstheme="majorBidi"/>
          <w:i/>
          <w:iCs/>
          <w:sz w:val="24"/>
          <w:szCs w:val="24"/>
          <w:lang w:eastAsia="en-GB"/>
        </w:rPr>
        <w:t xml:space="preserve">Organization </w:t>
      </w:r>
      <w:r w:rsidR="00AB3F27">
        <w:rPr>
          <w:rFonts w:asciiTheme="majorBidi" w:eastAsia="Times New Roman" w:hAnsiTheme="majorBidi" w:cstheme="majorBidi"/>
          <w:i/>
          <w:iCs/>
          <w:sz w:val="24"/>
          <w:szCs w:val="24"/>
          <w:lang w:eastAsia="en-GB"/>
        </w:rPr>
        <w:t>S</w:t>
      </w:r>
      <w:r w:rsidRPr="00EB719B">
        <w:rPr>
          <w:rFonts w:asciiTheme="majorBidi" w:eastAsia="Times New Roman" w:hAnsiTheme="majorBidi" w:cstheme="majorBidi"/>
          <w:i/>
          <w:iCs/>
          <w:sz w:val="24"/>
          <w:szCs w:val="24"/>
          <w:lang w:eastAsia="en-GB"/>
        </w:rPr>
        <w:t>cience, 1</w:t>
      </w:r>
      <w:r w:rsidRPr="002A7340">
        <w:rPr>
          <w:rFonts w:asciiTheme="majorBidi" w:eastAsia="Times New Roman" w:hAnsiTheme="majorBidi" w:cstheme="majorBidi"/>
          <w:sz w:val="24"/>
          <w:szCs w:val="24"/>
          <w:lang w:eastAsia="en-GB"/>
        </w:rPr>
        <w:t>(2), 177-194.</w:t>
      </w:r>
      <w:r w:rsidR="00557233">
        <w:rPr>
          <w:rFonts w:asciiTheme="majorBidi" w:eastAsia="Times New Roman" w:hAnsiTheme="majorBidi" w:cstheme="majorBidi"/>
          <w:sz w:val="24"/>
          <w:szCs w:val="24"/>
          <w:lang w:eastAsia="en-GB"/>
        </w:rPr>
        <w:t xml:space="preserve"> </w:t>
      </w:r>
      <w:hyperlink r:id="rId14" w:history="1">
        <w:r w:rsidR="00557233" w:rsidRPr="007623DA">
          <w:rPr>
            <w:rStyle w:val="Hyperlink"/>
            <w:rFonts w:asciiTheme="majorBidi" w:eastAsia="Times New Roman" w:hAnsiTheme="majorBidi" w:cstheme="majorBidi"/>
            <w:sz w:val="24"/>
            <w:szCs w:val="24"/>
            <w:lang w:eastAsia="en-GB"/>
          </w:rPr>
          <w:t>https://www.jstor.org/stable/2635061</w:t>
        </w:r>
      </w:hyperlink>
      <w:r w:rsidR="00557233">
        <w:rPr>
          <w:rFonts w:asciiTheme="majorBidi" w:eastAsia="Times New Roman" w:hAnsiTheme="majorBidi" w:cstheme="majorBidi"/>
          <w:sz w:val="24"/>
          <w:szCs w:val="24"/>
          <w:lang w:eastAsia="en-GB"/>
        </w:rPr>
        <w:t xml:space="preserve">. </w:t>
      </w:r>
    </w:p>
    <w:p w14:paraId="2754DD2D" w14:textId="4AD190C1" w:rsidR="004E5B85" w:rsidRDefault="00F87668" w:rsidP="00605ADB">
      <w:pPr>
        <w:spacing w:after="0" w:line="240" w:lineRule="auto"/>
        <w:ind w:left="170" w:hanging="170"/>
        <w:jc w:val="both"/>
        <w:rPr>
          <w:rFonts w:asciiTheme="majorBidi" w:hAnsiTheme="majorBidi" w:cstheme="majorBidi"/>
          <w:sz w:val="24"/>
          <w:szCs w:val="24"/>
        </w:rPr>
      </w:pPr>
      <w:r>
        <w:rPr>
          <w:rFonts w:asciiTheme="majorBidi" w:hAnsiTheme="majorBidi" w:cstheme="majorBidi"/>
          <w:sz w:val="24"/>
          <w:szCs w:val="24"/>
        </w:rPr>
        <w:t>Banks, W.</w:t>
      </w:r>
      <w:r w:rsidR="00373B72">
        <w:rPr>
          <w:rFonts w:asciiTheme="majorBidi" w:hAnsiTheme="majorBidi" w:cstheme="majorBidi"/>
          <w:sz w:val="24"/>
          <w:szCs w:val="24"/>
        </w:rPr>
        <w:t>,</w:t>
      </w:r>
      <w:r>
        <w:rPr>
          <w:rFonts w:asciiTheme="majorBidi" w:hAnsiTheme="majorBidi" w:cstheme="majorBidi"/>
          <w:sz w:val="24"/>
          <w:szCs w:val="24"/>
        </w:rPr>
        <w:t xml:space="preserve"> </w:t>
      </w:r>
      <w:r w:rsidR="000829AF">
        <w:rPr>
          <w:rFonts w:asciiTheme="majorBidi" w:hAnsiTheme="majorBidi" w:cstheme="majorBidi"/>
          <w:sz w:val="24"/>
          <w:szCs w:val="24"/>
        </w:rPr>
        <w:t>&amp;</w:t>
      </w:r>
      <w:r>
        <w:rPr>
          <w:rFonts w:asciiTheme="majorBidi" w:hAnsiTheme="majorBidi" w:cstheme="majorBidi"/>
          <w:sz w:val="24"/>
          <w:szCs w:val="24"/>
        </w:rPr>
        <w:t xml:space="preserve"> Nelson, M. </w:t>
      </w:r>
      <w:r w:rsidR="000829AF">
        <w:rPr>
          <w:rFonts w:asciiTheme="majorBidi" w:hAnsiTheme="majorBidi" w:cstheme="majorBidi"/>
          <w:sz w:val="24"/>
          <w:szCs w:val="24"/>
        </w:rPr>
        <w:t>(</w:t>
      </w:r>
      <w:r>
        <w:rPr>
          <w:rFonts w:asciiTheme="majorBidi" w:hAnsiTheme="majorBidi" w:cstheme="majorBidi"/>
          <w:sz w:val="24"/>
          <w:szCs w:val="24"/>
        </w:rPr>
        <w:t>1994</w:t>
      </w:r>
      <w:r w:rsidR="000829AF">
        <w:rPr>
          <w:rFonts w:asciiTheme="majorBidi" w:hAnsiTheme="majorBidi" w:cstheme="majorBidi"/>
          <w:sz w:val="24"/>
          <w:szCs w:val="24"/>
        </w:rPr>
        <w:t>)</w:t>
      </w:r>
      <w:r w:rsidR="004E5B85" w:rsidRPr="00511F36">
        <w:rPr>
          <w:rFonts w:asciiTheme="majorBidi" w:hAnsiTheme="majorBidi" w:cstheme="majorBidi"/>
          <w:sz w:val="24"/>
          <w:szCs w:val="24"/>
        </w:rPr>
        <w:t xml:space="preserve">. Financial disclosures by Ontario universities: 1983-1993. </w:t>
      </w:r>
      <w:r w:rsidR="004E5B85" w:rsidRPr="00511F36">
        <w:rPr>
          <w:rFonts w:asciiTheme="majorBidi" w:hAnsiTheme="majorBidi" w:cstheme="majorBidi"/>
          <w:i/>
          <w:iCs/>
          <w:sz w:val="24"/>
          <w:szCs w:val="24"/>
        </w:rPr>
        <w:t xml:space="preserve">Journal of International Accounting, Auditing </w:t>
      </w:r>
      <w:r>
        <w:rPr>
          <w:rFonts w:asciiTheme="majorBidi" w:hAnsiTheme="majorBidi" w:cstheme="majorBidi"/>
          <w:i/>
          <w:iCs/>
          <w:sz w:val="24"/>
          <w:szCs w:val="24"/>
        </w:rPr>
        <w:t>and</w:t>
      </w:r>
      <w:r w:rsidR="004E5B85" w:rsidRPr="00511F36">
        <w:rPr>
          <w:rFonts w:asciiTheme="majorBidi" w:hAnsiTheme="majorBidi" w:cstheme="majorBidi"/>
          <w:i/>
          <w:iCs/>
          <w:sz w:val="24"/>
          <w:szCs w:val="24"/>
        </w:rPr>
        <w:t xml:space="preserve"> Taxation</w:t>
      </w:r>
      <w:r w:rsidR="000829AF">
        <w:rPr>
          <w:rFonts w:asciiTheme="majorBidi" w:hAnsiTheme="majorBidi" w:cstheme="majorBidi"/>
          <w:i/>
          <w:iCs/>
          <w:sz w:val="24"/>
          <w:szCs w:val="24"/>
        </w:rPr>
        <w:t>,</w:t>
      </w:r>
      <w:r w:rsidR="004E5B85" w:rsidRPr="00511F36">
        <w:rPr>
          <w:rFonts w:asciiTheme="majorBidi" w:hAnsiTheme="majorBidi" w:cstheme="majorBidi"/>
          <w:sz w:val="24"/>
          <w:szCs w:val="24"/>
        </w:rPr>
        <w:t xml:space="preserve"> </w:t>
      </w:r>
      <w:r w:rsidR="004E5B85" w:rsidRPr="00511F36">
        <w:rPr>
          <w:rFonts w:asciiTheme="majorBidi" w:hAnsiTheme="majorBidi" w:cstheme="majorBidi"/>
          <w:i/>
          <w:iCs/>
          <w:sz w:val="24"/>
          <w:szCs w:val="24"/>
        </w:rPr>
        <w:t>3</w:t>
      </w:r>
      <w:r w:rsidR="000829AF">
        <w:rPr>
          <w:rFonts w:asciiTheme="majorBidi" w:hAnsiTheme="majorBidi" w:cstheme="majorBidi"/>
          <w:sz w:val="24"/>
          <w:szCs w:val="24"/>
        </w:rPr>
        <w:t>(2),</w:t>
      </w:r>
      <w:r w:rsidR="004E5B85" w:rsidRPr="00511F36">
        <w:rPr>
          <w:rFonts w:asciiTheme="majorBidi" w:hAnsiTheme="majorBidi" w:cstheme="majorBidi"/>
          <w:sz w:val="24"/>
          <w:szCs w:val="24"/>
        </w:rPr>
        <w:t xml:space="preserve"> 287-305.</w:t>
      </w:r>
      <w:r w:rsidR="001A3394">
        <w:rPr>
          <w:rFonts w:asciiTheme="majorBidi" w:hAnsiTheme="majorBidi" w:cstheme="majorBidi"/>
          <w:sz w:val="24"/>
          <w:szCs w:val="24"/>
        </w:rPr>
        <w:t xml:space="preserve"> </w:t>
      </w:r>
      <w:hyperlink r:id="rId15" w:history="1">
        <w:r w:rsidR="001A3394" w:rsidRPr="007623DA">
          <w:rPr>
            <w:rStyle w:val="Hyperlink"/>
            <w:rFonts w:asciiTheme="majorBidi" w:hAnsiTheme="majorBidi" w:cstheme="majorBidi"/>
            <w:sz w:val="24"/>
            <w:szCs w:val="24"/>
          </w:rPr>
          <w:t>https://doi.org/10.1016/1061-9518(94)90022-1</w:t>
        </w:r>
      </w:hyperlink>
      <w:r w:rsidR="001A3394">
        <w:rPr>
          <w:rFonts w:asciiTheme="majorBidi" w:hAnsiTheme="majorBidi" w:cstheme="majorBidi"/>
          <w:sz w:val="24"/>
          <w:szCs w:val="24"/>
        </w:rPr>
        <w:t xml:space="preserve">. </w:t>
      </w:r>
    </w:p>
    <w:p w14:paraId="3FD7BA11" w14:textId="1499ADFC" w:rsidR="00827CDB" w:rsidRPr="00511F36" w:rsidRDefault="00827CDB" w:rsidP="00605ADB">
      <w:pPr>
        <w:spacing w:after="0" w:line="240" w:lineRule="auto"/>
        <w:ind w:left="170" w:hanging="170"/>
        <w:jc w:val="both"/>
        <w:rPr>
          <w:rFonts w:asciiTheme="majorBidi" w:hAnsiTheme="majorBidi" w:cstheme="majorBidi"/>
          <w:sz w:val="24"/>
          <w:szCs w:val="24"/>
        </w:rPr>
      </w:pPr>
      <w:r w:rsidRPr="00827CDB">
        <w:rPr>
          <w:rFonts w:asciiTheme="majorBidi" w:hAnsiTheme="majorBidi" w:cstheme="majorBidi"/>
          <w:sz w:val="24"/>
          <w:szCs w:val="24"/>
        </w:rPr>
        <w:t>Barako, D.G., Hancock, P., &amp; Izan, H.Y. (2006). Factors influencing voluntary corporate disclosure by Kenyan companies. </w:t>
      </w:r>
      <w:r w:rsidRPr="00827CDB">
        <w:rPr>
          <w:rFonts w:asciiTheme="majorBidi" w:hAnsiTheme="majorBidi" w:cstheme="majorBidi"/>
          <w:i/>
          <w:iCs/>
          <w:sz w:val="24"/>
          <w:szCs w:val="24"/>
        </w:rPr>
        <w:t xml:space="preserve">Corporate Governance: </w:t>
      </w:r>
      <w:r w:rsidR="00AB3F27">
        <w:rPr>
          <w:rFonts w:asciiTheme="majorBidi" w:hAnsiTheme="majorBidi" w:cstheme="majorBidi"/>
          <w:i/>
          <w:iCs/>
          <w:sz w:val="24"/>
          <w:szCs w:val="24"/>
        </w:rPr>
        <w:t>A</w:t>
      </w:r>
      <w:r w:rsidRPr="00827CDB">
        <w:rPr>
          <w:rFonts w:asciiTheme="majorBidi" w:hAnsiTheme="majorBidi" w:cstheme="majorBidi"/>
          <w:i/>
          <w:iCs/>
          <w:sz w:val="24"/>
          <w:szCs w:val="24"/>
        </w:rPr>
        <w:t xml:space="preserve">n </w:t>
      </w:r>
      <w:r w:rsidR="00AB3F27">
        <w:rPr>
          <w:rFonts w:asciiTheme="majorBidi" w:hAnsiTheme="majorBidi" w:cstheme="majorBidi"/>
          <w:i/>
          <w:iCs/>
          <w:sz w:val="24"/>
          <w:szCs w:val="24"/>
        </w:rPr>
        <w:t>I</w:t>
      </w:r>
      <w:r w:rsidRPr="00827CDB">
        <w:rPr>
          <w:rFonts w:asciiTheme="majorBidi" w:hAnsiTheme="majorBidi" w:cstheme="majorBidi"/>
          <w:i/>
          <w:iCs/>
          <w:sz w:val="24"/>
          <w:szCs w:val="24"/>
        </w:rPr>
        <w:t xml:space="preserve">nternational </w:t>
      </w:r>
      <w:r w:rsidR="00AB3F27">
        <w:rPr>
          <w:rFonts w:asciiTheme="majorBidi" w:hAnsiTheme="majorBidi" w:cstheme="majorBidi"/>
          <w:i/>
          <w:iCs/>
          <w:sz w:val="24"/>
          <w:szCs w:val="24"/>
        </w:rPr>
        <w:t>R</w:t>
      </w:r>
      <w:r w:rsidRPr="00827CDB">
        <w:rPr>
          <w:rFonts w:asciiTheme="majorBidi" w:hAnsiTheme="majorBidi" w:cstheme="majorBidi"/>
          <w:i/>
          <w:iCs/>
          <w:sz w:val="24"/>
          <w:szCs w:val="24"/>
        </w:rPr>
        <w:t>eview, 14</w:t>
      </w:r>
      <w:r w:rsidRPr="00827CDB">
        <w:rPr>
          <w:rFonts w:asciiTheme="majorBidi" w:hAnsiTheme="majorBidi" w:cstheme="majorBidi"/>
          <w:sz w:val="24"/>
          <w:szCs w:val="24"/>
        </w:rPr>
        <w:t>(2), 107-125.</w:t>
      </w:r>
      <w:r w:rsidR="00CE7F1D">
        <w:rPr>
          <w:rFonts w:asciiTheme="majorBidi" w:hAnsiTheme="majorBidi" w:cstheme="majorBidi"/>
          <w:sz w:val="24"/>
          <w:szCs w:val="24"/>
        </w:rPr>
        <w:t xml:space="preserve"> </w:t>
      </w:r>
      <w:hyperlink r:id="rId16" w:history="1">
        <w:r w:rsidR="00CE7F1D" w:rsidRPr="007623DA">
          <w:rPr>
            <w:rStyle w:val="Hyperlink"/>
            <w:rFonts w:asciiTheme="majorBidi" w:hAnsiTheme="majorBidi" w:cstheme="majorBidi"/>
            <w:sz w:val="24"/>
            <w:szCs w:val="24"/>
          </w:rPr>
          <w:t>https://doi.org/10.1111/j.1467-8683.2006.00491.x</w:t>
        </w:r>
      </w:hyperlink>
      <w:r w:rsidR="00CE7F1D">
        <w:rPr>
          <w:rFonts w:asciiTheme="majorBidi" w:hAnsiTheme="majorBidi" w:cstheme="majorBidi"/>
          <w:sz w:val="24"/>
          <w:szCs w:val="24"/>
        </w:rPr>
        <w:t xml:space="preserve">. </w:t>
      </w:r>
    </w:p>
    <w:p w14:paraId="30ADE313" w14:textId="64AB1C9E" w:rsidR="004E5B85" w:rsidRDefault="004E5B85">
      <w:pPr>
        <w:spacing w:after="0" w:line="240" w:lineRule="auto"/>
        <w:ind w:left="170" w:hanging="170"/>
        <w:jc w:val="both"/>
        <w:rPr>
          <w:rFonts w:asciiTheme="majorBidi" w:hAnsiTheme="majorBidi" w:cstheme="majorBidi"/>
          <w:sz w:val="24"/>
          <w:szCs w:val="24"/>
        </w:rPr>
      </w:pPr>
      <w:r w:rsidRPr="00511F36">
        <w:rPr>
          <w:rFonts w:asciiTheme="majorBidi" w:hAnsiTheme="majorBidi" w:cstheme="majorBidi"/>
          <w:sz w:val="24"/>
          <w:szCs w:val="24"/>
        </w:rPr>
        <w:t>Beekes, W.</w:t>
      </w:r>
      <w:r w:rsidR="00373B72">
        <w:rPr>
          <w:rFonts w:asciiTheme="majorBidi" w:hAnsiTheme="majorBidi" w:cstheme="majorBidi"/>
          <w:sz w:val="24"/>
          <w:szCs w:val="24"/>
        </w:rPr>
        <w:t>,</w:t>
      </w:r>
      <w:r w:rsidRPr="00511F36">
        <w:rPr>
          <w:rFonts w:asciiTheme="majorBidi" w:hAnsiTheme="majorBidi" w:cstheme="majorBidi"/>
          <w:sz w:val="24"/>
          <w:szCs w:val="24"/>
        </w:rPr>
        <w:t xml:space="preserve"> </w:t>
      </w:r>
      <w:r w:rsidR="003446F9">
        <w:rPr>
          <w:rFonts w:asciiTheme="majorBidi" w:hAnsiTheme="majorBidi" w:cstheme="majorBidi"/>
          <w:sz w:val="24"/>
          <w:szCs w:val="24"/>
        </w:rPr>
        <w:t>&amp;</w:t>
      </w:r>
      <w:r w:rsidRPr="00511F36">
        <w:rPr>
          <w:rFonts w:asciiTheme="majorBidi" w:hAnsiTheme="majorBidi" w:cstheme="majorBidi"/>
          <w:sz w:val="24"/>
          <w:szCs w:val="24"/>
        </w:rPr>
        <w:t xml:space="preserve"> Brown, P. </w:t>
      </w:r>
      <w:r w:rsidR="003446F9">
        <w:rPr>
          <w:rFonts w:asciiTheme="majorBidi" w:hAnsiTheme="majorBidi" w:cstheme="majorBidi"/>
          <w:sz w:val="24"/>
          <w:szCs w:val="24"/>
        </w:rPr>
        <w:t>(</w:t>
      </w:r>
      <w:r w:rsidRPr="00511F36">
        <w:rPr>
          <w:rFonts w:asciiTheme="majorBidi" w:hAnsiTheme="majorBidi" w:cstheme="majorBidi"/>
          <w:sz w:val="24"/>
          <w:szCs w:val="24"/>
        </w:rPr>
        <w:t>2006</w:t>
      </w:r>
      <w:r w:rsidR="003446F9">
        <w:rPr>
          <w:rFonts w:asciiTheme="majorBidi" w:hAnsiTheme="majorBidi" w:cstheme="majorBidi"/>
          <w:sz w:val="24"/>
          <w:szCs w:val="24"/>
        </w:rPr>
        <w:t>)</w:t>
      </w:r>
      <w:r w:rsidRPr="00511F36">
        <w:rPr>
          <w:rFonts w:asciiTheme="majorBidi" w:hAnsiTheme="majorBidi" w:cstheme="majorBidi"/>
          <w:sz w:val="24"/>
          <w:szCs w:val="24"/>
        </w:rPr>
        <w:t xml:space="preserve">. Do better-governed Australian firms make more informative disclosures? </w:t>
      </w:r>
      <w:r w:rsidRPr="00511F36">
        <w:rPr>
          <w:rFonts w:asciiTheme="majorBidi" w:hAnsiTheme="majorBidi" w:cstheme="majorBidi"/>
          <w:i/>
          <w:iCs/>
          <w:sz w:val="24"/>
          <w:szCs w:val="24"/>
        </w:rPr>
        <w:t>Journal o</w:t>
      </w:r>
      <w:r w:rsidR="00F87668">
        <w:rPr>
          <w:rFonts w:asciiTheme="majorBidi" w:hAnsiTheme="majorBidi" w:cstheme="majorBidi"/>
          <w:i/>
          <w:iCs/>
          <w:sz w:val="24"/>
          <w:szCs w:val="24"/>
        </w:rPr>
        <w:t>f Business Finance and Accounting</w:t>
      </w:r>
      <w:r w:rsidR="003446F9">
        <w:rPr>
          <w:rFonts w:asciiTheme="majorBidi" w:hAnsiTheme="majorBidi" w:cstheme="majorBidi"/>
          <w:i/>
          <w:iCs/>
          <w:sz w:val="24"/>
          <w:szCs w:val="24"/>
        </w:rPr>
        <w:t>,</w:t>
      </w:r>
      <w:r w:rsidRPr="00511F36">
        <w:rPr>
          <w:rFonts w:asciiTheme="majorBidi" w:hAnsiTheme="majorBidi" w:cstheme="majorBidi"/>
          <w:i/>
          <w:iCs/>
          <w:sz w:val="24"/>
          <w:szCs w:val="24"/>
        </w:rPr>
        <w:t xml:space="preserve"> 33</w:t>
      </w:r>
      <w:r w:rsidR="00CE7F1D">
        <w:rPr>
          <w:rFonts w:asciiTheme="majorBidi" w:hAnsiTheme="majorBidi" w:cstheme="majorBidi"/>
          <w:sz w:val="24"/>
          <w:szCs w:val="24"/>
        </w:rPr>
        <w:t>(3-4)</w:t>
      </w:r>
      <w:r w:rsidR="003446F9">
        <w:rPr>
          <w:rFonts w:asciiTheme="majorBidi" w:hAnsiTheme="majorBidi" w:cstheme="majorBidi"/>
          <w:sz w:val="24"/>
          <w:szCs w:val="24"/>
        </w:rPr>
        <w:t>,</w:t>
      </w:r>
      <w:r w:rsidRPr="00511F36">
        <w:rPr>
          <w:rFonts w:asciiTheme="majorBidi" w:hAnsiTheme="majorBidi" w:cstheme="majorBidi"/>
          <w:sz w:val="24"/>
          <w:szCs w:val="24"/>
        </w:rPr>
        <w:t xml:space="preserve"> 424-450.</w:t>
      </w:r>
      <w:r w:rsidR="00CE7F1D">
        <w:rPr>
          <w:rFonts w:asciiTheme="majorBidi" w:hAnsiTheme="majorBidi" w:cstheme="majorBidi"/>
          <w:sz w:val="24"/>
          <w:szCs w:val="24"/>
        </w:rPr>
        <w:t xml:space="preserve"> </w:t>
      </w:r>
      <w:hyperlink r:id="rId17" w:history="1">
        <w:r w:rsidR="00CE7F1D" w:rsidRPr="007623DA">
          <w:rPr>
            <w:rStyle w:val="Hyperlink"/>
            <w:rFonts w:asciiTheme="majorBidi" w:hAnsiTheme="majorBidi" w:cstheme="majorBidi"/>
            <w:sz w:val="24"/>
            <w:szCs w:val="24"/>
          </w:rPr>
          <w:t>https://doi.org/10.1111/j.1468-5957.2006.00614.x</w:t>
        </w:r>
      </w:hyperlink>
      <w:r w:rsidR="00CE7F1D">
        <w:rPr>
          <w:rFonts w:asciiTheme="majorBidi" w:hAnsiTheme="majorBidi" w:cstheme="majorBidi"/>
          <w:sz w:val="24"/>
          <w:szCs w:val="24"/>
        </w:rPr>
        <w:t xml:space="preserve">. </w:t>
      </w:r>
    </w:p>
    <w:p w14:paraId="06B84706" w14:textId="304632A5" w:rsidR="0080412C" w:rsidRDefault="0080412C" w:rsidP="0080412C">
      <w:pPr>
        <w:spacing w:after="0" w:line="240" w:lineRule="auto"/>
        <w:ind w:left="170" w:hanging="17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Bell, A.R., &amp; Brooks, C. (</w:t>
      </w:r>
      <w:r w:rsidRPr="00B44AD9">
        <w:rPr>
          <w:rFonts w:asciiTheme="majorBidi" w:hAnsiTheme="majorBidi" w:cstheme="majorBidi"/>
          <w:sz w:val="24"/>
          <w:szCs w:val="24"/>
          <w:shd w:val="clear" w:color="auto" w:fill="FFFFFF"/>
        </w:rPr>
        <w:t>2019</w:t>
      </w:r>
      <w:r>
        <w:rPr>
          <w:rFonts w:asciiTheme="majorBidi" w:hAnsiTheme="majorBidi" w:cstheme="majorBidi"/>
          <w:sz w:val="24"/>
          <w:szCs w:val="24"/>
          <w:shd w:val="clear" w:color="auto" w:fill="FFFFFF"/>
        </w:rPr>
        <w:t>)</w:t>
      </w:r>
      <w:r w:rsidR="00373B72">
        <w:rPr>
          <w:rFonts w:asciiTheme="majorBidi" w:hAnsiTheme="majorBidi" w:cstheme="majorBidi"/>
          <w:sz w:val="24"/>
          <w:szCs w:val="24"/>
          <w:shd w:val="clear" w:color="auto" w:fill="FFFFFF"/>
        </w:rPr>
        <w:t>.</w:t>
      </w:r>
      <w:r w:rsidRPr="00B44AD9">
        <w:rPr>
          <w:rFonts w:asciiTheme="majorBidi" w:hAnsiTheme="majorBidi" w:cstheme="majorBidi"/>
          <w:sz w:val="24"/>
          <w:szCs w:val="24"/>
          <w:shd w:val="clear" w:color="auto" w:fill="FFFFFF"/>
        </w:rPr>
        <w:t xml:space="preserve"> Is there a ‘magic link’</w:t>
      </w:r>
      <w:r>
        <w:rPr>
          <w:rFonts w:asciiTheme="majorBidi" w:hAnsiTheme="majorBidi" w:cstheme="majorBidi"/>
          <w:sz w:val="24"/>
          <w:szCs w:val="24"/>
          <w:shd w:val="clear" w:color="auto" w:fill="FFFFFF"/>
        </w:rPr>
        <w:t xml:space="preserve"> </w:t>
      </w:r>
      <w:r w:rsidRPr="00B44AD9">
        <w:rPr>
          <w:rFonts w:asciiTheme="majorBidi" w:hAnsiTheme="majorBidi" w:cstheme="majorBidi"/>
          <w:sz w:val="24"/>
          <w:szCs w:val="24"/>
          <w:shd w:val="clear" w:color="auto" w:fill="FFFFFF"/>
        </w:rPr>
        <w:t>between research activity, professional teaching qualifications and student satisfaction? </w:t>
      </w:r>
      <w:r w:rsidRPr="007F3D01">
        <w:rPr>
          <w:rFonts w:asciiTheme="majorBidi" w:hAnsiTheme="majorBidi" w:cstheme="majorBidi"/>
          <w:bCs/>
          <w:i/>
          <w:iCs/>
          <w:sz w:val="24"/>
          <w:szCs w:val="24"/>
          <w:shd w:val="clear" w:color="auto" w:fill="FFFFFF"/>
        </w:rPr>
        <w:t>Higher Education Policy</w:t>
      </w:r>
      <w:r w:rsidR="00C046E5">
        <w:rPr>
          <w:rFonts w:asciiTheme="majorBidi" w:hAnsiTheme="majorBidi" w:cstheme="majorBidi"/>
          <w:bCs/>
          <w:i/>
          <w:iCs/>
          <w:sz w:val="24"/>
          <w:szCs w:val="24"/>
          <w:shd w:val="clear" w:color="auto" w:fill="FFFFFF"/>
        </w:rPr>
        <w:t>,</w:t>
      </w:r>
      <w:r w:rsidRPr="00B44AD9">
        <w:rPr>
          <w:rFonts w:asciiTheme="majorBidi" w:hAnsiTheme="majorBidi" w:cstheme="majorBidi"/>
          <w:i/>
          <w:iCs/>
          <w:sz w:val="24"/>
          <w:szCs w:val="24"/>
          <w:shd w:val="clear" w:color="auto" w:fill="FFFFFF"/>
        </w:rPr>
        <w:t> </w:t>
      </w:r>
      <w:r w:rsidRPr="00C046E5">
        <w:rPr>
          <w:rFonts w:asciiTheme="majorBidi" w:hAnsiTheme="majorBidi" w:cstheme="majorBidi"/>
          <w:i/>
          <w:iCs/>
          <w:sz w:val="24"/>
          <w:szCs w:val="24"/>
          <w:shd w:val="clear" w:color="auto" w:fill="FFFFFF"/>
        </w:rPr>
        <w:t>32</w:t>
      </w:r>
      <w:r>
        <w:rPr>
          <w:rFonts w:asciiTheme="majorBidi" w:hAnsiTheme="majorBidi" w:cstheme="majorBidi"/>
          <w:sz w:val="24"/>
          <w:szCs w:val="24"/>
          <w:shd w:val="clear" w:color="auto" w:fill="FFFFFF"/>
        </w:rPr>
        <w:t>(2)</w:t>
      </w:r>
      <w:r w:rsidR="00DF2AA5">
        <w:rPr>
          <w:rFonts w:asciiTheme="majorBidi" w:hAnsiTheme="majorBidi" w:cstheme="majorBidi"/>
          <w:sz w:val="24"/>
          <w:szCs w:val="24"/>
          <w:shd w:val="clear" w:color="auto" w:fill="FFFFFF"/>
        </w:rPr>
        <w:t>,</w:t>
      </w:r>
      <w:r w:rsidRPr="00B44AD9">
        <w:rPr>
          <w:rFonts w:asciiTheme="majorBidi" w:hAnsiTheme="majorBidi" w:cstheme="majorBidi"/>
          <w:sz w:val="24"/>
          <w:szCs w:val="24"/>
          <w:shd w:val="clear" w:color="auto" w:fill="FFFFFF"/>
        </w:rPr>
        <w:t xml:space="preserve"> 227-248.</w:t>
      </w:r>
      <w:r w:rsidR="00C046E5">
        <w:rPr>
          <w:rFonts w:asciiTheme="majorBidi" w:hAnsiTheme="majorBidi" w:cstheme="majorBidi"/>
          <w:sz w:val="24"/>
          <w:szCs w:val="24"/>
          <w:shd w:val="clear" w:color="auto" w:fill="FFFFFF"/>
        </w:rPr>
        <w:t xml:space="preserve"> </w:t>
      </w:r>
      <w:hyperlink r:id="rId18" w:history="1">
        <w:r w:rsidR="00C046E5" w:rsidRPr="007623DA">
          <w:rPr>
            <w:rStyle w:val="Hyperlink"/>
            <w:rFonts w:asciiTheme="majorBidi" w:hAnsiTheme="majorBidi" w:cstheme="majorBidi"/>
            <w:sz w:val="24"/>
            <w:szCs w:val="24"/>
            <w:shd w:val="clear" w:color="auto" w:fill="FFFFFF"/>
          </w:rPr>
          <w:t>https://doi.org/10.1057/s41307-018-0081-0</w:t>
        </w:r>
      </w:hyperlink>
      <w:r w:rsidR="00C046E5">
        <w:rPr>
          <w:rFonts w:asciiTheme="majorBidi" w:hAnsiTheme="majorBidi" w:cstheme="majorBidi"/>
          <w:sz w:val="24"/>
          <w:szCs w:val="24"/>
          <w:shd w:val="clear" w:color="auto" w:fill="FFFFFF"/>
        </w:rPr>
        <w:t xml:space="preserve">. </w:t>
      </w:r>
    </w:p>
    <w:p w14:paraId="0E7DCC09" w14:textId="1011A5A8" w:rsidR="00F5043C" w:rsidRPr="00F5043C" w:rsidRDefault="00F5043C" w:rsidP="00F5043C">
      <w:pPr>
        <w:spacing w:after="0" w:line="240" w:lineRule="auto"/>
        <w:ind w:left="170" w:hanging="170"/>
        <w:jc w:val="both"/>
        <w:rPr>
          <w:rFonts w:asciiTheme="majorBidi" w:hAnsiTheme="majorBidi" w:cstheme="majorBidi"/>
          <w:sz w:val="24"/>
          <w:szCs w:val="24"/>
        </w:rPr>
      </w:pPr>
      <w:r w:rsidRPr="00F5043C">
        <w:rPr>
          <w:rFonts w:asciiTheme="majorBidi" w:hAnsiTheme="majorBidi" w:cstheme="majorBidi"/>
          <w:sz w:val="24"/>
          <w:szCs w:val="24"/>
        </w:rPr>
        <w:t xml:space="preserve">Bendickson, J., Muldoon, J., Liguori, E.W., &amp; Davis, P. E. (2016). Agency theory: background and epistemology. </w:t>
      </w:r>
      <w:r w:rsidRPr="00F5043C">
        <w:rPr>
          <w:rFonts w:asciiTheme="majorBidi" w:hAnsiTheme="majorBidi" w:cstheme="majorBidi"/>
          <w:i/>
          <w:iCs/>
          <w:sz w:val="24"/>
          <w:szCs w:val="24"/>
        </w:rPr>
        <w:t>Journal of Management History, 22</w:t>
      </w:r>
      <w:r w:rsidRPr="00F5043C">
        <w:rPr>
          <w:rFonts w:asciiTheme="majorBidi" w:hAnsiTheme="majorBidi" w:cstheme="majorBidi"/>
          <w:sz w:val="24"/>
          <w:szCs w:val="24"/>
        </w:rPr>
        <w:t>(4), 437-449.</w:t>
      </w:r>
      <w:r w:rsidR="00BD21C6">
        <w:rPr>
          <w:rFonts w:asciiTheme="majorBidi" w:hAnsiTheme="majorBidi" w:cstheme="majorBidi"/>
          <w:sz w:val="24"/>
          <w:szCs w:val="24"/>
        </w:rPr>
        <w:t xml:space="preserve"> </w:t>
      </w:r>
      <w:hyperlink r:id="rId19" w:history="1">
        <w:r w:rsidR="00BD21C6" w:rsidRPr="007623DA">
          <w:rPr>
            <w:rStyle w:val="Hyperlink"/>
            <w:rFonts w:asciiTheme="majorBidi" w:hAnsiTheme="majorBidi" w:cstheme="majorBidi"/>
            <w:sz w:val="24"/>
            <w:szCs w:val="24"/>
          </w:rPr>
          <w:t>https://doi.org/10.1108/JMH-06-2016-0028</w:t>
        </w:r>
      </w:hyperlink>
      <w:r w:rsidR="00BD21C6">
        <w:rPr>
          <w:rFonts w:asciiTheme="majorBidi" w:hAnsiTheme="majorBidi" w:cstheme="majorBidi"/>
          <w:sz w:val="24"/>
          <w:szCs w:val="24"/>
        </w:rPr>
        <w:t xml:space="preserve">. </w:t>
      </w:r>
    </w:p>
    <w:p w14:paraId="34D5F389" w14:textId="2AE4BDB9" w:rsidR="00413676" w:rsidRDefault="00413676" w:rsidP="007A5B02">
      <w:pPr>
        <w:spacing w:after="0" w:line="240" w:lineRule="auto"/>
        <w:ind w:left="170" w:hanging="170"/>
        <w:jc w:val="both"/>
        <w:rPr>
          <w:rFonts w:asciiTheme="majorBidi" w:eastAsia="Times New Roman" w:hAnsiTheme="majorBidi" w:cstheme="majorBidi"/>
          <w:sz w:val="24"/>
          <w:szCs w:val="24"/>
          <w:lang w:eastAsia="en-GB"/>
        </w:rPr>
      </w:pPr>
      <w:r w:rsidRPr="00413676">
        <w:rPr>
          <w:rFonts w:asciiTheme="majorBidi" w:eastAsia="Times New Roman" w:hAnsiTheme="majorBidi" w:cstheme="majorBidi"/>
          <w:sz w:val="24"/>
          <w:szCs w:val="24"/>
          <w:lang w:eastAsia="en-GB"/>
        </w:rPr>
        <w:t>Blundell, R.</w:t>
      </w:r>
      <w:r w:rsidR="00373B72">
        <w:rPr>
          <w:rFonts w:asciiTheme="majorBidi" w:eastAsia="Times New Roman" w:hAnsiTheme="majorBidi" w:cstheme="majorBidi"/>
          <w:sz w:val="24"/>
          <w:szCs w:val="24"/>
          <w:lang w:eastAsia="en-GB"/>
        </w:rPr>
        <w:t>,</w:t>
      </w:r>
      <w:r w:rsidRPr="00413676">
        <w:rPr>
          <w:rFonts w:asciiTheme="majorBidi" w:eastAsia="Times New Roman" w:hAnsiTheme="majorBidi" w:cstheme="majorBidi"/>
          <w:sz w:val="24"/>
          <w:szCs w:val="24"/>
          <w:lang w:eastAsia="en-GB"/>
        </w:rPr>
        <w:t xml:space="preserve"> </w:t>
      </w:r>
      <w:r w:rsidR="007A5B02">
        <w:rPr>
          <w:rFonts w:asciiTheme="majorBidi" w:eastAsia="Times New Roman" w:hAnsiTheme="majorBidi" w:cstheme="majorBidi"/>
          <w:sz w:val="24"/>
          <w:szCs w:val="24"/>
          <w:lang w:eastAsia="en-GB"/>
        </w:rPr>
        <w:t>&amp;</w:t>
      </w:r>
      <w:r w:rsidR="007A5B02" w:rsidRPr="00413676">
        <w:rPr>
          <w:rFonts w:asciiTheme="majorBidi" w:eastAsia="Times New Roman" w:hAnsiTheme="majorBidi" w:cstheme="majorBidi"/>
          <w:sz w:val="24"/>
          <w:szCs w:val="24"/>
          <w:lang w:eastAsia="en-GB"/>
        </w:rPr>
        <w:t xml:space="preserve"> </w:t>
      </w:r>
      <w:r w:rsidRPr="00413676">
        <w:rPr>
          <w:rFonts w:asciiTheme="majorBidi" w:eastAsia="Times New Roman" w:hAnsiTheme="majorBidi" w:cstheme="majorBidi"/>
          <w:sz w:val="24"/>
          <w:szCs w:val="24"/>
          <w:lang w:eastAsia="en-GB"/>
        </w:rPr>
        <w:t>Bond, S. (1998). Initial conditions and moment restrictions in dynamic panel data models</w:t>
      </w:r>
      <w:r w:rsidR="00F226C4">
        <w:rPr>
          <w:rFonts w:asciiTheme="majorBidi" w:eastAsia="Times New Roman" w:hAnsiTheme="majorBidi" w:cstheme="majorBidi"/>
          <w:sz w:val="24"/>
          <w:szCs w:val="24"/>
          <w:lang w:eastAsia="en-GB"/>
        </w:rPr>
        <w:t>.</w:t>
      </w:r>
      <w:r w:rsidRPr="00413676">
        <w:rPr>
          <w:rFonts w:asciiTheme="majorBidi" w:eastAsia="Times New Roman" w:hAnsiTheme="majorBidi" w:cstheme="majorBidi"/>
          <w:sz w:val="24"/>
          <w:szCs w:val="24"/>
          <w:lang w:eastAsia="en-GB"/>
        </w:rPr>
        <w:t xml:space="preserve"> </w:t>
      </w:r>
      <w:r w:rsidRPr="007A5B02">
        <w:rPr>
          <w:rFonts w:asciiTheme="majorBidi" w:eastAsia="Times New Roman" w:hAnsiTheme="majorBidi" w:cstheme="majorBidi"/>
          <w:i/>
          <w:iCs/>
          <w:sz w:val="24"/>
          <w:szCs w:val="24"/>
          <w:lang w:eastAsia="en-GB"/>
        </w:rPr>
        <w:t xml:space="preserve">Journal of </w:t>
      </w:r>
      <w:r w:rsidR="007A5B02" w:rsidRPr="007A5B02">
        <w:rPr>
          <w:rFonts w:asciiTheme="majorBidi" w:eastAsia="Times New Roman" w:hAnsiTheme="majorBidi" w:cstheme="majorBidi"/>
          <w:i/>
          <w:iCs/>
          <w:sz w:val="24"/>
          <w:szCs w:val="24"/>
          <w:lang w:eastAsia="en-GB"/>
        </w:rPr>
        <w:t>E</w:t>
      </w:r>
      <w:r w:rsidRPr="007A5B02">
        <w:rPr>
          <w:rFonts w:asciiTheme="majorBidi" w:eastAsia="Times New Roman" w:hAnsiTheme="majorBidi" w:cstheme="majorBidi"/>
          <w:i/>
          <w:iCs/>
          <w:sz w:val="24"/>
          <w:szCs w:val="24"/>
          <w:lang w:eastAsia="en-GB"/>
        </w:rPr>
        <w:t>conometrics, 87</w:t>
      </w:r>
      <w:r w:rsidR="00F226C4">
        <w:rPr>
          <w:rFonts w:asciiTheme="majorBidi" w:eastAsia="Times New Roman" w:hAnsiTheme="majorBidi" w:cstheme="majorBidi"/>
          <w:sz w:val="24"/>
          <w:szCs w:val="24"/>
          <w:lang w:eastAsia="en-GB"/>
        </w:rPr>
        <w:t>(1)</w:t>
      </w:r>
      <w:r w:rsidR="007A5B02">
        <w:rPr>
          <w:rFonts w:asciiTheme="majorBidi" w:eastAsia="Times New Roman" w:hAnsiTheme="majorBidi" w:cstheme="majorBidi"/>
          <w:sz w:val="24"/>
          <w:szCs w:val="24"/>
          <w:lang w:eastAsia="en-GB"/>
        </w:rPr>
        <w:t>,</w:t>
      </w:r>
      <w:r w:rsidRPr="00413676">
        <w:rPr>
          <w:rFonts w:asciiTheme="majorBidi" w:eastAsia="Times New Roman" w:hAnsiTheme="majorBidi" w:cstheme="majorBidi"/>
          <w:sz w:val="24"/>
          <w:szCs w:val="24"/>
          <w:lang w:eastAsia="en-GB"/>
        </w:rPr>
        <w:t xml:space="preserve"> 115-143.</w:t>
      </w:r>
      <w:r w:rsidR="00F226C4">
        <w:rPr>
          <w:rFonts w:asciiTheme="majorBidi" w:eastAsia="Times New Roman" w:hAnsiTheme="majorBidi" w:cstheme="majorBidi"/>
          <w:sz w:val="24"/>
          <w:szCs w:val="24"/>
          <w:lang w:eastAsia="en-GB"/>
        </w:rPr>
        <w:t xml:space="preserve"> </w:t>
      </w:r>
      <w:hyperlink r:id="rId20" w:history="1">
        <w:r w:rsidR="00F226C4" w:rsidRPr="007623DA">
          <w:rPr>
            <w:rStyle w:val="Hyperlink"/>
            <w:rFonts w:asciiTheme="majorBidi" w:eastAsia="Times New Roman" w:hAnsiTheme="majorBidi" w:cstheme="majorBidi"/>
            <w:sz w:val="24"/>
            <w:szCs w:val="24"/>
            <w:lang w:eastAsia="en-GB"/>
          </w:rPr>
          <w:t>https://doi.org/10.1016/S0304-4076(98)00009-8</w:t>
        </w:r>
      </w:hyperlink>
      <w:r w:rsidR="00F226C4">
        <w:rPr>
          <w:rFonts w:asciiTheme="majorBidi" w:eastAsia="Times New Roman" w:hAnsiTheme="majorBidi" w:cstheme="majorBidi"/>
          <w:sz w:val="24"/>
          <w:szCs w:val="24"/>
          <w:lang w:eastAsia="en-GB"/>
        </w:rPr>
        <w:t xml:space="preserve">. </w:t>
      </w:r>
    </w:p>
    <w:p w14:paraId="37AFB0D6" w14:textId="1A2D75A7" w:rsidR="00DA40EE" w:rsidRDefault="00BE0110" w:rsidP="00DA40EE">
      <w:pPr>
        <w:spacing w:after="0" w:line="240" w:lineRule="auto"/>
        <w:ind w:left="170" w:hanging="170"/>
        <w:jc w:val="both"/>
        <w:rPr>
          <w:rFonts w:asciiTheme="majorBidi" w:eastAsia="Times New Roman" w:hAnsiTheme="majorBidi" w:cstheme="majorBidi"/>
          <w:sz w:val="24"/>
          <w:szCs w:val="24"/>
          <w:lang w:eastAsia="en-GB"/>
        </w:rPr>
      </w:pPr>
      <w:r w:rsidRPr="00BE0110">
        <w:rPr>
          <w:rFonts w:asciiTheme="majorBidi" w:eastAsia="Times New Roman" w:hAnsiTheme="majorBidi" w:cstheme="majorBidi"/>
          <w:sz w:val="24"/>
          <w:szCs w:val="24"/>
          <w:lang w:eastAsia="en-GB"/>
        </w:rPr>
        <w:t>Boliver, V. (2015). Are there distinctive clusters of higher and lower status universities in the UK? </w:t>
      </w:r>
      <w:r w:rsidRPr="00BE0110">
        <w:rPr>
          <w:rFonts w:asciiTheme="majorBidi" w:eastAsia="Times New Roman" w:hAnsiTheme="majorBidi" w:cstheme="majorBidi"/>
          <w:i/>
          <w:iCs/>
          <w:sz w:val="24"/>
          <w:szCs w:val="24"/>
          <w:lang w:eastAsia="en-GB"/>
        </w:rPr>
        <w:t>Oxford Review of Education, 41</w:t>
      </w:r>
      <w:r w:rsidRPr="00BE0110">
        <w:rPr>
          <w:rFonts w:asciiTheme="majorBidi" w:eastAsia="Times New Roman" w:hAnsiTheme="majorBidi" w:cstheme="majorBidi"/>
          <w:sz w:val="24"/>
          <w:szCs w:val="24"/>
          <w:lang w:eastAsia="en-GB"/>
        </w:rPr>
        <w:t>(5), 608-627.</w:t>
      </w:r>
      <w:r w:rsidR="00C01999">
        <w:rPr>
          <w:rFonts w:asciiTheme="majorBidi" w:eastAsia="Times New Roman" w:hAnsiTheme="majorBidi" w:cstheme="majorBidi"/>
          <w:sz w:val="24"/>
          <w:szCs w:val="24"/>
          <w:lang w:eastAsia="en-GB"/>
        </w:rPr>
        <w:t xml:space="preserve"> </w:t>
      </w:r>
      <w:hyperlink r:id="rId21" w:history="1">
        <w:r w:rsidR="00C01999" w:rsidRPr="007623DA">
          <w:rPr>
            <w:rStyle w:val="Hyperlink"/>
            <w:rFonts w:asciiTheme="majorBidi" w:eastAsia="Times New Roman" w:hAnsiTheme="majorBidi" w:cstheme="majorBidi"/>
            <w:sz w:val="24"/>
            <w:szCs w:val="24"/>
            <w:lang w:eastAsia="en-GB"/>
          </w:rPr>
          <w:t>https://doi.org/10.1080/03054985.2015.1082905</w:t>
        </w:r>
      </w:hyperlink>
      <w:r w:rsidR="00C01999">
        <w:rPr>
          <w:rFonts w:asciiTheme="majorBidi" w:eastAsia="Times New Roman" w:hAnsiTheme="majorBidi" w:cstheme="majorBidi"/>
          <w:sz w:val="24"/>
          <w:szCs w:val="24"/>
          <w:lang w:eastAsia="en-GB"/>
        </w:rPr>
        <w:t xml:space="preserve">. </w:t>
      </w:r>
    </w:p>
    <w:p w14:paraId="5D07451C" w14:textId="100CDCF9" w:rsidR="008403F7" w:rsidRPr="008403F7" w:rsidRDefault="008403F7" w:rsidP="008403F7">
      <w:pPr>
        <w:spacing w:after="0" w:line="240" w:lineRule="auto"/>
        <w:ind w:left="170" w:hanging="170"/>
        <w:jc w:val="both"/>
        <w:rPr>
          <w:rFonts w:asciiTheme="majorBidi" w:hAnsiTheme="majorBidi" w:cstheme="majorBidi"/>
          <w:sz w:val="24"/>
          <w:szCs w:val="24"/>
        </w:rPr>
      </w:pPr>
      <w:r w:rsidRPr="00DA40EE">
        <w:rPr>
          <w:rFonts w:asciiTheme="majorBidi" w:hAnsiTheme="majorBidi" w:cstheme="majorBidi"/>
          <w:sz w:val="24"/>
          <w:szCs w:val="24"/>
        </w:rPr>
        <w:t>Botosan, C.A. (1997). Disclosure level and the cost of equity capital. </w:t>
      </w:r>
      <w:r w:rsidRPr="00DA40EE">
        <w:rPr>
          <w:rFonts w:asciiTheme="majorBidi" w:hAnsiTheme="majorBidi" w:cstheme="majorBidi"/>
          <w:i/>
          <w:iCs/>
          <w:sz w:val="24"/>
          <w:szCs w:val="24"/>
        </w:rPr>
        <w:t xml:space="preserve">Accounting </w:t>
      </w:r>
      <w:r>
        <w:rPr>
          <w:rFonts w:asciiTheme="majorBidi" w:hAnsiTheme="majorBidi" w:cstheme="majorBidi"/>
          <w:i/>
          <w:iCs/>
          <w:sz w:val="24"/>
          <w:szCs w:val="24"/>
        </w:rPr>
        <w:t>R</w:t>
      </w:r>
      <w:r w:rsidRPr="00DA40EE">
        <w:rPr>
          <w:rFonts w:asciiTheme="majorBidi" w:hAnsiTheme="majorBidi" w:cstheme="majorBidi"/>
          <w:i/>
          <w:iCs/>
          <w:sz w:val="24"/>
          <w:szCs w:val="24"/>
        </w:rPr>
        <w:t>eview, 72</w:t>
      </w:r>
      <w:r>
        <w:rPr>
          <w:rFonts w:asciiTheme="majorBidi" w:hAnsiTheme="majorBidi" w:cstheme="majorBidi"/>
          <w:sz w:val="24"/>
          <w:szCs w:val="24"/>
        </w:rPr>
        <w:t xml:space="preserve">(3), </w:t>
      </w:r>
      <w:r w:rsidRPr="00DA40EE">
        <w:rPr>
          <w:rFonts w:asciiTheme="majorBidi" w:hAnsiTheme="majorBidi" w:cstheme="majorBidi"/>
          <w:sz w:val="24"/>
          <w:szCs w:val="24"/>
        </w:rPr>
        <w:t>323-349.</w:t>
      </w:r>
      <w:r>
        <w:rPr>
          <w:rFonts w:asciiTheme="majorBidi" w:hAnsiTheme="majorBidi" w:cstheme="majorBidi"/>
          <w:sz w:val="24"/>
          <w:szCs w:val="24"/>
        </w:rPr>
        <w:t xml:space="preserve"> </w:t>
      </w:r>
      <w:hyperlink r:id="rId22" w:history="1">
        <w:r w:rsidRPr="007623DA">
          <w:rPr>
            <w:rStyle w:val="Hyperlink"/>
            <w:rFonts w:asciiTheme="majorBidi" w:hAnsiTheme="majorBidi" w:cstheme="majorBidi"/>
            <w:sz w:val="24"/>
            <w:szCs w:val="24"/>
          </w:rPr>
          <w:t>https://www.jstor.org/stable/248475</w:t>
        </w:r>
      </w:hyperlink>
      <w:r>
        <w:rPr>
          <w:rFonts w:asciiTheme="majorBidi" w:hAnsiTheme="majorBidi" w:cstheme="majorBidi"/>
          <w:sz w:val="24"/>
          <w:szCs w:val="24"/>
        </w:rPr>
        <w:t xml:space="preserve">. </w:t>
      </w:r>
    </w:p>
    <w:p w14:paraId="7A8E26D6" w14:textId="28A54F38" w:rsidR="005E07D6" w:rsidRDefault="005E07D6" w:rsidP="005E07D6">
      <w:pPr>
        <w:spacing w:after="0" w:line="240" w:lineRule="auto"/>
        <w:ind w:left="170" w:hanging="170"/>
        <w:jc w:val="both"/>
        <w:rPr>
          <w:rFonts w:asciiTheme="majorBidi" w:eastAsia="Times New Roman" w:hAnsiTheme="majorBidi" w:cstheme="majorBidi"/>
          <w:sz w:val="24"/>
          <w:szCs w:val="24"/>
          <w:lang w:eastAsia="en-GB"/>
        </w:rPr>
      </w:pPr>
      <w:r w:rsidRPr="005E07D6">
        <w:rPr>
          <w:rFonts w:asciiTheme="majorBidi" w:eastAsia="Times New Roman" w:hAnsiTheme="majorBidi" w:cstheme="majorBidi"/>
          <w:sz w:val="24"/>
          <w:szCs w:val="24"/>
          <w:lang w:eastAsia="en-GB"/>
        </w:rPr>
        <w:t>Breakwell, G.M., &amp; Tytherleigh, M.Y. (2008</w:t>
      </w:r>
      <w:r w:rsidR="00037948">
        <w:rPr>
          <w:rFonts w:asciiTheme="majorBidi" w:eastAsia="Times New Roman" w:hAnsiTheme="majorBidi" w:cstheme="majorBidi"/>
          <w:sz w:val="24"/>
          <w:szCs w:val="24"/>
          <w:lang w:eastAsia="en-GB"/>
        </w:rPr>
        <w:t>a</w:t>
      </w:r>
      <w:r w:rsidRPr="005E07D6">
        <w:rPr>
          <w:rFonts w:asciiTheme="majorBidi" w:eastAsia="Times New Roman" w:hAnsiTheme="majorBidi" w:cstheme="majorBidi"/>
          <w:sz w:val="24"/>
          <w:szCs w:val="24"/>
          <w:lang w:eastAsia="en-GB"/>
        </w:rPr>
        <w:t xml:space="preserve">). </w:t>
      </w:r>
      <w:r w:rsidRPr="005E07D6">
        <w:rPr>
          <w:rFonts w:asciiTheme="majorBidi" w:eastAsia="Times New Roman" w:hAnsiTheme="majorBidi" w:cstheme="majorBidi"/>
          <w:i/>
          <w:iCs/>
          <w:sz w:val="24"/>
          <w:szCs w:val="24"/>
          <w:lang w:eastAsia="en-GB"/>
        </w:rPr>
        <w:t>The Characteristics, Roles and Selection of Vice-Chancellors</w:t>
      </w:r>
      <w:r>
        <w:rPr>
          <w:rFonts w:asciiTheme="majorBidi" w:eastAsia="Times New Roman" w:hAnsiTheme="majorBidi" w:cstheme="majorBidi"/>
          <w:sz w:val="24"/>
          <w:szCs w:val="24"/>
          <w:lang w:eastAsia="en-GB"/>
        </w:rPr>
        <w:t>. London.</w:t>
      </w:r>
      <w:r w:rsidRPr="00427F9E">
        <w:rPr>
          <w:rFonts w:asciiTheme="majorBidi" w:eastAsia="Times New Roman" w:hAnsiTheme="majorBidi" w:cstheme="majorBidi"/>
          <w:sz w:val="24"/>
          <w:szCs w:val="24"/>
          <w:lang w:eastAsia="en-GB"/>
        </w:rPr>
        <w:t xml:space="preserve"> LFHE.</w:t>
      </w:r>
    </w:p>
    <w:p w14:paraId="371EC26D" w14:textId="7A775F49" w:rsidR="00037948" w:rsidRDefault="00037948" w:rsidP="005E07D6">
      <w:pPr>
        <w:spacing w:after="0" w:line="240" w:lineRule="auto"/>
        <w:ind w:left="170" w:hanging="170"/>
        <w:jc w:val="both"/>
        <w:rPr>
          <w:rFonts w:asciiTheme="majorBidi" w:eastAsia="Times New Roman" w:hAnsiTheme="majorBidi" w:cstheme="majorBidi"/>
          <w:sz w:val="24"/>
          <w:szCs w:val="24"/>
          <w:lang w:eastAsia="en-GB"/>
        </w:rPr>
      </w:pPr>
      <w:r w:rsidRPr="00037948">
        <w:rPr>
          <w:rFonts w:asciiTheme="majorBidi" w:eastAsia="Times New Roman" w:hAnsiTheme="majorBidi" w:cstheme="majorBidi"/>
          <w:sz w:val="24"/>
          <w:szCs w:val="24"/>
          <w:lang w:eastAsia="en-GB"/>
        </w:rPr>
        <w:t>Breakwell, G.M., &amp; Tytherleigh, M.Y. (2008</w:t>
      </w:r>
      <w:r>
        <w:rPr>
          <w:rFonts w:asciiTheme="majorBidi" w:eastAsia="Times New Roman" w:hAnsiTheme="majorBidi" w:cstheme="majorBidi"/>
          <w:sz w:val="24"/>
          <w:szCs w:val="24"/>
          <w:lang w:eastAsia="en-GB"/>
        </w:rPr>
        <w:t>b</w:t>
      </w:r>
      <w:r w:rsidRPr="00037948">
        <w:rPr>
          <w:rFonts w:asciiTheme="majorBidi" w:eastAsia="Times New Roman" w:hAnsiTheme="majorBidi" w:cstheme="majorBidi"/>
          <w:sz w:val="24"/>
          <w:szCs w:val="24"/>
          <w:lang w:eastAsia="en-GB"/>
        </w:rPr>
        <w:t>). UK university leaders at the turn of the 21st century: Changing patterns in their socio-demographic characteristics. </w:t>
      </w:r>
      <w:r w:rsidRPr="00037948">
        <w:rPr>
          <w:rFonts w:asciiTheme="majorBidi" w:eastAsia="Times New Roman" w:hAnsiTheme="majorBidi" w:cstheme="majorBidi"/>
          <w:i/>
          <w:iCs/>
          <w:sz w:val="24"/>
          <w:szCs w:val="24"/>
          <w:lang w:eastAsia="en-GB"/>
        </w:rPr>
        <w:t>Higher Education, 56</w:t>
      </w:r>
      <w:r w:rsidRPr="00037948">
        <w:rPr>
          <w:rFonts w:asciiTheme="majorBidi" w:eastAsia="Times New Roman" w:hAnsiTheme="majorBidi" w:cstheme="majorBidi"/>
          <w:sz w:val="24"/>
          <w:szCs w:val="24"/>
          <w:lang w:eastAsia="en-GB"/>
        </w:rPr>
        <w:t>(1), 109-127.</w:t>
      </w:r>
      <w:r w:rsidR="00002B51">
        <w:rPr>
          <w:rFonts w:asciiTheme="majorBidi" w:eastAsia="Times New Roman" w:hAnsiTheme="majorBidi" w:cstheme="majorBidi"/>
          <w:sz w:val="24"/>
          <w:szCs w:val="24"/>
          <w:lang w:eastAsia="en-GB"/>
        </w:rPr>
        <w:t xml:space="preserve"> </w:t>
      </w:r>
      <w:hyperlink r:id="rId23" w:history="1">
        <w:r w:rsidR="00002B51" w:rsidRPr="007623DA">
          <w:rPr>
            <w:rStyle w:val="Hyperlink"/>
            <w:rFonts w:asciiTheme="majorBidi" w:eastAsia="Times New Roman" w:hAnsiTheme="majorBidi" w:cstheme="majorBidi"/>
            <w:sz w:val="24"/>
            <w:szCs w:val="24"/>
            <w:lang w:eastAsia="en-GB"/>
          </w:rPr>
          <w:t>https://doi.org/10.1007/s10734-007-9092-2</w:t>
        </w:r>
      </w:hyperlink>
      <w:r w:rsidR="00002B51">
        <w:rPr>
          <w:rFonts w:asciiTheme="majorBidi" w:eastAsia="Times New Roman" w:hAnsiTheme="majorBidi" w:cstheme="majorBidi"/>
          <w:sz w:val="24"/>
          <w:szCs w:val="24"/>
          <w:lang w:eastAsia="en-GB"/>
        </w:rPr>
        <w:t xml:space="preserve">. </w:t>
      </w:r>
    </w:p>
    <w:p w14:paraId="7FF61E5C" w14:textId="273DF5A6" w:rsidR="00037948" w:rsidRDefault="00037948" w:rsidP="005E07D6">
      <w:pPr>
        <w:spacing w:after="0" w:line="240" w:lineRule="auto"/>
        <w:ind w:left="170" w:hanging="170"/>
        <w:jc w:val="both"/>
        <w:rPr>
          <w:rFonts w:asciiTheme="majorBidi" w:eastAsia="Times New Roman" w:hAnsiTheme="majorBidi" w:cstheme="majorBidi"/>
          <w:sz w:val="24"/>
          <w:szCs w:val="24"/>
          <w:lang w:eastAsia="en-GB"/>
        </w:rPr>
      </w:pPr>
      <w:r w:rsidRPr="00037948">
        <w:rPr>
          <w:rFonts w:asciiTheme="majorBidi" w:eastAsia="Times New Roman" w:hAnsiTheme="majorBidi" w:cstheme="majorBidi"/>
          <w:sz w:val="24"/>
          <w:szCs w:val="24"/>
          <w:lang w:eastAsia="en-GB"/>
        </w:rPr>
        <w:t>Breakwell, G.M., &amp; Tytherleigh, M.Y. (2010). University leaders and university performance in the United Kingdom: is it ‘who’leads, or ‘where’they lead that matters most? </w:t>
      </w:r>
      <w:r w:rsidRPr="00037948">
        <w:rPr>
          <w:rFonts w:asciiTheme="majorBidi" w:eastAsia="Times New Roman" w:hAnsiTheme="majorBidi" w:cstheme="majorBidi"/>
          <w:i/>
          <w:iCs/>
          <w:sz w:val="24"/>
          <w:szCs w:val="24"/>
          <w:lang w:eastAsia="en-GB"/>
        </w:rPr>
        <w:t>Higher Education, 60</w:t>
      </w:r>
      <w:r w:rsidRPr="00037948">
        <w:rPr>
          <w:rFonts w:asciiTheme="majorBidi" w:eastAsia="Times New Roman" w:hAnsiTheme="majorBidi" w:cstheme="majorBidi"/>
          <w:sz w:val="24"/>
          <w:szCs w:val="24"/>
          <w:lang w:eastAsia="en-GB"/>
        </w:rPr>
        <w:t>(5), 491-506.</w:t>
      </w:r>
      <w:r w:rsidR="00002B51">
        <w:rPr>
          <w:rFonts w:asciiTheme="majorBidi" w:eastAsia="Times New Roman" w:hAnsiTheme="majorBidi" w:cstheme="majorBidi"/>
          <w:sz w:val="24"/>
          <w:szCs w:val="24"/>
          <w:lang w:eastAsia="en-GB"/>
        </w:rPr>
        <w:t xml:space="preserve"> </w:t>
      </w:r>
      <w:r w:rsidR="00002B51" w:rsidRPr="00002B51">
        <w:rPr>
          <w:rFonts w:asciiTheme="majorBidi" w:eastAsia="Times New Roman" w:hAnsiTheme="majorBidi" w:cstheme="majorBidi"/>
          <w:sz w:val="24"/>
          <w:szCs w:val="24"/>
          <w:lang w:eastAsia="en-GB"/>
        </w:rPr>
        <w:t>https://doi.org/10.1007/s10734-010-9311-0</w:t>
      </w:r>
      <w:r w:rsidR="00002B51">
        <w:rPr>
          <w:rFonts w:asciiTheme="majorBidi" w:eastAsia="Times New Roman" w:hAnsiTheme="majorBidi" w:cstheme="majorBidi"/>
          <w:sz w:val="24"/>
          <w:szCs w:val="24"/>
          <w:lang w:eastAsia="en-GB"/>
        </w:rPr>
        <w:t>.</w:t>
      </w:r>
    </w:p>
    <w:p w14:paraId="1F743250" w14:textId="26855618" w:rsidR="00E01992" w:rsidRPr="00511F36" w:rsidRDefault="00E01992" w:rsidP="005E07D6">
      <w:pPr>
        <w:spacing w:after="0" w:line="240" w:lineRule="auto"/>
        <w:ind w:left="170" w:hanging="170"/>
        <w:jc w:val="both"/>
        <w:rPr>
          <w:rFonts w:asciiTheme="majorBidi" w:eastAsia="Times New Roman" w:hAnsiTheme="majorBidi" w:cstheme="majorBidi"/>
          <w:sz w:val="24"/>
          <w:szCs w:val="24"/>
          <w:lang w:eastAsia="en-GB"/>
        </w:rPr>
      </w:pPr>
      <w:r w:rsidRPr="00E01992">
        <w:rPr>
          <w:rFonts w:asciiTheme="majorBidi" w:eastAsia="Times New Roman" w:hAnsiTheme="majorBidi" w:cstheme="majorBidi"/>
          <w:sz w:val="24"/>
          <w:szCs w:val="24"/>
          <w:lang w:eastAsia="en-GB"/>
        </w:rPr>
        <w:lastRenderedPageBreak/>
        <w:t>Brickley, J.A., Van Horn, R.L., &amp; Wedig, G.J. (2010). Board composition and nonprofit conduct: Evidence from hospitals. </w:t>
      </w:r>
      <w:r w:rsidRPr="00033450">
        <w:rPr>
          <w:rFonts w:asciiTheme="majorBidi" w:eastAsia="Times New Roman" w:hAnsiTheme="majorBidi" w:cstheme="majorBidi"/>
          <w:i/>
          <w:iCs/>
          <w:sz w:val="24"/>
          <w:szCs w:val="24"/>
          <w:lang w:eastAsia="en-GB"/>
        </w:rPr>
        <w:t>Journal of Economic</w:t>
      </w:r>
      <w:r w:rsidRPr="00E01992">
        <w:rPr>
          <w:rFonts w:asciiTheme="majorBidi" w:eastAsia="Times New Roman" w:hAnsiTheme="majorBidi" w:cstheme="majorBidi"/>
          <w:sz w:val="24"/>
          <w:szCs w:val="24"/>
          <w:lang w:eastAsia="en-GB"/>
        </w:rPr>
        <w:t xml:space="preserve"> </w:t>
      </w:r>
      <w:r w:rsidRPr="00E01992">
        <w:rPr>
          <w:rFonts w:asciiTheme="majorBidi" w:eastAsia="Times New Roman" w:hAnsiTheme="majorBidi" w:cstheme="majorBidi"/>
          <w:i/>
          <w:iCs/>
          <w:sz w:val="24"/>
          <w:szCs w:val="24"/>
          <w:lang w:eastAsia="en-GB"/>
        </w:rPr>
        <w:t xml:space="preserve">Behavior </w:t>
      </w:r>
      <w:r w:rsidR="00AB3F27">
        <w:rPr>
          <w:rFonts w:asciiTheme="majorBidi" w:eastAsia="Times New Roman" w:hAnsiTheme="majorBidi" w:cstheme="majorBidi"/>
          <w:i/>
          <w:iCs/>
          <w:sz w:val="24"/>
          <w:szCs w:val="24"/>
          <w:lang w:eastAsia="en-GB"/>
        </w:rPr>
        <w:t>and</w:t>
      </w:r>
      <w:r w:rsidRPr="00E01992">
        <w:rPr>
          <w:rFonts w:asciiTheme="majorBidi" w:eastAsia="Times New Roman" w:hAnsiTheme="majorBidi" w:cstheme="majorBidi"/>
          <w:i/>
          <w:iCs/>
          <w:sz w:val="24"/>
          <w:szCs w:val="24"/>
          <w:lang w:eastAsia="en-GB"/>
        </w:rPr>
        <w:t xml:space="preserve"> Organization, 76</w:t>
      </w:r>
      <w:r w:rsidRPr="00E01992">
        <w:rPr>
          <w:rFonts w:asciiTheme="majorBidi" w:eastAsia="Times New Roman" w:hAnsiTheme="majorBidi" w:cstheme="majorBidi"/>
          <w:sz w:val="24"/>
          <w:szCs w:val="24"/>
          <w:lang w:eastAsia="en-GB"/>
        </w:rPr>
        <w:t>(2), 196-208.</w:t>
      </w:r>
      <w:r w:rsidR="00033450">
        <w:rPr>
          <w:rFonts w:asciiTheme="majorBidi" w:eastAsia="Times New Roman" w:hAnsiTheme="majorBidi" w:cstheme="majorBidi"/>
          <w:sz w:val="24"/>
          <w:szCs w:val="24"/>
          <w:lang w:eastAsia="en-GB"/>
        </w:rPr>
        <w:t xml:space="preserve"> </w:t>
      </w:r>
      <w:hyperlink r:id="rId24" w:history="1">
        <w:r w:rsidR="00033450" w:rsidRPr="007623DA">
          <w:rPr>
            <w:rStyle w:val="Hyperlink"/>
            <w:rFonts w:asciiTheme="majorBidi" w:eastAsia="Times New Roman" w:hAnsiTheme="majorBidi" w:cstheme="majorBidi"/>
            <w:sz w:val="24"/>
            <w:szCs w:val="24"/>
            <w:lang w:eastAsia="en-GB"/>
          </w:rPr>
          <w:t>https://doi.org/10.1016/j.jebo.2010.06.008</w:t>
        </w:r>
      </w:hyperlink>
      <w:r w:rsidR="00033450">
        <w:rPr>
          <w:rFonts w:asciiTheme="majorBidi" w:eastAsia="Times New Roman" w:hAnsiTheme="majorBidi" w:cstheme="majorBidi"/>
          <w:sz w:val="24"/>
          <w:szCs w:val="24"/>
          <w:lang w:eastAsia="en-GB"/>
        </w:rPr>
        <w:t xml:space="preserve">. </w:t>
      </w:r>
    </w:p>
    <w:p w14:paraId="19ED1849" w14:textId="39C8A516" w:rsidR="004E5B85" w:rsidRDefault="000D4711" w:rsidP="00605ADB">
      <w:pPr>
        <w:spacing w:after="0" w:line="240" w:lineRule="auto"/>
        <w:ind w:left="170" w:hanging="170"/>
        <w:jc w:val="both"/>
        <w:rPr>
          <w:rFonts w:asciiTheme="majorBidi" w:hAnsiTheme="majorBidi" w:cstheme="majorBidi"/>
          <w:sz w:val="24"/>
          <w:szCs w:val="24"/>
        </w:rPr>
      </w:pPr>
      <w:r>
        <w:rPr>
          <w:rFonts w:asciiTheme="majorBidi" w:hAnsiTheme="majorBidi" w:cstheme="majorBidi"/>
          <w:sz w:val="24"/>
          <w:szCs w:val="24"/>
        </w:rPr>
        <w:t xml:space="preserve">Browne, L.E.J.P. </w:t>
      </w:r>
      <w:r w:rsidR="003446F9">
        <w:rPr>
          <w:rFonts w:asciiTheme="majorBidi" w:hAnsiTheme="majorBidi" w:cstheme="majorBidi"/>
          <w:sz w:val="24"/>
          <w:szCs w:val="24"/>
        </w:rPr>
        <w:t>(</w:t>
      </w:r>
      <w:r>
        <w:rPr>
          <w:rFonts w:asciiTheme="majorBidi" w:hAnsiTheme="majorBidi" w:cstheme="majorBidi"/>
          <w:sz w:val="24"/>
          <w:szCs w:val="24"/>
        </w:rPr>
        <w:t>2010</w:t>
      </w:r>
      <w:r w:rsidR="003446F9">
        <w:rPr>
          <w:rFonts w:asciiTheme="majorBidi" w:hAnsiTheme="majorBidi" w:cstheme="majorBidi"/>
          <w:sz w:val="24"/>
          <w:szCs w:val="24"/>
        </w:rPr>
        <w:t>)</w:t>
      </w:r>
      <w:r>
        <w:rPr>
          <w:rFonts w:asciiTheme="majorBidi" w:hAnsiTheme="majorBidi" w:cstheme="majorBidi"/>
          <w:sz w:val="24"/>
          <w:szCs w:val="24"/>
        </w:rPr>
        <w:t>.</w:t>
      </w:r>
      <w:r w:rsidR="004E5B85" w:rsidRPr="00511F36">
        <w:rPr>
          <w:rFonts w:asciiTheme="majorBidi" w:hAnsiTheme="majorBidi" w:cstheme="majorBidi"/>
          <w:sz w:val="24"/>
          <w:szCs w:val="24"/>
        </w:rPr>
        <w:t xml:space="preserve"> </w:t>
      </w:r>
      <w:r w:rsidR="004E5B85" w:rsidRPr="00511F36">
        <w:rPr>
          <w:rFonts w:asciiTheme="majorBidi" w:hAnsiTheme="majorBidi" w:cstheme="majorBidi"/>
          <w:i/>
          <w:iCs/>
          <w:sz w:val="24"/>
          <w:szCs w:val="24"/>
        </w:rPr>
        <w:t>Independent Review of Higher Education Funding and Student Finance</w:t>
      </w:r>
      <w:r w:rsidR="004E5B85" w:rsidRPr="00511F36">
        <w:rPr>
          <w:rFonts w:asciiTheme="majorBidi" w:hAnsiTheme="majorBidi" w:cstheme="majorBidi"/>
          <w:sz w:val="24"/>
          <w:szCs w:val="24"/>
        </w:rPr>
        <w:t>, HMSO, London.</w:t>
      </w:r>
    </w:p>
    <w:p w14:paraId="566619D5" w14:textId="6444A877" w:rsidR="006F6082" w:rsidRDefault="006F6082" w:rsidP="00605ADB">
      <w:pPr>
        <w:spacing w:after="0" w:line="240" w:lineRule="auto"/>
        <w:ind w:left="170" w:hanging="170"/>
        <w:jc w:val="both"/>
        <w:rPr>
          <w:rFonts w:asciiTheme="majorBidi" w:hAnsiTheme="majorBidi" w:cstheme="majorBidi"/>
          <w:sz w:val="24"/>
          <w:szCs w:val="24"/>
        </w:rPr>
      </w:pPr>
      <w:r w:rsidRPr="006F6082">
        <w:rPr>
          <w:rFonts w:asciiTheme="majorBidi" w:hAnsiTheme="majorBidi" w:cstheme="majorBidi"/>
          <w:sz w:val="24"/>
          <w:szCs w:val="24"/>
        </w:rPr>
        <w:t>Buse, K., Bernstein, R.S., &amp; Bilimoria, D. (2016). The influence of board diversity, board diversity policies and practices, and board inclusion behaviors on nonprofit governance practices. </w:t>
      </w:r>
      <w:r w:rsidRPr="006F6082">
        <w:rPr>
          <w:rFonts w:asciiTheme="majorBidi" w:hAnsiTheme="majorBidi" w:cstheme="majorBidi"/>
          <w:i/>
          <w:iCs/>
          <w:sz w:val="24"/>
          <w:szCs w:val="24"/>
        </w:rPr>
        <w:t>Journal of Business Ethics, 133</w:t>
      </w:r>
      <w:r w:rsidRPr="006F6082">
        <w:rPr>
          <w:rFonts w:asciiTheme="majorBidi" w:hAnsiTheme="majorBidi" w:cstheme="majorBidi"/>
          <w:sz w:val="24"/>
          <w:szCs w:val="24"/>
        </w:rPr>
        <w:t>(1), 179-191.</w:t>
      </w:r>
      <w:r w:rsidR="00EF751B">
        <w:rPr>
          <w:rFonts w:asciiTheme="majorBidi" w:hAnsiTheme="majorBidi" w:cstheme="majorBidi"/>
          <w:sz w:val="24"/>
          <w:szCs w:val="24"/>
        </w:rPr>
        <w:t xml:space="preserve"> </w:t>
      </w:r>
      <w:hyperlink r:id="rId25" w:history="1">
        <w:r w:rsidR="00EF751B" w:rsidRPr="007623DA">
          <w:rPr>
            <w:rStyle w:val="Hyperlink"/>
            <w:rFonts w:asciiTheme="majorBidi" w:hAnsiTheme="majorBidi" w:cstheme="majorBidi"/>
            <w:sz w:val="24"/>
            <w:szCs w:val="24"/>
          </w:rPr>
          <w:t>https://doi.org/10.1007/s10551-014-2352-z</w:t>
        </w:r>
      </w:hyperlink>
      <w:r w:rsidR="00EF751B">
        <w:rPr>
          <w:rFonts w:asciiTheme="majorBidi" w:hAnsiTheme="majorBidi" w:cstheme="majorBidi"/>
          <w:sz w:val="24"/>
          <w:szCs w:val="24"/>
        </w:rPr>
        <w:t xml:space="preserve">. </w:t>
      </w:r>
    </w:p>
    <w:p w14:paraId="37C96DD4" w14:textId="4B1F907E" w:rsidR="004E5B85" w:rsidRDefault="004E5B85" w:rsidP="00605ADB">
      <w:pPr>
        <w:spacing w:after="0" w:line="240" w:lineRule="auto"/>
        <w:ind w:left="170" w:hanging="170"/>
        <w:jc w:val="both"/>
        <w:rPr>
          <w:rFonts w:asciiTheme="majorBidi" w:eastAsia="Times New Roman" w:hAnsiTheme="majorBidi" w:cstheme="majorBidi"/>
          <w:sz w:val="24"/>
          <w:szCs w:val="24"/>
          <w:lang w:eastAsia="en-GB"/>
        </w:rPr>
      </w:pPr>
      <w:r w:rsidRPr="00605ADB">
        <w:rPr>
          <w:rFonts w:asciiTheme="majorBidi" w:eastAsia="Times New Roman" w:hAnsiTheme="majorBidi" w:cstheme="majorBidi"/>
          <w:sz w:val="24"/>
          <w:szCs w:val="24"/>
          <w:lang w:val="fr-FR" w:eastAsia="en-GB"/>
        </w:rPr>
        <w:t xml:space="preserve">Carter, D.A., Simkins, B.J., </w:t>
      </w:r>
      <w:r w:rsidR="003446F9" w:rsidRPr="00605ADB">
        <w:rPr>
          <w:rFonts w:asciiTheme="majorBidi" w:eastAsia="Times New Roman" w:hAnsiTheme="majorBidi" w:cstheme="majorBidi"/>
          <w:sz w:val="24"/>
          <w:szCs w:val="24"/>
          <w:lang w:val="fr-FR" w:eastAsia="en-GB"/>
        </w:rPr>
        <w:t>&amp;</w:t>
      </w:r>
      <w:r w:rsidR="00F87668" w:rsidRPr="00605ADB">
        <w:rPr>
          <w:rFonts w:asciiTheme="majorBidi" w:eastAsia="Times New Roman" w:hAnsiTheme="majorBidi" w:cstheme="majorBidi"/>
          <w:sz w:val="24"/>
          <w:szCs w:val="24"/>
          <w:lang w:val="fr-FR" w:eastAsia="en-GB"/>
        </w:rPr>
        <w:t xml:space="preserve"> Simpson, W.G. </w:t>
      </w:r>
      <w:r w:rsidR="003446F9" w:rsidRPr="00605ADB">
        <w:rPr>
          <w:rFonts w:asciiTheme="majorBidi" w:eastAsia="Times New Roman" w:hAnsiTheme="majorBidi" w:cstheme="majorBidi"/>
          <w:sz w:val="24"/>
          <w:szCs w:val="24"/>
          <w:lang w:val="fr-FR" w:eastAsia="en-GB"/>
        </w:rPr>
        <w:t>(</w:t>
      </w:r>
      <w:r w:rsidR="00F87668" w:rsidRPr="00605ADB">
        <w:rPr>
          <w:rFonts w:asciiTheme="majorBidi" w:eastAsia="Times New Roman" w:hAnsiTheme="majorBidi" w:cstheme="majorBidi"/>
          <w:sz w:val="24"/>
          <w:szCs w:val="24"/>
          <w:lang w:val="fr-FR" w:eastAsia="en-GB"/>
        </w:rPr>
        <w:t>2003</w:t>
      </w:r>
      <w:r w:rsidR="003446F9" w:rsidRPr="00605ADB">
        <w:rPr>
          <w:rFonts w:asciiTheme="majorBidi" w:eastAsia="Times New Roman" w:hAnsiTheme="majorBidi" w:cstheme="majorBidi"/>
          <w:sz w:val="24"/>
          <w:szCs w:val="24"/>
          <w:lang w:val="fr-FR" w:eastAsia="en-GB"/>
        </w:rPr>
        <w:t>)</w:t>
      </w:r>
      <w:r w:rsidRPr="00605ADB">
        <w:rPr>
          <w:rFonts w:asciiTheme="majorBidi" w:eastAsia="Times New Roman" w:hAnsiTheme="majorBidi" w:cstheme="majorBidi"/>
          <w:sz w:val="24"/>
          <w:szCs w:val="24"/>
          <w:lang w:val="fr-FR" w:eastAsia="en-GB"/>
        </w:rPr>
        <w:t xml:space="preserve">. </w:t>
      </w:r>
      <w:r w:rsidRPr="00511F36">
        <w:rPr>
          <w:rFonts w:asciiTheme="majorBidi" w:eastAsia="Times New Roman" w:hAnsiTheme="majorBidi" w:cstheme="majorBidi"/>
          <w:sz w:val="24"/>
          <w:szCs w:val="24"/>
          <w:lang w:eastAsia="en-GB"/>
        </w:rPr>
        <w:t xml:space="preserve">Corporate governance, board diversity, and firm value. </w:t>
      </w:r>
      <w:r w:rsidRPr="00511F36">
        <w:rPr>
          <w:rFonts w:asciiTheme="majorBidi" w:eastAsia="Times New Roman" w:hAnsiTheme="majorBidi" w:cstheme="majorBidi"/>
          <w:i/>
          <w:iCs/>
          <w:sz w:val="24"/>
          <w:szCs w:val="24"/>
          <w:lang w:eastAsia="en-GB"/>
        </w:rPr>
        <w:t xml:space="preserve">Financial </w:t>
      </w:r>
      <w:r w:rsidR="00AB3F27">
        <w:rPr>
          <w:rFonts w:asciiTheme="majorBidi" w:eastAsia="Times New Roman" w:hAnsiTheme="majorBidi" w:cstheme="majorBidi"/>
          <w:i/>
          <w:iCs/>
          <w:sz w:val="24"/>
          <w:szCs w:val="24"/>
          <w:lang w:eastAsia="en-GB"/>
        </w:rPr>
        <w:t>R</w:t>
      </w:r>
      <w:r w:rsidRPr="00511F36">
        <w:rPr>
          <w:rFonts w:asciiTheme="majorBidi" w:eastAsia="Times New Roman" w:hAnsiTheme="majorBidi" w:cstheme="majorBidi"/>
          <w:i/>
          <w:iCs/>
          <w:sz w:val="24"/>
          <w:szCs w:val="24"/>
          <w:lang w:eastAsia="en-GB"/>
        </w:rPr>
        <w:t>eview</w:t>
      </w:r>
      <w:r w:rsidR="003446F9">
        <w:rPr>
          <w:rFonts w:asciiTheme="majorBidi" w:eastAsia="Times New Roman" w:hAnsiTheme="majorBidi" w:cstheme="majorBidi"/>
          <w:i/>
          <w:iCs/>
          <w:sz w:val="24"/>
          <w:szCs w:val="24"/>
          <w:lang w:eastAsia="en-GB"/>
        </w:rPr>
        <w:t>,</w:t>
      </w:r>
      <w:r w:rsidR="00F87668">
        <w:rPr>
          <w:rFonts w:asciiTheme="majorBidi" w:eastAsia="Times New Roman" w:hAnsiTheme="majorBidi" w:cstheme="majorBidi"/>
          <w:sz w:val="24"/>
          <w:szCs w:val="24"/>
          <w:lang w:eastAsia="en-GB"/>
        </w:rPr>
        <w:t xml:space="preserve"> </w:t>
      </w:r>
      <w:r w:rsidRPr="00511F36">
        <w:rPr>
          <w:rFonts w:asciiTheme="majorBidi" w:eastAsia="Times New Roman" w:hAnsiTheme="majorBidi" w:cstheme="majorBidi"/>
          <w:i/>
          <w:iCs/>
          <w:sz w:val="24"/>
          <w:szCs w:val="24"/>
          <w:lang w:eastAsia="en-GB"/>
        </w:rPr>
        <w:t>38</w:t>
      </w:r>
      <w:r w:rsidR="003446F9">
        <w:rPr>
          <w:rFonts w:asciiTheme="majorBidi" w:eastAsia="Times New Roman" w:hAnsiTheme="majorBidi" w:cstheme="majorBidi"/>
          <w:sz w:val="24"/>
          <w:szCs w:val="24"/>
          <w:lang w:eastAsia="en-GB"/>
        </w:rPr>
        <w:t>(1),</w:t>
      </w:r>
      <w:r w:rsidRPr="00511F36">
        <w:rPr>
          <w:rFonts w:asciiTheme="majorBidi" w:eastAsia="Times New Roman" w:hAnsiTheme="majorBidi" w:cstheme="majorBidi"/>
          <w:sz w:val="24"/>
          <w:szCs w:val="24"/>
          <w:lang w:eastAsia="en-GB"/>
        </w:rPr>
        <w:t xml:space="preserve"> 33-53.</w:t>
      </w:r>
      <w:r w:rsidR="004F1F24">
        <w:rPr>
          <w:rFonts w:asciiTheme="majorBidi" w:eastAsia="Times New Roman" w:hAnsiTheme="majorBidi" w:cstheme="majorBidi"/>
          <w:sz w:val="24"/>
          <w:szCs w:val="24"/>
          <w:lang w:eastAsia="en-GB"/>
        </w:rPr>
        <w:t xml:space="preserve"> </w:t>
      </w:r>
      <w:hyperlink r:id="rId26" w:history="1">
        <w:r w:rsidR="004F1F24" w:rsidRPr="007623DA">
          <w:rPr>
            <w:rStyle w:val="Hyperlink"/>
            <w:rFonts w:asciiTheme="majorBidi" w:eastAsia="Times New Roman" w:hAnsiTheme="majorBidi" w:cstheme="majorBidi"/>
            <w:sz w:val="24"/>
            <w:szCs w:val="24"/>
            <w:lang w:eastAsia="en-GB"/>
          </w:rPr>
          <w:t>https://doi.org/10.1111/1540-6288.00034</w:t>
        </w:r>
      </w:hyperlink>
      <w:r w:rsidR="004F1F24">
        <w:rPr>
          <w:rFonts w:asciiTheme="majorBidi" w:eastAsia="Times New Roman" w:hAnsiTheme="majorBidi" w:cstheme="majorBidi"/>
          <w:sz w:val="24"/>
          <w:szCs w:val="24"/>
          <w:lang w:eastAsia="en-GB"/>
        </w:rPr>
        <w:t xml:space="preserve">. </w:t>
      </w:r>
    </w:p>
    <w:p w14:paraId="58086DE9" w14:textId="14F72098" w:rsidR="0080412C" w:rsidRDefault="0080412C" w:rsidP="00AB3F27">
      <w:pPr>
        <w:spacing w:after="0" w:line="240" w:lineRule="auto"/>
        <w:ind w:left="170" w:hanging="170"/>
        <w:jc w:val="both"/>
        <w:rPr>
          <w:rFonts w:asciiTheme="majorBidi" w:hAnsiTheme="majorBidi" w:cstheme="majorBidi"/>
          <w:sz w:val="24"/>
          <w:szCs w:val="24"/>
          <w:shd w:val="clear" w:color="auto" w:fill="FFFFFF"/>
        </w:rPr>
      </w:pPr>
      <w:r w:rsidRPr="00BD3A9C">
        <w:rPr>
          <w:rFonts w:asciiTheme="majorBidi" w:hAnsiTheme="majorBidi" w:cstheme="majorBidi"/>
          <w:sz w:val="24"/>
          <w:szCs w:val="24"/>
          <w:shd w:val="clear" w:color="auto" w:fill="FFFFFF"/>
        </w:rPr>
        <w:t>Cav</w:t>
      </w:r>
      <w:r>
        <w:rPr>
          <w:rFonts w:asciiTheme="majorBidi" w:hAnsiTheme="majorBidi" w:cstheme="majorBidi"/>
          <w:sz w:val="24"/>
          <w:szCs w:val="24"/>
          <w:shd w:val="clear" w:color="auto" w:fill="FFFFFF"/>
        </w:rPr>
        <w:t>e, M., Kogan, M., &amp; Hanney, S. (</w:t>
      </w:r>
      <w:r w:rsidRPr="00BD3A9C">
        <w:rPr>
          <w:rFonts w:asciiTheme="majorBidi" w:hAnsiTheme="majorBidi" w:cstheme="majorBidi"/>
          <w:sz w:val="24"/>
          <w:szCs w:val="24"/>
          <w:shd w:val="clear" w:color="auto" w:fill="FFFFFF"/>
        </w:rPr>
        <w:t>1989</w:t>
      </w:r>
      <w:r>
        <w:rPr>
          <w:rFonts w:asciiTheme="majorBidi" w:hAnsiTheme="majorBidi" w:cstheme="majorBidi"/>
          <w:sz w:val="24"/>
          <w:szCs w:val="24"/>
          <w:shd w:val="clear" w:color="auto" w:fill="FFFFFF"/>
        </w:rPr>
        <w:t>)</w:t>
      </w:r>
      <w:r w:rsidRPr="00BD3A9C">
        <w:rPr>
          <w:rFonts w:asciiTheme="majorBidi" w:hAnsiTheme="majorBidi" w:cstheme="majorBidi"/>
          <w:sz w:val="24"/>
          <w:szCs w:val="24"/>
          <w:shd w:val="clear" w:color="auto" w:fill="FFFFFF"/>
        </w:rPr>
        <w:t xml:space="preserve"> Performance measurement in higher education. </w:t>
      </w:r>
      <w:r w:rsidRPr="007F3D01">
        <w:rPr>
          <w:rFonts w:asciiTheme="majorBidi" w:hAnsiTheme="majorBidi" w:cstheme="majorBidi"/>
          <w:bCs/>
          <w:i/>
          <w:iCs/>
          <w:sz w:val="24"/>
          <w:szCs w:val="24"/>
          <w:shd w:val="clear" w:color="auto" w:fill="FFFFFF"/>
        </w:rPr>
        <w:t>Publ</w:t>
      </w:r>
      <w:r>
        <w:rPr>
          <w:rFonts w:asciiTheme="majorBidi" w:hAnsiTheme="majorBidi" w:cstheme="majorBidi"/>
          <w:bCs/>
          <w:i/>
          <w:iCs/>
          <w:sz w:val="24"/>
          <w:szCs w:val="24"/>
          <w:shd w:val="clear" w:color="auto" w:fill="FFFFFF"/>
        </w:rPr>
        <w:t xml:space="preserve">ic Money </w:t>
      </w:r>
      <w:r w:rsidR="00AB3F27">
        <w:rPr>
          <w:rFonts w:asciiTheme="majorBidi" w:hAnsiTheme="majorBidi" w:cstheme="majorBidi"/>
          <w:bCs/>
          <w:i/>
          <w:iCs/>
          <w:sz w:val="24"/>
          <w:szCs w:val="24"/>
          <w:shd w:val="clear" w:color="auto" w:fill="FFFFFF"/>
        </w:rPr>
        <w:t>and</w:t>
      </w:r>
      <w:r>
        <w:rPr>
          <w:rFonts w:asciiTheme="majorBidi" w:hAnsiTheme="majorBidi" w:cstheme="majorBidi"/>
          <w:bCs/>
          <w:i/>
          <w:iCs/>
          <w:sz w:val="24"/>
          <w:szCs w:val="24"/>
          <w:shd w:val="clear" w:color="auto" w:fill="FFFFFF"/>
        </w:rPr>
        <w:t xml:space="preserve"> Management</w:t>
      </w:r>
      <w:r w:rsidR="00AB3F27" w:rsidRPr="00C046E5">
        <w:rPr>
          <w:rFonts w:asciiTheme="majorBidi" w:hAnsiTheme="majorBidi" w:cstheme="majorBidi"/>
          <w:bCs/>
          <w:i/>
          <w:iCs/>
          <w:sz w:val="24"/>
          <w:szCs w:val="24"/>
          <w:shd w:val="clear" w:color="auto" w:fill="FFFFFF"/>
        </w:rPr>
        <w:t>,</w:t>
      </w:r>
      <w:r w:rsidRPr="00C046E5">
        <w:rPr>
          <w:rFonts w:asciiTheme="majorBidi" w:hAnsiTheme="majorBidi" w:cstheme="majorBidi"/>
          <w:i/>
          <w:iCs/>
          <w:sz w:val="24"/>
          <w:szCs w:val="24"/>
          <w:shd w:val="clear" w:color="auto" w:fill="FFFFFF"/>
        </w:rPr>
        <w:t> 9</w:t>
      </w:r>
      <w:r>
        <w:rPr>
          <w:rFonts w:asciiTheme="majorBidi" w:hAnsiTheme="majorBidi" w:cstheme="majorBidi"/>
          <w:sz w:val="24"/>
          <w:szCs w:val="24"/>
          <w:shd w:val="clear" w:color="auto" w:fill="FFFFFF"/>
        </w:rPr>
        <w:t>(1)</w:t>
      </w:r>
      <w:r w:rsidR="00DF2AA5">
        <w:rPr>
          <w:rFonts w:asciiTheme="majorBidi" w:hAnsiTheme="majorBidi" w:cstheme="majorBidi"/>
          <w:sz w:val="24"/>
          <w:szCs w:val="24"/>
          <w:shd w:val="clear" w:color="auto" w:fill="FFFFFF"/>
        </w:rPr>
        <w:t>,</w:t>
      </w:r>
      <w:r w:rsidRPr="00BD3A9C">
        <w:rPr>
          <w:rFonts w:asciiTheme="majorBidi" w:hAnsiTheme="majorBidi" w:cstheme="majorBidi"/>
          <w:sz w:val="24"/>
          <w:szCs w:val="24"/>
          <w:shd w:val="clear" w:color="auto" w:fill="FFFFFF"/>
        </w:rPr>
        <w:t xml:space="preserve"> 11-16.</w:t>
      </w:r>
      <w:r w:rsidR="00C046E5">
        <w:rPr>
          <w:rFonts w:asciiTheme="majorBidi" w:hAnsiTheme="majorBidi" w:cstheme="majorBidi"/>
          <w:sz w:val="24"/>
          <w:szCs w:val="24"/>
          <w:shd w:val="clear" w:color="auto" w:fill="FFFFFF"/>
        </w:rPr>
        <w:t xml:space="preserve"> </w:t>
      </w:r>
      <w:hyperlink r:id="rId27" w:history="1">
        <w:r w:rsidR="00C046E5" w:rsidRPr="007623DA">
          <w:rPr>
            <w:rStyle w:val="Hyperlink"/>
            <w:rFonts w:asciiTheme="majorBidi" w:hAnsiTheme="majorBidi" w:cstheme="majorBidi"/>
            <w:sz w:val="24"/>
            <w:szCs w:val="24"/>
            <w:shd w:val="clear" w:color="auto" w:fill="FFFFFF"/>
          </w:rPr>
          <w:t>https://doi.org/10.1080/09540968909387519</w:t>
        </w:r>
      </w:hyperlink>
      <w:r w:rsidR="00C046E5">
        <w:rPr>
          <w:rFonts w:asciiTheme="majorBidi" w:hAnsiTheme="majorBidi" w:cstheme="majorBidi"/>
          <w:sz w:val="24"/>
          <w:szCs w:val="24"/>
          <w:shd w:val="clear" w:color="auto" w:fill="FFFFFF"/>
        </w:rPr>
        <w:t xml:space="preserve">. </w:t>
      </w:r>
    </w:p>
    <w:p w14:paraId="72F12A00" w14:textId="07866588" w:rsidR="00CE7F1D" w:rsidRDefault="00CE7F1D" w:rsidP="00AB3F27">
      <w:pPr>
        <w:spacing w:after="0" w:line="240" w:lineRule="auto"/>
        <w:ind w:left="170" w:hanging="170"/>
        <w:jc w:val="both"/>
        <w:rPr>
          <w:rFonts w:asciiTheme="majorBidi" w:hAnsiTheme="majorBidi" w:cstheme="majorBidi"/>
          <w:sz w:val="24"/>
          <w:szCs w:val="24"/>
          <w:shd w:val="clear" w:color="auto" w:fill="FFFFFF"/>
        </w:rPr>
      </w:pPr>
      <w:r w:rsidRPr="00CE7F1D">
        <w:rPr>
          <w:rFonts w:asciiTheme="majorBidi" w:hAnsiTheme="majorBidi" w:cstheme="majorBidi"/>
          <w:sz w:val="24"/>
          <w:szCs w:val="24"/>
          <w:shd w:val="clear" w:color="auto" w:fill="FFFFFF"/>
        </w:rPr>
        <w:t xml:space="preserve">Chen, J.C., &amp; Roberts, R.W. (2010). Toward a more coherent understanding of the organization–society relationship: A theoretical consideration for social and environmental accounting research. </w:t>
      </w:r>
      <w:r w:rsidRPr="00CE7F1D">
        <w:rPr>
          <w:rFonts w:asciiTheme="majorBidi" w:hAnsiTheme="majorBidi" w:cstheme="majorBidi"/>
          <w:i/>
          <w:iCs/>
          <w:sz w:val="24"/>
          <w:szCs w:val="24"/>
          <w:shd w:val="clear" w:color="auto" w:fill="FFFFFF"/>
        </w:rPr>
        <w:t>Journal of Business Ethics, 97</w:t>
      </w:r>
      <w:r w:rsidRPr="00CE7F1D">
        <w:rPr>
          <w:rFonts w:asciiTheme="majorBidi" w:hAnsiTheme="majorBidi" w:cstheme="majorBidi"/>
          <w:sz w:val="24"/>
          <w:szCs w:val="24"/>
          <w:shd w:val="clear" w:color="auto" w:fill="FFFFFF"/>
        </w:rPr>
        <w:t>(4), 651-665.</w:t>
      </w:r>
      <w:r>
        <w:rPr>
          <w:rFonts w:asciiTheme="majorBidi" w:hAnsiTheme="majorBidi" w:cstheme="majorBidi"/>
          <w:sz w:val="24"/>
          <w:szCs w:val="24"/>
          <w:shd w:val="clear" w:color="auto" w:fill="FFFFFF"/>
        </w:rPr>
        <w:t xml:space="preserve"> </w:t>
      </w:r>
      <w:hyperlink r:id="rId28" w:history="1">
        <w:r w:rsidRPr="007623DA">
          <w:rPr>
            <w:rStyle w:val="Hyperlink"/>
            <w:rFonts w:asciiTheme="majorBidi" w:hAnsiTheme="majorBidi" w:cstheme="majorBidi"/>
            <w:sz w:val="24"/>
            <w:szCs w:val="24"/>
            <w:shd w:val="clear" w:color="auto" w:fill="FFFFFF"/>
          </w:rPr>
          <w:t>https://doi.org/10.1007/s10551-010-0531-0</w:t>
        </w:r>
      </w:hyperlink>
      <w:r>
        <w:rPr>
          <w:rFonts w:asciiTheme="majorBidi" w:hAnsiTheme="majorBidi" w:cstheme="majorBidi"/>
          <w:sz w:val="24"/>
          <w:szCs w:val="24"/>
          <w:shd w:val="clear" w:color="auto" w:fill="FFFFFF"/>
        </w:rPr>
        <w:t>.</w:t>
      </w:r>
    </w:p>
    <w:p w14:paraId="1F019E7F" w14:textId="5DBC8431" w:rsidR="00F4486F" w:rsidRPr="00241612" w:rsidRDefault="00F4486F" w:rsidP="00BD7069">
      <w:pPr>
        <w:spacing w:after="0" w:line="240" w:lineRule="auto"/>
        <w:ind w:left="170" w:hanging="170"/>
        <w:jc w:val="both"/>
        <w:rPr>
          <w:rFonts w:ascii="Times New Roman" w:hAnsi="Times New Roman" w:cs="Times New Roman"/>
          <w:sz w:val="24"/>
          <w:szCs w:val="24"/>
          <w:shd w:val="clear" w:color="auto" w:fill="FFFFFF"/>
        </w:rPr>
      </w:pPr>
      <w:r w:rsidRPr="00241612">
        <w:rPr>
          <w:rFonts w:asciiTheme="majorBidi" w:hAnsiTheme="majorBidi" w:cstheme="majorBidi"/>
          <w:sz w:val="24"/>
          <w:szCs w:val="24"/>
          <w:shd w:val="clear" w:color="auto" w:fill="FFFFFF"/>
        </w:rPr>
        <w:t xml:space="preserve">Cohen, J., Cohen, P., West, S.G., &amp; Aiken, L.S. (2003). </w:t>
      </w:r>
      <w:r w:rsidRPr="00241612">
        <w:rPr>
          <w:rFonts w:asciiTheme="majorBidi" w:hAnsiTheme="majorBidi" w:cstheme="majorBidi"/>
          <w:i/>
          <w:iCs/>
          <w:sz w:val="24"/>
          <w:szCs w:val="24"/>
          <w:shd w:val="clear" w:color="auto" w:fill="FFFFFF"/>
        </w:rPr>
        <w:t>Applied multiple regression/correlation analysis for the behavioral sciences</w:t>
      </w:r>
      <w:r w:rsidRPr="00241612">
        <w:rPr>
          <w:rFonts w:asciiTheme="majorBidi" w:hAnsiTheme="majorBidi" w:cstheme="majorBidi"/>
          <w:sz w:val="24"/>
          <w:szCs w:val="24"/>
          <w:shd w:val="clear" w:color="auto" w:fill="FFFFFF"/>
        </w:rPr>
        <w:t xml:space="preserve">. </w:t>
      </w:r>
      <w:r w:rsidRPr="00241612">
        <w:rPr>
          <w:rFonts w:ascii="Times New Roman" w:hAnsi="Times New Roman" w:cs="Times New Roman"/>
          <w:sz w:val="24"/>
          <w:szCs w:val="24"/>
          <w:shd w:val="clear" w:color="auto" w:fill="FFFFFF"/>
        </w:rPr>
        <w:t>(3</w:t>
      </w:r>
      <w:r w:rsidRPr="00241612">
        <w:rPr>
          <w:rFonts w:ascii="Times New Roman" w:hAnsi="Times New Roman" w:cs="Times New Roman"/>
          <w:sz w:val="24"/>
          <w:szCs w:val="24"/>
          <w:shd w:val="clear" w:color="auto" w:fill="FFFFFF"/>
          <w:vertAlign w:val="superscript"/>
        </w:rPr>
        <w:t>rd</w:t>
      </w:r>
      <w:r w:rsidRPr="00241612">
        <w:rPr>
          <w:rFonts w:ascii="Times New Roman" w:hAnsi="Times New Roman" w:cs="Times New Roman"/>
          <w:sz w:val="24"/>
          <w:szCs w:val="24"/>
          <w:shd w:val="clear" w:color="auto" w:fill="FFFFFF"/>
        </w:rPr>
        <w:t xml:space="preserve"> ed.).</w:t>
      </w:r>
      <w:r w:rsidR="00BD7069" w:rsidRPr="00241612">
        <w:rPr>
          <w:rFonts w:ascii="Times New Roman" w:hAnsi="Times New Roman" w:cs="Times New Roman"/>
          <w:sz w:val="24"/>
          <w:szCs w:val="24"/>
          <w:shd w:val="clear" w:color="auto" w:fill="FFFFFF"/>
        </w:rPr>
        <w:t xml:space="preserve"> Mahwah, New Jersey: Erlbaum.</w:t>
      </w:r>
    </w:p>
    <w:p w14:paraId="528947E9" w14:textId="5B6EB6C1" w:rsidR="00427F9E" w:rsidRPr="00427F9E" w:rsidRDefault="004E5B85" w:rsidP="00241612">
      <w:pPr>
        <w:spacing w:after="0" w:line="240" w:lineRule="auto"/>
        <w:ind w:left="170" w:hanging="170"/>
        <w:jc w:val="both"/>
        <w:rPr>
          <w:rFonts w:asciiTheme="majorBidi" w:hAnsiTheme="majorBidi" w:cstheme="majorBidi"/>
          <w:sz w:val="24"/>
          <w:szCs w:val="24"/>
        </w:rPr>
      </w:pPr>
      <w:r w:rsidRPr="00511F36">
        <w:rPr>
          <w:rFonts w:asciiTheme="majorBidi" w:hAnsiTheme="majorBidi" w:cstheme="majorBidi"/>
          <w:sz w:val="24"/>
          <w:szCs w:val="24"/>
        </w:rPr>
        <w:t>Committee of University Chair</w:t>
      </w:r>
      <w:r w:rsidR="00B63007">
        <w:rPr>
          <w:rFonts w:asciiTheme="majorBidi" w:hAnsiTheme="majorBidi" w:cstheme="majorBidi"/>
          <w:sz w:val="24"/>
          <w:szCs w:val="24"/>
        </w:rPr>
        <w:t>s</w:t>
      </w:r>
      <w:r w:rsidR="00241612">
        <w:rPr>
          <w:rFonts w:asciiTheme="majorBidi" w:hAnsiTheme="majorBidi" w:cstheme="majorBidi"/>
          <w:sz w:val="24"/>
          <w:szCs w:val="24"/>
        </w:rPr>
        <w:t xml:space="preserve"> –</w:t>
      </w:r>
      <w:r w:rsidR="005058BC">
        <w:rPr>
          <w:rFonts w:asciiTheme="majorBidi" w:hAnsiTheme="majorBidi" w:cstheme="majorBidi"/>
          <w:sz w:val="24"/>
          <w:szCs w:val="24"/>
        </w:rPr>
        <w:t xml:space="preserve"> CUC</w:t>
      </w:r>
      <w:r w:rsidR="000D4711">
        <w:rPr>
          <w:rFonts w:asciiTheme="majorBidi" w:hAnsiTheme="majorBidi" w:cstheme="majorBidi"/>
          <w:sz w:val="24"/>
          <w:szCs w:val="24"/>
        </w:rPr>
        <w:t xml:space="preserve">. </w:t>
      </w:r>
      <w:r w:rsidR="00C4094C">
        <w:rPr>
          <w:rFonts w:asciiTheme="majorBidi" w:hAnsiTheme="majorBidi" w:cstheme="majorBidi"/>
          <w:sz w:val="24"/>
          <w:szCs w:val="24"/>
        </w:rPr>
        <w:t>(</w:t>
      </w:r>
      <w:r w:rsidR="007D6E21">
        <w:rPr>
          <w:rFonts w:asciiTheme="majorBidi" w:hAnsiTheme="majorBidi" w:cstheme="majorBidi"/>
          <w:sz w:val="24"/>
          <w:szCs w:val="24"/>
        </w:rPr>
        <w:t xml:space="preserve">2008, </w:t>
      </w:r>
      <w:r w:rsidR="00427F9E">
        <w:rPr>
          <w:rFonts w:asciiTheme="majorBidi" w:hAnsiTheme="majorBidi" w:cstheme="majorBidi"/>
          <w:sz w:val="24"/>
          <w:szCs w:val="24"/>
        </w:rPr>
        <w:t>2009, 2013, 2014</w:t>
      </w:r>
      <w:r w:rsidR="001113F9">
        <w:rPr>
          <w:rFonts w:asciiTheme="majorBidi" w:hAnsiTheme="majorBidi" w:cstheme="majorBidi"/>
          <w:sz w:val="24"/>
          <w:szCs w:val="24"/>
        </w:rPr>
        <w:t>,</w:t>
      </w:r>
      <w:r w:rsidR="00427F9E">
        <w:rPr>
          <w:rFonts w:asciiTheme="majorBidi" w:hAnsiTheme="majorBidi" w:cstheme="majorBidi"/>
          <w:sz w:val="24"/>
          <w:szCs w:val="24"/>
        </w:rPr>
        <w:t xml:space="preserve"> 2015</w:t>
      </w:r>
      <w:r w:rsidR="001113F9">
        <w:rPr>
          <w:rFonts w:asciiTheme="majorBidi" w:hAnsiTheme="majorBidi" w:cstheme="majorBidi"/>
          <w:sz w:val="24"/>
          <w:szCs w:val="24"/>
        </w:rPr>
        <w:t xml:space="preserve"> and 2018</w:t>
      </w:r>
      <w:r w:rsidR="00C4094C">
        <w:rPr>
          <w:rFonts w:asciiTheme="majorBidi" w:hAnsiTheme="majorBidi" w:cstheme="majorBidi"/>
          <w:sz w:val="24"/>
          <w:szCs w:val="24"/>
        </w:rPr>
        <w:t>)</w:t>
      </w:r>
      <w:r w:rsidR="00427F9E">
        <w:rPr>
          <w:rFonts w:asciiTheme="majorBidi" w:hAnsiTheme="majorBidi" w:cstheme="majorBidi"/>
          <w:sz w:val="24"/>
          <w:szCs w:val="24"/>
        </w:rPr>
        <w:t>.</w:t>
      </w:r>
      <w:r w:rsidRPr="00511F36">
        <w:rPr>
          <w:rFonts w:asciiTheme="majorBidi" w:hAnsiTheme="majorBidi" w:cstheme="majorBidi"/>
          <w:sz w:val="24"/>
          <w:szCs w:val="24"/>
        </w:rPr>
        <w:t xml:space="preserve"> </w:t>
      </w:r>
      <w:r w:rsidR="00427F9E">
        <w:rPr>
          <w:rFonts w:asciiTheme="majorBidi" w:hAnsiTheme="majorBidi" w:cstheme="majorBidi"/>
          <w:i/>
          <w:iCs/>
          <w:sz w:val="24"/>
          <w:szCs w:val="24"/>
        </w:rPr>
        <w:t>Higher Education</w:t>
      </w:r>
      <w:r w:rsidR="001771B1">
        <w:rPr>
          <w:rFonts w:asciiTheme="majorBidi" w:hAnsiTheme="majorBidi" w:cstheme="majorBidi"/>
          <w:i/>
          <w:iCs/>
          <w:sz w:val="24"/>
          <w:szCs w:val="24"/>
        </w:rPr>
        <w:t xml:space="preserve"> Code of</w:t>
      </w:r>
      <w:r w:rsidR="00427F9E">
        <w:rPr>
          <w:rFonts w:asciiTheme="majorBidi" w:hAnsiTheme="majorBidi" w:cstheme="majorBidi"/>
          <w:i/>
          <w:iCs/>
          <w:sz w:val="24"/>
          <w:szCs w:val="24"/>
        </w:rPr>
        <w:t xml:space="preserve"> Governance</w:t>
      </w:r>
      <w:r w:rsidR="00427F9E">
        <w:rPr>
          <w:rFonts w:asciiTheme="majorBidi" w:hAnsiTheme="majorBidi" w:cstheme="majorBidi"/>
          <w:sz w:val="24"/>
          <w:szCs w:val="24"/>
        </w:rPr>
        <w:t xml:space="preserve">. London. </w:t>
      </w:r>
    </w:p>
    <w:p w14:paraId="3683CE81" w14:textId="4165E18E" w:rsidR="004E5B85" w:rsidRDefault="004E5B85" w:rsidP="00241612">
      <w:pPr>
        <w:spacing w:after="0" w:line="240" w:lineRule="auto"/>
        <w:ind w:left="170" w:hanging="170"/>
        <w:jc w:val="both"/>
        <w:rPr>
          <w:rFonts w:asciiTheme="majorBidi" w:hAnsiTheme="majorBidi" w:cstheme="majorBidi"/>
          <w:sz w:val="24"/>
          <w:szCs w:val="24"/>
        </w:rPr>
      </w:pPr>
      <w:r w:rsidRPr="00511F36">
        <w:rPr>
          <w:rFonts w:asciiTheme="majorBidi" w:hAnsiTheme="majorBidi" w:cstheme="majorBidi"/>
          <w:sz w:val="24"/>
          <w:szCs w:val="24"/>
        </w:rPr>
        <w:t>Committee of Scottish Chairs</w:t>
      </w:r>
      <w:r w:rsidR="00241612">
        <w:rPr>
          <w:rFonts w:asciiTheme="majorBidi" w:hAnsiTheme="majorBidi" w:cstheme="majorBidi"/>
          <w:sz w:val="24"/>
          <w:szCs w:val="24"/>
        </w:rPr>
        <w:t xml:space="preserve"> – CSC</w:t>
      </w:r>
      <w:r w:rsidR="007433F6">
        <w:rPr>
          <w:rFonts w:asciiTheme="majorBidi" w:hAnsiTheme="majorBidi" w:cstheme="majorBidi"/>
          <w:sz w:val="24"/>
          <w:szCs w:val="24"/>
        </w:rPr>
        <w:t xml:space="preserve">. </w:t>
      </w:r>
      <w:r w:rsidR="00C4094C">
        <w:rPr>
          <w:rFonts w:asciiTheme="majorBidi" w:hAnsiTheme="majorBidi" w:cstheme="majorBidi"/>
          <w:sz w:val="24"/>
          <w:szCs w:val="24"/>
        </w:rPr>
        <w:t>(</w:t>
      </w:r>
      <w:r w:rsidR="007433F6">
        <w:rPr>
          <w:rFonts w:asciiTheme="majorBidi" w:hAnsiTheme="majorBidi" w:cstheme="majorBidi"/>
          <w:sz w:val="24"/>
          <w:szCs w:val="24"/>
        </w:rPr>
        <w:t>2013</w:t>
      </w:r>
      <w:r w:rsidR="00C4094C">
        <w:rPr>
          <w:rFonts w:asciiTheme="majorBidi" w:hAnsiTheme="majorBidi" w:cstheme="majorBidi"/>
          <w:sz w:val="24"/>
          <w:szCs w:val="24"/>
        </w:rPr>
        <w:t>)</w:t>
      </w:r>
      <w:r w:rsidRPr="00511F36">
        <w:rPr>
          <w:rFonts w:asciiTheme="majorBidi" w:hAnsiTheme="majorBidi" w:cstheme="majorBidi"/>
          <w:sz w:val="24"/>
          <w:szCs w:val="24"/>
        </w:rPr>
        <w:t xml:space="preserve">. </w:t>
      </w:r>
      <w:r w:rsidRPr="00511F36">
        <w:rPr>
          <w:rFonts w:asciiTheme="majorBidi" w:hAnsiTheme="majorBidi" w:cstheme="majorBidi"/>
          <w:i/>
          <w:iCs/>
          <w:sz w:val="24"/>
          <w:szCs w:val="24"/>
        </w:rPr>
        <w:t>The Scottish</w:t>
      </w:r>
      <w:r w:rsidR="00A0291E">
        <w:rPr>
          <w:rFonts w:asciiTheme="majorBidi" w:hAnsiTheme="majorBidi" w:cstheme="majorBidi"/>
          <w:i/>
          <w:iCs/>
          <w:sz w:val="24"/>
          <w:szCs w:val="24"/>
        </w:rPr>
        <w:t xml:space="preserve"> higher education</w:t>
      </w:r>
      <w:r w:rsidRPr="00511F36">
        <w:rPr>
          <w:rFonts w:asciiTheme="majorBidi" w:hAnsiTheme="majorBidi" w:cstheme="majorBidi"/>
          <w:i/>
          <w:iCs/>
          <w:sz w:val="24"/>
          <w:szCs w:val="24"/>
        </w:rPr>
        <w:t xml:space="preserve"> code of governance</w:t>
      </w:r>
      <w:r w:rsidRPr="00511F36">
        <w:rPr>
          <w:rFonts w:asciiTheme="majorBidi" w:hAnsiTheme="majorBidi" w:cstheme="majorBidi"/>
          <w:sz w:val="24"/>
          <w:szCs w:val="24"/>
        </w:rPr>
        <w:t>. Edinburgh</w:t>
      </w:r>
      <w:r w:rsidR="00A0291E">
        <w:rPr>
          <w:rFonts w:asciiTheme="majorBidi" w:hAnsiTheme="majorBidi" w:cstheme="majorBidi"/>
          <w:sz w:val="24"/>
          <w:szCs w:val="24"/>
        </w:rPr>
        <w:t>.</w:t>
      </w:r>
      <w:r w:rsidRPr="00511F36">
        <w:rPr>
          <w:rFonts w:asciiTheme="majorBidi" w:hAnsiTheme="majorBidi" w:cstheme="majorBidi"/>
          <w:sz w:val="24"/>
          <w:szCs w:val="24"/>
        </w:rPr>
        <w:t xml:space="preserve"> </w:t>
      </w:r>
    </w:p>
    <w:p w14:paraId="39ED777E" w14:textId="7D72ABCD" w:rsidR="001B211F" w:rsidRPr="00511F36" w:rsidRDefault="001B211F" w:rsidP="00605ADB">
      <w:pPr>
        <w:spacing w:after="0" w:line="240" w:lineRule="auto"/>
        <w:ind w:left="170" w:hanging="170"/>
        <w:jc w:val="both"/>
        <w:rPr>
          <w:rFonts w:asciiTheme="majorBidi" w:hAnsiTheme="majorBidi" w:cstheme="majorBidi"/>
          <w:sz w:val="24"/>
          <w:szCs w:val="24"/>
        </w:rPr>
      </w:pPr>
      <w:r w:rsidRPr="001B211F">
        <w:rPr>
          <w:rFonts w:asciiTheme="majorBidi" w:hAnsiTheme="majorBidi" w:cstheme="majorBidi"/>
          <w:sz w:val="24"/>
          <w:szCs w:val="24"/>
        </w:rPr>
        <w:t>Coupet, J. (2018). Exploring the link between government funding and efficiency in nonprofit colleges. </w:t>
      </w:r>
      <w:r w:rsidRPr="001B211F">
        <w:rPr>
          <w:rFonts w:asciiTheme="majorBidi" w:hAnsiTheme="majorBidi" w:cstheme="majorBidi"/>
          <w:i/>
          <w:iCs/>
          <w:sz w:val="24"/>
          <w:szCs w:val="24"/>
        </w:rPr>
        <w:t>Nonprofit Management and Leadership, 29</w:t>
      </w:r>
      <w:r w:rsidRPr="001B211F">
        <w:rPr>
          <w:rFonts w:asciiTheme="majorBidi" w:hAnsiTheme="majorBidi" w:cstheme="majorBidi"/>
          <w:sz w:val="24"/>
          <w:szCs w:val="24"/>
        </w:rPr>
        <w:t>(1), 65-81.</w:t>
      </w:r>
      <w:r w:rsidR="004068CF">
        <w:rPr>
          <w:rFonts w:asciiTheme="majorBidi" w:hAnsiTheme="majorBidi" w:cstheme="majorBidi"/>
          <w:sz w:val="24"/>
          <w:szCs w:val="24"/>
        </w:rPr>
        <w:t xml:space="preserve"> </w:t>
      </w:r>
      <w:hyperlink r:id="rId29" w:history="1">
        <w:r w:rsidR="004068CF" w:rsidRPr="007623DA">
          <w:rPr>
            <w:rStyle w:val="Hyperlink"/>
            <w:rFonts w:asciiTheme="majorBidi" w:hAnsiTheme="majorBidi" w:cstheme="majorBidi"/>
            <w:sz w:val="24"/>
            <w:szCs w:val="24"/>
          </w:rPr>
          <w:t>https://doi.org/10.1002/nml.21309</w:t>
        </w:r>
      </w:hyperlink>
      <w:r w:rsidR="004068CF">
        <w:rPr>
          <w:rFonts w:asciiTheme="majorBidi" w:hAnsiTheme="majorBidi" w:cstheme="majorBidi"/>
          <w:sz w:val="24"/>
          <w:szCs w:val="24"/>
        </w:rPr>
        <w:t xml:space="preserve">. </w:t>
      </w:r>
    </w:p>
    <w:p w14:paraId="379A1BD9" w14:textId="20CA251D" w:rsidR="004E5B85" w:rsidRPr="00511F36" w:rsidRDefault="004E5B85" w:rsidP="00605ADB">
      <w:pPr>
        <w:spacing w:after="0" w:line="240" w:lineRule="auto"/>
        <w:ind w:left="170" w:hanging="170"/>
        <w:jc w:val="both"/>
        <w:rPr>
          <w:rFonts w:asciiTheme="majorBidi" w:hAnsiTheme="majorBidi" w:cstheme="majorBidi"/>
          <w:sz w:val="24"/>
          <w:szCs w:val="24"/>
        </w:rPr>
      </w:pPr>
      <w:r w:rsidRPr="00511F36">
        <w:rPr>
          <w:rFonts w:asciiTheme="majorBidi" w:hAnsiTheme="majorBidi" w:cstheme="majorBidi"/>
          <w:sz w:val="24"/>
          <w:szCs w:val="24"/>
        </w:rPr>
        <w:t>Coy, D</w:t>
      </w:r>
      <w:r w:rsidR="00241612">
        <w:rPr>
          <w:rFonts w:asciiTheme="majorBidi" w:hAnsiTheme="majorBidi" w:cstheme="majorBidi"/>
          <w:sz w:val="24"/>
          <w:szCs w:val="24"/>
        </w:rPr>
        <w:t>.</w:t>
      </w:r>
      <w:r w:rsidRPr="00511F36">
        <w:rPr>
          <w:rFonts w:asciiTheme="majorBidi" w:hAnsiTheme="majorBidi" w:cstheme="majorBidi"/>
          <w:sz w:val="24"/>
          <w:szCs w:val="24"/>
        </w:rPr>
        <w:t xml:space="preserve">, Fischer, M., </w:t>
      </w:r>
      <w:r w:rsidR="00C4094C">
        <w:rPr>
          <w:rFonts w:asciiTheme="majorBidi" w:hAnsiTheme="majorBidi" w:cstheme="majorBidi"/>
          <w:sz w:val="24"/>
          <w:szCs w:val="24"/>
        </w:rPr>
        <w:t>&amp;</w:t>
      </w:r>
      <w:r w:rsidR="007433F6">
        <w:rPr>
          <w:rFonts w:asciiTheme="majorBidi" w:hAnsiTheme="majorBidi" w:cstheme="majorBidi"/>
          <w:sz w:val="24"/>
          <w:szCs w:val="24"/>
        </w:rPr>
        <w:t xml:space="preserve"> Gordon, T. </w:t>
      </w:r>
      <w:r w:rsidR="00C4094C">
        <w:rPr>
          <w:rFonts w:asciiTheme="majorBidi" w:hAnsiTheme="majorBidi" w:cstheme="majorBidi"/>
          <w:sz w:val="24"/>
          <w:szCs w:val="24"/>
        </w:rPr>
        <w:t>(</w:t>
      </w:r>
      <w:r w:rsidRPr="00511F36">
        <w:rPr>
          <w:rFonts w:asciiTheme="majorBidi" w:hAnsiTheme="majorBidi" w:cstheme="majorBidi"/>
          <w:sz w:val="24"/>
          <w:szCs w:val="24"/>
        </w:rPr>
        <w:t>2001</w:t>
      </w:r>
      <w:r w:rsidR="00C4094C">
        <w:rPr>
          <w:rFonts w:asciiTheme="majorBidi" w:hAnsiTheme="majorBidi" w:cstheme="majorBidi"/>
          <w:sz w:val="24"/>
          <w:szCs w:val="24"/>
        </w:rPr>
        <w:t>)</w:t>
      </w:r>
      <w:r w:rsidRPr="00511F36">
        <w:rPr>
          <w:rFonts w:asciiTheme="majorBidi" w:hAnsiTheme="majorBidi" w:cstheme="majorBidi"/>
          <w:sz w:val="24"/>
          <w:szCs w:val="24"/>
        </w:rPr>
        <w:t xml:space="preserve">. Public accountability: A new paradigm for college and university annual reports. </w:t>
      </w:r>
      <w:r w:rsidRPr="00511F36">
        <w:rPr>
          <w:rFonts w:asciiTheme="majorBidi" w:hAnsiTheme="majorBidi" w:cstheme="majorBidi"/>
          <w:i/>
          <w:iCs/>
          <w:sz w:val="24"/>
          <w:szCs w:val="24"/>
        </w:rPr>
        <w:t>Criti</w:t>
      </w:r>
      <w:r w:rsidR="007433F6">
        <w:rPr>
          <w:rFonts w:asciiTheme="majorBidi" w:hAnsiTheme="majorBidi" w:cstheme="majorBidi"/>
          <w:i/>
          <w:iCs/>
          <w:sz w:val="24"/>
          <w:szCs w:val="24"/>
        </w:rPr>
        <w:t>cal Perspectives on Accounting</w:t>
      </w:r>
      <w:r w:rsidR="00C4094C">
        <w:rPr>
          <w:rFonts w:asciiTheme="majorBidi" w:hAnsiTheme="majorBidi" w:cstheme="majorBidi"/>
          <w:i/>
          <w:iCs/>
          <w:sz w:val="24"/>
          <w:szCs w:val="24"/>
        </w:rPr>
        <w:t>,</w:t>
      </w:r>
      <w:r w:rsidRPr="00511F36">
        <w:rPr>
          <w:rFonts w:asciiTheme="majorBidi" w:hAnsiTheme="majorBidi" w:cstheme="majorBidi"/>
          <w:i/>
          <w:iCs/>
          <w:sz w:val="24"/>
          <w:szCs w:val="24"/>
        </w:rPr>
        <w:t xml:space="preserve"> 12</w:t>
      </w:r>
      <w:r w:rsidR="00877732">
        <w:rPr>
          <w:rFonts w:asciiTheme="majorBidi" w:hAnsiTheme="majorBidi" w:cstheme="majorBidi"/>
          <w:sz w:val="24"/>
          <w:szCs w:val="24"/>
        </w:rPr>
        <w:t>(1)</w:t>
      </w:r>
      <w:r w:rsidR="00C4094C">
        <w:rPr>
          <w:rFonts w:asciiTheme="majorBidi" w:hAnsiTheme="majorBidi" w:cstheme="majorBidi"/>
          <w:sz w:val="24"/>
          <w:szCs w:val="24"/>
        </w:rPr>
        <w:t>,</w:t>
      </w:r>
      <w:r w:rsidRPr="00511F36">
        <w:rPr>
          <w:rFonts w:asciiTheme="majorBidi" w:hAnsiTheme="majorBidi" w:cstheme="majorBidi"/>
          <w:sz w:val="24"/>
          <w:szCs w:val="24"/>
        </w:rPr>
        <w:t xml:space="preserve"> 1-31.</w:t>
      </w:r>
      <w:r w:rsidR="00877732">
        <w:rPr>
          <w:rFonts w:asciiTheme="majorBidi" w:hAnsiTheme="majorBidi" w:cstheme="majorBidi"/>
          <w:sz w:val="24"/>
          <w:szCs w:val="24"/>
        </w:rPr>
        <w:t xml:space="preserve"> </w:t>
      </w:r>
      <w:hyperlink r:id="rId30" w:history="1">
        <w:r w:rsidR="00877732" w:rsidRPr="007623DA">
          <w:rPr>
            <w:rStyle w:val="Hyperlink"/>
            <w:rFonts w:asciiTheme="majorBidi" w:hAnsiTheme="majorBidi" w:cstheme="majorBidi"/>
            <w:sz w:val="24"/>
            <w:szCs w:val="24"/>
          </w:rPr>
          <w:t>https://doi.org/10.1006/cpac.2000.0416</w:t>
        </w:r>
      </w:hyperlink>
      <w:r w:rsidR="00877732">
        <w:rPr>
          <w:rFonts w:asciiTheme="majorBidi" w:hAnsiTheme="majorBidi" w:cstheme="majorBidi"/>
          <w:sz w:val="24"/>
          <w:szCs w:val="24"/>
        </w:rPr>
        <w:t xml:space="preserve">. </w:t>
      </w:r>
    </w:p>
    <w:p w14:paraId="5FB373DF" w14:textId="12D7E4B6" w:rsidR="00EE030C" w:rsidRDefault="00EE030C" w:rsidP="008B2F63">
      <w:pPr>
        <w:spacing w:after="0" w:line="240" w:lineRule="auto"/>
        <w:ind w:left="170" w:hanging="170"/>
        <w:jc w:val="both"/>
        <w:rPr>
          <w:rFonts w:asciiTheme="majorBidi" w:hAnsiTheme="majorBidi" w:cstheme="majorBidi"/>
          <w:sz w:val="24"/>
          <w:szCs w:val="24"/>
        </w:rPr>
      </w:pPr>
      <w:r w:rsidRPr="00EE030C">
        <w:rPr>
          <w:rFonts w:asciiTheme="majorBidi" w:hAnsiTheme="majorBidi" w:cstheme="majorBidi"/>
          <w:sz w:val="24"/>
          <w:szCs w:val="24"/>
        </w:rPr>
        <w:t>Croxford, L., &amp; Raffe, D. (2015). The iron law of hierarchy? Institutional differentiation in UK higher education. </w:t>
      </w:r>
      <w:r w:rsidRPr="00EE030C">
        <w:rPr>
          <w:rFonts w:asciiTheme="majorBidi" w:hAnsiTheme="majorBidi" w:cstheme="majorBidi"/>
          <w:i/>
          <w:sz w:val="24"/>
          <w:szCs w:val="24"/>
        </w:rPr>
        <w:t>Studies in Higher Education, 40</w:t>
      </w:r>
      <w:r w:rsidRPr="00EE030C">
        <w:rPr>
          <w:rFonts w:asciiTheme="majorBidi" w:hAnsiTheme="majorBidi" w:cstheme="majorBidi"/>
          <w:sz w:val="24"/>
          <w:szCs w:val="24"/>
        </w:rPr>
        <w:t>(9), 1625-1640.</w:t>
      </w:r>
      <w:r w:rsidR="00B07224">
        <w:rPr>
          <w:rFonts w:asciiTheme="majorBidi" w:hAnsiTheme="majorBidi" w:cstheme="majorBidi"/>
          <w:sz w:val="24"/>
          <w:szCs w:val="24"/>
        </w:rPr>
        <w:t xml:space="preserve"> </w:t>
      </w:r>
      <w:hyperlink r:id="rId31" w:history="1">
        <w:r w:rsidR="00B07224" w:rsidRPr="007623DA">
          <w:rPr>
            <w:rStyle w:val="Hyperlink"/>
            <w:rFonts w:asciiTheme="majorBidi" w:hAnsiTheme="majorBidi" w:cstheme="majorBidi"/>
            <w:sz w:val="24"/>
            <w:szCs w:val="24"/>
          </w:rPr>
          <w:t>https://doi.org/10.1080/03075079.2014.899342</w:t>
        </w:r>
      </w:hyperlink>
      <w:r w:rsidR="00B07224">
        <w:rPr>
          <w:rFonts w:asciiTheme="majorBidi" w:hAnsiTheme="majorBidi" w:cstheme="majorBidi"/>
          <w:sz w:val="24"/>
          <w:szCs w:val="24"/>
        </w:rPr>
        <w:t xml:space="preserve">. </w:t>
      </w:r>
    </w:p>
    <w:p w14:paraId="32DF841C" w14:textId="7C8ADD73" w:rsidR="00A447AD" w:rsidRDefault="00A447AD" w:rsidP="00A447AD">
      <w:pPr>
        <w:spacing w:after="0" w:line="240" w:lineRule="auto"/>
        <w:ind w:left="170" w:hanging="170"/>
        <w:jc w:val="both"/>
        <w:rPr>
          <w:rFonts w:asciiTheme="majorBidi" w:hAnsiTheme="majorBidi" w:cstheme="majorBidi"/>
          <w:sz w:val="24"/>
          <w:szCs w:val="24"/>
        </w:rPr>
      </w:pPr>
      <w:r w:rsidRPr="00E46C2E">
        <w:rPr>
          <w:rFonts w:asciiTheme="majorBidi" w:hAnsiTheme="majorBidi" w:cstheme="majorBidi"/>
          <w:sz w:val="24"/>
          <w:szCs w:val="24"/>
        </w:rPr>
        <w:t>Cullinan, C.P., Wang, F., Yang, B., &amp; Zhang, J. (2012). Audit opinion improvement and the timing of disclosure. </w:t>
      </w:r>
      <w:r w:rsidRPr="00E46C2E">
        <w:rPr>
          <w:rFonts w:asciiTheme="majorBidi" w:hAnsiTheme="majorBidi" w:cstheme="majorBidi"/>
          <w:i/>
          <w:iCs/>
          <w:sz w:val="24"/>
          <w:szCs w:val="24"/>
        </w:rPr>
        <w:t>Advances in Accounting, 28</w:t>
      </w:r>
      <w:r w:rsidRPr="00E46C2E">
        <w:rPr>
          <w:rFonts w:asciiTheme="majorBidi" w:hAnsiTheme="majorBidi" w:cstheme="majorBidi"/>
          <w:sz w:val="24"/>
          <w:szCs w:val="24"/>
        </w:rPr>
        <w:t>(2), 333-343.</w:t>
      </w:r>
      <w:r>
        <w:rPr>
          <w:rFonts w:asciiTheme="majorBidi" w:hAnsiTheme="majorBidi" w:cstheme="majorBidi"/>
          <w:sz w:val="24"/>
          <w:szCs w:val="24"/>
        </w:rPr>
        <w:t xml:space="preserve"> </w:t>
      </w:r>
      <w:hyperlink r:id="rId32" w:history="1">
        <w:r w:rsidRPr="007623DA">
          <w:rPr>
            <w:rStyle w:val="Hyperlink"/>
            <w:rFonts w:asciiTheme="majorBidi" w:hAnsiTheme="majorBidi" w:cstheme="majorBidi"/>
            <w:sz w:val="24"/>
            <w:szCs w:val="24"/>
          </w:rPr>
          <w:t>https://doi.org/10.1016/j.adiac.2012.09.010</w:t>
        </w:r>
      </w:hyperlink>
      <w:r>
        <w:rPr>
          <w:rFonts w:asciiTheme="majorBidi" w:hAnsiTheme="majorBidi" w:cstheme="majorBidi"/>
          <w:sz w:val="24"/>
          <w:szCs w:val="24"/>
        </w:rPr>
        <w:t xml:space="preserve">. </w:t>
      </w:r>
    </w:p>
    <w:p w14:paraId="7EFC1C09" w14:textId="6EBB90F5" w:rsidR="00FC4344" w:rsidRDefault="00FC4344" w:rsidP="00FC4344">
      <w:pPr>
        <w:spacing w:after="0" w:line="240" w:lineRule="auto"/>
        <w:ind w:left="170" w:hanging="170"/>
        <w:jc w:val="both"/>
        <w:rPr>
          <w:rFonts w:asciiTheme="majorBidi" w:hAnsiTheme="majorBidi" w:cstheme="majorBidi"/>
          <w:sz w:val="24"/>
          <w:szCs w:val="24"/>
        </w:rPr>
      </w:pPr>
      <w:r w:rsidRPr="00FC4344">
        <w:rPr>
          <w:rFonts w:asciiTheme="majorBidi" w:hAnsiTheme="majorBidi" w:cstheme="majorBidi"/>
          <w:sz w:val="24"/>
          <w:szCs w:val="24"/>
        </w:rPr>
        <w:t xml:space="preserve">Dahm, M., González, P., &amp; Porteiro, N. (2018). The enforcement of mandatory disclosure rules. </w:t>
      </w:r>
      <w:r w:rsidRPr="00FC4344">
        <w:rPr>
          <w:rFonts w:asciiTheme="majorBidi" w:hAnsiTheme="majorBidi" w:cstheme="majorBidi"/>
          <w:i/>
          <w:iCs/>
          <w:sz w:val="24"/>
          <w:szCs w:val="24"/>
        </w:rPr>
        <w:t>Journal of Public Economics</w:t>
      </w:r>
      <w:r w:rsidRPr="00FC4344">
        <w:rPr>
          <w:rFonts w:asciiTheme="majorBidi" w:hAnsiTheme="majorBidi" w:cstheme="majorBidi"/>
          <w:sz w:val="24"/>
          <w:szCs w:val="24"/>
        </w:rPr>
        <w:t xml:space="preserve">, </w:t>
      </w:r>
      <w:r w:rsidRPr="00FC4344">
        <w:rPr>
          <w:rFonts w:asciiTheme="majorBidi" w:hAnsiTheme="majorBidi" w:cstheme="majorBidi"/>
          <w:i/>
          <w:iCs/>
          <w:sz w:val="24"/>
          <w:szCs w:val="24"/>
        </w:rPr>
        <w:t>167</w:t>
      </w:r>
      <w:r w:rsidRPr="00FC4344">
        <w:rPr>
          <w:rFonts w:asciiTheme="majorBidi" w:hAnsiTheme="majorBidi" w:cstheme="majorBidi"/>
          <w:sz w:val="24"/>
          <w:szCs w:val="24"/>
        </w:rPr>
        <w:t>, 21-32.</w:t>
      </w:r>
      <w:r w:rsidR="00A64DC4">
        <w:rPr>
          <w:rFonts w:asciiTheme="majorBidi" w:hAnsiTheme="majorBidi" w:cstheme="majorBidi"/>
          <w:sz w:val="24"/>
          <w:szCs w:val="24"/>
        </w:rPr>
        <w:t xml:space="preserve"> </w:t>
      </w:r>
      <w:hyperlink r:id="rId33" w:history="1">
        <w:r w:rsidR="00A64DC4" w:rsidRPr="007623DA">
          <w:rPr>
            <w:rStyle w:val="Hyperlink"/>
            <w:rFonts w:asciiTheme="majorBidi" w:hAnsiTheme="majorBidi" w:cstheme="majorBidi"/>
            <w:sz w:val="24"/>
            <w:szCs w:val="24"/>
          </w:rPr>
          <w:t>https://doi.org/10.1016/j.jpubeco.2018.08.014</w:t>
        </w:r>
      </w:hyperlink>
      <w:r w:rsidR="00A64DC4">
        <w:rPr>
          <w:rFonts w:asciiTheme="majorBidi" w:hAnsiTheme="majorBidi" w:cstheme="majorBidi"/>
          <w:sz w:val="24"/>
          <w:szCs w:val="24"/>
        </w:rPr>
        <w:t xml:space="preserve">. </w:t>
      </w:r>
    </w:p>
    <w:p w14:paraId="01ADDA1B" w14:textId="0A6061AD" w:rsidR="00561ABA" w:rsidRDefault="00561ABA" w:rsidP="00FC4344">
      <w:pPr>
        <w:spacing w:after="0" w:line="240" w:lineRule="auto"/>
        <w:ind w:left="170" w:hanging="170"/>
        <w:jc w:val="both"/>
        <w:rPr>
          <w:rFonts w:asciiTheme="majorBidi" w:hAnsiTheme="majorBidi" w:cstheme="majorBidi"/>
          <w:sz w:val="24"/>
          <w:szCs w:val="24"/>
        </w:rPr>
      </w:pPr>
      <w:r w:rsidRPr="00561ABA">
        <w:rPr>
          <w:rFonts w:asciiTheme="majorBidi" w:hAnsiTheme="majorBidi" w:cstheme="majorBidi"/>
          <w:sz w:val="24"/>
          <w:szCs w:val="24"/>
        </w:rPr>
        <w:t>Damayanthi, S., &amp; Gooneratne, T. (2017). Institutional logics perspective in management control research</w:t>
      </w:r>
      <w:r>
        <w:rPr>
          <w:rFonts w:asciiTheme="majorBidi" w:hAnsiTheme="majorBidi" w:cstheme="majorBidi"/>
          <w:sz w:val="24"/>
          <w:szCs w:val="24"/>
        </w:rPr>
        <w:t xml:space="preserve">: </w:t>
      </w:r>
      <w:r w:rsidRPr="00561ABA">
        <w:rPr>
          <w:rFonts w:asciiTheme="majorBidi" w:hAnsiTheme="majorBidi" w:cstheme="majorBidi"/>
          <w:sz w:val="24"/>
          <w:szCs w:val="24"/>
        </w:rPr>
        <w:t>A review of extant literature and directions for future research</w:t>
      </w:r>
      <w:r>
        <w:rPr>
          <w:rFonts w:asciiTheme="majorBidi" w:hAnsiTheme="majorBidi" w:cstheme="majorBidi"/>
          <w:sz w:val="24"/>
          <w:szCs w:val="24"/>
        </w:rPr>
        <w:t xml:space="preserve">. </w:t>
      </w:r>
      <w:r w:rsidRPr="00561ABA">
        <w:rPr>
          <w:rFonts w:asciiTheme="majorBidi" w:hAnsiTheme="majorBidi" w:cstheme="majorBidi"/>
          <w:i/>
          <w:iCs/>
          <w:sz w:val="24"/>
          <w:szCs w:val="24"/>
        </w:rPr>
        <w:t>Journal of Accounting and Organizational Change, 13</w:t>
      </w:r>
      <w:r>
        <w:rPr>
          <w:rFonts w:asciiTheme="majorBidi" w:hAnsiTheme="majorBidi" w:cstheme="majorBidi"/>
          <w:sz w:val="24"/>
          <w:szCs w:val="24"/>
        </w:rPr>
        <w:t xml:space="preserve">(4), 520-547. </w:t>
      </w:r>
      <w:hyperlink r:id="rId34" w:history="1">
        <w:r w:rsidRPr="007623DA">
          <w:rPr>
            <w:rStyle w:val="Hyperlink"/>
            <w:rFonts w:asciiTheme="majorBidi" w:hAnsiTheme="majorBidi" w:cstheme="majorBidi"/>
            <w:sz w:val="24"/>
            <w:szCs w:val="24"/>
          </w:rPr>
          <w:t>https://doi.org/10.1108/JAOC-01-2017-0002</w:t>
        </w:r>
      </w:hyperlink>
      <w:r>
        <w:rPr>
          <w:rFonts w:asciiTheme="majorBidi" w:hAnsiTheme="majorBidi" w:cstheme="majorBidi"/>
          <w:sz w:val="24"/>
          <w:szCs w:val="24"/>
        </w:rPr>
        <w:t xml:space="preserve">. </w:t>
      </w:r>
    </w:p>
    <w:p w14:paraId="2774B36F" w14:textId="2C6391BF" w:rsidR="004E5B85" w:rsidRDefault="007433F6" w:rsidP="00605ADB">
      <w:pPr>
        <w:spacing w:after="0" w:line="240" w:lineRule="auto"/>
        <w:ind w:left="170" w:hanging="170"/>
        <w:jc w:val="both"/>
        <w:rPr>
          <w:rFonts w:asciiTheme="majorBidi" w:hAnsiTheme="majorBidi" w:cstheme="majorBidi"/>
          <w:sz w:val="24"/>
          <w:szCs w:val="24"/>
        </w:rPr>
      </w:pPr>
      <w:r>
        <w:rPr>
          <w:rFonts w:asciiTheme="majorBidi" w:hAnsiTheme="majorBidi" w:cstheme="majorBidi"/>
          <w:sz w:val="24"/>
          <w:szCs w:val="24"/>
        </w:rPr>
        <w:t xml:space="preserve">Dearing, R. </w:t>
      </w:r>
      <w:r w:rsidR="002F2FFF">
        <w:rPr>
          <w:rFonts w:asciiTheme="majorBidi" w:hAnsiTheme="majorBidi" w:cstheme="majorBidi"/>
          <w:sz w:val="24"/>
          <w:szCs w:val="24"/>
        </w:rPr>
        <w:t>(</w:t>
      </w:r>
      <w:r>
        <w:rPr>
          <w:rFonts w:asciiTheme="majorBidi" w:hAnsiTheme="majorBidi" w:cstheme="majorBidi"/>
          <w:sz w:val="24"/>
          <w:szCs w:val="24"/>
        </w:rPr>
        <w:t>1997</w:t>
      </w:r>
      <w:r w:rsidR="002F2FFF">
        <w:rPr>
          <w:rFonts w:asciiTheme="majorBidi" w:hAnsiTheme="majorBidi" w:cstheme="majorBidi"/>
          <w:sz w:val="24"/>
          <w:szCs w:val="24"/>
        </w:rPr>
        <w:t>)</w:t>
      </w:r>
      <w:r>
        <w:rPr>
          <w:rFonts w:asciiTheme="majorBidi" w:hAnsiTheme="majorBidi" w:cstheme="majorBidi"/>
          <w:sz w:val="24"/>
          <w:szCs w:val="24"/>
        </w:rPr>
        <w:t>.</w:t>
      </w:r>
      <w:r w:rsidR="004E5B85" w:rsidRPr="00511F36">
        <w:rPr>
          <w:rFonts w:asciiTheme="majorBidi" w:hAnsiTheme="majorBidi" w:cstheme="majorBidi"/>
          <w:sz w:val="24"/>
          <w:szCs w:val="24"/>
        </w:rPr>
        <w:t xml:space="preserve"> </w:t>
      </w:r>
      <w:r w:rsidR="004E5B85" w:rsidRPr="00511F36">
        <w:rPr>
          <w:rFonts w:asciiTheme="majorBidi" w:hAnsiTheme="majorBidi" w:cstheme="majorBidi"/>
          <w:i/>
          <w:iCs/>
          <w:sz w:val="24"/>
          <w:szCs w:val="24"/>
        </w:rPr>
        <w:t>The National Committee of Inquiry into Higher Education</w:t>
      </w:r>
      <w:r w:rsidR="008B2F63">
        <w:rPr>
          <w:rFonts w:asciiTheme="majorBidi" w:hAnsiTheme="majorBidi" w:cstheme="majorBidi"/>
          <w:sz w:val="24"/>
          <w:szCs w:val="24"/>
        </w:rPr>
        <w:t>.</w:t>
      </w:r>
      <w:r w:rsidR="004E5B85" w:rsidRPr="00511F36">
        <w:rPr>
          <w:rFonts w:asciiTheme="majorBidi" w:hAnsiTheme="majorBidi" w:cstheme="majorBidi"/>
          <w:sz w:val="24"/>
          <w:szCs w:val="24"/>
        </w:rPr>
        <w:t xml:space="preserve"> Higher Education in the Learning Society</w:t>
      </w:r>
      <w:r w:rsidR="008B2F63">
        <w:rPr>
          <w:rFonts w:asciiTheme="majorBidi" w:hAnsiTheme="majorBidi" w:cstheme="majorBidi"/>
          <w:sz w:val="24"/>
          <w:szCs w:val="24"/>
        </w:rPr>
        <w:t>.</w:t>
      </w:r>
      <w:r w:rsidR="004E5B85" w:rsidRPr="00511F36">
        <w:rPr>
          <w:rFonts w:asciiTheme="majorBidi" w:hAnsiTheme="majorBidi" w:cstheme="majorBidi"/>
          <w:sz w:val="24"/>
          <w:szCs w:val="24"/>
        </w:rPr>
        <w:t xml:space="preserve"> London.</w:t>
      </w:r>
    </w:p>
    <w:p w14:paraId="02DB1D63" w14:textId="765E6EF3" w:rsidR="00C40317" w:rsidRDefault="00C40317" w:rsidP="00605ADB">
      <w:pPr>
        <w:spacing w:after="0" w:line="240" w:lineRule="auto"/>
        <w:ind w:left="170" w:hanging="170"/>
        <w:jc w:val="both"/>
        <w:rPr>
          <w:rFonts w:asciiTheme="majorBidi" w:hAnsiTheme="majorBidi" w:cstheme="majorBidi"/>
          <w:sz w:val="24"/>
          <w:szCs w:val="24"/>
        </w:rPr>
      </w:pPr>
      <w:r w:rsidRPr="00C40317">
        <w:rPr>
          <w:rFonts w:asciiTheme="majorBidi" w:hAnsiTheme="majorBidi" w:cstheme="majorBidi"/>
          <w:sz w:val="24"/>
          <w:szCs w:val="24"/>
        </w:rPr>
        <w:t xml:space="preserve">De Boer, H.F., Enders, J., &amp; Schimank, U. (2008). </w:t>
      </w:r>
      <w:r w:rsidRPr="00C40317">
        <w:rPr>
          <w:rFonts w:asciiTheme="majorBidi" w:hAnsiTheme="majorBidi" w:cstheme="majorBidi"/>
          <w:i/>
          <w:iCs/>
          <w:sz w:val="24"/>
          <w:szCs w:val="24"/>
        </w:rPr>
        <w:t>Comparing higher education governance systems in four European countries</w:t>
      </w:r>
      <w:r w:rsidRPr="00C40317">
        <w:rPr>
          <w:rFonts w:asciiTheme="majorBidi" w:hAnsiTheme="majorBidi" w:cstheme="majorBidi"/>
          <w:sz w:val="24"/>
          <w:szCs w:val="24"/>
        </w:rPr>
        <w:t>. In Governance and Performance of Education Systems (pp. 35-54). Springer, Dordrecht.</w:t>
      </w:r>
    </w:p>
    <w:p w14:paraId="2AB4C628" w14:textId="5035138C" w:rsidR="00421EDC" w:rsidRDefault="00421EDC" w:rsidP="00605ADB">
      <w:pPr>
        <w:spacing w:after="0" w:line="240" w:lineRule="auto"/>
        <w:ind w:left="170" w:hanging="170"/>
        <w:jc w:val="both"/>
        <w:rPr>
          <w:rFonts w:asciiTheme="majorBidi" w:hAnsiTheme="majorBidi" w:cstheme="majorBidi"/>
          <w:sz w:val="24"/>
          <w:szCs w:val="24"/>
        </w:rPr>
      </w:pPr>
      <w:r w:rsidRPr="00421EDC">
        <w:rPr>
          <w:rFonts w:asciiTheme="majorBidi" w:hAnsiTheme="majorBidi" w:cstheme="majorBidi"/>
          <w:sz w:val="24"/>
          <w:szCs w:val="24"/>
        </w:rPr>
        <w:lastRenderedPageBreak/>
        <w:t>del Mar Gálvez-Rodríguez, M., Caba-Perez, C., &amp; López-Godoy, M. (2014). Drivers for the proactive online disclosure of information in the NGO sector: the Colombian case. </w:t>
      </w:r>
      <w:r w:rsidRPr="00421EDC">
        <w:rPr>
          <w:rFonts w:asciiTheme="majorBidi" w:hAnsiTheme="majorBidi" w:cstheme="majorBidi"/>
          <w:i/>
          <w:iCs/>
          <w:sz w:val="24"/>
          <w:szCs w:val="24"/>
        </w:rPr>
        <w:t>Online Information Review, 38</w:t>
      </w:r>
      <w:r w:rsidRPr="00421EDC">
        <w:rPr>
          <w:rFonts w:asciiTheme="majorBidi" w:hAnsiTheme="majorBidi" w:cstheme="majorBidi"/>
          <w:sz w:val="24"/>
          <w:szCs w:val="24"/>
        </w:rPr>
        <w:t>(6), 769-787.</w:t>
      </w:r>
      <w:r w:rsidR="00154E05">
        <w:rPr>
          <w:rFonts w:asciiTheme="majorBidi" w:hAnsiTheme="majorBidi" w:cstheme="majorBidi"/>
          <w:sz w:val="24"/>
          <w:szCs w:val="24"/>
        </w:rPr>
        <w:t xml:space="preserve"> </w:t>
      </w:r>
      <w:hyperlink r:id="rId35" w:history="1">
        <w:r w:rsidR="00154E05" w:rsidRPr="007623DA">
          <w:rPr>
            <w:rStyle w:val="Hyperlink"/>
            <w:rFonts w:asciiTheme="majorBidi" w:hAnsiTheme="majorBidi" w:cstheme="majorBidi"/>
            <w:sz w:val="24"/>
            <w:szCs w:val="24"/>
          </w:rPr>
          <w:t>https://doi.org/10.1108/OIR-05-2014-0113</w:t>
        </w:r>
      </w:hyperlink>
      <w:r w:rsidR="00154E05">
        <w:rPr>
          <w:rFonts w:asciiTheme="majorBidi" w:hAnsiTheme="majorBidi" w:cstheme="majorBidi"/>
          <w:sz w:val="24"/>
          <w:szCs w:val="24"/>
        </w:rPr>
        <w:t xml:space="preserve">. </w:t>
      </w:r>
    </w:p>
    <w:p w14:paraId="1F3BCBBC" w14:textId="2DB79805" w:rsidR="008403F7" w:rsidRDefault="008403F7" w:rsidP="008403F7">
      <w:pPr>
        <w:spacing w:after="0" w:line="240" w:lineRule="auto"/>
        <w:ind w:left="170" w:hanging="170"/>
        <w:jc w:val="both"/>
        <w:rPr>
          <w:rFonts w:asciiTheme="majorBidi" w:hAnsiTheme="majorBidi" w:cstheme="majorBidi"/>
          <w:sz w:val="24"/>
          <w:szCs w:val="24"/>
        </w:rPr>
      </w:pPr>
      <w:r>
        <w:rPr>
          <w:rFonts w:asciiTheme="majorBidi" w:hAnsiTheme="majorBidi" w:cstheme="majorBidi"/>
          <w:sz w:val="24"/>
          <w:szCs w:val="24"/>
        </w:rPr>
        <w:t xml:space="preserve">Diamond, I. (2011). </w:t>
      </w:r>
      <w:r w:rsidRPr="008B2F63">
        <w:rPr>
          <w:rFonts w:asciiTheme="majorBidi" w:hAnsiTheme="majorBidi" w:cstheme="majorBidi"/>
          <w:i/>
          <w:sz w:val="24"/>
          <w:szCs w:val="24"/>
        </w:rPr>
        <w:t>Efficiency and effectiveness in higher education: A report by the Universities UK Efficiency and Modernisation Task Group</w:t>
      </w:r>
      <w:r w:rsidRPr="008B2F63">
        <w:rPr>
          <w:rFonts w:asciiTheme="majorBidi" w:hAnsiTheme="majorBidi" w:cstheme="majorBidi"/>
          <w:sz w:val="24"/>
          <w:szCs w:val="24"/>
        </w:rPr>
        <w:t>. Universities UK. London.</w:t>
      </w:r>
    </w:p>
    <w:p w14:paraId="6B79C8DC" w14:textId="07A2890B" w:rsidR="001562CB" w:rsidRDefault="001562CB" w:rsidP="00605ADB">
      <w:pPr>
        <w:spacing w:after="0" w:line="240" w:lineRule="auto"/>
        <w:ind w:left="170" w:hanging="170"/>
        <w:jc w:val="both"/>
        <w:rPr>
          <w:rFonts w:ascii="Times New Roman" w:hAnsi="Times New Roman" w:cs="Times New Roman"/>
          <w:color w:val="222222"/>
          <w:sz w:val="24"/>
          <w:szCs w:val="24"/>
          <w:shd w:val="clear" w:color="auto" w:fill="FFFFFF"/>
        </w:rPr>
      </w:pPr>
      <w:r w:rsidRPr="001562CB">
        <w:rPr>
          <w:rFonts w:ascii="Times New Roman" w:hAnsi="Times New Roman" w:cs="Times New Roman"/>
          <w:color w:val="222222"/>
          <w:sz w:val="24"/>
          <w:szCs w:val="24"/>
          <w:shd w:val="clear" w:color="auto" w:fill="FFFFFF"/>
        </w:rPr>
        <w:t>DiMaggio, P.J., &amp; Powell, W.W. (1983). The iron cage revisited: Institutional isomorphism and collective rationality in organizational fields. </w:t>
      </w:r>
      <w:r w:rsidRPr="001562CB">
        <w:rPr>
          <w:rFonts w:ascii="Times New Roman" w:hAnsi="Times New Roman" w:cs="Times New Roman"/>
          <w:i/>
          <w:iCs/>
          <w:color w:val="222222"/>
          <w:sz w:val="24"/>
          <w:szCs w:val="24"/>
          <w:shd w:val="clear" w:color="auto" w:fill="FFFFFF"/>
        </w:rPr>
        <w:t>American sociological review</w:t>
      </w:r>
      <w:r w:rsidRPr="001562CB">
        <w:rPr>
          <w:rFonts w:ascii="Times New Roman" w:hAnsi="Times New Roman" w:cs="Times New Roman"/>
          <w:color w:val="222222"/>
          <w:sz w:val="24"/>
          <w:szCs w:val="24"/>
          <w:shd w:val="clear" w:color="auto" w:fill="FFFFFF"/>
        </w:rPr>
        <w:t xml:space="preserve">, 147-160. </w:t>
      </w:r>
      <w:hyperlink r:id="rId36" w:history="1">
        <w:r w:rsidRPr="007623DA">
          <w:rPr>
            <w:rStyle w:val="Hyperlink"/>
            <w:rFonts w:ascii="Times New Roman" w:hAnsi="Times New Roman" w:cs="Times New Roman"/>
            <w:sz w:val="24"/>
            <w:szCs w:val="24"/>
            <w:shd w:val="clear" w:color="auto" w:fill="FFFFFF"/>
          </w:rPr>
          <w:t>https://www.jstor.org/stable/2095101</w:t>
        </w:r>
      </w:hyperlink>
      <w:r>
        <w:rPr>
          <w:rFonts w:ascii="Times New Roman" w:hAnsi="Times New Roman" w:cs="Times New Roman"/>
          <w:color w:val="222222"/>
          <w:sz w:val="24"/>
          <w:szCs w:val="24"/>
          <w:shd w:val="clear" w:color="auto" w:fill="FFFFFF"/>
        </w:rPr>
        <w:t>.</w:t>
      </w:r>
    </w:p>
    <w:p w14:paraId="2240E851" w14:textId="44BB4039" w:rsidR="001562CB" w:rsidRPr="001562CB" w:rsidRDefault="001562CB" w:rsidP="00605ADB">
      <w:pPr>
        <w:spacing w:after="0" w:line="240" w:lineRule="auto"/>
        <w:ind w:left="170" w:hanging="170"/>
        <w:jc w:val="both"/>
        <w:rPr>
          <w:rFonts w:ascii="Times New Roman" w:hAnsi="Times New Roman" w:cs="Times New Roman"/>
          <w:sz w:val="24"/>
          <w:szCs w:val="24"/>
        </w:rPr>
      </w:pPr>
      <w:r w:rsidRPr="001562CB">
        <w:rPr>
          <w:rFonts w:ascii="Times New Roman" w:hAnsi="Times New Roman" w:cs="Times New Roman"/>
          <w:sz w:val="24"/>
          <w:szCs w:val="24"/>
        </w:rPr>
        <w:t>DiMaggio, P.J.</w:t>
      </w:r>
      <w:r w:rsidR="00241612">
        <w:rPr>
          <w:rFonts w:ascii="Times New Roman" w:hAnsi="Times New Roman" w:cs="Times New Roman"/>
          <w:sz w:val="24"/>
          <w:szCs w:val="24"/>
        </w:rPr>
        <w:t>,</w:t>
      </w:r>
      <w:r w:rsidRPr="001562CB">
        <w:rPr>
          <w:rFonts w:ascii="Times New Roman" w:hAnsi="Times New Roman" w:cs="Times New Roman"/>
          <w:sz w:val="24"/>
          <w:szCs w:val="24"/>
        </w:rPr>
        <w:t xml:space="preserve"> &amp; Powell, W.W. </w:t>
      </w:r>
      <w:r>
        <w:rPr>
          <w:rFonts w:ascii="Times New Roman" w:hAnsi="Times New Roman" w:cs="Times New Roman"/>
          <w:sz w:val="24"/>
          <w:szCs w:val="24"/>
        </w:rPr>
        <w:t>(</w:t>
      </w:r>
      <w:r w:rsidRPr="001562CB">
        <w:rPr>
          <w:rFonts w:ascii="Times New Roman" w:hAnsi="Times New Roman" w:cs="Times New Roman"/>
          <w:sz w:val="24"/>
          <w:szCs w:val="24"/>
        </w:rPr>
        <w:t>1991</w:t>
      </w:r>
      <w:r>
        <w:rPr>
          <w:rFonts w:ascii="Times New Roman" w:hAnsi="Times New Roman" w:cs="Times New Roman"/>
          <w:sz w:val="24"/>
          <w:szCs w:val="24"/>
        </w:rPr>
        <w:t>)</w:t>
      </w:r>
      <w:r w:rsidRPr="001562CB">
        <w:rPr>
          <w:rFonts w:ascii="Times New Roman" w:hAnsi="Times New Roman" w:cs="Times New Roman"/>
          <w:sz w:val="24"/>
          <w:szCs w:val="24"/>
        </w:rPr>
        <w:t xml:space="preserve">. </w:t>
      </w:r>
      <w:r w:rsidRPr="001562CB">
        <w:rPr>
          <w:rFonts w:ascii="Times New Roman" w:hAnsi="Times New Roman" w:cs="Times New Roman"/>
          <w:i/>
          <w:iCs/>
          <w:sz w:val="24"/>
          <w:szCs w:val="24"/>
        </w:rPr>
        <w:t>The new institutionalism in organizational analysis</w:t>
      </w:r>
      <w:r w:rsidRPr="001562CB">
        <w:rPr>
          <w:rFonts w:ascii="Times New Roman" w:hAnsi="Times New Roman" w:cs="Times New Roman"/>
          <w:sz w:val="24"/>
          <w:szCs w:val="24"/>
        </w:rPr>
        <w:t>. Chicago</w:t>
      </w:r>
      <w:r>
        <w:rPr>
          <w:rFonts w:ascii="Times New Roman" w:hAnsi="Times New Roman" w:cs="Times New Roman"/>
          <w:sz w:val="24"/>
          <w:szCs w:val="24"/>
        </w:rPr>
        <w:t>.</w:t>
      </w:r>
      <w:r w:rsidRPr="001562CB">
        <w:rPr>
          <w:rFonts w:ascii="Times New Roman" w:hAnsi="Times New Roman" w:cs="Times New Roman"/>
          <w:sz w:val="24"/>
          <w:szCs w:val="24"/>
        </w:rPr>
        <w:t xml:space="preserve"> University of Chicago Press.</w:t>
      </w:r>
    </w:p>
    <w:p w14:paraId="693B2AB2" w14:textId="34B7A909" w:rsidR="00787F2D" w:rsidRDefault="00787F2D" w:rsidP="001A3394">
      <w:pPr>
        <w:spacing w:after="0" w:line="240" w:lineRule="auto"/>
        <w:ind w:left="170" w:hanging="170"/>
        <w:jc w:val="both"/>
        <w:rPr>
          <w:rFonts w:asciiTheme="majorBidi" w:hAnsiTheme="majorBidi" w:cstheme="majorBidi"/>
          <w:sz w:val="24"/>
          <w:szCs w:val="24"/>
        </w:rPr>
      </w:pPr>
      <w:r w:rsidRPr="00787F2D">
        <w:rPr>
          <w:rFonts w:asciiTheme="majorBidi" w:hAnsiTheme="majorBidi" w:cstheme="majorBidi"/>
          <w:sz w:val="24"/>
          <w:szCs w:val="24"/>
        </w:rPr>
        <w:t xml:space="preserve">Dixon, K., Coy, D., </w:t>
      </w:r>
      <w:r>
        <w:rPr>
          <w:rFonts w:asciiTheme="majorBidi" w:hAnsiTheme="majorBidi" w:cstheme="majorBidi"/>
          <w:sz w:val="24"/>
          <w:szCs w:val="24"/>
        </w:rPr>
        <w:t xml:space="preserve">&amp; </w:t>
      </w:r>
      <w:r w:rsidRPr="00787F2D">
        <w:rPr>
          <w:rFonts w:asciiTheme="majorBidi" w:hAnsiTheme="majorBidi" w:cstheme="majorBidi"/>
          <w:sz w:val="24"/>
          <w:szCs w:val="24"/>
        </w:rPr>
        <w:t xml:space="preserve">Tower, G. </w:t>
      </w:r>
      <w:r>
        <w:rPr>
          <w:rFonts w:asciiTheme="majorBidi" w:hAnsiTheme="majorBidi" w:cstheme="majorBidi"/>
          <w:sz w:val="24"/>
          <w:szCs w:val="24"/>
        </w:rPr>
        <w:t>(</w:t>
      </w:r>
      <w:r w:rsidRPr="00787F2D">
        <w:rPr>
          <w:rFonts w:asciiTheme="majorBidi" w:hAnsiTheme="majorBidi" w:cstheme="majorBidi"/>
          <w:sz w:val="24"/>
          <w:szCs w:val="24"/>
        </w:rPr>
        <w:t>1991</w:t>
      </w:r>
      <w:r>
        <w:rPr>
          <w:rFonts w:asciiTheme="majorBidi" w:hAnsiTheme="majorBidi" w:cstheme="majorBidi"/>
          <w:sz w:val="24"/>
          <w:szCs w:val="24"/>
        </w:rPr>
        <w:t>)</w:t>
      </w:r>
      <w:r w:rsidRPr="00787F2D">
        <w:rPr>
          <w:rFonts w:asciiTheme="majorBidi" w:hAnsiTheme="majorBidi" w:cstheme="majorBidi"/>
          <w:sz w:val="24"/>
          <w:szCs w:val="24"/>
        </w:rPr>
        <w:t xml:space="preserve">. External reporting by New Zealand universities, 1985–1989: improving accountability. </w:t>
      </w:r>
      <w:r w:rsidRPr="00787F2D">
        <w:rPr>
          <w:rFonts w:asciiTheme="majorBidi" w:hAnsiTheme="majorBidi" w:cstheme="majorBidi"/>
          <w:i/>
          <w:iCs/>
          <w:sz w:val="24"/>
          <w:szCs w:val="24"/>
        </w:rPr>
        <w:t>Financial Accountability and Management</w:t>
      </w:r>
      <w:r w:rsidR="00AB3F27">
        <w:rPr>
          <w:rFonts w:asciiTheme="majorBidi" w:hAnsiTheme="majorBidi" w:cstheme="majorBidi"/>
          <w:i/>
          <w:iCs/>
          <w:sz w:val="24"/>
          <w:szCs w:val="24"/>
        </w:rPr>
        <w:t>,</w:t>
      </w:r>
      <w:r w:rsidRPr="00787F2D">
        <w:rPr>
          <w:rFonts w:asciiTheme="majorBidi" w:hAnsiTheme="majorBidi" w:cstheme="majorBidi"/>
          <w:i/>
          <w:iCs/>
          <w:sz w:val="24"/>
          <w:szCs w:val="24"/>
        </w:rPr>
        <w:t xml:space="preserve"> 7</w:t>
      </w:r>
      <w:r w:rsidR="001A3394">
        <w:rPr>
          <w:rFonts w:asciiTheme="majorBidi" w:hAnsiTheme="majorBidi" w:cstheme="majorBidi"/>
          <w:sz w:val="24"/>
          <w:szCs w:val="24"/>
        </w:rPr>
        <w:t>(3)</w:t>
      </w:r>
      <w:r w:rsidRPr="00787F2D">
        <w:rPr>
          <w:rFonts w:asciiTheme="majorBidi" w:hAnsiTheme="majorBidi" w:cstheme="majorBidi"/>
          <w:sz w:val="24"/>
          <w:szCs w:val="24"/>
        </w:rPr>
        <w:t>, 159–178.</w:t>
      </w:r>
      <w:r w:rsidR="001A3394">
        <w:rPr>
          <w:rFonts w:asciiTheme="majorBidi" w:hAnsiTheme="majorBidi" w:cstheme="majorBidi"/>
          <w:sz w:val="24"/>
          <w:szCs w:val="24"/>
        </w:rPr>
        <w:t xml:space="preserve"> </w:t>
      </w:r>
      <w:hyperlink r:id="rId37" w:history="1">
        <w:r w:rsidR="001A3394" w:rsidRPr="007623DA">
          <w:rPr>
            <w:rStyle w:val="Hyperlink"/>
            <w:rFonts w:asciiTheme="majorBidi" w:hAnsiTheme="majorBidi" w:cstheme="majorBidi"/>
            <w:sz w:val="24"/>
            <w:szCs w:val="24"/>
          </w:rPr>
          <w:t>https://doi.org/10.1111/j.1468-0408.1991.tb00348.x</w:t>
        </w:r>
      </w:hyperlink>
      <w:r w:rsidR="001A3394">
        <w:rPr>
          <w:rFonts w:asciiTheme="majorBidi" w:hAnsiTheme="majorBidi" w:cstheme="majorBidi"/>
          <w:sz w:val="24"/>
          <w:szCs w:val="24"/>
        </w:rPr>
        <w:t xml:space="preserve">. </w:t>
      </w:r>
    </w:p>
    <w:p w14:paraId="0C288A1E" w14:textId="10D4D955" w:rsidR="001A3394" w:rsidRPr="00511F36" w:rsidRDefault="001A3394" w:rsidP="00787F2D">
      <w:pPr>
        <w:spacing w:after="0" w:line="240" w:lineRule="auto"/>
        <w:ind w:left="170" w:hanging="170"/>
        <w:jc w:val="both"/>
        <w:rPr>
          <w:rFonts w:asciiTheme="majorBidi" w:hAnsiTheme="majorBidi" w:cstheme="majorBidi"/>
          <w:sz w:val="24"/>
          <w:szCs w:val="24"/>
        </w:rPr>
      </w:pPr>
      <w:r w:rsidRPr="001A3394">
        <w:rPr>
          <w:rFonts w:asciiTheme="majorBidi" w:hAnsiTheme="majorBidi" w:cstheme="majorBidi"/>
          <w:sz w:val="24"/>
          <w:szCs w:val="24"/>
        </w:rPr>
        <w:t>Dixon, K.</w:t>
      </w:r>
      <w:r w:rsidR="00241612">
        <w:rPr>
          <w:rFonts w:asciiTheme="majorBidi" w:hAnsiTheme="majorBidi" w:cstheme="majorBidi"/>
          <w:sz w:val="24"/>
          <w:szCs w:val="24"/>
        </w:rPr>
        <w:t>,</w:t>
      </w:r>
      <w:r w:rsidRPr="001A3394">
        <w:rPr>
          <w:rFonts w:asciiTheme="majorBidi" w:hAnsiTheme="majorBidi" w:cstheme="majorBidi"/>
          <w:sz w:val="24"/>
          <w:szCs w:val="24"/>
        </w:rPr>
        <w:t xml:space="preserve"> &amp; Coy, D. </w:t>
      </w:r>
      <w:r>
        <w:rPr>
          <w:rFonts w:asciiTheme="majorBidi" w:hAnsiTheme="majorBidi" w:cstheme="majorBidi"/>
          <w:sz w:val="24"/>
          <w:szCs w:val="24"/>
        </w:rPr>
        <w:t>(</w:t>
      </w:r>
      <w:r w:rsidRPr="001A3394">
        <w:rPr>
          <w:rFonts w:asciiTheme="majorBidi" w:hAnsiTheme="majorBidi" w:cstheme="majorBidi"/>
          <w:sz w:val="24"/>
          <w:szCs w:val="24"/>
        </w:rPr>
        <w:t>2007</w:t>
      </w:r>
      <w:r>
        <w:rPr>
          <w:rFonts w:asciiTheme="majorBidi" w:hAnsiTheme="majorBidi" w:cstheme="majorBidi"/>
          <w:sz w:val="24"/>
          <w:szCs w:val="24"/>
        </w:rPr>
        <w:t>)</w:t>
      </w:r>
      <w:r w:rsidRPr="001A3394">
        <w:rPr>
          <w:rFonts w:asciiTheme="majorBidi" w:hAnsiTheme="majorBidi" w:cstheme="majorBidi"/>
          <w:sz w:val="24"/>
          <w:szCs w:val="24"/>
        </w:rPr>
        <w:t xml:space="preserve">. University governance: Governing bodies as providers and users of annual reports. </w:t>
      </w:r>
      <w:r w:rsidRPr="001A3394">
        <w:rPr>
          <w:rFonts w:asciiTheme="majorBidi" w:hAnsiTheme="majorBidi" w:cstheme="majorBidi"/>
          <w:i/>
          <w:iCs/>
          <w:sz w:val="24"/>
          <w:szCs w:val="24"/>
        </w:rPr>
        <w:t>Higher Education, 54</w:t>
      </w:r>
      <w:r w:rsidRPr="001A3394">
        <w:rPr>
          <w:rFonts w:asciiTheme="majorBidi" w:hAnsiTheme="majorBidi" w:cstheme="majorBidi"/>
          <w:sz w:val="24"/>
          <w:szCs w:val="24"/>
        </w:rPr>
        <w:t>(2), 267-291.</w:t>
      </w:r>
      <w:r>
        <w:rPr>
          <w:rFonts w:asciiTheme="majorBidi" w:hAnsiTheme="majorBidi" w:cstheme="majorBidi"/>
          <w:sz w:val="24"/>
          <w:szCs w:val="24"/>
        </w:rPr>
        <w:t xml:space="preserve"> </w:t>
      </w:r>
      <w:hyperlink r:id="rId38" w:history="1">
        <w:r w:rsidRPr="007623DA">
          <w:rPr>
            <w:rStyle w:val="Hyperlink"/>
            <w:rFonts w:asciiTheme="majorBidi" w:hAnsiTheme="majorBidi" w:cstheme="majorBidi"/>
            <w:sz w:val="24"/>
            <w:szCs w:val="24"/>
          </w:rPr>
          <w:t>https://doi.org/10.1007/s10734-005-3146-0</w:t>
        </w:r>
      </w:hyperlink>
      <w:r>
        <w:rPr>
          <w:rFonts w:asciiTheme="majorBidi" w:hAnsiTheme="majorBidi" w:cstheme="majorBidi"/>
          <w:sz w:val="24"/>
          <w:szCs w:val="24"/>
        </w:rPr>
        <w:t xml:space="preserve">. </w:t>
      </w:r>
    </w:p>
    <w:p w14:paraId="2F5D0C1B" w14:textId="3F1D97F7" w:rsidR="004E5B85" w:rsidRPr="00511F36" w:rsidRDefault="004E5B85" w:rsidP="00605ADB">
      <w:pPr>
        <w:spacing w:after="0" w:line="240" w:lineRule="auto"/>
        <w:ind w:left="170" w:hanging="170"/>
        <w:jc w:val="both"/>
        <w:rPr>
          <w:rFonts w:asciiTheme="majorBidi" w:eastAsia="Times New Roman" w:hAnsiTheme="majorBidi" w:cstheme="majorBidi"/>
          <w:sz w:val="24"/>
          <w:szCs w:val="24"/>
          <w:lang w:eastAsia="en-GB"/>
        </w:rPr>
      </w:pPr>
      <w:r w:rsidRPr="00511F36">
        <w:rPr>
          <w:rFonts w:asciiTheme="majorBidi" w:eastAsia="Times New Roman" w:hAnsiTheme="majorBidi" w:cstheme="majorBidi"/>
          <w:sz w:val="24"/>
          <w:szCs w:val="24"/>
          <w:lang w:eastAsia="en-GB"/>
        </w:rPr>
        <w:t xml:space="preserve">Donnelly, R., </w:t>
      </w:r>
      <w:r w:rsidR="002F2FFF">
        <w:rPr>
          <w:rFonts w:asciiTheme="majorBidi" w:eastAsia="Times New Roman" w:hAnsiTheme="majorBidi" w:cstheme="majorBidi"/>
          <w:sz w:val="24"/>
          <w:szCs w:val="24"/>
          <w:lang w:eastAsia="en-GB"/>
        </w:rPr>
        <w:t>&amp;</w:t>
      </w:r>
      <w:r w:rsidR="007433F6">
        <w:rPr>
          <w:rFonts w:asciiTheme="majorBidi" w:eastAsia="Times New Roman" w:hAnsiTheme="majorBidi" w:cstheme="majorBidi"/>
          <w:sz w:val="24"/>
          <w:szCs w:val="24"/>
          <w:lang w:eastAsia="en-GB"/>
        </w:rPr>
        <w:t xml:space="preserve"> Mulcahy, M. </w:t>
      </w:r>
      <w:r w:rsidR="002F2FFF">
        <w:rPr>
          <w:rFonts w:asciiTheme="majorBidi" w:eastAsia="Times New Roman" w:hAnsiTheme="majorBidi" w:cstheme="majorBidi"/>
          <w:sz w:val="24"/>
          <w:szCs w:val="24"/>
          <w:lang w:eastAsia="en-GB"/>
        </w:rPr>
        <w:t>(</w:t>
      </w:r>
      <w:r w:rsidR="007433F6">
        <w:rPr>
          <w:rFonts w:asciiTheme="majorBidi" w:eastAsia="Times New Roman" w:hAnsiTheme="majorBidi" w:cstheme="majorBidi"/>
          <w:sz w:val="24"/>
          <w:szCs w:val="24"/>
          <w:lang w:eastAsia="en-GB"/>
        </w:rPr>
        <w:t>2008</w:t>
      </w:r>
      <w:r w:rsidR="002F2FFF">
        <w:rPr>
          <w:rFonts w:asciiTheme="majorBidi" w:eastAsia="Times New Roman" w:hAnsiTheme="majorBidi" w:cstheme="majorBidi"/>
          <w:sz w:val="24"/>
          <w:szCs w:val="24"/>
          <w:lang w:eastAsia="en-GB"/>
        </w:rPr>
        <w:t>)</w:t>
      </w:r>
      <w:r w:rsidRPr="00511F36">
        <w:rPr>
          <w:rFonts w:asciiTheme="majorBidi" w:eastAsia="Times New Roman" w:hAnsiTheme="majorBidi" w:cstheme="majorBidi"/>
          <w:sz w:val="24"/>
          <w:szCs w:val="24"/>
          <w:lang w:eastAsia="en-GB"/>
        </w:rPr>
        <w:t xml:space="preserve">. Board structure, ownership, and voluntary disclosure in Ireland. </w:t>
      </w:r>
      <w:r w:rsidRPr="00511F36">
        <w:rPr>
          <w:rFonts w:asciiTheme="majorBidi" w:eastAsia="Times New Roman" w:hAnsiTheme="majorBidi" w:cstheme="majorBidi"/>
          <w:i/>
          <w:iCs/>
          <w:sz w:val="24"/>
          <w:szCs w:val="24"/>
          <w:lang w:eastAsia="en-GB"/>
        </w:rPr>
        <w:t>Corporate Governance: An International Review</w:t>
      </w:r>
      <w:r w:rsidR="002F2FFF">
        <w:rPr>
          <w:rFonts w:asciiTheme="majorBidi" w:eastAsia="Times New Roman" w:hAnsiTheme="majorBidi" w:cstheme="majorBidi"/>
          <w:i/>
          <w:iCs/>
          <w:sz w:val="24"/>
          <w:szCs w:val="24"/>
          <w:lang w:eastAsia="en-GB"/>
        </w:rPr>
        <w:t>,</w:t>
      </w:r>
      <w:r w:rsidRPr="00511F36">
        <w:rPr>
          <w:rFonts w:asciiTheme="majorBidi" w:eastAsia="Times New Roman" w:hAnsiTheme="majorBidi" w:cstheme="majorBidi"/>
          <w:sz w:val="24"/>
          <w:szCs w:val="24"/>
          <w:lang w:eastAsia="en-GB"/>
        </w:rPr>
        <w:t xml:space="preserve"> </w:t>
      </w:r>
      <w:r w:rsidRPr="00511F36">
        <w:rPr>
          <w:rFonts w:asciiTheme="majorBidi" w:eastAsia="Times New Roman" w:hAnsiTheme="majorBidi" w:cstheme="majorBidi"/>
          <w:i/>
          <w:iCs/>
          <w:sz w:val="24"/>
          <w:szCs w:val="24"/>
          <w:lang w:eastAsia="en-GB"/>
        </w:rPr>
        <w:t>16</w:t>
      </w:r>
      <w:r w:rsidR="002F2FFF">
        <w:rPr>
          <w:rFonts w:asciiTheme="majorBidi" w:eastAsia="Times New Roman" w:hAnsiTheme="majorBidi" w:cstheme="majorBidi"/>
          <w:sz w:val="24"/>
          <w:szCs w:val="24"/>
          <w:lang w:eastAsia="en-GB"/>
        </w:rPr>
        <w:t>(5),</w:t>
      </w:r>
      <w:r w:rsidRPr="00511F36">
        <w:rPr>
          <w:rFonts w:asciiTheme="majorBidi" w:eastAsia="Times New Roman" w:hAnsiTheme="majorBidi" w:cstheme="majorBidi"/>
          <w:sz w:val="24"/>
          <w:szCs w:val="24"/>
          <w:lang w:eastAsia="en-GB"/>
        </w:rPr>
        <w:t xml:space="preserve"> 416-429.</w:t>
      </w:r>
      <w:r w:rsidR="00CE7F1D">
        <w:rPr>
          <w:rFonts w:asciiTheme="majorBidi" w:eastAsia="Times New Roman" w:hAnsiTheme="majorBidi" w:cstheme="majorBidi"/>
          <w:sz w:val="24"/>
          <w:szCs w:val="24"/>
          <w:lang w:eastAsia="en-GB"/>
        </w:rPr>
        <w:t xml:space="preserve"> </w:t>
      </w:r>
      <w:hyperlink r:id="rId39" w:history="1">
        <w:r w:rsidR="00CE7F1D" w:rsidRPr="007623DA">
          <w:rPr>
            <w:rStyle w:val="Hyperlink"/>
            <w:rFonts w:asciiTheme="majorBidi" w:eastAsia="Times New Roman" w:hAnsiTheme="majorBidi" w:cstheme="majorBidi"/>
            <w:sz w:val="24"/>
            <w:szCs w:val="24"/>
            <w:lang w:eastAsia="en-GB"/>
          </w:rPr>
          <w:t>https://doi.org/10.1111/j.1467-8683.2008.00692.x</w:t>
        </w:r>
      </w:hyperlink>
      <w:r w:rsidR="00CE7F1D">
        <w:rPr>
          <w:rFonts w:asciiTheme="majorBidi" w:eastAsia="Times New Roman" w:hAnsiTheme="majorBidi" w:cstheme="majorBidi"/>
          <w:sz w:val="24"/>
          <w:szCs w:val="24"/>
          <w:lang w:eastAsia="en-GB"/>
        </w:rPr>
        <w:t xml:space="preserve">. </w:t>
      </w:r>
    </w:p>
    <w:p w14:paraId="1ED77F65" w14:textId="77777777" w:rsidR="00241612" w:rsidRDefault="005A3139" w:rsidP="00605ADB">
      <w:pPr>
        <w:spacing w:after="0" w:line="240" w:lineRule="auto"/>
        <w:ind w:left="170" w:hanging="170"/>
        <w:jc w:val="both"/>
        <w:rPr>
          <w:rFonts w:ascii="Times New Roman" w:hAnsi="Times New Roman" w:cs="Times New Roman"/>
          <w:color w:val="767676"/>
          <w:sz w:val="24"/>
          <w:szCs w:val="24"/>
        </w:rPr>
      </w:pPr>
      <w:r w:rsidRPr="005A3139">
        <w:rPr>
          <w:rFonts w:asciiTheme="majorBidi" w:hAnsiTheme="majorBidi" w:cstheme="majorBidi"/>
          <w:sz w:val="24"/>
          <w:szCs w:val="24"/>
        </w:rPr>
        <w:t xml:space="preserve">Du, J., &amp; Lapsley, I. (2019). The </w:t>
      </w:r>
      <w:r w:rsidR="00A25B6B">
        <w:rPr>
          <w:rFonts w:asciiTheme="majorBidi" w:hAnsiTheme="majorBidi" w:cstheme="majorBidi"/>
          <w:sz w:val="24"/>
          <w:szCs w:val="24"/>
        </w:rPr>
        <w:t>r</w:t>
      </w:r>
      <w:r w:rsidRPr="005A3139">
        <w:rPr>
          <w:rFonts w:asciiTheme="majorBidi" w:hAnsiTheme="majorBidi" w:cstheme="majorBidi"/>
          <w:sz w:val="24"/>
          <w:szCs w:val="24"/>
        </w:rPr>
        <w:t xml:space="preserve">eform of UK </w:t>
      </w:r>
      <w:r w:rsidR="00A25B6B">
        <w:rPr>
          <w:rFonts w:asciiTheme="majorBidi" w:hAnsiTheme="majorBidi" w:cstheme="majorBidi"/>
          <w:sz w:val="24"/>
          <w:szCs w:val="24"/>
        </w:rPr>
        <w:t>u</w:t>
      </w:r>
      <w:r w:rsidRPr="005A3139">
        <w:rPr>
          <w:rFonts w:asciiTheme="majorBidi" w:hAnsiTheme="majorBidi" w:cstheme="majorBidi"/>
          <w:sz w:val="24"/>
          <w:szCs w:val="24"/>
        </w:rPr>
        <w:t xml:space="preserve">niversities: A </w:t>
      </w:r>
      <w:r w:rsidR="00A25B6B">
        <w:rPr>
          <w:rFonts w:asciiTheme="majorBidi" w:hAnsiTheme="majorBidi" w:cstheme="majorBidi"/>
          <w:sz w:val="24"/>
          <w:szCs w:val="24"/>
        </w:rPr>
        <w:t>m</w:t>
      </w:r>
      <w:r w:rsidRPr="005A3139">
        <w:rPr>
          <w:rFonts w:asciiTheme="majorBidi" w:hAnsiTheme="majorBidi" w:cstheme="majorBidi"/>
          <w:sz w:val="24"/>
          <w:szCs w:val="24"/>
        </w:rPr>
        <w:t xml:space="preserve">anagement </w:t>
      </w:r>
      <w:r w:rsidR="00A25B6B">
        <w:rPr>
          <w:rFonts w:asciiTheme="majorBidi" w:hAnsiTheme="majorBidi" w:cstheme="majorBidi"/>
          <w:sz w:val="24"/>
          <w:szCs w:val="24"/>
        </w:rPr>
        <w:t>d</w:t>
      </w:r>
      <w:r w:rsidRPr="005A3139">
        <w:rPr>
          <w:rFonts w:asciiTheme="majorBidi" w:hAnsiTheme="majorBidi" w:cstheme="majorBidi"/>
          <w:sz w:val="24"/>
          <w:szCs w:val="24"/>
        </w:rPr>
        <w:t xml:space="preserve">ream, </w:t>
      </w:r>
      <w:r w:rsidR="00A25B6B">
        <w:rPr>
          <w:rFonts w:asciiTheme="majorBidi" w:hAnsiTheme="majorBidi" w:cstheme="majorBidi"/>
          <w:sz w:val="24"/>
          <w:szCs w:val="24"/>
        </w:rPr>
        <w:t>a</w:t>
      </w:r>
      <w:r w:rsidRPr="005A3139">
        <w:rPr>
          <w:rFonts w:asciiTheme="majorBidi" w:hAnsiTheme="majorBidi" w:cstheme="majorBidi"/>
          <w:sz w:val="24"/>
          <w:szCs w:val="24"/>
        </w:rPr>
        <w:t xml:space="preserve">n </w:t>
      </w:r>
      <w:r w:rsidR="00A25B6B">
        <w:rPr>
          <w:rFonts w:asciiTheme="majorBidi" w:hAnsiTheme="majorBidi" w:cstheme="majorBidi"/>
          <w:sz w:val="24"/>
          <w:szCs w:val="24"/>
        </w:rPr>
        <w:t>a</w:t>
      </w:r>
      <w:r w:rsidRPr="005A3139">
        <w:rPr>
          <w:rFonts w:asciiTheme="majorBidi" w:hAnsiTheme="majorBidi" w:cstheme="majorBidi"/>
          <w:sz w:val="24"/>
          <w:szCs w:val="24"/>
        </w:rPr>
        <w:t xml:space="preserve">cademic </w:t>
      </w:r>
      <w:r w:rsidR="00A25B6B">
        <w:rPr>
          <w:rFonts w:asciiTheme="majorBidi" w:hAnsiTheme="majorBidi" w:cstheme="majorBidi"/>
          <w:sz w:val="24"/>
          <w:szCs w:val="24"/>
        </w:rPr>
        <w:t>n</w:t>
      </w:r>
      <w:r w:rsidRPr="005A3139">
        <w:rPr>
          <w:rFonts w:asciiTheme="majorBidi" w:hAnsiTheme="majorBidi" w:cstheme="majorBidi"/>
          <w:sz w:val="24"/>
          <w:szCs w:val="24"/>
        </w:rPr>
        <w:t>ightmare?. </w:t>
      </w:r>
      <w:r w:rsidRPr="005A3139">
        <w:rPr>
          <w:rFonts w:asciiTheme="majorBidi" w:hAnsiTheme="majorBidi" w:cstheme="majorBidi"/>
          <w:i/>
          <w:sz w:val="24"/>
          <w:szCs w:val="24"/>
        </w:rPr>
        <w:t>A</w:t>
      </w:r>
      <w:r w:rsidR="002F70D9">
        <w:rPr>
          <w:rFonts w:asciiTheme="majorBidi" w:hAnsiTheme="majorBidi" w:cstheme="majorBidi"/>
          <w:i/>
          <w:sz w:val="24"/>
          <w:szCs w:val="24"/>
        </w:rPr>
        <w:t>BACUS</w:t>
      </w:r>
      <w:r w:rsidR="007E2781">
        <w:rPr>
          <w:rFonts w:asciiTheme="majorBidi" w:hAnsiTheme="majorBidi" w:cstheme="majorBidi"/>
          <w:i/>
          <w:sz w:val="24"/>
          <w:szCs w:val="24"/>
        </w:rPr>
        <w:t xml:space="preserve">, </w:t>
      </w:r>
      <w:r w:rsidR="007E2781" w:rsidRPr="007E2781">
        <w:rPr>
          <w:rFonts w:ascii="Times New Roman" w:hAnsi="Times New Roman" w:cs="Times New Roman"/>
          <w:i/>
          <w:iCs/>
          <w:color w:val="222222"/>
          <w:sz w:val="24"/>
          <w:szCs w:val="24"/>
          <w:shd w:val="clear" w:color="auto" w:fill="FFFFFF"/>
        </w:rPr>
        <w:t>55</w:t>
      </w:r>
      <w:r w:rsidR="007E2781" w:rsidRPr="007E2781">
        <w:rPr>
          <w:rFonts w:ascii="Times New Roman" w:hAnsi="Times New Roman" w:cs="Times New Roman"/>
          <w:color w:val="222222"/>
          <w:sz w:val="24"/>
          <w:szCs w:val="24"/>
          <w:shd w:val="clear" w:color="auto" w:fill="FFFFFF"/>
        </w:rPr>
        <w:t>(3), 452-482.</w:t>
      </w:r>
      <w:r w:rsidR="007E2781">
        <w:rPr>
          <w:rFonts w:ascii="Times New Roman" w:hAnsi="Times New Roman" w:cs="Times New Roman"/>
          <w:color w:val="222222"/>
          <w:sz w:val="24"/>
          <w:szCs w:val="24"/>
          <w:shd w:val="clear" w:color="auto" w:fill="FFFFFF"/>
        </w:rPr>
        <w:t xml:space="preserve"> </w:t>
      </w:r>
      <w:hyperlink r:id="rId40" w:history="1">
        <w:r w:rsidR="007E2781" w:rsidRPr="007E2781">
          <w:rPr>
            <w:rStyle w:val="Hyperlink"/>
            <w:rFonts w:ascii="Times New Roman" w:hAnsi="Times New Roman" w:cs="Times New Roman"/>
            <w:sz w:val="24"/>
            <w:szCs w:val="24"/>
          </w:rPr>
          <w:t>https://doi.org/10.1111/abac.12167</w:t>
        </w:r>
      </w:hyperlink>
      <w:r w:rsidR="007E2781">
        <w:rPr>
          <w:rFonts w:ascii="Times New Roman" w:hAnsi="Times New Roman" w:cs="Times New Roman"/>
          <w:color w:val="767676"/>
          <w:sz w:val="24"/>
          <w:szCs w:val="24"/>
        </w:rPr>
        <w:t>.</w:t>
      </w:r>
    </w:p>
    <w:p w14:paraId="438B5005" w14:textId="16B36D17" w:rsidR="004E5B85" w:rsidRDefault="004E5B85" w:rsidP="00605ADB">
      <w:pPr>
        <w:spacing w:after="0" w:line="240" w:lineRule="auto"/>
        <w:ind w:left="170" w:hanging="170"/>
        <w:jc w:val="both"/>
        <w:rPr>
          <w:rFonts w:asciiTheme="majorBidi" w:eastAsia="Times New Roman" w:hAnsiTheme="majorBidi" w:cstheme="majorBidi"/>
          <w:sz w:val="24"/>
          <w:szCs w:val="24"/>
          <w:lang w:eastAsia="en-GB"/>
        </w:rPr>
      </w:pPr>
      <w:r w:rsidRPr="00511F36">
        <w:rPr>
          <w:rFonts w:asciiTheme="majorBidi" w:eastAsia="Times New Roman" w:hAnsiTheme="majorBidi" w:cstheme="majorBidi"/>
          <w:sz w:val="24"/>
          <w:szCs w:val="24"/>
          <w:lang w:eastAsia="en-GB"/>
        </w:rPr>
        <w:t xml:space="preserve">Elmagrhi, M.H., Ntim, C.G., </w:t>
      </w:r>
      <w:r w:rsidR="002F2FFF">
        <w:rPr>
          <w:rFonts w:asciiTheme="majorBidi" w:eastAsia="Times New Roman" w:hAnsiTheme="majorBidi" w:cstheme="majorBidi"/>
          <w:sz w:val="24"/>
          <w:szCs w:val="24"/>
          <w:lang w:eastAsia="en-GB"/>
        </w:rPr>
        <w:t>&amp;</w:t>
      </w:r>
      <w:r w:rsidR="007433F6">
        <w:rPr>
          <w:rFonts w:asciiTheme="majorBidi" w:eastAsia="Times New Roman" w:hAnsiTheme="majorBidi" w:cstheme="majorBidi"/>
          <w:sz w:val="24"/>
          <w:szCs w:val="24"/>
          <w:lang w:eastAsia="en-GB"/>
        </w:rPr>
        <w:t xml:space="preserve"> Wang, Y. </w:t>
      </w:r>
      <w:r w:rsidR="002F2FFF">
        <w:rPr>
          <w:rFonts w:asciiTheme="majorBidi" w:eastAsia="Times New Roman" w:hAnsiTheme="majorBidi" w:cstheme="majorBidi"/>
          <w:sz w:val="24"/>
          <w:szCs w:val="24"/>
          <w:lang w:eastAsia="en-GB"/>
        </w:rPr>
        <w:t>(</w:t>
      </w:r>
      <w:r w:rsidR="007433F6">
        <w:rPr>
          <w:rFonts w:asciiTheme="majorBidi" w:eastAsia="Times New Roman" w:hAnsiTheme="majorBidi" w:cstheme="majorBidi"/>
          <w:sz w:val="24"/>
          <w:szCs w:val="24"/>
          <w:lang w:eastAsia="en-GB"/>
        </w:rPr>
        <w:t>2016</w:t>
      </w:r>
      <w:r w:rsidR="002F2FFF">
        <w:rPr>
          <w:rFonts w:asciiTheme="majorBidi" w:eastAsia="Times New Roman" w:hAnsiTheme="majorBidi" w:cstheme="majorBidi"/>
          <w:sz w:val="24"/>
          <w:szCs w:val="24"/>
          <w:lang w:eastAsia="en-GB"/>
        </w:rPr>
        <w:t>)</w:t>
      </w:r>
      <w:r w:rsidRPr="00511F36">
        <w:rPr>
          <w:rFonts w:asciiTheme="majorBidi" w:eastAsia="Times New Roman" w:hAnsiTheme="majorBidi" w:cstheme="majorBidi"/>
          <w:sz w:val="24"/>
          <w:szCs w:val="24"/>
          <w:lang w:eastAsia="en-GB"/>
        </w:rPr>
        <w:t xml:space="preserve">. Antecedents of voluntary corporate governance disclosure: A post-2007/08 financial crisis evidence from the influential UK Combined Code. </w:t>
      </w:r>
      <w:r w:rsidRPr="00511F36">
        <w:rPr>
          <w:rFonts w:asciiTheme="majorBidi" w:eastAsia="Times New Roman" w:hAnsiTheme="majorBidi" w:cstheme="majorBidi"/>
          <w:i/>
          <w:iCs/>
          <w:sz w:val="24"/>
          <w:szCs w:val="24"/>
          <w:lang w:eastAsia="en-GB"/>
        </w:rPr>
        <w:t>Corporate Governance</w:t>
      </w:r>
      <w:r w:rsidR="002F2FFF">
        <w:rPr>
          <w:rFonts w:asciiTheme="majorBidi" w:eastAsia="Times New Roman" w:hAnsiTheme="majorBidi" w:cstheme="majorBidi"/>
          <w:sz w:val="24"/>
          <w:szCs w:val="24"/>
          <w:lang w:eastAsia="en-GB"/>
        </w:rPr>
        <w:t xml:space="preserve">, </w:t>
      </w:r>
      <w:r w:rsidRPr="00511F36">
        <w:rPr>
          <w:rFonts w:asciiTheme="majorBidi" w:eastAsia="Times New Roman" w:hAnsiTheme="majorBidi" w:cstheme="majorBidi"/>
          <w:i/>
          <w:iCs/>
          <w:sz w:val="24"/>
          <w:szCs w:val="24"/>
          <w:lang w:eastAsia="en-GB"/>
        </w:rPr>
        <w:t>16</w:t>
      </w:r>
      <w:r w:rsidR="007433F6">
        <w:rPr>
          <w:rFonts w:asciiTheme="majorBidi" w:eastAsia="Times New Roman" w:hAnsiTheme="majorBidi" w:cstheme="majorBidi"/>
          <w:sz w:val="24"/>
          <w:szCs w:val="24"/>
          <w:lang w:eastAsia="en-GB"/>
        </w:rPr>
        <w:t>(3)</w:t>
      </w:r>
      <w:r w:rsidR="002F2FFF">
        <w:rPr>
          <w:rFonts w:asciiTheme="majorBidi" w:eastAsia="Times New Roman" w:hAnsiTheme="majorBidi" w:cstheme="majorBidi"/>
          <w:sz w:val="24"/>
          <w:szCs w:val="24"/>
          <w:lang w:eastAsia="en-GB"/>
        </w:rPr>
        <w:t>,</w:t>
      </w:r>
      <w:r w:rsidRPr="00511F36">
        <w:rPr>
          <w:rFonts w:asciiTheme="majorBidi" w:eastAsia="Times New Roman" w:hAnsiTheme="majorBidi" w:cstheme="majorBidi"/>
          <w:sz w:val="24"/>
          <w:szCs w:val="24"/>
          <w:lang w:eastAsia="en-GB"/>
        </w:rPr>
        <w:t xml:space="preserve"> 507-538.</w:t>
      </w:r>
      <w:r w:rsidR="00CE7F1D">
        <w:rPr>
          <w:rFonts w:asciiTheme="majorBidi" w:eastAsia="Times New Roman" w:hAnsiTheme="majorBidi" w:cstheme="majorBidi"/>
          <w:sz w:val="24"/>
          <w:szCs w:val="24"/>
          <w:lang w:eastAsia="en-GB"/>
        </w:rPr>
        <w:t xml:space="preserve"> </w:t>
      </w:r>
      <w:hyperlink r:id="rId41" w:history="1">
        <w:r w:rsidR="00CE7F1D" w:rsidRPr="007623DA">
          <w:rPr>
            <w:rStyle w:val="Hyperlink"/>
            <w:rFonts w:asciiTheme="majorBidi" w:eastAsia="Times New Roman" w:hAnsiTheme="majorBidi" w:cstheme="majorBidi"/>
            <w:sz w:val="24"/>
            <w:szCs w:val="24"/>
            <w:lang w:eastAsia="en-GB"/>
          </w:rPr>
          <w:t>https://doi.org/10.1108/CG-01-2016-0006</w:t>
        </w:r>
      </w:hyperlink>
      <w:r w:rsidR="00CE7F1D">
        <w:rPr>
          <w:rFonts w:asciiTheme="majorBidi" w:eastAsia="Times New Roman" w:hAnsiTheme="majorBidi" w:cstheme="majorBidi"/>
          <w:sz w:val="24"/>
          <w:szCs w:val="24"/>
          <w:lang w:eastAsia="en-GB"/>
        </w:rPr>
        <w:t xml:space="preserve">. </w:t>
      </w:r>
    </w:p>
    <w:p w14:paraId="6DAB0D73" w14:textId="1CDEF936" w:rsidR="00835C40" w:rsidRDefault="00835C40" w:rsidP="00AB3F27">
      <w:pPr>
        <w:spacing w:after="0" w:line="240" w:lineRule="auto"/>
        <w:ind w:left="170" w:hanging="170"/>
        <w:jc w:val="both"/>
        <w:rPr>
          <w:rFonts w:asciiTheme="majorBidi" w:eastAsia="Times New Roman" w:hAnsiTheme="majorBidi" w:cstheme="majorBidi"/>
          <w:sz w:val="24"/>
          <w:szCs w:val="24"/>
          <w:lang w:eastAsia="en-GB"/>
        </w:rPr>
      </w:pPr>
      <w:r w:rsidRPr="006F6082">
        <w:rPr>
          <w:rFonts w:asciiTheme="majorBidi" w:eastAsia="Times New Roman" w:hAnsiTheme="majorBidi" w:cstheme="majorBidi"/>
          <w:sz w:val="24"/>
          <w:szCs w:val="24"/>
          <w:lang w:eastAsia="en-GB"/>
        </w:rPr>
        <w:t>Elmagrhi, M.H., Ntim, C.G., Malagila, J., Fosu, S., &amp; Tunyi, A.A. (2018). Trustee board diversity, governance mechanisms, capital structure and performance in UK charities. </w:t>
      </w:r>
      <w:r w:rsidRPr="006F6082">
        <w:rPr>
          <w:rFonts w:asciiTheme="majorBidi" w:eastAsia="Times New Roman" w:hAnsiTheme="majorBidi" w:cstheme="majorBidi"/>
          <w:i/>
          <w:iCs/>
          <w:sz w:val="24"/>
          <w:szCs w:val="24"/>
          <w:lang w:eastAsia="en-GB"/>
        </w:rPr>
        <w:t>Corporate Governance, 18</w:t>
      </w:r>
      <w:r w:rsidRPr="006F6082">
        <w:rPr>
          <w:rFonts w:asciiTheme="majorBidi" w:eastAsia="Times New Roman" w:hAnsiTheme="majorBidi" w:cstheme="majorBidi"/>
          <w:sz w:val="24"/>
          <w:szCs w:val="24"/>
          <w:lang w:eastAsia="en-GB"/>
        </w:rPr>
        <w:t>(3), 478-508.</w:t>
      </w:r>
      <w:r w:rsidR="00CE7F1D">
        <w:rPr>
          <w:rFonts w:asciiTheme="majorBidi" w:eastAsia="Times New Roman" w:hAnsiTheme="majorBidi" w:cstheme="majorBidi"/>
          <w:sz w:val="24"/>
          <w:szCs w:val="24"/>
          <w:lang w:eastAsia="en-GB"/>
        </w:rPr>
        <w:t xml:space="preserve"> </w:t>
      </w:r>
      <w:hyperlink r:id="rId42" w:history="1">
        <w:r w:rsidR="00CE7F1D" w:rsidRPr="007623DA">
          <w:rPr>
            <w:rStyle w:val="Hyperlink"/>
            <w:rFonts w:asciiTheme="majorBidi" w:eastAsia="Times New Roman" w:hAnsiTheme="majorBidi" w:cstheme="majorBidi"/>
            <w:sz w:val="24"/>
            <w:szCs w:val="24"/>
            <w:lang w:eastAsia="en-GB"/>
          </w:rPr>
          <w:t>https://doi.org/10.1108/CG-08-2017-0185</w:t>
        </w:r>
      </w:hyperlink>
      <w:r w:rsidR="00CE7F1D">
        <w:rPr>
          <w:rFonts w:asciiTheme="majorBidi" w:eastAsia="Times New Roman" w:hAnsiTheme="majorBidi" w:cstheme="majorBidi"/>
          <w:sz w:val="24"/>
          <w:szCs w:val="24"/>
          <w:lang w:eastAsia="en-GB"/>
        </w:rPr>
        <w:t xml:space="preserve">. </w:t>
      </w:r>
    </w:p>
    <w:p w14:paraId="38D92CAF" w14:textId="67CB9308" w:rsidR="00930BB6" w:rsidRDefault="00930BB6" w:rsidP="00930BB6">
      <w:pPr>
        <w:spacing w:after="0" w:line="240" w:lineRule="auto"/>
        <w:ind w:left="170" w:hanging="170"/>
        <w:jc w:val="both"/>
        <w:rPr>
          <w:rFonts w:asciiTheme="majorBidi" w:hAnsiTheme="majorBidi" w:cstheme="majorBidi"/>
          <w:sz w:val="24"/>
          <w:szCs w:val="24"/>
        </w:rPr>
      </w:pPr>
      <w:r w:rsidRPr="00930BB6">
        <w:rPr>
          <w:rFonts w:asciiTheme="majorBidi" w:hAnsiTheme="majorBidi" w:cstheme="majorBidi"/>
          <w:sz w:val="24"/>
          <w:szCs w:val="24"/>
        </w:rPr>
        <w:t xml:space="preserve">Elmagrhi, M.H., Ntim, C.G., Elamer, A.A., &amp; Zhang, Q. (2019). A study of environmental policies and regulations, governance structures, and environmental performance: The role of female directors. </w:t>
      </w:r>
      <w:r w:rsidRPr="00201405">
        <w:rPr>
          <w:rFonts w:asciiTheme="majorBidi" w:hAnsiTheme="majorBidi" w:cstheme="majorBidi"/>
          <w:i/>
          <w:iCs/>
          <w:sz w:val="24"/>
          <w:szCs w:val="24"/>
        </w:rPr>
        <w:t>Business Strategy and the Environment, 28</w:t>
      </w:r>
      <w:r w:rsidRPr="00930BB6">
        <w:rPr>
          <w:rFonts w:asciiTheme="majorBidi" w:hAnsiTheme="majorBidi" w:cstheme="majorBidi"/>
          <w:sz w:val="24"/>
          <w:szCs w:val="24"/>
        </w:rPr>
        <w:t>(1), 206-220.</w:t>
      </w:r>
      <w:r w:rsidR="00CE7F1D">
        <w:rPr>
          <w:rFonts w:asciiTheme="majorBidi" w:hAnsiTheme="majorBidi" w:cstheme="majorBidi"/>
          <w:sz w:val="24"/>
          <w:szCs w:val="24"/>
        </w:rPr>
        <w:t xml:space="preserve"> </w:t>
      </w:r>
      <w:hyperlink r:id="rId43" w:history="1">
        <w:r w:rsidR="00CE7F1D" w:rsidRPr="007623DA">
          <w:rPr>
            <w:rStyle w:val="Hyperlink"/>
            <w:rFonts w:asciiTheme="majorBidi" w:hAnsiTheme="majorBidi" w:cstheme="majorBidi"/>
            <w:sz w:val="24"/>
            <w:szCs w:val="24"/>
          </w:rPr>
          <w:t>https://doi.org/10.1002/bse.2250</w:t>
        </w:r>
      </w:hyperlink>
      <w:r w:rsidR="00CE7F1D">
        <w:rPr>
          <w:rFonts w:asciiTheme="majorBidi" w:hAnsiTheme="majorBidi" w:cstheme="majorBidi"/>
          <w:sz w:val="24"/>
          <w:szCs w:val="24"/>
        </w:rPr>
        <w:t xml:space="preserve">. </w:t>
      </w:r>
    </w:p>
    <w:p w14:paraId="4E0287B6" w14:textId="07D49398" w:rsidR="0080412C" w:rsidRDefault="0080412C" w:rsidP="0080412C">
      <w:pPr>
        <w:spacing w:after="0" w:line="240" w:lineRule="auto"/>
        <w:ind w:left="170" w:hanging="17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Espeland, W.N., &amp; Sauder, M. (</w:t>
      </w:r>
      <w:r w:rsidRPr="00E0795D">
        <w:rPr>
          <w:rFonts w:asciiTheme="majorBidi" w:hAnsiTheme="majorBidi" w:cstheme="majorBidi"/>
          <w:sz w:val="24"/>
          <w:szCs w:val="24"/>
          <w:shd w:val="clear" w:color="auto" w:fill="FFFFFF"/>
        </w:rPr>
        <w:t>2016</w:t>
      </w:r>
      <w:r>
        <w:rPr>
          <w:rFonts w:asciiTheme="majorBidi" w:hAnsiTheme="majorBidi" w:cstheme="majorBidi"/>
          <w:sz w:val="24"/>
          <w:szCs w:val="24"/>
          <w:shd w:val="clear" w:color="auto" w:fill="FFFFFF"/>
        </w:rPr>
        <w:t>)</w:t>
      </w:r>
      <w:r w:rsidRPr="00E0795D">
        <w:rPr>
          <w:rFonts w:asciiTheme="majorBidi" w:hAnsiTheme="majorBidi" w:cstheme="majorBidi"/>
          <w:i/>
          <w:iCs/>
          <w:sz w:val="24"/>
          <w:szCs w:val="24"/>
          <w:shd w:val="clear" w:color="auto" w:fill="FFFFFF"/>
        </w:rPr>
        <w:t> </w:t>
      </w:r>
      <w:r w:rsidRPr="009A6036">
        <w:rPr>
          <w:rFonts w:asciiTheme="majorBidi" w:hAnsiTheme="majorBidi" w:cstheme="majorBidi"/>
          <w:bCs/>
          <w:i/>
          <w:iCs/>
          <w:sz w:val="24"/>
          <w:szCs w:val="24"/>
          <w:shd w:val="clear" w:color="auto" w:fill="FFFFFF"/>
        </w:rPr>
        <w:t>Engines of anxiety: academic rankings, reputation, and accountability.</w:t>
      </w:r>
      <w:r w:rsidRPr="00E0795D">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New York: </w:t>
      </w:r>
      <w:r w:rsidRPr="00E0795D">
        <w:rPr>
          <w:rFonts w:asciiTheme="majorBidi" w:hAnsiTheme="majorBidi" w:cstheme="majorBidi"/>
          <w:sz w:val="24"/>
          <w:szCs w:val="24"/>
          <w:shd w:val="clear" w:color="auto" w:fill="FFFFFF"/>
        </w:rPr>
        <w:t>Russell Sage Foundation.</w:t>
      </w:r>
    </w:p>
    <w:p w14:paraId="386862D8" w14:textId="3DE6807B" w:rsidR="00A10D63" w:rsidRDefault="00A10D63" w:rsidP="00C87DB7">
      <w:pPr>
        <w:spacing w:after="0" w:line="240" w:lineRule="auto"/>
        <w:ind w:left="170" w:hanging="170"/>
        <w:jc w:val="both"/>
        <w:rPr>
          <w:rFonts w:asciiTheme="majorBidi" w:hAnsiTheme="majorBidi" w:cstheme="majorBidi"/>
          <w:sz w:val="24"/>
          <w:szCs w:val="24"/>
        </w:rPr>
      </w:pPr>
      <w:r w:rsidRPr="00A10D63">
        <w:rPr>
          <w:rFonts w:asciiTheme="majorBidi" w:hAnsiTheme="majorBidi" w:cstheme="majorBidi"/>
          <w:sz w:val="24"/>
          <w:szCs w:val="24"/>
        </w:rPr>
        <w:t>Farnham, D., &amp; Jones, J. (1998). Who are the vice chancellors? An analysis of their professional and social backgrounds 1990-97. </w:t>
      </w:r>
      <w:r w:rsidRPr="00A10D63">
        <w:rPr>
          <w:rFonts w:asciiTheme="majorBidi" w:hAnsiTheme="majorBidi" w:cstheme="majorBidi"/>
          <w:i/>
          <w:iCs/>
          <w:sz w:val="24"/>
          <w:szCs w:val="24"/>
        </w:rPr>
        <w:t>Higher Education Review, 30</w:t>
      </w:r>
      <w:r w:rsidRPr="00A10D63">
        <w:rPr>
          <w:rFonts w:asciiTheme="majorBidi" w:hAnsiTheme="majorBidi" w:cstheme="majorBidi"/>
          <w:sz w:val="24"/>
          <w:szCs w:val="24"/>
        </w:rPr>
        <w:t>(3), 42</w:t>
      </w:r>
      <w:r>
        <w:rPr>
          <w:rFonts w:asciiTheme="majorBidi" w:hAnsiTheme="majorBidi" w:cstheme="majorBidi"/>
          <w:sz w:val="24"/>
          <w:szCs w:val="24"/>
        </w:rPr>
        <w:t>-58</w:t>
      </w:r>
      <w:r w:rsidRPr="00A10D63">
        <w:rPr>
          <w:rFonts w:asciiTheme="majorBidi" w:hAnsiTheme="majorBidi" w:cstheme="majorBidi"/>
          <w:sz w:val="24"/>
          <w:szCs w:val="24"/>
        </w:rPr>
        <w:t>.</w:t>
      </w:r>
      <w:r w:rsidR="00C87DB7">
        <w:rPr>
          <w:rFonts w:asciiTheme="majorBidi" w:hAnsiTheme="majorBidi" w:cstheme="majorBidi"/>
          <w:sz w:val="24"/>
          <w:szCs w:val="24"/>
        </w:rPr>
        <w:t xml:space="preserve"> Available-at: </w:t>
      </w:r>
      <w:hyperlink r:id="rId44" w:history="1">
        <w:r w:rsidR="00C87DB7" w:rsidRPr="00C87DB7">
          <w:rPr>
            <w:rStyle w:val="Hyperlink"/>
            <w:rFonts w:asciiTheme="majorBidi" w:hAnsiTheme="majorBidi" w:cstheme="majorBidi"/>
            <w:sz w:val="24"/>
            <w:szCs w:val="24"/>
          </w:rPr>
          <w:t>https://search.proquest.com/openview/1989ea29a3f09e2e84be4fc924b4498f/1?pq-origsite=gscholar&amp;cbl=1820949</w:t>
        </w:r>
      </w:hyperlink>
      <w:r w:rsidR="00C87DB7">
        <w:rPr>
          <w:rFonts w:asciiTheme="majorBidi" w:hAnsiTheme="majorBidi" w:cstheme="majorBidi"/>
          <w:sz w:val="24"/>
          <w:szCs w:val="24"/>
        </w:rPr>
        <w:t xml:space="preserve">  (Accessed on November 2019).</w:t>
      </w:r>
    </w:p>
    <w:p w14:paraId="2795FC3A" w14:textId="7E7E3C5E" w:rsidR="007C438C" w:rsidRDefault="007C438C" w:rsidP="00930BB6">
      <w:pPr>
        <w:spacing w:after="0" w:line="240" w:lineRule="auto"/>
        <w:ind w:left="170" w:hanging="170"/>
        <w:jc w:val="both"/>
        <w:rPr>
          <w:rFonts w:asciiTheme="majorBidi" w:hAnsiTheme="majorBidi" w:cstheme="majorBidi"/>
          <w:sz w:val="24"/>
          <w:szCs w:val="24"/>
        </w:rPr>
      </w:pPr>
      <w:r w:rsidRPr="007C438C">
        <w:rPr>
          <w:rFonts w:asciiTheme="majorBidi" w:hAnsiTheme="majorBidi" w:cstheme="majorBidi"/>
          <w:sz w:val="24"/>
          <w:szCs w:val="24"/>
        </w:rPr>
        <w:t>Fischer, M., Gordon, T.P., &amp; Kraut, M.A. (2010). Meeting user information needs: The impact of major changes in FASB and GASB standards on financial reporting by colleges and universities. </w:t>
      </w:r>
      <w:r w:rsidRPr="007C438C">
        <w:rPr>
          <w:rFonts w:asciiTheme="majorBidi" w:hAnsiTheme="majorBidi" w:cstheme="majorBidi"/>
          <w:i/>
          <w:iCs/>
          <w:sz w:val="24"/>
          <w:szCs w:val="24"/>
        </w:rPr>
        <w:t>Journal of Accounting and Public Policy, 29</w:t>
      </w:r>
      <w:r w:rsidRPr="007C438C">
        <w:rPr>
          <w:rFonts w:asciiTheme="majorBidi" w:hAnsiTheme="majorBidi" w:cstheme="majorBidi"/>
          <w:sz w:val="24"/>
          <w:szCs w:val="24"/>
        </w:rPr>
        <w:t>(4), 374-399.</w:t>
      </w:r>
      <w:r w:rsidR="00816576">
        <w:rPr>
          <w:rFonts w:asciiTheme="majorBidi" w:hAnsiTheme="majorBidi" w:cstheme="majorBidi"/>
          <w:sz w:val="24"/>
          <w:szCs w:val="24"/>
        </w:rPr>
        <w:t xml:space="preserve"> </w:t>
      </w:r>
      <w:hyperlink r:id="rId45" w:history="1">
        <w:r w:rsidR="00816576" w:rsidRPr="007623DA">
          <w:rPr>
            <w:rStyle w:val="Hyperlink"/>
            <w:rFonts w:asciiTheme="majorBidi" w:hAnsiTheme="majorBidi" w:cstheme="majorBidi"/>
            <w:sz w:val="24"/>
            <w:szCs w:val="24"/>
          </w:rPr>
          <w:t>https://doi.org/10.1016/j.jaccpubpol.2010.03.001</w:t>
        </w:r>
      </w:hyperlink>
      <w:r w:rsidR="00816576">
        <w:rPr>
          <w:rFonts w:asciiTheme="majorBidi" w:hAnsiTheme="majorBidi" w:cstheme="majorBidi"/>
          <w:sz w:val="24"/>
          <w:szCs w:val="24"/>
        </w:rPr>
        <w:t xml:space="preserve">. </w:t>
      </w:r>
    </w:p>
    <w:p w14:paraId="0DA252D7" w14:textId="0B48CE1E" w:rsidR="00867AE4" w:rsidRDefault="00867AE4" w:rsidP="00930BB6">
      <w:pPr>
        <w:spacing w:after="0" w:line="240" w:lineRule="auto"/>
        <w:ind w:left="170" w:hanging="170"/>
        <w:jc w:val="both"/>
        <w:rPr>
          <w:rFonts w:asciiTheme="majorBidi" w:hAnsiTheme="majorBidi" w:cstheme="majorBidi"/>
          <w:sz w:val="24"/>
          <w:szCs w:val="24"/>
        </w:rPr>
      </w:pPr>
      <w:r w:rsidRPr="00867AE4">
        <w:rPr>
          <w:rFonts w:asciiTheme="majorBidi" w:hAnsiTheme="majorBidi" w:cstheme="majorBidi"/>
          <w:sz w:val="24"/>
          <w:szCs w:val="24"/>
        </w:rPr>
        <w:t>Franco-Santos, M., Rivera, P., &amp; Bourne, M. (201</w:t>
      </w:r>
      <w:r w:rsidR="00A64DC4">
        <w:rPr>
          <w:rFonts w:asciiTheme="majorBidi" w:hAnsiTheme="majorBidi" w:cstheme="majorBidi"/>
          <w:sz w:val="24"/>
          <w:szCs w:val="24"/>
        </w:rPr>
        <w:t>4</w:t>
      </w:r>
      <w:r w:rsidRPr="00867AE4">
        <w:rPr>
          <w:rFonts w:asciiTheme="majorBidi" w:hAnsiTheme="majorBidi" w:cstheme="majorBidi"/>
          <w:sz w:val="24"/>
          <w:szCs w:val="24"/>
        </w:rPr>
        <w:t>). </w:t>
      </w:r>
      <w:r w:rsidRPr="00867AE4">
        <w:rPr>
          <w:rFonts w:asciiTheme="majorBidi" w:hAnsiTheme="majorBidi" w:cstheme="majorBidi"/>
          <w:i/>
          <w:sz w:val="24"/>
          <w:szCs w:val="24"/>
        </w:rPr>
        <w:t>Performance Management in UK Higher Education Institutions: The Need for a Hybrid Approach</w:t>
      </w:r>
      <w:r w:rsidRPr="00867AE4">
        <w:rPr>
          <w:rFonts w:asciiTheme="majorBidi" w:hAnsiTheme="majorBidi" w:cstheme="majorBidi"/>
          <w:sz w:val="24"/>
          <w:szCs w:val="24"/>
        </w:rPr>
        <w:t>. London. LFHE.</w:t>
      </w:r>
    </w:p>
    <w:p w14:paraId="7560ED84" w14:textId="4C3F0F92" w:rsidR="004E5B85" w:rsidRDefault="007433F6" w:rsidP="00605ADB">
      <w:pPr>
        <w:spacing w:after="0" w:line="240" w:lineRule="auto"/>
        <w:ind w:left="170" w:hanging="170"/>
        <w:jc w:val="both"/>
        <w:rPr>
          <w:rFonts w:asciiTheme="majorBidi" w:hAnsiTheme="majorBidi" w:cstheme="majorBidi"/>
          <w:sz w:val="24"/>
          <w:szCs w:val="24"/>
        </w:rPr>
      </w:pPr>
      <w:r>
        <w:rPr>
          <w:rFonts w:asciiTheme="majorBidi" w:hAnsiTheme="majorBidi" w:cstheme="majorBidi"/>
          <w:sz w:val="24"/>
          <w:szCs w:val="24"/>
        </w:rPr>
        <w:t>Freeman, R.E.</w:t>
      </w:r>
      <w:r w:rsidR="00241612">
        <w:rPr>
          <w:rFonts w:asciiTheme="majorBidi" w:hAnsiTheme="majorBidi" w:cstheme="majorBidi"/>
          <w:sz w:val="24"/>
          <w:szCs w:val="24"/>
        </w:rPr>
        <w:t>,</w:t>
      </w:r>
      <w:r>
        <w:rPr>
          <w:rFonts w:asciiTheme="majorBidi" w:hAnsiTheme="majorBidi" w:cstheme="majorBidi"/>
          <w:sz w:val="24"/>
          <w:szCs w:val="24"/>
        </w:rPr>
        <w:t xml:space="preserve"> </w:t>
      </w:r>
      <w:r w:rsidR="00D57D17">
        <w:rPr>
          <w:rFonts w:asciiTheme="majorBidi" w:hAnsiTheme="majorBidi" w:cstheme="majorBidi"/>
          <w:sz w:val="24"/>
          <w:szCs w:val="24"/>
        </w:rPr>
        <w:t>&amp;</w:t>
      </w:r>
      <w:r>
        <w:rPr>
          <w:rFonts w:asciiTheme="majorBidi" w:hAnsiTheme="majorBidi" w:cstheme="majorBidi"/>
          <w:sz w:val="24"/>
          <w:szCs w:val="24"/>
        </w:rPr>
        <w:t xml:space="preserve"> Reed, D.L. </w:t>
      </w:r>
      <w:r w:rsidR="00D57D17">
        <w:rPr>
          <w:rFonts w:asciiTheme="majorBidi" w:hAnsiTheme="majorBidi" w:cstheme="majorBidi"/>
          <w:sz w:val="24"/>
          <w:szCs w:val="24"/>
        </w:rPr>
        <w:t>(</w:t>
      </w:r>
      <w:r>
        <w:rPr>
          <w:rFonts w:asciiTheme="majorBidi" w:hAnsiTheme="majorBidi" w:cstheme="majorBidi"/>
          <w:sz w:val="24"/>
          <w:szCs w:val="24"/>
        </w:rPr>
        <w:t>1983</w:t>
      </w:r>
      <w:r w:rsidR="00D57D17">
        <w:rPr>
          <w:rFonts w:asciiTheme="majorBidi" w:hAnsiTheme="majorBidi" w:cstheme="majorBidi"/>
          <w:sz w:val="24"/>
          <w:szCs w:val="24"/>
        </w:rPr>
        <w:t>)</w:t>
      </w:r>
      <w:r w:rsidR="004E5B85" w:rsidRPr="00511F36">
        <w:rPr>
          <w:rFonts w:asciiTheme="majorBidi" w:hAnsiTheme="majorBidi" w:cstheme="majorBidi"/>
          <w:sz w:val="24"/>
          <w:szCs w:val="24"/>
        </w:rPr>
        <w:t xml:space="preserve">. Stockholders and stakeholders: a new perspective on corporate governance. </w:t>
      </w:r>
      <w:r>
        <w:rPr>
          <w:rFonts w:asciiTheme="majorBidi" w:hAnsiTheme="majorBidi" w:cstheme="majorBidi"/>
          <w:i/>
          <w:iCs/>
          <w:sz w:val="24"/>
          <w:szCs w:val="24"/>
        </w:rPr>
        <w:t>California Management Review</w:t>
      </w:r>
      <w:r w:rsidR="00D57D17">
        <w:rPr>
          <w:rFonts w:asciiTheme="majorBidi" w:hAnsiTheme="majorBidi" w:cstheme="majorBidi"/>
          <w:i/>
          <w:iCs/>
          <w:sz w:val="24"/>
          <w:szCs w:val="24"/>
        </w:rPr>
        <w:t>,</w:t>
      </w:r>
      <w:r w:rsidR="004E5B85" w:rsidRPr="00511F36">
        <w:rPr>
          <w:rFonts w:asciiTheme="majorBidi" w:hAnsiTheme="majorBidi" w:cstheme="majorBidi"/>
          <w:i/>
          <w:iCs/>
          <w:sz w:val="24"/>
          <w:szCs w:val="24"/>
        </w:rPr>
        <w:t xml:space="preserve"> 25</w:t>
      </w:r>
      <w:r w:rsidR="00D57D17">
        <w:rPr>
          <w:rFonts w:asciiTheme="majorBidi" w:hAnsiTheme="majorBidi" w:cstheme="majorBidi"/>
          <w:sz w:val="24"/>
          <w:szCs w:val="24"/>
        </w:rPr>
        <w:t>(3),</w:t>
      </w:r>
      <w:r w:rsidR="004E5B85" w:rsidRPr="00511F36">
        <w:rPr>
          <w:rFonts w:asciiTheme="majorBidi" w:hAnsiTheme="majorBidi" w:cstheme="majorBidi"/>
          <w:sz w:val="24"/>
          <w:szCs w:val="24"/>
        </w:rPr>
        <w:t xml:space="preserve"> 88-106.</w:t>
      </w:r>
      <w:r w:rsidR="007E2EA6">
        <w:rPr>
          <w:rFonts w:asciiTheme="majorBidi" w:hAnsiTheme="majorBidi" w:cstheme="majorBidi"/>
          <w:sz w:val="24"/>
          <w:szCs w:val="24"/>
        </w:rPr>
        <w:t xml:space="preserve"> </w:t>
      </w:r>
      <w:hyperlink r:id="rId46" w:history="1">
        <w:r w:rsidR="007E2EA6" w:rsidRPr="007623DA">
          <w:rPr>
            <w:rStyle w:val="Hyperlink"/>
            <w:rFonts w:asciiTheme="majorBidi" w:hAnsiTheme="majorBidi" w:cstheme="majorBidi"/>
            <w:sz w:val="24"/>
            <w:szCs w:val="24"/>
          </w:rPr>
          <w:t>https://doi.org/10.2307/41165018</w:t>
        </w:r>
      </w:hyperlink>
      <w:r w:rsidR="007E2EA6">
        <w:rPr>
          <w:rFonts w:asciiTheme="majorBidi" w:hAnsiTheme="majorBidi" w:cstheme="majorBidi"/>
          <w:sz w:val="24"/>
          <w:szCs w:val="24"/>
        </w:rPr>
        <w:t xml:space="preserve">. </w:t>
      </w:r>
    </w:p>
    <w:p w14:paraId="60711FA9" w14:textId="4BDEDC82" w:rsidR="00C966F9" w:rsidRPr="00511F36" w:rsidRDefault="00C966F9" w:rsidP="00605ADB">
      <w:pPr>
        <w:spacing w:after="0" w:line="240" w:lineRule="auto"/>
        <w:ind w:left="170" w:hanging="170"/>
        <w:jc w:val="both"/>
        <w:rPr>
          <w:rFonts w:asciiTheme="majorBidi" w:hAnsiTheme="majorBidi" w:cstheme="majorBidi"/>
          <w:sz w:val="24"/>
          <w:szCs w:val="24"/>
        </w:rPr>
      </w:pPr>
      <w:r w:rsidRPr="00C966F9">
        <w:rPr>
          <w:rFonts w:asciiTheme="majorBidi" w:hAnsiTheme="majorBidi" w:cstheme="majorBidi"/>
          <w:sz w:val="24"/>
          <w:szCs w:val="24"/>
        </w:rPr>
        <w:lastRenderedPageBreak/>
        <w:t>Gauthier, J., Cohen, D., &amp; Meyer, C.R. (2019). Top Management Team Characteristics and Social Value Creation. </w:t>
      </w:r>
      <w:r w:rsidRPr="00C966F9">
        <w:rPr>
          <w:rFonts w:asciiTheme="majorBidi" w:hAnsiTheme="majorBidi" w:cstheme="majorBidi"/>
          <w:i/>
          <w:iCs/>
          <w:sz w:val="24"/>
          <w:szCs w:val="24"/>
        </w:rPr>
        <w:t>Journal of Social Entrepreneurship</w:t>
      </w:r>
      <w:r w:rsidR="00C01999" w:rsidRPr="00C01999">
        <w:rPr>
          <w:rFonts w:asciiTheme="majorBidi" w:hAnsiTheme="majorBidi" w:cstheme="majorBidi"/>
          <w:i/>
          <w:iCs/>
          <w:sz w:val="24"/>
          <w:szCs w:val="24"/>
        </w:rPr>
        <w:t>, 10</w:t>
      </w:r>
      <w:r w:rsidR="00C01999">
        <w:rPr>
          <w:rFonts w:asciiTheme="majorBidi" w:hAnsiTheme="majorBidi" w:cstheme="majorBidi"/>
          <w:sz w:val="24"/>
          <w:szCs w:val="24"/>
        </w:rPr>
        <w:t xml:space="preserve">(2), 252-263. </w:t>
      </w:r>
      <w:hyperlink r:id="rId47" w:history="1">
        <w:r w:rsidR="00C01999" w:rsidRPr="007623DA">
          <w:rPr>
            <w:rStyle w:val="Hyperlink"/>
            <w:rFonts w:asciiTheme="majorBidi" w:hAnsiTheme="majorBidi" w:cstheme="majorBidi"/>
            <w:sz w:val="24"/>
            <w:szCs w:val="24"/>
          </w:rPr>
          <w:t>https://doi.org/10.1080/19420676.2018.1541012</w:t>
        </w:r>
      </w:hyperlink>
      <w:r w:rsidR="00C01999">
        <w:rPr>
          <w:rFonts w:asciiTheme="majorBidi" w:hAnsiTheme="majorBidi" w:cstheme="majorBidi"/>
          <w:sz w:val="24"/>
          <w:szCs w:val="24"/>
        </w:rPr>
        <w:t xml:space="preserve">. </w:t>
      </w:r>
    </w:p>
    <w:p w14:paraId="5B0CD7E6" w14:textId="42E69531" w:rsidR="004E5B85" w:rsidRDefault="004E5B85" w:rsidP="00605ADB">
      <w:pPr>
        <w:spacing w:after="0" w:line="240" w:lineRule="auto"/>
        <w:ind w:left="170" w:hanging="170"/>
        <w:jc w:val="both"/>
        <w:rPr>
          <w:rFonts w:asciiTheme="majorBidi" w:hAnsiTheme="majorBidi" w:cstheme="majorBidi"/>
          <w:sz w:val="24"/>
          <w:szCs w:val="24"/>
        </w:rPr>
      </w:pPr>
      <w:r w:rsidRPr="00511F36">
        <w:rPr>
          <w:rFonts w:asciiTheme="majorBidi" w:hAnsiTheme="majorBidi" w:cstheme="majorBidi"/>
          <w:sz w:val="24"/>
          <w:szCs w:val="24"/>
        </w:rPr>
        <w:t>Gordon, T., Fischer, M., Malone, D.</w:t>
      </w:r>
      <w:r w:rsidR="00241612">
        <w:rPr>
          <w:rFonts w:asciiTheme="majorBidi" w:hAnsiTheme="majorBidi" w:cstheme="majorBidi"/>
          <w:sz w:val="24"/>
          <w:szCs w:val="24"/>
        </w:rPr>
        <w:t>,</w:t>
      </w:r>
      <w:r w:rsidRPr="00511F36">
        <w:rPr>
          <w:rFonts w:asciiTheme="majorBidi" w:hAnsiTheme="majorBidi" w:cstheme="majorBidi"/>
          <w:sz w:val="24"/>
          <w:szCs w:val="24"/>
        </w:rPr>
        <w:t xml:space="preserve"> </w:t>
      </w:r>
      <w:r w:rsidR="00D57D17">
        <w:rPr>
          <w:rFonts w:asciiTheme="majorBidi" w:hAnsiTheme="majorBidi" w:cstheme="majorBidi"/>
          <w:sz w:val="24"/>
          <w:szCs w:val="24"/>
        </w:rPr>
        <w:t>&amp;</w:t>
      </w:r>
      <w:r w:rsidR="007433F6">
        <w:rPr>
          <w:rFonts w:asciiTheme="majorBidi" w:hAnsiTheme="majorBidi" w:cstheme="majorBidi"/>
          <w:sz w:val="24"/>
          <w:szCs w:val="24"/>
        </w:rPr>
        <w:t xml:space="preserve"> Tower, G. </w:t>
      </w:r>
      <w:r w:rsidR="00D57D17">
        <w:rPr>
          <w:rFonts w:asciiTheme="majorBidi" w:hAnsiTheme="majorBidi" w:cstheme="majorBidi"/>
          <w:sz w:val="24"/>
          <w:szCs w:val="24"/>
        </w:rPr>
        <w:t>(</w:t>
      </w:r>
      <w:r w:rsidR="007433F6">
        <w:rPr>
          <w:rFonts w:asciiTheme="majorBidi" w:hAnsiTheme="majorBidi" w:cstheme="majorBidi"/>
          <w:sz w:val="24"/>
          <w:szCs w:val="24"/>
        </w:rPr>
        <w:t>2002</w:t>
      </w:r>
      <w:r w:rsidR="00D57D17">
        <w:rPr>
          <w:rFonts w:asciiTheme="majorBidi" w:hAnsiTheme="majorBidi" w:cstheme="majorBidi"/>
          <w:sz w:val="24"/>
          <w:szCs w:val="24"/>
        </w:rPr>
        <w:t>)</w:t>
      </w:r>
      <w:r w:rsidRPr="00511F36">
        <w:rPr>
          <w:rFonts w:asciiTheme="majorBidi" w:hAnsiTheme="majorBidi" w:cstheme="majorBidi"/>
          <w:sz w:val="24"/>
          <w:szCs w:val="24"/>
        </w:rPr>
        <w:t xml:space="preserve">. A comparative empirical examination of extent of disclosure by private and public colleges and universities in the United States. </w:t>
      </w:r>
      <w:r w:rsidRPr="00511F36">
        <w:rPr>
          <w:rFonts w:asciiTheme="majorBidi" w:hAnsiTheme="majorBidi" w:cstheme="majorBidi"/>
          <w:i/>
          <w:iCs/>
          <w:sz w:val="24"/>
          <w:szCs w:val="24"/>
        </w:rPr>
        <w:t xml:space="preserve">Journal </w:t>
      </w:r>
      <w:r w:rsidR="007433F6">
        <w:rPr>
          <w:rFonts w:asciiTheme="majorBidi" w:hAnsiTheme="majorBidi" w:cstheme="majorBidi"/>
          <w:i/>
          <w:iCs/>
          <w:sz w:val="24"/>
          <w:szCs w:val="24"/>
        </w:rPr>
        <w:t>of Accounting and Public Policy</w:t>
      </w:r>
      <w:r w:rsidR="00D57D17">
        <w:rPr>
          <w:rFonts w:asciiTheme="majorBidi" w:hAnsiTheme="majorBidi" w:cstheme="majorBidi"/>
          <w:i/>
          <w:iCs/>
          <w:sz w:val="24"/>
          <w:szCs w:val="24"/>
        </w:rPr>
        <w:t>,</w:t>
      </w:r>
      <w:r w:rsidRPr="00511F36">
        <w:rPr>
          <w:rFonts w:asciiTheme="majorBidi" w:hAnsiTheme="majorBidi" w:cstheme="majorBidi"/>
          <w:i/>
          <w:iCs/>
          <w:sz w:val="24"/>
          <w:szCs w:val="24"/>
        </w:rPr>
        <w:t xml:space="preserve"> 21</w:t>
      </w:r>
      <w:r w:rsidR="00D57D17">
        <w:rPr>
          <w:rFonts w:asciiTheme="majorBidi" w:hAnsiTheme="majorBidi" w:cstheme="majorBidi"/>
          <w:sz w:val="24"/>
          <w:szCs w:val="24"/>
        </w:rPr>
        <w:t>(3),</w:t>
      </w:r>
      <w:r w:rsidRPr="00511F36">
        <w:rPr>
          <w:rFonts w:asciiTheme="majorBidi" w:hAnsiTheme="majorBidi" w:cstheme="majorBidi"/>
          <w:sz w:val="24"/>
          <w:szCs w:val="24"/>
        </w:rPr>
        <w:t xml:space="preserve"> 235-275.</w:t>
      </w:r>
      <w:r w:rsidR="004D5CED">
        <w:rPr>
          <w:rFonts w:asciiTheme="majorBidi" w:hAnsiTheme="majorBidi" w:cstheme="majorBidi"/>
          <w:sz w:val="24"/>
          <w:szCs w:val="24"/>
        </w:rPr>
        <w:t xml:space="preserve"> </w:t>
      </w:r>
      <w:hyperlink r:id="rId48" w:history="1">
        <w:r w:rsidR="00241612" w:rsidRPr="00722937">
          <w:rPr>
            <w:rStyle w:val="Hyperlink"/>
            <w:rFonts w:asciiTheme="majorBidi" w:hAnsiTheme="majorBidi" w:cstheme="majorBidi"/>
            <w:sz w:val="24"/>
            <w:szCs w:val="24"/>
          </w:rPr>
          <w:t>https://doi.org/10.1016/S0278-4254(02)00051-0</w:t>
        </w:r>
      </w:hyperlink>
      <w:r w:rsidR="00241612">
        <w:rPr>
          <w:rFonts w:asciiTheme="majorBidi" w:hAnsiTheme="majorBidi" w:cstheme="majorBidi"/>
          <w:sz w:val="24"/>
          <w:szCs w:val="24"/>
        </w:rPr>
        <w:t>.</w:t>
      </w:r>
    </w:p>
    <w:p w14:paraId="0955BDD5" w14:textId="4E550FAE" w:rsidR="00483BA0" w:rsidRDefault="00483BA0" w:rsidP="00605ADB">
      <w:pPr>
        <w:spacing w:after="0" w:line="240" w:lineRule="auto"/>
        <w:ind w:left="170" w:hanging="170"/>
        <w:jc w:val="both"/>
        <w:rPr>
          <w:rFonts w:asciiTheme="majorBidi" w:hAnsiTheme="majorBidi" w:cstheme="majorBidi"/>
          <w:sz w:val="24"/>
          <w:szCs w:val="24"/>
        </w:rPr>
      </w:pPr>
      <w:r w:rsidRPr="00511F36">
        <w:rPr>
          <w:rFonts w:asciiTheme="majorBidi" w:hAnsiTheme="majorBidi" w:cstheme="majorBidi"/>
          <w:sz w:val="24"/>
          <w:szCs w:val="24"/>
        </w:rPr>
        <w:t xml:space="preserve">Gray, R., </w:t>
      </w:r>
      <w:r>
        <w:rPr>
          <w:rFonts w:asciiTheme="majorBidi" w:hAnsiTheme="majorBidi" w:cstheme="majorBidi"/>
          <w:sz w:val="24"/>
          <w:szCs w:val="24"/>
        </w:rPr>
        <w:t>&amp; Haslam, J. (1990)</w:t>
      </w:r>
      <w:r w:rsidRPr="00511F36">
        <w:rPr>
          <w:rFonts w:asciiTheme="majorBidi" w:hAnsiTheme="majorBidi" w:cstheme="majorBidi"/>
          <w:sz w:val="24"/>
          <w:szCs w:val="24"/>
        </w:rPr>
        <w:t xml:space="preserve">. External reporting by UK universities: an exploratory study of accounting change. </w:t>
      </w:r>
      <w:r w:rsidRPr="00511F36">
        <w:rPr>
          <w:rFonts w:asciiTheme="majorBidi" w:hAnsiTheme="majorBidi" w:cstheme="majorBidi"/>
          <w:i/>
          <w:iCs/>
          <w:sz w:val="24"/>
          <w:szCs w:val="24"/>
        </w:rPr>
        <w:t xml:space="preserve">Financial Accountability </w:t>
      </w:r>
      <w:r>
        <w:rPr>
          <w:rFonts w:asciiTheme="majorBidi" w:hAnsiTheme="majorBidi" w:cstheme="majorBidi"/>
          <w:i/>
          <w:iCs/>
          <w:sz w:val="24"/>
          <w:szCs w:val="24"/>
        </w:rPr>
        <w:t>and Management,</w:t>
      </w:r>
      <w:r w:rsidRPr="00511F36">
        <w:rPr>
          <w:rFonts w:asciiTheme="majorBidi" w:hAnsiTheme="majorBidi" w:cstheme="majorBidi"/>
          <w:i/>
          <w:iCs/>
          <w:sz w:val="24"/>
          <w:szCs w:val="24"/>
        </w:rPr>
        <w:t xml:space="preserve"> 6</w:t>
      </w:r>
      <w:r>
        <w:rPr>
          <w:rFonts w:asciiTheme="majorBidi" w:hAnsiTheme="majorBidi" w:cstheme="majorBidi"/>
          <w:sz w:val="24"/>
          <w:szCs w:val="24"/>
        </w:rPr>
        <w:t>(1),</w:t>
      </w:r>
      <w:r w:rsidRPr="00511F36">
        <w:rPr>
          <w:rFonts w:asciiTheme="majorBidi" w:hAnsiTheme="majorBidi" w:cstheme="majorBidi"/>
          <w:sz w:val="24"/>
          <w:szCs w:val="24"/>
        </w:rPr>
        <w:t xml:space="preserve"> 51-72.</w:t>
      </w:r>
      <w:r w:rsidR="001A3394">
        <w:rPr>
          <w:rFonts w:asciiTheme="majorBidi" w:hAnsiTheme="majorBidi" w:cstheme="majorBidi"/>
          <w:sz w:val="24"/>
          <w:szCs w:val="24"/>
        </w:rPr>
        <w:t xml:space="preserve"> </w:t>
      </w:r>
      <w:hyperlink r:id="rId49" w:history="1">
        <w:r w:rsidR="004F1F24" w:rsidRPr="004F1F24">
          <w:rPr>
            <w:rStyle w:val="Hyperlink"/>
            <w:rFonts w:asciiTheme="majorBidi" w:hAnsiTheme="majorBidi" w:cstheme="majorBidi"/>
            <w:sz w:val="24"/>
            <w:szCs w:val="24"/>
          </w:rPr>
          <w:t>https://doi.org/10.1111/j.1468-0408.1990.tb00327.x</w:t>
        </w:r>
      </w:hyperlink>
      <w:r w:rsidR="00467A6F">
        <w:rPr>
          <w:rFonts w:asciiTheme="majorBidi" w:hAnsiTheme="majorBidi" w:cstheme="majorBidi"/>
          <w:sz w:val="24"/>
          <w:szCs w:val="24"/>
        </w:rPr>
        <w:t xml:space="preserve">. </w:t>
      </w:r>
    </w:p>
    <w:p w14:paraId="6D319D36" w14:textId="00600006" w:rsidR="00827CDB" w:rsidRDefault="00827CDB" w:rsidP="00605ADB">
      <w:pPr>
        <w:spacing w:after="0" w:line="240" w:lineRule="auto"/>
        <w:ind w:left="170" w:hanging="170"/>
        <w:jc w:val="both"/>
        <w:rPr>
          <w:rFonts w:asciiTheme="majorBidi" w:hAnsiTheme="majorBidi" w:cstheme="majorBidi"/>
          <w:sz w:val="24"/>
          <w:szCs w:val="24"/>
        </w:rPr>
      </w:pPr>
      <w:r w:rsidRPr="00827CDB">
        <w:rPr>
          <w:rFonts w:asciiTheme="majorBidi" w:hAnsiTheme="majorBidi" w:cstheme="majorBidi"/>
          <w:sz w:val="24"/>
          <w:szCs w:val="24"/>
        </w:rPr>
        <w:t>Gul, F.A., Srinidhi, B., &amp; Ng, A.C. (2011). Does board gender diversity improve the i</w:t>
      </w:r>
      <w:r>
        <w:rPr>
          <w:rFonts w:asciiTheme="majorBidi" w:hAnsiTheme="majorBidi" w:cstheme="majorBidi"/>
          <w:sz w:val="24"/>
          <w:szCs w:val="24"/>
        </w:rPr>
        <w:t>nformativeness of stock prices?</w:t>
      </w:r>
      <w:r w:rsidRPr="00827CDB">
        <w:rPr>
          <w:rFonts w:asciiTheme="majorBidi" w:hAnsiTheme="majorBidi" w:cstheme="majorBidi"/>
          <w:sz w:val="24"/>
          <w:szCs w:val="24"/>
        </w:rPr>
        <w:t> </w:t>
      </w:r>
      <w:r w:rsidRPr="00827CDB">
        <w:rPr>
          <w:rFonts w:asciiTheme="majorBidi" w:hAnsiTheme="majorBidi" w:cstheme="majorBidi"/>
          <w:i/>
          <w:iCs/>
          <w:sz w:val="24"/>
          <w:szCs w:val="24"/>
        </w:rPr>
        <w:t>Journal of Accounting and Economics, 51</w:t>
      </w:r>
      <w:r w:rsidRPr="00827CDB">
        <w:rPr>
          <w:rFonts w:asciiTheme="majorBidi" w:hAnsiTheme="majorBidi" w:cstheme="majorBidi"/>
          <w:sz w:val="24"/>
          <w:szCs w:val="24"/>
        </w:rPr>
        <w:t>(3), 314-338.</w:t>
      </w:r>
      <w:r w:rsidR="005F0CEA">
        <w:rPr>
          <w:rFonts w:asciiTheme="majorBidi" w:hAnsiTheme="majorBidi" w:cstheme="majorBidi"/>
          <w:sz w:val="24"/>
          <w:szCs w:val="24"/>
        </w:rPr>
        <w:t xml:space="preserve"> </w:t>
      </w:r>
      <w:hyperlink r:id="rId50" w:history="1">
        <w:r w:rsidR="005F0CEA" w:rsidRPr="007623DA">
          <w:rPr>
            <w:rStyle w:val="Hyperlink"/>
            <w:rFonts w:asciiTheme="majorBidi" w:hAnsiTheme="majorBidi" w:cstheme="majorBidi"/>
            <w:sz w:val="24"/>
            <w:szCs w:val="24"/>
          </w:rPr>
          <w:t>https://doi.org/10.1016/j.jacceco.2011.01.005</w:t>
        </w:r>
      </w:hyperlink>
      <w:r w:rsidR="005F0CEA">
        <w:rPr>
          <w:rFonts w:asciiTheme="majorBidi" w:hAnsiTheme="majorBidi" w:cstheme="majorBidi"/>
          <w:sz w:val="24"/>
          <w:szCs w:val="24"/>
        </w:rPr>
        <w:t xml:space="preserve">. </w:t>
      </w:r>
    </w:p>
    <w:p w14:paraId="6C866FA4" w14:textId="7DEDA497" w:rsidR="0080412C" w:rsidRDefault="0080412C" w:rsidP="0080412C">
      <w:pPr>
        <w:spacing w:after="0" w:line="240" w:lineRule="auto"/>
        <w:ind w:left="170" w:hanging="17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Gunn</w:t>
      </w:r>
      <w:r w:rsidR="00A26F04">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 xml:space="preserve"> A</w:t>
      </w:r>
      <w:r w:rsidR="00A26F04">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 xml:space="preserve"> (</w:t>
      </w:r>
      <w:r w:rsidRPr="00B44AD9">
        <w:rPr>
          <w:rFonts w:asciiTheme="majorBidi" w:hAnsiTheme="majorBidi" w:cstheme="majorBidi"/>
          <w:sz w:val="24"/>
          <w:szCs w:val="24"/>
          <w:shd w:val="clear" w:color="auto" w:fill="FFFFFF"/>
        </w:rPr>
        <w:t>2018</w:t>
      </w:r>
      <w:r>
        <w:rPr>
          <w:rFonts w:asciiTheme="majorBidi" w:hAnsiTheme="majorBidi" w:cstheme="majorBidi"/>
          <w:sz w:val="24"/>
          <w:szCs w:val="24"/>
          <w:shd w:val="clear" w:color="auto" w:fill="FFFFFF"/>
        </w:rPr>
        <w:t>)</w:t>
      </w:r>
      <w:r w:rsidRPr="00B44AD9">
        <w:rPr>
          <w:rFonts w:asciiTheme="majorBidi" w:hAnsiTheme="majorBidi" w:cstheme="majorBidi"/>
          <w:sz w:val="24"/>
          <w:szCs w:val="24"/>
          <w:shd w:val="clear" w:color="auto" w:fill="FFFFFF"/>
        </w:rPr>
        <w:t xml:space="preserve"> Metrics and methodologies for measuring teaching quality in higher education: developing the Teaching Excellence Framework (TEF). </w:t>
      </w:r>
      <w:r w:rsidRPr="009A6036">
        <w:rPr>
          <w:rFonts w:asciiTheme="majorBidi" w:hAnsiTheme="majorBidi" w:cstheme="majorBidi"/>
          <w:bCs/>
          <w:i/>
          <w:iCs/>
          <w:sz w:val="24"/>
          <w:szCs w:val="24"/>
          <w:shd w:val="clear" w:color="auto" w:fill="FFFFFF"/>
        </w:rPr>
        <w:t>Educational Review</w:t>
      </w:r>
      <w:r w:rsidR="00C046E5">
        <w:rPr>
          <w:rFonts w:asciiTheme="majorBidi" w:hAnsiTheme="majorBidi" w:cstheme="majorBidi"/>
          <w:bCs/>
          <w:i/>
          <w:iCs/>
          <w:sz w:val="24"/>
          <w:szCs w:val="24"/>
          <w:shd w:val="clear" w:color="auto" w:fill="FFFFFF"/>
        </w:rPr>
        <w:t>,</w:t>
      </w:r>
      <w:r w:rsidRPr="00B44AD9">
        <w:rPr>
          <w:rFonts w:asciiTheme="majorBidi" w:hAnsiTheme="majorBidi" w:cstheme="majorBidi"/>
          <w:i/>
          <w:iCs/>
          <w:sz w:val="24"/>
          <w:szCs w:val="24"/>
          <w:shd w:val="clear" w:color="auto" w:fill="FFFFFF"/>
        </w:rPr>
        <w:t> </w:t>
      </w:r>
      <w:r w:rsidRPr="00C046E5">
        <w:rPr>
          <w:rFonts w:asciiTheme="majorBidi" w:hAnsiTheme="majorBidi" w:cstheme="majorBidi"/>
          <w:i/>
          <w:iCs/>
          <w:sz w:val="24"/>
          <w:szCs w:val="24"/>
          <w:shd w:val="clear" w:color="auto" w:fill="FFFFFF"/>
        </w:rPr>
        <w:t>70</w:t>
      </w:r>
      <w:r>
        <w:rPr>
          <w:rFonts w:asciiTheme="majorBidi" w:hAnsiTheme="majorBidi" w:cstheme="majorBidi"/>
          <w:sz w:val="24"/>
          <w:szCs w:val="24"/>
          <w:shd w:val="clear" w:color="auto" w:fill="FFFFFF"/>
        </w:rPr>
        <w:t>(2)</w:t>
      </w:r>
      <w:r w:rsidR="00DF2AA5">
        <w:rPr>
          <w:rFonts w:asciiTheme="majorBidi" w:hAnsiTheme="majorBidi" w:cstheme="majorBidi"/>
          <w:sz w:val="24"/>
          <w:szCs w:val="24"/>
          <w:shd w:val="clear" w:color="auto" w:fill="FFFFFF"/>
        </w:rPr>
        <w:t>,</w:t>
      </w:r>
      <w:r w:rsidRPr="00B44AD9">
        <w:rPr>
          <w:rFonts w:asciiTheme="majorBidi" w:hAnsiTheme="majorBidi" w:cstheme="majorBidi"/>
          <w:sz w:val="24"/>
          <w:szCs w:val="24"/>
          <w:shd w:val="clear" w:color="auto" w:fill="FFFFFF"/>
        </w:rPr>
        <w:t xml:space="preserve"> 129-148.</w:t>
      </w:r>
      <w:r w:rsidR="00C046E5">
        <w:rPr>
          <w:rFonts w:asciiTheme="majorBidi" w:hAnsiTheme="majorBidi" w:cstheme="majorBidi"/>
          <w:sz w:val="24"/>
          <w:szCs w:val="24"/>
          <w:shd w:val="clear" w:color="auto" w:fill="FFFFFF"/>
        </w:rPr>
        <w:t xml:space="preserve"> </w:t>
      </w:r>
      <w:hyperlink r:id="rId51" w:history="1">
        <w:r w:rsidR="00C046E5" w:rsidRPr="007623DA">
          <w:rPr>
            <w:rStyle w:val="Hyperlink"/>
            <w:rFonts w:asciiTheme="majorBidi" w:hAnsiTheme="majorBidi" w:cstheme="majorBidi"/>
            <w:sz w:val="24"/>
            <w:szCs w:val="24"/>
            <w:shd w:val="clear" w:color="auto" w:fill="FFFFFF"/>
          </w:rPr>
          <w:t>https://doi.org/10.1080/00131911.2017.1410106</w:t>
        </w:r>
      </w:hyperlink>
      <w:r w:rsidR="00C046E5">
        <w:rPr>
          <w:rFonts w:asciiTheme="majorBidi" w:hAnsiTheme="majorBidi" w:cstheme="majorBidi"/>
          <w:sz w:val="24"/>
          <w:szCs w:val="24"/>
          <w:shd w:val="clear" w:color="auto" w:fill="FFFFFF"/>
        </w:rPr>
        <w:t xml:space="preserve">. </w:t>
      </w:r>
    </w:p>
    <w:p w14:paraId="03833DCE" w14:textId="7053AC33" w:rsidR="00D32E78" w:rsidRDefault="00D32E78" w:rsidP="00605ADB">
      <w:pPr>
        <w:spacing w:after="0" w:line="240" w:lineRule="auto"/>
        <w:ind w:left="170" w:hanging="170"/>
        <w:jc w:val="both"/>
        <w:rPr>
          <w:rFonts w:asciiTheme="majorBidi" w:hAnsiTheme="majorBidi" w:cstheme="majorBidi"/>
          <w:sz w:val="24"/>
          <w:szCs w:val="24"/>
        </w:rPr>
      </w:pPr>
      <w:r w:rsidRPr="00D32E78">
        <w:rPr>
          <w:rFonts w:asciiTheme="majorBidi" w:hAnsiTheme="majorBidi" w:cstheme="majorBidi"/>
          <w:sz w:val="24"/>
          <w:szCs w:val="24"/>
        </w:rPr>
        <w:t>Haniffa, R.M., &amp; Cooke, T.E. (2002). Culture, corporate governance and disclosure in Malaysian corporations. </w:t>
      </w:r>
      <w:r w:rsidRPr="00D32E78">
        <w:rPr>
          <w:rFonts w:asciiTheme="majorBidi" w:hAnsiTheme="majorBidi" w:cstheme="majorBidi"/>
          <w:i/>
          <w:iCs/>
          <w:sz w:val="24"/>
          <w:szCs w:val="24"/>
        </w:rPr>
        <w:t>A</w:t>
      </w:r>
      <w:r w:rsidR="002F70D9">
        <w:rPr>
          <w:rFonts w:asciiTheme="majorBidi" w:hAnsiTheme="majorBidi" w:cstheme="majorBidi"/>
          <w:i/>
          <w:iCs/>
          <w:sz w:val="24"/>
          <w:szCs w:val="24"/>
        </w:rPr>
        <w:t>BACUS</w:t>
      </w:r>
      <w:r w:rsidRPr="00D32E78">
        <w:rPr>
          <w:rFonts w:asciiTheme="majorBidi" w:hAnsiTheme="majorBidi" w:cstheme="majorBidi"/>
          <w:i/>
          <w:iCs/>
          <w:sz w:val="24"/>
          <w:szCs w:val="24"/>
        </w:rPr>
        <w:t>, 38</w:t>
      </w:r>
      <w:r w:rsidRPr="00D32E78">
        <w:rPr>
          <w:rFonts w:asciiTheme="majorBidi" w:hAnsiTheme="majorBidi" w:cstheme="majorBidi"/>
          <w:sz w:val="24"/>
          <w:szCs w:val="24"/>
        </w:rPr>
        <w:t>(3), 317-349.</w:t>
      </w:r>
      <w:r w:rsidR="002F70D9">
        <w:rPr>
          <w:rFonts w:asciiTheme="majorBidi" w:hAnsiTheme="majorBidi" w:cstheme="majorBidi"/>
          <w:sz w:val="24"/>
          <w:szCs w:val="24"/>
        </w:rPr>
        <w:t xml:space="preserve"> </w:t>
      </w:r>
      <w:hyperlink r:id="rId52" w:history="1">
        <w:r w:rsidR="002F70D9" w:rsidRPr="007623DA">
          <w:rPr>
            <w:rStyle w:val="Hyperlink"/>
            <w:rFonts w:asciiTheme="majorBidi" w:hAnsiTheme="majorBidi" w:cstheme="majorBidi"/>
            <w:sz w:val="24"/>
            <w:szCs w:val="24"/>
          </w:rPr>
          <w:t>https://doi.org/10.1111/1467-6281.00112</w:t>
        </w:r>
      </w:hyperlink>
      <w:r w:rsidR="002F70D9">
        <w:rPr>
          <w:rFonts w:asciiTheme="majorBidi" w:hAnsiTheme="majorBidi" w:cstheme="majorBidi"/>
          <w:sz w:val="24"/>
          <w:szCs w:val="24"/>
        </w:rPr>
        <w:t xml:space="preserve">. </w:t>
      </w:r>
    </w:p>
    <w:p w14:paraId="7ED99F74" w14:textId="550220A7" w:rsidR="00DE365F" w:rsidRPr="004A683F" w:rsidRDefault="00DE365F" w:rsidP="00605ADB">
      <w:pPr>
        <w:spacing w:after="0" w:line="240" w:lineRule="auto"/>
        <w:ind w:left="170" w:hanging="170"/>
        <w:jc w:val="both"/>
        <w:rPr>
          <w:rFonts w:asciiTheme="majorBidi" w:hAnsiTheme="majorBidi" w:cstheme="majorBidi"/>
          <w:i/>
          <w:sz w:val="24"/>
          <w:szCs w:val="24"/>
        </w:rPr>
      </w:pPr>
      <w:r w:rsidRPr="004A683F">
        <w:rPr>
          <w:rFonts w:asciiTheme="majorBidi" w:hAnsiTheme="majorBidi" w:cstheme="majorBidi"/>
          <w:sz w:val="24"/>
          <w:szCs w:val="24"/>
        </w:rPr>
        <w:t>Heinicke, X., &amp; Guenther, T.W. (20</w:t>
      </w:r>
      <w:r w:rsidR="00193130">
        <w:rPr>
          <w:rFonts w:asciiTheme="majorBidi" w:hAnsiTheme="majorBidi" w:cstheme="majorBidi"/>
          <w:sz w:val="24"/>
          <w:szCs w:val="24"/>
        </w:rPr>
        <w:t>20</w:t>
      </w:r>
      <w:r w:rsidRPr="004A683F">
        <w:rPr>
          <w:rFonts w:asciiTheme="majorBidi" w:hAnsiTheme="majorBidi" w:cstheme="majorBidi"/>
          <w:sz w:val="24"/>
          <w:szCs w:val="24"/>
        </w:rPr>
        <w:t>). The Role of Management Controls in the Higher Education Sector: An Investigation of Different Perceptions. </w:t>
      </w:r>
      <w:r w:rsidRPr="004A683F">
        <w:rPr>
          <w:rFonts w:asciiTheme="majorBidi" w:hAnsiTheme="majorBidi" w:cstheme="majorBidi"/>
          <w:i/>
          <w:sz w:val="24"/>
          <w:szCs w:val="24"/>
        </w:rPr>
        <w:t>European Accounting Review</w:t>
      </w:r>
      <w:r w:rsidR="00193130">
        <w:rPr>
          <w:rFonts w:asciiTheme="majorBidi" w:hAnsiTheme="majorBidi" w:cstheme="majorBidi"/>
          <w:i/>
          <w:sz w:val="24"/>
          <w:szCs w:val="24"/>
        </w:rPr>
        <w:t>, 29</w:t>
      </w:r>
      <w:r w:rsidR="00193130">
        <w:rPr>
          <w:rFonts w:asciiTheme="majorBidi" w:hAnsiTheme="majorBidi" w:cstheme="majorBidi"/>
          <w:iCs/>
          <w:sz w:val="24"/>
          <w:szCs w:val="24"/>
        </w:rPr>
        <w:t>(3), 581-630.</w:t>
      </w:r>
      <w:r w:rsidR="00193130" w:rsidRPr="00193130">
        <w:t xml:space="preserve"> </w:t>
      </w:r>
      <w:hyperlink r:id="rId53" w:history="1">
        <w:r w:rsidR="00193130" w:rsidRPr="007623DA">
          <w:rPr>
            <w:rStyle w:val="Hyperlink"/>
            <w:rFonts w:asciiTheme="majorBidi" w:hAnsiTheme="majorBidi" w:cstheme="majorBidi"/>
            <w:iCs/>
            <w:sz w:val="24"/>
            <w:szCs w:val="24"/>
          </w:rPr>
          <w:t>https://doi.org/10.1080/09638180.2019.1619603</w:t>
        </w:r>
      </w:hyperlink>
      <w:r w:rsidR="00193130">
        <w:rPr>
          <w:rFonts w:asciiTheme="majorBidi" w:hAnsiTheme="majorBidi" w:cstheme="majorBidi"/>
          <w:iCs/>
          <w:sz w:val="24"/>
          <w:szCs w:val="24"/>
        </w:rPr>
        <w:t>.</w:t>
      </w:r>
    </w:p>
    <w:p w14:paraId="11004F2A" w14:textId="359990C5" w:rsidR="00BB1918" w:rsidRDefault="00BB1918" w:rsidP="00BB1918">
      <w:pPr>
        <w:spacing w:after="0" w:line="240" w:lineRule="auto"/>
        <w:ind w:left="170" w:hanging="170"/>
        <w:jc w:val="both"/>
        <w:rPr>
          <w:rFonts w:asciiTheme="majorBidi" w:hAnsiTheme="majorBidi" w:cstheme="majorBidi"/>
          <w:sz w:val="24"/>
          <w:szCs w:val="24"/>
        </w:rPr>
      </w:pPr>
      <w:r>
        <w:rPr>
          <w:rFonts w:asciiTheme="majorBidi" w:hAnsiTheme="majorBidi" w:cstheme="majorBidi"/>
          <w:sz w:val="24"/>
          <w:szCs w:val="24"/>
        </w:rPr>
        <w:t>Holm, C., &amp; Zaman, M. (2012</w:t>
      </w:r>
      <w:r w:rsidRPr="00BB1918">
        <w:rPr>
          <w:rFonts w:asciiTheme="majorBidi" w:hAnsiTheme="majorBidi" w:cstheme="majorBidi"/>
          <w:sz w:val="24"/>
          <w:szCs w:val="24"/>
        </w:rPr>
        <w:t xml:space="preserve">). Regulating audit quality: Restoring trust and legitimacy. </w:t>
      </w:r>
      <w:r w:rsidRPr="00BB1918">
        <w:rPr>
          <w:rFonts w:asciiTheme="majorBidi" w:hAnsiTheme="majorBidi" w:cstheme="majorBidi"/>
          <w:i/>
          <w:iCs/>
          <w:sz w:val="24"/>
          <w:szCs w:val="24"/>
        </w:rPr>
        <w:t xml:space="preserve">Accounting </w:t>
      </w:r>
      <w:r>
        <w:rPr>
          <w:rFonts w:asciiTheme="majorBidi" w:hAnsiTheme="majorBidi" w:cstheme="majorBidi"/>
          <w:i/>
          <w:iCs/>
          <w:sz w:val="24"/>
          <w:szCs w:val="24"/>
        </w:rPr>
        <w:t>F</w:t>
      </w:r>
      <w:r w:rsidRPr="00BB1918">
        <w:rPr>
          <w:rFonts w:asciiTheme="majorBidi" w:hAnsiTheme="majorBidi" w:cstheme="majorBidi"/>
          <w:i/>
          <w:iCs/>
          <w:sz w:val="24"/>
          <w:szCs w:val="24"/>
        </w:rPr>
        <w:t>orum, 36</w:t>
      </w:r>
      <w:r>
        <w:rPr>
          <w:rFonts w:asciiTheme="majorBidi" w:hAnsiTheme="majorBidi" w:cstheme="majorBidi"/>
          <w:sz w:val="24"/>
          <w:szCs w:val="24"/>
        </w:rPr>
        <w:t>(</w:t>
      </w:r>
      <w:r w:rsidRPr="00BB1918">
        <w:rPr>
          <w:rFonts w:asciiTheme="majorBidi" w:hAnsiTheme="majorBidi" w:cstheme="majorBidi"/>
          <w:sz w:val="24"/>
          <w:szCs w:val="24"/>
        </w:rPr>
        <w:t>1</w:t>
      </w:r>
      <w:r>
        <w:rPr>
          <w:rFonts w:asciiTheme="majorBidi" w:hAnsiTheme="majorBidi" w:cstheme="majorBidi"/>
          <w:sz w:val="24"/>
          <w:szCs w:val="24"/>
        </w:rPr>
        <w:t>)</w:t>
      </w:r>
      <w:r w:rsidRPr="00BB1918">
        <w:rPr>
          <w:rFonts w:asciiTheme="majorBidi" w:hAnsiTheme="majorBidi" w:cstheme="majorBidi"/>
          <w:sz w:val="24"/>
          <w:szCs w:val="24"/>
        </w:rPr>
        <w:t>, 51-61</w:t>
      </w:r>
      <w:r>
        <w:rPr>
          <w:rFonts w:asciiTheme="majorBidi" w:hAnsiTheme="majorBidi" w:cstheme="majorBidi"/>
          <w:sz w:val="24"/>
          <w:szCs w:val="24"/>
        </w:rPr>
        <w:t>.</w:t>
      </w:r>
      <w:r w:rsidR="00516E6B">
        <w:rPr>
          <w:rFonts w:asciiTheme="majorBidi" w:hAnsiTheme="majorBidi" w:cstheme="majorBidi"/>
          <w:sz w:val="24"/>
          <w:szCs w:val="24"/>
        </w:rPr>
        <w:t xml:space="preserve"> </w:t>
      </w:r>
      <w:hyperlink r:id="rId54" w:history="1">
        <w:r w:rsidR="00516E6B" w:rsidRPr="007623DA">
          <w:rPr>
            <w:rStyle w:val="Hyperlink"/>
            <w:rFonts w:asciiTheme="majorBidi" w:hAnsiTheme="majorBidi" w:cstheme="majorBidi"/>
            <w:sz w:val="24"/>
            <w:szCs w:val="24"/>
          </w:rPr>
          <w:t>https://doi.org/10.1016/j.accfor.2011.11.004</w:t>
        </w:r>
      </w:hyperlink>
      <w:r w:rsidR="00516E6B">
        <w:rPr>
          <w:rFonts w:asciiTheme="majorBidi" w:hAnsiTheme="majorBidi" w:cstheme="majorBidi"/>
          <w:sz w:val="24"/>
          <w:szCs w:val="24"/>
        </w:rPr>
        <w:t xml:space="preserve">. </w:t>
      </w:r>
    </w:p>
    <w:p w14:paraId="2B56424C" w14:textId="4AEEA48C" w:rsidR="004E5B85" w:rsidRPr="00511F36" w:rsidRDefault="004E5B85" w:rsidP="00605ADB">
      <w:pPr>
        <w:spacing w:after="0" w:line="240" w:lineRule="auto"/>
        <w:ind w:left="170" w:hanging="170"/>
        <w:jc w:val="both"/>
        <w:rPr>
          <w:rFonts w:asciiTheme="majorBidi" w:eastAsia="Times New Roman" w:hAnsiTheme="majorBidi" w:cstheme="majorBidi"/>
          <w:sz w:val="24"/>
          <w:szCs w:val="24"/>
          <w:lang w:eastAsia="en-GB"/>
        </w:rPr>
      </w:pPr>
      <w:r w:rsidRPr="00511F36">
        <w:rPr>
          <w:rFonts w:asciiTheme="majorBidi" w:eastAsia="Times New Roman" w:hAnsiTheme="majorBidi" w:cstheme="majorBidi"/>
          <w:sz w:val="24"/>
          <w:szCs w:val="24"/>
          <w:lang w:eastAsia="en-GB"/>
        </w:rPr>
        <w:t xml:space="preserve">Huang, H.W., Rose-Green, E., </w:t>
      </w:r>
      <w:r w:rsidR="00E64AB1">
        <w:rPr>
          <w:rFonts w:asciiTheme="majorBidi" w:eastAsia="Times New Roman" w:hAnsiTheme="majorBidi" w:cstheme="majorBidi"/>
          <w:sz w:val="24"/>
          <w:szCs w:val="24"/>
          <w:lang w:eastAsia="en-GB"/>
        </w:rPr>
        <w:t>&amp;</w:t>
      </w:r>
      <w:r w:rsidR="007433F6">
        <w:rPr>
          <w:rFonts w:asciiTheme="majorBidi" w:eastAsia="Times New Roman" w:hAnsiTheme="majorBidi" w:cstheme="majorBidi"/>
          <w:sz w:val="24"/>
          <w:szCs w:val="24"/>
          <w:lang w:eastAsia="en-GB"/>
        </w:rPr>
        <w:t xml:space="preserve"> Lee, C.C. </w:t>
      </w:r>
      <w:r w:rsidR="00E64AB1">
        <w:rPr>
          <w:rFonts w:asciiTheme="majorBidi" w:eastAsia="Times New Roman" w:hAnsiTheme="majorBidi" w:cstheme="majorBidi"/>
          <w:sz w:val="24"/>
          <w:szCs w:val="24"/>
          <w:lang w:eastAsia="en-GB"/>
        </w:rPr>
        <w:t>(</w:t>
      </w:r>
      <w:r w:rsidRPr="00511F36">
        <w:rPr>
          <w:rFonts w:asciiTheme="majorBidi" w:eastAsia="Times New Roman" w:hAnsiTheme="majorBidi" w:cstheme="majorBidi"/>
          <w:sz w:val="24"/>
          <w:szCs w:val="24"/>
          <w:lang w:eastAsia="en-GB"/>
        </w:rPr>
        <w:t>2012</w:t>
      </w:r>
      <w:r w:rsidR="00E64AB1">
        <w:rPr>
          <w:rFonts w:asciiTheme="majorBidi" w:eastAsia="Times New Roman" w:hAnsiTheme="majorBidi" w:cstheme="majorBidi"/>
          <w:sz w:val="24"/>
          <w:szCs w:val="24"/>
          <w:lang w:eastAsia="en-GB"/>
        </w:rPr>
        <w:t>)</w:t>
      </w:r>
      <w:r w:rsidRPr="00511F36">
        <w:rPr>
          <w:rFonts w:asciiTheme="majorBidi" w:eastAsia="Times New Roman" w:hAnsiTheme="majorBidi" w:cstheme="majorBidi"/>
          <w:sz w:val="24"/>
          <w:szCs w:val="24"/>
          <w:lang w:eastAsia="en-GB"/>
        </w:rPr>
        <w:t xml:space="preserve">. CEO age and financial reporting quality. </w:t>
      </w:r>
      <w:r w:rsidRPr="00511F36">
        <w:rPr>
          <w:rFonts w:asciiTheme="majorBidi" w:eastAsia="Times New Roman" w:hAnsiTheme="majorBidi" w:cstheme="majorBidi"/>
          <w:i/>
          <w:iCs/>
          <w:sz w:val="24"/>
          <w:szCs w:val="24"/>
          <w:lang w:eastAsia="en-GB"/>
        </w:rPr>
        <w:t>Accounting Horizons</w:t>
      </w:r>
      <w:r w:rsidR="00E64AB1">
        <w:rPr>
          <w:rFonts w:asciiTheme="majorBidi" w:eastAsia="Times New Roman" w:hAnsiTheme="majorBidi" w:cstheme="majorBidi"/>
          <w:i/>
          <w:iCs/>
          <w:sz w:val="24"/>
          <w:szCs w:val="24"/>
          <w:lang w:eastAsia="en-GB"/>
        </w:rPr>
        <w:t>,</w:t>
      </w:r>
      <w:r w:rsidRPr="00511F36">
        <w:rPr>
          <w:rFonts w:asciiTheme="majorBidi" w:eastAsia="Times New Roman" w:hAnsiTheme="majorBidi" w:cstheme="majorBidi"/>
          <w:sz w:val="24"/>
          <w:szCs w:val="24"/>
          <w:lang w:eastAsia="en-GB"/>
        </w:rPr>
        <w:t xml:space="preserve"> </w:t>
      </w:r>
      <w:r w:rsidRPr="00511F36">
        <w:rPr>
          <w:rFonts w:asciiTheme="majorBidi" w:eastAsia="Times New Roman" w:hAnsiTheme="majorBidi" w:cstheme="majorBidi"/>
          <w:i/>
          <w:iCs/>
          <w:sz w:val="24"/>
          <w:szCs w:val="24"/>
          <w:lang w:eastAsia="en-GB"/>
        </w:rPr>
        <w:t>26</w:t>
      </w:r>
      <w:r w:rsidR="00E64AB1">
        <w:rPr>
          <w:rFonts w:asciiTheme="majorBidi" w:eastAsia="Times New Roman" w:hAnsiTheme="majorBidi" w:cstheme="majorBidi"/>
          <w:sz w:val="24"/>
          <w:szCs w:val="24"/>
          <w:lang w:eastAsia="en-GB"/>
        </w:rPr>
        <w:t>(4),</w:t>
      </w:r>
      <w:r w:rsidRPr="00511F36">
        <w:rPr>
          <w:rFonts w:asciiTheme="majorBidi" w:eastAsia="Times New Roman" w:hAnsiTheme="majorBidi" w:cstheme="majorBidi"/>
          <w:sz w:val="24"/>
          <w:szCs w:val="24"/>
          <w:lang w:eastAsia="en-GB"/>
        </w:rPr>
        <w:t xml:space="preserve"> 725-740.</w:t>
      </w:r>
      <w:r w:rsidR="000357E8">
        <w:rPr>
          <w:rFonts w:asciiTheme="majorBidi" w:eastAsia="Times New Roman" w:hAnsiTheme="majorBidi" w:cstheme="majorBidi"/>
          <w:sz w:val="24"/>
          <w:szCs w:val="24"/>
          <w:lang w:eastAsia="en-GB"/>
        </w:rPr>
        <w:t xml:space="preserve"> </w:t>
      </w:r>
      <w:hyperlink r:id="rId55" w:history="1">
        <w:r w:rsidR="000357E8" w:rsidRPr="007623DA">
          <w:rPr>
            <w:rStyle w:val="Hyperlink"/>
            <w:rFonts w:asciiTheme="majorBidi" w:eastAsia="Times New Roman" w:hAnsiTheme="majorBidi" w:cstheme="majorBidi"/>
            <w:sz w:val="24"/>
            <w:szCs w:val="24"/>
            <w:lang w:eastAsia="en-GB"/>
          </w:rPr>
          <w:t>https://doi.org/10.2308/acch-50268</w:t>
        </w:r>
      </w:hyperlink>
      <w:r w:rsidR="000357E8">
        <w:rPr>
          <w:rFonts w:asciiTheme="majorBidi" w:eastAsia="Times New Roman" w:hAnsiTheme="majorBidi" w:cstheme="majorBidi"/>
          <w:sz w:val="24"/>
          <w:szCs w:val="24"/>
          <w:lang w:eastAsia="en-GB"/>
        </w:rPr>
        <w:t xml:space="preserve">. </w:t>
      </w:r>
    </w:p>
    <w:p w14:paraId="273A24F1" w14:textId="5F140D67" w:rsidR="004E5B85" w:rsidRPr="00511F36" w:rsidRDefault="004E5B85" w:rsidP="00605ADB">
      <w:pPr>
        <w:spacing w:after="0" w:line="240" w:lineRule="auto"/>
        <w:ind w:left="170" w:hanging="170"/>
        <w:jc w:val="both"/>
        <w:rPr>
          <w:rFonts w:asciiTheme="majorBidi" w:eastAsia="Times New Roman" w:hAnsiTheme="majorBidi" w:cstheme="majorBidi"/>
          <w:sz w:val="24"/>
          <w:szCs w:val="24"/>
          <w:lang w:eastAsia="en-GB"/>
        </w:rPr>
      </w:pPr>
      <w:r w:rsidRPr="00511F36">
        <w:rPr>
          <w:rFonts w:asciiTheme="majorBidi" w:eastAsia="Times New Roman" w:hAnsiTheme="majorBidi" w:cstheme="majorBidi"/>
          <w:sz w:val="24"/>
          <w:szCs w:val="24"/>
          <w:lang w:eastAsia="en-GB"/>
        </w:rPr>
        <w:t xml:space="preserve">Jensen, M.C., </w:t>
      </w:r>
      <w:r w:rsidR="00E64AB1">
        <w:rPr>
          <w:rFonts w:asciiTheme="majorBidi" w:eastAsia="Times New Roman" w:hAnsiTheme="majorBidi" w:cstheme="majorBidi"/>
          <w:sz w:val="24"/>
          <w:szCs w:val="24"/>
          <w:lang w:eastAsia="en-GB"/>
        </w:rPr>
        <w:t>&amp;</w:t>
      </w:r>
      <w:r w:rsidR="0043712E">
        <w:rPr>
          <w:rFonts w:asciiTheme="majorBidi" w:eastAsia="Times New Roman" w:hAnsiTheme="majorBidi" w:cstheme="majorBidi"/>
          <w:sz w:val="24"/>
          <w:szCs w:val="24"/>
          <w:lang w:eastAsia="en-GB"/>
        </w:rPr>
        <w:t xml:space="preserve"> Meckling, W.H. </w:t>
      </w:r>
      <w:r w:rsidR="00E64AB1">
        <w:rPr>
          <w:rFonts w:asciiTheme="majorBidi" w:eastAsia="Times New Roman" w:hAnsiTheme="majorBidi" w:cstheme="majorBidi"/>
          <w:sz w:val="24"/>
          <w:szCs w:val="24"/>
          <w:lang w:eastAsia="en-GB"/>
        </w:rPr>
        <w:t>(</w:t>
      </w:r>
      <w:r w:rsidR="0043712E">
        <w:rPr>
          <w:rFonts w:asciiTheme="majorBidi" w:eastAsia="Times New Roman" w:hAnsiTheme="majorBidi" w:cstheme="majorBidi"/>
          <w:sz w:val="24"/>
          <w:szCs w:val="24"/>
          <w:lang w:eastAsia="en-GB"/>
        </w:rPr>
        <w:t>1976</w:t>
      </w:r>
      <w:r w:rsidR="00E64AB1">
        <w:rPr>
          <w:rFonts w:asciiTheme="majorBidi" w:eastAsia="Times New Roman" w:hAnsiTheme="majorBidi" w:cstheme="majorBidi"/>
          <w:sz w:val="24"/>
          <w:szCs w:val="24"/>
          <w:lang w:eastAsia="en-GB"/>
        </w:rPr>
        <w:t>)</w:t>
      </w:r>
      <w:r w:rsidRPr="00511F36">
        <w:rPr>
          <w:rFonts w:asciiTheme="majorBidi" w:eastAsia="Times New Roman" w:hAnsiTheme="majorBidi" w:cstheme="majorBidi"/>
          <w:sz w:val="24"/>
          <w:szCs w:val="24"/>
          <w:lang w:eastAsia="en-GB"/>
        </w:rPr>
        <w:t xml:space="preserve">. Theory of the firm: Managerial behavior, agency costs and ownership structure. </w:t>
      </w:r>
      <w:r w:rsidRPr="0043712E">
        <w:rPr>
          <w:rFonts w:asciiTheme="majorBidi" w:eastAsia="Times New Roman" w:hAnsiTheme="majorBidi" w:cstheme="majorBidi"/>
          <w:i/>
          <w:iCs/>
          <w:sz w:val="24"/>
          <w:szCs w:val="24"/>
          <w:lang w:eastAsia="en-GB"/>
        </w:rPr>
        <w:t>Journal of Financial Economics</w:t>
      </w:r>
      <w:r w:rsidR="00E64AB1">
        <w:rPr>
          <w:rFonts w:asciiTheme="majorBidi" w:eastAsia="Times New Roman" w:hAnsiTheme="majorBidi" w:cstheme="majorBidi"/>
          <w:i/>
          <w:iCs/>
          <w:sz w:val="24"/>
          <w:szCs w:val="24"/>
          <w:lang w:eastAsia="en-GB"/>
        </w:rPr>
        <w:t>,</w:t>
      </w:r>
      <w:r w:rsidRPr="0043712E">
        <w:rPr>
          <w:rFonts w:asciiTheme="majorBidi" w:eastAsia="Times New Roman" w:hAnsiTheme="majorBidi" w:cstheme="majorBidi"/>
          <w:i/>
          <w:iCs/>
          <w:sz w:val="24"/>
          <w:szCs w:val="24"/>
          <w:lang w:eastAsia="en-GB"/>
        </w:rPr>
        <w:t xml:space="preserve"> 3</w:t>
      </w:r>
      <w:r w:rsidRPr="00511F36">
        <w:rPr>
          <w:rFonts w:asciiTheme="majorBidi" w:eastAsia="Times New Roman" w:hAnsiTheme="majorBidi" w:cstheme="majorBidi"/>
          <w:sz w:val="24"/>
          <w:szCs w:val="24"/>
          <w:lang w:eastAsia="en-GB"/>
        </w:rPr>
        <w:t>(4)</w:t>
      </w:r>
      <w:r w:rsidR="00E64AB1">
        <w:rPr>
          <w:rFonts w:asciiTheme="majorBidi" w:eastAsia="Times New Roman" w:hAnsiTheme="majorBidi" w:cstheme="majorBidi"/>
          <w:sz w:val="24"/>
          <w:szCs w:val="24"/>
          <w:lang w:eastAsia="en-GB"/>
        </w:rPr>
        <w:t>,</w:t>
      </w:r>
      <w:r w:rsidRPr="00511F36">
        <w:rPr>
          <w:rFonts w:asciiTheme="majorBidi" w:eastAsia="Times New Roman" w:hAnsiTheme="majorBidi" w:cstheme="majorBidi"/>
          <w:sz w:val="24"/>
          <w:szCs w:val="24"/>
          <w:lang w:eastAsia="en-GB"/>
        </w:rPr>
        <w:t xml:space="preserve"> 305-360. </w:t>
      </w:r>
      <w:hyperlink r:id="rId56" w:history="1">
        <w:r w:rsidR="00241612" w:rsidRPr="00722937">
          <w:rPr>
            <w:rStyle w:val="Hyperlink"/>
            <w:rFonts w:asciiTheme="majorBidi" w:eastAsia="Times New Roman" w:hAnsiTheme="majorBidi" w:cstheme="majorBidi"/>
            <w:sz w:val="24"/>
            <w:szCs w:val="24"/>
            <w:lang w:eastAsia="en-GB"/>
          </w:rPr>
          <w:t>https://doi.org/10.1016/0304-405X(76)90026-X</w:t>
        </w:r>
      </w:hyperlink>
      <w:r w:rsidR="00241612">
        <w:rPr>
          <w:rFonts w:asciiTheme="majorBidi" w:eastAsia="Times New Roman" w:hAnsiTheme="majorBidi" w:cstheme="majorBidi"/>
          <w:sz w:val="24"/>
          <w:szCs w:val="24"/>
          <w:lang w:eastAsia="en-GB"/>
        </w:rPr>
        <w:t>.</w:t>
      </w:r>
      <w:r w:rsidR="00BD21C6">
        <w:rPr>
          <w:rFonts w:asciiTheme="majorBidi" w:eastAsia="Times New Roman" w:hAnsiTheme="majorBidi" w:cstheme="majorBidi"/>
          <w:sz w:val="24"/>
          <w:szCs w:val="24"/>
          <w:lang w:eastAsia="en-GB"/>
        </w:rPr>
        <w:t xml:space="preserve"> </w:t>
      </w:r>
    </w:p>
    <w:p w14:paraId="7CA80864" w14:textId="1F5301F6" w:rsidR="004E5B85" w:rsidRDefault="004E5B85" w:rsidP="00605ADB">
      <w:pPr>
        <w:spacing w:after="0" w:line="240" w:lineRule="auto"/>
        <w:ind w:left="170" w:hanging="170"/>
        <w:jc w:val="both"/>
        <w:rPr>
          <w:rFonts w:asciiTheme="majorBidi" w:hAnsiTheme="majorBidi" w:cstheme="majorBidi"/>
          <w:sz w:val="24"/>
          <w:szCs w:val="24"/>
        </w:rPr>
      </w:pPr>
      <w:r w:rsidRPr="00511F36">
        <w:rPr>
          <w:rFonts w:asciiTheme="majorBidi" w:hAnsiTheme="majorBidi" w:cstheme="majorBidi"/>
          <w:sz w:val="24"/>
          <w:szCs w:val="24"/>
        </w:rPr>
        <w:t xml:space="preserve">Jizi, M.I., Salama, A., Dixon, R., </w:t>
      </w:r>
      <w:r w:rsidR="00E64AB1">
        <w:rPr>
          <w:rFonts w:asciiTheme="majorBidi" w:hAnsiTheme="majorBidi" w:cstheme="majorBidi"/>
          <w:sz w:val="24"/>
          <w:szCs w:val="24"/>
        </w:rPr>
        <w:t>&amp;</w:t>
      </w:r>
      <w:r w:rsidR="0043712E">
        <w:rPr>
          <w:rFonts w:asciiTheme="majorBidi" w:hAnsiTheme="majorBidi" w:cstheme="majorBidi"/>
          <w:sz w:val="24"/>
          <w:szCs w:val="24"/>
        </w:rPr>
        <w:t xml:space="preserve"> Stratling, R. </w:t>
      </w:r>
      <w:r w:rsidR="006C382E">
        <w:rPr>
          <w:rFonts w:asciiTheme="majorBidi" w:hAnsiTheme="majorBidi" w:cstheme="majorBidi"/>
          <w:sz w:val="24"/>
          <w:szCs w:val="24"/>
        </w:rPr>
        <w:t>(</w:t>
      </w:r>
      <w:r w:rsidRPr="00511F36">
        <w:rPr>
          <w:rFonts w:asciiTheme="majorBidi" w:hAnsiTheme="majorBidi" w:cstheme="majorBidi"/>
          <w:sz w:val="24"/>
          <w:szCs w:val="24"/>
        </w:rPr>
        <w:t>2014</w:t>
      </w:r>
      <w:r w:rsidR="006C382E">
        <w:rPr>
          <w:rFonts w:asciiTheme="majorBidi" w:hAnsiTheme="majorBidi" w:cstheme="majorBidi"/>
          <w:sz w:val="24"/>
          <w:szCs w:val="24"/>
        </w:rPr>
        <w:t>)</w:t>
      </w:r>
      <w:r w:rsidRPr="00511F36">
        <w:rPr>
          <w:rFonts w:asciiTheme="majorBidi" w:hAnsiTheme="majorBidi" w:cstheme="majorBidi"/>
          <w:sz w:val="24"/>
          <w:szCs w:val="24"/>
        </w:rPr>
        <w:t xml:space="preserve">. Corporate governance and corporate social responsibility disclosure: Evidence from the US banking sector. </w:t>
      </w:r>
      <w:r w:rsidRPr="00511F36">
        <w:rPr>
          <w:rFonts w:asciiTheme="majorBidi" w:hAnsiTheme="majorBidi" w:cstheme="majorBidi"/>
          <w:i/>
          <w:iCs/>
          <w:sz w:val="24"/>
          <w:szCs w:val="24"/>
        </w:rPr>
        <w:t>Journal of Business Ethics</w:t>
      </w:r>
      <w:r w:rsidR="00E64AB1">
        <w:rPr>
          <w:rFonts w:asciiTheme="majorBidi" w:hAnsiTheme="majorBidi" w:cstheme="majorBidi"/>
          <w:i/>
          <w:iCs/>
          <w:sz w:val="24"/>
          <w:szCs w:val="24"/>
        </w:rPr>
        <w:t>,</w:t>
      </w:r>
      <w:r w:rsidRPr="00511F36">
        <w:rPr>
          <w:rFonts w:asciiTheme="majorBidi" w:hAnsiTheme="majorBidi" w:cstheme="majorBidi"/>
          <w:sz w:val="24"/>
          <w:szCs w:val="24"/>
        </w:rPr>
        <w:t xml:space="preserve"> </w:t>
      </w:r>
      <w:r w:rsidRPr="00511F36">
        <w:rPr>
          <w:rFonts w:asciiTheme="majorBidi" w:hAnsiTheme="majorBidi" w:cstheme="majorBidi"/>
          <w:i/>
          <w:iCs/>
          <w:sz w:val="24"/>
          <w:szCs w:val="24"/>
        </w:rPr>
        <w:t>125</w:t>
      </w:r>
      <w:r w:rsidR="00E64AB1">
        <w:rPr>
          <w:rFonts w:asciiTheme="majorBidi" w:hAnsiTheme="majorBidi" w:cstheme="majorBidi"/>
          <w:sz w:val="24"/>
          <w:szCs w:val="24"/>
        </w:rPr>
        <w:t>(4),</w:t>
      </w:r>
      <w:r w:rsidRPr="00511F36">
        <w:rPr>
          <w:rFonts w:asciiTheme="majorBidi" w:hAnsiTheme="majorBidi" w:cstheme="majorBidi"/>
          <w:sz w:val="24"/>
          <w:szCs w:val="24"/>
        </w:rPr>
        <w:t xml:space="preserve"> 601-615.</w:t>
      </w:r>
      <w:r w:rsidR="000F4EFC">
        <w:rPr>
          <w:rFonts w:asciiTheme="majorBidi" w:hAnsiTheme="majorBidi" w:cstheme="majorBidi"/>
          <w:sz w:val="24"/>
          <w:szCs w:val="24"/>
        </w:rPr>
        <w:t xml:space="preserve"> </w:t>
      </w:r>
      <w:hyperlink r:id="rId57" w:history="1">
        <w:r w:rsidR="000F4EFC" w:rsidRPr="007623DA">
          <w:rPr>
            <w:rStyle w:val="Hyperlink"/>
            <w:rFonts w:asciiTheme="majorBidi" w:hAnsiTheme="majorBidi" w:cstheme="majorBidi"/>
            <w:sz w:val="24"/>
            <w:szCs w:val="24"/>
          </w:rPr>
          <w:t>https://doi.org/10.1007/s10551-013-1929-2</w:t>
        </w:r>
      </w:hyperlink>
      <w:r w:rsidR="000F4EFC">
        <w:rPr>
          <w:rFonts w:asciiTheme="majorBidi" w:hAnsiTheme="majorBidi" w:cstheme="majorBidi"/>
          <w:sz w:val="24"/>
          <w:szCs w:val="24"/>
        </w:rPr>
        <w:t xml:space="preserve">. </w:t>
      </w:r>
    </w:p>
    <w:p w14:paraId="5556D22C" w14:textId="07797429" w:rsidR="004E5B85" w:rsidRDefault="004E5B85" w:rsidP="00605ADB">
      <w:pPr>
        <w:spacing w:after="0" w:line="240" w:lineRule="auto"/>
        <w:ind w:left="170" w:hanging="170"/>
        <w:jc w:val="both"/>
        <w:rPr>
          <w:rFonts w:asciiTheme="majorBidi" w:eastAsia="Times New Roman" w:hAnsiTheme="majorBidi" w:cstheme="majorBidi"/>
          <w:sz w:val="24"/>
          <w:szCs w:val="24"/>
          <w:lang w:eastAsia="en-GB"/>
        </w:rPr>
      </w:pPr>
      <w:r w:rsidRPr="00511F36">
        <w:rPr>
          <w:rFonts w:asciiTheme="majorBidi" w:eastAsia="Times New Roman" w:hAnsiTheme="majorBidi" w:cstheme="majorBidi"/>
          <w:sz w:val="24"/>
          <w:szCs w:val="24"/>
          <w:lang w:eastAsia="en-GB"/>
        </w:rPr>
        <w:t xml:space="preserve">Karamanou, I., </w:t>
      </w:r>
      <w:r w:rsidR="00EF7296">
        <w:rPr>
          <w:rFonts w:asciiTheme="majorBidi" w:eastAsia="Times New Roman" w:hAnsiTheme="majorBidi" w:cstheme="majorBidi"/>
          <w:sz w:val="24"/>
          <w:szCs w:val="24"/>
          <w:lang w:eastAsia="en-GB"/>
        </w:rPr>
        <w:t>&amp;</w:t>
      </w:r>
      <w:r w:rsidR="0043712E">
        <w:rPr>
          <w:rFonts w:asciiTheme="majorBidi" w:eastAsia="Times New Roman" w:hAnsiTheme="majorBidi" w:cstheme="majorBidi"/>
          <w:sz w:val="24"/>
          <w:szCs w:val="24"/>
          <w:lang w:eastAsia="en-GB"/>
        </w:rPr>
        <w:t xml:space="preserve"> Vafeas, N. </w:t>
      </w:r>
      <w:r w:rsidR="00EF7296">
        <w:rPr>
          <w:rFonts w:asciiTheme="majorBidi" w:eastAsia="Times New Roman" w:hAnsiTheme="majorBidi" w:cstheme="majorBidi"/>
          <w:sz w:val="24"/>
          <w:szCs w:val="24"/>
          <w:lang w:eastAsia="en-GB"/>
        </w:rPr>
        <w:t>(</w:t>
      </w:r>
      <w:r w:rsidR="0043712E">
        <w:rPr>
          <w:rFonts w:asciiTheme="majorBidi" w:eastAsia="Times New Roman" w:hAnsiTheme="majorBidi" w:cstheme="majorBidi"/>
          <w:sz w:val="24"/>
          <w:szCs w:val="24"/>
          <w:lang w:eastAsia="en-GB"/>
        </w:rPr>
        <w:t>2005</w:t>
      </w:r>
      <w:r w:rsidR="00EF7296">
        <w:rPr>
          <w:rFonts w:asciiTheme="majorBidi" w:eastAsia="Times New Roman" w:hAnsiTheme="majorBidi" w:cstheme="majorBidi"/>
          <w:sz w:val="24"/>
          <w:szCs w:val="24"/>
          <w:lang w:eastAsia="en-GB"/>
        </w:rPr>
        <w:t>)</w:t>
      </w:r>
      <w:r w:rsidRPr="00511F36">
        <w:rPr>
          <w:rFonts w:asciiTheme="majorBidi" w:eastAsia="Times New Roman" w:hAnsiTheme="majorBidi" w:cstheme="majorBidi"/>
          <w:sz w:val="24"/>
          <w:szCs w:val="24"/>
          <w:lang w:eastAsia="en-GB"/>
        </w:rPr>
        <w:t xml:space="preserve">. The association between corporate boards, audit committees, and management earnings forecasts: An empirical analysis. </w:t>
      </w:r>
      <w:r w:rsidR="0043712E">
        <w:rPr>
          <w:rFonts w:asciiTheme="majorBidi" w:eastAsia="Times New Roman" w:hAnsiTheme="majorBidi" w:cstheme="majorBidi"/>
          <w:i/>
          <w:iCs/>
          <w:sz w:val="24"/>
          <w:szCs w:val="24"/>
          <w:lang w:eastAsia="en-GB"/>
        </w:rPr>
        <w:t>Journal of Accounting R</w:t>
      </w:r>
      <w:r w:rsidRPr="00511F36">
        <w:rPr>
          <w:rFonts w:asciiTheme="majorBidi" w:eastAsia="Times New Roman" w:hAnsiTheme="majorBidi" w:cstheme="majorBidi"/>
          <w:i/>
          <w:iCs/>
          <w:sz w:val="24"/>
          <w:szCs w:val="24"/>
          <w:lang w:eastAsia="en-GB"/>
        </w:rPr>
        <w:t>esearch</w:t>
      </w:r>
      <w:r w:rsidR="00EF7296">
        <w:rPr>
          <w:rFonts w:asciiTheme="majorBidi" w:eastAsia="Times New Roman" w:hAnsiTheme="majorBidi" w:cstheme="majorBidi"/>
          <w:i/>
          <w:iCs/>
          <w:sz w:val="24"/>
          <w:szCs w:val="24"/>
          <w:lang w:eastAsia="en-GB"/>
        </w:rPr>
        <w:t>,</w:t>
      </w:r>
      <w:r w:rsidRPr="00511F36">
        <w:rPr>
          <w:rFonts w:asciiTheme="majorBidi" w:eastAsia="Times New Roman" w:hAnsiTheme="majorBidi" w:cstheme="majorBidi"/>
          <w:sz w:val="24"/>
          <w:szCs w:val="24"/>
          <w:lang w:eastAsia="en-GB"/>
        </w:rPr>
        <w:t xml:space="preserve"> </w:t>
      </w:r>
      <w:r w:rsidRPr="00511F36">
        <w:rPr>
          <w:rFonts w:asciiTheme="majorBidi" w:eastAsia="Times New Roman" w:hAnsiTheme="majorBidi" w:cstheme="majorBidi"/>
          <w:i/>
          <w:iCs/>
          <w:sz w:val="24"/>
          <w:szCs w:val="24"/>
          <w:lang w:eastAsia="en-GB"/>
        </w:rPr>
        <w:t>43</w:t>
      </w:r>
      <w:r w:rsidR="00EF7296">
        <w:rPr>
          <w:rFonts w:asciiTheme="majorBidi" w:eastAsia="Times New Roman" w:hAnsiTheme="majorBidi" w:cstheme="majorBidi"/>
          <w:sz w:val="24"/>
          <w:szCs w:val="24"/>
          <w:lang w:eastAsia="en-GB"/>
        </w:rPr>
        <w:t>(3),</w:t>
      </w:r>
      <w:r w:rsidRPr="00511F36">
        <w:rPr>
          <w:rFonts w:asciiTheme="majorBidi" w:eastAsia="Times New Roman" w:hAnsiTheme="majorBidi" w:cstheme="majorBidi"/>
          <w:sz w:val="24"/>
          <w:szCs w:val="24"/>
          <w:lang w:eastAsia="en-GB"/>
        </w:rPr>
        <w:t xml:space="preserve"> 453-486.</w:t>
      </w:r>
      <w:r w:rsidR="007C5194">
        <w:rPr>
          <w:rFonts w:asciiTheme="majorBidi" w:eastAsia="Times New Roman" w:hAnsiTheme="majorBidi" w:cstheme="majorBidi"/>
          <w:sz w:val="24"/>
          <w:szCs w:val="24"/>
          <w:lang w:eastAsia="en-GB"/>
        </w:rPr>
        <w:t xml:space="preserve"> </w:t>
      </w:r>
      <w:hyperlink r:id="rId58" w:history="1">
        <w:r w:rsidR="007C5194" w:rsidRPr="007623DA">
          <w:rPr>
            <w:rStyle w:val="Hyperlink"/>
            <w:rFonts w:asciiTheme="majorBidi" w:eastAsia="Times New Roman" w:hAnsiTheme="majorBidi" w:cstheme="majorBidi"/>
            <w:sz w:val="24"/>
            <w:szCs w:val="24"/>
            <w:lang w:eastAsia="en-GB"/>
          </w:rPr>
          <w:t>https://doi.org/10.1111/j.1475-679X.2005.00177.x</w:t>
        </w:r>
      </w:hyperlink>
      <w:r w:rsidR="007C5194">
        <w:rPr>
          <w:rFonts w:asciiTheme="majorBidi" w:eastAsia="Times New Roman" w:hAnsiTheme="majorBidi" w:cstheme="majorBidi"/>
          <w:sz w:val="24"/>
          <w:szCs w:val="24"/>
          <w:lang w:eastAsia="en-GB"/>
        </w:rPr>
        <w:t xml:space="preserve">. </w:t>
      </w:r>
    </w:p>
    <w:p w14:paraId="2D85AF13" w14:textId="6C82CA15" w:rsidR="00827CDB" w:rsidRDefault="00827CDB" w:rsidP="00605ADB">
      <w:pPr>
        <w:spacing w:after="0" w:line="240" w:lineRule="auto"/>
        <w:ind w:left="170" w:hanging="170"/>
        <w:jc w:val="both"/>
        <w:rPr>
          <w:rFonts w:asciiTheme="majorBidi" w:eastAsia="Times New Roman" w:hAnsiTheme="majorBidi" w:cstheme="majorBidi"/>
          <w:sz w:val="24"/>
          <w:szCs w:val="24"/>
          <w:lang w:eastAsia="en-GB"/>
        </w:rPr>
      </w:pPr>
      <w:r w:rsidRPr="00827CDB">
        <w:rPr>
          <w:rFonts w:asciiTheme="majorBidi" w:eastAsia="Times New Roman" w:hAnsiTheme="majorBidi" w:cstheme="majorBidi"/>
          <w:sz w:val="24"/>
          <w:szCs w:val="24"/>
          <w:lang w:eastAsia="en-GB"/>
        </w:rPr>
        <w:t>Katmon, N., Mohamad, Z.Z., Norwani, N.M., &amp; Al Farooque, O. (2019). Comprehensive board diversity and quality of corporate social responsibility disclosure: evidence from an emerging market. </w:t>
      </w:r>
      <w:r w:rsidRPr="00827CDB">
        <w:rPr>
          <w:rFonts w:asciiTheme="majorBidi" w:eastAsia="Times New Roman" w:hAnsiTheme="majorBidi" w:cstheme="majorBidi"/>
          <w:i/>
          <w:iCs/>
          <w:sz w:val="24"/>
          <w:szCs w:val="24"/>
          <w:lang w:eastAsia="en-GB"/>
        </w:rPr>
        <w:t>Journal of Business Ethics, 157</w:t>
      </w:r>
      <w:r w:rsidRPr="00827CDB">
        <w:rPr>
          <w:rFonts w:asciiTheme="majorBidi" w:eastAsia="Times New Roman" w:hAnsiTheme="majorBidi" w:cstheme="majorBidi"/>
          <w:sz w:val="24"/>
          <w:szCs w:val="24"/>
          <w:lang w:eastAsia="en-GB"/>
        </w:rPr>
        <w:t>(2), 447-481.</w:t>
      </w:r>
      <w:r w:rsidR="00C92F58">
        <w:rPr>
          <w:rFonts w:asciiTheme="majorBidi" w:eastAsia="Times New Roman" w:hAnsiTheme="majorBidi" w:cstheme="majorBidi"/>
          <w:sz w:val="24"/>
          <w:szCs w:val="24"/>
          <w:lang w:eastAsia="en-GB"/>
        </w:rPr>
        <w:t xml:space="preserve"> </w:t>
      </w:r>
      <w:hyperlink r:id="rId59" w:history="1">
        <w:r w:rsidR="00C92F58" w:rsidRPr="007623DA">
          <w:rPr>
            <w:rStyle w:val="Hyperlink"/>
            <w:rFonts w:asciiTheme="majorBidi" w:eastAsia="Times New Roman" w:hAnsiTheme="majorBidi" w:cstheme="majorBidi"/>
            <w:sz w:val="24"/>
            <w:szCs w:val="24"/>
            <w:lang w:eastAsia="en-GB"/>
          </w:rPr>
          <w:t>https://doi.org/10.1007/s10551-017-3672-6</w:t>
        </w:r>
      </w:hyperlink>
      <w:r w:rsidR="00C92F58">
        <w:rPr>
          <w:rFonts w:asciiTheme="majorBidi" w:eastAsia="Times New Roman" w:hAnsiTheme="majorBidi" w:cstheme="majorBidi"/>
          <w:sz w:val="24"/>
          <w:szCs w:val="24"/>
          <w:lang w:eastAsia="en-GB"/>
        </w:rPr>
        <w:t xml:space="preserve">. </w:t>
      </w:r>
    </w:p>
    <w:p w14:paraId="53E1B9CD" w14:textId="42343641" w:rsidR="00C40317" w:rsidRDefault="00C40317" w:rsidP="00C40317">
      <w:pPr>
        <w:spacing w:after="0" w:line="240" w:lineRule="auto"/>
        <w:ind w:left="170" w:hanging="170"/>
        <w:jc w:val="both"/>
        <w:rPr>
          <w:rFonts w:asciiTheme="majorBidi" w:eastAsia="Times New Roman" w:hAnsiTheme="majorBidi" w:cstheme="majorBidi"/>
          <w:sz w:val="24"/>
          <w:szCs w:val="24"/>
          <w:lang w:eastAsia="en-GB"/>
        </w:rPr>
      </w:pPr>
      <w:r w:rsidRPr="00C40317">
        <w:rPr>
          <w:rFonts w:asciiTheme="majorBidi" w:eastAsia="Times New Roman" w:hAnsiTheme="majorBidi" w:cstheme="majorBidi"/>
          <w:sz w:val="24"/>
          <w:szCs w:val="24"/>
          <w:lang w:eastAsia="en-GB"/>
        </w:rPr>
        <w:t>Lazzeretti, L., &amp; Tavoletti, E. (2006). Governance shifts in higher education: A cross-national comparison. </w:t>
      </w:r>
      <w:r w:rsidRPr="00C40317">
        <w:rPr>
          <w:rFonts w:asciiTheme="majorBidi" w:eastAsia="Times New Roman" w:hAnsiTheme="majorBidi" w:cstheme="majorBidi"/>
          <w:i/>
          <w:iCs/>
          <w:sz w:val="24"/>
          <w:szCs w:val="24"/>
          <w:lang w:eastAsia="en-GB"/>
        </w:rPr>
        <w:t>European Educational Research Journal, 5</w:t>
      </w:r>
      <w:r w:rsidRPr="00C40317">
        <w:rPr>
          <w:rFonts w:asciiTheme="majorBidi" w:eastAsia="Times New Roman" w:hAnsiTheme="majorBidi" w:cstheme="majorBidi"/>
          <w:sz w:val="24"/>
          <w:szCs w:val="24"/>
          <w:lang w:eastAsia="en-GB"/>
        </w:rPr>
        <w:t>(1), 18-37.</w:t>
      </w:r>
      <w:r>
        <w:rPr>
          <w:rFonts w:asciiTheme="majorBidi" w:eastAsia="Times New Roman" w:hAnsiTheme="majorBidi" w:cstheme="majorBidi"/>
          <w:sz w:val="24"/>
          <w:szCs w:val="24"/>
          <w:lang w:eastAsia="en-GB"/>
        </w:rPr>
        <w:t xml:space="preserve"> </w:t>
      </w:r>
      <w:hyperlink r:id="rId60" w:history="1">
        <w:r w:rsidR="00693CB4" w:rsidRPr="007623DA">
          <w:rPr>
            <w:rStyle w:val="Hyperlink"/>
            <w:rFonts w:asciiTheme="majorBidi" w:eastAsia="Times New Roman" w:hAnsiTheme="majorBidi" w:cstheme="majorBidi"/>
            <w:sz w:val="24"/>
            <w:szCs w:val="24"/>
            <w:lang w:eastAsia="en-GB"/>
          </w:rPr>
          <w:t>https://doi.org/10.2304/eerj.2006.5.1.18</w:t>
        </w:r>
      </w:hyperlink>
      <w:r w:rsidR="00693CB4">
        <w:rPr>
          <w:rFonts w:asciiTheme="majorBidi" w:eastAsia="Times New Roman" w:hAnsiTheme="majorBidi" w:cstheme="majorBidi"/>
          <w:sz w:val="24"/>
          <w:szCs w:val="24"/>
          <w:lang w:eastAsia="en-GB"/>
        </w:rPr>
        <w:t xml:space="preserve">. </w:t>
      </w:r>
    </w:p>
    <w:p w14:paraId="18F7A741" w14:textId="39FC68C1" w:rsidR="00C86DB5" w:rsidRDefault="00C86DB5" w:rsidP="00605ADB">
      <w:pPr>
        <w:spacing w:after="0" w:line="240" w:lineRule="auto"/>
        <w:ind w:left="170" w:hanging="170"/>
        <w:jc w:val="both"/>
        <w:rPr>
          <w:rFonts w:ascii="Times New Roman" w:hAnsi="Times New Roman" w:cs="Times New Roman"/>
          <w:sz w:val="24"/>
          <w:szCs w:val="24"/>
        </w:rPr>
      </w:pPr>
      <w:r w:rsidRPr="00C86DB5">
        <w:rPr>
          <w:rFonts w:ascii="Times New Roman" w:hAnsi="Times New Roman" w:cs="Times New Roman"/>
          <w:sz w:val="24"/>
          <w:szCs w:val="24"/>
        </w:rPr>
        <w:t xml:space="preserve">Leiter, J. (2005). Structural isomorphism in Australian nonprofit organizations. </w:t>
      </w:r>
      <w:r w:rsidR="00FE1995" w:rsidRPr="00FE1995">
        <w:rPr>
          <w:rFonts w:ascii="Times New Roman" w:hAnsi="Times New Roman" w:cs="Times New Roman"/>
          <w:i/>
          <w:iCs/>
          <w:sz w:val="24"/>
          <w:szCs w:val="24"/>
        </w:rPr>
        <w:t>VOLUNTAS</w:t>
      </w:r>
      <w:r w:rsidRPr="00C86DB5">
        <w:rPr>
          <w:rFonts w:ascii="Times New Roman" w:hAnsi="Times New Roman" w:cs="Times New Roman"/>
          <w:i/>
          <w:iCs/>
          <w:sz w:val="24"/>
          <w:szCs w:val="24"/>
        </w:rPr>
        <w:t>: International Journal of Voluntary and Nonprofit Organizations, 16</w:t>
      </w:r>
      <w:r w:rsidRPr="00C86DB5">
        <w:rPr>
          <w:rFonts w:ascii="Times New Roman" w:hAnsi="Times New Roman" w:cs="Times New Roman"/>
          <w:sz w:val="24"/>
          <w:szCs w:val="24"/>
        </w:rPr>
        <w:t>(1), 1-31.</w:t>
      </w:r>
      <w:r>
        <w:rPr>
          <w:rFonts w:ascii="Times New Roman" w:hAnsi="Times New Roman" w:cs="Times New Roman"/>
          <w:sz w:val="24"/>
          <w:szCs w:val="24"/>
        </w:rPr>
        <w:t xml:space="preserve"> </w:t>
      </w:r>
      <w:hyperlink r:id="rId61" w:history="1">
        <w:r w:rsidRPr="007623DA">
          <w:rPr>
            <w:rStyle w:val="Hyperlink"/>
            <w:rFonts w:ascii="Times New Roman" w:hAnsi="Times New Roman" w:cs="Times New Roman"/>
            <w:sz w:val="24"/>
            <w:szCs w:val="24"/>
          </w:rPr>
          <w:t>https://doi.org/10.1007/s11266-005-3230-1</w:t>
        </w:r>
      </w:hyperlink>
      <w:r>
        <w:rPr>
          <w:rFonts w:ascii="Times New Roman" w:hAnsi="Times New Roman" w:cs="Times New Roman"/>
          <w:sz w:val="24"/>
          <w:szCs w:val="24"/>
        </w:rPr>
        <w:t xml:space="preserve">.  </w:t>
      </w:r>
    </w:p>
    <w:p w14:paraId="5D963AF8" w14:textId="6439EECD" w:rsidR="00816576" w:rsidRPr="00816576" w:rsidRDefault="00816576" w:rsidP="00605ADB">
      <w:pPr>
        <w:spacing w:after="0" w:line="240" w:lineRule="auto"/>
        <w:ind w:left="170" w:hanging="170"/>
        <w:jc w:val="both"/>
        <w:rPr>
          <w:rFonts w:ascii="Times New Roman" w:eastAsia="Times New Roman" w:hAnsi="Times New Roman" w:cs="Times New Roman"/>
          <w:sz w:val="24"/>
          <w:szCs w:val="24"/>
          <w:lang w:eastAsia="en-GB"/>
        </w:rPr>
      </w:pPr>
      <w:r w:rsidRPr="00241612">
        <w:rPr>
          <w:rFonts w:ascii="Times New Roman" w:hAnsi="Times New Roman" w:cs="Times New Roman"/>
          <w:sz w:val="24"/>
          <w:szCs w:val="24"/>
          <w:shd w:val="clear" w:color="auto" w:fill="FFFFFF"/>
        </w:rPr>
        <w:t xml:space="preserve">Lepori, B. (2016). Universities as hybrids: Applications of institutional logics theory to higher education. </w:t>
      </w:r>
      <w:r w:rsidRPr="00241612">
        <w:rPr>
          <w:rFonts w:ascii="Times New Roman" w:hAnsi="Times New Roman" w:cs="Times New Roman"/>
          <w:i/>
          <w:iCs/>
          <w:sz w:val="24"/>
          <w:szCs w:val="24"/>
          <w:shd w:val="clear" w:color="auto" w:fill="FFFFFF"/>
        </w:rPr>
        <w:t>Theory and Method in Higher Education Research, 2</w:t>
      </w:r>
      <w:r w:rsidRPr="00241612">
        <w:rPr>
          <w:rFonts w:ascii="Times New Roman" w:hAnsi="Times New Roman" w:cs="Times New Roman"/>
          <w:sz w:val="24"/>
          <w:szCs w:val="24"/>
          <w:shd w:val="clear" w:color="auto" w:fill="FFFFFF"/>
        </w:rPr>
        <w:t xml:space="preserve">, 245-264. </w:t>
      </w:r>
      <w:hyperlink r:id="rId62" w:history="1">
        <w:r w:rsidRPr="00816576">
          <w:rPr>
            <w:rStyle w:val="Hyperlink"/>
            <w:rFonts w:ascii="Times New Roman" w:hAnsi="Times New Roman" w:cs="Times New Roman"/>
            <w:sz w:val="24"/>
            <w:szCs w:val="24"/>
            <w:shd w:val="clear" w:color="auto" w:fill="FFFFFF"/>
          </w:rPr>
          <w:t>https://doi.org/10.1108/S2056-375220160000002013</w:t>
        </w:r>
      </w:hyperlink>
      <w:r>
        <w:rPr>
          <w:rFonts w:ascii="Times New Roman" w:hAnsi="Times New Roman" w:cs="Times New Roman"/>
          <w:sz w:val="24"/>
          <w:szCs w:val="24"/>
          <w:shd w:val="clear" w:color="auto" w:fill="FFFFFF"/>
        </w:rPr>
        <w:t xml:space="preserve">. </w:t>
      </w:r>
      <w:r w:rsidRPr="00816576">
        <w:rPr>
          <w:rFonts w:ascii="Times New Roman" w:hAnsi="Times New Roman" w:cs="Times New Roman"/>
          <w:sz w:val="24"/>
          <w:szCs w:val="24"/>
          <w:shd w:val="clear" w:color="auto" w:fill="FFFFFF"/>
        </w:rPr>
        <w:t xml:space="preserve"> </w:t>
      </w:r>
    </w:p>
    <w:p w14:paraId="05E7DC7A" w14:textId="04C49C99" w:rsidR="004E5B85" w:rsidRPr="00511F36" w:rsidRDefault="004E5B85" w:rsidP="00605ADB">
      <w:pPr>
        <w:spacing w:after="0" w:line="240" w:lineRule="auto"/>
        <w:ind w:left="170" w:hanging="170"/>
        <w:jc w:val="both"/>
        <w:rPr>
          <w:rFonts w:asciiTheme="majorBidi" w:eastAsia="Times New Roman" w:hAnsiTheme="majorBidi" w:cstheme="majorBidi"/>
          <w:sz w:val="24"/>
          <w:szCs w:val="24"/>
          <w:lang w:eastAsia="en-GB"/>
        </w:rPr>
      </w:pPr>
      <w:r w:rsidRPr="00605ADB">
        <w:rPr>
          <w:rFonts w:asciiTheme="majorBidi" w:eastAsia="Times New Roman" w:hAnsiTheme="majorBidi" w:cstheme="majorBidi"/>
          <w:sz w:val="24"/>
          <w:szCs w:val="24"/>
          <w:lang w:val="de-DE" w:eastAsia="en-GB"/>
        </w:rPr>
        <w:lastRenderedPageBreak/>
        <w:t xml:space="preserve">Lin, Y.C., Wang, Y.C., Chiou, J.R., </w:t>
      </w:r>
      <w:r w:rsidR="00EF7296" w:rsidRPr="00605ADB">
        <w:rPr>
          <w:rFonts w:asciiTheme="majorBidi" w:eastAsia="Times New Roman" w:hAnsiTheme="majorBidi" w:cstheme="majorBidi"/>
          <w:sz w:val="24"/>
          <w:szCs w:val="24"/>
          <w:lang w:val="de-DE" w:eastAsia="en-GB"/>
        </w:rPr>
        <w:t>&amp;</w:t>
      </w:r>
      <w:r w:rsidR="0043712E" w:rsidRPr="00605ADB">
        <w:rPr>
          <w:rFonts w:asciiTheme="majorBidi" w:eastAsia="Times New Roman" w:hAnsiTheme="majorBidi" w:cstheme="majorBidi"/>
          <w:sz w:val="24"/>
          <w:szCs w:val="24"/>
          <w:lang w:val="de-DE" w:eastAsia="en-GB"/>
        </w:rPr>
        <w:t xml:space="preserve"> Huang, H.W. </w:t>
      </w:r>
      <w:r w:rsidR="00EF7296" w:rsidRPr="00605ADB">
        <w:rPr>
          <w:rFonts w:asciiTheme="majorBidi" w:eastAsia="Times New Roman" w:hAnsiTheme="majorBidi" w:cstheme="majorBidi"/>
          <w:sz w:val="24"/>
          <w:szCs w:val="24"/>
          <w:lang w:val="de-DE" w:eastAsia="en-GB"/>
        </w:rPr>
        <w:t>(</w:t>
      </w:r>
      <w:r w:rsidR="0043712E" w:rsidRPr="00605ADB">
        <w:rPr>
          <w:rFonts w:asciiTheme="majorBidi" w:eastAsia="Times New Roman" w:hAnsiTheme="majorBidi" w:cstheme="majorBidi"/>
          <w:sz w:val="24"/>
          <w:szCs w:val="24"/>
          <w:lang w:val="de-DE" w:eastAsia="en-GB"/>
        </w:rPr>
        <w:t>2014</w:t>
      </w:r>
      <w:r w:rsidR="00EF7296" w:rsidRPr="00605ADB">
        <w:rPr>
          <w:rFonts w:asciiTheme="majorBidi" w:eastAsia="Times New Roman" w:hAnsiTheme="majorBidi" w:cstheme="majorBidi"/>
          <w:sz w:val="24"/>
          <w:szCs w:val="24"/>
          <w:lang w:val="de-DE" w:eastAsia="en-GB"/>
        </w:rPr>
        <w:t>)</w:t>
      </w:r>
      <w:r w:rsidRPr="00605ADB">
        <w:rPr>
          <w:rFonts w:asciiTheme="majorBidi" w:eastAsia="Times New Roman" w:hAnsiTheme="majorBidi" w:cstheme="majorBidi"/>
          <w:sz w:val="24"/>
          <w:szCs w:val="24"/>
          <w:lang w:val="de-DE" w:eastAsia="en-GB"/>
        </w:rPr>
        <w:t xml:space="preserve">. </w:t>
      </w:r>
      <w:r w:rsidRPr="00511F36">
        <w:rPr>
          <w:rFonts w:asciiTheme="majorBidi" w:eastAsia="Times New Roman" w:hAnsiTheme="majorBidi" w:cstheme="majorBidi"/>
          <w:sz w:val="24"/>
          <w:szCs w:val="24"/>
          <w:lang w:eastAsia="en-GB"/>
        </w:rPr>
        <w:t xml:space="preserve">CEO characteristics and internal control quality. </w:t>
      </w:r>
      <w:r w:rsidRPr="00511F36">
        <w:rPr>
          <w:rFonts w:asciiTheme="majorBidi" w:eastAsia="Times New Roman" w:hAnsiTheme="majorBidi" w:cstheme="majorBidi"/>
          <w:i/>
          <w:iCs/>
          <w:sz w:val="24"/>
          <w:szCs w:val="24"/>
          <w:lang w:eastAsia="en-GB"/>
        </w:rPr>
        <w:t>Corporate Governance: An International Review</w:t>
      </w:r>
      <w:r w:rsidR="00EF7296">
        <w:rPr>
          <w:rFonts w:asciiTheme="majorBidi" w:eastAsia="Times New Roman" w:hAnsiTheme="majorBidi" w:cstheme="majorBidi"/>
          <w:i/>
          <w:iCs/>
          <w:sz w:val="24"/>
          <w:szCs w:val="24"/>
          <w:lang w:eastAsia="en-GB"/>
        </w:rPr>
        <w:t>,</w:t>
      </w:r>
      <w:r w:rsidRPr="00511F36">
        <w:rPr>
          <w:rFonts w:asciiTheme="majorBidi" w:eastAsia="Times New Roman" w:hAnsiTheme="majorBidi" w:cstheme="majorBidi"/>
          <w:sz w:val="24"/>
          <w:szCs w:val="24"/>
          <w:lang w:eastAsia="en-GB"/>
        </w:rPr>
        <w:t xml:space="preserve"> </w:t>
      </w:r>
      <w:r w:rsidRPr="00511F36">
        <w:rPr>
          <w:rFonts w:asciiTheme="majorBidi" w:eastAsia="Times New Roman" w:hAnsiTheme="majorBidi" w:cstheme="majorBidi"/>
          <w:i/>
          <w:iCs/>
          <w:sz w:val="24"/>
          <w:szCs w:val="24"/>
          <w:lang w:eastAsia="en-GB"/>
        </w:rPr>
        <w:t>22</w:t>
      </w:r>
      <w:r w:rsidR="00EF7296">
        <w:rPr>
          <w:rFonts w:asciiTheme="majorBidi" w:eastAsia="Times New Roman" w:hAnsiTheme="majorBidi" w:cstheme="majorBidi"/>
          <w:sz w:val="24"/>
          <w:szCs w:val="24"/>
          <w:lang w:eastAsia="en-GB"/>
        </w:rPr>
        <w:t>(1),</w:t>
      </w:r>
      <w:r w:rsidRPr="00511F36">
        <w:rPr>
          <w:rFonts w:asciiTheme="majorBidi" w:eastAsia="Times New Roman" w:hAnsiTheme="majorBidi" w:cstheme="majorBidi"/>
          <w:sz w:val="24"/>
          <w:szCs w:val="24"/>
          <w:lang w:eastAsia="en-GB"/>
        </w:rPr>
        <w:t xml:space="preserve"> 24-42.</w:t>
      </w:r>
      <w:r w:rsidR="002F70D9">
        <w:rPr>
          <w:rFonts w:asciiTheme="majorBidi" w:eastAsia="Times New Roman" w:hAnsiTheme="majorBidi" w:cstheme="majorBidi"/>
          <w:sz w:val="24"/>
          <w:szCs w:val="24"/>
          <w:lang w:eastAsia="en-GB"/>
        </w:rPr>
        <w:t xml:space="preserve"> </w:t>
      </w:r>
      <w:hyperlink r:id="rId63" w:history="1">
        <w:r w:rsidR="002F70D9" w:rsidRPr="007623DA">
          <w:rPr>
            <w:rStyle w:val="Hyperlink"/>
            <w:rFonts w:asciiTheme="majorBidi" w:eastAsia="Times New Roman" w:hAnsiTheme="majorBidi" w:cstheme="majorBidi"/>
            <w:sz w:val="24"/>
            <w:szCs w:val="24"/>
            <w:lang w:eastAsia="en-GB"/>
          </w:rPr>
          <w:t>https://doi.org/10.1111/corg.12042</w:t>
        </w:r>
      </w:hyperlink>
      <w:r w:rsidR="002F70D9">
        <w:rPr>
          <w:rFonts w:asciiTheme="majorBidi" w:eastAsia="Times New Roman" w:hAnsiTheme="majorBidi" w:cstheme="majorBidi"/>
          <w:sz w:val="24"/>
          <w:szCs w:val="24"/>
          <w:lang w:eastAsia="en-GB"/>
        </w:rPr>
        <w:t xml:space="preserve">. </w:t>
      </w:r>
    </w:p>
    <w:p w14:paraId="2B01E15B" w14:textId="3A5CDF52" w:rsidR="004E5B85" w:rsidRDefault="004E5B85" w:rsidP="00605ADB">
      <w:pPr>
        <w:spacing w:after="0" w:line="240" w:lineRule="auto"/>
        <w:ind w:left="170" w:hanging="170"/>
        <w:jc w:val="both"/>
        <w:rPr>
          <w:rFonts w:asciiTheme="majorBidi" w:eastAsia="Times New Roman" w:hAnsiTheme="majorBidi" w:cstheme="majorBidi"/>
          <w:sz w:val="24"/>
          <w:szCs w:val="24"/>
          <w:lang w:eastAsia="en-GB"/>
        </w:rPr>
      </w:pPr>
      <w:r w:rsidRPr="00511F36">
        <w:rPr>
          <w:rFonts w:asciiTheme="majorBidi" w:eastAsia="Times New Roman" w:hAnsiTheme="majorBidi" w:cstheme="majorBidi"/>
          <w:sz w:val="24"/>
          <w:szCs w:val="24"/>
          <w:lang w:eastAsia="en-GB"/>
        </w:rPr>
        <w:t>Lokuwaduge, C.D.S.</w:t>
      </w:r>
      <w:r w:rsidR="00E77DDF">
        <w:rPr>
          <w:rFonts w:asciiTheme="majorBidi" w:eastAsia="Times New Roman" w:hAnsiTheme="majorBidi" w:cstheme="majorBidi"/>
          <w:sz w:val="24"/>
          <w:szCs w:val="24"/>
          <w:lang w:eastAsia="en-GB"/>
        </w:rPr>
        <w:t>,</w:t>
      </w:r>
      <w:r w:rsidRPr="00511F36">
        <w:rPr>
          <w:rFonts w:asciiTheme="majorBidi" w:eastAsia="Times New Roman" w:hAnsiTheme="majorBidi" w:cstheme="majorBidi"/>
          <w:sz w:val="24"/>
          <w:szCs w:val="24"/>
          <w:lang w:eastAsia="en-GB"/>
        </w:rPr>
        <w:t xml:space="preserve"> </w:t>
      </w:r>
      <w:r w:rsidR="00EF7296">
        <w:rPr>
          <w:rFonts w:asciiTheme="majorBidi" w:eastAsia="Times New Roman" w:hAnsiTheme="majorBidi" w:cstheme="majorBidi"/>
          <w:sz w:val="24"/>
          <w:szCs w:val="24"/>
          <w:lang w:eastAsia="en-GB"/>
        </w:rPr>
        <w:t>&amp;</w:t>
      </w:r>
      <w:r w:rsidR="0043712E">
        <w:rPr>
          <w:rFonts w:asciiTheme="majorBidi" w:eastAsia="Times New Roman" w:hAnsiTheme="majorBidi" w:cstheme="majorBidi"/>
          <w:sz w:val="24"/>
          <w:szCs w:val="24"/>
          <w:lang w:eastAsia="en-GB"/>
        </w:rPr>
        <w:t xml:space="preserve"> Armstrong, A. </w:t>
      </w:r>
      <w:r w:rsidR="00EF7296">
        <w:rPr>
          <w:rFonts w:asciiTheme="majorBidi" w:eastAsia="Times New Roman" w:hAnsiTheme="majorBidi" w:cstheme="majorBidi"/>
          <w:sz w:val="24"/>
          <w:szCs w:val="24"/>
          <w:lang w:eastAsia="en-GB"/>
        </w:rPr>
        <w:t>(</w:t>
      </w:r>
      <w:r w:rsidRPr="00511F36">
        <w:rPr>
          <w:rFonts w:asciiTheme="majorBidi" w:eastAsia="Times New Roman" w:hAnsiTheme="majorBidi" w:cstheme="majorBidi"/>
          <w:sz w:val="24"/>
          <w:szCs w:val="24"/>
          <w:lang w:eastAsia="en-GB"/>
        </w:rPr>
        <w:t>2015</w:t>
      </w:r>
      <w:r w:rsidR="00EF7296">
        <w:rPr>
          <w:rFonts w:asciiTheme="majorBidi" w:eastAsia="Times New Roman" w:hAnsiTheme="majorBidi" w:cstheme="majorBidi"/>
          <w:sz w:val="24"/>
          <w:szCs w:val="24"/>
          <w:lang w:eastAsia="en-GB"/>
        </w:rPr>
        <w:t>)</w:t>
      </w:r>
      <w:r w:rsidRPr="00511F36">
        <w:rPr>
          <w:rFonts w:asciiTheme="majorBidi" w:eastAsia="Times New Roman" w:hAnsiTheme="majorBidi" w:cstheme="majorBidi"/>
          <w:sz w:val="24"/>
          <w:szCs w:val="24"/>
          <w:lang w:eastAsia="en-GB"/>
        </w:rPr>
        <w:t xml:space="preserve">. The impact of governance on the performance of the higher education sector in Australia. </w:t>
      </w:r>
      <w:r w:rsidRPr="00511F36">
        <w:rPr>
          <w:rFonts w:asciiTheme="majorBidi" w:eastAsia="Times New Roman" w:hAnsiTheme="majorBidi" w:cstheme="majorBidi"/>
          <w:i/>
          <w:iCs/>
          <w:sz w:val="24"/>
          <w:szCs w:val="24"/>
          <w:lang w:eastAsia="en-GB"/>
        </w:rPr>
        <w:t xml:space="preserve">Educational Management Administration </w:t>
      </w:r>
      <w:r w:rsidR="0043712E">
        <w:rPr>
          <w:rFonts w:asciiTheme="majorBidi" w:eastAsia="Times New Roman" w:hAnsiTheme="majorBidi" w:cstheme="majorBidi"/>
          <w:i/>
          <w:iCs/>
          <w:sz w:val="24"/>
          <w:szCs w:val="24"/>
          <w:lang w:eastAsia="en-GB"/>
        </w:rPr>
        <w:t>and</w:t>
      </w:r>
      <w:r w:rsidRPr="00511F36">
        <w:rPr>
          <w:rFonts w:asciiTheme="majorBidi" w:eastAsia="Times New Roman" w:hAnsiTheme="majorBidi" w:cstheme="majorBidi"/>
          <w:i/>
          <w:iCs/>
          <w:sz w:val="24"/>
          <w:szCs w:val="24"/>
          <w:lang w:eastAsia="en-GB"/>
        </w:rPr>
        <w:t xml:space="preserve"> Leadership</w:t>
      </w:r>
      <w:r w:rsidR="00EF7296">
        <w:rPr>
          <w:rFonts w:asciiTheme="majorBidi" w:eastAsia="Times New Roman" w:hAnsiTheme="majorBidi" w:cstheme="majorBidi"/>
          <w:i/>
          <w:iCs/>
          <w:sz w:val="24"/>
          <w:szCs w:val="24"/>
          <w:lang w:eastAsia="en-GB"/>
        </w:rPr>
        <w:t>,</w:t>
      </w:r>
      <w:r w:rsidRPr="00511F36">
        <w:rPr>
          <w:rFonts w:asciiTheme="majorBidi" w:eastAsia="Times New Roman" w:hAnsiTheme="majorBidi" w:cstheme="majorBidi"/>
          <w:i/>
          <w:iCs/>
          <w:sz w:val="24"/>
          <w:szCs w:val="24"/>
          <w:lang w:eastAsia="en-GB"/>
        </w:rPr>
        <w:t xml:space="preserve"> 43</w:t>
      </w:r>
      <w:r w:rsidR="00EF7296">
        <w:rPr>
          <w:rFonts w:asciiTheme="majorBidi" w:eastAsia="Times New Roman" w:hAnsiTheme="majorBidi" w:cstheme="majorBidi"/>
          <w:sz w:val="24"/>
          <w:szCs w:val="24"/>
          <w:lang w:eastAsia="en-GB"/>
        </w:rPr>
        <w:t>(5),</w:t>
      </w:r>
      <w:r w:rsidRPr="00511F36">
        <w:rPr>
          <w:rFonts w:asciiTheme="majorBidi" w:eastAsia="Times New Roman" w:hAnsiTheme="majorBidi" w:cstheme="majorBidi"/>
          <w:sz w:val="24"/>
          <w:szCs w:val="24"/>
          <w:lang w:eastAsia="en-GB"/>
        </w:rPr>
        <w:t xml:space="preserve"> 811-827.</w:t>
      </w:r>
      <w:r w:rsidR="0063640C">
        <w:rPr>
          <w:rFonts w:asciiTheme="majorBidi" w:eastAsia="Times New Roman" w:hAnsiTheme="majorBidi" w:cstheme="majorBidi"/>
          <w:sz w:val="24"/>
          <w:szCs w:val="24"/>
          <w:lang w:eastAsia="en-GB"/>
        </w:rPr>
        <w:t xml:space="preserve"> </w:t>
      </w:r>
      <w:hyperlink r:id="rId64" w:history="1">
        <w:r w:rsidR="0063640C" w:rsidRPr="007623DA">
          <w:rPr>
            <w:rStyle w:val="Hyperlink"/>
            <w:rFonts w:asciiTheme="majorBidi" w:eastAsia="Times New Roman" w:hAnsiTheme="majorBidi" w:cstheme="majorBidi"/>
            <w:sz w:val="24"/>
            <w:szCs w:val="24"/>
            <w:lang w:eastAsia="en-GB"/>
          </w:rPr>
          <w:t>https://doi.org/10.1177/1741143214535740</w:t>
        </w:r>
      </w:hyperlink>
      <w:r w:rsidR="0063640C">
        <w:rPr>
          <w:rFonts w:asciiTheme="majorBidi" w:eastAsia="Times New Roman" w:hAnsiTheme="majorBidi" w:cstheme="majorBidi"/>
          <w:sz w:val="24"/>
          <w:szCs w:val="24"/>
          <w:lang w:eastAsia="en-GB"/>
        </w:rPr>
        <w:t xml:space="preserve">. </w:t>
      </w:r>
    </w:p>
    <w:p w14:paraId="756FFB49" w14:textId="49317034" w:rsidR="00AC33E8" w:rsidRDefault="00AC33E8" w:rsidP="00605ADB">
      <w:pPr>
        <w:spacing w:after="0" w:line="240" w:lineRule="auto"/>
        <w:ind w:left="170" w:hanging="170"/>
        <w:jc w:val="both"/>
        <w:rPr>
          <w:rFonts w:asciiTheme="majorBidi" w:eastAsia="Times New Roman" w:hAnsiTheme="majorBidi" w:cstheme="majorBidi"/>
          <w:sz w:val="24"/>
          <w:szCs w:val="24"/>
          <w:lang w:eastAsia="en-GB"/>
        </w:rPr>
      </w:pPr>
      <w:r w:rsidRPr="00AC33E8">
        <w:rPr>
          <w:rFonts w:asciiTheme="majorBidi" w:eastAsia="Times New Roman" w:hAnsiTheme="majorBidi" w:cstheme="majorBidi"/>
          <w:sz w:val="24"/>
          <w:szCs w:val="24"/>
          <w:lang w:eastAsia="en-GB"/>
        </w:rPr>
        <w:t>Luoma, P., &amp; Goodstein, J. (1999). Stakeholders and corporate boards: Institutional influences on board composition and structure. </w:t>
      </w:r>
      <w:r w:rsidRPr="00AC33E8">
        <w:rPr>
          <w:rFonts w:asciiTheme="majorBidi" w:eastAsia="Times New Roman" w:hAnsiTheme="majorBidi" w:cstheme="majorBidi"/>
          <w:i/>
          <w:iCs/>
          <w:sz w:val="24"/>
          <w:szCs w:val="24"/>
          <w:lang w:eastAsia="en-GB"/>
        </w:rPr>
        <w:t xml:space="preserve">Academy of </w:t>
      </w:r>
      <w:r>
        <w:rPr>
          <w:rFonts w:asciiTheme="majorBidi" w:eastAsia="Times New Roman" w:hAnsiTheme="majorBidi" w:cstheme="majorBidi"/>
          <w:i/>
          <w:iCs/>
          <w:sz w:val="24"/>
          <w:szCs w:val="24"/>
          <w:lang w:eastAsia="en-GB"/>
        </w:rPr>
        <w:t>M</w:t>
      </w:r>
      <w:r w:rsidRPr="00AC33E8">
        <w:rPr>
          <w:rFonts w:asciiTheme="majorBidi" w:eastAsia="Times New Roman" w:hAnsiTheme="majorBidi" w:cstheme="majorBidi"/>
          <w:i/>
          <w:iCs/>
          <w:sz w:val="24"/>
          <w:szCs w:val="24"/>
          <w:lang w:eastAsia="en-GB"/>
        </w:rPr>
        <w:t xml:space="preserve">anagement </w:t>
      </w:r>
      <w:r>
        <w:rPr>
          <w:rFonts w:asciiTheme="majorBidi" w:eastAsia="Times New Roman" w:hAnsiTheme="majorBidi" w:cstheme="majorBidi"/>
          <w:i/>
          <w:iCs/>
          <w:sz w:val="24"/>
          <w:szCs w:val="24"/>
          <w:lang w:eastAsia="en-GB"/>
        </w:rPr>
        <w:t>J</w:t>
      </w:r>
      <w:r w:rsidRPr="00AC33E8">
        <w:rPr>
          <w:rFonts w:asciiTheme="majorBidi" w:eastAsia="Times New Roman" w:hAnsiTheme="majorBidi" w:cstheme="majorBidi"/>
          <w:i/>
          <w:iCs/>
          <w:sz w:val="24"/>
          <w:szCs w:val="24"/>
          <w:lang w:eastAsia="en-GB"/>
        </w:rPr>
        <w:t>ournal, 42</w:t>
      </w:r>
      <w:r w:rsidRPr="00AC33E8">
        <w:rPr>
          <w:rFonts w:asciiTheme="majorBidi" w:eastAsia="Times New Roman" w:hAnsiTheme="majorBidi" w:cstheme="majorBidi"/>
          <w:sz w:val="24"/>
          <w:szCs w:val="24"/>
          <w:lang w:eastAsia="en-GB"/>
        </w:rPr>
        <w:t>(5), 553-563.</w:t>
      </w:r>
      <w:r w:rsidR="00EE7787">
        <w:rPr>
          <w:rFonts w:asciiTheme="majorBidi" w:eastAsia="Times New Roman" w:hAnsiTheme="majorBidi" w:cstheme="majorBidi"/>
          <w:sz w:val="24"/>
          <w:szCs w:val="24"/>
          <w:lang w:eastAsia="en-GB"/>
        </w:rPr>
        <w:t xml:space="preserve"> </w:t>
      </w:r>
      <w:hyperlink r:id="rId65" w:history="1">
        <w:r w:rsidR="00EE7787" w:rsidRPr="007623DA">
          <w:rPr>
            <w:rStyle w:val="Hyperlink"/>
            <w:rFonts w:asciiTheme="majorBidi" w:eastAsia="Times New Roman" w:hAnsiTheme="majorBidi" w:cstheme="majorBidi"/>
            <w:sz w:val="24"/>
            <w:szCs w:val="24"/>
            <w:lang w:eastAsia="en-GB"/>
          </w:rPr>
          <w:t>https://www.jstor.org/stable/256976</w:t>
        </w:r>
      </w:hyperlink>
      <w:r w:rsidR="00EE7787">
        <w:rPr>
          <w:rFonts w:asciiTheme="majorBidi" w:eastAsia="Times New Roman" w:hAnsiTheme="majorBidi" w:cstheme="majorBidi"/>
          <w:sz w:val="24"/>
          <w:szCs w:val="24"/>
          <w:lang w:eastAsia="en-GB"/>
        </w:rPr>
        <w:t xml:space="preserve">. </w:t>
      </w:r>
    </w:p>
    <w:p w14:paraId="64019572" w14:textId="3ACBBDEC" w:rsidR="004E5B85" w:rsidRDefault="004E5B85" w:rsidP="00605ADB">
      <w:pPr>
        <w:spacing w:after="0" w:line="240" w:lineRule="auto"/>
        <w:ind w:left="170" w:hanging="170"/>
        <w:jc w:val="both"/>
        <w:rPr>
          <w:rFonts w:asciiTheme="majorBidi" w:eastAsia="Times New Roman" w:hAnsiTheme="majorBidi" w:cstheme="majorBidi"/>
          <w:sz w:val="24"/>
          <w:szCs w:val="24"/>
          <w:lang w:eastAsia="en-GB"/>
        </w:rPr>
      </w:pPr>
      <w:r w:rsidRPr="00511F36">
        <w:rPr>
          <w:rFonts w:asciiTheme="majorBidi" w:eastAsia="Times New Roman" w:hAnsiTheme="majorBidi" w:cstheme="majorBidi"/>
          <w:sz w:val="24"/>
          <w:szCs w:val="24"/>
          <w:lang w:eastAsia="en-GB"/>
        </w:rPr>
        <w:t xml:space="preserve">Maingot, M., </w:t>
      </w:r>
      <w:r w:rsidR="00E72A8A">
        <w:rPr>
          <w:rFonts w:asciiTheme="majorBidi" w:eastAsia="Times New Roman" w:hAnsiTheme="majorBidi" w:cstheme="majorBidi"/>
          <w:sz w:val="24"/>
          <w:szCs w:val="24"/>
          <w:lang w:eastAsia="en-GB"/>
        </w:rPr>
        <w:t>&amp;</w:t>
      </w:r>
      <w:r w:rsidR="0043712E">
        <w:rPr>
          <w:rFonts w:asciiTheme="majorBidi" w:eastAsia="Times New Roman" w:hAnsiTheme="majorBidi" w:cstheme="majorBidi"/>
          <w:sz w:val="24"/>
          <w:szCs w:val="24"/>
          <w:lang w:eastAsia="en-GB"/>
        </w:rPr>
        <w:t xml:space="preserve"> Zeghal, D. </w:t>
      </w:r>
      <w:r w:rsidR="00E72A8A">
        <w:rPr>
          <w:rFonts w:asciiTheme="majorBidi" w:eastAsia="Times New Roman" w:hAnsiTheme="majorBidi" w:cstheme="majorBidi"/>
          <w:sz w:val="24"/>
          <w:szCs w:val="24"/>
          <w:lang w:eastAsia="en-GB"/>
        </w:rPr>
        <w:t>(</w:t>
      </w:r>
      <w:r w:rsidR="0043712E">
        <w:rPr>
          <w:rFonts w:asciiTheme="majorBidi" w:eastAsia="Times New Roman" w:hAnsiTheme="majorBidi" w:cstheme="majorBidi"/>
          <w:sz w:val="24"/>
          <w:szCs w:val="24"/>
          <w:lang w:eastAsia="en-GB"/>
        </w:rPr>
        <w:t>2008</w:t>
      </w:r>
      <w:r w:rsidR="00E72A8A">
        <w:rPr>
          <w:rFonts w:asciiTheme="majorBidi" w:eastAsia="Times New Roman" w:hAnsiTheme="majorBidi" w:cstheme="majorBidi"/>
          <w:sz w:val="24"/>
          <w:szCs w:val="24"/>
          <w:lang w:eastAsia="en-GB"/>
        </w:rPr>
        <w:t>)</w:t>
      </w:r>
      <w:r w:rsidRPr="00511F36">
        <w:rPr>
          <w:rFonts w:asciiTheme="majorBidi" w:eastAsia="Times New Roman" w:hAnsiTheme="majorBidi" w:cstheme="majorBidi"/>
          <w:sz w:val="24"/>
          <w:szCs w:val="24"/>
          <w:lang w:eastAsia="en-GB"/>
        </w:rPr>
        <w:t xml:space="preserve">. An analysis of voluntary disclosure of performance indicators by Canadian universities. </w:t>
      </w:r>
      <w:r w:rsidRPr="00511F36">
        <w:rPr>
          <w:rFonts w:asciiTheme="majorBidi" w:eastAsia="Times New Roman" w:hAnsiTheme="majorBidi" w:cstheme="majorBidi"/>
          <w:i/>
          <w:iCs/>
          <w:sz w:val="24"/>
          <w:szCs w:val="24"/>
          <w:lang w:eastAsia="en-GB"/>
        </w:rPr>
        <w:t>Tertiary Education and Management</w:t>
      </w:r>
      <w:r w:rsidR="00E72A8A">
        <w:rPr>
          <w:rFonts w:asciiTheme="majorBidi" w:eastAsia="Times New Roman" w:hAnsiTheme="majorBidi" w:cstheme="majorBidi"/>
          <w:sz w:val="24"/>
          <w:szCs w:val="24"/>
          <w:lang w:eastAsia="en-GB"/>
        </w:rPr>
        <w:t xml:space="preserve">, </w:t>
      </w:r>
      <w:r w:rsidRPr="00511F36">
        <w:rPr>
          <w:rFonts w:asciiTheme="majorBidi" w:eastAsia="Times New Roman" w:hAnsiTheme="majorBidi" w:cstheme="majorBidi"/>
          <w:i/>
          <w:iCs/>
          <w:sz w:val="24"/>
          <w:szCs w:val="24"/>
          <w:lang w:eastAsia="en-GB"/>
        </w:rPr>
        <w:t>14</w:t>
      </w:r>
      <w:r w:rsidR="00E72A8A">
        <w:rPr>
          <w:rFonts w:asciiTheme="majorBidi" w:eastAsia="Times New Roman" w:hAnsiTheme="majorBidi" w:cstheme="majorBidi"/>
          <w:sz w:val="24"/>
          <w:szCs w:val="24"/>
          <w:lang w:eastAsia="en-GB"/>
        </w:rPr>
        <w:t>(4),</w:t>
      </w:r>
      <w:r w:rsidRPr="00511F36">
        <w:rPr>
          <w:rFonts w:asciiTheme="majorBidi" w:eastAsia="Times New Roman" w:hAnsiTheme="majorBidi" w:cstheme="majorBidi"/>
          <w:sz w:val="24"/>
          <w:szCs w:val="24"/>
          <w:lang w:eastAsia="en-GB"/>
        </w:rPr>
        <w:t xml:space="preserve"> 269-283.</w:t>
      </w:r>
      <w:r w:rsidR="0053566E">
        <w:rPr>
          <w:rFonts w:asciiTheme="majorBidi" w:eastAsia="Times New Roman" w:hAnsiTheme="majorBidi" w:cstheme="majorBidi"/>
          <w:sz w:val="24"/>
          <w:szCs w:val="24"/>
          <w:lang w:eastAsia="en-GB"/>
        </w:rPr>
        <w:t xml:space="preserve"> </w:t>
      </w:r>
      <w:hyperlink r:id="rId66" w:history="1">
        <w:r w:rsidR="0053566E" w:rsidRPr="007623DA">
          <w:rPr>
            <w:rStyle w:val="Hyperlink"/>
            <w:rFonts w:asciiTheme="majorBidi" w:eastAsia="Times New Roman" w:hAnsiTheme="majorBidi" w:cstheme="majorBidi"/>
            <w:sz w:val="24"/>
            <w:szCs w:val="24"/>
            <w:lang w:eastAsia="en-GB"/>
          </w:rPr>
          <w:t>https://doi.org/10.1080/13583880802481666</w:t>
        </w:r>
      </w:hyperlink>
      <w:r w:rsidR="0053566E">
        <w:rPr>
          <w:rFonts w:asciiTheme="majorBidi" w:eastAsia="Times New Roman" w:hAnsiTheme="majorBidi" w:cstheme="majorBidi"/>
          <w:sz w:val="24"/>
          <w:szCs w:val="24"/>
          <w:lang w:eastAsia="en-GB"/>
        </w:rPr>
        <w:t xml:space="preserve">. </w:t>
      </w:r>
    </w:p>
    <w:p w14:paraId="567F60C7" w14:textId="430EDE07" w:rsidR="00970BBC" w:rsidRDefault="00970BBC" w:rsidP="00605ADB">
      <w:pPr>
        <w:spacing w:after="0" w:line="240" w:lineRule="auto"/>
        <w:ind w:left="170" w:hanging="170"/>
        <w:jc w:val="both"/>
        <w:rPr>
          <w:rFonts w:asciiTheme="majorBidi" w:eastAsia="Times New Roman" w:hAnsiTheme="majorBidi" w:cstheme="majorBidi"/>
          <w:sz w:val="24"/>
          <w:szCs w:val="24"/>
          <w:lang w:eastAsia="en-GB"/>
        </w:rPr>
      </w:pPr>
      <w:r w:rsidRPr="00970BBC">
        <w:rPr>
          <w:rFonts w:asciiTheme="majorBidi" w:eastAsia="Times New Roman" w:hAnsiTheme="majorBidi" w:cstheme="majorBidi"/>
          <w:sz w:val="24"/>
          <w:szCs w:val="24"/>
          <w:lang w:eastAsia="en-GB"/>
        </w:rPr>
        <w:t xml:space="preserve">Martin-Sardesai, A., Irvine, H., Tooley, S., &amp; Guthrie, J. (2017). Organizational change in an Australian university: Responses to a research assessment exercise. </w:t>
      </w:r>
      <w:r w:rsidRPr="00033E51">
        <w:rPr>
          <w:rFonts w:asciiTheme="majorBidi" w:eastAsia="Times New Roman" w:hAnsiTheme="majorBidi" w:cstheme="majorBidi"/>
          <w:i/>
          <w:iCs/>
          <w:sz w:val="24"/>
          <w:szCs w:val="24"/>
          <w:lang w:eastAsia="en-GB"/>
        </w:rPr>
        <w:t>British Accounting Review, 49</w:t>
      </w:r>
      <w:r w:rsidRPr="00970BBC">
        <w:rPr>
          <w:rFonts w:asciiTheme="majorBidi" w:eastAsia="Times New Roman" w:hAnsiTheme="majorBidi" w:cstheme="majorBidi"/>
          <w:sz w:val="24"/>
          <w:szCs w:val="24"/>
          <w:lang w:eastAsia="en-GB"/>
        </w:rPr>
        <w:t>(4), 399-412.</w:t>
      </w:r>
      <w:r w:rsidR="00033E51">
        <w:rPr>
          <w:rFonts w:asciiTheme="majorBidi" w:eastAsia="Times New Roman" w:hAnsiTheme="majorBidi" w:cstheme="majorBidi"/>
          <w:sz w:val="24"/>
          <w:szCs w:val="24"/>
          <w:lang w:eastAsia="en-GB"/>
        </w:rPr>
        <w:t xml:space="preserve"> </w:t>
      </w:r>
      <w:hyperlink r:id="rId67" w:history="1">
        <w:r w:rsidR="00033E51" w:rsidRPr="007623DA">
          <w:rPr>
            <w:rStyle w:val="Hyperlink"/>
            <w:rFonts w:asciiTheme="majorBidi" w:eastAsia="Times New Roman" w:hAnsiTheme="majorBidi" w:cstheme="majorBidi"/>
            <w:sz w:val="24"/>
            <w:szCs w:val="24"/>
            <w:lang w:eastAsia="en-GB"/>
          </w:rPr>
          <w:t>https://doi.org/10.1016/j.bar.2017.05.002</w:t>
        </w:r>
      </w:hyperlink>
      <w:r w:rsidR="00033E51">
        <w:rPr>
          <w:rFonts w:asciiTheme="majorBidi" w:eastAsia="Times New Roman" w:hAnsiTheme="majorBidi" w:cstheme="majorBidi"/>
          <w:sz w:val="24"/>
          <w:szCs w:val="24"/>
          <w:lang w:eastAsia="en-GB"/>
        </w:rPr>
        <w:t xml:space="preserve">. </w:t>
      </w:r>
    </w:p>
    <w:p w14:paraId="5C28BC01" w14:textId="70CA85C7" w:rsidR="00781FB7" w:rsidRDefault="00781FB7" w:rsidP="00605ADB">
      <w:pPr>
        <w:spacing w:after="0" w:line="240" w:lineRule="auto"/>
        <w:ind w:left="170" w:hanging="170"/>
        <w:jc w:val="both"/>
        <w:rPr>
          <w:rFonts w:asciiTheme="majorBidi" w:eastAsia="Times New Roman" w:hAnsiTheme="majorBidi" w:cstheme="majorBidi"/>
          <w:sz w:val="24"/>
          <w:szCs w:val="24"/>
          <w:lang w:eastAsia="en-GB"/>
        </w:rPr>
      </w:pPr>
      <w:r w:rsidRPr="00781FB7">
        <w:rPr>
          <w:rFonts w:asciiTheme="majorBidi" w:eastAsia="Times New Roman" w:hAnsiTheme="majorBidi" w:cstheme="majorBidi"/>
          <w:sz w:val="24"/>
          <w:szCs w:val="24"/>
          <w:lang w:eastAsia="en-GB"/>
        </w:rPr>
        <w:t>McDonald, G. (2013). Does size matter? The impact of student–staff ratios. </w:t>
      </w:r>
      <w:r w:rsidRPr="00193130">
        <w:rPr>
          <w:rFonts w:asciiTheme="majorBidi" w:eastAsia="Times New Roman" w:hAnsiTheme="majorBidi" w:cstheme="majorBidi"/>
          <w:i/>
          <w:iCs/>
          <w:sz w:val="24"/>
          <w:szCs w:val="24"/>
          <w:lang w:eastAsia="en-GB"/>
        </w:rPr>
        <w:t xml:space="preserve">Journal of Higher Education </w:t>
      </w:r>
      <w:r w:rsidRPr="00781FB7">
        <w:rPr>
          <w:rFonts w:asciiTheme="majorBidi" w:eastAsia="Times New Roman" w:hAnsiTheme="majorBidi" w:cstheme="majorBidi"/>
          <w:i/>
          <w:sz w:val="24"/>
          <w:szCs w:val="24"/>
          <w:lang w:eastAsia="en-GB"/>
        </w:rPr>
        <w:t>Policy and Management, 35</w:t>
      </w:r>
      <w:r w:rsidRPr="00781FB7">
        <w:rPr>
          <w:rFonts w:asciiTheme="majorBidi" w:eastAsia="Times New Roman" w:hAnsiTheme="majorBidi" w:cstheme="majorBidi"/>
          <w:sz w:val="24"/>
          <w:szCs w:val="24"/>
          <w:lang w:eastAsia="en-GB"/>
        </w:rPr>
        <w:t>(6), 652-667.</w:t>
      </w:r>
      <w:r w:rsidR="00193130">
        <w:rPr>
          <w:rFonts w:asciiTheme="majorBidi" w:eastAsia="Times New Roman" w:hAnsiTheme="majorBidi" w:cstheme="majorBidi"/>
          <w:sz w:val="24"/>
          <w:szCs w:val="24"/>
          <w:lang w:eastAsia="en-GB"/>
        </w:rPr>
        <w:t xml:space="preserve"> </w:t>
      </w:r>
      <w:hyperlink r:id="rId68" w:history="1">
        <w:r w:rsidR="00193130" w:rsidRPr="007623DA">
          <w:rPr>
            <w:rStyle w:val="Hyperlink"/>
            <w:rFonts w:asciiTheme="majorBidi" w:eastAsia="Times New Roman" w:hAnsiTheme="majorBidi" w:cstheme="majorBidi"/>
            <w:sz w:val="24"/>
            <w:szCs w:val="24"/>
            <w:lang w:eastAsia="en-GB"/>
          </w:rPr>
          <w:t>https://doi.org/10.1080/1360080X.2013.844668</w:t>
        </w:r>
      </w:hyperlink>
      <w:r w:rsidR="00193130">
        <w:rPr>
          <w:rFonts w:asciiTheme="majorBidi" w:eastAsia="Times New Roman" w:hAnsiTheme="majorBidi" w:cstheme="majorBidi"/>
          <w:sz w:val="24"/>
          <w:szCs w:val="24"/>
          <w:lang w:eastAsia="en-GB"/>
        </w:rPr>
        <w:t xml:space="preserve">. </w:t>
      </w:r>
    </w:p>
    <w:p w14:paraId="720E586E" w14:textId="05B85B26" w:rsidR="005253EC" w:rsidRPr="005253EC" w:rsidRDefault="005253EC" w:rsidP="00605ADB">
      <w:pPr>
        <w:spacing w:after="0" w:line="240" w:lineRule="auto"/>
        <w:ind w:left="170" w:hanging="170"/>
        <w:jc w:val="both"/>
        <w:rPr>
          <w:rFonts w:ascii="Times New Roman" w:eastAsia="Times New Roman" w:hAnsi="Times New Roman" w:cs="Times New Roman"/>
          <w:sz w:val="32"/>
          <w:szCs w:val="32"/>
          <w:lang w:eastAsia="en-GB"/>
        </w:rPr>
      </w:pPr>
      <w:r w:rsidRPr="00E77DDF">
        <w:rPr>
          <w:rFonts w:ascii="Times New Roman" w:hAnsi="Times New Roman" w:cs="Times New Roman"/>
          <w:sz w:val="24"/>
          <w:szCs w:val="24"/>
          <w:shd w:val="clear" w:color="auto" w:fill="FFFFFF"/>
        </w:rPr>
        <w:t>Meyer, J.W., &amp; Rowan, B. (1977). Institutionalized organizations: Formal structure as myth and ceremony. </w:t>
      </w:r>
      <w:r w:rsidRPr="00E77DDF">
        <w:rPr>
          <w:rFonts w:ascii="Times New Roman" w:hAnsi="Times New Roman" w:cs="Times New Roman"/>
          <w:i/>
          <w:iCs/>
          <w:sz w:val="24"/>
          <w:szCs w:val="24"/>
          <w:shd w:val="clear" w:color="auto" w:fill="FFFFFF"/>
        </w:rPr>
        <w:t xml:space="preserve">American </w:t>
      </w:r>
      <w:r w:rsidR="00DB71D2" w:rsidRPr="00E77DDF">
        <w:rPr>
          <w:rFonts w:ascii="Times New Roman" w:hAnsi="Times New Roman" w:cs="Times New Roman"/>
          <w:i/>
          <w:iCs/>
          <w:sz w:val="24"/>
          <w:szCs w:val="24"/>
          <w:shd w:val="clear" w:color="auto" w:fill="FFFFFF"/>
        </w:rPr>
        <w:t>J</w:t>
      </w:r>
      <w:r w:rsidRPr="00E77DDF">
        <w:rPr>
          <w:rFonts w:ascii="Times New Roman" w:hAnsi="Times New Roman" w:cs="Times New Roman"/>
          <w:i/>
          <w:iCs/>
          <w:sz w:val="24"/>
          <w:szCs w:val="24"/>
          <w:shd w:val="clear" w:color="auto" w:fill="FFFFFF"/>
        </w:rPr>
        <w:t xml:space="preserve">ournal of </w:t>
      </w:r>
      <w:r w:rsidR="00DB71D2" w:rsidRPr="00E77DDF">
        <w:rPr>
          <w:rFonts w:ascii="Times New Roman" w:hAnsi="Times New Roman" w:cs="Times New Roman"/>
          <w:i/>
          <w:iCs/>
          <w:sz w:val="24"/>
          <w:szCs w:val="24"/>
          <w:shd w:val="clear" w:color="auto" w:fill="FFFFFF"/>
        </w:rPr>
        <w:t>S</w:t>
      </w:r>
      <w:r w:rsidRPr="00E77DDF">
        <w:rPr>
          <w:rFonts w:ascii="Times New Roman" w:hAnsi="Times New Roman" w:cs="Times New Roman"/>
          <w:i/>
          <w:iCs/>
          <w:sz w:val="24"/>
          <w:szCs w:val="24"/>
          <w:shd w:val="clear" w:color="auto" w:fill="FFFFFF"/>
        </w:rPr>
        <w:t>ociology</w:t>
      </w:r>
      <w:r w:rsidRPr="00E77DDF">
        <w:rPr>
          <w:rFonts w:ascii="Times New Roman" w:hAnsi="Times New Roman" w:cs="Times New Roman"/>
          <w:sz w:val="24"/>
          <w:szCs w:val="24"/>
          <w:shd w:val="clear" w:color="auto" w:fill="FFFFFF"/>
        </w:rPr>
        <w:t>, </w:t>
      </w:r>
      <w:r w:rsidRPr="00E77DDF">
        <w:rPr>
          <w:rFonts w:ascii="Times New Roman" w:hAnsi="Times New Roman" w:cs="Times New Roman"/>
          <w:i/>
          <w:iCs/>
          <w:sz w:val="24"/>
          <w:szCs w:val="24"/>
          <w:shd w:val="clear" w:color="auto" w:fill="FFFFFF"/>
        </w:rPr>
        <w:t>83</w:t>
      </w:r>
      <w:r w:rsidRPr="00E77DDF">
        <w:rPr>
          <w:rFonts w:ascii="Times New Roman" w:hAnsi="Times New Roman" w:cs="Times New Roman"/>
          <w:sz w:val="24"/>
          <w:szCs w:val="24"/>
          <w:shd w:val="clear" w:color="auto" w:fill="FFFFFF"/>
        </w:rPr>
        <w:t>(2), 340-363.</w:t>
      </w:r>
      <w:r w:rsidR="00DB71D2" w:rsidRPr="00E77DDF">
        <w:rPr>
          <w:rFonts w:ascii="Times New Roman" w:hAnsi="Times New Roman" w:cs="Times New Roman"/>
          <w:sz w:val="24"/>
          <w:szCs w:val="24"/>
          <w:shd w:val="clear" w:color="auto" w:fill="FFFFFF"/>
        </w:rPr>
        <w:t xml:space="preserve"> </w:t>
      </w:r>
      <w:hyperlink r:id="rId69" w:history="1">
        <w:r w:rsidR="00DB71D2" w:rsidRPr="007623DA">
          <w:rPr>
            <w:rStyle w:val="Hyperlink"/>
            <w:rFonts w:ascii="Times New Roman" w:hAnsi="Times New Roman" w:cs="Times New Roman"/>
            <w:sz w:val="24"/>
            <w:szCs w:val="24"/>
            <w:shd w:val="clear" w:color="auto" w:fill="FFFFFF"/>
          </w:rPr>
          <w:t>https://www.jstor.org/stable/2778293</w:t>
        </w:r>
      </w:hyperlink>
      <w:r w:rsidR="00DB71D2">
        <w:rPr>
          <w:rFonts w:ascii="Times New Roman" w:hAnsi="Times New Roman" w:cs="Times New Roman"/>
          <w:color w:val="222222"/>
          <w:sz w:val="24"/>
          <w:szCs w:val="24"/>
          <w:shd w:val="clear" w:color="auto" w:fill="FFFFFF"/>
        </w:rPr>
        <w:t xml:space="preserve">. </w:t>
      </w:r>
    </w:p>
    <w:p w14:paraId="39791346" w14:textId="55F25504" w:rsidR="005253EC" w:rsidRDefault="00BF2937" w:rsidP="005253EC">
      <w:pPr>
        <w:spacing w:after="0" w:line="240" w:lineRule="auto"/>
        <w:ind w:left="170" w:hanging="170"/>
        <w:jc w:val="both"/>
        <w:rPr>
          <w:rFonts w:asciiTheme="majorBidi" w:eastAsia="Times New Roman" w:hAnsiTheme="majorBidi" w:cstheme="majorBidi"/>
          <w:sz w:val="24"/>
          <w:szCs w:val="24"/>
          <w:lang w:eastAsia="en-GB"/>
        </w:rPr>
      </w:pPr>
      <w:r w:rsidRPr="00BF2937">
        <w:rPr>
          <w:rFonts w:asciiTheme="majorBidi" w:eastAsia="Times New Roman" w:hAnsiTheme="majorBidi" w:cstheme="majorBidi"/>
          <w:sz w:val="24"/>
          <w:szCs w:val="24"/>
          <w:lang w:eastAsia="en-GB"/>
        </w:rPr>
        <w:t>Middlehurst, R. (2004). Changing internal governance: A discussion of leadership roles and management structures in UK universities. </w:t>
      </w:r>
      <w:r w:rsidRPr="00BF2937">
        <w:rPr>
          <w:rFonts w:asciiTheme="majorBidi" w:eastAsia="Times New Roman" w:hAnsiTheme="majorBidi" w:cstheme="majorBidi"/>
          <w:i/>
          <w:iCs/>
          <w:sz w:val="24"/>
          <w:szCs w:val="24"/>
          <w:lang w:eastAsia="en-GB"/>
        </w:rPr>
        <w:t>Higher Education Quarterly, 58</w:t>
      </w:r>
      <w:r w:rsidRPr="00BF2937">
        <w:rPr>
          <w:rFonts w:asciiTheme="majorBidi" w:eastAsia="Times New Roman" w:hAnsiTheme="majorBidi" w:cstheme="majorBidi"/>
          <w:sz w:val="24"/>
          <w:szCs w:val="24"/>
          <w:lang w:eastAsia="en-GB"/>
        </w:rPr>
        <w:t>(4), 258-279.</w:t>
      </w:r>
      <w:r w:rsidR="004D5CED">
        <w:rPr>
          <w:rFonts w:asciiTheme="majorBidi" w:eastAsia="Times New Roman" w:hAnsiTheme="majorBidi" w:cstheme="majorBidi"/>
          <w:sz w:val="24"/>
          <w:szCs w:val="24"/>
          <w:lang w:eastAsia="en-GB"/>
        </w:rPr>
        <w:t xml:space="preserve"> </w:t>
      </w:r>
      <w:hyperlink r:id="rId70" w:history="1">
        <w:r w:rsidR="00033E51" w:rsidRPr="007623DA">
          <w:rPr>
            <w:rStyle w:val="Hyperlink"/>
            <w:rFonts w:asciiTheme="majorBidi" w:eastAsia="Times New Roman" w:hAnsiTheme="majorBidi" w:cstheme="majorBidi"/>
            <w:sz w:val="24"/>
            <w:szCs w:val="24"/>
            <w:lang w:eastAsia="en-GB"/>
          </w:rPr>
          <w:t>https://doi.org/10.1111/j.1468-2273.2004.00273.x</w:t>
        </w:r>
      </w:hyperlink>
      <w:r w:rsidR="004D5CED">
        <w:rPr>
          <w:rFonts w:asciiTheme="majorBidi" w:eastAsia="Times New Roman" w:hAnsiTheme="majorBidi" w:cstheme="majorBidi"/>
          <w:sz w:val="24"/>
          <w:szCs w:val="24"/>
          <w:lang w:eastAsia="en-GB"/>
        </w:rPr>
        <w:t>.</w:t>
      </w:r>
    </w:p>
    <w:p w14:paraId="7964CD2B" w14:textId="0C8D71D0" w:rsidR="00033E51" w:rsidRDefault="00033E51" w:rsidP="001700CD">
      <w:pPr>
        <w:spacing w:after="0" w:line="240" w:lineRule="auto"/>
        <w:ind w:left="170" w:hanging="170"/>
        <w:jc w:val="both"/>
        <w:rPr>
          <w:rFonts w:asciiTheme="majorBidi" w:eastAsia="Times New Roman" w:hAnsiTheme="majorBidi" w:cstheme="majorBidi"/>
          <w:sz w:val="24"/>
          <w:szCs w:val="24"/>
          <w:lang w:eastAsia="en-GB"/>
        </w:rPr>
      </w:pPr>
      <w:r w:rsidRPr="00033E51">
        <w:rPr>
          <w:rFonts w:asciiTheme="majorBidi" w:eastAsia="Times New Roman" w:hAnsiTheme="majorBidi" w:cstheme="majorBidi"/>
          <w:sz w:val="24"/>
          <w:szCs w:val="24"/>
          <w:lang w:eastAsia="en-GB"/>
        </w:rPr>
        <w:t xml:space="preserve">Munir, K.A. (2019). Challenging institutional theory’s critical credentials. </w:t>
      </w:r>
      <w:r w:rsidRPr="001700CD">
        <w:rPr>
          <w:rFonts w:asciiTheme="majorBidi" w:eastAsia="Times New Roman" w:hAnsiTheme="majorBidi" w:cstheme="majorBidi"/>
          <w:i/>
          <w:iCs/>
          <w:sz w:val="24"/>
          <w:szCs w:val="24"/>
          <w:lang w:eastAsia="en-GB"/>
        </w:rPr>
        <w:t>Organization Theory, 1</w:t>
      </w:r>
      <w:r w:rsidRPr="00033E51">
        <w:rPr>
          <w:rFonts w:asciiTheme="majorBidi" w:eastAsia="Times New Roman" w:hAnsiTheme="majorBidi" w:cstheme="majorBidi"/>
          <w:sz w:val="24"/>
          <w:szCs w:val="24"/>
          <w:lang w:eastAsia="en-GB"/>
        </w:rPr>
        <w:t xml:space="preserve">(1), </w:t>
      </w:r>
      <w:r w:rsidR="001700CD">
        <w:rPr>
          <w:rFonts w:asciiTheme="majorBidi" w:eastAsia="Times New Roman" w:hAnsiTheme="majorBidi" w:cstheme="majorBidi"/>
          <w:sz w:val="24"/>
          <w:szCs w:val="24"/>
          <w:lang w:eastAsia="en-GB"/>
        </w:rPr>
        <w:t>1-10</w:t>
      </w:r>
      <w:r w:rsidRPr="00033E51">
        <w:rPr>
          <w:rFonts w:asciiTheme="majorBidi" w:eastAsia="Times New Roman" w:hAnsiTheme="majorBidi" w:cstheme="majorBidi"/>
          <w:sz w:val="24"/>
          <w:szCs w:val="24"/>
          <w:lang w:eastAsia="en-GB"/>
        </w:rPr>
        <w:t>.</w:t>
      </w:r>
      <w:r w:rsidR="001700CD">
        <w:rPr>
          <w:rFonts w:asciiTheme="majorBidi" w:eastAsia="Times New Roman" w:hAnsiTheme="majorBidi" w:cstheme="majorBidi"/>
          <w:sz w:val="24"/>
          <w:szCs w:val="24"/>
          <w:lang w:eastAsia="en-GB"/>
        </w:rPr>
        <w:t xml:space="preserve"> </w:t>
      </w:r>
      <w:hyperlink r:id="rId71" w:history="1">
        <w:r w:rsidR="00BD21C6" w:rsidRPr="007623DA">
          <w:rPr>
            <w:rStyle w:val="Hyperlink"/>
            <w:rFonts w:asciiTheme="majorBidi" w:eastAsia="Times New Roman" w:hAnsiTheme="majorBidi" w:cstheme="majorBidi"/>
            <w:sz w:val="24"/>
            <w:szCs w:val="24"/>
            <w:lang w:eastAsia="en-GB"/>
          </w:rPr>
          <w:t>https://doi.org/10.1177/2631787719887975</w:t>
        </w:r>
      </w:hyperlink>
      <w:r w:rsidR="001700CD">
        <w:rPr>
          <w:rFonts w:asciiTheme="majorBidi" w:eastAsia="Times New Roman" w:hAnsiTheme="majorBidi" w:cstheme="majorBidi"/>
          <w:sz w:val="24"/>
          <w:szCs w:val="24"/>
          <w:lang w:eastAsia="en-GB"/>
        </w:rPr>
        <w:t xml:space="preserve">. </w:t>
      </w:r>
    </w:p>
    <w:p w14:paraId="10E0D8AA" w14:textId="0CAF1537" w:rsidR="0008028F" w:rsidRPr="00511F36" w:rsidRDefault="0008028F" w:rsidP="00605ADB">
      <w:pPr>
        <w:spacing w:after="0" w:line="240" w:lineRule="auto"/>
        <w:ind w:left="170" w:hanging="170"/>
        <w:jc w:val="both"/>
        <w:rPr>
          <w:rFonts w:asciiTheme="majorBidi" w:eastAsia="Times New Roman" w:hAnsiTheme="majorBidi" w:cstheme="majorBidi"/>
          <w:sz w:val="24"/>
          <w:szCs w:val="24"/>
          <w:lang w:eastAsia="en-GB"/>
        </w:rPr>
      </w:pPr>
      <w:r w:rsidRPr="0008028F">
        <w:rPr>
          <w:rFonts w:asciiTheme="majorBidi" w:eastAsia="Times New Roman" w:hAnsiTheme="majorBidi" w:cstheme="majorBidi"/>
          <w:sz w:val="24"/>
          <w:szCs w:val="24"/>
          <w:lang w:eastAsia="en-GB"/>
        </w:rPr>
        <w:t>Nalikka, A. (2009). Impact of gender diversity on voluntary disclosure in annual reports. </w:t>
      </w:r>
      <w:r w:rsidRPr="0008028F">
        <w:rPr>
          <w:rFonts w:asciiTheme="majorBidi" w:eastAsia="Times New Roman" w:hAnsiTheme="majorBidi" w:cstheme="majorBidi"/>
          <w:i/>
          <w:iCs/>
          <w:sz w:val="24"/>
          <w:szCs w:val="24"/>
          <w:lang w:eastAsia="en-GB"/>
        </w:rPr>
        <w:t xml:space="preserve">Accounting </w:t>
      </w:r>
      <w:r w:rsidR="007E2EA6">
        <w:rPr>
          <w:rFonts w:asciiTheme="majorBidi" w:eastAsia="Times New Roman" w:hAnsiTheme="majorBidi" w:cstheme="majorBidi"/>
          <w:i/>
          <w:iCs/>
          <w:sz w:val="24"/>
          <w:szCs w:val="24"/>
          <w:lang w:eastAsia="en-GB"/>
        </w:rPr>
        <w:t>and</w:t>
      </w:r>
      <w:r w:rsidRPr="0008028F">
        <w:rPr>
          <w:rFonts w:asciiTheme="majorBidi" w:eastAsia="Times New Roman" w:hAnsiTheme="majorBidi" w:cstheme="majorBidi"/>
          <w:i/>
          <w:iCs/>
          <w:sz w:val="24"/>
          <w:szCs w:val="24"/>
          <w:lang w:eastAsia="en-GB"/>
        </w:rPr>
        <w:t xml:space="preserve"> Taxation, 1</w:t>
      </w:r>
      <w:r w:rsidRPr="0008028F">
        <w:rPr>
          <w:rFonts w:asciiTheme="majorBidi" w:eastAsia="Times New Roman" w:hAnsiTheme="majorBidi" w:cstheme="majorBidi"/>
          <w:sz w:val="24"/>
          <w:szCs w:val="24"/>
          <w:lang w:eastAsia="en-GB"/>
        </w:rPr>
        <w:t>(1), 101-113.</w:t>
      </w:r>
      <w:r w:rsidR="007E2EA6">
        <w:rPr>
          <w:rFonts w:asciiTheme="majorBidi" w:eastAsia="Times New Roman" w:hAnsiTheme="majorBidi" w:cstheme="majorBidi"/>
          <w:sz w:val="24"/>
          <w:szCs w:val="24"/>
          <w:lang w:eastAsia="en-GB"/>
        </w:rPr>
        <w:t xml:space="preserve"> Available at: </w:t>
      </w:r>
      <w:hyperlink r:id="rId72" w:history="1">
        <w:r w:rsidR="007E2EA6" w:rsidRPr="007623DA">
          <w:rPr>
            <w:rStyle w:val="Hyperlink"/>
            <w:rFonts w:asciiTheme="majorBidi" w:eastAsia="Times New Roman" w:hAnsiTheme="majorBidi" w:cstheme="majorBidi"/>
            <w:sz w:val="24"/>
            <w:szCs w:val="24"/>
            <w:lang w:eastAsia="en-GB"/>
          </w:rPr>
          <w:t>https://www.theibfr.com/download/at/2009-at/at-v1n1-2009/AT-V1N12009-8.pdf</w:t>
        </w:r>
      </w:hyperlink>
      <w:r w:rsidR="007E2EA6">
        <w:rPr>
          <w:rFonts w:asciiTheme="majorBidi" w:eastAsia="Times New Roman" w:hAnsiTheme="majorBidi" w:cstheme="majorBidi"/>
          <w:sz w:val="24"/>
          <w:szCs w:val="24"/>
          <w:lang w:eastAsia="en-GB"/>
        </w:rPr>
        <w:t xml:space="preserve"> (Accessed on October 2019).</w:t>
      </w:r>
    </w:p>
    <w:p w14:paraId="37CC05FA" w14:textId="78B6016E" w:rsidR="00E77DDF" w:rsidRDefault="004E5B85" w:rsidP="00E77DDF">
      <w:pPr>
        <w:spacing w:after="0" w:line="240" w:lineRule="auto"/>
        <w:ind w:left="170" w:hanging="170"/>
        <w:jc w:val="both"/>
        <w:rPr>
          <w:rFonts w:asciiTheme="majorBidi" w:eastAsia="Times New Roman" w:hAnsiTheme="majorBidi" w:cstheme="majorBidi"/>
          <w:sz w:val="24"/>
          <w:szCs w:val="24"/>
          <w:lang w:eastAsia="en-GB"/>
        </w:rPr>
      </w:pPr>
      <w:r w:rsidRPr="00511F36">
        <w:rPr>
          <w:rFonts w:asciiTheme="majorBidi" w:eastAsia="Times New Roman" w:hAnsiTheme="majorBidi" w:cstheme="majorBidi"/>
          <w:sz w:val="24"/>
          <w:szCs w:val="24"/>
          <w:lang w:eastAsia="en-GB"/>
        </w:rPr>
        <w:t xml:space="preserve">Nelson, M., Banks, W., </w:t>
      </w:r>
      <w:r w:rsidR="006B6C5B">
        <w:rPr>
          <w:rFonts w:asciiTheme="majorBidi" w:eastAsia="Times New Roman" w:hAnsiTheme="majorBidi" w:cstheme="majorBidi"/>
          <w:sz w:val="24"/>
          <w:szCs w:val="24"/>
          <w:lang w:eastAsia="en-GB"/>
        </w:rPr>
        <w:t>&amp;</w:t>
      </w:r>
      <w:r w:rsidR="0043712E">
        <w:rPr>
          <w:rFonts w:asciiTheme="majorBidi" w:eastAsia="Times New Roman" w:hAnsiTheme="majorBidi" w:cstheme="majorBidi"/>
          <w:sz w:val="24"/>
          <w:szCs w:val="24"/>
          <w:lang w:eastAsia="en-GB"/>
        </w:rPr>
        <w:t xml:space="preserve"> Fisher, J. </w:t>
      </w:r>
      <w:r w:rsidR="006B6C5B">
        <w:rPr>
          <w:rFonts w:asciiTheme="majorBidi" w:eastAsia="Times New Roman" w:hAnsiTheme="majorBidi" w:cstheme="majorBidi"/>
          <w:sz w:val="24"/>
          <w:szCs w:val="24"/>
          <w:lang w:eastAsia="en-GB"/>
        </w:rPr>
        <w:t>(</w:t>
      </w:r>
      <w:r w:rsidRPr="00511F36">
        <w:rPr>
          <w:rFonts w:asciiTheme="majorBidi" w:eastAsia="Times New Roman" w:hAnsiTheme="majorBidi" w:cstheme="majorBidi"/>
          <w:sz w:val="24"/>
          <w:szCs w:val="24"/>
          <w:lang w:eastAsia="en-GB"/>
        </w:rPr>
        <w:t>2003</w:t>
      </w:r>
      <w:r w:rsidR="006B6C5B">
        <w:rPr>
          <w:rFonts w:asciiTheme="majorBidi" w:eastAsia="Times New Roman" w:hAnsiTheme="majorBidi" w:cstheme="majorBidi"/>
          <w:sz w:val="24"/>
          <w:szCs w:val="24"/>
          <w:lang w:eastAsia="en-GB"/>
        </w:rPr>
        <w:t>)</w:t>
      </w:r>
      <w:r w:rsidRPr="00511F36">
        <w:rPr>
          <w:rFonts w:asciiTheme="majorBidi" w:eastAsia="Times New Roman" w:hAnsiTheme="majorBidi" w:cstheme="majorBidi"/>
          <w:sz w:val="24"/>
          <w:szCs w:val="24"/>
          <w:lang w:eastAsia="en-GB"/>
        </w:rPr>
        <w:t xml:space="preserve">. Improved accountability disclosures by Canadian universities. </w:t>
      </w:r>
      <w:r w:rsidRPr="00511F36">
        <w:rPr>
          <w:rFonts w:asciiTheme="majorBidi" w:eastAsia="Times New Roman" w:hAnsiTheme="majorBidi" w:cstheme="majorBidi"/>
          <w:i/>
          <w:iCs/>
          <w:sz w:val="24"/>
          <w:szCs w:val="24"/>
          <w:lang w:eastAsia="en-GB"/>
        </w:rPr>
        <w:t>C</w:t>
      </w:r>
      <w:r w:rsidR="0043712E">
        <w:rPr>
          <w:rFonts w:asciiTheme="majorBidi" w:eastAsia="Times New Roman" w:hAnsiTheme="majorBidi" w:cstheme="majorBidi"/>
          <w:i/>
          <w:iCs/>
          <w:sz w:val="24"/>
          <w:szCs w:val="24"/>
          <w:lang w:eastAsia="en-GB"/>
        </w:rPr>
        <w:t>anadian Accounting Perspectives</w:t>
      </w:r>
      <w:r w:rsidR="006B6C5B">
        <w:rPr>
          <w:rFonts w:asciiTheme="majorBidi" w:eastAsia="Times New Roman" w:hAnsiTheme="majorBidi" w:cstheme="majorBidi"/>
          <w:i/>
          <w:iCs/>
          <w:sz w:val="24"/>
          <w:szCs w:val="24"/>
          <w:lang w:eastAsia="en-GB"/>
        </w:rPr>
        <w:t>,</w:t>
      </w:r>
      <w:r w:rsidRPr="00511F36">
        <w:rPr>
          <w:rFonts w:asciiTheme="majorBidi" w:eastAsia="Times New Roman" w:hAnsiTheme="majorBidi" w:cstheme="majorBidi"/>
          <w:i/>
          <w:iCs/>
          <w:sz w:val="24"/>
          <w:szCs w:val="24"/>
          <w:lang w:eastAsia="en-GB"/>
        </w:rPr>
        <w:t xml:space="preserve"> 2</w:t>
      </w:r>
      <w:r w:rsidR="006B6C5B">
        <w:rPr>
          <w:rFonts w:asciiTheme="majorBidi" w:eastAsia="Times New Roman" w:hAnsiTheme="majorBidi" w:cstheme="majorBidi"/>
          <w:sz w:val="24"/>
          <w:szCs w:val="24"/>
          <w:lang w:eastAsia="en-GB"/>
        </w:rPr>
        <w:t xml:space="preserve">(1), </w:t>
      </w:r>
      <w:r w:rsidRPr="00511F36">
        <w:rPr>
          <w:rFonts w:asciiTheme="majorBidi" w:eastAsia="Times New Roman" w:hAnsiTheme="majorBidi" w:cstheme="majorBidi"/>
          <w:sz w:val="24"/>
          <w:szCs w:val="24"/>
          <w:lang w:eastAsia="en-GB"/>
        </w:rPr>
        <w:t>77-107.</w:t>
      </w:r>
      <w:r w:rsidR="00E77DDF" w:rsidRPr="00E77DDF">
        <w:rPr>
          <w:rFonts w:ascii="Arial" w:eastAsia="Times New Roman" w:hAnsi="Arial" w:cs="Arial"/>
          <w:color w:val="767676"/>
          <w:sz w:val="21"/>
          <w:szCs w:val="21"/>
          <w:shd w:val="clear" w:color="auto" w:fill="FFFFFF"/>
          <w:lang w:eastAsia="en-GB"/>
        </w:rPr>
        <w:t xml:space="preserve"> </w:t>
      </w:r>
      <w:r w:rsidR="00E77DDF" w:rsidRPr="00E77DDF">
        <w:rPr>
          <w:rFonts w:asciiTheme="majorBidi" w:eastAsia="Times New Roman" w:hAnsiTheme="majorBidi" w:cstheme="majorBidi"/>
          <w:sz w:val="24"/>
          <w:szCs w:val="24"/>
          <w:lang w:eastAsia="en-GB"/>
        </w:rPr>
        <w:t> </w:t>
      </w:r>
      <w:hyperlink r:id="rId73" w:history="1">
        <w:r w:rsidR="00E77DDF" w:rsidRPr="00E77DDF">
          <w:rPr>
            <w:rStyle w:val="Hyperlink"/>
            <w:rFonts w:asciiTheme="majorBidi" w:eastAsia="Times New Roman" w:hAnsiTheme="majorBidi" w:cstheme="majorBidi"/>
            <w:sz w:val="24"/>
            <w:szCs w:val="24"/>
            <w:lang w:eastAsia="en-GB"/>
          </w:rPr>
          <w:t>https://doi.org/10.1506/1H5W-R5DC-U15T-KJPH</w:t>
        </w:r>
      </w:hyperlink>
      <w:r w:rsidR="00E77DDF">
        <w:rPr>
          <w:rFonts w:asciiTheme="majorBidi" w:eastAsia="Times New Roman" w:hAnsiTheme="majorBidi" w:cstheme="majorBidi"/>
          <w:sz w:val="24"/>
          <w:szCs w:val="24"/>
          <w:lang w:eastAsia="en-GB"/>
        </w:rPr>
        <w:t xml:space="preserve">. </w:t>
      </w:r>
    </w:p>
    <w:p w14:paraId="37A8E55A" w14:textId="2953E419" w:rsidR="00F6336B" w:rsidRDefault="00F6336B" w:rsidP="008F489B">
      <w:pPr>
        <w:spacing w:after="0" w:line="240" w:lineRule="auto"/>
        <w:ind w:left="170" w:hanging="170"/>
        <w:jc w:val="both"/>
        <w:rPr>
          <w:rFonts w:asciiTheme="majorBidi" w:eastAsia="Times New Roman" w:hAnsiTheme="majorBidi" w:cstheme="majorBidi"/>
          <w:sz w:val="24"/>
          <w:szCs w:val="24"/>
          <w:lang w:eastAsia="en-GB"/>
        </w:rPr>
      </w:pPr>
      <w:r w:rsidRPr="00F6336B">
        <w:rPr>
          <w:rFonts w:asciiTheme="majorBidi" w:eastAsia="Times New Roman" w:hAnsiTheme="majorBidi" w:cstheme="majorBidi"/>
          <w:sz w:val="24"/>
          <w:szCs w:val="24"/>
          <w:lang w:eastAsia="en-GB"/>
        </w:rPr>
        <w:t>Nie, L., Liu, H.K., &amp; Cheng, W. (2016). Exploring factors that influence voluntary disclosure by Chinese foundations. </w:t>
      </w:r>
      <w:r w:rsidR="00FE1995" w:rsidRPr="00FE1995">
        <w:rPr>
          <w:rFonts w:ascii="Times New Roman" w:hAnsi="Times New Roman" w:cs="Times New Roman"/>
          <w:i/>
          <w:iCs/>
          <w:sz w:val="24"/>
          <w:szCs w:val="24"/>
        </w:rPr>
        <w:t>VOLUNTAS</w:t>
      </w:r>
      <w:r w:rsidR="00FE1995" w:rsidRPr="00C86DB5">
        <w:rPr>
          <w:rFonts w:ascii="Times New Roman" w:hAnsi="Times New Roman" w:cs="Times New Roman"/>
          <w:i/>
          <w:iCs/>
          <w:sz w:val="24"/>
          <w:szCs w:val="24"/>
        </w:rPr>
        <w:t>:</w:t>
      </w:r>
      <w:r w:rsidRPr="00F6336B">
        <w:rPr>
          <w:rFonts w:asciiTheme="majorBidi" w:eastAsia="Times New Roman" w:hAnsiTheme="majorBidi" w:cstheme="majorBidi"/>
          <w:i/>
          <w:iCs/>
          <w:sz w:val="24"/>
          <w:szCs w:val="24"/>
          <w:lang w:eastAsia="en-GB"/>
        </w:rPr>
        <w:t>International Journal of Voluntary and Nonprofit Organizations, 27</w:t>
      </w:r>
      <w:r w:rsidRPr="00F6336B">
        <w:rPr>
          <w:rFonts w:asciiTheme="majorBidi" w:eastAsia="Times New Roman" w:hAnsiTheme="majorBidi" w:cstheme="majorBidi"/>
          <w:sz w:val="24"/>
          <w:szCs w:val="24"/>
          <w:lang w:eastAsia="en-GB"/>
        </w:rPr>
        <w:t>(5), 2374-2400.</w:t>
      </w:r>
      <w:r w:rsidR="002479E6">
        <w:rPr>
          <w:rFonts w:asciiTheme="majorBidi" w:eastAsia="Times New Roman" w:hAnsiTheme="majorBidi" w:cstheme="majorBidi"/>
          <w:sz w:val="24"/>
          <w:szCs w:val="24"/>
          <w:lang w:eastAsia="en-GB"/>
        </w:rPr>
        <w:t xml:space="preserve"> </w:t>
      </w:r>
      <w:hyperlink r:id="rId74" w:history="1">
        <w:r w:rsidR="002479E6" w:rsidRPr="007623DA">
          <w:rPr>
            <w:rStyle w:val="Hyperlink"/>
            <w:rFonts w:asciiTheme="majorBidi" w:eastAsia="Times New Roman" w:hAnsiTheme="majorBidi" w:cstheme="majorBidi"/>
            <w:sz w:val="24"/>
            <w:szCs w:val="24"/>
            <w:lang w:eastAsia="en-GB"/>
          </w:rPr>
          <w:t>https://doi.org/10.1007/s11266-016-9689-0</w:t>
        </w:r>
      </w:hyperlink>
      <w:r w:rsidR="002479E6">
        <w:rPr>
          <w:rFonts w:asciiTheme="majorBidi" w:eastAsia="Times New Roman" w:hAnsiTheme="majorBidi" w:cstheme="majorBidi"/>
          <w:sz w:val="24"/>
          <w:szCs w:val="24"/>
          <w:lang w:eastAsia="en-GB"/>
        </w:rPr>
        <w:t xml:space="preserve">. </w:t>
      </w:r>
    </w:p>
    <w:p w14:paraId="62095481" w14:textId="4BF37585" w:rsidR="00065094" w:rsidRDefault="00065094" w:rsidP="00605ADB">
      <w:pPr>
        <w:spacing w:after="0" w:line="240" w:lineRule="auto"/>
        <w:ind w:left="170" w:hanging="170"/>
        <w:jc w:val="both"/>
        <w:rPr>
          <w:rFonts w:asciiTheme="majorBidi" w:eastAsia="Times New Roman" w:hAnsiTheme="majorBidi" w:cstheme="majorBidi"/>
          <w:sz w:val="24"/>
          <w:szCs w:val="24"/>
          <w:lang w:eastAsia="en-GB"/>
        </w:rPr>
      </w:pPr>
      <w:r w:rsidRPr="00065094">
        <w:rPr>
          <w:rFonts w:asciiTheme="majorBidi" w:eastAsia="Times New Roman" w:hAnsiTheme="majorBidi" w:cstheme="majorBidi"/>
          <w:sz w:val="24"/>
          <w:szCs w:val="24"/>
          <w:lang w:eastAsia="en-GB"/>
        </w:rPr>
        <w:t>Nilsson, F. (2002). Strategy and management control systems: A study of the design and use of management control systems following takeover. </w:t>
      </w:r>
      <w:r w:rsidRPr="00065094">
        <w:rPr>
          <w:rFonts w:asciiTheme="majorBidi" w:eastAsia="Times New Roman" w:hAnsiTheme="majorBidi" w:cstheme="majorBidi"/>
          <w:i/>
          <w:iCs/>
          <w:sz w:val="24"/>
          <w:szCs w:val="24"/>
          <w:lang w:eastAsia="en-GB"/>
        </w:rPr>
        <w:t xml:space="preserve">Accounting </w:t>
      </w:r>
      <w:r w:rsidR="00C63E8D">
        <w:rPr>
          <w:rFonts w:asciiTheme="majorBidi" w:eastAsia="Times New Roman" w:hAnsiTheme="majorBidi" w:cstheme="majorBidi"/>
          <w:i/>
          <w:iCs/>
          <w:sz w:val="24"/>
          <w:szCs w:val="24"/>
          <w:lang w:eastAsia="en-GB"/>
        </w:rPr>
        <w:t>and</w:t>
      </w:r>
      <w:r w:rsidRPr="00065094">
        <w:rPr>
          <w:rFonts w:asciiTheme="majorBidi" w:eastAsia="Times New Roman" w:hAnsiTheme="majorBidi" w:cstheme="majorBidi"/>
          <w:i/>
          <w:iCs/>
          <w:sz w:val="24"/>
          <w:szCs w:val="24"/>
          <w:lang w:eastAsia="en-GB"/>
        </w:rPr>
        <w:t xml:space="preserve"> Finance, 42</w:t>
      </w:r>
      <w:r w:rsidRPr="00065094">
        <w:rPr>
          <w:rFonts w:asciiTheme="majorBidi" w:eastAsia="Times New Roman" w:hAnsiTheme="majorBidi" w:cstheme="majorBidi"/>
          <w:sz w:val="24"/>
          <w:szCs w:val="24"/>
          <w:lang w:eastAsia="en-GB"/>
        </w:rPr>
        <w:t>(1), 41-71.</w:t>
      </w:r>
      <w:r w:rsidR="00C63E8D">
        <w:rPr>
          <w:rFonts w:asciiTheme="majorBidi" w:eastAsia="Times New Roman" w:hAnsiTheme="majorBidi" w:cstheme="majorBidi"/>
          <w:sz w:val="24"/>
          <w:szCs w:val="24"/>
          <w:lang w:eastAsia="en-GB"/>
        </w:rPr>
        <w:t xml:space="preserve"> </w:t>
      </w:r>
      <w:hyperlink r:id="rId75" w:history="1">
        <w:r w:rsidR="00C63E8D" w:rsidRPr="007623DA">
          <w:rPr>
            <w:rStyle w:val="Hyperlink"/>
            <w:rFonts w:asciiTheme="majorBidi" w:eastAsia="Times New Roman" w:hAnsiTheme="majorBidi" w:cstheme="majorBidi"/>
            <w:sz w:val="24"/>
            <w:szCs w:val="24"/>
            <w:lang w:eastAsia="en-GB"/>
          </w:rPr>
          <w:t>https://doi.org/10.1111/1467-629X.00003</w:t>
        </w:r>
      </w:hyperlink>
      <w:r w:rsidR="00C63E8D">
        <w:rPr>
          <w:rFonts w:asciiTheme="majorBidi" w:eastAsia="Times New Roman" w:hAnsiTheme="majorBidi" w:cstheme="majorBidi"/>
          <w:sz w:val="24"/>
          <w:szCs w:val="24"/>
          <w:lang w:eastAsia="en-GB"/>
        </w:rPr>
        <w:t xml:space="preserve">. </w:t>
      </w:r>
    </w:p>
    <w:p w14:paraId="6224F673" w14:textId="354DF54E" w:rsidR="00AB3930" w:rsidRPr="00511F36" w:rsidRDefault="00AB3930" w:rsidP="00605ADB">
      <w:pPr>
        <w:spacing w:after="0" w:line="240" w:lineRule="auto"/>
        <w:ind w:left="170" w:hanging="170"/>
        <w:jc w:val="both"/>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 xml:space="preserve">Nolan Committee. (1995, 1996). </w:t>
      </w:r>
      <w:r w:rsidRPr="002E69BB">
        <w:rPr>
          <w:rFonts w:asciiTheme="majorBidi" w:eastAsia="Times New Roman" w:hAnsiTheme="majorBidi" w:cstheme="majorBidi"/>
          <w:i/>
          <w:iCs/>
          <w:sz w:val="24"/>
          <w:szCs w:val="24"/>
          <w:lang w:eastAsia="en-GB"/>
        </w:rPr>
        <w:t>First and second reports of Nolan committee on standards in public life</w:t>
      </w:r>
      <w:r>
        <w:rPr>
          <w:rFonts w:asciiTheme="majorBidi" w:eastAsia="Times New Roman" w:hAnsiTheme="majorBidi" w:cstheme="majorBidi"/>
          <w:sz w:val="24"/>
          <w:szCs w:val="24"/>
          <w:lang w:eastAsia="en-GB"/>
        </w:rPr>
        <w:t xml:space="preserve">. </w:t>
      </w:r>
      <w:r w:rsidRPr="00AB3930">
        <w:rPr>
          <w:rFonts w:asciiTheme="majorBidi" w:eastAsia="Times New Roman" w:hAnsiTheme="majorBidi" w:cstheme="majorBidi"/>
          <w:sz w:val="24"/>
          <w:szCs w:val="24"/>
          <w:lang w:eastAsia="en-GB"/>
        </w:rPr>
        <w:t>London: HMSO</w:t>
      </w:r>
      <w:r>
        <w:rPr>
          <w:rFonts w:asciiTheme="majorBidi" w:eastAsia="Times New Roman" w:hAnsiTheme="majorBidi" w:cstheme="majorBidi"/>
          <w:sz w:val="24"/>
          <w:szCs w:val="24"/>
          <w:lang w:eastAsia="en-GB"/>
        </w:rPr>
        <w:t>.</w:t>
      </w:r>
    </w:p>
    <w:p w14:paraId="0DFF5529" w14:textId="7961C6A7" w:rsidR="00E25DDA" w:rsidRPr="00E25DDA" w:rsidRDefault="00E25DDA" w:rsidP="00E25DDA">
      <w:pPr>
        <w:spacing w:after="0" w:line="240" w:lineRule="auto"/>
        <w:ind w:left="170" w:hanging="170"/>
        <w:jc w:val="both"/>
        <w:rPr>
          <w:rFonts w:asciiTheme="majorBidi" w:eastAsia="Times New Roman" w:hAnsiTheme="majorBidi" w:cstheme="majorBidi"/>
          <w:sz w:val="24"/>
          <w:szCs w:val="24"/>
          <w:lang w:eastAsia="en-GB"/>
        </w:rPr>
      </w:pPr>
      <w:r w:rsidRPr="00E25DDA">
        <w:rPr>
          <w:rFonts w:asciiTheme="majorBidi" w:eastAsia="Times New Roman" w:hAnsiTheme="majorBidi" w:cstheme="majorBidi"/>
          <w:sz w:val="24"/>
          <w:szCs w:val="24"/>
          <w:lang w:eastAsia="en-GB"/>
        </w:rPr>
        <w:t xml:space="preserve">Ntim, C.G. (2018). </w:t>
      </w:r>
      <w:r w:rsidRPr="00E25DDA">
        <w:rPr>
          <w:rFonts w:asciiTheme="majorBidi" w:eastAsia="Times New Roman" w:hAnsiTheme="majorBidi" w:cstheme="majorBidi"/>
          <w:i/>
          <w:iCs/>
          <w:sz w:val="24"/>
          <w:szCs w:val="24"/>
          <w:lang w:eastAsia="en-GB"/>
        </w:rPr>
        <w:t>Governance and risk disclosure practices in UK higher education institutions in an era of austerity and reform</w:t>
      </w:r>
      <w:r w:rsidRPr="00E25DDA">
        <w:rPr>
          <w:rFonts w:asciiTheme="majorBidi" w:eastAsia="Times New Roman" w:hAnsiTheme="majorBidi" w:cstheme="majorBidi"/>
          <w:sz w:val="24"/>
          <w:szCs w:val="24"/>
          <w:lang w:eastAsia="en-GB"/>
        </w:rPr>
        <w:t>. London. LFHE.</w:t>
      </w:r>
    </w:p>
    <w:p w14:paraId="33348A66" w14:textId="5BDD724D" w:rsidR="004E5B85" w:rsidRDefault="004E5B85" w:rsidP="00605ADB">
      <w:pPr>
        <w:spacing w:after="0" w:line="240" w:lineRule="auto"/>
        <w:ind w:left="170" w:hanging="170"/>
        <w:jc w:val="both"/>
        <w:rPr>
          <w:rFonts w:asciiTheme="majorBidi" w:eastAsia="Times New Roman" w:hAnsiTheme="majorBidi" w:cstheme="majorBidi"/>
          <w:sz w:val="24"/>
          <w:szCs w:val="24"/>
          <w:lang w:eastAsia="en-GB"/>
        </w:rPr>
      </w:pPr>
      <w:r w:rsidRPr="00511F36">
        <w:rPr>
          <w:rFonts w:asciiTheme="majorBidi" w:eastAsia="Times New Roman" w:hAnsiTheme="majorBidi" w:cstheme="majorBidi"/>
          <w:sz w:val="24"/>
          <w:szCs w:val="24"/>
          <w:lang w:eastAsia="en-GB"/>
        </w:rPr>
        <w:t xml:space="preserve">Ntim, C.G., Opong, K.K., Danbolt, J., </w:t>
      </w:r>
      <w:r w:rsidR="00D51F99">
        <w:rPr>
          <w:rFonts w:asciiTheme="majorBidi" w:eastAsia="Times New Roman" w:hAnsiTheme="majorBidi" w:cstheme="majorBidi"/>
          <w:sz w:val="24"/>
          <w:szCs w:val="24"/>
          <w:lang w:eastAsia="en-GB"/>
        </w:rPr>
        <w:t>&amp;</w:t>
      </w:r>
      <w:r w:rsidR="0043712E">
        <w:rPr>
          <w:rFonts w:asciiTheme="majorBidi" w:eastAsia="Times New Roman" w:hAnsiTheme="majorBidi" w:cstheme="majorBidi"/>
          <w:sz w:val="24"/>
          <w:szCs w:val="24"/>
          <w:lang w:eastAsia="en-GB"/>
        </w:rPr>
        <w:t xml:space="preserve"> Thomas, D.A. </w:t>
      </w:r>
      <w:r w:rsidR="00D51F99">
        <w:rPr>
          <w:rFonts w:asciiTheme="majorBidi" w:eastAsia="Times New Roman" w:hAnsiTheme="majorBidi" w:cstheme="majorBidi"/>
          <w:sz w:val="24"/>
          <w:szCs w:val="24"/>
          <w:lang w:eastAsia="en-GB"/>
        </w:rPr>
        <w:t>(</w:t>
      </w:r>
      <w:r w:rsidRPr="00511F36">
        <w:rPr>
          <w:rFonts w:asciiTheme="majorBidi" w:eastAsia="Times New Roman" w:hAnsiTheme="majorBidi" w:cstheme="majorBidi"/>
          <w:sz w:val="24"/>
          <w:szCs w:val="24"/>
          <w:lang w:eastAsia="en-GB"/>
        </w:rPr>
        <w:t>2012</w:t>
      </w:r>
      <w:r w:rsidR="00D51F99">
        <w:rPr>
          <w:rFonts w:asciiTheme="majorBidi" w:eastAsia="Times New Roman" w:hAnsiTheme="majorBidi" w:cstheme="majorBidi"/>
          <w:sz w:val="24"/>
          <w:szCs w:val="24"/>
          <w:lang w:eastAsia="en-GB"/>
        </w:rPr>
        <w:t>)</w:t>
      </w:r>
      <w:r w:rsidRPr="00511F36">
        <w:rPr>
          <w:rFonts w:asciiTheme="majorBidi" w:eastAsia="Times New Roman" w:hAnsiTheme="majorBidi" w:cstheme="majorBidi"/>
          <w:sz w:val="24"/>
          <w:szCs w:val="24"/>
          <w:lang w:eastAsia="en-GB"/>
        </w:rPr>
        <w:t xml:space="preserve">. Voluntary corporate governance disclosures by post-apartheid South African corporations. </w:t>
      </w:r>
      <w:r w:rsidRPr="00511F36">
        <w:rPr>
          <w:rFonts w:asciiTheme="majorBidi" w:eastAsia="Times New Roman" w:hAnsiTheme="majorBidi" w:cstheme="majorBidi"/>
          <w:i/>
          <w:iCs/>
          <w:sz w:val="24"/>
          <w:szCs w:val="24"/>
          <w:lang w:eastAsia="en-GB"/>
        </w:rPr>
        <w:t>Journal of Applied Accounting Research</w:t>
      </w:r>
      <w:r w:rsidR="00D51F99">
        <w:rPr>
          <w:rFonts w:asciiTheme="majorBidi" w:eastAsia="Times New Roman" w:hAnsiTheme="majorBidi" w:cstheme="majorBidi"/>
          <w:i/>
          <w:iCs/>
          <w:sz w:val="24"/>
          <w:szCs w:val="24"/>
          <w:lang w:eastAsia="en-GB"/>
        </w:rPr>
        <w:t>,</w:t>
      </w:r>
      <w:r w:rsidRPr="00511F36">
        <w:rPr>
          <w:rFonts w:asciiTheme="majorBidi" w:eastAsia="Times New Roman" w:hAnsiTheme="majorBidi" w:cstheme="majorBidi"/>
          <w:sz w:val="24"/>
          <w:szCs w:val="24"/>
          <w:lang w:eastAsia="en-GB"/>
        </w:rPr>
        <w:t xml:space="preserve"> </w:t>
      </w:r>
      <w:r w:rsidRPr="00511F36">
        <w:rPr>
          <w:rFonts w:asciiTheme="majorBidi" w:eastAsia="Times New Roman" w:hAnsiTheme="majorBidi" w:cstheme="majorBidi"/>
          <w:i/>
          <w:iCs/>
          <w:sz w:val="24"/>
          <w:szCs w:val="24"/>
          <w:lang w:eastAsia="en-GB"/>
        </w:rPr>
        <w:t>13</w:t>
      </w:r>
      <w:r w:rsidR="0043712E">
        <w:rPr>
          <w:rFonts w:asciiTheme="majorBidi" w:eastAsia="Times New Roman" w:hAnsiTheme="majorBidi" w:cstheme="majorBidi"/>
          <w:sz w:val="24"/>
          <w:szCs w:val="24"/>
          <w:lang w:eastAsia="en-GB"/>
        </w:rPr>
        <w:t>(2)</w:t>
      </w:r>
      <w:r w:rsidR="00D51F99">
        <w:rPr>
          <w:rFonts w:asciiTheme="majorBidi" w:eastAsia="Times New Roman" w:hAnsiTheme="majorBidi" w:cstheme="majorBidi"/>
          <w:sz w:val="24"/>
          <w:szCs w:val="24"/>
          <w:lang w:eastAsia="en-GB"/>
        </w:rPr>
        <w:t>,</w:t>
      </w:r>
      <w:r w:rsidRPr="00511F36">
        <w:rPr>
          <w:rFonts w:asciiTheme="majorBidi" w:eastAsia="Times New Roman" w:hAnsiTheme="majorBidi" w:cstheme="majorBidi"/>
          <w:sz w:val="24"/>
          <w:szCs w:val="24"/>
          <w:lang w:eastAsia="en-GB"/>
        </w:rPr>
        <w:t xml:space="preserve"> 122-144.</w:t>
      </w:r>
      <w:r w:rsidR="007D6E21">
        <w:rPr>
          <w:rFonts w:asciiTheme="majorBidi" w:eastAsia="Times New Roman" w:hAnsiTheme="majorBidi" w:cstheme="majorBidi"/>
          <w:sz w:val="24"/>
          <w:szCs w:val="24"/>
          <w:lang w:eastAsia="en-GB"/>
        </w:rPr>
        <w:t xml:space="preserve"> </w:t>
      </w:r>
      <w:hyperlink r:id="rId76" w:history="1">
        <w:r w:rsidR="00030A86" w:rsidRPr="00030A86">
          <w:rPr>
            <w:rStyle w:val="Hyperlink"/>
            <w:rFonts w:asciiTheme="majorBidi" w:eastAsia="Times New Roman" w:hAnsiTheme="majorBidi" w:cstheme="majorBidi"/>
            <w:sz w:val="24"/>
            <w:szCs w:val="24"/>
            <w:lang w:eastAsia="en-GB"/>
          </w:rPr>
          <w:t>https://doi.org/10.1108/09675421211254830</w:t>
        </w:r>
      </w:hyperlink>
      <w:r w:rsidR="007D6E21">
        <w:rPr>
          <w:rFonts w:asciiTheme="majorBidi" w:eastAsia="Times New Roman" w:hAnsiTheme="majorBidi" w:cstheme="majorBidi"/>
          <w:sz w:val="24"/>
          <w:szCs w:val="24"/>
          <w:lang w:eastAsia="en-GB"/>
        </w:rPr>
        <w:t xml:space="preserve">. </w:t>
      </w:r>
    </w:p>
    <w:p w14:paraId="44B3ADAB" w14:textId="5976DBBF" w:rsidR="00D32E78" w:rsidRDefault="00D32E78" w:rsidP="00605ADB">
      <w:pPr>
        <w:spacing w:after="0" w:line="240" w:lineRule="auto"/>
        <w:ind w:left="170" w:hanging="170"/>
        <w:jc w:val="both"/>
        <w:rPr>
          <w:rFonts w:asciiTheme="majorBidi" w:eastAsia="Times New Roman" w:hAnsiTheme="majorBidi" w:cstheme="majorBidi"/>
          <w:sz w:val="24"/>
          <w:szCs w:val="24"/>
          <w:lang w:eastAsia="en-GB"/>
        </w:rPr>
      </w:pPr>
      <w:r w:rsidRPr="00D32E78">
        <w:rPr>
          <w:rFonts w:asciiTheme="majorBidi" w:eastAsia="Times New Roman" w:hAnsiTheme="majorBidi" w:cstheme="majorBidi"/>
          <w:sz w:val="24"/>
          <w:szCs w:val="24"/>
          <w:lang w:eastAsia="en-GB"/>
        </w:rPr>
        <w:t>Ntim, C.G., &amp; Soobaroyen, T. (2013). Black economic empowerment disclosures by South African listed corporations: The influence of ownership and board characteristics. </w:t>
      </w:r>
      <w:r w:rsidRPr="00D32E78">
        <w:rPr>
          <w:rFonts w:asciiTheme="majorBidi" w:eastAsia="Times New Roman" w:hAnsiTheme="majorBidi" w:cstheme="majorBidi"/>
          <w:i/>
          <w:iCs/>
          <w:sz w:val="24"/>
          <w:szCs w:val="24"/>
          <w:lang w:eastAsia="en-GB"/>
        </w:rPr>
        <w:t>Journal of Business Ethics, 116</w:t>
      </w:r>
      <w:r w:rsidRPr="00D32E78">
        <w:rPr>
          <w:rFonts w:asciiTheme="majorBidi" w:eastAsia="Times New Roman" w:hAnsiTheme="majorBidi" w:cstheme="majorBidi"/>
          <w:sz w:val="24"/>
          <w:szCs w:val="24"/>
          <w:lang w:eastAsia="en-GB"/>
        </w:rPr>
        <w:t>(1), 121-138.</w:t>
      </w:r>
      <w:r w:rsidR="007D6E21">
        <w:rPr>
          <w:rFonts w:asciiTheme="majorBidi" w:eastAsia="Times New Roman" w:hAnsiTheme="majorBidi" w:cstheme="majorBidi"/>
          <w:sz w:val="24"/>
          <w:szCs w:val="24"/>
          <w:lang w:eastAsia="en-GB"/>
        </w:rPr>
        <w:t xml:space="preserve"> </w:t>
      </w:r>
      <w:hyperlink r:id="rId77" w:history="1">
        <w:r w:rsidR="007D6E21" w:rsidRPr="007623DA">
          <w:rPr>
            <w:rStyle w:val="Hyperlink"/>
            <w:rFonts w:asciiTheme="majorBidi" w:eastAsia="Times New Roman" w:hAnsiTheme="majorBidi" w:cstheme="majorBidi"/>
            <w:sz w:val="24"/>
            <w:szCs w:val="24"/>
            <w:lang w:eastAsia="en-GB"/>
          </w:rPr>
          <w:t>https://doi.org/10.1007/s10551-012-1446-8</w:t>
        </w:r>
      </w:hyperlink>
      <w:r w:rsidR="007D6E21">
        <w:rPr>
          <w:rFonts w:asciiTheme="majorBidi" w:eastAsia="Times New Roman" w:hAnsiTheme="majorBidi" w:cstheme="majorBidi"/>
          <w:sz w:val="24"/>
          <w:szCs w:val="24"/>
          <w:lang w:eastAsia="en-GB"/>
        </w:rPr>
        <w:t xml:space="preserve">. </w:t>
      </w:r>
    </w:p>
    <w:p w14:paraId="6F510B26" w14:textId="0767A4DA" w:rsidR="00BE0F34" w:rsidRDefault="00BE0F34" w:rsidP="00BE0F34">
      <w:pPr>
        <w:spacing w:after="0" w:line="240" w:lineRule="auto"/>
        <w:ind w:left="170" w:hanging="170"/>
        <w:jc w:val="both"/>
        <w:rPr>
          <w:rFonts w:asciiTheme="majorBidi" w:eastAsia="Times New Roman" w:hAnsiTheme="majorBidi" w:cstheme="majorBidi"/>
          <w:sz w:val="24"/>
          <w:szCs w:val="24"/>
          <w:lang w:eastAsia="en-GB"/>
        </w:rPr>
      </w:pPr>
      <w:r w:rsidRPr="00511F36">
        <w:rPr>
          <w:rFonts w:asciiTheme="majorBidi" w:eastAsia="Times New Roman" w:hAnsiTheme="majorBidi" w:cstheme="majorBidi"/>
          <w:sz w:val="24"/>
          <w:szCs w:val="24"/>
          <w:lang w:eastAsia="en-GB"/>
        </w:rPr>
        <w:lastRenderedPageBreak/>
        <w:t xml:space="preserve">Ntim, C.G., Soobaroyen, T., </w:t>
      </w:r>
      <w:r>
        <w:rPr>
          <w:rFonts w:asciiTheme="majorBidi" w:eastAsia="Times New Roman" w:hAnsiTheme="majorBidi" w:cstheme="majorBidi"/>
          <w:sz w:val="24"/>
          <w:szCs w:val="24"/>
          <w:lang w:eastAsia="en-GB"/>
        </w:rPr>
        <w:t>&amp; Broad, M.J. (2017)</w:t>
      </w:r>
      <w:r w:rsidRPr="00511F36">
        <w:rPr>
          <w:rFonts w:asciiTheme="majorBidi" w:eastAsia="Times New Roman" w:hAnsiTheme="majorBidi" w:cstheme="majorBidi"/>
          <w:sz w:val="24"/>
          <w:szCs w:val="24"/>
          <w:lang w:eastAsia="en-GB"/>
        </w:rPr>
        <w:t xml:space="preserve">. Governance structures, voluntary disclosures and public accountability: The case of UK higher education institutions. </w:t>
      </w:r>
      <w:r w:rsidRPr="00511F36">
        <w:rPr>
          <w:rFonts w:asciiTheme="majorBidi" w:eastAsia="Times New Roman" w:hAnsiTheme="majorBidi" w:cstheme="majorBidi"/>
          <w:i/>
          <w:iCs/>
          <w:sz w:val="24"/>
          <w:szCs w:val="24"/>
          <w:lang w:eastAsia="en-GB"/>
        </w:rPr>
        <w:t xml:space="preserve">Accounting, Auditing </w:t>
      </w:r>
      <w:r>
        <w:rPr>
          <w:rFonts w:asciiTheme="majorBidi" w:eastAsia="Times New Roman" w:hAnsiTheme="majorBidi" w:cstheme="majorBidi"/>
          <w:i/>
          <w:iCs/>
          <w:sz w:val="24"/>
          <w:szCs w:val="24"/>
          <w:lang w:eastAsia="en-GB"/>
        </w:rPr>
        <w:t>and</w:t>
      </w:r>
      <w:r w:rsidRPr="00511F36">
        <w:rPr>
          <w:rFonts w:asciiTheme="majorBidi" w:eastAsia="Times New Roman" w:hAnsiTheme="majorBidi" w:cstheme="majorBidi"/>
          <w:i/>
          <w:iCs/>
          <w:sz w:val="24"/>
          <w:szCs w:val="24"/>
          <w:lang w:eastAsia="en-GB"/>
        </w:rPr>
        <w:t xml:space="preserve"> Accountability Journal</w:t>
      </w:r>
      <w:r>
        <w:rPr>
          <w:rFonts w:asciiTheme="majorBidi" w:eastAsia="Times New Roman" w:hAnsiTheme="majorBidi" w:cstheme="majorBidi"/>
          <w:sz w:val="24"/>
          <w:szCs w:val="24"/>
          <w:lang w:eastAsia="en-GB"/>
        </w:rPr>
        <w:t xml:space="preserve">, </w:t>
      </w:r>
      <w:r w:rsidRPr="00511F36">
        <w:rPr>
          <w:rFonts w:asciiTheme="majorBidi" w:eastAsia="Times New Roman" w:hAnsiTheme="majorBidi" w:cstheme="majorBidi"/>
          <w:i/>
          <w:iCs/>
          <w:sz w:val="24"/>
          <w:szCs w:val="24"/>
          <w:lang w:eastAsia="en-GB"/>
        </w:rPr>
        <w:t>30</w:t>
      </w:r>
      <w:r>
        <w:rPr>
          <w:rFonts w:asciiTheme="majorBidi" w:eastAsia="Times New Roman" w:hAnsiTheme="majorBidi" w:cstheme="majorBidi"/>
          <w:sz w:val="24"/>
          <w:szCs w:val="24"/>
          <w:lang w:eastAsia="en-GB"/>
        </w:rPr>
        <w:t>(1),</w:t>
      </w:r>
      <w:r w:rsidRPr="00511F36">
        <w:rPr>
          <w:rFonts w:asciiTheme="majorBidi" w:eastAsia="Times New Roman" w:hAnsiTheme="majorBidi" w:cstheme="majorBidi"/>
          <w:sz w:val="24"/>
          <w:szCs w:val="24"/>
          <w:lang w:eastAsia="en-GB"/>
        </w:rPr>
        <w:t xml:space="preserve"> 65-118.</w:t>
      </w:r>
      <w:r w:rsidR="007D6E21">
        <w:rPr>
          <w:rFonts w:asciiTheme="majorBidi" w:eastAsia="Times New Roman" w:hAnsiTheme="majorBidi" w:cstheme="majorBidi"/>
          <w:sz w:val="24"/>
          <w:szCs w:val="24"/>
          <w:lang w:eastAsia="en-GB"/>
        </w:rPr>
        <w:t xml:space="preserve"> </w:t>
      </w:r>
      <w:hyperlink r:id="rId78" w:history="1">
        <w:r w:rsidR="007D6E21" w:rsidRPr="007623DA">
          <w:rPr>
            <w:rStyle w:val="Hyperlink"/>
            <w:rFonts w:asciiTheme="majorBidi" w:eastAsia="Times New Roman" w:hAnsiTheme="majorBidi" w:cstheme="majorBidi"/>
            <w:sz w:val="24"/>
            <w:szCs w:val="24"/>
            <w:lang w:eastAsia="en-GB"/>
          </w:rPr>
          <w:t>https://doi.org/10.1108/AAAJ-10-2014-1842</w:t>
        </w:r>
      </w:hyperlink>
      <w:r w:rsidR="007D6E21">
        <w:rPr>
          <w:rFonts w:asciiTheme="majorBidi" w:eastAsia="Times New Roman" w:hAnsiTheme="majorBidi" w:cstheme="majorBidi"/>
          <w:sz w:val="24"/>
          <w:szCs w:val="24"/>
          <w:lang w:eastAsia="en-GB"/>
        </w:rPr>
        <w:t xml:space="preserve">. </w:t>
      </w:r>
    </w:p>
    <w:p w14:paraId="383A8026" w14:textId="1A87C8A5" w:rsidR="004E5B85" w:rsidRDefault="0043712E" w:rsidP="00605ADB">
      <w:pPr>
        <w:spacing w:after="0" w:line="240" w:lineRule="auto"/>
        <w:ind w:left="170" w:hanging="170"/>
        <w:jc w:val="both"/>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Parker, L.</w:t>
      </w:r>
      <w:r w:rsidR="00E77DDF">
        <w:rPr>
          <w:rFonts w:asciiTheme="majorBidi" w:eastAsia="Times New Roman" w:hAnsiTheme="majorBidi" w:cstheme="majorBidi"/>
          <w:sz w:val="24"/>
          <w:szCs w:val="24"/>
          <w:lang w:eastAsia="en-GB"/>
        </w:rPr>
        <w:t>D.</w:t>
      </w:r>
      <w:r>
        <w:rPr>
          <w:rFonts w:asciiTheme="majorBidi" w:eastAsia="Times New Roman" w:hAnsiTheme="majorBidi" w:cstheme="majorBidi"/>
          <w:sz w:val="24"/>
          <w:szCs w:val="24"/>
          <w:lang w:eastAsia="en-GB"/>
        </w:rPr>
        <w:t xml:space="preserve"> </w:t>
      </w:r>
      <w:r w:rsidR="00D51F99">
        <w:rPr>
          <w:rFonts w:asciiTheme="majorBidi" w:eastAsia="Times New Roman" w:hAnsiTheme="majorBidi" w:cstheme="majorBidi"/>
          <w:sz w:val="24"/>
          <w:szCs w:val="24"/>
          <w:lang w:eastAsia="en-GB"/>
        </w:rPr>
        <w:t>(</w:t>
      </w:r>
      <w:r w:rsidR="004E5B85" w:rsidRPr="00511F36">
        <w:rPr>
          <w:rFonts w:asciiTheme="majorBidi" w:eastAsia="Times New Roman" w:hAnsiTheme="majorBidi" w:cstheme="majorBidi"/>
          <w:sz w:val="24"/>
          <w:szCs w:val="24"/>
          <w:lang w:eastAsia="en-GB"/>
        </w:rPr>
        <w:t>2011</w:t>
      </w:r>
      <w:r w:rsidR="00D51F99">
        <w:rPr>
          <w:rFonts w:asciiTheme="majorBidi" w:eastAsia="Times New Roman" w:hAnsiTheme="majorBidi" w:cstheme="majorBidi"/>
          <w:sz w:val="24"/>
          <w:szCs w:val="24"/>
          <w:lang w:eastAsia="en-GB"/>
        </w:rPr>
        <w:t>)</w:t>
      </w:r>
      <w:r w:rsidR="004E5B85" w:rsidRPr="00511F36">
        <w:rPr>
          <w:rFonts w:asciiTheme="majorBidi" w:eastAsia="Times New Roman" w:hAnsiTheme="majorBidi" w:cstheme="majorBidi"/>
          <w:sz w:val="24"/>
          <w:szCs w:val="24"/>
          <w:lang w:eastAsia="en-GB"/>
        </w:rPr>
        <w:t xml:space="preserve">. University corporatisation: Driving redefinition. </w:t>
      </w:r>
      <w:r w:rsidR="004E5B85" w:rsidRPr="00511F36">
        <w:rPr>
          <w:rFonts w:asciiTheme="majorBidi" w:eastAsia="Times New Roman" w:hAnsiTheme="majorBidi" w:cstheme="majorBidi"/>
          <w:i/>
          <w:iCs/>
          <w:sz w:val="24"/>
          <w:szCs w:val="24"/>
          <w:lang w:eastAsia="en-GB"/>
        </w:rPr>
        <w:t>Critical Perspectives on Accounting</w:t>
      </w:r>
      <w:r w:rsidR="00D51F99">
        <w:rPr>
          <w:rFonts w:asciiTheme="majorBidi" w:eastAsia="Times New Roman" w:hAnsiTheme="majorBidi" w:cstheme="majorBidi"/>
          <w:i/>
          <w:iCs/>
          <w:sz w:val="24"/>
          <w:szCs w:val="24"/>
          <w:lang w:eastAsia="en-GB"/>
        </w:rPr>
        <w:t>,</w:t>
      </w:r>
      <w:r>
        <w:rPr>
          <w:rFonts w:asciiTheme="majorBidi" w:eastAsia="Times New Roman" w:hAnsiTheme="majorBidi" w:cstheme="majorBidi"/>
          <w:sz w:val="24"/>
          <w:szCs w:val="24"/>
          <w:lang w:eastAsia="en-GB"/>
        </w:rPr>
        <w:t xml:space="preserve"> </w:t>
      </w:r>
      <w:r w:rsidR="004E5B85" w:rsidRPr="00511F36">
        <w:rPr>
          <w:rFonts w:asciiTheme="majorBidi" w:eastAsia="Times New Roman" w:hAnsiTheme="majorBidi" w:cstheme="majorBidi"/>
          <w:i/>
          <w:iCs/>
          <w:sz w:val="24"/>
          <w:szCs w:val="24"/>
          <w:lang w:eastAsia="en-GB"/>
        </w:rPr>
        <w:t>22</w:t>
      </w:r>
      <w:r w:rsidR="00D51F99">
        <w:rPr>
          <w:rFonts w:asciiTheme="majorBidi" w:eastAsia="Times New Roman" w:hAnsiTheme="majorBidi" w:cstheme="majorBidi"/>
          <w:sz w:val="24"/>
          <w:szCs w:val="24"/>
          <w:lang w:eastAsia="en-GB"/>
        </w:rPr>
        <w:t>(4),</w:t>
      </w:r>
      <w:r w:rsidR="004E5B85" w:rsidRPr="00511F36">
        <w:rPr>
          <w:rFonts w:asciiTheme="majorBidi" w:eastAsia="Times New Roman" w:hAnsiTheme="majorBidi" w:cstheme="majorBidi"/>
          <w:sz w:val="24"/>
          <w:szCs w:val="24"/>
          <w:lang w:eastAsia="en-GB"/>
        </w:rPr>
        <w:t xml:space="preserve"> 434-450.</w:t>
      </w:r>
      <w:r w:rsidR="00BE0F34">
        <w:rPr>
          <w:rFonts w:asciiTheme="majorBidi" w:eastAsia="Times New Roman" w:hAnsiTheme="majorBidi" w:cstheme="majorBidi"/>
          <w:sz w:val="24"/>
          <w:szCs w:val="24"/>
          <w:lang w:eastAsia="en-GB"/>
        </w:rPr>
        <w:t xml:space="preserve"> </w:t>
      </w:r>
      <w:hyperlink r:id="rId79" w:history="1">
        <w:r w:rsidR="00BE0F34" w:rsidRPr="007623DA">
          <w:rPr>
            <w:rStyle w:val="Hyperlink"/>
            <w:rFonts w:asciiTheme="majorBidi" w:eastAsia="Times New Roman" w:hAnsiTheme="majorBidi" w:cstheme="majorBidi"/>
            <w:sz w:val="24"/>
            <w:szCs w:val="24"/>
            <w:lang w:eastAsia="en-GB"/>
          </w:rPr>
          <w:t>https://doi.org/10.1016/j.cpa.2010.11.002</w:t>
        </w:r>
      </w:hyperlink>
      <w:r w:rsidR="00BE0F34">
        <w:rPr>
          <w:rFonts w:asciiTheme="majorBidi" w:eastAsia="Times New Roman" w:hAnsiTheme="majorBidi" w:cstheme="majorBidi"/>
          <w:sz w:val="24"/>
          <w:szCs w:val="24"/>
          <w:lang w:eastAsia="en-GB"/>
        </w:rPr>
        <w:t xml:space="preserve">. </w:t>
      </w:r>
    </w:p>
    <w:p w14:paraId="19556096" w14:textId="143FD0D1" w:rsidR="005A3139" w:rsidRPr="00511F36" w:rsidRDefault="005A3139" w:rsidP="00605ADB">
      <w:pPr>
        <w:spacing w:after="0" w:line="240" w:lineRule="auto"/>
        <w:ind w:left="170" w:hanging="170"/>
        <w:jc w:val="both"/>
        <w:rPr>
          <w:rFonts w:asciiTheme="majorBidi" w:eastAsia="Times New Roman" w:hAnsiTheme="majorBidi" w:cstheme="majorBidi"/>
          <w:sz w:val="24"/>
          <w:szCs w:val="24"/>
          <w:lang w:eastAsia="en-GB"/>
        </w:rPr>
      </w:pPr>
      <w:r w:rsidRPr="005A3139">
        <w:rPr>
          <w:rFonts w:asciiTheme="majorBidi" w:eastAsia="Times New Roman" w:hAnsiTheme="majorBidi" w:cstheme="majorBidi"/>
          <w:sz w:val="24"/>
          <w:szCs w:val="24"/>
          <w:lang w:eastAsia="en-GB"/>
        </w:rPr>
        <w:t>Parker, L.D. (2012). From privatised to hybrid corporatised higher education: A global financial management discourse. </w:t>
      </w:r>
      <w:r w:rsidRPr="005A3139">
        <w:rPr>
          <w:rFonts w:asciiTheme="majorBidi" w:eastAsia="Times New Roman" w:hAnsiTheme="majorBidi" w:cstheme="majorBidi"/>
          <w:i/>
          <w:sz w:val="24"/>
          <w:szCs w:val="24"/>
          <w:lang w:eastAsia="en-GB"/>
        </w:rPr>
        <w:t>Financial Accountability &amp; Management, 28</w:t>
      </w:r>
      <w:r w:rsidRPr="005A3139">
        <w:rPr>
          <w:rFonts w:asciiTheme="majorBidi" w:eastAsia="Times New Roman" w:hAnsiTheme="majorBidi" w:cstheme="majorBidi"/>
          <w:sz w:val="24"/>
          <w:szCs w:val="24"/>
          <w:lang w:eastAsia="en-GB"/>
        </w:rPr>
        <w:t>(3), 247-268.</w:t>
      </w:r>
      <w:r w:rsidR="00BE0F34">
        <w:rPr>
          <w:rFonts w:asciiTheme="majorBidi" w:eastAsia="Times New Roman" w:hAnsiTheme="majorBidi" w:cstheme="majorBidi"/>
          <w:sz w:val="24"/>
          <w:szCs w:val="24"/>
          <w:lang w:eastAsia="en-GB"/>
        </w:rPr>
        <w:t xml:space="preserve"> </w:t>
      </w:r>
      <w:hyperlink r:id="rId80" w:history="1">
        <w:r w:rsidR="00BE0F34" w:rsidRPr="007623DA">
          <w:rPr>
            <w:rStyle w:val="Hyperlink"/>
            <w:rFonts w:asciiTheme="majorBidi" w:eastAsia="Times New Roman" w:hAnsiTheme="majorBidi" w:cstheme="majorBidi"/>
            <w:sz w:val="24"/>
            <w:szCs w:val="24"/>
            <w:lang w:eastAsia="en-GB"/>
          </w:rPr>
          <w:t>https://doi.org/10.1111/j.1468-0408.2012.00544.x</w:t>
        </w:r>
      </w:hyperlink>
      <w:r w:rsidR="00BE0F34">
        <w:rPr>
          <w:rFonts w:asciiTheme="majorBidi" w:eastAsia="Times New Roman" w:hAnsiTheme="majorBidi" w:cstheme="majorBidi"/>
          <w:sz w:val="24"/>
          <w:szCs w:val="24"/>
          <w:lang w:eastAsia="en-GB"/>
        </w:rPr>
        <w:t xml:space="preserve">. </w:t>
      </w:r>
    </w:p>
    <w:p w14:paraId="64718305" w14:textId="6F3A96AC" w:rsidR="004E5B85" w:rsidRDefault="0043712E" w:rsidP="00605ADB">
      <w:pPr>
        <w:spacing w:after="0" w:line="240" w:lineRule="auto"/>
        <w:ind w:left="170" w:hanging="170"/>
        <w:jc w:val="both"/>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 xml:space="preserve">Parker, L.D. </w:t>
      </w:r>
      <w:r w:rsidR="00D51F99">
        <w:rPr>
          <w:rFonts w:asciiTheme="majorBidi" w:eastAsia="Times New Roman" w:hAnsiTheme="majorBidi" w:cstheme="majorBidi"/>
          <w:sz w:val="24"/>
          <w:szCs w:val="24"/>
          <w:lang w:eastAsia="en-GB"/>
        </w:rPr>
        <w:t>(</w:t>
      </w:r>
      <w:r w:rsidR="004E5B85" w:rsidRPr="00511F36">
        <w:rPr>
          <w:rFonts w:asciiTheme="majorBidi" w:eastAsia="Times New Roman" w:hAnsiTheme="majorBidi" w:cstheme="majorBidi"/>
          <w:sz w:val="24"/>
          <w:szCs w:val="24"/>
          <w:lang w:eastAsia="en-GB"/>
        </w:rPr>
        <w:t>2013</w:t>
      </w:r>
      <w:r w:rsidR="00D51F99">
        <w:rPr>
          <w:rFonts w:asciiTheme="majorBidi" w:eastAsia="Times New Roman" w:hAnsiTheme="majorBidi" w:cstheme="majorBidi"/>
          <w:sz w:val="24"/>
          <w:szCs w:val="24"/>
          <w:lang w:eastAsia="en-GB"/>
        </w:rPr>
        <w:t>)</w:t>
      </w:r>
      <w:r w:rsidR="004E5B85" w:rsidRPr="00511F36">
        <w:rPr>
          <w:rFonts w:asciiTheme="majorBidi" w:eastAsia="Times New Roman" w:hAnsiTheme="majorBidi" w:cstheme="majorBidi"/>
          <w:sz w:val="24"/>
          <w:szCs w:val="24"/>
          <w:lang w:eastAsia="en-GB"/>
        </w:rPr>
        <w:t xml:space="preserve">. Contemporary university strategising: the financial imperative. </w:t>
      </w:r>
      <w:r w:rsidR="004E5B85" w:rsidRPr="00511F36">
        <w:rPr>
          <w:rFonts w:asciiTheme="majorBidi" w:eastAsia="Times New Roman" w:hAnsiTheme="majorBidi" w:cstheme="majorBidi"/>
          <w:i/>
          <w:iCs/>
          <w:sz w:val="24"/>
          <w:szCs w:val="24"/>
          <w:lang w:eastAsia="en-GB"/>
        </w:rPr>
        <w:t xml:space="preserve">Financial Accountability </w:t>
      </w:r>
      <w:r w:rsidR="0069400B">
        <w:rPr>
          <w:rFonts w:asciiTheme="majorBidi" w:eastAsia="Times New Roman" w:hAnsiTheme="majorBidi" w:cstheme="majorBidi"/>
          <w:i/>
          <w:iCs/>
          <w:sz w:val="24"/>
          <w:szCs w:val="24"/>
          <w:lang w:eastAsia="en-GB"/>
        </w:rPr>
        <w:t>and</w:t>
      </w:r>
      <w:r w:rsidR="004E5B85" w:rsidRPr="00511F36">
        <w:rPr>
          <w:rFonts w:asciiTheme="majorBidi" w:eastAsia="Times New Roman" w:hAnsiTheme="majorBidi" w:cstheme="majorBidi"/>
          <w:i/>
          <w:iCs/>
          <w:sz w:val="24"/>
          <w:szCs w:val="24"/>
          <w:lang w:eastAsia="en-GB"/>
        </w:rPr>
        <w:t xml:space="preserve"> Management</w:t>
      </w:r>
      <w:r w:rsidR="00D51F99">
        <w:rPr>
          <w:rFonts w:asciiTheme="majorBidi" w:eastAsia="Times New Roman" w:hAnsiTheme="majorBidi" w:cstheme="majorBidi"/>
          <w:sz w:val="24"/>
          <w:szCs w:val="24"/>
          <w:lang w:eastAsia="en-GB"/>
        </w:rPr>
        <w:t xml:space="preserve">, </w:t>
      </w:r>
      <w:r w:rsidR="004E5B85" w:rsidRPr="00511F36">
        <w:rPr>
          <w:rFonts w:asciiTheme="majorBidi" w:eastAsia="Times New Roman" w:hAnsiTheme="majorBidi" w:cstheme="majorBidi"/>
          <w:i/>
          <w:iCs/>
          <w:sz w:val="24"/>
          <w:szCs w:val="24"/>
          <w:lang w:eastAsia="en-GB"/>
        </w:rPr>
        <w:t>29</w:t>
      </w:r>
      <w:r w:rsidR="00D51F99">
        <w:rPr>
          <w:rFonts w:asciiTheme="majorBidi" w:eastAsia="Times New Roman" w:hAnsiTheme="majorBidi" w:cstheme="majorBidi"/>
          <w:sz w:val="24"/>
          <w:szCs w:val="24"/>
          <w:lang w:eastAsia="en-GB"/>
        </w:rPr>
        <w:t>(1),</w:t>
      </w:r>
      <w:r w:rsidR="0069400B">
        <w:rPr>
          <w:rFonts w:asciiTheme="majorBidi" w:eastAsia="Times New Roman" w:hAnsiTheme="majorBidi" w:cstheme="majorBidi"/>
          <w:sz w:val="24"/>
          <w:szCs w:val="24"/>
          <w:lang w:eastAsia="en-GB"/>
        </w:rPr>
        <w:t xml:space="preserve"> </w:t>
      </w:r>
      <w:r w:rsidR="004E5B85" w:rsidRPr="00511F36">
        <w:rPr>
          <w:rFonts w:asciiTheme="majorBidi" w:eastAsia="Times New Roman" w:hAnsiTheme="majorBidi" w:cstheme="majorBidi"/>
          <w:sz w:val="24"/>
          <w:szCs w:val="24"/>
          <w:lang w:eastAsia="en-GB"/>
        </w:rPr>
        <w:t>1-25.</w:t>
      </w:r>
      <w:r w:rsidR="00BE0F34" w:rsidRPr="00BE0F34">
        <w:t xml:space="preserve"> </w:t>
      </w:r>
      <w:hyperlink r:id="rId81" w:history="1">
        <w:r w:rsidR="00BE0F34" w:rsidRPr="007623DA">
          <w:rPr>
            <w:rStyle w:val="Hyperlink"/>
            <w:rFonts w:asciiTheme="majorBidi" w:eastAsia="Times New Roman" w:hAnsiTheme="majorBidi" w:cstheme="majorBidi"/>
            <w:sz w:val="24"/>
            <w:szCs w:val="24"/>
            <w:lang w:eastAsia="en-GB"/>
          </w:rPr>
          <w:t>https://doi.org/10.1111/faam.12000</w:t>
        </w:r>
      </w:hyperlink>
      <w:r w:rsidR="00474506">
        <w:rPr>
          <w:rFonts w:asciiTheme="majorBidi" w:eastAsia="Times New Roman" w:hAnsiTheme="majorBidi" w:cstheme="majorBidi"/>
          <w:sz w:val="24"/>
          <w:szCs w:val="24"/>
          <w:lang w:eastAsia="en-GB"/>
        </w:rPr>
        <w:t>.</w:t>
      </w:r>
      <w:r w:rsidR="00BE0F34">
        <w:rPr>
          <w:rFonts w:asciiTheme="majorBidi" w:eastAsia="Times New Roman" w:hAnsiTheme="majorBidi" w:cstheme="majorBidi"/>
          <w:sz w:val="24"/>
          <w:szCs w:val="24"/>
          <w:lang w:eastAsia="en-GB"/>
        </w:rPr>
        <w:t xml:space="preserve"> </w:t>
      </w:r>
    </w:p>
    <w:p w14:paraId="06FA8380" w14:textId="35B33FE4" w:rsidR="00BD21C6" w:rsidRDefault="00BD21C6" w:rsidP="00BD21C6">
      <w:pPr>
        <w:spacing w:after="0" w:line="240" w:lineRule="auto"/>
        <w:ind w:left="170" w:hanging="170"/>
        <w:jc w:val="both"/>
        <w:rPr>
          <w:rFonts w:asciiTheme="majorBidi" w:eastAsia="Times New Roman" w:hAnsiTheme="majorBidi" w:cstheme="majorBidi"/>
          <w:sz w:val="24"/>
          <w:szCs w:val="24"/>
          <w:lang w:eastAsia="en-GB"/>
        </w:rPr>
      </w:pPr>
      <w:r w:rsidRPr="00BD21C6">
        <w:rPr>
          <w:rFonts w:asciiTheme="majorBidi" w:eastAsia="Times New Roman" w:hAnsiTheme="majorBidi" w:cstheme="majorBidi"/>
          <w:sz w:val="24"/>
          <w:szCs w:val="24"/>
          <w:lang w:eastAsia="en-GB"/>
        </w:rPr>
        <w:t>Pfeffer, J.</w:t>
      </w:r>
      <w:r>
        <w:rPr>
          <w:rFonts w:asciiTheme="majorBidi" w:eastAsia="Times New Roman" w:hAnsiTheme="majorBidi" w:cstheme="majorBidi"/>
          <w:sz w:val="24"/>
          <w:szCs w:val="24"/>
          <w:lang w:eastAsia="en-GB"/>
        </w:rPr>
        <w:t>,</w:t>
      </w:r>
      <w:r w:rsidRPr="00BD21C6">
        <w:rPr>
          <w:rFonts w:asciiTheme="majorBidi" w:eastAsia="Times New Roman" w:hAnsiTheme="majorBidi" w:cstheme="majorBidi"/>
          <w:sz w:val="24"/>
          <w:szCs w:val="24"/>
          <w:lang w:eastAsia="en-GB"/>
        </w:rPr>
        <w:t xml:space="preserve"> &amp; Salancik, G.R. </w:t>
      </w:r>
      <w:r>
        <w:rPr>
          <w:rFonts w:asciiTheme="majorBidi" w:eastAsia="Times New Roman" w:hAnsiTheme="majorBidi" w:cstheme="majorBidi"/>
          <w:sz w:val="24"/>
          <w:szCs w:val="24"/>
          <w:lang w:eastAsia="en-GB"/>
        </w:rPr>
        <w:t>(</w:t>
      </w:r>
      <w:r w:rsidRPr="00BD21C6">
        <w:rPr>
          <w:rFonts w:asciiTheme="majorBidi" w:eastAsia="Times New Roman" w:hAnsiTheme="majorBidi" w:cstheme="majorBidi"/>
          <w:sz w:val="24"/>
          <w:szCs w:val="24"/>
          <w:lang w:eastAsia="en-GB"/>
        </w:rPr>
        <w:t>1978</w:t>
      </w:r>
      <w:r>
        <w:rPr>
          <w:rFonts w:asciiTheme="majorBidi" w:eastAsia="Times New Roman" w:hAnsiTheme="majorBidi" w:cstheme="majorBidi"/>
          <w:sz w:val="24"/>
          <w:szCs w:val="24"/>
          <w:lang w:eastAsia="en-GB"/>
        </w:rPr>
        <w:t>)</w:t>
      </w:r>
      <w:r w:rsidRPr="00BD21C6">
        <w:rPr>
          <w:rFonts w:asciiTheme="majorBidi" w:eastAsia="Times New Roman" w:hAnsiTheme="majorBidi" w:cstheme="majorBidi"/>
          <w:sz w:val="24"/>
          <w:szCs w:val="24"/>
          <w:lang w:eastAsia="en-GB"/>
        </w:rPr>
        <w:t xml:space="preserve">. </w:t>
      </w:r>
      <w:r w:rsidRPr="00BD21C6">
        <w:rPr>
          <w:rFonts w:asciiTheme="majorBidi" w:eastAsia="Times New Roman" w:hAnsiTheme="majorBidi" w:cstheme="majorBidi"/>
          <w:i/>
          <w:iCs/>
          <w:sz w:val="24"/>
          <w:szCs w:val="24"/>
          <w:lang w:eastAsia="en-GB"/>
        </w:rPr>
        <w:t>The external control of organizations: A resource dependence perspective</w:t>
      </w:r>
      <w:r w:rsidRPr="00BD21C6">
        <w:rPr>
          <w:rFonts w:asciiTheme="majorBidi" w:eastAsia="Times New Roman" w:hAnsiTheme="majorBidi" w:cstheme="majorBidi"/>
          <w:sz w:val="24"/>
          <w:szCs w:val="24"/>
          <w:lang w:eastAsia="en-GB"/>
        </w:rPr>
        <w:t>. New York: Harper and</w:t>
      </w:r>
      <w:r>
        <w:rPr>
          <w:rFonts w:asciiTheme="majorBidi" w:eastAsia="Times New Roman" w:hAnsiTheme="majorBidi" w:cstheme="majorBidi"/>
          <w:sz w:val="24"/>
          <w:szCs w:val="24"/>
          <w:lang w:eastAsia="en-GB"/>
        </w:rPr>
        <w:t xml:space="preserve"> </w:t>
      </w:r>
      <w:r w:rsidRPr="00BD21C6">
        <w:rPr>
          <w:rFonts w:asciiTheme="majorBidi" w:eastAsia="Times New Roman" w:hAnsiTheme="majorBidi" w:cstheme="majorBidi"/>
          <w:sz w:val="24"/>
          <w:szCs w:val="24"/>
          <w:lang w:eastAsia="en-GB"/>
        </w:rPr>
        <w:t>Row</w:t>
      </w:r>
      <w:r>
        <w:rPr>
          <w:rFonts w:asciiTheme="majorBidi" w:eastAsia="Times New Roman" w:hAnsiTheme="majorBidi" w:cstheme="majorBidi"/>
          <w:sz w:val="24"/>
          <w:szCs w:val="24"/>
          <w:lang w:eastAsia="en-GB"/>
        </w:rPr>
        <w:t>.</w:t>
      </w:r>
    </w:p>
    <w:p w14:paraId="4A105C26" w14:textId="38A6EDF6" w:rsidR="00BF6623" w:rsidRDefault="00BF6623" w:rsidP="00605ADB">
      <w:pPr>
        <w:spacing w:after="0" w:line="240" w:lineRule="auto"/>
        <w:ind w:left="170" w:hanging="170"/>
        <w:jc w:val="both"/>
        <w:rPr>
          <w:rFonts w:asciiTheme="majorBidi" w:eastAsia="Times New Roman" w:hAnsiTheme="majorBidi" w:cstheme="majorBidi"/>
          <w:sz w:val="24"/>
          <w:szCs w:val="24"/>
          <w:lang w:eastAsia="en-GB"/>
        </w:rPr>
      </w:pPr>
      <w:r w:rsidRPr="00BF6623">
        <w:rPr>
          <w:rFonts w:asciiTheme="majorBidi" w:eastAsia="Times New Roman" w:hAnsiTheme="majorBidi" w:cstheme="majorBidi"/>
          <w:sz w:val="24"/>
          <w:szCs w:val="24"/>
          <w:lang w:eastAsia="en-GB"/>
        </w:rPr>
        <w:t xml:space="preserve">Reay, T., &amp; Whetten, D.A. (2011). What constitutes a theoretical contribution in family business? </w:t>
      </w:r>
      <w:r w:rsidRPr="00BF6623">
        <w:rPr>
          <w:rFonts w:asciiTheme="majorBidi" w:eastAsia="Times New Roman" w:hAnsiTheme="majorBidi" w:cstheme="majorBidi"/>
          <w:i/>
          <w:iCs/>
          <w:sz w:val="24"/>
          <w:szCs w:val="24"/>
          <w:lang w:eastAsia="en-GB"/>
        </w:rPr>
        <w:t>Family Business Review</w:t>
      </w:r>
      <w:r w:rsidRPr="00054B37">
        <w:rPr>
          <w:rFonts w:asciiTheme="majorBidi" w:eastAsia="Times New Roman" w:hAnsiTheme="majorBidi" w:cstheme="majorBidi"/>
          <w:i/>
          <w:iCs/>
          <w:sz w:val="24"/>
          <w:szCs w:val="24"/>
          <w:lang w:eastAsia="en-GB"/>
        </w:rPr>
        <w:t>, 24</w:t>
      </w:r>
      <w:r w:rsidR="00054B37">
        <w:rPr>
          <w:rFonts w:asciiTheme="majorBidi" w:eastAsia="Times New Roman" w:hAnsiTheme="majorBidi" w:cstheme="majorBidi"/>
          <w:sz w:val="24"/>
          <w:szCs w:val="24"/>
          <w:lang w:eastAsia="en-GB"/>
        </w:rPr>
        <w:t>(2)</w:t>
      </w:r>
      <w:r w:rsidRPr="00BF6623">
        <w:rPr>
          <w:rFonts w:asciiTheme="majorBidi" w:eastAsia="Times New Roman" w:hAnsiTheme="majorBidi" w:cstheme="majorBidi"/>
          <w:sz w:val="24"/>
          <w:szCs w:val="24"/>
          <w:lang w:eastAsia="en-GB"/>
        </w:rPr>
        <w:t xml:space="preserve">, 105-110. </w:t>
      </w:r>
      <w:hyperlink r:id="rId82" w:history="1">
        <w:r w:rsidR="00054B37" w:rsidRPr="007623DA">
          <w:rPr>
            <w:rStyle w:val="Hyperlink"/>
            <w:rFonts w:asciiTheme="majorBidi" w:eastAsia="Times New Roman" w:hAnsiTheme="majorBidi" w:cstheme="majorBidi"/>
            <w:sz w:val="24"/>
            <w:szCs w:val="24"/>
            <w:lang w:eastAsia="en-GB"/>
          </w:rPr>
          <w:t>https://doi.org/10.1177/0894486511406427</w:t>
        </w:r>
      </w:hyperlink>
      <w:r w:rsidR="00054B37">
        <w:rPr>
          <w:rFonts w:asciiTheme="majorBidi" w:eastAsia="Times New Roman" w:hAnsiTheme="majorBidi" w:cstheme="majorBidi"/>
          <w:sz w:val="24"/>
          <w:szCs w:val="24"/>
          <w:lang w:eastAsia="en-GB"/>
        </w:rPr>
        <w:t xml:space="preserve">. </w:t>
      </w:r>
    </w:p>
    <w:p w14:paraId="51CD0D02" w14:textId="0776C92C" w:rsidR="005A469F" w:rsidRDefault="005A469F" w:rsidP="00605ADB">
      <w:pPr>
        <w:spacing w:after="0" w:line="240" w:lineRule="auto"/>
        <w:ind w:left="170" w:hanging="170"/>
        <w:jc w:val="both"/>
        <w:rPr>
          <w:rFonts w:asciiTheme="majorBidi" w:eastAsia="Times New Roman" w:hAnsiTheme="majorBidi" w:cstheme="majorBidi"/>
          <w:sz w:val="24"/>
          <w:szCs w:val="24"/>
          <w:lang w:eastAsia="en-GB"/>
        </w:rPr>
      </w:pPr>
      <w:r w:rsidRPr="005A469F">
        <w:rPr>
          <w:rFonts w:asciiTheme="majorBidi" w:eastAsia="Times New Roman" w:hAnsiTheme="majorBidi" w:cstheme="majorBidi"/>
          <w:sz w:val="24"/>
          <w:szCs w:val="24"/>
          <w:lang w:eastAsia="en-GB"/>
        </w:rPr>
        <w:t>Reiter, K.L., Sandoval, G.A., Brown, A.D., &amp; Pink, G.H. (2009). CEO compensation and hospital financial performance. </w:t>
      </w:r>
      <w:r w:rsidRPr="005A469F">
        <w:rPr>
          <w:rFonts w:asciiTheme="majorBidi" w:eastAsia="Times New Roman" w:hAnsiTheme="majorBidi" w:cstheme="majorBidi"/>
          <w:i/>
          <w:iCs/>
          <w:sz w:val="24"/>
          <w:szCs w:val="24"/>
          <w:lang w:eastAsia="en-GB"/>
        </w:rPr>
        <w:t>Medical Care Research and Review, 66</w:t>
      </w:r>
      <w:r w:rsidRPr="005A469F">
        <w:rPr>
          <w:rFonts w:asciiTheme="majorBidi" w:eastAsia="Times New Roman" w:hAnsiTheme="majorBidi" w:cstheme="majorBidi"/>
          <w:sz w:val="24"/>
          <w:szCs w:val="24"/>
          <w:lang w:eastAsia="en-GB"/>
        </w:rPr>
        <w:t>(6), 725-738.</w:t>
      </w:r>
      <w:r w:rsidR="00C01999">
        <w:rPr>
          <w:rFonts w:asciiTheme="majorBidi" w:eastAsia="Times New Roman" w:hAnsiTheme="majorBidi" w:cstheme="majorBidi"/>
          <w:sz w:val="24"/>
          <w:szCs w:val="24"/>
          <w:lang w:eastAsia="en-GB"/>
        </w:rPr>
        <w:t xml:space="preserve"> </w:t>
      </w:r>
      <w:hyperlink r:id="rId83" w:history="1">
        <w:r w:rsidR="00C01999" w:rsidRPr="007623DA">
          <w:rPr>
            <w:rStyle w:val="Hyperlink"/>
            <w:rFonts w:asciiTheme="majorBidi" w:eastAsia="Times New Roman" w:hAnsiTheme="majorBidi" w:cstheme="majorBidi"/>
            <w:sz w:val="24"/>
            <w:szCs w:val="24"/>
            <w:lang w:eastAsia="en-GB"/>
          </w:rPr>
          <w:t>https://doi.org/10.1177/1077558709338479</w:t>
        </w:r>
      </w:hyperlink>
      <w:r w:rsidR="00C01999">
        <w:rPr>
          <w:rFonts w:asciiTheme="majorBidi" w:eastAsia="Times New Roman" w:hAnsiTheme="majorBidi" w:cstheme="majorBidi"/>
          <w:sz w:val="24"/>
          <w:szCs w:val="24"/>
          <w:lang w:eastAsia="en-GB"/>
        </w:rPr>
        <w:t xml:space="preserve">.   </w:t>
      </w:r>
    </w:p>
    <w:p w14:paraId="1E09522D" w14:textId="369D3909" w:rsidR="003B409C" w:rsidRDefault="003B409C" w:rsidP="00605ADB">
      <w:pPr>
        <w:spacing w:after="0" w:line="240" w:lineRule="auto"/>
        <w:ind w:left="170" w:hanging="170"/>
        <w:jc w:val="both"/>
        <w:rPr>
          <w:rFonts w:asciiTheme="majorBidi" w:eastAsia="Times New Roman" w:hAnsiTheme="majorBidi" w:cstheme="majorBidi"/>
          <w:sz w:val="24"/>
          <w:szCs w:val="24"/>
          <w:lang w:eastAsia="en-GB"/>
        </w:rPr>
      </w:pPr>
      <w:r w:rsidRPr="003B409C">
        <w:rPr>
          <w:rFonts w:asciiTheme="majorBidi" w:eastAsia="Times New Roman" w:hAnsiTheme="majorBidi" w:cstheme="majorBidi"/>
          <w:sz w:val="24"/>
          <w:szCs w:val="24"/>
          <w:lang w:eastAsia="en-GB"/>
        </w:rPr>
        <w:t>Salter, B., &amp; Tapper, T. (2002). The external pressures on the internal governance of universities. </w:t>
      </w:r>
      <w:r w:rsidRPr="003B409C">
        <w:rPr>
          <w:rFonts w:asciiTheme="majorBidi" w:eastAsia="Times New Roman" w:hAnsiTheme="majorBidi" w:cstheme="majorBidi"/>
          <w:i/>
          <w:iCs/>
          <w:sz w:val="24"/>
          <w:szCs w:val="24"/>
          <w:lang w:eastAsia="en-GB"/>
        </w:rPr>
        <w:t>Higher Education Quarterly, 56</w:t>
      </w:r>
      <w:r w:rsidRPr="003B409C">
        <w:rPr>
          <w:rFonts w:asciiTheme="majorBidi" w:eastAsia="Times New Roman" w:hAnsiTheme="majorBidi" w:cstheme="majorBidi"/>
          <w:sz w:val="24"/>
          <w:szCs w:val="24"/>
          <w:lang w:eastAsia="en-GB"/>
        </w:rPr>
        <w:t>(3), 245-256.</w:t>
      </w:r>
      <w:r w:rsidR="004068CF">
        <w:rPr>
          <w:rFonts w:asciiTheme="majorBidi" w:eastAsia="Times New Roman" w:hAnsiTheme="majorBidi" w:cstheme="majorBidi"/>
          <w:sz w:val="24"/>
          <w:szCs w:val="24"/>
          <w:lang w:eastAsia="en-GB"/>
        </w:rPr>
        <w:t xml:space="preserve"> </w:t>
      </w:r>
      <w:hyperlink r:id="rId84" w:history="1">
        <w:r w:rsidR="004068CF" w:rsidRPr="007623DA">
          <w:rPr>
            <w:rStyle w:val="Hyperlink"/>
            <w:rFonts w:asciiTheme="majorBidi" w:eastAsia="Times New Roman" w:hAnsiTheme="majorBidi" w:cstheme="majorBidi"/>
            <w:sz w:val="24"/>
            <w:szCs w:val="24"/>
            <w:lang w:eastAsia="en-GB"/>
          </w:rPr>
          <w:t>https://doi.org/10.1111/1468-2273.00216</w:t>
        </w:r>
      </w:hyperlink>
      <w:r w:rsidR="004068CF">
        <w:rPr>
          <w:rFonts w:asciiTheme="majorBidi" w:eastAsia="Times New Roman" w:hAnsiTheme="majorBidi" w:cstheme="majorBidi"/>
          <w:sz w:val="24"/>
          <w:szCs w:val="24"/>
          <w:lang w:eastAsia="en-GB"/>
        </w:rPr>
        <w:t xml:space="preserve">. </w:t>
      </w:r>
    </w:p>
    <w:p w14:paraId="09E579D8" w14:textId="164E1B62" w:rsidR="00D32E78" w:rsidRDefault="00D32E78" w:rsidP="00605ADB">
      <w:pPr>
        <w:spacing w:after="0" w:line="240" w:lineRule="auto"/>
        <w:ind w:left="170" w:hanging="170"/>
        <w:jc w:val="both"/>
        <w:rPr>
          <w:rFonts w:asciiTheme="majorBidi" w:eastAsia="Times New Roman" w:hAnsiTheme="majorBidi" w:cstheme="majorBidi"/>
          <w:sz w:val="24"/>
          <w:szCs w:val="24"/>
          <w:lang w:eastAsia="en-GB"/>
        </w:rPr>
      </w:pPr>
      <w:r w:rsidRPr="00D32E78">
        <w:rPr>
          <w:rFonts w:asciiTheme="majorBidi" w:eastAsia="Times New Roman" w:hAnsiTheme="majorBidi" w:cstheme="majorBidi"/>
          <w:sz w:val="24"/>
          <w:szCs w:val="24"/>
          <w:lang w:eastAsia="en-GB"/>
        </w:rPr>
        <w:t>Samaha, K., Khlif, H., &amp; Hussainey, K. (2015). The impact of board and audit committee characteristics on voluntary disclosure: A meta-analysis. </w:t>
      </w:r>
      <w:r w:rsidRPr="00D32E78">
        <w:rPr>
          <w:rFonts w:asciiTheme="majorBidi" w:eastAsia="Times New Roman" w:hAnsiTheme="majorBidi" w:cstheme="majorBidi"/>
          <w:i/>
          <w:iCs/>
          <w:sz w:val="24"/>
          <w:szCs w:val="24"/>
          <w:lang w:eastAsia="en-GB"/>
        </w:rPr>
        <w:t>Journal of International Accounting, Auditing and Taxation, 24</w:t>
      </w:r>
      <w:r w:rsidRPr="00D32E78">
        <w:rPr>
          <w:rFonts w:asciiTheme="majorBidi" w:eastAsia="Times New Roman" w:hAnsiTheme="majorBidi" w:cstheme="majorBidi"/>
          <w:sz w:val="24"/>
          <w:szCs w:val="24"/>
          <w:lang w:eastAsia="en-GB"/>
        </w:rPr>
        <w:t>, 13-28.</w:t>
      </w:r>
      <w:r w:rsidR="00256325">
        <w:rPr>
          <w:rFonts w:asciiTheme="majorBidi" w:eastAsia="Times New Roman" w:hAnsiTheme="majorBidi" w:cstheme="majorBidi"/>
          <w:sz w:val="24"/>
          <w:szCs w:val="24"/>
          <w:lang w:eastAsia="en-GB"/>
        </w:rPr>
        <w:t xml:space="preserve"> </w:t>
      </w:r>
      <w:hyperlink r:id="rId85" w:history="1">
        <w:r w:rsidR="00256325" w:rsidRPr="007623DA">
          <w:rPr>
            <w:rStyle w:val="Hyperlink"/>
            <w:rFonts w:asciiTheme="majorBidi" w:eastAsia="Times New Roman" w:hAnsiTheme="majorBidi" w:cstheme="majorBidi"/>
            <w:sz w:val="24"/>
            <w:szCs w:val="24"/>
            <w:lang w:eastAsia="en-GB"/>
          </w:rPr>
          <w:t>https://doi.org/10.1016/j.intaccaudtax.2014.11.001</w:t>
        </w:r>
      </w:hyperlink>
      <w:r w:rsidR="00256325">
        <w:rPr>
          <w:rFonts w:asciiTheme="majorBidi" w:eastAsia="Times New Roman" w:hAnsiTheme="majorBidi" w:cstheme="majorBidi"/>
          <w:sz w:val="24"/>
          <w:szCs w:val="24"/>
          <w:lang w:eastAsia="en-GB"/>
        </w:rPr>
        <w:t xml:space="preserve">. </w:t>
      </w:r>
    </w:p>
    <w:p w14:paraId="5EBCB718" w14:textId="49F3FDFD" w:rsidR="00FF75EF" w:rsidRDefault="00FF75EF" w:rsidP="00605ADB">
      <w:pPr>
        <w:spacing w:after="0" w:line="240" w:lineRule="auto"/>
        <w:ind w:left="170" w:hanging="170"/>
        <w:jc w:val="both"/>
        <w:rPr>
          <w:rFonts w:asciiTheme="majorBidi" w:eastAsia="Times New Roman" w:hAnsiTheme="majorBidi" w:cstheme="majorBidi"/>
          <w:sz w:val="24"/>
          <w:szCs w:val="24"/>
          <w:lang w:eastAsia="en-GB"/>
        </w:rPr>
      </w:pPr>
      <w:r w:rsidRPr="00FF75EF">
        <w:rPr>
          <w:rFonts w:asciiTheme="majorBidi" w:eastAsia="Times New Roman" w:hAnsiTheme="majorBidi" w:cstheme="majorBidi"/>
          <w:sz w:val="24"/>
          <w:szCs w:val="24"/>
          <w:lang w:eastAsia="en-GB"/>
        </w:rPr>
        <w:t>Sánchez-Moreno, M., López-Yáñez, J., &amp; Altopiedi, M. (2015). Leadership characteristics and training needs of women and men in charge of Spanish universities. </w:t>
      </w:r>
      <w:r w:rsidRPr="00FF75EF">
        <w:rPr>
          <w:rFonts w:asciiTheme="majorBidi" w:eastAsia="Times New Roman" w:hAnsiTheme="majorBidi" w:cstheme="majorBidi"/>
          <w:i/>
          <w:iCs/>
          <w:sz w:val="24"/>
          <w:szCs w:val="24"/>
          <w:lang w:eastAsia="en-GB"/>
        </w:rPr>
        <w:t>Gender and Education, 27</w:t>
      </w:r>
      <w:r w:rsidRPr="00FF75EF">
        <w:rPr>
          <w:rFonts w:asciiTheme="majorBidi" w:eastAsia="Times New Roman" w:hAnsiTheme="majorBidi" w:cstheme="majorBidi"/>
          <w:sz w:val="24"/>
          <w:szCs w:val="24"/>
          <w:lang w:eastAsia="en-GB"/>
        </w:rPr>
        <w:t>(3), 255-272.</w:t>
      </w:r>
      <w:r w:rsidR="00033450">
        <w:rPr>
          <w:rFonts w:asciiTheme="majorBidi" w:eastAsia="Times New Roman" w:hAnsiTheme="majorBidi" w:cstheme="majorBidi"/>
          <w:sz w:val="24"/>
          <w:szCs w:val="24"/>
          <w:lang w:eastAsia="en-GB"/>
        </w:rPr>
        <w:t xml:space="preserve"> </w:t>
      </w:r>
      <w:hyperlink r:id="rId86" w:history="1">
        <w:r w:rsidR="00033450" w:rsidRPr="007623DA">
          <w:rPr>
            <w:rStyle w:val="Hyperlink"/>
            <w:rFonts w:asciiTheme="majorBidi" w:eastAsia="Times New Roman" w:hAnsiTheme="majorBidi" w:cstheme="majorBidi"/>
            <w:sz w:val="24"/>
            <w:szCs w:val="24"/>
            <w:lang w:eastAsia="en-GB"/>
          </w:rPr>
          <w:t>https://doi.org/10.1080/09540253.2015.1024618</w:t>
        </w:r>
      </w:hyperlink>
      <w:r w:rsidR="00033450">
        <w:rPr>
          <w:rFonts w:asciiTheme="majorBidi" w:eastAsia="Times New Roman" w:hAnsiTheme="majorBidi" w:cstheme="majorBidi"/>
          <w:sz w:val="24"/>
          <w:szCs w:val="24"/>
          <w:lang w:eastAsia="en-GB"/>
        </w:rPr>
        <w:t xml:space="preserve">. </w:t>
      </w:r>
    </w:p>
    <w:p w14:paraId="42BBDDCD" w14:textId="564CF51F" w:rsidR="00BD7896" w:rsidRPr="00511F36" w:rsidRDefault="00BD7896" w:rsidP="00605ADB">
      <w:pPr>
        <w:spacing w:after="0" w:line="240" w:lineRule="auto"/>
        <w:ind w:left="170" w:hanging="170"/>
        <w:jc w:val="both"/>
        <w:rPr>
          <w:rFonts w:asciiTheme="majorBidi" w:eastAsia="Times New Roman" w:hAnsiTheme="majorBidi" w:cstheme="majorBidi"/>
          <w:sz w:val="24"/>
          <w:szCs w:val="24"/>
          <w:lang w:eastAsia="en-GB"/>
        </w:rPr>
      </w:pPr>
      <w:r w:rsidRPr="00BD7896">
        <w:rPr>
          <w:rFonts w:asciiTheme="majorBidi" w:eastAsia="Times New Roman" w:hAnsiTheme="majorBidi" w:cstheme="majorBidi"/>
          <w:sz w:val="24"/>
          <w:szCs w:val="24"/>
          <w:lang w:eastAsia="en-GB"/>
        </w:rPr>
        <w:t>Sanzo-Pérez, M.J., Rey-Garcia, M., &amp; Álvarez-González, L.I. (2017). The drivers of voluntary transparency in nonprofits: Professionalization and partnerships with firms as determinants. </w:t>
      </w:r>
      <w:r w:rsidR="00FE1995" w:rsidRPr="00FE1995">
        <w:rPr>
          <w:rFonts w:asciiTheme="majorBidi" w:eastAsia="Times New Roman" w:hAnsiTheme="majorBidi" w:cstheme="majorBidi"/>
          <w:i/>
          <w:iCs/>
          <w:sz w:val="24"/>
          <w:szCs w:val="24"/>
          <w:lang w:eastAsia="en-GB"/>
        </w:rPr>
        <w:t>VOLUNTAS:</w:t>
      </w:r>
      <w:r w:rsidRPr="00BD7896">
        <w:rPr>
          <w:rFonts w:asciiTheme="majorBidi" w:eastAsia="Times New Roman" w:hAnsiTheme="majorBidi" w:cstheme="majorBidi"/>
          <w:sz w:val="24"/>
          <w:szCs w:val="24"/>
          <w:lang w:eastAsia="en-GB"/>
        </w:rPr>
        <w:t xml:space="preserve"> </w:t>
      </w:r>
      <w:r w:rsidRPr="00BD7896">
        <w:rPr>
          <w:rFonts w:asciiTheme="majorBidi" w:eastAsia="Times New Roman" w:hAnsiTheme="majorBidi" w:cstheme="majorBidi"/>
          <w:i/>
          <w:iCs/>
          <w:sz w:val="24"/>
          <w:szCs w:val="24"/>
          <w:lang w:eastAsia="en-GB"/>
        </w:rPr>
        <w:t>International Journal of Voluntary and Nonprofit Organizations, 28</w:t>
      </w:r>
      <w:r w:rsidRPr="00BD7896">
        <w:rPr>
          <w:rFonts w:asciiTheme="majorBidi" w:eastAsia="Times New Roman" w:hAnsiTheme="majorBidi" w:cstheme="majorBidi"/>
          <w:sz w:val="24"/>
          <w:szCs w:val="24"/>
          <w:lang w:eastAsia="en-GB"/>
        </w:rPr>
        <w:t>(4), 1595-1621.</w:t>
      </w:r>
      <w:r w:rsidR="00F73248">
        <w:rPr>
          <w:rFonts w:asciiTheme="majorBidi" w:eastAsia="Times New Roman" w:hAnsiTheme="majorBidi" w:cstheme="majorBidi"/>
          <w:sz w:val="24"/>
          <w:szCs w:val="24"/>
          <w:lang w:eastAsia="en-GB"/>
        </w:rPr>
        <w:t xml:space="preserve"> </w:t>
      </w:r>
      <w:hyperlink r:id="rId87" w:history="1">
        <w:r w:rsidR="00F73248" w:rsidRPr="007623DA">
          <w:rPr>
            <w:rStyle w:val="Hyperlink"/>
            <w:rFonts w:asciiTheme="majorBidi" w:eastAsia="Times New Roman" w:hAnsiTheme="majorBidi" w:cstheme="majorBidi"/>
            <w:sz w:val="24"/>
            <w:szCs w:val="24"/>
            <w:lang w:eastAsia="en-GB"/>
          </w:rPr>
          <w:t>https://doi.org/10.1007/s11266-017-9882-9</w:t>
        </w:r>
      </w:hyperlink>
      <w:r w:rsidR="00F73248">
        <w:rPr>
          <w:rFonts w:asciiTheme="majorBidi" w:eastAsia="Times New Roman" w:hAnsiTheme="majorBidi" w:cstheme="majorBidi"/>
          <w:sz w:val="24"/>
          <w:szCs w:val="24"/>
          <w:lang w:eastAsia="en-GB"/>
        </w:rPr>
        <w:t xml:space="preserve">. </w:t>
      </w:r>
    </w:p>
    <w:p w14:paraId="3031BAC8" w14:textId="6164887E" w:rsidR="00792A8D" w:rsidRDefault="00792A8D" w:rsidP="00605ADB">
      <w:pPr>
        <w:spacing w:after="0" w:line="240" w:lineRule="auto"/>
        <w:ind w:left="170" w:hanging="170"/>
        <w:jc w:val="both"/>
        <w:rPr>
          <w:rFonts w:asciiTheme="majorBidi" w:eastAsia="Times New Roman" w:hAnsiTheme="majorBidi" w:cstheme="majorBidi"/>
          <w:sz w:val="24"/>
          <w:szCs w:val="24"/>
          <w:lang w:eastAsia="en-GB"/>
        </w:rPr>
      </w:pPr>
      <w:r w:rsidRPr="00792A8D">
        <w:rPr>
          <w:rFonts w:asciiTheme="majorBidi" w:eastAsia="Times New Roman" w:hAnsiTheme="majorBidi" w:cstheme="majorBidi"/>
          <w:sz w:val="24"/>
          <w:szCs w:val="24"/>
          <w:lang w:eastAsia="en-GB"/>
        </w:rPr>
        <w:t>Sarhan, A., Ntim, C.</w:t>
      </w:r>
      <w:r w:rsidR="00E010B0">
        <w:rPr>
          <w:rFonts w:asciiTheme="majorBidi" w:eastAsia="Times New Roman" w:hAnsiTheme="majorBidi" w:cstheme="majorBidi"/>
          <w:sz w:val="24"/>
          <w:szCs w:val="24"/>
          <w:lang w:eastAsia="en-GB"/>
        </w:rPr>
        <w:t>G.</w:t>
      </w:r>
      <w:r w:rsidRPr="00792A8D">
        <w:rPr>
          <w:rFonts w:asciiTheme="majorBidi" w:eastAsia="Times New Roman" w:hAnsiTheme="majorBidi" w:cstheme="majorBidi"/>
          <w:sz w:val="24"/>
          <w:szCs w:val="24"/>
          <w:lang w:eastAsia="en-GB"/>
        </w:rPr>
        <w:t xml:space="preserve">, &amp; Al-Najjar, B. (2019). Antecedents of audit quality in MENA countries: </w:t>
      </w:r>
      <w:r w:rsidR="00307586">
        <w:rPr>
          <w:rFonts w:asciiTheme="majorBidi" w:eastAsia="Times New Roman" w:hAnsiTheme="majorBidi" w:cstheme="majorBidi"/>
          <w:sz w:val="24"/>
          <w:szCs w:val="24"/>
          <w:lang w:eastAsia="en-GB"/>
        </w:rPr>
        <w:t>T</w:t>
      </w:r>
      <w:r w:rsidRPr="00792A8D">
        <w:rPr>
          <w:rFonts w:asciiTheme="majorBidi" w:eastAsia="Times New Roman" w:hAnsiTheme="majorBidi" w:cstheme="majorBidi"/>
          <w:sz w:val="24"/>
          <w:szCs w:val="24"/>
          <w:lang w:eastAsia="en-GB"/>
        </w:rPr>
        <w:t xml:space="preserve">he effect of firm-and country-level governance quality. </w:t>
      </w:r>
      <w:r w:rsidRPr="00BF76A4">
        <w:rPr>
          <w:rFonts w:asciiTheme="majorBidi" w:eastAsia="Times New Roman" w:hAnsiTheme="majorBidi" w:cstheme="majorBidi"/>
          <w:i/>
          <w:iCs/>
          <w:sz w:val="24"/>
          <w:szCs w:val="24"/>
          <w:lang w:eastAsia="en-GB"/>
        </w:rPr>
        <w:t>Journal of International Accounting Auditing and Taxation</w:t>
      </w:r>
      <w:r w:rsidR="004705FF">
        <w:rPr>
          <w:rFonts w:asciiTheme="majorBidi" w:eastAsia="Times New Roman" w:hAnsiTheme="majorBidi" w:cstheme="majorBidi"/>
          <w:i/>
          <w:iCs/>
          <w:sz w:val="24"/>
          <w:szCs w:val="24"/>
          <w:lang w:eastAsia="en-GB"/>
        </w:rPr>
        <w:t xml:space="preserve">, 35, </w:t>
      </w:r>
      <w:r w:rsidR="004705FF">
        <w:rPr>
          <w:rFonts w:asciiTheme="majorBidi" w:eastAsia="Times New Roman" w:hAnsiTheme="majorBidi" w:cstheme="majorBidi"/>
          <w:sz w:val="24"/>
          <w:szCs w:val="24"/>
          <w:lang w:eastAsia="en-GB"/>
        </w:rPr>
        <w:t xml:space="preserve">85-107. </w:t>
      </w:r>
      <w:hyperlink r:id="rId88" w:history="1">
        <w:r w:rsidR="004705FF" w:rsidRPr="007623DA">
          <w:rPr>
            <w:rStyle w:val="Hyperlink"/>
            <w:rFonts w:asciiTheme="majorBidi" w:eastAsia="Times New Roman" w:hAnsiTheme="majorBidi" w:cstheme="majorBidi"/>
            <w:sz w:val="24"/>
            <w:szCs w:val="24"/>
            <w:lang w:eastAsia="en-GB"/>
          </w:rPr>
          <w:t>https://doi.org/10.1016/j.intaccaudtax.2019.05.003</w:t>
        </w:r>
      </w:hyperlink>
      <w:r w:rsidR="004705FF">
        <w:rPr>
          <w:rFonts w:asciiTheme="majorBidi" w:eastAsia="Times New Roman" w:hAnsiTheme="majorBidi" w:cstheme="majorBidi"/>
          <w:sz w:val="24"/>
          <w:szCs w:val="24"/>
          <w:lang w:eastAsia="en-GB"/>
        </w:rPr>
        <w:t xml:space="preserve">. </w:t>
      </w:r>
    </w:p>
    <w:p w14:paraId="4389A303" w14:textId="68D528A1" w:rsidR="00C14C40" w:rsidRDefault="00C14C40" w:rsidP="00C14C40">
      <w:pPr>
        <w:spacing w:after="0" w:line="240" w:lineRule="auto"/>
        <w:ind w:left="170" w:hanging="170"/>
        <w:jc w:val="both"/>
        <w:rPr>
          <w:rFonts w:asciiTheme="majorBidi" w:eastAsia="Times New Roman" w:hAnsiTheme="majorBidi" w:cstheme="majorBidi"/>
          <w:sz w:val="24"/>
          <w:szCs w:val="24"/>
          <w:lang w:eastAsia="en-GB"/>
        </w:rPr>
      </w:pPr>
      <w:r w:rsidRPr="00A65E0D">
        <w:rPr>
          <w:rFonts w:asciiTheme="majorBidi" w:eastAsia="Times New Roman" w:hAnsiTheme="majorBidi" w:cstheme="majorBidi"/>
          <w:sz w:val="24"/>
          <w:szCs w:val="24"/>
          <w:lang w:eastAsia="en-GB"/>
        </w:rPr>
        <w:t>Saxton, G.D., &amp; Guo, C. (2011). Accountability online: Understanding the web-based accountability practices of nonprofit organizations. </w:t>
      </w:r>
      <w:r w:rsidRPr="00A65E0D">
        <w:rPr>
          <w:rFonts w:asciiTheme="majorBidi" w:eastAsia="Times New Roman" w:hAnsiTheme="majorBidi" w:cstheme="majorBidi"/>
          <w:i/>
          <w:iCs/>
          <w:sz w:val="24"/>
          <w:szCs w:val="24"/>
          <w:lang w:eastAsia="en-GB"/>
        </w:rPr>
        <w:t xml:space="preserve">Nonprofit and </w:t>
      </w:r>
      <w:r>
        <w:rPr>
          <w:rFonts w:asciiTheme="majorBidi" w:eastAsia="Times New Roman" w:hAnsiTheme="majorBidi" w:cstheme="majorBidi"/>
          <w:i/>
          <w:iCs/>
          <w:sz w:val="24"/>
          <w:szCs w:val="24"/>
          <w:lang w:eastAsia="en-GB"/>
        </w:rPr>
        <w:t>V</w:t>
      </w:r>
      <w:r w:rsidRPr="00A65E0D">
        <w:rPr>
          <w:rFonts w:asciiTheme="majorBidi" w:eastAsia="Times New Roman" w:hAnsiTheme="majorBidi" w:cstheme="majorBidi"/>
          <w:i/>
          <w:iCs/>
          <w:sz w:val="24"/>
          <w:szCs w:val="24"/>
          <w:lang w:eastAsia="en-GB"/>
        </w:rPr>
        <w:t xml:space="preserve">oluntary </w:t>
      </w:r>
      <w:r>
        <w:rPr>
          <w:rFonts w:asciiTheme="majorBidi" w:eastAsia="Times New Roman" w:hAnsiTheme="majorBidi" w:cstheme="majorBidi"/>
          <w:i/>
          <w:iCs/>
          <w:sz w:val="24"/>
          <w:szCs w:val="24"/>
          <w:lang w:eastAsia="en-GB"/>
        </w:rPr>
        <w:t>S</w:t>
      </w:r>
      <w:r w:rsidRPr="00A65E0D">
        <w:rPr>
          <w:rFonts w:asciiTheme="majorBidi" w:eastAsia="Times New Roman" w:hAnsiTheme="majorBidi" w:cstheme="majorBidi"/>
          <w:i/>
          <w:iCs/>
          <w:sz w:val="24"/>
          <w:szCs w:val="24"/>
          <w:lang w:eastAsia="en-GB"/>
        </w:rPr>
        <w:t xml:space="preserve">ector </w:t>
      </w:r>
      <w:r>
        <w:rPr>
          <w:rFonts w:asciiTheme="majorBidi" w:eastAsia="Times New Roman" w:hAnsiTheme="majorBidi" w:cstheme="majorBidi"/>
          <w:i/>
          <w:iCs/>
          <w:sz w:val="24"/>
          <w:szCs w:val="24"/>
          <w:lang w:eastAsia="en-GB"/>
        </w:rPr>
        <w:t>Q</w:t>
      </w:r>
      <w:r w:rsidRPr="00A65E0D">
        <w:rPr>
          <w:rFonts w:asciiTheme="majorBidi" w:eastAsia="Times New Roman" w:hAnsiTheme="majorBidi" w:cstheme="majorBidi"/>
          <w:i/>
          <w:iCs/>
          <w:sz w:val="24"/>
          <w:szCs w:val="24"/>
          <w:lang w:eastAsia="en-GB"/>
        </w:rPr>
        <w:t>uarterly, 40</w:t>
      </w:r>
      <w:r w:rsidRPr="00A65E0D">
        <w:rPr>
          <w:rFonts w:asciiTheme="majorBidi" w:eastAsia="Times New Roman" w:hAnsiTheme="majorBidi" w:cstheme="majorBidi"/>
          <w:sz w:val="24"/>
          <w:szCs w:val="24"/>
          <w:lang w:eastAsia="en-GB"/>
        </w:rPr>
        <w:t>(2), 270-295.</w:t>
      </w:r>
      <w:r w:rsidR="007E2EA6">
        <w:rPr>
          <w:rFonts w:asciiTheme="majorBidi" w:eastAsia="Times New Roman" w:hAnsiTheme="majorBidi" w:cstheme="majorBidi"/>
          <w:sz w:val="24"/>
          <w:szCs w:val="24"/>
          <w:lang w:eastAsia="en-GB"/>
        </w:rPr>
        <w:t xml:space="preserve"> </w:t>
      </w:r>
      <w:hyperlink r:id="rId89" w:history="1">
        <w:r w:rsidR="007E2EA6" w:rsidRPr="007623DA">
          <w:rPr>
            <w:rStyle w:val="Hyperlink"/>
            <w:rFonts w:asciiTheme="majorBidi" w:eastAsia="Times New Roman" w:hAnsiTheme="majorBidi" w:cstheme="majorBidi"/>
            <w:sz w:val="24"/>
            <w:szCs w:val="24"/>
            <w:lang w:eastAsia="en-GB"/>
          </w:rPr>
          <w:t>https://doi.org/10.1177/0899764009341086</w:t>
        </w:r>
      </w:hyperlink>
      <w:r w:rsidR="007E2EA6">
        <w:rPr>
          <w:rFonts w:asciiTheme="majorBidi" w:eastAsia="Times New Roman" w:hAnsiTheme="majorBidi" w:cstheme="majorBidi"/>
          <w:sz w:val="24"/>
          <w:szCs w:val="24"/>
          <w:lang w:eastAsia="en-GB"/>
        </w:rPr>
        <w:t xml:space="preserve">. </w:t>
      </w:r>
    </w:p>
    <w:p w14:paraId="6513CC18" w14:textId="79899340" w:rsidR="00C14C40" w:rsidRDefault="00C14C40" w:rsidP="00C14C40">
      <w:pPr>
        <w:spacing w:after="0" w:line="240" w:lineRule="auto"/>
        <w:ind w:left="170" w:hanging="170"/>
        <w:jc w:val="both"/>
        <w:rPr>
          <w:rFonts w:asciiTheme="majorBidi" w:eastAsia="Times New Roman" w:hAnsiTheme="majorBidi" w:cstheme="majorBidi"/>
          <w:sz w:val="24"/>
          <w:szCs w:val="24"/>
          <w:lang w:eastAsia="en-GB"/>
        </w:rPr>
      </w:pPr>
      <w:r w:rsidRPr="004842B0">
        <w:rPr>
          <w:rFonts w:asciiTheme="majorBidi" w:eastAsia="Times New Roman" w:hAnsiTheme="majorBidi" w:cstheme="majorBidi"/>
          <w:sz w:val="24"/>
          <w:szCs w:val="24"/>
          <w:lang w:eastAsia="en-GB"/>
        </w:rPr>
        <w:t>Saxton, G.D., Kuo, J.S., &amp; Ho, Y.C. (2012). The determinants of voluntary financial disclosure by nonprofit organizations. </w:t>
      </w:r>
      <w:r w:rsidRPr="004842B0">
        <w:rPr>
          <w:rFonts w:asciiTheme="majorBidi" w:eastAsia="Times New Roman" w:hAnsiTheme="majorBidi" w:cstheme="majorBidi"/>
          <w:i/>
          <w:iCs/>
          <w:sz w:val="24"/>
          <w:szCs w:val="24"/>
          <w:lang w:eastAsia="en-GB"/>
        </w:rPr>
        <w:t>Nonprofit and Voluntary Sector Quarterly, 41</w:t>
      </w:r>
      <w:r w:rsidRPr="004842B0">
        <w:rPr>
          <w:rFonts w:asciiTheme="majorBidi" w:eastAsia="Times New Roman" w:hAnsiTheme="majorBidi" w:cstheme="majorBidi"/>
          <w:sz w:val="24"/>
          <w:szCs w:val="24"/>
          <w:lang w:eastAsia="en-GB"/>
        </w:rPr>
        <w:t>(6), 1051-1071.</w:t>
      </w:r>
      <w:r w:rsidR="007E2EA6">
        <w:rPr>
          <w:rFonts w:asciiTheme="majorBidi" w:eastAsia="Times New Roman" w:hAnsiTheme="majorBidi" w:cstheme="majorBidi"/>
          <w:sz w:val="24"/>
          <w:szCs w:val="24"/>
          <w:lang w:eastAsia="en-GB"/>
        </w:rPr>
        <w:t xml:space="preserve"> </w:t>
      </w:r>
      <w:hyperlink r:id="rId90" w:history="1">
        <w:r w:rsidR="007E2EA6" w:rsidRPr="007623DA">
          <w:rPr>
            <w:rStyle w:val="Hyperlink"/>
            <w:rFonts w:asciiTheme="majorBidi" w:eastAsia="Times New Roman" w:hAnsiTheme="majorBidi" w:cstheme="majorBidi"/>
            <w:sz w:val="24"/>
            <w:szCs w:val="24"/>
            <w:lang w:eastAsia="en-GB"/>
          </w:rPr>
          <w:t>https://doi.org/10.1177/0899764011427597</w:t>
        </w:r>
      </w:hyperlink>
      <w:r w:rsidR="007E2EA6">
        <w:rPr>
          <w:rFonts w:asciiTheme="majorBidi" w:eastAsia="Times New Roman" w:hAnsiTheme="majorBidi" w:cstheme="majorBidi"/>
          <w:sz w:val="24"/>
          <w:szCs w:val="24"/>
          <w:lang w:eastAsia="en-GB"/>
        </w:rPr>
        <w:t xml:space="preserve">. </w:t>
      </w:r>
    </w:p>
    <w:p w14:paraId="0D9EA331" w14:textId="2DE2EA99" w:rsidR="0083504E" w:rsidRDefault="0083504E" w:rsidP="00C14C40">
      <w:pPr>
        <w:spacing w:after="0" w:line="240" w:lineRule="auto"/>
        <w:ind w:left="170" w:hanging="170"/>
        <w:jc w:val="both"/>
        <w:rPr>
          <w:rFonts w:ascii="Times New Roman" w:hAnsi="Times New Roman" w:cs="Times New Roman"/>
          <w:color w:val="222222"/>
          <w:sz w:val="24"/>
          <w:szCs w:val="24"/>
          <w:shd w:val="clear" w:color="auto" w:fill="FFFFFF"/>
        </w:rPr>
      </w:pPr>
      <w:r w:rsidRPr="00E77DDF">
        <w:rPr>
          <w:rFonts w:ascii="Times New Roman" w:hAnsi="Times New Roman" w:cs="Times New Roman"/>
          <w:sz w:val="24"/>
          <w:szCs w:val="24"/>
          <w:shd w:val="clear" w:color="auto" w:fill="FFFFFF"/>
        </w:rPr>
        <w:t>Scott, W.R. (1987). The adolescence of institutional theory. </w:t>
      </w:r>
      <w:r w:rsidRPr="00E77DDF">
        <w:rPr>
          <w:rFonts w:ascii="Times New Roman" w:hAnsi="Times New Roman" w:cs="Times New Roman"/>
          <w:i/>
          <w:iCs/>
          <w:sz w:val="24"/>
          <w:szCs w:val="24"/>
          <w:shd w:val="clear" w:color="auto" w:fill="FFFFFF"/>
        </w:rPr>
        <w:t>Administrative Science Quarterly, 32</w:t>
      </w:r>
      <w:r w:rsidRPr="00E77DDF">
        <w:rPr>
          <w:rFonts w:ascii="Times New Roman" w:hAnsi="Times New Roman" w:cs="Times New Roman"/>
          <w:sz w:val="24"/>
          <w:szCs w:val="24"/>
          <w:shd w:val="clear" w:color="auto" w:fill="FFFFFF"/>
        </w:rPr>
        <w:t>(4), 493-511.</w:t>
      </w:r>
      <w:r w:rsidR="00DB71D2" w:rsidRPr="00E77DDF">
        <w:rPr>
          <w:rFonts w:ascii="Times New Roman" w:hAnsi="Times New Roman" w:cs="Times New Roman"/>
          <w:sz w:val="24"/>
          <w:szCs w:val="24"/>
          <w:shd w:val="clear" w:color="auto" w:fill="FFFFFF"/>
        </w:rPr>
        <w:t xml:space="preserve"> </w:t>
      </w:r>
      <w:hyperlink r:id="rId91" w:history="1">
        <w:r w:rsidR="00DB71D2" w:rsidRPr="007623DA">
          <w:rPr>
            <w:rStyle w:val="Hyperlink"/>
            <w:rFonts w:ascii="Times New Roman" w:hAnsi="Times New Roman" w:cs="Times New Roman"/>
            <w:sz w:val="24"/>
            <w:szCs w:val="24"/>
            <w:shd w:val="clear" w:color="auto" w:fill="FFFFFF"/>
          </w:rPr>
          <w:t>https://www.jstor.org/stable/2392880</w:t>
        </w:r>
      </w:hyperlink>
      <w:r w:rsidR="00DB71D2">
        <w:rPr>
          <w:rFonts w:ascii="Times New Roman" w:hAnsi="Times New Roman" w:cs="Times New Roman"/>
          <w:color w:val="222222"/>
          <w:sz w:val="24"/>
          <w:szCs w:val="24"/>
          <w:shd w:val="clear" w:color="auto" w:fill="FFFFFF"/>
        </w:rPr>
        <w:t>.</w:t>
      </w:r>
    </w:p>
    <w:p w14:paraId="16A48BC7" w14:textId="754EC9DE" w:rsidR="00DB71D2" w:rsidRPr="00E77DDF" w:rsidRDefault="00DB71D2" w:rsidP="00C14C40">
      <w:pPr>
        <w:spacing w:after="0" w:line="240" w:lineRule="auto"/>
        <w:ind w:left="170" w:hanging="170"/>
        <w:jc w:val="both"/>
        <w:rPr>
          <w:rFonts w:ascii="Times New Roman" w:eastAsia="Times New Roman" w:hAnsi="Times New Roman" w:cs="Times New Roman"/>
          <w:sz w:val="24"/>
          <w:szCs w:val="24"/>
          <w:lang w:eastAsia="en-GB"/>
        </w:rPr>
      </w:pPr>
      <w:r w:rsidRPr="00E77DDF">
        <w:rPr>
          <w:rFonts w:ascii="Times New Roman" w:hAnsi="Times New Roman" w:cs="Times New Roman"/>
          <w:sz w:val="24"/>
          <w:szCs w:val="24"/>
          <w:shd w:val="clear" w:color="auto" w:fill="FFFFFF"/>
        </w:rPr>
        <w:t>Scott, W.R. (201</w:t>
      </w:r>
      <w:r w:rsidR="00F55D67" w:rsidRPr="00E77DDF">
        <w:rPr>
          <w:rFonts w:ascii="Times New Roman" w:hAnsi="Times New Roman" w:cs="Times New Roman"/>
          <w:sz w:val="24"/>
          <w:szCs w:val="24"/>
          <w:shd w:val="clear" w:color="auto" w:fill="FFFFFF"/>
        </w:rPr>
        <w:t>4</w:t>
      </w:r>
      <w:r w:rsidRPr="00E77DDF">
        <w:rPr>
          <w:rFonts w:ascii="Times New Roman" w:hAnsi="Times New Roman" w:cs="Times New Roman"/>
          <w:sz w:val="24"/>
          <w:szCs w:val="24"/>
          <w:shd w:val="clear" w:color="auto" w:fill="FFFFFF"/>
        </w:rPr>
        <w:t>). </w:t>
      </w:r>
      <w:r w:rsidRPr="00E77DDF">
        <w:rPr>
          <w:rFonts w:ascii="Times New Roman" w:hAnsi="Times New Roman" w:cs="Times New Roman"/>
          <w:i/>
          <w:iCs/>
          <w:sz w:val="24"/>
          <w:szCs w:val="24"/>
          <w:shd w:val="clear" w:color="auto" w:fill="FFFFFF"/>
        </w:rPr>
        <w:t>Institutions and organizations: Ideas, interests, and identities</w:t>
      </w:r>
      <w:r w:rsidRPr="00E77DDF">
        <w:rPr>
          <w:rFonts w:ascii="Times New Roman" w:hAnsi="Times New Roman" w:cs="Times New Roman"/>
          <w:sz w:val="24"/>
          <w:szCs w:val="24"/>
          <w:shd w:val="clear" w:color="auto" w:fill="FFFFFF"/>
        </w:rPr>
        <w:t>. (4</w:t>
      </w:r>
      <w:r w:rsidRPr="00E77DDF">
        <w:rPr>
          <w:rFonts w:ascii="Times New Roman" w:hAnsi="Times New Roman" w:cs="Times New Roman"/>
          <w:sz w:val="24"/>
          <w:szCs w:val="24"/>
          <w:shd w:val="clear" w:color="auto" w:fill="FFFFFF"/>
          <w:vertAlign w:val="superscript"/>
        </w:rPr>
        <w:t>th</w:t>
      </w:r>
      <w:r w:rsidRPr="00E77DDF">
        <w:rPr>
          <w:rFonts w:ascii="Times New Roman" w:hAnsi="Times New Roman" w:cs="Times New Roman"/>
          <w:sz w:val="24"/>
          <w:szCs w:val="24"/>
          <w:shd w:val="clear" w:color="auto" w:fill="FFFFFF"/>
        </w:rPr>
        <w:t xml:space="preserve"> ed.). </w:t>
      </w:r>
      <w:r w:rsidR="00C053FE" w:rsidRPr="00E77DDF">
        <w:rPr>
          <w:rFonts w:ascii="Times New Roman" w:hAnsi="Times New Roman" w:cs="Times New Roman"/>
          <w:sz w:val="24"/>
          <w:szCs w:val="24"/>
          <w:shd w:val="clear" w:color="auto" w:fill="FFFFFF"/>
        </w:rPr>
        <w:t>Thousand Oaks, California: SAGE</w:t>
      </w:r>
      <w:r w:rsidR="00F55D67" w:rsidRPr="00E77DDF">
        <w:rPr>
          <w:rFonts w:ascii="Times New Roman" w:hAnsi="Times New Roman" w:cs="Times New Roman"/>
          <w:sz w:val="24"/>
          <w:szCs w:val="24"/>
          <w:shd w:val="clear" w:color="auto" w:fill="FFFFFF"/>
        </w:rPr>
        <w:t>.</w:t>
      </w:r>
    </w:p>
    <w:p w14:paraId="2940D48B" w14:textId="77777777" w:rsidR="00D278D9" w:rsidRPr="00FD4EC7" w:rsidRDefault="00D278D9" w:rsidP="00D278D9">
      <w:pPr>
        <w:spacing w:after="0" w:line="240" w:lineRule="auto"/>
        <w:ind w:left="170" w:hanging="170"/>
        <w:jc w:val="both"/>
        <w:rPr>
          <w:rFonts w:ascii="Times New Roman" w:eastAsia="Times New Roman" w:hAnsi="Times New Roman" w:cs="Times New Roman"/>
          <w:sz w:val="24"/>
          <w:szCs w:val="24"/>
          <w:lang w:eastAsia="en-GB"/>
        </w:rPr>
      </w:pPr>
      <w:r w:rsidRPr="00E77DDF">
        <w:rPr>
          <w:rFonts w:ascii="Times New Roman" w:hAnsi="Times New Roman" w:cs="Times New Roman"/>
          <w:sz w:val="24"/>
          <w:szCs w:val="24"/>
        </w:rPr>
        <w:t xml:space="preserve">Soobaroyen, T., Broad, M.J., &amp; Ntim, C.G. (2014). </w:t>
      </w:r>
      <w:r w:rsidRPr="00E77DDF">
        <w:rPr>
          <w:rFonts w:ascii="Times New Roman" w:hAnsi="Times New Roman" w:cs="Times New Roman"/>
          <w:i/>
          <w:sz w:val="24"/>
          <w:szCs w:val="24"/>
        </w:rPr>
        <w:t xml:space="preserve">The role and effectiveness of audit committees: The case of UK </w:t>
      </w:r>
      <w:r w:rsidRPr="00131A15">
        <w:rPr>
          <w:rFonts w:ascii="Times New Roman" w:hAnsi="Times New Roman" w:cs="Times New Roman"/>
          <w:i/>
          <w:sz w:val="24"/>
          <w:szCs w:val="24"/>
        </w:rPr>
        <w:t>higher education institutions</w:t>
      </w:r>
      <w:r>
        <w:rPr>
          <w:rFonts w:ascii="Times New Roman" w:hAnsi="Times New Roman" w:cs="Times New Roman"/>
          <w:sz w:val="24"/>
          <w:szCs w:val="24"/>
        </w:rPr>
        <w:t xml:space="preserve">. </w:t>
      </w:r>
      <w:r w:rsidRPr="00FD4EC7">
        <w:rPr>
          <w:rFonts w:ascii="Times New Roman" w:hAnsi="Times New Roman" w:cs="Times New Roman"/>
          <w:sz w:val="24"/>
          <w:szCs w:val="24"/>
        </w:rPr>
        <w:t>London,</w:t>
      </w:r>
      <w:r>
        <w:rPr>
          <w:rFonts w:ascii="Times New Roman" w:hAnsi="Times New Roman" w:cs="Times New Roman"/>
          <w:sz w:val="24"/>
          <w:szCs w:val="24"/>
        </w:rPr>
        <w:t xml:space="preserve"> LFHE</w:t>
      </w:r>
      <w:r w:rsidRPr="00FD4EC7">
        <w:rPr>
          <w:rFonts w:ascii="Times New Roman" w:hAnsi="Times New Roman" w:cs="Times New Roman"/>
          <w:sz w:val="24"/>
          <w:szCs w:val="24"/>
        </w:rPr>
        <w:t>.</w:t>
      </w:r>
    </w:p>
    <w:p w14:paraId="3726A932" w14:textId="77777777" w:rsidR="00D278D9" w:rsidRDefault="00D278D9" w:rsidP="00D278D9">
      <w:pPr>
        <w:spacing w:after="0" w:line="240" w:lineRule="auto"/>
        <w:ind w:left="170" w:hanging="170"/>
        <w:jc w:val="both"/>
        <w:rPr>
          <w:rFonts w:ascii="Times New Roman" w:hAnsi="Times New Roman" w:cs="Times New Roman"/>
          <w:sz w:val="24"/>
          <w:szCs w:val="24"/>
        </w:rPr>
      </w:pPr>
      <w:r w:rsidRPr="00FD4EC7">
        <w:rPr>
          <w:rFonts w:ascii="Times New Roman" w:hAnsi="Times New Roman" w:cs="Times New Roman"/>
          <w:sz w:val="24"/>
          <w:szCs w:val="24"/>
        </w:rPr>
        <w:lastRenderedPageBreak/>
        <w:t xml:space="preserve">Soobaroyen, T., Ntim, C.G., Broad, M.J., Vithana, K., </w:t>
      </w:r>
      <w:r>
        <w:rPr>
          <w:rFonts w:ascii="Times New Roman" w:hAnsi="Times New Roman" w:cs="Times New Roman"/>
          <w:sz w:val="24"/>
          <w:szCs w:val="24"/>
        </w:rPr>
        <w:t>&amp;</w:t>
      </w:r>
      <w:r w:rsidRPr="00FD4EC7">
        <w:rPr>
          <w:rFonts w:ascii="Times New Roman" w:hAnsi="Times New Roman" w:cs="Times New Roman"/>
          <w:sz w:val="24"/>
          <w:szCs w:val="24"/>
        </w:rPr>
        <w:t xml:space="preserve"> Agrizzi, D. (2019).</w:t>
      </w:r>
      <w:r>
        <w:rPr>
          <w:rFonts w:ascii="Times New Roman" w:hAnsi="Times New Roman" w:cs="Times New Roman"/>
          <w:sz w:val="24"/>
          <w:szCs w:val="24"/>
        </w:rPr>
        <w:t xml:space="preserve"> </w:t>
      </w:r>
      <w:r w:rsidRPr="00FD4EC7">
        <w:rPr>
          <w:rFonts w:ascii="Times New Roman" w:hAnsi="Times New Roman" w:cs="Times New Roman"/>
          <w:sz w:val="24"/>
          <w:szCs w:val="24"/>
          <w:lang w:eastAsia="zh-TW"/>
        </w:rPr>
        <w:t xml:space="preserve">Exploring the </w:t>
      </w:r>
      <w:r>
        <w:rPr>
          <w:rFonts w:ascii="Times New Roman" w:hAnsi="Times New Roman" w:cs="Times New Roman"/>
          <w:sz w:val="24"/>
          <w:szCs w:val="24"/>
          <w:lang w:eastAsia="zh-TW"/>
        </w:rPr>
        <w:t>o</w:t>
      </w:r>
      <w:r w:rsidRPr="00FD4EC7">
        <w:rPr>
          <w:rFonts w:ascii="Times New Roman" w:hAnsi="Times New Roman" w:cs="Times New Roman"/>
          <w:sz w:val="24"/>
          <w:szCs w:val="24"/>
          <w:lang w:eastAsia="zh-TW"/>
        </w:rPr>
        <w:t xml:space="preserve">versight of </w:t>
      </w:r>
      <w:r>
        <w:rPr>
          <w:rFonts w:ascii="Times New Roman" w:hAnsi="Times New Roman" w:cs="Times New Roman"/>
          <w:sz w:val="24"/>
          <w:szCs w:val="24"/>
          <w:lang w:eastAsia="zh-TW"/>
        </w:rPr>
        <w:t>r</w:t>
      </w:r>
      <w:r w:rsidRPr="00FD4EC7">
        <w:rPr>
          <w:rFonts w:ascii="Times New Roman" w:hAnsi="Times New Roman" w:cs="Times New Roman"/>
          <w:sz w:val="24"/>
          <w:szCs w:val="24"/>
          <w:lang w:eastAsia="zh-TW"/>
        </w:rPr>
        <w:t xml:space="preserve">isk </w:t>
      </w:r>
      <w:r>
        <w:rPr>
          <w:rFonts w:ascii="Times New Roman" w:hAnsi="Times New Roman" w:cs="Times New Roman"/>
          <w:sz w:val="24"/>
          <w:szCs w:val="24"/>
          <w:lang w:eastAsia="zh-TW"/>
        </w:rPr>
        <w:t>m</w:t>
      </w:r>
      <w:r w:rsidRPr="00FD4EC7">
        <w:rPr>
          <w:rFonts w:ascii="Times New Roman" w:hAnsi="Times New Roman" w:cs="Times New Roman"/>
          <w:sz w:val="24"/>
          <w:szCs w:val="24"/>
          <w:lang w:eastAsia="zh-TW"/>
        </w:rPr>
        <w:t xml:space="preserve">anagement in UK </w:t>
      </w:r>
      <w:r>
        <w:rPr>
          <w:rFonts w:ascii="Times New Roman" w:hAnsi="Times New Roman" w:cs="Times New Roman"/>
          <w:sz w:val="24"/>
          <w:szCs w:val="24"/>
          <w:lang w:eastAsia="zh-TW"/>
        </w:rPr>
        <w:t>h</w:t>
      </w:r>
      <w:r w:rsidRPr="00FD4EC7">
        <w:rPr>
          <w:rFonts w:ascii="Times New Roman" w:hAnsi="Times New Roman" w:cs="Times New Roman"/>
          <w:sz w:val="24"/>
          <w:szCs w:val="24"/>
          <w:lang w:eastAsia="zh-TW"/>
        </w:rPr>
        <w:t xml:space="preserve">igher </w:t>
      </w:r>
      <w:r>
        <w:rPr>
          <w:rFonts w:ascii="Times New Roman" w:hAnsi="Times New Roman" w:cs="Times New Roman"/>
          <w:sz w:val="24"/>
          <w:szCs w:val="24"/>
          <w:lang w:eastAsia="zh-TW"/>
        </w:rPr>
        <w:t>e</w:t>
      </w:r>
      <w:r w:rsidRPr="00FD4EC7">
        <w:rPr>
          <w:rFonts w:ascii="Times New Roman" w:hAnsi="Times New Roman" w:cs="Times New Roman"/>
          <w:sz w:val="24"/>
          <w:szCs w:val="24"/>
          <w:lang w:eastAsia="zh-TW"/>
        </w:rPr>
        <w:t xml:space="preserve">ducation </w:t>
      </w:r>
      <w:r>
        <w:rPr>
          <w:rFonts w:ascii="Times New Roman" w:hAnsi="Times New Roman" w:cs="Times New Roman"/>
          <w:sz w:val="24"/>
          <w:szCs w:val="24"/>
          <w:lang w:eastAsia="zh-TW"/>
        </w:rPr>
        <w:t>i</w:t>
      </w:r>
      <w:r w:rsidRPr="00FD4EC7">
        <w:rPr>
          <w:rFonts w:ascii="Times New Roman" w:hAnsi="Times New Roman" w:cs="Times New Roman"/>
          <w:sz w:val="24"/>
          <w:szCs w:val="24"/>
          <w:lang w:eastAsia="zh-TW"/>
        </w:rPr>
        <w:t xml:space="preserve">nstitutions: The </w:t>
      </w:r>
      <w:r>
        <w:rPr>
          <w:rFonts w:ascii="Times New Roman" w:hAnsi="Times New Roman" w:cs="Times New Roman"/>
          <w:sz w:val="24"/>
          <w:szCs w:val="24"/>
          <w:lang w:eastAsia="zh-TW"/>
        </w:rPr>
        <w:t>c</w:t>
      </w:r>
      <w:r w:rsidRPr="00FD4EC7">
        <w:rPr>
          <w:rFonts w:ascii="Times New Roman" w:hAnsi="Times New Roman" w:cs="Times New Roman"/>
          <w:sz w:val="24"/>
          <w:szCs w:val="24"/>
          <w:lang w:eastAsia="zh-TW"/>
        </w:rPr>
        <w:t xml:space="preserve">ase of </w:t>
      </w:r>
      <w:r>
        <w:rPr>
          <w:rFonts w:ascii="Times New Roman" w:hAnsi="Times New Roman" w:cs="Times New Roman"/>
          <w:sz w:val="24"/>
          <w:szCs w:val="24"/>
          <w:lang w:eastAsia="zh-TW"/>
        </w:rPr>
        <w:t>a</w:t>
      </w:r>
      <w:r w:rsidRPr="00FD4EC7">
        <w:rPr>
          <w:rFonts w:ascii="Times New Roman" w:hAnsi="Times New Roman" w:cs="Times New Roman"/>
          <w:sz w:val="24"/>
          <w:szCs w:val="24"/>
          <w:lang w:eastAsia="zh-TW"/>
        </w:rPr>
        <w:t xml:space="preserve">udit </w:t>
      </w:r>
      <w:r>
        <w:rPr>
          <w:rFonts w:ascii="Times New Roman" w:hAnsi="Times New Roman" w:cs="Times New Roman"/>
          <w:sz w:val="24"/>
          <w:szCs w:val="24"/>
          <w:lang w:eastAsia="zh-TW"/>
        </w:rPr>
        <w:t>c</w:t>
      </w:r>
      <w:r w:rsidRPr="00FD4EC7">
        <w:rPr>
          <w:rFonts w:ascii="Times New Roman" w:hAnsi="Times New Roman" w:cs="Times New Roman"/>
          <w:sz w:val="24"/>
          <w:szCs w:val="24"/>
          <w:lang w:eastAsia="zh-TW"/>
        </w:rPr>
        <w:t>ommittees</w:t>
      </w:r>
      <w:r>
        <w:rPr>
          <w:rFonts w:ascii="Times New Roman" w:hAnsi="Times New Roman" w:cs="Times New Roman"/>
          <w:sz w:val="24"/>
          <w:szCs w:val="24"/>
        </w:rPr>
        <w:t>.</w:t>
      </w:r>
      <w:r w:rsidRPr="00FD4EC7">
        <w:rPr>
          <w:rFonts w:ascii="Times New Roman" w:hAnsi="Times New Roman" w:cs="Times New Roman"/>
          <w:sz w:val="24"/>
          <w:szCs w:val="24"/>
        </w:rPr>
        <w:t xml:space="preserve"> </w:t>
      </w:r>
      <w:r w:rsidRPr="00FD4EC7">
        <w:rPr>
          <w:rFonts w:ascii="Times New Roman" w:hAnsi="Times New Roman" w:cs="Times New Roman"/>
          <w:bCs/>
          <w:i/>
          <w:sz w:val="24"/>
          <w:szCs w:val="24"/>
        </w:rPr>
        <w:t>Accounting Forum</w:t>
      </w:r>
      <w:r>
        <w:rPr>
          <w:rFonts w:ascii="Times New Roman" w:hAnsi="Times New Roman" w:cs="Times New Roman"/>
          <w:sz w:val="24"/>
          <w:szCs w:val="24"/>
        </w:rPr>
        <w:t xml:space="preserve">, 43(4), 404-425. </w:t>
      </w:r>
      <w:hyperlink r:id="rId92" w:history="1">
        <w:r w:rsidRPr="007623DA">
          <w:rPr>
            <w:rStyle w:val="Hyperlink"/>
            <w:rFonts w:ascii="Times New Roman" w:hAnsi="Times New Roman" w:cs="Times New Roman"/>
            <w:sz w:val="24"/>
            <w:szCs w:val="24"/>
          </w:rPr>
          <w:t>https://doi.org/10.1080/01559982.2019.1605872</w:t>
        </w:r>
      </w:hyperlink>
      <w:r>
        <w:rPr>
          <w:rFonts w:ascii="Times New Roman" w:hAnsi="Times New Roman" w:cs="Times New Roman"/>
          <w:sz w:val="24"/>
          <w:szCs w:val="24"/>
        </w:rPr>
        <w:t>.</w:t>
      </w:r>
    </w:p>
    <w:p w14:paraId="019DD0CC" w14:textId="0BA2C0E0" w:rsidR="007F5068" w:rsidRPr="003A2934" w:rsidRDefault="007F5068" w:rsidP="007F5068">
      <w:pPr>
        <w:spacing w:after="0" w:line="240" w:lineRule="auto"/>
        <w:ind w:left="170" w:hanging="170"/>
        <w:jc w:val="both"/>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 xml:space="preserve">Stott, C., &amp; White, M. (2015). </w:t>
      </w:r>
      <w:r w:rsidRPr="007F5068">
        <w:rPr>
          <w:rFonts w:asciiTheme="majorBidi" w:eastAsia="Times New Roman" w:hAnsiTheme="majorBidi" w:cstheme="majorBidi"/>
          <w:i/>
          <w:iCs/>
          <w:sz w:val="24"/>
          <w:szCs w:val="24"/>
          <w:lang w:eastAsia="en-GB"/>
        </w:rPr>
        <w:t>Code of Good Governance for English Colleges: Professional, Prudent and Passionate</w:t>
      </w:r>
      <w:r w:rsidRPr="007F5068">
        <w:rPr>
          <w:rFonts w:asciiTheme="majorBidi" w:eastAsia="Times New Roman" w:hAnsiTheme="majorBidi" w:cstheme="majorBidi"/>
          <w:sz w:val="24"/>
          <w:szCs w:val="24"/>
          <w:lang w:eastAsia="en-GB"/>
        </w:rPr>
        <w:t>. Association of Colleges. London.</w:t>
      </w:r>
    </w:p>
    <w:p w14:paraId="3938FDD3" w14:textId="75E51B6B" w:rsidR="004E5B85" w:rsidRDefault="00EC4CC2" w:rsidP="00BD21C6">
      <w:pPr>
        <w:spacing w:after="0" w:line="240" w:lineRule="auto"/>
        <w:ind w:left="170" w:hanging="170"/>
        <w:jc w:val="both"/>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 xml:space="preserve">Suchman, M.C. </w:t>
      </w:r>
      <w:r w:rsidR="003C70BC">
        <w:rPr>
          <w:rFonts w:asciiTheme="majorBidi" w:eastAsia="Times New Roman" w:hAnsiTheme="majorBidi" w:cstheme="majorBidi"/>
          <w:sz w:val="24"/>
          <w:szCs w:val="24"/>
          <w:lang w:eastAsia="en-GB"/>
        </w:rPr>
        <w:t>(</w:t>
      </w:r>
      <w:r w:rsidR="004E5B85" w:rsidRPr="00511F36">
        <w:rPr>
          <w:rFonts w:asciiTheme="majorBidi" w:eastAsia="Times New Roman" w:hAnsiTheme="majorBidi" w:cstheme="majorBidi"/>
          <w:sz w:val="24"/>
          <w:szCs w:val="24"/>
          <w:lang w:eastAsia="en-GB"/>
        </w:rPr>
        <w:t>1995</w:t>
      </w:r>
      <w:r w:rsidR="003C70BC">
        <w:rPr>
          <w:rFonts w:asciiTheme="majorBidi" w:eastAsia="Times New Roman" w:hAnsiTheme="majorBidi" w:cstheme="majorBidi"/>
          <w:sz w:val="24"/>
          <w:szCs w:val="24"/>
          <w:lang w:eastAsia="en-GB"/>
        </w:rPr>
        <w:t>)</w:t>
      </w:r>
      <w:r w:rsidR="004E5B85" w:rsidRPr="00511F36">
        <w:rPr>
          <w:rFonts w:asciiTheme="majorBidi" w:eastAsia="Times New Roman" w:hAnsiTheme="majorBidi" w:cstheme="majorBidi"/>
          <w:sz w:val="24"/>
          <w:szCs w:val="24"/>
          <w:lang w:eastAsia="en-GB"/>
        </w:rPr>
        <w:t>. Managing legitimacy: strategic and institutional approaches</w:t>
      </w:r>
      <w:r w:rsidR="004E5B85" w:rsidRPr="00511F36">
        <w:rPr>
          <w:rFonts w:asciiTheme="majorBidi" w:eastAsia="Times New Roman" w:hAnsiTheme="majorBidi" w:cstheme="majorBidi"/>
          <w:i/>
          <w:iCs/>
          <w:sz w:val="24"/>
          <w:szCs w:val="24"/>
          <w:lang w:eastAsia="en-GB"/>
        </w:rPr>
        <w:t>.</w:t>
      </w:r>
      <w:r>
        <w:rPr>
          <w:rFonts w:asciiTheme="majorBidi" w:eastAsia="Times New Roman" w:hAnsiTheme="majorBidi" w:cstheme="majorBidi"/>
          <w:i/>
          <w:iCs/>
          <w:sz w:val="24"/>
          <w:szCs w:val="24"/>
          <w:lang w:eastAsia="en-GB"/>
        </w:rPr>
        <w:t xml:space="preserve"> Academy of Management Review</w:t>
      </w:r>
      <w:r w:rsidR="003C70BC">
        <w:rPr>
          <w:rFonts w:asciiTheme="majorBidi" w:eastAsia="Times New Roman" w:hAnsiTheme="majorBidi" w:cstheme="majorBidi"/>
          <w:i/>
          <w:iCs/>
          <w:sz w:val="24"/>
          <w:szCs w:val="24"/>
          <w:lang w:eastAsia="en-GB"/>
        </w:rPr>
        <w:t>,</w:t>
      </w:r>
      <w:r w:rsidR="004E5B85" w:rsidRPr="00511F36">
        <w:rPr>
          <w:rFonts w:asciiTheme="majorBidi" w:eastAsia="Times New Roman" w:hAnsiTheme="majorBidi" w:cstheme="majorBidi"/>
          <w:i/>
          <w:iCs/>
          <w:sz w:val="24"/>
          <w:szCs w:val="24"/>
          <w:lang w:eastAsia="en-GB"/>
        </w:rPr>
        <w:t xml:space="preserve"> 20</w:t>
      </w:r>
      <w:r w:rsidR="003C70BC">
        <w:rPr>
          <w:rFonts w:asciiTheme="majorBidi" w:eastAsia="Times New Roman" w:hAnsiTheme="majorBidi" w:cstheme="majorBidi"/>
          <w:sz w:val="24"/>
          <w:szCs w:val="24"/>
          <w:lang w:eastAsia="en-GB"/>
        </w:rPr>
        <w:t>(3),</w:t>
      </w:r>
      <w:r w:rsidR="004E5B85" w:rsidRPr="00511F36">
        <w:rPr>
          <w:rFonts w:asciiTheme="majorBidi" w:eastAsia="Times New Roman" w:hAnsiTheme="majorBidi" w:cstheme="majorBidi"/>
          <w:sz w:val="24"/>
          <w:szCs w:val="24"/>
          <w:lang w:eastAsia="en-GB"/>
        </w:rPr>
        <w:t xml:space="preserve"> 571-606.</w:t>
      </w:r>
      <w:r w:rsidR="00BD21C6">
        <w:rPr>
          <w:rFonts w:asciiTheme="majorBidi" w:eastAsia="Times New Roman" w:hAnsiTheme="majorBidi" w:cstheme="majorBidi"/>
          <w:sz w:val="24"/>
          <w:szCs w:val="24"/>
          <w:lang w:eastAsia="en-GB"/>
        </w:rPr>
        <w:t xml:space="preserve"> </w:t>
      </w:r>
      <w:hyperlink r:id="rId93" w:history="1">
        <w:r w:rsidR="00BD21C6" w:rsidRPr="007623DA">
          <w:rPr>
            <w:rStyle w:val="Hyperlink"/>
            <w:rFonts w:asciiTheme="majorBidi" w:eastAsia="Times New Roman" w:hAnsiTheme="majorBidi" w:cstheme="majorBidi"/>
            <w:sz w:val="24"/>
            <w:szCs w:val="24"/>
            <w:lang w:eastAsia="en-GB"/>
          </w:rPr>
          <w:t>https://www.jstor.org/stable/258788</w:t>
        </w:r>
      </w:hyperlink>
      <w:r w:rsidR="00BD21C6">
        <w:rPr>
          <w:rFonts w:asciiTheme="majorBidi" w:eastAsia="Times New Roman" w:hAnsiTheme="majorBidi" w:cstheme="majorBidi"/>
          <w:sz w:val="24"/>
          <w:szCs w:val="24"/>
          <w:lang w:eastAsia="en-GB"/>
        </w:rPr>
        <w:t xml:space="preserve">. </w:t>
      </w:r>
    </w:p>
    <w:p w14:paraId="764FB753" w14:textId="6AA34521" w:rsidR="00B274A6" w:rsidRPr="00FD4EC7" w:rsidRDefault="00B274A6" w:rsidP="003B409C">
      <w:pPr>
        <w:spacing w:after="0" w:line="240" w:lineRule="auto"/>
        <w:ind w:left="170" w:hanging="170"/>
        <w:jc w:val="both"/>
        <w:rPr>
          <w:rFonts w:ascii="Times New Roman" w:eastAsia="Times New Roman" w:hAnsi="Times New Roman" w:cs="Times New Roman"/>
          <w:sz w:val="24"/>
          <w:szCs w:val="24"/>
          <w:lang w:eastAsia="en-GB"/>
        </w:rPr>
      </w:pPr>
      <w:r w:rsidRPr="00B274A6">
        <w:rPr>
          <w:rFonts w:ascii="Times New Roman" w:eastAsia="Times New Roman" w:hAnsi="Times New Roman" w:cs="Times New Roman"/>
          <w:sz w:val="24"/>
          <w:szCs w:val="24"/>
          <w:lang w:eastAsia="en-GB"/>
        </w:rPr>
        <w:t>Taylor, M.P. (2013). What is good university financial management? Perspectives</w:t>
      </w:r>
      <w:r>
        <w:rPr>
          <w:rFonts w:ascii="Times New Roman" w:eastAsia="Times New Roman" w:hAnsi="Times New Roman" w:cs="Times New Roman"/>
          <w:sz w:val="24"/>
          <w:szCs w:val="24"/>
          <w:lang w:eastAsia="en-GB"/>
        </w:rPr>
        <w:t>.</w:t>
      </w:r>
      <w:r w:rsidRPr="00B274A6">
        <w:rPr>
          <w:rFonts w:ascii="Times New Roman" w:eastAsia="Times New Roman" w:hAnsi="Times New Roman" w:cs="Times New Roman"/>
          <w:sz w:val="24"/>
          <w:szCs w:val="24"/>
          <w:lang w:eastAsia="en-GB"/>
        </w:rPr>
        <w:t xml:space="preserve"> </w:t>
      </w:r>
      <w:r w:rsidRPr="00B274A6">
        <w:rPr>
          <w:rFonts w:ascii="Times New Roman" w:eastAsia="Times New Roman" w:hAnsi="Times New Roman" w:cs="Times New Roman"/>
          <w:i/>
          <w:iCs/>
          <w:sz w:val="24"/>
          <w:szCs w:val="24"/>
          <w:lang w:eastAsia="en-GB"/>
        </w:rPr>
        <w:t>Policy and Practice in Higher Education, 17</w:t>
      </w:r>
      <w:r w:rsidRPr="00B274A6">
        <w:rPr>
          <w:rFonts w:ascii="Times New Roman" w:eastAsia="Times New Roman" w:hAnsi="Times New Roman" w:cs="Times New Roman"/>
          <w:sz w:val="24"/>
          <w:szCs w:val="24"/>
          <w:lang w:eastAsia="en-GB"/>
        </w:rPr>
        <w:t>(4), 141-147.</w:t>
      </w:r>
      <w:r>
        <w:rPr>
          <w:rFonts w:ascii="Times New Roman" w:eastAsia="Times New Roman" w:hAnsi="Times New Roman" w:cs="Times New Roman"/>
          <w:sz w:val="24"/>
          <w:szCs w:val="24"/>
          <w:lang w:eastAsia="en-GB"/>
        </w:rPr>
        <w:t xml:space="preserve"> </w:t>
      </w:r>
      <w:hyperlink r:id="rId94" w:history="1">
        <w:r w:rsidRPr="007623DA">
          <w:rPr>
            <w:rStyle w:val="Hyperlink"/>
            <w:rFonts w:ascii="Times New Roman" w:eastAsia="Times New Roman" w:hAnsi="Times New Roman" w:cs="Times New Roman"/>
            <w:sz w:val="24"/>
            <w:szCs w:val="24"/>
            <w:lang w:eastAsia="en-GB"/>
          </w:rPr>
          <w:t>https://doi.org/10.1080/13603108.2013.835289</w:t>
        </w:r>
      </w:hyperlink>
      <w:r>
        <w:rPr>
          <w:rFonts w:ascii="Times New Roman" w:eastAsia="Times New Roman" w:hAnsi="Times New Roman" w:cs="Times New Roman"/>
          <w:sz w:val="24"/>
          <w:szCs w:val="24"/>
          <w:lang w:eastAsia="en-GB"/>
        </w:rPr>
        <w:t xml:space="preserve">. </w:t>
      </w:r>
    </w:p>
    <w:p w14:paraId="1791F848" w14:textId="1B2B0F99" w:rsidR="00867AE4" w:rsidRDefault="00867AE4" w:rsidP="003B409C">
      <w:pPr>
        <w:spacing w:after="0" w:line="240" w:lineRule="auto"/>
        <w:ind w:left="170" w:hanging="170"/>
        <w:jc w:val="both"/>
        <w:rPr>
          <w:rFonts w:asciiTheme="majorBidi" w:eastAsia="Times New Roman" w:hAnsiTheme="majorBidi" w:cstheme="majorBidi"/>
          <w:sz w:val="24"/>
          <w:szCs w:val="24"/>
          <w:lang w:eastAsia="en-GB"/>
        </w:rPr>
      </w:pPr>
      <w:r w:rsidRPr="00867AE4">
        <w:rPr>
          <w:rFonts w:asciiTheme="majorBidi" w:eastAsia="Times New Roman" w:hAnsiTheme="majorBidi" w:cstheme="majorBidi"/>
          <w:sz w:val="24"/>
          <w:szCs w:val="24"/>
          <w:lang w:eastAsia="en-GB"/>
        </w:rPr>
        <w:t>Teichler, U. (1998). The changing roles of the university and non-university sectors of higher education in Europe. </w:t>
      </w:r>
      <w:r w:rsidRPr="00867AE4">
        <w:rPr>
          <w:rFonts w:asciiTheme="majorBidi" w:eastAsia="Times New Roman" w:hAnsiTheme="majorBidi" w:cstheme="majorBidi"/>
          <w:i/>
          <w:sz w:val="24"/>
          <w:szCs w:val="24"/>
          <w:lang w:eastAsia="en-GB"/>
        </w:rPr>
        <w:t>European Review, 6</w:t>
      </w:r>
      <w:r w:rsidRPr="00867AE4">
        <w:rPr>
          <w:rFonts w:asciiTheme="majorBidi" w:eastAsia="Times New Roman" w:hAnsiTheme="majorBidi" w:cstheme="majorBidi"/>
          <w:sz w:val="24"/>
          <w:szCs w:val="24"/>
          <w:lang w:eastAsia="en-GB"/>
        </w:rPr>
        <w:t>(4), 475-487.</w:t>
      </w:r>
      <w:r w:rsidR="00193130">
        <w:rPr>
          <w:rFonts w:asciiTheme="majorBidi" w:eastAsia="Times New Roman" w:hAnsiTheme="majorBidi" w:cstheme="majorBidi"/>
          <w:sz w:val="24"/>
          <w:szCs w:val="24"/>
          <w:lang w:eastAsia="en-GB"/>
        </w:rPr>
        <w:t xml:space="preserve"> </w:t>
      </w:r>
      <w:hyperlink r:id="rId95" w:history="1">
        <w:r w:rsidR="00193130" w:rsidRPr="007623DA">
          <w:rPr>
            <w:rStyle w:val="Hyperlink"/>
            <w:rFonts w:asciiTheme="majorBidi" w:eastAsia="Times New Roman" w:hAnsiTheme="majorBidi" w:cstheme="majorBidi"/>
            <w:sz w:val="24"/>
            <w:szCs w:val="24"/>
            <w:lang w:eastAsia="en-GB"/>
          </w:rPr>
          <w:t>https://doi.org/10.1017/S1062798700003628</w:t>
        </w:r>
      </w:hyperlink>
      <w:r w:rsidR="00193130">
        <w:rPr>
          <w:rFonts w:asciiTheme="majorBidi" w:eastAsia="Times New Roman" w:hAnsiTheme="majorBidi" w:cstheme="majorBidi"/>
          <w:sz w:val="24"/>
          <w:szCs w:val="24"/>
          <w:lang w:eastAsia="en-GB"/>
        </w:rPr>
        <w:t xml:space="preserve">. </w:t>
      </w:r>
    </w:p>
    <w:p w14:paraId="5180D500" w14:textId="6AF56916" w:rsidR="005A3139" w:rsidRDefault="005A3139" w:rsidP="003B409C">
      <w:pPr>
        <w:spacing w:after="0" w:line="240" w:lineRule="auto"/>
        <w:ind w:left="170" w:hanging="170"/>
        <w:jc w:val="both"/>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 xml:space="preserve">Universities UK. (2016). </w:t>
      </w:r>
      <w:r w:rsidRPr="00F97C8F">
        <w:rPr>
          <w:rFonts w:asciiTheme="majorBidi" w:eastAsia="Times New Roman" w:hAnsiTheme="majorBidi" w:cstheme="majorBidi"/>
          <w:i/>
          <w:sz w:val="24"/>
          <w:szCs w:val="24"/>
          <w:lang w:eastAsia="en-GB"/>
        </w:rPr>
        <w:t>University Funding Explained</w:t>
      </w:r>
      <w:r>
        <w:rPr>
          <w:rFonts w:asciiTheme="majorBidi" w:eastAsia="Times New Roman" w:hAnsiTheme="majorBidi" w:cstheme="majorBidi"/>
          <w:sz w:val="24"/>
          <w:szCs w:val="24"/>
          <w:lang w:eastAsia="en-GB"/>
        </w:rPr>
        <w:t xml:space="preserve">. </w:t>
      </w:r>
      <w:r w:rsidR="00F97C8F">
        <w:rPr>
          <w:rFonts w:asciiTheme="majorBidi" w:eastAsia="Times New Roman" w:hAnsiTheme="majorBidi" w:cstheme="majorBidi"/>
          <w:sz w:val="24"/>
          <w:szCs w:val="24"/>
          <w:lang w:eastAsia="en-GB"/>
        </w:rPr>
        <w:t>London.</w:t>
      </w:r>
    </w:p>
    <w:p w14:paraId="1B59D331" w14:textId="16BDF629" w:rsidR="004E5B85" w:rsidRDefault="00EC4CC2" w:rsidP="00605ADB">
      <w:pPr>
        <w:spacing w:after="0" w:line="240" w:lineRule="auto"/>
        <w:ind w:left="170" w:hanging="170"/>
        <w:jc w:val="both"/>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 xml:space="preserve">Vafeas, N. </w:t>
      </w:r>
      <w:r w:rsidR="00B76C92">
        <w:rPr>
          <w:rFonts w:asciiTheme="majorBidi" w:eastAsia="Times New Roman" w:hAnsiTheme="majorBidi" w:cstheme="majorBidi"/>
          <w:sz w:val="24"/>
          <w:szCs w:val="24"/>
          <w:lang w:eastAsia="en-GB"/>
        </w:rPr>
        <w:t>(</w:t>
      </w:r>
      <w:r w:rsidR="004E5B85" w:rsidRPr="00511F36">
        <w:rPr>
          <w:rFonts w:asciiTheme="majorBidi" w:eastAsia="Times New Roman" w:hAnsiTheme="majorBidi" w:cstheme="majorBidi"/>
          <w:sz w:val="24"/>
          <w:szCs w:val="24"/>
          <w:lang w:eastAsia="en-GB"/>
        </w:rPr>
        <w:t>1999</w:t>
      </w:r>
      <w:r w:rsidR="00B76C92">
        <w:rPr>
          <w:rFonts w:asciiTheme="majorBidi" w:eastAsia="Times New Roman" w:hAnsiTheme="majorBidi" w:cstheme="majorBidi"/>
          <w:sz w:val="24"/>
          <w:szCs w:val="24"/>
          <w:lang w:eastAsia="en-GB"/>
        </w:rPr>
        <w:t>)</w:t>
      </w:r>
      <w:r w:rsidR="004E5B85" w:rsidRPr="00511F36">
        <w:rPr>
          <w:rFonts w:asciiTheme="majorBidi" w:eastAsia="Times New Roman" w:hAnsiTheme="majorBidi" w:cstheme="majorBidi"/>
          <w:sz w:val="24"/>
          <w:szCs w:val="24"/>
          <w:lang w:eastAsia="en-GB"/>
        </w:rPr>
        <w:t xml:space="preserve">. Board meeting frequency and firm performance. </w:t>
      </w:r>
      <w:r w:rsidR="004E5B85" w:rsidRPr="00511F36">
        <w:rPr>
          <w:rFonts w:asciiTheme="majorBidi" w:eastAsia="Times New Roman" w:hAnsiTheme="majorBidi" w:cstheme="majorBidi"/>
          <w:i/>
          <w:iCs/>
          <w:sz w:val="24"/>
          <w:szCs w:val="24"/>
          <w:lang w:eastAsia="en-GB"/>
        </w:rPr>
        <w:t>Journal of Financial Economics</w:t>
      </w:r>
      <w:r w:rsidR="00B76C92">
        <w:rPr>
          <w:rFonts w:asciiTheme="majorBidi" w:eastAsia="Times New Roman" w:hAnsiTheme="majorBidi" w:cstheme="majorBidi"/>
          <w:i/>
          <w:iCs/>
          <w:sz w:val="24"/>
          <w:szCs w:val="24"/>
          <w:lang w:eastAsia="en-GB"/>
        </w:rPr>
        <w:t>,</w:t>
      </w:r>
      <w:r w:rsidR="004E5B85" w:rsidRPr="00511F36">
        <w:rPr>
          <w:rFonts w:asciiTheme="majorBidi" w:eastAsia="Times New Roman" w:hAnsiTheme="majorBidi" w:cstheme="majorBidi"/>
          <w:sz w:val="24"/>
          <w:szCs w:val="24"/>
          <w:lang w:eastAsia="en-GB"/>
        </w:rPr>
        <w:t xml:space="preserve"> </w:t>
      </w:r>
      <w:r w:rsidR="004E5B85" w:rsidRPr="00511F36">
        <w:rPr>
          <w:rFonts w:asciiTheme="majorBidi" w:eastAsia="Times New Roman" w:hAnsiTheme="majorBidi" w:cstheme="majorBidi"/>
          <w:i/>
          <w:iCs/>
          <w:sz w:val="24"/>
          <w:szCs w:val="24"/>
          <w:lang w:eastAsia="en-GB"/>
        </w:rPr>
        <w:t>53</w:t>
      </w:r>
      <w:r w:rsidR="00B76C92">
        <w:rPr>
          <w:rFonts w:asciiTheme="majorBidi" w:eastAsia="Times New Roman" w:hAnsiTheme="majorBidi" w:cstheme="majorBidi"/>
          <w:sz w:val="24"/>
          <w:szCs w:val="24"/>
          <w:lang w:eastAsia="en-GB"/>
        </w:rPr>
        <w:t>(1),</w:t>
      </w:r>
      <w:r w:rsidR="004E5B85" w:rsidRPr="00511F36">
        <w:rPr>
          <w:rFonts w:asciiTheme="majorBidi" w:eastAsia="Times New Roman" w:hAnsiTheme="majorBidi" w:cstheme="majorBidi"/>
          <w:sz w:val="24"/>
          <w:szCs w:val="24"/>
          <w:lang w:eastAsia="en-GB"/>
        </w:rPr>
        <w:t xml:space="preserve"> 113-142.</w:t>
      </w:r>
      <w:r w:rsidR="00DB5413">
        <w:rPr>
          <w:rFonts w:asciiTheme="majorBidi" w:eastAsia="Times New Roman" w:hAnsiTheme="majorBidi" w:cstheme="majorBidi"/>
          <w:sz w:val="24"/>
          <w:szCs w:val="24"/>
          <w:lang w:eastAsia="en-GB"/>
        </w:rPr>
        <w:t xml:space="preserve"> </w:t>
      </w:r>
      <w:hyperlink r:id="rId96" w:history="1">
        <w:r w:rsidR="00DB5413" w:rsidRPr="007623DA">
          <w:rPr>
            <w:rStyle w:val="Hyperlink"/>
            <w:rFonts w:asciiTheme="majorBidi" w:eastAsia="Times New Roman" w:hAnsiTheme="majorBidi" w:cstheme="majorBidi"/>
            <w:sz w:val="24"/>
            <w:szCs w:val="24"/>
            <w:lang w:eastAsia="en-GB"/>
          </w:rPr>
          <w:t>https://doi.org/10.1016/S0304-405X(99)00018-5</w:t>
        </w:r>
      </w:hyperlink>
      <w:r w:rsidR="00DB5413">
        <w:rPr>
          <w:rFonts w:asciiTheme="majorBidi" w:eastAsia="Times New Roman" w:hAnsiTheme="majorBidi" w:cstheme="majorBidi"/>
          <w:sz w:val="24"/>
          <w:szCs w:val="24"/>
          <w:lang w:eastAsia="en-GB"/>
        </w:rPr>
        <w:t xml:space="preserve">. </w:t>
      </w:r>
    </w:p>
    <w:p w14:paraId="52C2890C" w14:textId="149FEA05" w:rsidR="00E77DDF" w:rsidRDefault="00D62B78" w:rsidP="00605ADB">
      <w:pPr>
        <w:spacing w:after="0" w:line="240" w:lineRule="auto"/>
        <w:ind w:left="170" w:hanging="170"/>
        <w:jc w:val="both"/>
        <w:rPr>
          <w:rFonts w:asciiTheme="majorBidi" w:eastAsia="Times New Roman" w:hAnsiTheme="majorBidi" w:cstheme="majorBidi"/>
          <w:sz w:val="24"/>
          <w:szCs w:val="24"/>
          <w:lang w:eastAsia="en-GB"/>
        </w:rPr>
      </w:pPr>
      <w:r w:rsidRPr="00D62B78">
        <w:rPr>
          <w:rFonts w:asciiTheme="majorBidi" w:eastAsia="Times New Roman" w:hAnsiTheme="majorBidi" w:cstheme="majorBidi"/>
          <w:sz w:val="24"/>
          <w:szCs w:val="24"/>
          <w:lang w:eastAsia="en-GB"/>
        </w:rPr>
        <w:t xml:space="preserve">Van Puyvelde, S., Brown, W.A., Walker, V., &amp; Tenuta, R. (2018). Board effectiveness in nonprofit organizations: Do interactions in the boardroom matter? </w:t>
      </w:r>
      <w:r w:rsidRPr="002E69BB">
        <w:rPr>
          <w:rFonts w:asciiTheme="majorBidi" w:eastAsia="Times New Roman" w:hAnsiTheme="majorBidi" w:cstheme="majorBidi"/>
          <w:i/>
          <w:iCs/>
          <w:sz w:val="24"/>
          <w:szCs w:val="24"/>
          <w:lang w:eastAsia="en-GB"/>
        </w:rPr>
        <w:t>Nonprofit and Voluntary Sector Quarterly, 47</w:t>
      </w:r>
      <w:r w:rsidRPr="00D62B78">
        <w:rPr>
          <w:rFonts w:asciiTheme="majorBidi" w:eastAsia="Times New Roman" w:hAnsiTheme="majorBidi" w:cstheme="majorBidi"/>
          <w:sz w:val="24"/>
          <w:szCs w:val="24"/>
          <w:lang w:eastAsia="en-GB"/>
        </w:rPr>
        <w:t>(6), 1296-1310.</w:t>
      </w:r>
      <w:r>
        <w:rPr>
          <w:rFonts w:asciiTheme="majorBidi" w:eastAsia="Times New Roman" w:hAnsiTheme="majorBidi" w:cstheme="majorBidi"/>
          <w:sz w:val="24"/>
          <w:szCs w:val="24"/>
          <w:lang w:eastAsia="en-GB"/>
        </w:rPr>
        <w:t xml:space="preserve"> </w:t>
      </w:r>
      <w:hyperlink r:id="rId97" w:history="1">
        <w:r w:rsidRPr="007623DA">
          <w:rPr>
            <w:rStyle w:val="Hyperlink"/>
            <w:rFonts w:asciiTheme="majorBidi" w:eastAsia="Times New Roman" w:hAnsiTheme="majorBidi" w:cstheme="majorBidi"/>
            <w:sz w:val="24"/>
            <w:szCs w:val="24"/>
            <w:lang w:eastAsia="en-GB"/>
          </w:rPr>
          <w:t>https://doi.org/10.1177/0899764018762318</w:t>
        </w:r>
      </w:hyperlink>
      <w:r>
        <w:rPr>
          <w:rFonts w:asciiTheme="majorBidi" w:eastAsia="Times New Roman" w:hAnsiTheme="majorBidi" w:cstheme="majorBidi"/>
          <w:sz w:val="24"/>
          <w:szCs w:val="24"/>
          <w:lang w:eastAsia="en-GB"/>
        </w:rPr>
        <w:t xml:space="preserve">. </w:t>
      </w:r>
    </w:p>
    <w:p w14:paraId="2D941A89" w14:textId="55E16BED" w:rsidR="00E61F39" w:rsidRDefault="00E61F39" w:rsidP="00605ADB">
      <w:pPr>
        <w:spacing w:after="0" w:line="240" w:lineRule="auto"/>
        <w:ind w:left="170" w:hanging="170"/>
        <w:jc w:val="both"/>
        <w:rPr>
          <w:rFonts w:asciiTheme="majorBidi" w:eastAsia="Times New Roman" w:hAnsiTheme="majorBidi" w:cstheme="majorBidi"/>
          <w:sz w:val="24"/>
          <w:szCs w:val="24"/>
          <w:lang w:eastAsia="en-GB"/>
        </w:rPr>
      </w:pPr>
      <w:r w:rsidRPr="00E61F39">
        <w:rPr>
          <w:rFonts w:asciiTheme="majorBidi" w:eastAsia="Times New Roman" w:hAnsiTheme="majorBidi" w:cstheme="majorBidi"/>
          <w:sz w:val="24"/>
          <w:szCs w:val="24"/>
          <w:lang w:eastAsia="en-GB"/>
        </w:rPr>
        <w:t>Wallace, R.O., Naser, K., &amp; Mora, A. (1994). The relationship between the comprehensiveness of corporate annual reports and firm characteristics in Spain. </w:t>
      </w:r>
      <w:r w:rsidRPr="00E61F39">
        <w:rPr>
          <w:rFonts w:asciiTheme="majorBidi" w:eastAsia="Times New Roman" w:hAnsiTheme="majorBidi" w:cstheme="majorBidi"/>
          <w:i/>
          <w:iCs/>
          <w:sz w:val="24"/>
          <w:szCs w:val="24"/>
          <w:lang w:eastAsia="en-GB"/>
        </w:rPr>
        <w:t>Accounting and Business Research, 25</w:t>
      </w:r>
      <w:r w:rsidRPr="00E61F39">
        <w:rPr>
          <w:rFonts w:asciiTheme="majorBidi" w:eastAsia="Times New Roman" w:hAnsiTheme="majorBidi" w:cstheme="majorBidi"/>
          <w:sz w:val="24"/>
          <w:szCs w:val="24"/>
          <w:lang w:eastAsia="en-GB"/>
        </w:rPr>
        <w:t>(97), 41-53.</w:t>
      </w:r>
      <w:r w:rsidR="00CE3EB2">
        <w:rPr>
          <w:rFonts w:asciiTheme="majorBidi" w:eastAsia="Times New Roman" w:hAnsiTheme="majorBidi" w:cstheme="majorBidi"/>
          <w:sz w:val="24"/>
          <w:szCs w:val="24"/>
          <w:lang w:eastAsia="en-GB"/>
        </w:rPr>
        <w:t xml:space="preserve"> </w:t>
      </w:r>
      <w:hyperlink r:id="rId98" w:history="1">
        <w:r w:rsidR="00CE3EB2" w:rsidRPr="007623DA">
          <w:rPr>
            <w:rStyle w:val="Hyperlink"/>
            <w:rFonts w:asciiTheme="majorBidi" w:eastAsia="Times New Roman" w:hAnsiTheme="majorBidi" w:cstheme="majorBidi"/>
            <w:sz w:val="24"/>
            <w:szCs w:val="24"/>
            <w:lang w:eastAsia="en-GB"/>
          </w:rPr>
          <w:t>https://doi.org/10.1080/00014788.1994.9729927</w:t>
        </w:r>
      </w:hyperlink>
      <w:r w:rsidR="00CE3EB2">
        <w:rPr>
          <w:rFonts w:asciiTheme="majorBidi" w:eastAsia="Times New Roman" w:hAnsiTheme="majorBidi" w:cstheme="majorBidi"/>
          <w:sz w:val="24"/>
          <w:szCs w:val="24"/>
          <w:lang w:eastAsia="en-GB"/>
        </w:rPr>
        <w:t xml:space="preserve">. </w:t>
      </w:r>
    </w:p>
    <w:p w14:paraId="6E40D927" w14:textId="681E39C8" w:rsidR="00EB7ACD" w:rsidRDefault="00EB7ACD" w:rsidP="00EB7ACD">
      <w:pPr>
        <w:spacing w:after="0" w:line="240" w:lineRule="auto"/>
        <w:ind w:left="170" w:hanging="170"/>
        <w:jc w:val="both"/>
        <w:rPr>
          <w:rFonts w:asciiTheme="majorBidi" w:eastAsia="Times New Roman" w:hAnsiTheme="majorBidi" w:cstheme="majorBidi"/>
          <w:sz w:val="24"/>
          <w:szCs w:val="24"/>
          <w:lang w:eastAsia="en-GB"/>
        </w:rPr>
      </w:pPr>
      <w:r w:rsidRPr="00EB7ACD">
        <w:rPr>
          <w:rFonts w:asciiTheme="majorBidi" w:eastAsia="Times New Roman" w:hAnsiTheme="majorBidi" w:cstheme="majorBidi"/>
          <w:sz w:val="24"/>
          <w:szCs w:val="24"/>
          <w:lang w:eastAsia="en-GB"/>
        </w:rPr>
        <w:t>Watson, A., Shrives, P., &amp; Marston, C. (2002). Voluntary disclosure of accounting ratios in the UK. </w:t>
      </w:r>
      <w:r w:rsidRPr="00EB7ACD">
        <w:rPr>
          <w:rFonts w:asciiTheme="majorBidi" w:eastAsia="Times New Roman" w:hAnsiTheme="majorBidi" w:cstheme="majorBidi"/>
          <w:i/>
          <w:iCs/>
          <w:sz w:val="24"/>
          <w:szCs w:val="24"/>
          <w:lang w:eastAsia="en-GB"/>
        </w:rPr>
        <w:t>British Accounting Review, 34</w:t>
      </w:r>
      <w:r w:rsidRPr="00EB7ACD">
        <w:rPr>
          <w:rFonts w:asciiTheme="majorBidi" w:eastAsia="Times New Roman" w:hAnsiTheme="majorBidi" w:cstheme="majorBidi"/>
          <w:sz w:val="24"/>
          <w:szCs w:val="24"/>
          <w:lang w:eastAsia="en-GB"/>
        </w:rPr>
        <w:t>(4), 289-313.</w:t>
      </w:r>
      <w:r w:rsidR="00C3118D">
        <w:rPr>
          <w:rFonts w:asciiTheme="majorBidi" w:eastAsia="Times New Roman" w:hAnsiTheme="majorBidi" w:cstheme="majorBidi"/>
          <w:sz w:val="24"/>
          <w:szCs w:val="24"/>
          <w:lang w:eastAsia="en-GB"/>
        </w:rPr>
        <w:t xml:space="preserve"> </w:t>
      </w:r>
      <w:hyperlink r:id="rId99" w:history="1">
        <w:r w:rsidR="00C3118D" w:rsidRPr="007623DA">
          <w:rPr>
            <w:rStyle w:val="Hyperlink"/>
            <w:rFonts w:asciiTheme="majorBidi" w:eastAsia="Times New Roman" w:hAnsiTheme="majorBidi" w:cstheme="majorBidi"/>
            <w:sz w:val="24"/>
            <w:szCs w:val="24"/>
            <w:lang w:eastAsia="en-GB"/>
          </w:rPr>
          <w:t>https://doi.org/10.1006/bare.2002.0213</w:t>
        </w:r>
      </w:hyperlink>
      <w:r w:rsidR="00C3118D">
        <w:rPr>
          <w:rFonts w:asciiTheme="majorBidi" w:eastAsia="Times New Roman" w:hAnsiTheme="majorBidi" w:cstheme="majorBidi"/>
          <w:sz w:val="24"/>
          <w:szCs w:val="24"/>
          <w:lang w:eastAsia="en-GB"/>
        </w:rPr>
        <w:t xml:space="preserve">. </w:t>
      </w:r>
    </w:p>
    <w:p w14:paraId="646B84D9" w14:textId="43F64015" w:rsidR="00BF6623" w:rsidRDefault="00BF6623" w:rsidP="00EB7ACD">
      <w:pPr>
        <w:spacing w:after="0" w:line="240" w:lineRule="auto"/>
        <w:ind w:left="170" w:hanging="170"/>
        <w:jc w:val="both"/>
        <w:rPr>
          <w:rFonts w:asciiTheme="majorBidi" w:eastAsia="Times New Roman" w:hAnsiTheme="majorBidi" w:cstheme="majorBidi"/>
          <w:sz w:val="24"/>
          <w:szCs w:val="24"/>
          <w:lang w:eastAsia="en-GB"/>
        </w:rPr>
      </w:pPr>
      <w:r w:rsidRPr="00BF6623">
        <w:rPr>
          <w:rFonts w:asciiTheme="majorBidi" w:eastAsia="Times New Roman" w:hAnsiTheme="majorBidi" w:cstheme="majorBidi"/>
          <w:sz w:val="24"/>
          <w:szCs w:val="24"/>
          <w:lang w:eastAsia="en-GB"/>
        </w:rPr>
        <w:t xml:space="preserve">Whetten, D.A. (1989). What constitutes a theoretical contribution? </w:t>
      </w:r>
      <w:r w:rsidRPr="00BF6623">
        <w:rPr>
          <w:rFonts w:asciiTheme="majorBidi" w:eastAsia="Times New Roman" w:hAnsiTheme="majorBidi" w:cstheme="majorBidi"/>
          <w:i/>
          <w:iCs/>
          <w:sz w:val="24"/>
          <w:szCs w:val="24"/>
          <w:lang w:eastAsia="en-GB"/>
        </w:rPr>
        <w:t>Academy of management review</w:t>
      </w:r>
      <w:r w:rsidRPr="00BF6623">
        <w:rPr>
          <w:rFonts w:asciiTheme="majorBidi" w:eastAsia="Times New Roman" w:hAnsiTheme="majorBidi" w:cstheme="majorBidi"/>
          <w:sz w:val="24"/>
          <w:szCs w:val="24"/>
          <w:lang w:eastAsia="en-GB"/>
        </w:rPr>
        <w:t xml:space="preserve">, </w:t>
      </w:r>
      <w:r w:rsidRPr="00BF6623">
        <w:rPr>
          <w:rFonts w:asciiTheme="majorBidi" w:eastAsia="Times New Roman" w:hAnsiTheme="majorBidi" w:cstheme="majorBidi"/>
          <w:i/>
          <w:iCs/>
          <w:sz w:val="24"/>
          <w:szCs w:val="24"/>
          <w:lang w:eastAsia="en-GB"/>
        </w:rPr>
        <w:t>14</w:t>
      </w:r>
      <w:r w:rsidRPr="00BF6623">
        <w:rPr>
          <w:rFonts w:asciiTheme="majorBidi" w:eastAsia="Times New Roman" w:hAnsiTheme="majorBidi" w:cstheme="majorBidi"/>
          <w:sz w:val="24"/>
          <w:szCs w:val="24"/>
          <w:lang w:eastAsia="en-GB"/>
        </w:rPr>
        <w:t>(4), 490-495.</w:t>
      </w:r>
      <w:r w:rsidR="004705FF">
        <w:rPr>
          <w:rFonts w:asciiTheme="majorBidi" w:eastAsia="Times New Roman" w:hAnsiTheme="majorBidi" w:cstheme="majorBidi"/>
          <w:sz w:val="24"/>
          <w:szCs w:val="24"/>
          <w:lang w:eastAsia="en-GB"/>
        </w:rPr>
        <w:t xml:space="preserve"> </w:t>
      </w:r>
      <w:hyperlink r:id="rId100" w:history="1">
        <w:r w:rsidR="004705FF" w:rsidRPr="007623DA">
          <w:rPr>
            <w:rStyle w:val="Hyperlink"/>
            <w:rFonts w:asciiTheme="majorBidi" w:eastAsia="Times New Roman" w:hAnsiTheme="majorBidi" w:cstheme="majorBidi"/>
            <w:sz w:val="24"/>
            <w:szCs w:val="24"/>
            <w:lang w:eastAsia="en-GB"/>
          </w:rPr>
          <w:t>https://doi.org/10.5465/amr.1989.4308371</w:t>
        </w:r>
      </w:hyperlink>
      <w:r w:rsidR="004705FF">
        <w:rPr>
          <w:rFonts w:asciiTheme="majorBidi" w:eastAsia="Times New Roman" w:hAnsiTheme="majorBidi" w:cstheme="majorBidi"/>
          <w:sz w:val="24"/>
          <w:szCs w:val="24"/>
          <w:lang w:eastAsia="en-GB"/>
        </w:rPr>
        <w:t xml:space="preserve">. </w:t>
      </w:r>
    </w:p>
    <w:p w14:paraId="27BE1C2D" w14:textId="7D91620D" w:rsidR="00EB719B" w:rsidRDefault="00EB719B" w:rsidP="00EB719B">
      <w:pPr>
        <w:spacing w:after="0" w:line="240" w:lineRule="auto"/>
        <w:ind w:left="170" w:hanging="170"/>
        <w:jc w:val="both"/>
        <w:rPr>
          <w:rFonts w:asciiTheme="majorBidi" w:eastAsia="Times New Roman" w:hAnsiTheme="majorBidi" w:cstheme="majorBidi"/>
          <w:sz w:val="24"/>
          <w:szCs w:val="24"/>
          <w:lang w:val="pt-PT" w:eastAsia="en-GB"/>
        </w:rPr>
      </w:pPr>
      <w:r>
        <w:rPr>
          <w:rFonts w:asciiTheme="majorBidi" w:eastAsia="Times New Roman" w:hAnsiTheme="majorBidi" w:cstheme="majorBidi"/>
          <w:sz w:val="24"/>
          <w:szCs w:val="24"/>
          <w:lang w:val="pt-PT" w:eastAsia="en-GB"/>
        </w:rPr>
        <w:t>Williams, D. (2018).</w:t>
      </w:r>
      <w:r>
        <w:t xml:space="preserve"> </w:t>
      </w:r>
      <w:r w:rsidRPr="00216BCB">
        <w:rPr>
          <w:rFonts w:asciiTheme="majorBidi" w:eastAsia="Times New Roman" w:hAnsiTheme="majorBidi" w:cstheme="majorBidi"/>
          <w:i/>
          <w:iCs/>
          <w:sz w:val="24"/>
          <w:szCs w:val="24"/>
          <w:lang w:val="pt-PT" w:eastAsia="en-GB"/>
        </w:rPr>
        <w:t>Guidance to support the induction of new governors</w:t>
      </w:r>
      <w:r>
        <w:rPr>
          <w:rFonts w:asciiTheme="majorBidi" w:eastAsia="Times New Roman" w:hAnsiTheme="majorBidi" w:cstheme="majorBidi"/>
          <w:sz w:val="24"/>
          <w:szCs w:val="24"/>
          <w:lang w:val="pt-PT" w:eastAsia="en-GB"/>
        </w:rPr>
        <w:t>. Advanced HE. London.</w:t>
      </w:r>
    </w:p>
    <w:p w14:paraId="4D6B84E8" w14:textId="0DED14CF" w:rsidR="004126B1" w:rsidRDefault="004126B1" w:rsidP="00EB719B">
      <w:pPr>
        <w:spacing w:after="0" w:line="240" w:lineRule="auto"/>
        <w:ind w:left="170" w:hanging="170"/>
        <w:jc w:val="both"/>
        <w:rPr>
          <w:rFonts w:asciiTheme="majorBidi" w:eastAsia="Times New Roman" w:hAnsiTheme="majorBidi" w:cstheme="majorBidi"/>
          <w:sz w:val="24"/>
          <w:szCs w:val="24"/>
          <w:lang w:val="pt-PT" w:eastAsia="en-GB"/>
        </w:rPr>
      </w:pPr>
      <w:r w:rsidRPr="004126B1">
        <w:rPr>
          <w:rFonts w:asciiTheme="majorBidi" w:eastAsia="Times New Roman" w:hAnsiTheme="majorBidi" w:cstheme="majorBidi"/>
          <w:sz w:val="24"/>
          <w:szCs w:val="24"/>
          <w:lang w:val="pt-PT" w:eastAsia="en-GB"/>
        </w:rPr>
        <w:t xml:space="preserve">Wintoki, M.B., Linck, J.S., &amp; Netter, J.M. (2012). Endogeneity and the dynamics of internal corporate governance. </w:t>
      </w:r>
      <w:r w:rsidRPr="004126B1">
        <w:rPr>
          <w:rFonts w:asciiTheme="majorBidi" w:eastAsia="Times New Roman" w:hAnsiTheme="majorBidi" w:cstheme="majorBidi"/>
          <w:i/>
          <w:iCs/>
          <w:sz w:val="24"/>
          <w:szCs w:val="24"/>
          <w:lang w:val="pt-PT" w:eastAsia="en-GB"/>
        </w:rPr>
        <w:t>Journal of Financial Economics, 105</w:t>
      </w:r>
      <w:r w:rsidRPr="004126B1">
        <w:rPr>
          <w:rFonts w:asciiTheme="majorBidi" w:eastAsia="Times New Roman" w:hAnsiTheme="majorBidi" w:cstheme="majorBidi"/>
          <w:sz w:val="24"/>
          <w:szCs w:val="24"/>
          <w:lang w:val="pt-PT" w:eastAsia="en-GB"/>
        </w:rPr>
        <w:t>(3), 581-606.</w:t>
      </w:r>
      <w:r>
        <w:rPr>
          <w:rFonts w:asciiTheme="majorBidi" w:eastAsia="Times New Roman" w:hAnsiTheme="majorBidi" w:cstheme="majorBidi"/>
          <w:sz w:val="24"/>
          <w:szCs w:val="24"/>
          <w:lang w:val="pt-PT" w:eastAsia="en-GB"/>
        </w:rPr>
        <w:t xml:space="preserve"> </w:t>
      </w:r>
      <w:hyperlink r:id="rId101" w:history="1">
        <w:r w:rsidRPr="007623DA">
          <w:rPr>
            <w:rStyle w:val="Hyperlink"/>
            <w:rFonts w:asciiTheme="majorBidi" w:eastAsia="Times New Roman" w:hAnsiTheme="majorBidi" w:cstheme="majorBidi"/>
            <w:sz w:val="24"/>
            <w:szCs w:val="24"/>
            <w:lang w:val="pt-PT" w:eastAsia="en-GB"/>
          </w:rPr>
          <w:t>https://doi.org/10.1016/j.jfineco.2012.03.005</w:t>
        </w:r>
      </w:hyperlink>
      <w:r>
        <w:rPr>
          <w:rFonts w:asciiTheme="majorBidi" w:eastAsia="Times New Roman" w:hAnsiTheme="majorBidi" w:cstheme="majorBidi"/>
          <w:sz w:val="24"/>
          <w:szCs w:val="24"/>
          <w:lang w:val="pt-PT" w:eastAsia="en-GB"/>
        </w:rPr>
        <w:t xml:space="preserve">. </w:t>
      </w:r>
    </w:p>
    <w:p w14:paraId="3F20BBA4" w14:textId="570F71D0" w:rsidR="001A5911" w:rsidRDefault="001A5911" w:rsidP="00EB719B">
      <w:pPr>
        <w:spacing w:after="0" w:line="240" w:lineRule="auto"/>
        <w:ind w:left="170" w:hanging="170"/>
        <w:jc w:val="both"/>
        <w:rPr>
          <w:rFonts w:asciiTheme="majorBidi" w:eastAsia="Times New Roman" w:hAnsiTheme="majorBidi" w:cstheme="majorBidi"/>
          <w:sz w:val="24"/>
          <w:szCs w:val="24"/>
          <w:lang w:val="pt-PT" w:eastAsia="en-GB"/>
        </w:rPr>
      </w:pPr>
      <w:r w:rsidRPr="001A5911">
        <w:rPr>
          <w:rFonts w:asciiTheme="majorBidi" w:eastAsia="Times New Roman" w:hAnsiTheme="majorBidi" w:cstheme="majorBidi"/>
          <w:sz w:val="24"/>
          <w:szCs w:val="24"/>
          <w:lang w:val="pt-PT" w:eastAsia="en-GB"/>
        </w:rPr>
        <w:t>Xue, Q., &amp; Niu, Y. (2019). Governance and transparency of the Chinese charity foundations. </w:t>
      </w:r>
      <w:r w:rsidRPr="001A5911">
        <w:rPr>
          <w:rFonts w:asciiTheme="majorBidi" w:eastAsia="Times New Roman" w:hAnsiTheme="majorBidi" w:cstheme="majorBidi"/>
          <w:i/>
          <w:iCs/>
          <w:sz w:val="24"/>
          <w:szCs w:val="24"/>
          <w:lang w:val="pt-PT" w:eastAsia="en-GB"/>
        </w:rPr>
        <w:t>Asian Review of Accounting, 27</w:t>
      </w:r>
      <w:r w:rsidRPr="001A5911">
        <w:rPr>
          <w:rFonts w:asciiTheme="majorBidi" w:eastAsia="Times New Roman" w:hAnsiTheme="majorBidi" w:cstheme="majorBidi"/>
          <w:sz w:val="24"/>
          <w:szCs w:val="24"/>
          <w:lang w:val="pt-PT" w:eastAsia="en-GB"/>
        </w:rPr>
        <w:t>(2), 307-327.</w:t>
      </w:r>
      <w:r w:rsidR="00D30237">
        <w:rPr>
          <w:rFonts w:asciiTheme="majorBidi" w:eastAsia="Times New Roman" w:hAnsiTheme="majorBidi" w:cstheme="majorBidi"/>
          <w:sz w:val="24"/>
          <w:szCs w:val="24"/>
          <w:lang w:val="pt-PT" w:eastAsia="en-GB"/>
        </w:rPr>
        <w:t xml:space="preserve"> </w:t>
      </w:r>
      <w:hyperlink r:id="rId102" w:history="1">
        <w:r w:rsidR="00D30237" w:rsidRPr="007623DA">
          <w:rPr>
            <w:rStyle w:val="Hyperlink"/>
            <w:rFonts w:asciiTheme="majorBidi" w:eastAsia="Times New Roman" w:hAnsiTheme="majorBidi" w:cstheme="majorBidi"/>
            <w:sz w:val="24"/>
            <w:szCs w:val="24"/>
            <w:lang w:val="pt-PT" w:eastAsia="en-GB"/>
          </w:rPr>
          <w:t>https://doi.org/10.1108/ARA-03-2018-0057</w:t>
        </w:r>
      </w:hyperlink>
      <w:r w:rsidR="00D30237">
        <w:rPr>
          <w:rFonts w:asciiTheme="majorBidi" w:eastAsia="Times New Roman" w:hAnsiTheme="majorBidi" w:cstheme="majorBidi"/>
          <w:sz w:val="24"/>
          <w:szCs w:val="24"/>
          <w:lang w:val="pt-PT" w:eastAsia="en-GB"/>
        </w:rPr>
        <w:t xml:space="preserve">. </w:t>
      </w:r>
    </w:p>
    <w:p w14:paraId="2B08D929" w14:textId="09C9832A" w:rsidR="00BB1918" w:rsidRPr="00BB1918" w:rsidRDefault="00BB1918" w:rsidP="00EB719B">
      <w:pPr>
        <w:spacing w:after="0" w:line="240" w:lineRule="auto"/>
        <w:ind w:left="170" w:hanging="170"/>
        <w:jc w:val="both"/>
        <w:rPr>
          <w:rFonts w:asciiTheme="majorBidi" w:eastAsia="Times New Roman" w:hAnsiTheme="majorBidi" w:cstheme="majorBidi"/>
          <w:sz w:val="24"/>
          <w:szCs w:val="24"/>
          <w:lang w:eastAsia="en-GB"/>
        </w:rPr>
      </w:pPr>
      <w:r w:rsidRPr="00BB1918">
        <w:rPr>
          <w:rFonts w:asciiTheme="majorBidi" w:eastAsia="Times New Roman" w:hAnsiTheme="majorBidi" w:cstheme="majorBidi"/>
          <w:sz w:val="24"/>
          <w:szCs w:val="24"/>
          <w:lang w:eastAsia="en-GB"/>
        </w:rPr>
        <w:t>Yermack, D. (1996). Higher market valuation of companies with a small board of directors. </w:t>
      </w:r>
      <w:r w:rsidRPr="00BB1918">
        <w:rPr>
          <w:rFonts w:asciiTheme="majorBidi" w:eastAsia="Times New Roman" w:hAnsiTheme="majorBidi" w:cstheme="majorBidi"/>
          <w:i/>
          <w:iCs/>
          <w:sz w:val="24"/>
          <w:szCs w:val="24"/>
          <w:lang w:eastAsia="en-GB"/>
        </w:rPr>
        <w:t>Journal of Financial Economics, 40</w:t>
      </w:r>
      <w:r w:rsidRPr="00BB1918">
        <w:rPr>
          <w:rFonts w:asciiTheme="majorBidi" w:eastAsia="Times New Roman" w:hAnsiTheme="majorBidi" w:cstheme="majorBidi"/>
          <w:sz w:val="24"/>
          <w:szCs w:val="24"/>
          <w:lang w:eastAsia="en-GB"/>
        </w:rPr>
        <w:t>(2), 185-211.</w:t>
      </w:r>
      <w:r w:rsidR="00516E6B">
        <w:rPr>
          <w:rFonts w:asciiTheme="majorBidi" w:eastAsia="Times New Roman" w:hAnsiTheme="majorBidi" w:cstheme="majorBidi"/>
          <w:sz w:val="24"/>
          <w:szCs w:val="24"/>
          <w:lang w:eastAsia="en-GB"/>
        </w:rPr>
        <w:t xml:space="preserve"> </w:t>
      </w:r>
      <w:hyperlink r:id="rId103" w:history="1">
        <w:r w:rsidR="00516E6B" w:rsidRPr="007623DA">
          <w:rPr>
            <w:rStyle w:val="Hyperlink"/>
            <w:rFonts w:asciiTheme="majorBidi" w:eastAsia="Times New Roman" w:hAnsiTheme="majorBidi" w:cstheme="majorBidi"/>
            <w:sz w:val="24"/>
            <w:szCs w:val="24"/>
            <w:lang w:eastAsia="en-GB"/>
          </w:rPr>
          <w:t>https://doi.org/10.1016/0304-405X(95)00844-5</w:t>
        </w:r>
      </w:hyperlink>
      <w:r w:rsidR="00516E6B">
        <w:rPr>
          <w:rFonts w:asciiTheme="majorBidi" w:eastAsia="Times New Roman" w:hAnsiTheme="majorBidi" w:cstheme="majorBidi"/>
          <w:sz w:val="24"/>
          <w:szCs w:val="24"/>
          <w:lang w:eastAsia="en-GB"/>
        </w:rPr>
        <w:t xml:space="preserve">. </w:t>
      </w:r>
    </w:p>
    <w:p w14:paraId="36CE4380" w14:textId="4B8B3BCD" w:rsidR="00374BAC" w:rsidRDefault="00374BAC" w:rsidP="00374BAC">
      <w:pPr>
        <w:spacing w:after="0" w:line="240" w:lineRule="auto"/>
        <w:ind w:left="170" w:hanging="170"/>
        <w:jc w:val="both"/>
        <w:rPr>
          <w:rFonts w:asciiTheme="majorBidi" w:eastAsia="Times New Roman" w:hAnsiTheme="majorBidi" w:cstheme="majorBidi"/>
          <w:sz w:val="24"/>
          <w:szCs w:val="24"/>
          <w:lang w:eastAsia="en-GB"/>
        </w:rPr>
      </w:pPr>
      <w:r w:rsidRPr="00374BAC">
        <w:rPr>
          <w:rFonts w:asciiTheme="majorBidi" w:eastAsia="Times New Roman" w:hAnsiTheme="majorBidi" w:cstheme="majorBidi"/>
          <w:sz w:val="24"/>
          <w:szCs w:val="24"/>
          <w:lang w:eastAsia="en-GB"/>
        </w:rPr>
        <w:t>Young, P. (2004). Leadership and gender in higher education: A case study. </w:t>
      </w:r>
      <w:r w:rsidRPr="00374BAC">
        <w:rPr>
          <w:rFonts w:asciiTheme="majorBidi" w:eastAsia="Times New Roman" w:hAnsiTheme="majorBidi" w:cstheme="majorBidi"/>
          <w:i/>
          <w:iCs/>
          <w:sz w:val="24"/>
          <w:szCs w:val="24"/>
          <w:lang w:eastAsia="en-GB"/>
        </w:rPr>
        <w:t>Journal of Further and Higher Education, 28</w:t>
      </w:r>
      <w:r w:rsidRPr="00374BAC">
        <w:rPr>
          <w:rFonts w:asciiTheme="majorBidi" w:eastAsia="Times New Roman" w:hAnsiTheme="majorBidi" w:cstheme="majorBidi"/>
          <w:sz w:val="24"/>
          <w:szCs w:val="24"/>
          <w:lang w:eastAsia="en-GB"/>
        </w:rPr>
        <w:t>(1), 95-106.</w:t>
      </w:r>
      <w:r w:rsidR="00A62A19">
        <w:rPr>
          <w:rFonts w:asciiTheme="majorBidi" w:eastAsia="Times New Roman" w:hAnsiTheme="majorBidi" w:cstheme="majorBidi"/>
          <w:sz w:val="24"/>
          <w:szCs w:val="24"/>
          <w:lang w:eastAsia="en-GB"/>
        </w:rPr>
        <w:t xml:space="preserve"> </w:t>
      </w:r>
      <w:hyperlink r:id="rId104" w:history="1">
        <w:r w:rsidR="00A62A19" w:rsidRPr="007623DA">
          <w:rPr>
            <w:rStyle w:val="Hyperlink"/>
            <w:rFonts w:asciiTheme="majorBidi" w:eastAsia="Times New Roman" w:hAnsiTheme="majorBidi" w:cstheme="majorBidi"/>
            <w:sz w:val="24"/>
            <w:szCs w:val="24"/>
            <w:lang w:eastAsia="en-GB"/>
          </w:rPr>
          <w:t>https://doi.org/10.1080/0309877032000161841</w:t>
        </w:r>
      </w:hyperlink>
      <w:r w:rsidR="00A62A19">
        <w:rPr>
          <w:rFonts w:asciiTheme="majorBidi" w:eastAsia="Times New Roman" w:hAnsiTheme="majorBidi" w:cstheme="majorBidi"/>
          <w:sz w:val="24"/>
          <w:szCs w:val="24"/>
          <w:lang w:eastAsia="en-GB"/>
        </w:rPr>
        <w:t xml:space="preserve">. </w:t>
      </w:r>
    </w:p>
    <w:p w14:paraId="39C62E0E" w14:textId="3AC538EA" w:rsidR="005253EC" w:rsidRPr="005253EC" w:rsidRDefault="005253EC" w:rsidP="00374BAC">
      <w:pPr>
        <w:spacing w:after="0" w:line="240" w:lineRule="auto"/>
        <w:ind w:left="170" w:hanging="170"/>
        <w:jc w:val="both"/>
        <w:rPr>
          <w:rFonts w:ascii="Times New Roman" w:eastAsia="Times New Roman" w:hAnsi="Times New Roman" w:cs="Times New Roman"/>
          <w:sz w:val="32"/>
          <w:szCs w:val="32"/>
          <w:lang w:eastAsia="en-GB"/>
        </w:rPr>
      </w:pPr>
      <w:r w:rsidRPr="00E77DDF">
        <w:rPr>
          <w:rFonts w:ascii="Times New Roman" w:hAnsi="Times New Roman" w:cs="Times New Roman"/>
          <w:sz w:val="24"/>
          <w:szCs w:val="24"/>
          <w:shd w:val="clear" w:color="auto" w:fill="FFFFFF"/>
        </w:rPr>
        <w:t>Zattoni, A., &amp; Cuomo, F. (2008). Why adopt codes of good governance? A comparison of institutional and efficiency perspectives. </w:t>
      </w:r>
      <w:r w:rsidRPr="00E77DDF">
        <w:rPr>
          <w:rFonts w:ascii="Times New Roman" w:hAnsi="Times New Roman" w:cs="Times New Roman"/>
          <w:i/>
          <w:iCs/>
          <w:sz w:val="24"/>
          <w:szCs w:val="24"/>
          <w:shd w:val="clear" w:color="auto" w:fill="FFFFFF"/>
        </w:rPr>
        <w:t xml:space="preserve">Corporate </w:t>
      </w:r>
      <w:r w:rsidR="009C736B" w:rsidRPr="00E77DDF">
        <w:rPr>
          <w:rFonts w:ascii="Times New Roman" w:hAnsi="Times New Roman" w:cs="Times New Roman"/>
          <w:i/>
          <w:iCs/>
          <w:sz w:val="24"/>
          <w:szCs w:val="24"/>
          <w:shd w:val="clear" w:color="auto" w:fill="FFFFFF"/>
        </w:rPr>
        <w:t>G</w:t>
      </w:r>
      <w:r w:rsidRPr="00E77DDF">
        <w:rPr>
          <w:rFonts w:ascii="Times New Roman" w:hAnsi="Times New Roman" w:cs="Times New Roman"/>
          <w:i/>
          <w:iCs/>
          <w:sz w:val="24"/>
          <w:szCs w:val="24"/>
          <w:shd w:val="clear" w:color="auto" w:fill="FFFFFF"/>
        </w:rPr>
        <w:t xml:space="preserve">overnance: </w:t>
      </w:r>
      <w:r w:rsidR="009C736B" w:rsidRPr="00E77DDF">
        <w:rPr>
          <w:rFonts w:ascii="Times New Roman" w:hAnsi="Times New Roman" w:cs="Times New Roman"/>
          <w:i/>
          <w:iCs/>
          <w:sz w:val="24"/>
          <w:szCs w:val="24"/>
          <w:shd w:val="clear" w:color="auto" w:fill="FFFFFF"/>
        </w:rPr>
        <w:t>A</w:t>
      </w:r>
      <w:r w:rsidRPr="00E77DDF">
        <w:rPr>
          <w:rFonts w:ascii="Times New Roman" w:hAnsi="Times New Roman" w:cs="Times New Roman"/>
          <w:i/>
          <w:iCs/>
          <w:sz w:val="24"/>
          <w:szCs w:val="24"/>
          <w:shd w:val="clear" w:color="auto" w:fill="FFFFFF"/>
        </w:rPr>
        <w:t xml:space="preserve">n </w:t>
      </w:r>
      <w:r w:rsidR="009C736B" w:rsidRPr="00E77DDF">
        <w:rPr>
          <w:rFonts w:ascii="Times New Roman" w:hAnsi="Times New Roman" w:cs="Times New Roman"/>
          <w:i/>
          <w:iCs/>
          <w:sz w:val="24"/>
          <w:szCs w:val="24"/>
          <w:shd w:val="clear" w:color="auto" w:fill="FFFFFF"/>
        </w:rPr>
        <w:t>I</w:t>
      </w:r>
      <w:r w:rsidRPr="00E77DDF">
        <w:rPr>
          <w:rFonts w:ascii="Times New Roman" w:hAnsi="Times New Roman" w:cs="Times New Roman"/>
          <w:i/>
          <w:iCs/>
          <w:sz w:val="24"/>
          <w:szCs w:val="24"/>
          <w:shd w:val="clear" w:color="auto" w:fill="FFFFFF"/>
        </w:rPr>
        <w:t xml:space="preserve">nternational </w:t>
      </w:r>
      <w:r w:rsidR="009C736B" w:rsidRPr="00E77DDF">
        <w:rPr>
          <w:rFonts w:ascii="Times New Roman" w:hAnsi="Times New Roman" w:cs="Times New Roman"/>
          <w:i/>
          <w:iCs/>
          <w:sz w:val="24"/>
          <w:szCs w:val="24"/>
          <w:shd w:val="clear" w:color="auto" w:fill="FFFFFF"/>
        </w:rPr>
        <w:t>R</w:t>
      </w:r>
      <w:r w:rsidRPr="00E77DDF">
        <w:rPr>
          <w:rFonts w:ascii="Times New Roman" w:hAnsi="Times New Roman" w:cs="Times New Roman"/>
          <w:i/>
          <w:iCs/>
          <w:sz w:val="24"/>
          <w:szCs w:val="24"/>
          <w:shd w:val="clear" w:color="auto" w:fill="FFFFFF"/>
        </w:rPr>
        <w:t>eview</w:t>
      </w:r>
      <w:r w:rsidRPr="00E77DDF">
        <w:rPr>
          <w:rFonts w:ascii="Times New Roman" w:hAnsi="Times New Roman" w:cs="Times New Roman"/>
          <w:sz w:val="24"/>
          <w:szCs w:val="24"/>
          <w:shd w:val="clear" w:color="auto" w:fill="FFFFFF"/>
        </w:rPr>
        <w:t>, </w:t>
      </w:r>
      <w:r w:rsidRPr="00E77DDF">
        <w:rPr>
          <w:rFonts w:ascii="Times New Roman" w:hAnsi="Times New Roman" w:cs="Times New Roman"/>
          <w:i/>
          <w:iCs/>
          <w:sz w:val="24"/>
          <w:szCs w:val="24"/>
          <w:shd w:val="clear" w:color="auto" w:fill="FFFFFF"/>
        </w:rPr>
        <w:t>16</w:t>
      </w:r>
      <w:r w:rsidRPr="00E77DDF">
        <w:rPr>
          <w:rFonts w:ascii="Times New Roman" w:hAnsi="Times New Roman" w:cs="Times New Roman"/>
          <w:sz w:val="24"/>
          <w:szCs w:val="24"/>
          <w:shd w:val="clear" w:color="auto" w:fill="FFFFFF"/>
        </w:rPr>
        <w:t>(1), 1</w:t>
      </w:r>
      <w:r w:rsidRPr="005253EC">
        <w:rPr>
          <w:rFonts w:ascii="Times New Roman" w:hAnsi="Times New Roman" w:cs="Times New Roman"/>
          <w:color w:val="222222"/>
          <w:sz w:val="24"/>
          <w:szCs w:val="24"/>
          <w:shd w:val="clear" w:color="auto" w:fill="FFFFFF"/>
        </w:rPr>
        <w:t>-15.</w:t>
      </w:r>
      <w:r w:rsidR="001700CD">
        <w:rPr>
          <w:rFonts w:ascii="Times New Roman" w:hAnsi="Times New Roman" w:cs="Times New Roman"/>
          <w:color w:val="222222"/>
          <w:sz w:val="24"/>
          <w:szCs w:val="24"/>
          <w:shd w:val="clear" w:color="auto" w:fill="FFFFFF"/>
        </w:rPr>
        <w:t xml:space="preserve"> </w:t>
      </w:r>
      <w:hyperlink r:id="rId105" w:history="1">
        <w:r w:rsidR="001700CD" w:rsidRPr="007623DA">
          <w:rPr>
            <w:rStyle w:val="Hyperlink"/>
            <w:rFonts w:ascii="Times New Roman" w:hAnsi="Times New Roman" w:cs="Times New Roman"/>
            <w:sz w:val="24"/>
            <w:szCs w:val="24"/>
            <w:shd w:val="clear" w:color="auto" w:fill="FFFFFF"/>
          </w:rPr>
          <w:t>https://doi.org/10.1111/j.1467-8683.2008.00661.x</w:t>
        </w:r>
      </w:hyperlink>
      <w:r w:rsidR="001700CD">
        <w:rPr>
          <w:rFonts w:ascii="Times New Roman" w:hAnsi="Times New Roman" w:cs="Times New Roman"/>
          <w:color w:val="222222"/>
          <w:sz w:val="24"/>
          <w:szCs w:val="24"/>
          <w:shd w:val="clear" w:color="auto" w:fill="FFFFFF"/>
        </w:rPr>
        <w:t xml:space="preserve">. </w:t>
      </w:r>
    </w:p>
    <w:p w14:paraId="2EAC7533" w14:textId="51A48D58" w:rsidR="00D258D5" w:rsidRDefault="00D258D5" w:rsidP="00374BAC">
      <w:pPr>
        <w:spacing w:after="0" w:line="240" w:lineRule="auto"/>
        <w:ind w:left="170" w:hanging="170"/>
        <w:jc w:val="both"/>
        <w:rPr>
          <w:rFonts w:asciiTheme="majorBidi" w:eastAsia="Times New Roman" w:hAnsiTheme="majorBidi" w:cstheme="majorBidi"/>
          <w:sz w:val="24"/>
          <w:szCs w:val="24"/>
          <w:lang w:eastAsia="en-GB"/>
        </w:rPr>
      </w:pPr>
    </w:p>
    <w:p w14:paraId="30CF4DAC" w14:textId="73A0ACAF" w:rsidR="00D258D5" w:rsidRDefault="00D258D5" w:rsidP="00374BAC">
      <w:pPr>
        <w:spacing w:after="0" w:line="240" w:lineRule="auto"/>
        <w:ind w:left="170" w:hanging="170"/>
        <w:jc w:val="both"/>
        <w:rPr>
          <w:rFonts w:asciiTheme="majorBidi" w:eastAsia="Times New Roman" w:hAnsiTheme="majorBidi" w:cstheme="majorBidi"/>
          <w:sz w:val="24"/>
          <w:szCs w:val="24"/>
          <w:lang w:eastAsia="en-GB"/>
        </w:rPr>
      </w:pPr>
    </w:p>
    <w:p w14:paraId="760D98A0" w14:textId="3BF93EB5" w:rsidR="00D258D5" w:rsidRDefault="00D258D5" w:rsidP="00374BAC">
      <w:pPr>
        <w:spacing w:after="0" w:line="240" w:lineRule="auto"/>
        <w:ind w:left="170" w:hanging="170"/>
        <w:jc w:val="both"/>
        <w:rPr>
          <w:rFonts w:asciiTheme="majorBidi" w:eastAsia="Times New Roman" w:hAnsiTheme="majorBidi" w:cstheme="majorBidi"/>
          <w:sz w:val="24"/>
          <w:szCs w:val="24"/>
          <w:lang w:eastAsia="en-GB"/>
        </w:rPr>
      </w:pPr>
    </w:p>
    <w:p w14:paraId="63E76D3C" w14:textId="216381A0" w:rsidR="00D258D5" w:rsidRDefault="00D258D5" w:rsidP="00374BAC">
      <w:pPr>
        <w:spacing w:after="0" w:line="240" w:lineRule="auto"/>
        <w:ind w:left="170" w:hanging="170"/>
        <w:jc w:val="both"/>
        <w:rPr>
          <w:rFonts w:asciiTheme="majorBidi" w:eastAsia="Times New Roman" w:hAnsiTheme="majorBidi" w:cstheme="majorBidi"/>
          <w:sz w:val="24"/>
          <w:szCs w:val="24"/>
          <w:lang w:eastAsia="en-GB"/>
        </w:rPr>
      </w:pPr>
    </w:p>
    <w:p w14:paraId="01709133" w14:textId="73514F13" w:rsidR="00D258D5" w:rsidRDefault="00D258D5" w:rsidP="00374BAC">
      <w:pPr>
        <w:spacing w:after="0" w:line="240" w:lineRule="auto"/>
        <w:ind w:left="170" w:hanging="170"/>
        <w:jc w:val="both"/>
        <w:rPr>
          <w:rFonts w:asciiTheme="majorBidi" w:eastAsia="Times New Roman" w:hAnsiTheme="majorBidi" w:cstheme="majorBidi"/>
          <w:sz w:val="24"/>
          <w:szCs w:val="24"/>
          <w:lang w:eastAsia="en-GB"/>
        </w:rPr>
      </w:pPr>
    </w:p>
    <w:p w14:paraId="11537DB9" w14:textId="77777777" w:rsidR="002E69BB" w:rsidRDefault="002E69BB" w:rsidP="00374BAC">
      <w:pPr>
        <w:spacing w:after="0" w:line="240" w:lineRule="auto"/>
        <w:ind w:left="170" w:hanging="170"/>
        <w:jc w:val="both"/>
        <w:rPr>
          <w:rFonts w:asciiTheme="majorBidi" w:eastAsia="Times New Roman" w:hAnsiTheme="majorBidi" w:cstheme="majorBidi"/>
          <w:sz w:val="24"/>
          <w:szCs w:val="24"/>
          <w:lang w:eastAsia="en-GB"/>
        </w:rPr>
      </w:pPr>
    </w:p>
    <w:p w14:paraId="073D29F1" w14:textId="721E7BED" w:rsidR="00D258D5" w:rsidRDefault="00D258D5" w:rsidP="00374BAC">
      <w:pPr>
        <w:spacing w:after="0" w:line="240" w:lineRule="auto"/>
        <w:ind w:left="170" w:hanging="170"/>
        <w:jc w:val="both"/>
        <w:rPr>
          <w:rFonts w:asciiTheme="majorBidi" w:eastAsia="Times New Roman" w:hAnsiTheme="majorBidi" w:cstheme="majorBidi"/>
          <w:sz w:val="24"/>
          <w:szCs w:val="24"/>
          <w:lang w:eastAsia="en-GB"/>
        </w:rPr>
      </w:pPr>
    </w:p>
    <w:tbl>
      <w:tblPr>
        <w:tblW w:w="10783" w:type="dxa"/>
        <w:tblInd w:w="-567" w:type="dxa"/>
        <w:tblLook w:val="04A0" w:firstRow="1" w:lastRow="0" w:firstColumn="1" w:lastColumn="0" w:noHBand="0" w:noVBand="1"/>
      </w:tblPr>
      <w:tblGrid>
        <w:gridCol w:w="4027"/>
        <w:gridCol w:w="1016"/>
        <w:gridCol w:w="1163"/>
        <w:gridCol w:w="1028"/>
        <w:gridCol w:w="1130"/>
        <w:gridCol w:w="704"/>
        <w:gridCol w:w="830"/>
        <w:gridCol w:w="869"/>
        <w:gridCol w:w="16"/>
      </w:tblGrid>
      <w:tr w:rsidR="00D258D5" w:rsidRPr="00E76BE9" w14:paraId="519E2D0B" w14:textId="77777777" w:rsidTr="009C5C1A">
        <w:trPr>
          <w:gridAfter w:val="1"/>
          <w:wAfter w:w="16" w:type="dxa"/>
        </w:trPr>
        <w:tc>
          <w:tcPr>
            <w:tcW w:w="10767" w:type="dxa"/>
            <w:gridSpan w:val="8"/>
            <w:tcBorders>
              <w:bottom w:val="single" w:sz="12" w:space="0" w:color="auto"/>
            </w:tcBorders>
          </w:tcPr>
          <w:p w14:paraId="5FC2DCD1" w14:textId="44FDF589" w:rsidR="00D258D5" w:rsidRPr="002113DA" w:rsidRDefault="00D258D5" w:rsidP="00D258D5">
            <w:pPr>
              <w:spacing w:after="0" w:line="240" w:lineRule="auto"/>
              <w:contextualSpacing/>
              <w:rPr>
                <w:rFonts w:ascii="Times New Roman" w:eastAsia="Calibri" w:hAnsi="Times New Roman" w:cs="Times New Roman"/>
                <w:bCs/>
                <w:sz w:val="20"/>
                <w:szCs w:val="20"/>
              </w:rPr>
            </w:pPr>
            <w:r w:rsidRPr="00913A67">
              <w:rPr>
                <w:rFonts w:ascii="Times New Roman" w:eastAsia="Calibri" w:hAnsi="Times New Roman" w:cs="Times New Roman"/>
                <w:b/>
                <w:sz w:val="20"/>
                <w:szCs w:val="20"/>
              </w:rPr>
              <w:lastRenderedPageBreak/>
              <w:t>Table 1.</w:t>
            </w:r>
            <w:r>
              <w:rPr>
                <w:rFonts w:ascii="Times New Roman" w:eastAsia="Calibri" w:hAnsi="Times New Roman" w:cs="Times New Roman"/>
                <w:b/>
                <w:sz w:val="20"/>
                <w:szCs w:val="20"/>
              </w:rPr>
              <w:t xml:space="preserve"> </w:t>
            </w:r>
            <w:r w:rsidRPr="002113DA">
              <w:rPr>
                <w:rFonts w:ascii="Times New Roman" w:eastAsia="Calibri" w:hAnsi="Times New Roman" w:cs="Times New Roman"/>
                <w:bCs/>
                <w:sz w:val="20"/>
                <w:szCs w:val="20"/>
              </w:rPr>
              <w:t xml:space="preserve">Study’s </w:t>
            </w:r>
            <w:r w:rsidR="002B3138">
              <w:rPr>
                <w:rFonts w:ascii="Times New Roman" w:eastAsia="Calibri" w:hAnsi="Times New Roman" w:cs="Times New Roman"/>
                <w:bCs/>
                <w:sz w:val="20"/>
                <w:szCs w:val="20"/>
              </w:rPr>
              <w:t>s</w:t>
            </w:r>
            <w:r w:rsidRPr="002113DA">
              <w:rPr>
                <w:rFonts w:ascii="Times New Roman" w:eastAsia="Calibri" w:hAnsi="Times New Roman" w:cs="Times New Roman"/>
                <w:bCs/>
                <w:sz w:val="20"/>
                <w:szCs w:val="20"/>
              </w:rPr>
              <w:t>ample</w:t>
            </w:r>
          </w:p>
        </w:tc>
      </w:tr>
      <w:tr w:rsidR="00D258D5" w:rsidRPr="00E76BE9" w14:paraId="3147C6CD" w14:textId="77777777" w:rsidTr="009C5C1A">
        <w:tc>
          <w:tcPr>
            <w:tcW w:w="4027" w:type="dxa"/>
            <w:tcBorders>
              <w:top w:val="single" w:sz="12" w:space="0" w:color="auto"/>
              <w:bottom w:val="single" w:sz="12" w:space="0" w:color="auto"/>
            </w:tcBorders>
          </w:tcPr>
          <w:p w14:paraId="3C32E726" w14:textId="77777777" w:rsidR="00D258D5" w:rsidRPr="00E76BE9" w:rsidRDefault="00D258D5" w:rsidP="009C5C1A">
            <w:pPr>
              <w:rPr>
                <w:rFonts w:ascii="Times New Roman" w:eastAsia="Calibri" w:hAnsi="Times New Roman" w:cs="Times New Roman"/>
                <w:b/>
                <w:sz w:val="20"/>
                <w:szCs w:val="20"/>
              </w:rPr>
            </w:pPr>
          </w:p>
        </w:tc>
        <w:tc>
          <w:tcPr>
            <w:tcW w:w="1016" w:type="dxa"/>
            <w:tcBorders>
              <w:top w:val="single" w:sz="12" w:space="0" w:color="auto"/>
              <w:bottom w:val="single" w:sz="12" w:space="0" w:color="auto"/>
            </w:tcBorders>
          </w:tcPr>
          <w:p w14:paraId="07DA62B7" w14:textId="77777777" w:rsidR="00D258D5" w:rsidRPr="00E76BE9" w:rsidRDefault="00D258D5" w:rsidP="002E69BB">
            <w:pPr>
              <w:jc w:val="center"/>
              <w:rPr>
                <w:rFonts w:ascii="Times New Roman" w:eastAsia="Calibri" w:hAnsi="Times New Roman" w:cs="Times New Roman"/>
                <w:b/>
                <w:sz w:val="20"/>
                <w:szCs w:val="20"/>
              </w:rPr>
            </w:pPr>
            <w:r w:rsidRPr="00E76BE9">
              <w:rPr>
                <w:rFonts w:ascii="Times New Roman" w:eastAsia="Calibri" w:hAnsi="Times New Roman" w:cs="Times New Roman"/>
                <w:b/>
                <w:sz w:val="20"/>
                <w:szCs w:val="20"/>
              </w:rPr>
              <w:t xml:space="preserve">Northern </w:t>
            </w:r>
            <w:r>
              <w:rPr>
                <w:rFonts w:ascii="Times New Roman" w:eastAsia="Calibri" w:hAnsi="Times New Roman" w:cs="Times New Roman"/>
                <w:b/>
                <w:sz w:val="20"/>
                <w:szCs w:val="20"/>
              </w:rPr>
              <w:t>Ireland</w:t>
            </w:r>
          </w:p>
        </w:tc>
        <w:tc>
          <w:tcPr>
            <w:tcW w:w="1163" w:type="dxa"/>
            <w:tcBorders>
              <w:top w:val="single" w:sz="12" w:space="0" w:color="auto"/>
              <w:bottom w:val="single" w:sz="12" w:space="0" w:color="auto"/>
            </w:tcBorders>
          </w:tcPr>
          <w:p w14:paraId="6009CC03" w14:textId="77777777" w:rsidR="00D258D5" w:rsidRPr="00E76BE9" w:rsidRDefault="00D258D5" w:rsidP="002E69BB">
            <w:pPr>
              <w:jc w:val="center"/>
              <w:rPr>
                <w:rFonts w:ascii="Times New Roman" w:eastAsia="Calibri" w:hAnsi="Times New Roman" w:cs="Times New Roman"/>
                <w:b/>
                <w:sz w:val="20"/>
                <w:szCs w:val="20"/>
              </w:rPr>
            </w:pPr>
            <w:r w:rsidRPr="00E76BE9">
              <w:rPr>
                <w:rFonts w:ascii="Times New Roman" w:eastAsia="Calibri" w:hAnsi="Times New Roman" w:cs="Times New Roman"/>
                <w:b/>
                <w:sz w:val="20"/>
                <w:szCs w:val="20"/>
              </w:rPr>
              <w:t>Wales</w:t>
            </w:r>
          </w:p>
        </w:tc>
        <w:tc>
          <w:tcPr>
            <w:tcW w:w="1028" w:type="dxa"/>
            <w:tcBorders>
              <w:top w:val="single" w:sz="12" w:space="0" w:color="auto"/>
              <w:bottom w:val="single" w:sz="12" w:space="0" w:color="auto"/>
            </w:tcBorders>
          </w:tcPr>
          <w:p w14:paraId="72E47E81" w14:textId="77777777" w:rsidR="00D258D5" w:rsidRPr="00E76BE9" w:rsidRDefault="00D258D5" w:rsidP="002E69BB">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Scotland</w:t>
            </w:r>
          </w:p>
        </w:tc>
        <w:tc>
          <w:tcPr>
            <w:tcW w:w="1130" w:type="dxa"/>
            <w:tcBorders>
              <w:top w:val="single" w:sz="12" w:space="0" w:color="auto"/>
              <w:bottom w:val="single" w:sz="12" w:space="0" w:color="auto"/>
            </w:tcBorders>
          </w:tcPr>
          <w:p w14:paraId="42D61EE3" w14:textId="77777777" w:rsidR="00D258D5" w:rsidRPr="00E76BE9" w:rsidRDefault="00D258D5" w:rsidP="002E69BB">
            <w:pPr>
              <w:ind w:right="-155"/>
              <w:jc w:val="center"/>
              <w:rPr>
                <w:rFonts w:ascii="Times New Roman" w:eastAsia="Calibri" w:hAnsi="Times New Roman" w:cs="Times New Roman"/>
                <w:b/>
                <w:sz w:val="20"/>
                <w:szCs w:val="20"/>
              </w:rPr>
            </w:pPr>
            <w:r>
              <w:rPr>
                <w:rFonts w:ascii="Times New Roman" w:eastAsia="Calibri" w:hAnsi="Times New Roman" w:cs="Times New Roman"/>
                <w:b/>
                <w:sz w:val="20"/>
                <w:szCs w:val="20"/>
              </w:rPr>
              <w:t>England</w:t>
            </w:r>
          </w:p>
        </w:tc>
        <w:tc>
          <w:tcPr>
            <w:tcW w:w="704" w:type="dxa"/>
            <w:tcBorders>
              <w:top w:val="single" w:sz="12" w:space="0" w:color="auto"/>
              <w:bottom w:val="single" w:sz="12" w:space="0" w:color="auto"/>
            </w:tcBorders>
          </w:tcPr>
          <w:p w14:paraId="2B6BC667" w14:textId="77777777" w:rsidR="00D258D5" w:rsidRPr="00E76BE9" w:rsidRDefault="00D258D5" w:rsidP="002E69BB">
            <w:pPr>
              <w:jc w:val="center"/>
              <w:rPr>
                <w:rFonts w:ascii="Times New Roman" w:eastAsia="Calibri" w:hAnsi="Times New Roman" w:cs="Times New Roman"/>
                <w:b/>
                <w:sz w:val="20"/>
                <w:szCs w:val="20"/>
              </w:rPr>
            </w:pPr>
            <w:r w:rsidRPr="00E76BE9">
              <w:rPr>
                <w:rFonts w:ascii="Times New Roman" w:eastAsia="Calibri" w:hAnsi="Times New Roman" w:cs="Times New Roman"/>
                <w:b/>
                <w:sz w:val="20"/>
                <w:szCs w:val="20"/>
              </w:rPr>
              <w:t>Pre-1992</w:t>
            </w:r>
          </w:p>
        </w:tc>
        <w:tc>
          <w:tcPr>
            <w:tcW w:w="830" w:type="dxa"/>
            <w:tcBorders>
              <w:top w:val="single" w:sz="12" w:space="0" w:color="auto"/>
              <w:bottom w:val="single" w:sz="12" w:space="0" w:color="auto"/>
            </w:tcBorders>
          </w:tcPr>
          <w:p w14:paraId="60A73263" w14:textId="5BF230DD" w:rsidR="00D258D5" w:rsidRPr="00E76BE9" w:rsidRDefault="00D258D5" w:rsidP="002E69BB">
            <w:pPr>
              <w:jc w:val="center"/>
              <w:rPr>
                <w:rFonts w:ascii="Times New Roman" w:eastAsia="Calibri" w:hAnsi="Times New Roman" w:cs="Times New Roman"/>
                <w:b/>
                <w:sz w:val="20"/>
                <w:szCs w:val="20"/>
              </w:rPr>
            </w:pPr>
            <w:r w:rsidRPr="00E76BE9">
              <w:rPr>
                <w:rFonts w:ascii="Times New Roman" w:eastAsia="Calibri" w:hAnsi="Times New Roman" w:cs="Times New Roman"/>
                <w:b/>
                <w:sz w:val="20"/>
                <w:szCs w:val="20"/>
              </w:rPr>
              <w:t>Post-1992</w:t>
            </w:r>
          </w:p>
        </w:tc>
        <w:tc>
          <w:tcPr>
            <w:tcW w:w="885" w:type="dxa"/>
            <w:gridSpan w:val="2"/>
            <w:tcBorders>
              <w:top w:val="single" w:sz="12" w:space="0" w:color="auto"/>
              <w:bottom w:val="single" w:sz="12" w:space="0" w:color="auto"/>
            </w:tcBorders>
          </w:tcPr>
          <w:p w14:paraId="0944D90F" w14:textId="77777777" w:rsidR="00D258D5" w:rsidRPr="00E76BE9" w:rsidRDefault="00D258D5" w:rsidP="002E69BB">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No. HEIs</w:t>
            </w:r>
          </w:p>
        </w:tc>
      </w:tr>
      <w:tr w:rsidR="00D258D5" w:rsidRPr="00E76BE9" w14:paraId="10EDB045" w14:textId="77777777" w:rsidTr="009C5C1A">
        <w:tc>
          <w:tcPr>
            <w:tcW w:w="4027" w:type="dxa"/>
            <w:tcBorders>
              <w:top w:val="single" w:sz="12" w:space="0" w:color="auto"/>
            </w:tcBorders>
          </w:tcPr>
          <w:p w14:paraId="29A282B6" w14:textId="77777777" w:rsidR="00D258D5" w:rsidRPr="00E76BE9" w:rsidRDefault="00D258D5" w:rsidP="009C5C1A">
            <w:pPr>
              <w:spacing w:after="0"/>
              <w:rPr>
                <w:rFonts w:ascii="Times New Roman" w:eastAsia="Calibri" w:hAnsi="Times New Roman" w:cs="Times New Roman"/>
                <w:sz w:val="20"/>
                <w:szCs w:val="20"/>
              </w:rPr>
            </w:pPr>
            <w:r w:rsidRPr="00E76BE9">
              <w:rPr>
                <w:rFonts w:ascii="Times New Roman" w:eastAsia="Calibri" w:hAnsi="Times New Roman" w:cs="Times New Roman"/>
                <w:sz w:val="20"/>
                <w:szCs w:val="20"/>
              </w:rPr>
              <w:t xml:space="preserve">Total </w:t>
            </w:r>
            <w:r>
              <w:rPr>
                <w:rFonts w:ascii="Times New Roman" w:eastAsia="Calibri" w:hAnsi="Times New Roman" w:cs="Times New Roman"/>
                <w:sz w:val="20"/>
                <w:szCs w:val="20"/>
              </w:rPr>
              <w:t>Sampled</w:t>
            </w:r>
            <w:r w:rsidRPr="00E76BE9">
              <w:rPr>
                <w:rFonts w:ascii="Times New Roman" w:eastAsia="Calibri" w:hAnsi="Times New Roman" w:cs="Times New Roman"/>
                <w:sz w:val="20"/>
                <w:szCs w:val="20"/>
              </w:rPr>
              <w:t xml:space="preserve"> HEIs</w:t>
            </w:r>
            <w:r>
              <w:rPr>
                <w:rFonts w:ascii="Times New Roman" w:eastAsia="Calibri" w:hAnsi="Times New Roman" w:cs="Times New Roman"/>
                <w:sz w:val="20"/>
                <w:szCs w:val="20"/>
              </w:rPr>
              <w:t xml:space="preserve"> in UK</w:t>
            </w:r>
          </w:p>
        </w:tc>
        <w:tc>
          <w:tcPr>
            <w:tcW w:w="1016" w:type="dxa"/>
            <w:tcBorders>
              <w:top w:val="single" w:sz="12" w:space="0" w:color="auto"/>
            </w:tcBorders>
          </w:tcPr>
          <w:p w14:paraId="5A7D4A98"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4</w:t>
            </w:r>
          </w:p>
        </w:tc>
        <w:tc>
          <w:tcPr>
            <w:tcW w:w="1163" w:type="dxa"/>
            <w:tcBorders>
              <w:top w:val="single" w:sz="12" w:space="0" w:color="auto"/>
            </w:tcBorders>
          </w:tcPr>
          <w:p w14:paraId="13A39831"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10</w:t>
            </w:r>
          </w:p>
        </w:tc>
        <w:tc>
          <w:tcPr>
            <w:tcW w:w="1028" w:type="dxa"/>
            <w:tcBorders>
              <w:top w:val="single" w:sz="12" w:space="0" w:color="auto"/>
            </w:tcBorders>
          </w:tcPr>
          <w:p w14:paraId="061243A8"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19</w:t>
            </w:r>
          </w:p>
        </w:tc>
        <w:tc>
          <w:tcPr>
            <w:tcW w:w="1130" w:type="dxa"/>
            <w:tcBorders>
              <w:top w:val="single" w:sz="12" w:space="0" w:color="auto"/>
            </w:tcBorders>
          </w:tcPr>
          <w:p w14:paraId="05BA2BD2"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131</w:t>
            </w:r>
          </w:p>
        </w:tc>
        <w:tc>
          <w:tcPr>
            <w:tcW w:w="704" w:type="dxa"/>
            <w:tcBorders>
              <w:top w:val="single" w:sz="12" w:space="0" w:color="auto"/>
            </w:tcBorders>
          </w:tcPr>
          <w:p w14:paraId="522FDC13"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79</w:t>
            </w:r>
          </w:p>
        </w:tc>
        <w:tc>
          <w:tcPr>
            <w:tcW w:w="830" w:type="dxa"/>
            <w:tcBorders>
              <w:top w:val="single" w:sz="12" w:space="0" w:color="auto"/>
            </w:tcBorders>
          </w:tcPr>
          <w:p w14:paraId="111A9501"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85</w:t>
            </w:r>
          </w:p>
        </w:tc>
        <w:tc>
          <w:tcPr>
            <w:tcW w:w="885" w:type="dxa"/>
            <w:gridSpan w:val="2"/>
            <w:tcBorders>
              <w:top w:val="single" w:sz="12" w:space="0" w:color="auto"/>
            </w:tcBorders>
          </w:tcPr>
          <w:p w14:paraId="43D30182"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164</w:t>
            </w:r>
          </w:p>
        </w:tc>
      </w:tr>
      <w:tr w:rsidR="00D258D5" w:rsidRPr="00E76BE9" w14:paraId="2D1D8A15" w14:textId="77777777" w:rsidTr="009C5C1A">
        <w:tc>
          <w:tcPr>
            <w:tcW w:w="4027" w:type="dxa"/>
          </w:tcPr>
          <w:p w14:paraId="09900AF5" w14:textId="77777777" w:rsidR="00D258D5" w:rsidRDefault="00D258D5" w:rsidP="009C5C1A">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Less: </w:t>
            </w:r>
          </w:p>
          <w:p w14:paraId="7600FBD8" w14:textId="77777777" w:rsidR="00D258D5" w:rsidRPr="00E76BE9" w:rsidRDefault="00D258D5" w:rsidP="009C5C1A">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        HEIs with 1 year missing reports</w:t>
            </w:r>
          </w:p>
        </w:tc>
        <w:tc>
          <w:tcPr>
            <w:tcW w:w="1016" w:type="dxa"/>
          </w:tcPr>
          <w:p w14:paraId="1ECA7911" w14:textId="77777777" w:rsidR="00D258D5" w:rsidRDefault="00D258D5" w:rsidP="002E69BB">
            <w:pPr>
              <w:spacing w:after="0"/>
              <w:jc w:val="right"/>
              <w:rPr>
                <w:rFonts w:ascii="Times New Roman" w:eastAsia="Calibri" w:hAnsi="Times New Roman" w:cs="Times New Roman"/>
                <w:sz w:val="20"/>
                <w:szCs w:val="20"/>
              </w:rPr>
            </w:pPr>
          </w:p>
          <w:p w14:paraId="589354B8"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1</w:t>
            </w:r>
          </w:p>
        </w:tc>
        <w:tc>
          <w:tcPr>
            <w:tcW w:w="1163" w:type="dxa"/>
          </w:tcPr>
          <w:p w14:paraId="272604FD" w14:textId="77777777" w:rsidR="00D258D5" w:rsidRDefault="00D258D5" w:rsidP="002E69BB">
            <w:pPr>
              <w:spacing w:after="0"/>
              <w:jc w:val="right"/>
              <w:rPr>
                <w:rFonts w:ascii="Times New Roman" w:eastAsia="Calibri" w:hAnsi="Times New Roman" w:cs="Times New Roman"/>
                <w:sz w:val="20"/>
                <w:szCs w:val="20"/>
              </w:rPr>
            </w:pPr>
          </w:p>
          <w:p w14:paraId="789A3832"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1</w:t>
            </w:r>
          </w:p>
        </w:tc>
        <w:tc>
          <w:tcPr>
            <w:tcW w:w="1028" w:type="dxa"/>
          </w:tcPr>
          <w:p w14:paraId="4F6AD1A5" w14:textId="77777777" w:rsidR="00D258D5" w:rsidRDefault="00D258D5" w:rsidP="002E69BB">
            <w:pPr>
              <w:spacing w:after="0"/>
              <w:jc w:val="right"/>
              <w:rPr>
                <w:rFonts w:ascii="Times New Roman" w:eastAsia="Calibri" w:hAnsi="Times New Roman" w:cs="Times New Roman"/>
                <w:sz w:val="20"/>
                <w:szCs w:val="20"/>
              </w:rPr>
            </w:pPr>
          </w:p>
          <w:p w14:paraId="4FF98DF8"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1</w:t>
            </w:r>
          </w:p>
        </w:tc>
        <w:tc>
          <w:tcPr>
            <w:tcW w:w="1130" w:type="dxa"/>
          </w:tcPr>
          <w:p w14:paraId="33C83391" w14:textId="77777777" w:rsidR="00D258D5" w:rsidRDefault="00D258D5" w:rsidP="002E69BB">
            <w:pPr>
              <w:spacing w:after="0"/>
              <w:jc w:val="right"/>
              <w:rPr>
                <w:rFonts w:ascii="Times New Roman" w:eastAsia="Calibri" w:hAnsi="Times New Roman" w:cs="Times New Roman"/>
                <w:sz w:val="20"/>
                <w:szCs w:val="20"/>
              </w:rPr>
            </w:pPr>
          </w:p>
          <w:p w14:paraId="226F1EAA"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16</w:t>
            </w:r>
          </w:p>
        </w:tc>
        <w:tc>
          <w:tcPr>
            <w:tcW w:w="704" w:type="dxa"/>
          </w:tcPr>
          <w:p w14:paraId="1BF82332" w14:textId="77777777" w:rsidR="00D258D5" w:rsidRDefault="00D258D5" w:rsidP="002E69BB">
            <w:pPr>
              <w:spacing w:after="0"/>
              <w:jc w:val="right"/>
              <w:rPr>
                <w:rFonts w:ascii="Times New Roman" w:eastAsia="Calibri" w:hAnsi="Times New Roman" w:cs="Times New Roman"/>
                <w:sz w:val="20"/>
                <w:szCs w:val="20"/>
              </w:rPr>
            </w:pPr>
          </w:p>
          <w:p w14:paraId="196AFAED"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8</w:t>
            </w:r>
          </w:p>
        </w:tc>
        <w:tc>
          <w:tcPr>
            <w:tcW w:w="830" w:type="dxa"/>
          </w:tcPr>
          <w:p w14:paraId="38290DB2" w14:textId="77777777" w:rsidR="00D258D5" w:rsidRDefault="00D258D5" w:rsidP="002E69BB">
            <w:pPr>
              <w:spacing w:after="0"/>
              <w:jc w:val="right"/>
              <w:rPr>
                <w:rFonts w:ascii="Times New Roman" w:eastAsia="Calibri" w:hAnsi="Times New Roman" w:cs="Times New Roman"/>
                <w:sz w:val="20"/>
                <w:szCs w:val="20"/>
              </w:rPr>
            </w:pPr>
          </w:p>
          <w:p w14:paraId="19FF36F7"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11</w:t>
            </w:r>
          </w:p>
        </w:tc>
        <w:tc>
          <w:tcPr>
            <w:tcW w:w="885" w:type="dxa"/>
            <w:gridSpan w:val="2"/>
          </w:tcPr>
          <w:p w14:paraId="6EEC5847" w14:textId="77777777" w:rsidR="00D258D5" w:rsidRDefault="00D258D5" w:rsidP="002E69BB">
            <w:pPr>
              <w:spacing w:after="0"/>
              <w:jc w:val="right"/>
              <w:rPr>
                <w:rFonts w:ascii="Times New Roman" w:eastAsia="Calibri" w:hAnsi="Times New Roman" w:cs="Times New Roman"/>
                <w:sz w:val="20"/>
                <w:szCs w:val="20"/>
              </w:rPr>
            </w:pPr>
          </w:p>
          <w:p w14:paraId="7C037E9F"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19</w:t>
            </w:r>
          </w:p>
        </w:tc>
      </w:tr>
      <w:tr w:rsidR="00D258D5" w:rsidRPr="00E76BE9" w14:paraId="0D97FE34" w14:textId="77777777" w:rsidTr="009C5C1A">
        <w:tc>
          <w:tcPr>
            <w:tcW w:w="4027" w:type="dxa"/>
          </w:tcPr>
          <w:p w14:paraId="614705E5" w14:textId="77777777" w:rsidR="00D258D5" w:rsidRPr="00E76BE9" w:rsidRDefault="00D258D5" w:rsidP="009C5C1A">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        HEIs with 2 years missing reports</w:t>
            </w:r>
          </w:p>
        </w:tc>
        <w:tc>
          <w:tcPr>
            <w:tcW w:w="1016" w:type="dxa"/>
          </w:tcPr>
          <w:p w14:paraId="7CB9F9DB"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0</w:t>
            </w:r>
          </w:p>
        </w:tc>
        <w:tc>
          <w:tcPr>
            <w:tcW w:w="1163" w:type="dxa"/>
          </w:tcPr>
          <w:p w14:paraId="05B33455"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1</w:t>
            </w:r>
          </w:p>
        </w:tc>
        <w:tc>
          <w:tcPr>
            <w:tcW w:w="1028" w:type="dxa"/>
          </w:tcPr>
          <w:p w14:paraId="46EB5867"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0</w:t>
            </w:r>
          </w:p>
        </w:tc>
        <w:tc>
          <w:tcPr>
            <w:tcW w:w="1130" w:type="dxa"/>
          </w:tcPr>
          <w:p w14:paraId="4DAB31BF"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15</w:t>
            </w:r>
          </w:p>
        </w:tc>
        <w:tc>
          <w:tcPr>
            <w:tcW w:w="704" w:type="dxa"/>
          </w:tcPr>
          <w:p w14:paraId="3BA04D6B"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7</w:t>
            </w:r>
          </w:p>
        </w:tc>
        <w:tc>
          <w:tcPr>
            <w:tcW w:w="830" w:type="dxa"/>
          </w:tcPr>
          <w:p w14:paraId="0FC6E455"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9</w:t>
            </w:r>
          </w:p>
        </w:tc>
        <w:tc>
          <w:tcPr>
            <w:tcW w:w="885" w:type="dxa"/>
            <w:gridSpan w:val="2"/>
          </w:tcPr>
          <w:p w14:paraId="5C3237EA"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16</w:t>
            </w:r>
          </w:p>
        </w:tc>
      </w:tr>
      <w:tr w:rsidR="00D258D5" w:rsidRPr="00E76BE9" w14:paraId="1BE0099C" w14:textId="77777777" w:rsidTr="009C5C1A">
        <w:tc>
          <w:tcPr>
            <w:tcW w:w="4027" w:type="dxa"/>
          </w:tcPr>
          <w:p w14:paraId="1AFFBD7A" w14:textId="77777777" w:rsidR="00D258D5" w:rsidRPr="00E76BE9" w:rsidRDefault="00D258D5" w:rsidP="009C5C1A">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        HEIs with 3 years missing reports</w:t>
            </w:r>
          </w:p>
        </w:tc>
        <w:tc>
          <w:tcPr>
            <w:tcW w:w="1016" w:type="dxa"/>
          </w:tcPr>
          <w:p w14:paraId="6014A7B7"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0</w:t>
            </w:r>
          </w:p>
        </w:tc>
        <w:tc>
          <w:tcPr>
            <w:tcW w:w="1163" w:type="dxa"/>
          </w:tcPr>
          <w:p w14:paraId="137312BE"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0</w:t>
            </w:r>
          </w:p>
        </w:tc>
        <w:tc>
          <w:tcPr>
            <w:tcW w:w="1028" w:type="dxa"/>
          </w:tcPr>
          <w:p w14:paraId="40A2AEC8"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0</w:t>
            </w:r>
          </w:p>
        </w:tc>
        <w:tc>
          <w:tcPr>
            <w:tcW w:w="1130" w:type="dxa"/>
          </w:tcPr>
          <w:p w14:paraId="3C180B7E"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5</w:t>
            </w:r>
          </w:p>
        </w:tc>
        <w:tc>
          <w:tcPr>
            <w:tcW w:w="704" w:type="dxa"/>
          </w:tcPr>
          <w:p w14:paraId="017DBCA4"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2</w:t>
            </w:r>
          </w:p>
        </w:tc>
        <w:tc>
          <w:tcPr>
            <w:tcW w:w="830" w:type="dxa"/>
          </w:tcPr>
          <w:p w14:paraId="4FBA8737"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3</w:t>
            </w:r>
          </w:p>
        </w:tc>
        <w:tc>
          <w:tcPr>
            <w:tcW w:w="885" w:type="dxa"/>
            <w:gridSpan w:val="2"/>
          </w:tcPr>
          <w:p w14:paraId="41E22631"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5</w:t>
            </w:r>
          </w:p>
        </w:tc>
      </w:tr>
      <w:tr w:rsidR="00D258D5" w:rsidRPr="00E76BE9" w14:paraId="29EFF208" w14:textId="77777777" w:rsidTr="009C5C1A">
        <w:tc>
          <w:tcPr>
            <w:tcW w:w="4027" w:type="dxa"/>
          </w:tcPr>
          <w:p w14:paraId="7CDD570C" w14:textId="77777777" w:rsidR="00D258D5" w:rsidRPr="00E76BE9" w:rsidRDefault="00D258D5" w:rsidP="009C5C1A">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        HEIs with 4 years missing reports</w:t>
            </w:r>
          </w:p>
        </w:tc>
        <w:tc>
          <w:tcPr>
            <w:tcW w:w="1016" w:type="dxa"/>
          </w:tcPr>
          <w:p w14:paraId="52615C19"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0</w:t>
            </w:r>
          </w:p>
        </w:tc>
        <w:tc>
          <w:tcPr>
            <w:tcW w:w="1163" w:type="dxa"/>
          </w:tcPr>
          <w:p w14:paraId="7C1704EB"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0</w:t>
            </w:r>
          </w:p>
        </w:tc>
        <w:tc>
          <w:tcPr>
            <w:tcW w:w="1028" w:type="dxa"/>
          </w:tcPr>
          <w:p w14:paraId="1A24A369"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0</w:t>
            </w:r>
          </w:p>
        </w:tc>
        <w:tc>
          <w:tcPr>
            <w:tcW w:w="1130" w:type="dxa"/>
          </w:tcPr>
          <w:p w14:paraId="0A9DA653"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0</w:t>
            </w:r>
          </w:p>
        </w:tc>
        <w:tc>
          <w:tcPr>
            <w:tcW w:w="704" w:type="dxa"/>
          </w:tcPr>
          <w:p w14:paraId="5D0273F3"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0</w:t>
            </w:r>
          </w:p>
        </w:tc>
        <w:tc>
          <w:tcPr>
            <w:tcW w:w="830" w:type="dxa"/>
          </w:tcPr>
          <w:p w14:paraId="42271B27"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0</w:t>
            </w:r>
          </w:p>
        </w:tc>
        <w:tc>
          <w:tcPr>
            <w:tcW w:w="885" w:type="dxa"/>
            <w:gridSpan w:val="2"/>
          </w:tcPr>
          <w:p w14:paraId="714973E4"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0</w:t>
            </w:r>
          </w:p>
        </w:tc>
      </w:tr>
      <w:tr w:rsidR="00D258D5" w:rsidRPr="00E76BE9" w14:paraId="6626F8E4" w14:textId="77777777" w:rsidTr="009C5C1A">
        <w:tc>
          <w:tcPr>
            <w:tcW w:w="4027" w:type="dxa"/>
          </w:tcPr>
          <w:p w14:paraId="7524EEA6" w14:textId="77777777" w:rsidR="00D258D5" w:rsidRPr="00E76BE9" w:rsidRDefault="00D258D5" w:rsidP="009C5C1A">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        HEIs with 5 years missing reports </w:t>
            </w:r>
          </w:p>
        </w:tc>
        <w:tc>
          <w:tcPr>
            <w:tcW w:w="1016" w:type="dxa"/>
          </w:tcPr>
          <w:p w14:paraId="24E45D07"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0</w:t>
            </w:r>
          </w:p>
        </w:tc>
        <w:tc>
          <w:tcPr>
            <w:tcW w:w="1163" w:type="dxa"/>
          </w:tcPr>
          <w:p w14:paraId="67D19FCB"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0</w:t>
            </w:r>
          </w:p>
        </w:tc>
        <w:tc>
          <w:tcPr>
            <w:tcW w:w="1028" w:type="dxa"/>
          </w:tcPr>
          <w:p w14:paraId="6FEC2F2C"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1</w:t>
            </w:r>
          </w:p>
        </w:tc>
        <w:tc>
          <w:tcPr>
            <w:tcW w:w="1130" w:type="dxa"/>
          </w:tcPr>
          <w:p w14:paraId="52DA918F"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0</w:t>
            </w:r>
          </w:p>
        </w:tc>
        <w:tc>
          <w:tcPr>
            <w:tcW w:w="704" w:type="dxa"/>
          </w:tcPr>
          <w:p w14:paraId="260F0E6A"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1</w:t>
            </w:r>
          </w:p>
        </w:tc>
        <w:tc>
          <w:tcPr>
            <w:tcW w:w="830" w:type="dxa"/>
          </w:tcPr>
          <w:p w14:paraId="2AA8CED4"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0</w:t>
            </w:r>
          </w:p>
        </w:tc>
        <w:tc>
          <w:tcPr>
            <w:tcW w:w="885" w:type="dxa"/>
            <w:gridSpan w:val="2"/>
          </w:tcPr>
          <w:p w14:paraId="29135815"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1</w:t>
            </w:r>
          </w:p>
        </w:tc>
      </w:tr>
      <w:tr w:rsidR="00D258D5" w:rsidRPr="00E76BE9" w14:paraId="64A5083E" w14:textId="77777777" w:rsidTr="009C5C1A">
        <w:tc>
          <w:tcPr>
            <w:tcW w:w="4027" w:type="dxa"/>
          </w:tcPr>
          <w:p w14:paraId="002725D0" w14:textId="77777777" w:rsidR="00D258D5" w:rsidRPr="00E76BE9" w:rsidRDefault="00D258D5" w:rsidP="009C5C1A">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        HEIs with 6 years missing reports </w:t>
            </w:r>
          </w:p>
        </w:tc>
        <w:tc>
          <w:tcPr>
            <w:tcW w:w="1016" w:type="dxa"/>
          </w:tcPr>
          <w:p w14:paraId="78E24E03"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0</w:t>
            </w:r>
          </w:p>
        </w:tc>
        <w:tc>
          <w:tcPr>
            <w:tcW w:w="1163" w:type="dxa"/>
          </w:tcPr>
          <w:p w14:paraId="1CD7C4CD"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0</w:t>
            </w:r>
          </w:p>
        </w:tc>
        <w:tc>
          <w:tcPr>
            <w:tcW w:w="1028" w:type="dxa"/>
          </w:tcPr>
          <w:p w14:paraId="1CA5AA24"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1</w:t>
            </w:r>
          </w:p>
        </w:tc>
        <w:tc>
          <w:tcPr>
            <w:tcW w:w="1130" w:type="dxa"/>
          </w:tcPr>
          <w:p w14:paraId="1A7CED5D"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5</w:t>
            </w:r>
          </w:p>
        </w:tc>
        <w:tc>
          <w:tcPr>
            <w:tcW w:w="704" w:type="dxa"/>
          </w:tcPr>
          <w:p w14:paraId="45AACACC"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3</w:t>
            </w:r>
          </w:p>
        </w:tc>
        <w:tc>
          <w:tcPr>
            <w:tcW w:w="830" w:type="dxa"/>
          </w:tcPr>
          <w:p w14:paraId="4432CEEC"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3</w:t>
            </w:r>
          </w:p>
        </w:tc>
        <w:tc>
          <w:tcPr>
            <w:tcW w:w="885" w:type="dxa"/>
            <w:gridSpan w:val="2"/>
          </w:tcPr>
          <w:p w14:paraId="6C391344" w14:textId="77777777" w:rsidR="00D258D5" w:rsidRPr="00E76BE9" w:rsidRDefault="00D258D5" w:rsidP="002E69BB">
            <w:pPr>
              <w:spacing w:after="0"/>
              <w:jc w:val="right"/>
              <w:rPr>
                <w:rFonts w:ascii="Times New Roman" w:eastAsia="Calibri" w:hAnsi="Times New Roman" w:cs="Times New Roman"/>
                <w:sz w:val="20"/>
                <w:szCs w:val="20"/>
              </w:rPr>
            </w:pPr>
            <w:r w:rsidRPr="00E76BE9">
              <w:rPr>
                <w:rFonts w:ascii="Times New Roman" w:eastAsia="Calibri" w:hAnsi="Times New Roman" w:cs="Times New Roman"/>
                <w:sz w:val="20"/>
                <w:szCs w:val="20"/>
              </w:rPr>
              <w:t>6</w:t>
            </w:r>
          </w:p>
        </w:tc>
      </w:tr>
      <w:tr w:rsidR="00D258D5" w:rsidRPr="00E76BE9" w14:paraId="602C9D31" w14:textId="77777777" w:rsidTr="009C5C1A">
        <w:tc>
          <w:tcPr>
            <w:tcW w:w="4027" w:type="dxa"/>
            <w:tcBorders>
              <w:bottom w:val="single" w:sz="2" w:space="0" w:color="auto"/>
            </w:tcBorders>
          </w:tcPr>
          <w:p w14:paraId="2A3A2C22" w14:textId="77777777" w:rsidR="00D258D5" w:rsidRPr="00E76BE9" w:rsidRDefault="00D258D5" w:rsidP="009C5C1A">
            <w:pPr>
              <w:spacing w:after="0"/>
              <w:rPr>
                <w:rFonts w:ascii="Times New Roman" w:eastAsia="Calibri" w:hAnsi="Times New Roman" w:cs="Times New Roman"/>
                <w:b/>
                <w:sz w:val="20"/>
                <w:szCs w:val="20"/>
              </w:rPr>
            </w:pPr>
            <w:r w:rsidRPr="00E76BE9">
              <w:rPr>
                <w:rFonts w:ascii="Times New Roman" w:eastAsia="Calibri" w:hAnsi="Times New Roman" w:cs="Times New Roman"/>
                <w:b/>
                <w:sz w:val="20"/>
                <w:szCs w:val="20"/>
              </w:rPr>
              <w:t>Final (total) sample</w:t>
            </w:r>
          </w:p>
        </w:tc>
        <w:tc>
          <w:tcPr>
            <w:tcW w:w="1016" w:type="dxa"/>
            <w:tcBorders>
              <w:bottom w:val="single" w:sz="2" w:space="0" w:color="auto"/>
            </w:tcBorders>
          </w:tcPr>
          <w:p w14:paraId="14BBE6A0" w14:textId="77777777" w:rsidR="00D258D5" w:rsidRPr="00E76BE9" w:rsidRDefault="00D258D5" w:rsidP="002E69BB">
            <w:pPr>
              <w:spacing w:after="0"/>
              <w:jc w:val="right"/>
              <w:rPr>
                <w:rFonts w:ascii="Times New Roman" w:eastAsia="Calibri" w:hAnsi="Times New Roman" w:cs="Times New Roman"/>
                <w:b/>
                <w:sz w:val="20"/>
                <w:szCs w:val="20"/>
              </w:rPr>
            </w:pPr>
            <w:r w:rsidRPr="00E76BE9">
              <w:rPr>
                <w:rFonts w:ascii="Times New Roman" w:eastAsia="Calibri" w:hAnsi="Times New Roman" w:cs="Times New Roman"/>
                <w:b/>
                <w:sz w:val="20"/>
                <w:szCs w:val="20"/>
              </w:rPr>
              <w:t>3</w:t>
            </w:r>
          </w:p>
        </w:tc>
        <w:tc>
          <w:tcPr>
            <w:tcW w:w="1163" w:type="dxa"/>
            <w:tcBorders>
              <w:bottom w:val="single" w:sz="2" w:space="0" w:color="auto"/>
            </w:tcBorders>
          </w:tcPr>
          <w:p w14:paraId="078B4C8A" w14:textId="77777777" w:rsidR="00D258D5" w:rsidRPr="00E76BE9" w:rsidRDefault="00D258D5" w:rsidP="002E69BB">
            <w:pPr>
              <w:spacing w:after="0"/>
              <w:jc w:val="right"/>
              <w:rPr>
                <w:rFonts w:ascii="Times New Roman" w:eastAsia="Calibri" w:hAnsi="Times New Roman" w:cs="Times New Roman"/>
                <w:b/>
                <w:sz w:val="20"/>
                <w:szCs w:val="20"/>
              </w:rPr>
            </w:pPr>
            <w:r w:rsidRPr="00E76BE9">
              <w:rPr>
                <w:rFonts w:ascii="Times New Roman" w:eastAsia="Calibri" w:hAnsi="Times New Roman" w:cs="Times New Roman"/>
                <w:b/>
                <w:sz w:val="20"/>
                <w:szCs w:val="20"/>
              </w:rPr>
              <w:t>8</w:t>
            </w:r>
          </w:p>
        </w:tc>
        <w:tc>
          <w:tcPr>
            <w:tcW w:w="1028" w:type="dxa"/>
            <w:tcBorders>
              <w:bottom w:val="single" w:sz="2" w:space="0" w:color="auto"/>
            </w:tcBorders>
          </w:tcPr>
          <w:p w14:paraId="0603F765" w14:textId="77777777" w:rsidR="00D258D5" w:rsidRPr="00E76BE9" w:rsidRDefault="00D258D5" w:rsidP="002E69BB">
            <w:pPr>
              <w:spacing w:after="0"/>
              <w:jc w:val="right"/>
              <w:rPr>
                <w:rFonts w:ascii="Times New Roman" w:eastAsia="Calibri" w:hAnsi="Times New Roman" w:cs="Times New Roman"/>
                <w:b/>
                <w:sz w:val="20"/>
                <w:szCs w:val="20"/>
              </w:rPr>
            </w:pPr>
            <w:r w:rsidRPr="00E76BE9">
              <w:rPr>
                <w:rFonts w:ascii="Times New Roman" w:eastAsia="Calibri" w:hAnsi="Times New Roman" w:cs="Times New Roman"/>
                <w:b/>
                <w:sz w:val="20"/>
                <w:szCs w:val="20"/>
              </w:rPr>
              <w:t>16</w:t>
            </w:r>
          </w:p>
        </w:tc>
        <w:tc>
          <w:tcPr>
            <w:tcW w:w="1130" w:type="dxa"/>
            <w:tcBorders>
              <w:bottom w:val="single" w:sz="2" w:space="0" w:color="auto"/>
            </w:tcBorders>
          </w:tcPr>
          <w:p w14:paraId="61368613" w14:textId="77777777" w:rsidR="00D258D5" w:rsidRPr="00E76BE9" w:rsidRDefault="00D258D5" w:rsidP="002E69BB">
            <w:pPr>
              <w:spacing w:after="0"/>
              <w:jc w:val="right"/>
              <w:rPr>
                <w:rFonts w:ascii="Times New Roman" w:eastAsia="Calibri" w:hAnsi="Times New Roman" w:cs="Times New Roman"/>
                <w:b/>
                <w:sz w:val="20"/>
                <w:szCs w:val="20"/>
              </w:rPr>
            </w:pPr>
            <w:r w:rsidRPr="00E76BE9">
              <w:rPr>
                <w:rFonts w:ascii="Times New Roman" w:eastAsia="Calibri" w:hAnsi="Times New Roman" w:cs="Times New Roman"/>
                <w:b/>
                <w:sz w:val="20"/>
                <w:szCs w:val="20"/>
              </w:rPr>
              <w:t>90</w:t>
            </w:r>
          </w:p>
        </w:tc>
        <w:tc>
          <w:tcPr>
            <w:tcW w:w="704" w:type="dxa"/>
            <w:tcBorders>
              <w:bottom w:val="single" w:sz="2" w:space="0" w:color="auto"/>
            </w:tcBorders>
          </w:tcPr>
          <w:p w14:paraId="03C28370" w14:textId="77777777" w:rsidR="00D258D5" w:rsidRPr="00E76BE9" w:rsidRDefault="00D258D5" w:rsidP="002E69BB">
            <w:pPr>
              <w:spacing w:after="0"/>
              <w:jc w:val="right"/>
              <w:rPr>
                <w:rFonts w:ascii="Times New Roman" w:eastAsia="Calibri" w:hAnsi="Times New Roman" w:cs="Times New Roman"/>
                <w:b/>
                <w:sz w:val="20"/>
                <w:szCs w:val="20"/>
              </w:rPr>
            </w:pPr>
            <w:r w:rsidRPr="00E76BE9">
              <w:rPr>
                <w:rFonts w:ascii="Times New Roman" w:eastAsia="Calibri" w:hAnsi="Times New Roman" w:cs="Times New Roman"/>
                <w:b/>
                <w:sz w:val="20"/>
                <w:szCs w:val="20"/>
              </w:rPr>
              <w:t>58</w:t>
            </w:r>
          </w:p>
        </w:tc>
        <w:tc>
          <w:tcPr>
            <w:tcW w:w="830" w:type="dxa"/>
            <w:tcBorders>
              <w:bottom w:val="single" w:sz="2" w:space="0" w:color="auto"/>
            </w:tcBorders>
          </w:tcPr>
          <w:p w14:paraId="58390ED1" w14:textId="77777777" w:rsidR="00D258D5" w:rsidRPr="00E76BE9" w:rsidRDefault="00D258D5" w:rsidP="002E69BB">
            <w:pPr>
              <w:spacing w:after="0"/>
              <w:jc w:val="right"/>
              <w:rPr>
                <w:rFonts w:ascii="Times New Roman" w:eastAsia="Calibri" w:hAnsi="Times New Roman" w:cs="Times New Roman"/>
                <w:b/>
                <w:sz w:val="20"/>
                <w:szCs w:val="20"/>
              </w:rPr>
            </w:pPr>
            <w:r w:rsidRPr="00E76BE9">
              <w:rPr>
                <w:rFonts w:ascii="Times New Roman" w:eastAsia="Calibri" w:hAnsi="Times New Roman" w:cs="Times New Roman"/>
                <w:b/>
                <w:sz w:val="20"/>
                <w:szCs w:val="20"/>
              </w:rPr>
              <w:t>59</w:t>
            </w:r>
          </w:p>
        </w:tc>
        <w:tc>
          <w:tcPr>
            <w:tcW w:w="885" w:type="dxa"/>
            <w:gridSpan w:val="2"/>
            <w:tcBorders>
              <w:bottom w:val="single" w:sz="2" w:space="0" w:color="auto"/>
            </w:tcBorders>
          </w:tcPr>
          <w:p w14:paraId="1FFA4B6F" w14:textId="77777777" w:rsidR="00D258D5" w:rsidRPr="00E76BE9" w:rsidRDefault="00D258D5" w:rsidP="002E69BB">
            <w:pPr>
              <w:spacing w:after="0"/>
              <w:jc w:val="right"/>
              <w:rPr>
                <w:rFonts w:ascii="Times New Roman" w:eastAsia="Calibri" w:hAnsi="Times New Roman" w:cs="Times New Roman"/>
                <w:b/>
                <w:sz w:val="20"/>
                <w:szCs w:val="20"/>
              </w:rPr>
            </w:pPr>
            <w:r w:rsidRPr="00E76BE9">
              <w:rPr>
                <w:rFonts w:ascii="Times New Roman" w:eastAsia="Calibri" w:hAnsi="Times New Roman" w:cs="Times New Roman"/>
                <w:b/>
                <w:sz w:val="20"/>
                <w:szCs w:val="20"/>
              </w:rPr>
              <w:t>117</w:t>
            </w:r>
          </w:p>
        </w:tc>
      </w:tr>
    </w:tbl>
    <w:p w14:paraId="16852C09" w14:textId="311E6AC1" w:rsidR="00D258D5" w:rsidRDefault="00D258D5" w:rsidP="00374BAC">
      <w:pPr>
        <w:spacing w:after="0" w:line="240" w:lineRule="auto"/>
        <w:ind w:left="170" w:hanging="170"/>
        <w:jc w:val="both"/>
        <w:rPr>
          <w:rFonts w:asciiTheme="majorBidi" w:eastAsia="Times New Roman" w:hAnsiTheme="majorBidi" w:cstheme="majorBidi"/>
          <w:sz w:val="24"/>
          <w:szCs w:val="24"/>
          <w:lang w:eastAsia="en-GB"/>
        </w:rPr>
      </w:pPr>
    </w:p>
    <w:p w14:paraId="76F24BD8" w14:textId="2339D973" w:rsidR="00D258D5" w:rsidRDefault="00D258D5" w:rsidP="00374BAC">
      <w:pPr>
        <w:spacing w:after="0" w:line="240" w:lineRule="auto"/>
        <w:ind w:left="170" w:hanging="170"/>
        <w:jc w:val="both"/>
        <w:rPr>
          <w:rFonts w:asciiTheme="majorBidi" w:eastAsia="Times New Roman" w:hAnsiTheme="majorBidi" w:cstheme="majorBidi"/>
          <w:sz w:val="24"/>
          <w:szCs w:val="24"/>
          <w:lang w:eastAsia="en-GB"/>
        </w:rPr>
      </w:pPr>
    </w:p>
    <w:p w14:paraId="7D57C693" w14:textId="77777777" w:rsidR="00D258D5" w:rsidRDefault="00D258D5" w:rsidP="00374BAC">
      <w:pPr>
        <w:spacing w:after="0" w:line="240" w:lineRule="auto"/>
        <w:ind w:left="170" w:hanging="170"/>
        <w:jc w:val="both"/>
        <w:rPr>
          <w:rFonts w:asciiTheme="majorBidi" w:eastAsia="Times New Roman" w:hAnsiTheme="majorBidi" w:cstheme="majorBidi"/>
          <w:sz w:val="24"/>
          <w:szCs w:val="24"/>
          <w:lang w:eastAsia="en-GB"/>
        </w:rPr>
        <w:sectPr w:rsidR="00D258D5">
          <w:pgSz w:w="11906" w:h="16838"/>
          <w:pgMar w:top="1440" w:right="1440" w:bottom="1440" w:left="1440" w:header="708" w:footer="708" w:gutter="0"/>
          <w:cols w:space="708"/>
          <w:docGrid w:linePitch="360"/>
        </w:sectPr>
      </w:pPr>
    </w:p>
    <w:tbl>
      <w:tblPr>
        <w:tblStyle w:val="TableGrid2"/>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7823"/>
      </w:tblGrid>
      <w:tr w:rsidR="00182131" w:rsidRPr="00AB75D4" w14:paraId="6A36F7F0" w14:textId="77777777" w:rsidTr="00462406">
        <w:tc>
          <w:tcPr>
            <w:tcW w:w="9016" w:type="dxa"/>
            <w:gridSpan w:val="2"/>
            <w:tcBorders>
              <w:top w:val="nil"/>
              <w:bottom w:val="single" w:sz="18" w:space="0" w:color="auto"/>
            </w:tcBorders>
          </w:tcPr>
          <w:p w14:paraId="555290D6" w14:textId="5DC15379" w:rsidR="00182131" w:rsidRDefault="00182131" w:rsidP="007D1529">
            <w:pPr>
              <w:contextualSpacing/>
              <w:rPr>
                <w:rFonts w:ascii="Times New Roman" w:eastAsia="Calibri" w:hAnsi="Times New Roman" w:cs="Times New Roman"/>
                <w:bCs/>
                <w:sz w:val="24"/>
                <w:szCs w:val="24"/>
              </w:rPr>
            </w:pPr>
            <w:bookmarkStart w:id="2" w:name="_Hlk51005496"/>
            <w:r w:rsidRPr="00182131">
              <w:rPr>
                <w:rFonts w:ascii="Times New Roman" w:eastAsia="Calibri" w:hAnsi="Times New Roman" w:cs="Times New Roman"/>
                <w:b/>
                <w:bCs/>
                <w:sz w:val="24"/>
                <w:szCs w:val="24"/>
              </w:rPr>
              <w:lastRenderedPageBreak/>
              <w:t xml:space="preserve">Table </w:t>
            </w:r>
            <w:r w:rsidR="00D258D5">
              <w:rPr>
                <w:rFonts w:ascii="Times New Roman" w:eastAsia="Calibri" w:hAnsi="Times New Roman" w:cs="Times New Roman"/>
                <w:b/>
                <w:bCs/>
                <w:sz w:val="24"/>
                <w:szCs w:val="24"/>
              </w:rPr>
              <w:t>2</w:t>
            </w:r>
            <w:r w:rsidR="00FD07E4">
              <w:rPr>
                <w:rFonts w:ascii="Times New Roman" w:eastAsia="Calibri" w:hAnsi="Times New Roman" w:cs="Times New Roman"/>
                <w:b/>
                <w:bCs/>
                <w:sz w:val="24"/>
                <w:szCs w:val="24"/>
              </w:rPr>
              <w:t>.</w:t>
            </w:r>
            <w:r w:rsidRPr="00182131">
              <w:rPr>
                <w:rFonts w:ascii="Times New Roman" w:eastAsia="Calibri" w:hAnsi="Times New Roman" w:cs="Times New Roman"/>
                <w:b/>
                <w:bCs/>
                <w:sz w:val="24"/>
                <w:szCs w:val="24"/>
              </w:rPr>
              <w:t xml:space="preserve"> </w:t>
            </w:r>
            <w:r w:rsidR="007D1529">
              <w:rPr>
                <w:rFonts w:ascii="Times New Roman" w:eastAsia="Calibri" w:hAnsi="Times New Roman" w:cs="Times New Roman"/>
                <w:bCs/>
                <w:sz w:val="24"/>
                <w:szCs w:val="24"/>
              </w:rPr>
              <w:t xml:space="preserve">Research </w:t>
            </w:r>
            <w:r w:rsidR="002708EF">
              <w:rPr>
                <w:rFonts w:ascii="Times New Roman" w:eastAsia="Calibri" w:hAnsi="Times New Roman" w:cs="Times New Roman"/>
                <w:bCs/>
                <w:sz w:val="24"/>
                <w:szCs w:val="24"/>
              </w:rPr>
              <w:t>v</w:t>
            </w:r>
            <w:r w:rsidR="007D1529">
              <w:rPr>
                <w:rFonts w:ascii="Times New Roman" w:eastAsia="Calibri" w:hAnsi="Times New Roman" w:cs="Times New Roman"/>
                <w:bCs/>
                <w:sz w:val="24"/>
                <w:szCs w:val="24"/>
              </w:rPr>
              <w:t>ariables and definitions</w:t>
            </w:r>
            <w:r w:rsidRPr="002C7C41">
              <w:rPr>
                <w:rFonts w:ascii="Times New Roman" w:eastAsia="Calibri" w:hAnsi="Times New Roman" w:cs="Times New Roman"/>
                <w:bCs/>
                <w:sz w:val="24"/>
                <w:szCs w:val="24"/>
              </w:rPr>
              <w:t>.</w:t>
            </w:r>
          </w:p>
          <w:p w14:paraId="1B5D6D4E" w14:textId="3CDF15C2" w:rsidR="00462406" w:rsidRPr="00FD07E4" w:rsidRDefault="00462406" w:rsidP="00462406">
            <w:pPr>
              <w:contextualSpacing/>
              <w:rPr>
                <w:rFonts w:ascii="Times New Roman" w:eastAsia="Calibri" w:hAnsi="Times New Roman" w:cs="Times New Roman"/>
                <w:b/>
                <w:bCs/>
                <w:sz w:val="24"/>
                <w:szCs w:val="24"/>
              </w:rPr>
            </w:pPr>
          </w:p>
        </w:tc>
      </w:tr>
      <w:tr w:rsidR="00182131" w:rsidRPr="00AB75D4" w14:paraId="27D24E7C" w14:textId="77777777" w:rsidTr="00462406">
        <w:trPr>
          <w:trHeight w:val="359"/>
        </w:trPr>
        <w:tc>
          <w:tcPr>
            <w:tcW w:w="9016" w:type="dxa"/>
            <w:gridSpan w:val="2"/>
            <w:tcBorders>
              <w:top w:val="single" w:sz="18" w:space="0" w:color="auto"/>
            </w:tcBorders>
          </w:tcPr>
          <w:p w14:paraId="59D2B1A4" w14:textId="77777777" w:rsidR="00182131" w:rsidRPr="00AB75D4" w:rsidRDefault="00182131" w:rsidP="00462406">
            <w:pPr>
              <w:contextualSpacing/>
              <w:rPr>
                <w:rFonts w:ascii="Times New Roman" w:eastAsia="Calibri" w:hAnsi="Times New Roman" w:cs="Times New Roman"/>
                <w:bCs/>
                <w:i/>
                <w:iCs/>
                <w:sz w:val="24"/>
                <w:szCs w:val="24"/>
              </w:rPr>
            </w:pPr>
          </w:p>
          <w:p w14:paraId="02F5B94C" w14:textId="77777777" w:rsidR="00182131" w:rsidRPr="00AB75D4" w:rsidRDefault="00182131" w:rsidP="00462406">
            <w:pPr>
              <w:contextualSpacing/>
              <w:rPr>
                <w:rFonts w:ascii="Times New Roman" w:eastAsia="Calibri" w:hAnsi="Times New Roman" w:cs="Times New Roman"/>
                <w:bCs/>
                <w:i/>
                <w:iCs/>
                <w:sz w:val="24"/>
                <w:szCs w:val="24"/>
              </w:rPr>
            </w:pPr>
            <w:r w:rsidRPr="00AB75D4">
              <w:rPr>
                <w:rFonts w:ascii="Times New Roman" w:eastAsia="Calibri" w:hAnsi="Times New Roman" w:cs="Times New Roman"/>
                <w:bCs/>
                <w:i/>
                <w:iCs/>
                <w:sz w:val="24"/>
                <w:szCs w:val="24"/>
              </w:rPr>
              <w:t>Governance index – dependent variables</w:t>
            </w:r>
          </w:p>
        </w:tc>
      </w:tr>
      <w:tr w:rsidR="00182131" w:rsidRPr="00AB75D4" w14:paraId="13D866D1" w14:textId="77777777" w:rsidTr="00462406">
        <w:tc>
          <w:tcPr>
            <w:tcW w:w="988" w:type="dxa"/>
          </w:tcPr>
          <w:p w14:paraId="4A19B587" w14:textId="77777777" w:rsidR="00182131" w:rsidRPr="00AB75D4" w:rsidRDefault="00182131" w:rsidP="00462406">
            <w:pPr>
              <w:contextualSpacing/>
              <w:rPr>
                <w:rFonts w:ascii="Times New Roman" w:eastAsia="Calibri" w:hAnsi="Times New Roman" w:cs="Times New Roman"/>
                <w:bCs/>
                <w:sz w:val="24"/>
                <w:szCs w:val="24"/>
              </w:rPr>
            </w:pPr>
            <w:r w:rsidRPr="00AB75D4">
              <w:rPr>
                <w:rFonts w:ascii="Times New Roman" w:eastAsia="Calibri" w:hAnsi="Times New Roman" w:cs="Times New Roman"/>
                <w:bCs/>
                <w:sz w:val="24"/>
                <w:szCs w:val="24"/>
              </w:rPr>
              <w:t>HEGI</w:t>
            </w:r>
          </w:p>
        </w:tc>
        <w:tc>
          <w:tcPr>
            <w:tcW w:w="8028" w:type="dxa"/>
          </w:tcPr>
          <w:p w14:paraId="5755DBA6" w14:textId="20AFCE7A" w:rsidR="00182131" w:rsidRPr="00AB75D4" w:rsidRDefault="0023475D" w:rsidP="0023475D">
            <w:pPr>
              <w:autoSpaceDE w:val="0"/>
              <w:autoSpaceDN w:val="0"/>
              <w:adjustRightInd w:val="0"/>
              <w:jc w:val="both"/>
              <w:rPr>
                <w:rFonts w:ascii="Times New Roman" w:eastAsia="Calibri" w:hAnsi="Times New Roman" w:cs="Times New Roman"/>
                <w:bCs/>
                <w:sz w:val="24"/>
                <w:szCs w:val="24"/>
              </w:rPr>
            </w:pPr>
            <w:r>
              <w:rPr>
                <w:rFonts w:ascii="Times New Roman" w:eastAsia="Calibri" w:hAnsi="Times New Roman" w:cs="Times New Roman"/>
                <w:bCs/>
                <w:sz w:val="24"/>
                <w:szCs w:val="24"/>
              </w:rPr>
              <w:t>Denotes</w:t>
            </w:r>
            <w:r w:rsidR="00182131" w:rsidRPr="00AB75D4">
              <w:rPr>
                <w:rFonts w:ascii="Times New Roman" w:eastAsia="Calibri" w:hAnsi="Times New Roman" w:cs="Times New Roman"/>
                <w:bCs/>
                <w:sz w:val="24"/>
                <w:szCs w:val="24"/>
              </w:rPr>
              <w:t xml:space="preserve"> the total </w:t>
            </w:r>
            <w:r w:rsidR="000711DA">
              <w:rPr>
                <w:rFonts w:ascii="Times New Roman" w:eastAsia="Calibri" w:hAnsi="Times New Roman" w:cs="Times New Roman"/>
                <w:bCs/>
                <w:sz w:val="24"/>
                <w:szCs w:val="24"/>
              </w:rPr>
              <w:t>HEI</w:t>
            </w:r>
            <w:r w:rsidR="00182131" w:rsidRPr="00AB75D4">
              <w:rPr>
                <w:rFonts w:ascii="Times New Roman" w:eastAsia="Calibri" w:hAnsi="Times New Roman" w:cs="Times New Roman"/>
                <w:bCs/>
                <w:sz w:val="24"/>
                <w:szCs w:val="24"/>
              </w:rPr>
              <w:t xml:space="preserve"> governance quality index containing 100 </w:t>
            </w:r>
            <w:r w:rsidR="007D1529">
              <w:rPr>
                <w:rFonts w:ascii="Times New Roman" w:eastAsia="Calibri" w:hAnsi="Times New Roman" w:cs="Times New Roman"/>
                <w:bCs/>
                <w:sz w:val="24"/>
                <w:szCs w:val="24"/>
              </w:rPr>
              <w:t>provisions</w:t>
            </w:r>
            <w:r w:rsidR="007D1529" w:rsidRPr="00AB75D4">
              <w:rPr>
                <w:rFonts w:ascii="Times New Roman" w:eastAsia="Calibri" w:hAnsi="Times New Roman" w:cs="Times New Roman"/>
                <w:bCs/>
                <w:sz w:val="24"/>
                <w:szCs w:val="24"/>
              </w:rPr>
              <w:t xml:space="preserve"> </w:t>
            </w:r>
            <w:r w:rsidR="00182131" w:rsidRPr="00AB75D4">
              <w:rPr>
                <w:rFonts w:ascii="Times New Roman" w:eastAsia="Calibri" w:hAnsi="Times New Roman" w:cs="Times New Roman"/>
                <w:bCs/>
                <w:sz w:val="24"/>
                <w:szCs w:val="24"/>
              </w:rPr>
              <w:t xml:space="preserve">based on 5 </w:t>
            </w:r>
            <w:r w:rsidR="007D1529">
              <w:rPr>
                <w:rFonts w:ascii="Times New Roman" w:eastAsia="Calibri" w:hAnsi="Times New Roman" w:cs="Times New Roman"/>
                <w:bCs/>
                <w:sz w:val="24"/>
                <w:szCs w:val="24"/>
              </w:rPr>
              <w:t>categories</w:t>
            </w:r>
            <w:r w:rsidR="00182131" w:rsidRPr="00AB75D4">
              <w:rPr>
                <w:rFonts w:ascii="Times New Roman" w:eastAsia="Calibri" w:hAnsi="Times New Roman" w:cs="Times New Roman"/>
                <w:bCs/>
                <w:sz w:val="24"/>
                <w:szCs w:val="24"/>
              </w:rPr>
              <w:t>, including: 27 items on governing boards (</w:t>
            </w:r>
            <w:r w:rsidR="00182131">
              <w:rPr>
                <w:rFonts w:ascii="Times New Roman" w:eastAsia="Calibri" w:hAnsi="Times New Roman" w:cs="Times New Roman"/>
                <w:bCs/>
                <w:sz w:val="24"/>
                <w:szCs w:val="24"/>
              </w:rPr>
              <w:t>GONB</w:t>
            </w:r>
            <w:r w:rsidR="00182131" w:rsidRPr="00AB75D4">
              <w:rPr>
                <w:rFonts w:ascii="Times New Roman" w:eastAsia="Calibri" w:hAnsi="Times New Roman" w:cs="Times New Roman"/>
                <w:bCs/>
                <w:sz w:val="24"/>
                <w:szCs w:val="24"/>
              </w:rPr>
              <w:t xml:space="preserve">); 24 items on </w:t>
            </w:r>
            <w:r w:rsidR="007D1529">
              <w:rPr>
                <w:rFonts w:ascii="Times New Roman" w:eastAsia="Calibri" w:hAnsi="Times New Roman" w:cs="Times New Roman"/>
                <w:bCs/>
                <w:sz w:val="24"/>
                <w:szCs w:val="24"/>
              </w:rPr>
              <w:t>procedures</w:t>
            </w:r>
            <w:r w:rsidR="007D1529" w:rsidRPr="00AB75D4">
              <w:rPr>
                <w:rFonts w:ascii="Times New Roman" w:eastAsia="Calibri" w:hAnsi="Times New Roman" w:cs="Times New Roman"/>
                <w:bCs/>
                <w:sz w:val="24"/>
                <w:szCs w:val="24"/>
              </w:rPr>
              <w:t xml:space="preserve"> </w:t>
            </w:r>
            <w:r w:rsidR="00182131" w:rsidRPr="00AB75D4">
              <w:rPr>
                <w:rFonts w:ascii="Times New Roman" w:eastAsia="Calibri" w:hAnsi="Times New Roman" w:cs="Times New Roman"/>
                <w:bCs/>
                <w:sz w:val="24"/>
                <w:szCs w:val="24"/>
              </w:rPr>
              <w:t>and structures (</w:t>
            </w:r>
            <w:r w:rsidR="00182131" w:rsidRPr="00AB75D4">
              <w:rPr>
                <w:rFonts w:ascii="Times New Roman" w:hAnsi="Times New Roman" w:cs="Times New Roman"/>
                <w:iCs/>
                <w:sz w:val="24"/>
                <w:szCs w:val="24"/>
              </w:rPr>
              <w:t>P</w:t>
            </w:r>
            <w:r w:rsidR="00182131">
              <w:rPr>
                <w:rFonts w:ascii="Times New Roman" w:hAnsi="Times New Roman" w:cs="Times New Roman"/>
                <w:iCs/>
                <w:sz w:val="24"/>
                <w:szCs w:val="24"/>
              </w:rPr>
              <w:t>ROS</w:t>
            </w:r>
            <w:r w:rsidR="00182131" w:rsidRPr="00AB75D4">
              <w:rPr>
                <w:rFonts w:ascii="Times New Roman" w:hAnsi="Times New Roman" w:cs="Times New Roman"/>
                <w:iCs/>
                <w:sz w:val="24"/>
                <w:szCs w:val="24"/>
              </w:rPr>
              <w:t>)</w:t>
            </w:r>
            <w:r w:rsidR="00182131" w:rsidRPr="00AB75D4">
              <w:rPr>
                <w:rFonts w:ascii="Times New Roman" w:eastAsia="Calibri" w:hAnsi="Times New Roman" w:cs="Times New Roman"/>
                <w:bCs/>
                <w:sz w:val="24"/>
                <w:szCs w:val="24"/>
              </w:rPr>
              <w:t xml:space="preserve">; 22 items on </w:t>
            </w:r>
            <w:r w:rsidR="007D1529">
              <w:rPr>
                <w:rFonts w:ascii="Times New Roman" w:eastAsia="Calibri" w:hAnsi="Times New Roman" w:cs="Times New Roman"/>
                <w:bCs/>
                <w:sz w:val="24"/>
                <w:szCs w:val="24"/>
              </w:rPr>
              <w:t xml:space="preserve">rewards, pay and evaluation of performance </w:t>
            </w:r>
            <w:r w:rsidR="00182131" w:rsidRPr="00AB75D4">
              <w:rPr>
                <w:rFonts w:ascii="Times New Roman" w:hAnsi="Times New Roman" w:cs="Times New Roman"/>
                <w:sz w:val="24"/>
                <w:szCs w:val="24"/>
              </w:rPr>
              <w:t>(</w:t>
            </w:r>
            <w:r w:rsidR="00182131">
              <w:rPr>
                <w:rFonts w:ascii="Times New Roman" w:hAnsi="Times New Roman" w:cs="Times New Roman"/>
                <w:sz w:val="24"/>
                <w:szCs w:val="24"/>
              </w:rPr>
              <w:t>PERW</w:t>
            </w:r>
            <w:r w:rsidR="00182131" w:rsidRPr="00AB75D4">
              <w:rPr>
                <w:rFonts w:ascii="Times New Roman" w:hAnsi="Times New Roman" w:cs="Times New Roman"/>
                <w:sz w:val="24"/>
                <w:szCs w:val="24"/>
              </w:rPr>
              <w:t>)</w:t>
            </w:r>
            <w:r w:rsidR="00182131" w:rsidRPr="00AB75D4">
              <w:rPr>
                <w:rFonts w:ascii="Times New Roman" w:eastAsia="Calibri" w:hAnsi="Times New Roman" w:cs="Times New Roman"/>
                <w:bCs/>
                <w:sz w:val="24"/>
                <w:szCs w:val="24"/>
              </w:rPr>
              <w:t xml:space="preserve">; 20 items on </w:t>
            </w:r>
            <w:r w:rsidR="00182131">
              <w:rPr>
                <w:rFonts w:ascii="Times New Roman" w:eastAsia="Calibri" w:hAnsi="Times New Roman" w:cs="Times New Roman"/>
                <w:bCs/>
                <w:sz w:val="24"/>
                <w:szCs w:val="24"/>
              </w:rPr>
              <w:t>auditing</w:t>
            </w:r>
            <w:r w:rsidR="007D1529">
              <w:rPr>
                <w:rFonts w:ascii="Times New Roman" w:eastAsia="Calibri" w:hAnsi="Times New Roman" w:cs="Times New Roman"/>
                <w:bCs/>
                <w:sz w:val="24"/>
                <w:szCs w:val="24"/>
              </w:rPr>
              <w:t xml:space="preserve"> and accountability</w:t>
            </w:r>
            <w:r w:rsidR="00182131" w:rsidRPr="00AB75D4">
              <w:rPr>
                <w:rFonts w:ascii="Times New Roman" w:eastAsia="Calibri" w:hAnsi="Times New Roman" w:cs="Times New Roman"/>
                <w:bCs/>
                <w:sz w:val="24"/>
                <w:szCs w:val="24"/>
              </w:rPr>
              <w:t xml:space="preserve"> </w:t>
            </w:r>
            <w:r w:rsidR="00182131" w:rsidRPr="00AB75D4">
              <w:rPr>
                <w:rFonts w:ascii="Times New Roman" w:hAnsi="Times New Roman" w:cs="Times New Roman"/>
                <w:sz w:val="24"/>
                <w:szCs w:val="24"/>
              </w:rPr>
              <w:t>(</w:t>
            </w:r>
            <w:r w:rsidR="00182131">
              <w:rPr>
                <w:rFonts w:ascii="Times New Roman" w:hAnsi="Times New Roman" w:cs="Times New Roman"/>
                <w:sz w:val="24"/>
                <w:szCs w:val="24"/>
              </w:rPr>
              <w:t>ACNA</w:t>
            </w:r>
            <w:r w:rsidR="00182131" w:rsidRPr="00AB75D4">
              <w:rPr>
                <w:rFonts w:ascii="Times New Roman" w:hAnsi="Times New Roman" w:cs="Times New Roman"/>
                <w:sz w:val="24"/>
                <w:szCs w:val="24"/>
              </w:rPr>
              <w:t xml:space="preserve">); </w:t>
            </w:r>
            <w:r w:rsidR="00182131" w:rsidRPr="00AB75D4">
              <w:rPr>
                <w:rFonts w:ascii="Times New Roman" w:eastAsia="Calibri" w:hAnsi="Times New Roman" w:cs="Times New Roman"/>
                <w:bCs/>
                <w:sz w:val="24"/>
                <w:szCs w:val="24"/>
              </w:rPr>
              <w:t xml:space="preserve">and 7 items on </w:t>
            </w:r>
            <w:r w:rsidR="00182131">
              <w:rPr>
                <w:rFonts w:ascii="Times New Roman" w:eastAsia="Calibri" w:hAnsi="Times New Roman" w:cs="Times New Roman"/>
                <w:bCs/>
                <w:sz w:val="24"/>
                <w:szCs w:val="24"/>
              </w:rPr>
              <w:t>stakeholder</w:t>
            </w:r>
            <w:r w:rsidR="00182131" w:rsidRPr="00AB75D4">
              <w:rPr>
                <w:rFonts w:ascii="Times New Roman" w:eastAsia="Calibri" w:hAnsi="Times New Roman" w:cs="Times New Roman"/>
                <w:bCs/>
                <w:sz w:val="24"/>
                <w:szCs w:val="24"/>
              </w:rPr>
              <w:t xml:space="preserve"> </w:t>
            </w:r>
            <w:r w:rsidR="00182131">
              <w:rPr>
                <w:rFonts w:ascii="Times New Roman" w:eastAsia="Calibri" w:hAnsi="Times New Roman" w:cs="Times New Roman"/>
                <w:bCs/>
                <w:sz w:val="24"/>
                <w:szCs w:val="24"/>
              </w:rPr>
              <w:t xml:space="preserve">dialogue </w:t>
            </w:r>
            <w:r w:rsidR="00182131" w:rsidRPr="00AB75D4">
              <w:rPr>
                <w:rFonts w:ascii="Times New Roman" w:eastAsia="Calibri" w:hAnsi="Times New Roman" w:cs="Times New Roman"/>
                <w:bCs/>
                <w:sz w:val="24"/>
                <w:szCs w:val="24"/>
              </w:rPr>
              <w:t>(</w:t>
            </w:r>
            <w:r w:rsidR="00182131">
              <w:rPr>
                <w:rFonts w:ascii="Times New Roman" w:eastAsia="Calibri" w:hAnsi="Times New Roman" w:cs="Times New Roman"/>
                <w:bCs/>
                <w:sz w:val="24"/>
                <w:szCs w:val="24"/>
              </w:rPr>
              <w:t>STKD</w:t>
            </w:r>
            <w:r w:rsidR="00182131" w:rsidRPr="00AB75D4">
              <w:rPr>
                <w:rFonts w:ascii="Times New Roman" w:eastAsia="Calibri" w:hAnsi="Times New Roman" w:cs="Times New Roman"/>
                <w:bCs/>
                <w:sz w:val="24"/>
                <w:szCs w:val="24"/>
              </w:rPr>
              <w:t xml:space="preserve">). </w:t>
            </w:r>
            <w:r w:rsidR="007D1529">
              <w:rPr>
                <w:rFonts w:ascii="Times New Roman" w:eastAsia="Calibri" w:hAnsi="Times New Roman" w:cs="Times New Roman"/>
                <w:bCs/>
                <w:sz w:val="24"/>
                <w:szCs w:val="24"/>
              </w:rPr>
              <w:t xml:space="preserve">A </w:t>
            </w:r>
            <w:r w:rsidR="007D1529">
              <w:rPr>
                <w:rFonts w:asciiTheme="majorBidi" w:hAnsiTheme="majorBidi" w:cstheme="majorBidi"/>
                <w:sz w:val="24"/>
                <w:szCs w:val="24"/>
              </w:rPr>
              <w:t xml:space="preserve">value of “1” is awarded to governance provisions that are disclosed in the annual reports of HEIs and 0 otherwise. </w:t>
            </w:r>
          </w:p>
        </w:tc>
      </w:tr>
      <w:tr w:rsidR="00182131" w:rsidRPr="00AB75D4" w14:paraId="5216A1B1" w14:textId="77777777" w:rsidTr="00462406">
        <w:tc>
          <w:tcPr>
            <w:tcW w:w="9016" w:type="dxa"/>
            <w:gridSpan w:val="2"/>
          </w:tcPr>
          <w:p w14:paraId="792D18A0" w14:textId="1DD40C09" w:rsidR="00182131" w:rsidRPr="00AB75D4" w:rsidRDefault="00182131" w:rsidP="007D1529">
            <w:pPr>
              <w:autoSpaceDE w:val="0"/>
              <w:autoSpaceDN w:val="0"/>
              <w:adjustRightInd w:val="0"/>
              <w:jc w:val="both"/>
              <w:rPr>
                <w:rFonts w:ascii="Times New Roman" w:eastAsia="Calibri" w:hAnsi="Times New Roman" w:cs="Times New Roman"/>
                <w:bCs/>
                <w:i/>
                <w:iCs/>
                <w:sz w:val="24"/>
                <w:szCs w:val="24"/>
              </w:rPr>
            </w:pPr>
            <w:r w:rsidRPr="00AB75D4">
              <w:rPr>
                <w:rFonts w:ascii="Times New Roman" w:eastAsia="Calibri" w:hAnsi="Times New Roman" w:cs="Times New Roman"/>
                <w:bCs/>
                <w:i/>
                <w:iCs/>
                <w:sz w:val="24"/>
                <w:szCs w:val="24"/>
              </w:rPr>
              <w:t xml:space="preserve">Internal governance mechanisms – </w:t>
            </w:r>
            <w:r w:rsidR="007D1529">
              <w:rPr>
                <w:rFonts w:ascii="Times New Roman" w:eastAsia="Calibri" w:hAnsi="Times New Roman" w:cs="Times New Roman"/>
                <w:bCs/>
                <w:i/>
                <w:iCs/>
                <w:sz w:val="24"/>
                <w:szCs w:val="24"/>
              </w:rPr>
              <w:t>explanatory</w:t>
            </w:r>
            <w:r w:rsidR="007D1529" w:rsidRPr="00AB75D4">
              <w:rPr>
                <w:rFonts w:ascii="Times New Roman" w:eastAsia="Calibri" w:hAnsi="Times New Roman" w:cs="Times New Roman"/>
                <w:bCs/>
                <w:i/>
                <w:iCs/>
                <w:sz w:val="24"/>
                <w:szCs w:val="24"/>
              </w:rPr>
              <w:t xml:space="preserve"> </w:t>
            </w:r>
            <w:r w:rsidRPr="00AB75D4">
              <w:rPr>
                <w:rFonts w:ascii="Times New Roman" w:eastAsia="Calibri" w:hAnsi="Times New Roman" w:cs="Times New Roman"/>
                <w:bCs/>
                <w:i/>
                <w:iCs/>
                <w:sz w:val="24"/>
                <w:szCs w:val="24"/>
              </w:rPr>
              <w:t>variables</w:t>
            </w:r>
          </w:p>
        </w:tc>
      </w:tr>
      <w:tr w:rsidR="00182131" w:rsidRPr="00AB75D4" w14:paraId="2945341E" w14:textId="77777777" w:rsidTr="00462406">
        <w:tc>
          <w:tcPr>
            <w:tcW w:w="988" w:type="dxa"/>
          </w:tcPr>
          <w:p w14:paraId="4945EEF9" w14:textId="7DBEBC26" w:rsidR="00182131" w:rsidRPr="00AB75D4" w:rsidRDefault="00182131" w:rsidP="00462406">
            <w:pPr>
              <w:contextualSpacing/>
              <w:rPr>
                <w:rFonts w:ascii="Times New Roman" w:eastAsia="Calibri" w:hAnsi="Times New Roman" w:cs="Times New Roman"/>
                <w:bCs/>
                <w:sz w:val="24"/>
                <w:szCs w:val="24"/>
              </w:rPr>
            </w:pPr>
            <w:r w:rsidRPr="00AB75D4">
              <w:rPr>
                <w:rFonts w:ascii="Times New Roman" w:eastAsia="Calibri" w:hAnsi="Times New Roman" w:cs="Times New Roman"/>
                <w:bCs/>
                <w:sz w:val="24"/>
                <w:szCs w:val="24"/>
              </w:rPr>
              <w:t>V</w:t>
            </w:r>
            <w:r w:rsidR="007A0B04">
              <w:rPr>
                <w:rFonts w:ascii="Times New Roman" w:eastAsia="Calibri" w:hAnsi="Times New Roman" w:cs="Times New Roman"/>
                <w:bCs/>
                <w:sz w:val="24"/>
                <w:szCs w:val="24"/>
              </w:rPr>
              <w:t>C</w:t>
            </w:r>
            <w:r w:rsidRPr="00AB75D4">
              <w:rPr>
                <w:rFonts w:ascii="Times New Roman" w:eastAsia="Calibri" w:hAnsi="Times New Roman" w:cs="Times New Roman"/>
                <w:bCs/>
                <w:sz w:val="24"/>
                <w:szCs w:val="24"/>
              </w:rPr>
              <w:t>G</w:t>
            </w:r>
            <w:r w:rsidR="007A0B04">
              <w:rPr>
                <w:rFonts w:ascii="Times New Roman" w:eastAsia="Calibri" w:hAnsi="Times New Roman" w:cs="Times New Roman"/>
                <w:bCs/>
                <w:sz w:val="24"/>
                <w:szCs w:val="24"/>
              </w:rPr>
              <w:t>EN</w:t>
            </w:r>
          </w:p>
        </w:tc>
        <w:tc>
          <w:tcPr>
            <w:tcW w:w="8028" w:type="dxa"/>
          </w:tcPr>
          <w:p w14:paraId="1AEDA0F9" w14:textId="4915FADB" w:rsidR="00182131" w:rsidRPr="006E15E3" w:rsidRDefault="0023475D" w:rsidP="00BF306A">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Denotes v</w:t>
            </w:r>
            <w:r w:rsidR="00182131">
              <w:rPr>
                <w:rFonts w:asciiTheme="majorBidi" w:hAnsiTheme="majorBidi" w:cstheme="majorBidi"/>
                <w:sz w:val="24"/>
                <w:szCs w:val="24"/>
              </w:rPr>
              <w:t>ice chancellor</w:t>
            </w:r>
            <w:r w:rsidR="006E15E3">
              <w:rPr>
                <w:rFonts w:asciiTheme="majorBidi" w:hAnsiTheme="majorBidi" w:cstheme="majorBidi"/>
                <w:sz w:val="24"/>
                <w:szCs w:val="24"/>
              </w:rPr>
              <w:t xml:space="preserve"> (VC)</w:t>
            </w:r>
            <w:r w:rsidR="00182131">
              <w:rPr>
                <w:rFonts w:asciiTheme="majorBidi" w:hAnsiTheme="majorBidi" w:cstheme="majorBidi"/>
                <w:sz w:val="24"/>
                <w:szCs w:val="24"/>
              </w:rPr>
              <w:t xml:space="preserve"> gender</w:t>
            </w:r>
            <w:r>
              <w:rPr>
                <w:rFonts w:asciiTheme="majorBidi" w:hAnsiTheme="majorBidi" w:cstheme="majorBidi"/>
                <w:sz w:val="24"/>
                <w:szCs w:val="24"/>
              </w:rPr>
              <w:t>, which is</w:t>
            </w:r>
            <w:r w:rsidR="00182131">
              <w:rPr>
                <w:rFonts w:asciiTheme="majorBidi" w:hAnsiTheme="majorBidi" w:cstheme="majorBidi"/>
                <w:sz w:val="24"/>
                <w:szCs w:val="24"/>
              </w:rPr>
              <w:t xml:space="preserve"> defined as a dummy variable</w:t>
            </w:r>
            <w:r w:rsidR="006E15E3">
              <w:rPr>
                <w:rFonts w:asciiTheme="majorBidi" w:hAnsiTheme="majorBidi" w:cstheme="majorBidi"/>
                <w:sz w:val="24"/>
                <w:szCs w:val="24"/>
              </w:rPr>
              <w:t xml:space="preserve"> that takes a value of 1 if the VC is male, 0 otherwise.</w:t>
            </w:r>
          </w:p>
        </w:tc>
      </w:tr>
      <w:tr w:rsidR="00182131" w:rsidRPr="00AB75D4" w14:paraId="42FA5311" w14:textId="77777777" w:rsidTr="00462406">
        <w:tc>
          <w:tcPr>
            <w:tcW w:w="988" w:type="dxa"/>
          </w:tcPr>
          <w:p w14:paraId="5EED3D8F" w14:textId="5F503513" w:rsidR="00182131" w:rsidRPr="00AB75D4" w:rsidRDefault="00182131" w:rsidP="00462406">
            <w:pPr>
              <w:contextualSpacing/>
              <w:rPr>
                <w:rFonts w:ascii="Times New Roman" w:eastAsia="Calibri" w:hAnsi="Times New Roman" w:cs="Times New Roman"/>
                <w:bCs/>
                <w:sz w:val="24"/>
                <w:szCs w:val="24"/>
              </w:rPr>
            </w:pPr>
            <w:r w:rsidRPr="00AB75D4">
              <w:rPr>
                <w:rFonts w:ascii="Times New Roman" w:eastAsia="Calibri" w:hAnsi="Times New Roman" w:cs="Times New Roman"/>
                <w:bCs/>
                <w:sz w:val="24"/>
                <w:szCs w:val="24"/>
              </w:rPr>
              <w:t>V</w:t>
            </w:r>
            <w:r w:rsidR="007A0B04">
              <w:rPr>
                <w:rFonts w:ascii="Times New Roman" w:eastAsia="Calibri" w:hAnsi="Times New Roman" w:cs="Times New Roman"/>
                <w:bCs/>
                <w:sz w:val="24"/>
                <w:szCs w:val="24"/>
              </w:rPr>
              <w:t>CE</w:t>
            </w:r>
            <w:r w:rsidRPr="00AB75D4">
              <w:rPr>
                <w:rFonts w:ascii="Times New Roman" w:eastAsia="Calibri" w:hAnsi="Times New Roman" w:cs="Times New Roman"/>
                <w:bCs/>
                <w:sz w:val="24"/>
                <w:szCs w:val="24"/>
              </w:rPr>
              <w:t>D</w:t>
            </w:r>
            <w:r w:rsidR="007A0B04">
              <w:rPr>
                <w:rFonts w:ascii="Times New Roman" w:eastAsia="Calibri" w:hAnsi="Times New Roman" w:cs="Times New Roman"/>
                <w:bCs/>
                <w:sz w:val="24"/>
                <w:szCs w:val="24"/>
              </w:rPr>
              <w:t>U</w:t>
            </w:r>
          </w:p>
        </w:tc>
        <w:tc>
          <w:tcPr>
            <w:tcW w:w="8028" w:type="dxa"/>
          </w:tcPr>
          <w:p w14:paraId="4E5F8EE9" w14:textId="55D6A85A" w:rsidR="00182131" w:rsidRPr="00AB75D4" w:rsidRDefault="0023475D" w:rsidP="0023475D">
            <w:pPr>
              <w:autoSpaceDE w:val="0"/>
              <w:autoSpaceDN w:val="0"/>
              <w:adjustRightInd w:val="0"/>
              <w:jc w:val="both"/>
              <w:rPr>
                <w:rFonts w:ascii="Times New Roman" w:eastAsia="Calibri" w:hAnsi="Times New Roman" w:cs="Times New Roman"/>
                <w:bCs/>
                <w:sz w:val="24"/>
                <w:szCs w:val="24"/>
              </w:rPr>
            </w:pPr>
            <w:r>
              <w:rPr>
                <w:rFonts w:ascii="Times New Roman" w:eastAsia="Calibri" w:hAnsi="Times New Roman" w:cs="Times New Roman"/>
                <w:bCs/>
                <w:sz w:val="24"/>
                <w:szCs w:val="24"/>
              </w:rPr>
              <w:t>Denotes v</w:t>
            </w:r>
            <w:r w:rsidR="00182131" w:rsidRPr="00AB75D4">
              <w:rPr>
                <w:rFonts w:ascii="Times New Roman" w:eastAsia="Calibri" w:hAnsi="Times New Roman" w:cs="Times New Roman"/>
                <w:bCs/>
                <w:sz w:val="24"/>
                <w:szCs w:val="24"/>
              </w:rPr>
              <w:t>ice chancellor occupational background</w:t>
            </w:r>
            <w:r>
              <w:rPr>
                <w:rFonts w:ascii="Times New Roman" w:eastAsia="Calibri" w:hAnsi="Times New Roman" w:cs="Times New Roman"/>
                <w:bCs/>
                <w:sz w:val="24"/>
                <w:szCs w:val="24"/>
              </w:rPr>
              <w:t xml:space="preserve">, which is defined as </w:t>
            </w:r>
            <w:r w:rsidR="00127B03">
              <w:rPr>
                <w:rFonts w:ascii="Times New Roman" w:eastAsia="Calibri" w:hAnsi="Times New Roman" w:cs="Times New Roman"/>
                <w:bCs/>
                <w:sz w:val="24"/>
                <w:szCs w:val="24"/>
              </w:rPr>
              <w:t xml:space="preserve">a continuous variable </w:t>
            </w:r>
            <w:r>
              <w:rPr>
                <w:rFonts w:ascii="Times New Roman" w:eastAsia="Calibri" w:hAnsi="Times New Roman" w:cs="Times New Roman"/>
                <w:bCs/>
                <w:sz w:val="24"/>
                <w:szCs w:val="24"/>
              </w:rPr>
              <w:t xml:space="preserve">that is </w:t>
            </w:r>
            <w:r w:rsidR="00127B03">
              <w:rPr>
                <w:rFonts w:ascii="Times New Roman" w:eastAsia="Calibri" w:hAnsi="Times New Roman" w:cs="Times New Roman"/>
                <w:bCs/>
                <w:sz w:val="24"/>
                <w:szCs w:val="24"/>
              </w:rPr>
              <w:t xml:space="preserve">awarded a value between 1 and 6 </w:t>
            </w:r>
            <w:r w:rsidR="00182131" w:rsidRPr="00AB75D4">
              <w:rPr>
                <w:rFonts w:ascii="Times New Roman" w:eastAsia="Calibri" w:hAnsi="Times New Roman" w:cs="Times New Roman"/>
                <w:bCs/>
                <w:sz w:val="24"/>
                <w:szCs w:val="24"/>
              </w:rPr>
              <w:t>(e.g., medicine, engineering,</w:t>
            </w:r>
            <w:r w:rsidR="002708EF">
              <w:rPr>
                <w:rFonts w:ascii="Times New Roman" w:eastAsia="Calibri" w:hAnsi="Times New Roman" w:cs="Times New Roman"/>
                <w:bCs/>
                <w:sz w:val="24"/>
                <w:szCs w:val="24"/>
              </w:rPr>
              <w:t xml:space="preserve"> </w:t>
            </w:r>
            <w:r w:rsidR="00182131" w:rsidRPr="00AB75D4">
              <w:rPr>
                <w:rFonts w:ascii="Times New Roman" w:eastAsia="Calibri" w:hAnsi="Times New Roman" w:cs="Times New Roman"/>
                <w:bCs/>
                <w:sz w:val="24"/>
                <w:szCs w:val="24"/>
              </w:rPr>
              <w:t xml:space="preserve">accounting/finance/business/management, social sciences, computing/maths/statistics, and humanities/natural sciences backgrounds). </w:t>
            </w:r>
            <w:r w:rsidR="008B06C2" w:rsidRPr="00AB75D4">
              <w:rPr>
                <w:rFonts w:ascii="Times New Roman" w:eastAsia="Calibri" w:hAnsi="Times New Roman" w:cs="Times New Roman"/>
                <w:bCs/>
                <w:sz w:val="24"/>
                <w:szCs w:val="24"/>
              </w:rPr>
              <w:t>The natural log</w:t>
            </w:r>
            <w:r w:rsidR="008B06C2">
              <w:rPr>
                <w:rFonts w:ascii="Times New Roman" w:eastAsia="Calibri" w:hAnsi="Times New Roman" w:cs="Times New Roman"/>
                <w:bCs/>
                <w:sz w:val="24"/>
                <w:szCs w:val="24"/>
              </w:rPr>
              <w:t>arithm</w:t>
            </w:r>
            <w:r w:rsidR="008B06C2" w:rsidRPr="00AB75D4">
              <w:rPr>
                <w:rFonts w:ascii="Times New Roman" w:eastAsia="Calibri" w:hAnsi="Times New Roman" w:cs="Times New Roman"/>
                <w:bCs/>
                <w:sz w:val="24"/>
                <w:szCs w:val="24"/>
              </w:rPr>
              <w:t xml:space="preserve"> is taken to normalise this variable.</w:t>
            </w:r>
          </w:p>
        </w:tc>
      </w:tr>
      <w:tr w:rsidR="00182131" w:rsidRPr="00AB75D4" w14:paraId="5972DBF2" w14:textId="77777777" w:rsidTr="00462406">
        <w:tc>
          <w:tcPr>
            <w:tcW w:w="988" w:type="dxa"/>
          </w:tcPr>
          <w:p w14:paraId="18518586" w14:textId="4B89D3F2" w:rsidR="00182131" w:rsidRPr="00AB75D4" w:rsidRDefault="00182131" w:rsidP="00462406">
            <w:pPr>
              <w:contextualSpacing/>
              <w:rPr>
                <w:rFonts w:ascii="Times New Roman" w:eastAsia="Calibri" w:hAnsi="Times New Roman" w:cs="Times New Roman"/>
                <w:bCs/>
                <w:sz w:val="24"/>
                <w:szCs w:val="24"/>
              </w:rPr>
            </w:pPr>
            <w:r w:rsidRPr="00AB75D4">
              <w:rPr>
                <w:rFonts w:ascii="Times New Roman" w:eastAsia="Calibri" w:hAnsi="Times New Roman" w:cs="Times New Roman"/>
                <w:bCs/>
                <w:sz w:val="24"/>
                <w:szCs w:val="24"/>
              </w:rPr>
              <w:t>V</w:t>
            </w:r>
            <w:r w:rsidR="007A0B04">
              <w:rPr>
                <w:rFonts w:ascii="Times New Roman" w:eastAsia="Calibri" w:hAnsi="Times New Roman" w:cs="Times New Roman"/>
                <w:bCs/>
                <w:sz w:val="24"/>
                <w:szCs w:val="24"/>
              </w:rPr>
              <w:t>C</w:t>
            </w:r>
            <w:r w:rsidRPr="00AB75D4">
              <w:rPr>
                <w:rFonts w:ascii="Times New Roman" w:eastAsia="Calibri" w:hAnsi="Times New Roman" w:cs="Times New Roman"/>
                <w:bCs/>
                <w:sz w:val="24"/>
                <w:szCs w:val="24"/>
              </w:rPr>
              <w:t>A</w:t>
            </w:r>
            <w:r w:rsidR="007A0B04">
              <w:rPr>
                <w:rFonts w:ascii="Times New Roman" w:eastAsia="Calibri" w:hAnsi="Times New Roman" w:cs="Times New Roman"/>
                <w:bCs/>
                <w:sz w:val="24"/>
                <w:szCs w:val="24"/>
              </w:rPr>
              <w:t>GE</w:t>
            </w:r>
          </w:p>
        </w:tc>
        <w:tc>
          <w:tcPr>
            <w:tcW w:w="8028" w:type="dxa"/>
          </w:tcPr>
          <w:p w14:paraId="0A7C3110" w14:textId="6214C840" w:rsidR="00182131" w:rsidRPr="00AB75D4" w:rsidRDefault="0023475D" w:rsidP="0023475D">
            <w:pPr>
              <w:autoSpaceDE w:val="0"/>
              <w:autoSpaceDN w:val="0"/>
              <w:adjustRightInd w:val="0"/>
              <w:jc w:val="both"/>
              <w:rPr>
                <w:rFonts w:ascii="Times New Roman" w:eastAsia="Calibri" w:hAnsi="Times New Roman" w:cs="Times New Roman"/>
                <w:bCs/>
                <w:sz w:val="24"/>
                <w:szCs w:val="24"/>
              </w:rPr>
            </w:pPr>
            <w:r>
              <w:rPr>
                <w:rFonts w:ascii="Times New Roman" w:eastAsia="Calibri" w:hAnsi="Times New Roman" w:cs="Times New Roman"/>
                <w:bCs/>
                <w:sz w:val="24"/>
                <w:szCs w:val="24"/>
              </w:rPr>
              <w:t>Denotes vice-chancellor age. It is measured as the n</w:t>
            </w:r>
            <w:r w:rsidR="00182131" w:rsidRPr="00AB75D4">
              <w:rPr>
                <w:rFonts w:ascii="Times New Roman" w:eastAsia="Calibri" w:hAnsi="Times New Roman" w:cs="Times New Roman"/>
                <w:bCs/>
                <w:sz w:val="24"/>
                <w:szCs w:val="24"/>
              </w:rPr>
              <w:t>atural log of vice chancellor age</w:t>
            </w:r>
            <w:r w:rsidR="0037434E">
              <w:rPr>
                <w:rFonts w:ascii="Times New Roman" w:eastAsia="Calibri" w:hAnsi="Times New Roman" w:cs="Times New Roman"/>
                <w:bCs/>
                <w:sz w:val="24"/>
                <w:szCs w:val="24"/>
              </w:rPr>
              <w:t>.</w:t>
            </w:r>
          </w:p>
        </w:tc>
      </w:tr>
      <w:tr w:rsidR="00182131" w:rsidRPr="00AB75D4" w14:paraId="59304F10" w14:textId="77777777" w:rsidTr="00462406">
        <w:tc>
          <w:tcPr>
            <w:tcW w:w="988" w:type="dxa"/>
          </w:tcPr>
          <w:p w14:paraId="266CC867" w14:textId="36821F0D" w:rsidR="00182131" w:rsidRPr="00AB75D4" w:rsidRDefault="00182131" w:rsidP="00462406">
            <w:pPr>
              <w:contextualSpacing/>
              <w:rPr>
                <w:rFonts w:ascii="Times New Roman" w:eastAsia="Calibri" w:hAnsi="Times New Roman" w:cs="Times New Roman"/>
                <w:bCs/>
                <w:sz w:val="24"/>
                <w:szCs w:val="24"/>
              </w:rPr>
            </w:pPr>
            <w:r w:rsidRPr="00AB75D4">
              <w:rPr>
                <w:rFonts w:ascii="Times New Roman" w:eastAsia="Calibri" w:hAnsi="Times New Roman" w:cs="Times New Roman"/>
                <w:bCs/>
                <w:sz w:val="24"/>
                <w:szCs w:val="24"/>
              </w:rPr>
              <w:t>V</w:t>
            </w:r>
            <w:r w:rsidR="007A0B04">
              <w:rPr>
                <w:rFonts w:ascii="Times New Roman" w:eastAsia="Calibri" w:hAnsi="Times New Roman" w:cs="Times New Roman"/>
                <w:bCs/>
                <w:sz w:val="24"/>
                <w:szCs w:val="24"/>
              </w:rPr>
              <w:t>C</w:t>
            </w:r>
            <w:r w:rsidRPr="00AB75D4">
              <w:rPr>
                <w:rFonts w:ascii="Times New Roman" w:eastAsia="Calibri" w:hAnsi="Times New Roman" w:cs="Times New Roman"/>
                <w:bCs/>
                <w:sz w:val="24"/>
                <w:szCs w:val="24"/>
              </w:rPr>
              <w:t>T</w:t>
            </w:r>
            <w:r w:rsidR="007A0B04">
              <w:rPr>
                <w:rFonts w:ascii="Times New Roman" w:eastAsia="Calibri" w:hAnsi="Times New Roman" w:cs="Times New Roman"/>
                <w:bCs/>
                <w:sz w:val="24"/>
                <w:szCs w:val="24"/>
              </w:rPr>
              <w:t>EN</w:t>
            </w:r>
          </w:p>
        </w:tc>
        <w:tc>
          <w:tcPr>
            <w:tcW w:w="8028" w:type="dxa"/>
          </w:tcPr>
          <w:p w14:paraId="3650EA11" w14:textId="01D80C86" w:rsidR="00182131" w:rsidRPr="00AB75D4" w:rsidRDefault="0023475D" w:rsidP="0023475D">
            <w:pPr>
              <w:contextualSpacing/>
              <w:rPr>
                <w:rFonts w:asciiTheme="majorBidi" w:hAnsiTheme="majorBidi" w:cstheme="majorBidi"/>
                <w:sz w:val="24"/>
                <w:szCs w:val="24"/>
              </w:rPr>
            </w:pPr>
            <w:r>
              <w:rPr>
                <w:rFonts w:asciiTheme="majorBidi" w:hAnsiTheme="majorBidi" w:cstheme="majorBidi"/>
                <w:sz w:val="24"/>
                <w:szCs w:val="24"/>
              </w:rPr>
              <w:t>Denotes vice-chancellor tenure. It is measured as the n</w:t>
            </w:r>
            <w:r w:rsidR="00182131" w:rsidRPr="00AB75D4">
              <w:rPr>
                <w:rFonts w:asciiTheme="majorBidi" w:hAnsiTheme="majorBidi" w:cstheme="majorBidi"/>
                <w:sz w:val="24"/>
                <w:szCs w:val="24"/>
              </w:rPr>
              <w:t xml:space="preserve">atural </w:t>
            </w:r>
            <w:r w:rsidR="00182131" w:rsidRPr="00AB75D4">
              <w:rPr>
                <w:rFonts w:ascii="Times New Roman" w:eastAsia="Calibri" w:hAnsi="Times New Roman" w:cs="Times New Roman"/>
                <w:bCs/>
                <w:sz w:val="24"/>
                <w:szCs w:val="24"/>
              </w:rPr>
              <w:t xml:space="preserve">log </w:t>
            </w:r>
            <w:r w:rsidR="00182131" w:rsidRPr="00AB75D4">
              <w:rPr>
                <w:rFonts w:asciiTheme="majorBidi" w:hAnsiTheme="majorBidi" w:cstheme="majorBidi"/>
                <w:sz w:val="24"/>
                <w:szCs w:val="24"/>
              </w:rPr>
              <w:t>of total number of years since a vice-chancellor of a HEI is appointed</w:t>
            </w:r>
            <w:r w:rsidR="0037434E">
              <w:rPr>
                <w:rFonts w:asciiTheme="majorBidi" w:hAnsiTheme="majorBidi" w:cstheme="majorBidi"/>
                <w:sz w:val="24"/>
                <w:szCs w:val="24"/>
              </w:rPr>
              <w:t>.</w:t>
            </w:r>
          </w:p>
        </w:tc>
      </w:tr>
      <w:tr w:rsidR="00182131" w:rsidRPr="00AB75D4" w14:paraId="066A1029" w14:textId="77777777" w:rsidTr="00462406">
        <w:tc>
          <w:tcPr>
            <w:tcW w:w="988" w:type="dxa"/>
          </w:tcPr>
          <w:p w14:paraId="2D55FE31" w14:textId="2EC39D1F" w:rsidR="00182131" w:rsidRPr="00AB75D4" w:rsidRDefault="007A0B04" w:rsidP="00462406">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E</w:t>
            </w:r>
            <w:r w:rsidR="00182131" w:rsidRPr="00AB75D4">
              <w:rPr>
                <w:rFonts w:ascii="Times New Roman" w:eastAsia="Calibri" w:hAnsi="Times New Roman" w:cs="Times New Roman"/>
                <w:bCs/>
                <w:sz w:val="24"/>
                <w:szCs w:val="24"/>
              </w:rPr>
              <w:t>G</w:t>
            </w:r>
            <w:r>
              <w:rPr>
                <w:rFonts w:ascii="Times New Roman" w:eastAsia="Calibri" w:hAnsi="Times New Roman" w:cs="Times New Roman"/>
                <w:bCs/>
                <w:sz w:val="24"/>
                <w:szCs w:val="24"/>
              </w:rPr>
              <w:t>C</w:t>
            </w:r>
          </w:p>
        </w:tc>
        <w:tc>
          <w:tcPr>
            <w:tcW w:w="8028" w:type="dxa"/>
          </w:tcPr>
          <w:p w14:paraId="57056E6C" w14:textId="37671AC8" w:rsidR="00182131" w:rsidRPr="00AB75D4" w:rsidRDefault="0023475D" w:rsidP="00433E31">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Denotes the availability of</w:t>
            </w:r>
            <w:r w:rsidR="002708EF">
              <w:rPr>
                <w:rFonts w:ascii="Times New Roman" w:eastAsia="Calibri" w:hAnsi="Times New Roman" w:cs="Times New Roman"/>
                <w:bCs/>
                <w:sz w:val="24"/>
                <w:szCs w:val="24"/>
              </w:rPr>
              <w:t xml:space="preserve"> a</w:t>
            </w:r>
            <w:r>
              <w:rPr>
                <w:rFonts w:ascii="Times New Roman" w:eastAsia="Calibri" w:hAnsi="Times New Roman" w:cs="Times New Roman"/>
                <w:bCs/>
                <w:sz w:val="24"/>
                <w:szCs w:val="24"/>
              </w:rPr>
              <w:t xml:space="preserve"> governance committee, which is defined as a dummy variable that takes a value of </w:t>
            </w:r>
            <w:r w:rsidR="00182131" w:rsidRPr="00AB75D4">
              <w:rPr>
                <w:rFonts w:ascii="Times New Roman" w:eastAsia="Calibri" w:hAnsi="Times New Roman" w:cs="Times New Roman"/>
                <w:bCs/>
                <w:sz w:val="24"/>
                <w:szCs w:val="24"/>
              </w:rPr>
              <w:t xml:space="preserve">1, if a HEI has a </w:t>
            </w:r>
            <w:r w:rsidR="00433E31">
              <w:rPr>
                <w:rFonts w:ascii="Times New Roman" w:eastAsia="Calibri" w:hAnsi="Times New Roman" w:cs="Times New Roman"/>
                <w:bCs/>
                <w:sz w:val="24"/>
                <w:szCs w:val="24"/>
              </w:rPr>
              <w:t>governance</w:t>
            </w:r>
            <w:r w:rsidR="00433E31" w:rsidRPr="00AB75D4">
              <w:rPr>
                <w:rFonts w:ascii="Times New Roman" w:eastAsia="Calibri" w:hAnsi="Times New Roman" w:cs="Times New Roman"/>
                <w:bCs/>
                <w:sz w:val="24"/>
                <w:szCs w:val="24"/>
              </w:rPr>
              <w:t xml:space="preserve"> </w:t>
            </w:r>
            <w:r w:rsidR="00182131" w:rsidRPr="00AB75D4">
              <w:rPr>
                <w:rFonts w:ascii="Times New Roman" w:eastAsia="Calibri" w:hAnsi="Times New Roman" w:cs="Times New Roman"/>
                <w:bCs/>
                <w:sz w:val="24"/>
                <w:szCs w:val="24"/>
              </w:rPr>
              <w:t>committee, 0 otherwise.</w:t>
            </w:r>
          </w:p>
        </w:tc>
      </w:tr>
      <w:tr w:rsidR="00182131" w:rsidRPr="00AB75D4" w14:paraId="56267D33" w14:textId="77777777" w:rsidTr="00462406">
        <w:tc>
          <w:tcPr>
            <w:tcW w:w="988" w:type="dxa"/>
          </w:tcPr>
          <w:p w14:paraId="2DFAB017" w14:textId="01A3FFA8" w:rsidR="00182131" w:rsidRPr="00AB75D4" w:rsidRDefault="00182131" w:rsidP="00462406">
            <w:pPr>
              <w:contextualSpacing/>
              <w:rPr>
                <w:rFonts w:ascii="Times New Roman" w:eastAsia="Calibri" w:hAnsi="Times New Roman" w:cs="Times New Roman"/>
                <w:bCs/>
                <w:sz w:val="24"/>
                <w:szCs w:val="24"/>
              </w:rPr>
            </w:pPr>
            <w:r w:rsidRPr="00AB75D4">
              <w:rPr>
                <w:rFonts w:ascii="Times New Roman" w:eastAsia="Calibri" w:hAnsi="Times New Roman" w:cs="Times New Roman"/>
                <w:bCs/>
                <w:sz w:val="24"/>
                <w:szCs w:val="24"/>
              </w:rPr>
              <w:t>G</w:t>
            </w:r>
            <w:r w:rsidR="007A0B04">
              <w:rPr>
                <w:rFonts w:ascii="Times New Roman" w:eastAsia="Calibri" w:hAnsi="Times New Roman" w:cs="Times New Roman"/>
                <w:bCs/>
                <w:sz w:val="24"/>
                <w:szCs w:val="24"/>
              </w:rPr>
              <w:t>BG</w:t>
            </w:r>
            <w:r w:rsidR="0023475D">
              <w:rPr>
                <w:rFonts w:ascii="Times New Roman" w:eastAsia="Calibri" w:hAnsi="Times New Roman" w:cs="Times New Roman"/>
                <w:bCs/>
                <w:sz w:val="24"/>
                <w:szCs w:val="24"/>
              </w:rPr>
              <w:t>E</w:t>
            </w:r>
            <w:r w:rsidRPr="00AB75D4">
              <w:rPr>
                <w:rFonts w:ascii="Times New Roman" w:eastAsia="Calibri" w:hAnsi="Times New Roman" w:cs="Times New Roman"/>
                <w:bCs/>
                <w:sz w:val="24"/>
                <w:szCs w:val="24"/>
              </w:rPr>
              <w:t>D</w:t>
            </w:r>
          </w:p>
        </w:tc>
        <w:tc>
          <w:tcPr>
            <w:tcW w:w="8028" w:type="dxa"/>
          </w:tcPr>
          <w:p w14:paraId="054228DE" w14:textId="1E9BA86B" w:rsidR="00182131" w:rsidRPr="00AB75D4" w:rsidRDefault="0023475D" w:rsidP="0023475D">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Denotes the proportion of female and non-white governors. It is computed as the p</w:t>
            </w:r>
            <w:r w:rsidR="00182131" w:rsidRPr="00AB75D4">
              <w:rPr>
                <w:rFonts w:ascii="Times New Roman" w:eastAsia="Calibri" w:hAnsi="Times New Roman" w:cs="Times New Roman"/>
                <w:bCs/>
                <w:sz w:val="24"/>
                <w:szCs w:val="24"/>
              </w:rPr>
              <w:t xml:space="preserve">ercentage on women and ethnic minority in a </w:t>
            </w:r>
            <w:r w:rsidR="000711DA">
              <w:rPr>
                <w:rFonts w:ascii="Times New Roman" w:eastAsia="Calibri" w:hAnsi="Times New Roman" w:cs="Times New Roman"/>
                <w:bCs/>
                <w:sz w:val="24"/>
                <w:szCs w:val="24"/>
              </w:rPr>
              <w:t>HEI</w:t>
            </w:r>
            <w:r w:rsidR="000711DA" w:rsidRPr="00AB75D4">
              <w:rPr>
                <w:rFonts w:ascii="Times New Roman" w:eastAsia="Calibri" w:hAnsi="Times New Roman" w:cs="Times New Roman"/>
                <w:bCs/>
                <w:sz w:val="24"/>
                <w:szCs w:val="24"/>
              </w:rPr>
              <w:t xml:space="preserve"> </w:t>
            </w:r>
            <w:r w:rsidR="00182131" w:rsidRPr="00AB75D4">
              <w:rPr>
                <w:rFonts w:ascii="Times New Roman" w:eastAsia="Calibri" w:hAnsi="Times New Roman" w:cs="Times New Roman"/>
                <w:bCs/>
                <w:sz w:val="24"/>
                <w:szCs w:val="24"/>
              </w:rPr>
              <w:t>governing board</w:t>
            </w:r>
            <w:r w:rsidR="0037434E">
              <w:rPr>
                <w:rFonts w:ascii="Times New Roman" w:eastAsia="Calibri" w:hAnsi="Times New Roman" w:cs="Times New Roman"/>
                <w:bCs/>
                <w:sz w:val="24"/>
                <w:szCs w:val="24"/>
              </w:rPr>
              <w:t>.</w:t>
            </w:r>
            <w:r w:rsidR="00182131" w:rsidRPr="00AB75D4">
              <w:rPr>
                <w:rFonts w:ascii="Times New Roman" w:eastAsia="Calibri" w:hAnsi="Times New Roman" w:cs="Times New Roman"/>
                <w:bCs/>
                <w:sz w:val="24"/>
                <w:szCs w:val="24"/>
              </w:rPr>
              <w:t xml:space="preserve"> </w:t>
            </w:r>
          </w:p>
        </w:tc>
      </w:tr>
      <w:tr w:rsidR="00182131" w:rsidRPr="00AB75D4" w14:paraId="32C68452" w14:textId="77777777" w:rsidTr="00462406">
        <w:tc>
          <w:tcPr>
            <w:tcW w:w="988" w:type="dxa"/>
          </w:tcPr>
          <w:p w14:paraId="1D9E0258" w14:textId="2A4AC732" w:rsidR="00182131" w:rsidRPr="00AB75D4" w:rsidRDefault="007A0B04" w:rsidP="00462406">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GB</w:t>
            </w:r>
            <w:r w:rsidR="00182131" w:rsidRPr="00AB75D4">
              <w:rPr>
                <w:rFonts w:ascii="Times New Roman" w:eastAsia="Calibri" w:hAnsi="Times New Roman" w:cs="Times New Roman"/>
                <w:bCs/>
                <w:sz w:val="24"/>
                <w:szCs w:val="24"/>
              </w:rPr>
              <w:t>I</w:t>
            </w:r>
            <w:r w:rsidR="00674DE4">
              <w:rPr>
                <w:rFonts w:ascii="Times New Roman" w:eastAsia="Calibri" w:hAnsi="Times New Roman" w:cs="Times New Roman"/>
                <w:bCs/>
                <w:sz w:val="24"/>
                <w:szCs w:val="24"/>
              </w:rPr>
              <w:t>N</w:t>
            </w:r>
            <w:r>
              <w:rPr>
                <w:rFonts w:ascii="Times New Roman" w:eastAsia="Calibri" w:hAnsi="Times New Roman" w:cs="Times New Roman"/>
                <w:bCs/>
                <w:sz w:val="24"/>
                <w:szCs w:val="24"/>
              </w:rPr>
              <w:t>D</w:t>
            </w:r>
          </w:p>
        </w:tc>
        <w:tc>
          <w:tcPr>
            <w:tcW w:w="8028" w:type="dxa"/>
          </w:tcPr>
          <w:p w14:paraId="51CCA443" w14:textId="28E9EF19" w:rsidR="00182131" w:rsidRPr="00AB75D4" w:rsidRDefault="0023475D" w:rsidP="0023475D">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Denotes governing board independence, which is measured as the p</w:t>
            </w:r>
            <w:r w:rsidR="00182131" w:rsidRPr="00AB75D4">
              <w:rPr>
                <w:rFonts w:ascii="Times New Roman" w:eastAsia="Calibri" w:hAnsi="Times New Roman" w:cs="Times New Roman"/>
                <w:bCs/>
                <w:sz w:val="24"/>
                <w:szCs w:val="24"/>
              </w:rPr>
              <w:t>ercentage of lay members in a governing board</w:t>
            </w:r>
            <w:r w:rsidR="0037434E">
              <w:rPr>
                <w:rFonts w:ascii="Times New Roman" w:eastAsia="Calibri" w:hAnsi="Times New Roman" w:cs="Times New Roman"/>
                <w:bCs/>
                <w:sz w:val="24"/>
                <w:szCs w:val="24"/>
              </w:rPr>
              <w:t>.</w:t>
            </w:r>
          </w:p>
        </w:tc>
      </w:tr>
      <w:tr w:rsidR="00182131" w:rsidRPr="00AB75D4" w14:paraId="2E264559" w14:textId="77777777" w:rsidTr="00462406">
        <w:tc>
          <w:tcPr>
            <w:tcW w:w="988" w:type="dxa"/>
          </w:tcPr>
          <w:p w14:paraId="04CEF970" w14:textId="147090BE" w:rsidR="00182131" w:rsidRPr="00AB75D4" w:rsidRDefault="00182131" w:rsidP="00462406">
            <w:pPr>
              <w:contextualSpacing/>
              <w:rPr>
                <w:rFonts w:ascii="Times New Roman" w:eastAsia="Calibri" w:hAnsi="Times New Roman" w:cs="Times New Roman"/>
                <w:bCs/>
                <w:sz w:val="24"/>
                <w:szCs w:val="24"/>
              </w:rPr>
            </w:pPr>
            <w:r w:rsidRPr="00AB75D4">
              <w:rPr>
                <w:rFonts w:ascii="Times New Roman" w:eastAsia="Calibri" w:hAnsi="Times New Roman" w:cs="Times New Roman"/>
                <w:bCs/>
                <w:sz w:val="24"/>
                <w:szCs w:val="24"/>
              </w:rPr>
              <w:t>G</w:t>
            </w:r>
            <w:r w:rsidR="007A0B04">
              <w:rPr>
                <w:rFonts w:ascii="Times New Roman" w:eastAsia="Calibri" w:hAnsi="Times New Roman" w:cs="Times New Roman"/>
                <w:bCs/>
                <w:sz w:val="24"/>
                <w:szCs w:val="24"/>
              </w:rPr>
              <w:t>B</w:t>
            </w:r>
            <w:r w:rsidRPr="00AB75D4">
              <w:rPr>
                <w:rFonts w:ascii="Times New Roman" w:eastAsia="Calibri" w:hAnsi="Times New Roman" w:cs="Times New Roman"/>
                <w:bCs/>
                <w:sz w:val="24"/>
                <w:szCs w:val="24"/>
              </w:rPr>
              <w:t>M</w:t>
            </w:r>
            <w:r w:rsidR="007A0B04">
              <w:rPr>
                <w:rFonts w:ascii="Times New Roman" w:eastAsia="Calibri" w:hAnsi="Times New Roman" w:cs="Times New Roman"/>
                <w:bCs/>
                <w:sz w:val="24"/>
                <w:szCs w:val="24"/>
              </w:rPr>
              <w:t>T</w:t>
            </w:r>
          </w:p>
        </w:tc>
        <w:tc>
          <w:tcPr>
            <w:tcW w:w="8028" w:type="dxa"/>
          </w:tcPr>
          <w:p w14:paraId="1343E148" w14:textId="07401C43" w:rsidR="00182131" w:rsidRPr="00AB75D4" w:rsidRDefault="0023475D" w:rsidP="0023475D">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Denotes the frequency of governors</w:t>
            </w:r>
            <w:r w:rsidR="00943448">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meeting</w:t>
            </w:r>
            <w:r w:rsidR="00E633B5">
              <w:rPr>
                <w:rFonts w:ascii="Times New Roman" w:eastAsia="Calibri" w:hAnsi="Times New Roman" w:cs="Times New Roman"/>
                <w:bCs/>
                <w:sz w:val="24"/>
                <w:szCs w:val="24"/>
              </w:rPr>
              <w:t>s</w:t>
            </w:r>
            <w:r>
              <w:rPr>
                <w:rFonts w:ascii="Times New Roman" w:eastAsia="Calibri" w:hAnsi="Times New Roman" w:cs="Times New Roman"/>
                <w:bCs/>
                <w:sz w:val="24"/>
                <w:szCs w:val="24"/>
              </w:rPr>
              <w:t>. It is computed as the n</w:t>
            </w:r>
            <w:r w:rsidR="00182131" w:rsidRPr="00AB75D4">
              <w:rPr>
                <w:rFonts w:ascii="Times New Roman" w:eastAsia="Calibri" w:hAnsi="Times New Roman" w:cs="Times New Roman"/>
                <w:bCs/>
                <w:sz w:val="24"/>
                <w:szCs w:val="24"/>
              </w:rPr>
              <w:t>atural log</w:t>
            </w:r>
            <w:r w:rsidR="00504046">
              <w:rPr>
                <w:rFonts w:ascii="Times New Roman" w:eastAsia="Calibri" w:hAnsi="Times New Roman" w:cs="Times New Roman"/>
                <w:bCs/>
                <w:sz w:val="24"/>
                <w:szCs w:val="24"/>
              </w:rPr>
              <w:t xml:space="preserve"> </w:t>
            </w:r>
            <w:r w:rsidR="00182131" w:rsidRPr="00AB75D4">
              <w:rPr>
                <w:rFonts w:ascii="Times New Roman" w:eastAsia="Calibri" w:hAnsi="Times New Roman" w:cs="Times New Roman"/>
                <w:bCs/>
                <w:sz w:val="24"/>
                <w:szCs w:val="24"/>
              </w:rPr>
              <w:t xml:space="preserve">of a governing board </w:t>
            </w:r>
            <w:r w:rsidR="00DE3F4A">
              <w:rPr>
                <w:rFonts w:ascii="Times New Roman" w:eastAsia="Calibri" w:hAnsi="Times New Roman" w:cs="Times New Roman"/>
                <w:bCs/>
                <w:sz w:val="24"/>
                <w:szCs w:val="24"/>
              </w:rPr>
              <w:t xml:space="preserve">number of </w:t>
            </w:r>
            <w:r w:rsidR="00182131" w:rsidRPr="00AB75D4">
              <w:rPr>
                <w:rFonts w:ascii="Times New Roman" w:eastAsia="Calibri" w:hAnsi="Times New Roman" w:cs="Times New Roman"/>
                <w:bCs/>
                <w:sz w:val="24"/>
                <w:szCs w:val="24"/>
              </w:rPr>
              <w:t>meetings</w:t>
            </w:r>
            <w:r w:rsidR="0037434E">
              <w:rPr>
                <w:rFonts w:ascii="Times New Roman" w:eastAsia="Calibri" w:hAnsi="Times New Roman" w:cs="Times New Roman"/>
                <w:bCs/>
                <w:sz w:val="24"/>
                <w:szCs w:val="24"/>
              </w:rPr>
              <w:t>.</w:t>
            </w:r>
          </w:p>
        </w:tc>
      </w:tr>
      <w:tr w:rsidR="00182131" w:rsidRPr="00AB75D4" w14:paraId="170A949B" w14:textId="77777777" w:rsidTr="00462406">
        <w:trPr>
          <w:trHeight w:val="424"/>
        </w:trPr>
        <w:tc>
          <w:tcPr>
            <w:tcW w:w="9016" w:type="dxa"/>
            <w:gridSpan w:val="2"/>
          </w:tcPr>
          <w:p w14:paraId="0D3F3809" w14:textId="77777777" w:rsidR="00182131" w:rsidRPr="00AB75D4" w:rsidRDefault="00182131" w:rsidP="00462406">
            <w:pPr>
              <w:contextualSpacing/>
              <w:rPr>
                <w:rFonts w:asciiTheme="majorBidi" w:hAnsiTheme="majorBidi" w:cstheme="majorBidi"/>
                <w:i/>
                <w:iCs/>
                <w:sz w:val="24"/>
                <w:szCs w:val="24"/>
              </w:rPr>
            </w:pPr>
          </w:p>
          <w:p w14:paraId="4D55566F" w14:textId="035F281F" w:rsidR="00182131" w:rsidRPr="00AB75D4" w:rsidRDefault="00182131" w:rsidP="00462406">
            <w:pPr>
              <w:contextualSpacing/>
              <w:rPr>
                <w:rFonts w:asciiTheme="majorBidi" w:hAnsiTheme="majorBidi" w:cstheme="majorBidi"/>
                <w:i/>
                <w:iCs/>
                <w:sz w:val="24"/>
                <w:szCs w:val="24"/>
              </w:rPr>
            </w:pPr>
            <w:r>
              <w:rPr>
                <w:rFonts w:asciiTheme="majorBidi" w:hAnsiTheme="majorBidi" w:cstheme="majorBidi"/>
                <w:i/>
                <w:iCs/>
                <w:sz w:val="24"/>
                <w:szCs w:val="24"/>
              </w:rPr>
              <w:t xml:space="preserve">Controls </w:t>
            </w:r>
            <w:r w:rsidRPr="00AB75D4">
              <w:rPr>
                <w:rFonts w:asciiTheme="majorBidi" w:hAnsiTheme="majorBidi" w:cstheme="majorBidi"/>
                <w:i/>
                <w:iCs/>
                <w:sz w:val="24"/>
                <w:szCs w:val="24"/>
              </w:rPr>
              <w:t xml:space="preserve">(general </w:t>
            </w:r>
            <w:r w:rsidR="000711DA">
              <w:rPr>
                <w:rFonts w:asciiTheme="majorBidi" w:hAnsiTheme="majorBidi" w:cstheme="majorBidi"/>
                <w:i/>
                <w:iCs/>
                <w:sz w:val="24"/>
                <w:szCs w:val="24"/>
              </w:rPr>
              <w:t>HEI</w:t>
            </w:r>
            <w:r w:rsidR="000711DA" w:rsidRPr="00AB75D4">
              <w:rPr>
                <w:rFonts w:asciiTheme="majorBidi" w:hAnsiTheme="majorBidi" w:cstheme="majorBidi"/>
                <w:i/>
                <w:iCs/>
                <w:sz w:val="24"/>
                <w:szCs w:val="24"/>
              </w:rPr>
              <w:t xml:space="preserve"> </w:t>
            </w:r>
            <w:r w:rsidRPr="00AB75D4">
              <w:rPr>
                <w:rFonts w:asciiTheme="majorBidi" w:hAnsiTheme="majorBidi" w:cstheme="majorBidi"/>
                <w:i/>
                <w:iCs/>
                <w:sz w:val="24"/>
                <w:szCs w:val="24"/>
              </w:rPr>
              <w:t>characteristics)</w:t>
            </w:r>
          </w:p>
          <w:p w14:paraId="3839A8B9" w14:textId="5C43E64D" w:rsidR="00182131" w:rsidRPr="00AB75D4" w:rsidRDefault="00182131" w:rsidP="0023475D">
            <w:pPr>
              <w:contextualSpacing/>
              <w:rPr>
                <w:rFonts w:asciiTheme="majorBidi" w:hAnsiTheme="majorBidi" w:cstheme="majorBidi"/>
                <w:sz w:val="24"/>
                <w:szCs w:val="24"/>
              </w:rPr>
            </w:pPr>
            <w:r w:rsidRPr="00AB75D4">
              <w:rPr>
                <w:rFonts w:asciiTheme="majorBidi" w:hAnsiTheme="majorBidi" w:cstheme="majorBidi"/>
                <w:sz w:val="24"/>
                <w:szCs w:val="24"/>
              </w:rPr>
              <w:tab/>
            </w:r>
            <w:r>
              <w:rPr>
                <w:rFonts w:asciiTheme="majorBidi" w:hAnsiTheme="majorBidi" w:cstheme="majorBidi"/>
                <w:sz w:val="24"/>
                <w:szCs w:val="24"/>
              </w:rPr>
              <w:t xml:space="preserve">     </w:t>
            </w:r>
            <w:r w:rsidR="0023475D">
              <w:rPr>
                <w:rFonts w:asciiTheme="majorBidi" w:hAnsiTheme="majorBidi" w:cstheme="majorBidi"/>
                <w:sz w:val="24"/>
                <w:szCs w:val="24"/>
              </w:rPr>
              <w:t xml:space="preserve">  </w:t>
            </w:r>
          </w:p>
        </w:tc>
      </w:tr>
      <w:tr w:rsidR="0023475D" w:rsidRPr="00AB75D4" w14:paraId="242A369A" w14:textId="77777777" w:rsidTr="00462406">
        <w:tc>
          <w:tcPr>
            <w:tcW w:w="988" w:type="dxa"/>
          </w:tcPr>
          <w:p w14:paraId="49CB33D5" w14:textId="658323F4" w:rsidR="0023475D" w:rsidRPr="00AB75D4" w:rsidRDefault="0023475D" w:rsidP="00462406">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GBZE</w:t>
            </w:r>
          </w:p>
        </w:tc>
        <w:tc>
          <w:tcPr>
            <w:tcW w:w="8028" w:type="dxa"/>
          </w:tcPr>
          <w:p w14:paraId="13905C1B" w14:textId="5EC5F611" w:rsidR="0023475D" w:rsidRPr="0023475D" w:rsidRDefault="0023475D" w:rsidP="0023475D">
            <w:pPr>
              <w:contextualSpacing/>
              <w:jc w:val="both"/>
              <w:rPr>
                <w:rFonts w:asciiTheme="majorBidi" w:hAnsiTheme="majorBidi" w:cstheme="majorBidi"/>
                <w:sz w:val="24"/>
                <w:szCs w:val="24"/>
              </w:rPr>
            </w:pPr>
            <w:r>
              <w:rPr>
                <w:rFonts w:asciiTheme="majorBidi" w:hAnsiTheme="majorBidi" w:cstheme="majorBidi"/>
                <w:sz w:val="24"/>
                <w:szCs w:val="24"/>
              </w:rPr>
              <w:t>Denotes the size of governing board. It is computed as the n</w:t>
            </w:r>
            <w:r w:rsidRPr="00AB75D4">
              <w:rPr>
                <w:rFonts w:asciiTheme="majorBidi" w:hAnsiTheme="majorBidi" w:cstheme="majorBidi"/>
                <w:sz w:val="24"/>
                <w:szCs w:val="24"/>
              </w:rPr>
              <w:t xml:space="preserve">atural </w:t>
            </w:r>
            <w:r w:rsidRPr="00AB75D4">
              <w:rPr>
                <w:rFonts w:ascii="Times New Roman" w:eastAsia="Calibri" w:hAnsi="Times New Roman" w:cs="Times New Roman"/>
                <w:bCs/>
                <w:sz w:val="24"/>
                <w:szCs w:val="24"/>
              </w:rPr>
              <w:t xml:space="preserve">log </w:t>
            </w:r>
            <w:r w:rsidRPr="00AB75D4">
              <w:rPr>
                <w:rFonts w:asciiTheme="majorBidi" w:hAnsiTheme="majorBidi" w:cstheme="majorBidi"/>
                <w:sz w:val="24"/>
                <w:szCs w:val="24"/>
              </w:rPr>
              <w:t xml:space="preserve">of </w:t>
            </w:r>
            <w:r>
              <w:rPr>
                <w:rFonts w:asciiTheme="majorBidi" w:hAnsiTheme="majorBidi" w:cstheme="majorBidi"/>
                <w:sz w:val="24"/>
                <w:szCs w:val="24"/>
              </w:rPr>
              <w:t xml:space="preserve">the number </w:t>
            </w:r>
            <w:r w:rsidRPr="00AB75D4">
              <w:rPr>
                <w:rFonts w:asciiTheme="majorBidi" w:hAnsiTheme="majorBidi" w:cstheme="majorBidi"/>
                <w:sz w:val="24"/>
                <w:szCs w:val="24"/>
              </w:rPr>
              <w:t xml:space="preserve">a </w:t>
            </w:r>
            <w:r w:rsidR="000711DA">
              <w:rPr>
                <w:rFonts w:asciiTheme="majorBidi" w:hAnsiTheme="majorBidi" w:cstheme="majorBidi"/>
                <w:sz w:val="24"/>
                <w:szCs w:val="24"/>
              </w:rPr>
              <w:t>HEI</w:t>
            </w:r>
            <w:r w:rsidR="000711DA" w:rsidRPr="00AB75D4">
              <w:rPr>
                <w:rFonts w:asciiTheme="majorBidi" w:hAnsiTheme="majorBidi" w:cstheme="majorBidi"/>
                <w:sz w:val="24"/>
                <w:szCs w:val="24"/>
              </w:rPr>
              <w:t xml:space="preserve"> </w:t>
            </w:r>
            <w:r>
              <w:rPr>
                <w:rFonts w:asciiTheme="majorBidi" w:hAnsiTheme="majorBidi" w:cstheme="majorBidi"/>
                <w:sz w:val="24"/>
                <w:szCs w:val="24"/>
              </w:rPr>
              <w:t xml:space="preserve">inside and outside </w:t>
            </w:r>
            <w:r w:rsidRPr="00AB75D4">
              <w:rPr>
                <w:rFonts w:asciiTheme="majorBidi" w:hAnsiTheme="majorBidi" w:cstheme="majorBidi"/>
                <w:sz w:val="24"/>
                <w:szCs w:val="24"/>
              </w:rPr>
              <w:t>members</w:t>
            </w:r>
            <w:r>
              <w:rPr>
                <w:rFonts w:asciiTheme="majorBidi" w:hAnsiTheme="majorBidi" w:cstheme="majorBidi"/>
                <w:sz w:val="24"/>
                <w:szCs w:val="24"/>
              </w:rPr>
              <w:t xml:space="preserve"> on the governing board.</w:t>
            </w:r>
          </w:p>
        </w:tc>
      </w:tr>
      <w:tr w:rsidR="00182131" w:rsidRPr="00AB75D4" w14:paraId="51C4B165" w14:textId="77777777" w:rsidTr="00462406">
        <w:tc>
          <w:tcPr>
            <w:tcW w:w="988" w:type="dxa"/>
          </w:tcPr>
          <w:p w14:paraId="0BF3B828" w14:textId="60A5EB09" w:rsidR="00182131" w:rsidRPr="00AB75D4" w:rsidRDefault="00182131" w:rsidP="00462406">
            <w:pPr>
              <w:contextualSpacing/>
              <w:rPr>
                <w:rFonts w:ascii="Times New Roman" w:eastAsia="Calibri" w:hAnsi="Times New Roman" w:cs="Times New Roman"/>
                <w:bCs/>
                <w:sz w:val="24"/>
                <w:szCs w:val="24"/>
              </w:rPr>
            </w:pPr>
            <w:r w:rsidRPr="00AB75D4">
              <w:rPr>
                <w:rFonts w:ascii="Times New Roman" w:eastAsia="Calibri" w:hAnsi="Times New Roman" w:cs="Times New Roman"/>
                <w:bCs/>
                <w:sz w:val="24"/>
                <w:szCs w:val="24"/>
              </w:rPr>
              <w:t>A</w:t>
            </w:r>
            <w:r w:rsidR="007A0B04">
              <w:rPr>
                <w:rFonts w:ascii="Times New Roman" w:eastAsia="Calibri" w:hAnsi="Times New Roman" w:cs="Times New Roman"/>
                <w:bCs/>
                <w:sz w:val="24"/>
                <w:szCs w:val="24"/>
              </w:rPr>
              <w:t>F</w:t>
            </w:r>
            <w:r w:rsidRPr="00AB75D4">
              <w:rPr>
                <w:rFonts w:ascii="Times New Roman" w:eastAsia="Calibri" w:hAnsi="Times New Roman" w:cs="Times New Roman"/>
                <w:bCs/>
                <w:sz w:val="24"/>
                <w:szCs w:val="24"/>
              </w:rPr>
              <w:t>Z</w:t>
            </w:r>
            <w:r w:rsidR="007A0B04">
              <w:rPr>
                <w:rFonts w:ascii="Times New Roman" w:eastAsia="Calibri" w:hAnsi="Times New Roman" w:cs="Times New Roman"/>
                <w:bCs/>
                <w:sz w:val="24"/>
                <w:szCs w:val="24"/>
              </w:rPr>
              <w:t>E</w:t>
            </w:r>
          </w:p>
        </w:tc>
        <w:tc>
          <w:tcPr>
            <w:tcW w:w="8028" w:type="dxa"/>
          </w:tcPr>
          <w:p w14:paraId="1FEC92B3" w14:textId="385764AB" w:rsidR="00182131" w:rsidRPr="00AB75D4" w:rsidRDefault="0023475D" w:rsidP="0023475D">
            <w:pPr>
              <w:autoSpaceDE w:val="0"/>
              <w:autoSpaceDN w:val="0"/>
              <w:adjustRightInd w:val="0"/>
              <w:jc w:val="both"/>
              <w:rPr>
                <w:rFonts w:ascii="Times New Roman" w:eastAsia="Calibri" w:hAnsi="Times New Roman" w:cs="Times New Roman"/>
                <w:bCs/>
                <w:sz w:val="24"/>
                <w:szCs w:val="24"/>
              </w:rPr>
            </w:pPr>
            <w:r>
              <w:rPr>
                <w:rFonts w:ascii="Times New Roman" w:eastAsia="Calibri" w:hAnsi="Times New Roman" w:cs="Times New Roman"/>
                <w:bCs/>
                <w:sz w:val="24"/>
                <w:szCs w:val="24"/>
              </w:rPr>
              <w:t>Denotes the size of auditing firms. It is an i</w:t>
            </w:r>
            <w:r w:rsidR="001A547F">
              <w:rPr>
                <w:rFonts w:ascii="Times New Roman" w:eastAsia="Calibri" w:hAnsi="Times New Roman" w:cs="Times New Roman"/>
                <w:bCs/>
                <w:sz w:val="24"/>
                <w:szCs w:val="24"/>
              </w:rPr>
              <w:t xml:space="preserve">ndicator </w:t>
            </w:r>
            <w:r w:rsidR="00182131">
              <w:rPr>
                <w:rFonts w:ascii="Times New Roman" w:eastAsia="Calibri" w:hAnsi="Times New Roman" w:cs="Times New Roman"/>
                <w:bCs/>
                <w:sz w:val="24"/>
                <w:szCs w:val="24"/>
              </w:rPr>
              <w:t xml:space="preserve">variable </w:t>
            </w:r>
            <w:r w:rsidR="001A547F">
              <w:rPr>
                <w:rFonts w:ascii="Times New Roman" w:eastAsia="Calibri" w:hAnsi="Times New Roman" w:cs="Times New Roman"/>
                <w:bCs/>
                <w:sz w:val="24"/>
                <w:szCs w:val="24"/>
              </w:rPr>
              <w:t xml:space="preserve">that </w:t>
            </w:r>
            <w:r w:rsidR="00182131">
              <w:rPr>
                <w:rFonts w:ascii="Times New Roman" w:eastAsia="Calibri" w:hAnsi="Times New Roman" w:cs="Times New Roman"/>
                <w:bCs/>
                <w:sz w:val="24"/>
                <w:szCs w:val="24"/>
              </w:rPr>
              <w:t>equal</w:t>
            </w:r>
            <w:r w:rsidR="001A547F">
              <w:rPr>
                <w:rFonts w:ascii="Times New Roman" w:eastAsia="Calibri" w:hAnsi="Times New Roman" w:cs="Times New Roman"/>
                <w:bCs/>
                <w:sz w:val="24"/>
                <w:szCs w:val="24"/>
              </w:rPr>
              <w:t xml:space="preserve">s </w:t>
            </w:r>
            <w:r w:rsidR="00182131">
              <w:rPr>
                <w:rFonts w:ascii="Times New Roman" w:eastAsia="Calibri" w:hAnsi="Times New Roman" w:cs="Times New Roman"/>
                <w:bCs/>
                <w:sz w:val="24"/>
                <w:szCs w:val="24"/>
              </w:rPr>
              <w:t xml:space="preserve">1 if a HEIs is audited by </w:t>
            </w:r>
            <w:r w:rsidR="00182131" w:rsidRPr="00AB75D4">
              <w:rPr>
                <w:rFonts w:ascii="Times New Roman" w:eastAsia="Calibri" w:hAnsi="Times New Roman" w:cs="Times New Roman"/>
                <w:bCs/>
                <w:sz w:val="24"/>
                <w:szCs w:val="24"/>
              </w:rPr>
              <w:t xml:space="preserve">Deloitte, </w:t>
            </w:r>
            <w:r w:rsidR="00182131">
              <w:rPr>
                <w:rFonts w:ascii="Times New Roman" w:eastAsia="Calibri" w:hAnsi="Times New Roman" w:cs="Times New Roman"/>
                <w:bCs/>
                <w:sz w:val="24"/>
                <w:szCs w:val="24"/>
              </w:rPr>
              <w:t>PwC, KPMG, and EY or 0 otherwise.</w:t>
            </w:r>
          </w:p>
        </w:tc>
      </w:tr>
      <w:tr w:rsidR="00182131" w:rsidRPr="00AB75D4" w14:paraId="4E195F23" w14:textId="77777777" w:rsidTr="00462406">
        <w:tc>
          <w:tcPr>
            <w:tcW w:w="988" w:type="dxa"/>
          </w:tcPr>
          <w:p w14:paraId="01D65DC4" w14:textId="0D427D0C" w:rsidR="00182131" w:rsidRPr="00AB75D4" w:rsidRDefault="007A0B04" w:rsidP="00462406">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HE</w:t>
            </w:r>
            <w:r w:rsidR="00674DE4">
              <w:rPr>
                <w:rFonts w:ascii="Times New Roman" w:eastAsia="Calibri" w:hAnsi="Times New Roman" w:cs="Times New Roman"/>
                <w:bCs/>
                <w:sz w:val="24"/>
                <w:szCs w:val="24"/>
              </w:rPr>
              <w:t>I</w:t>
            </w:r>
            <w:r>
              <w:rPr>
                <w:rFonts w:ascii="Times New Roman" w:eastAsia="Calibri" w:hAnsi="Times New Roman" w:cs="Times New Roman"/>
                <w:bCs/>
                <w:sz w:val="24"/>
                <w:szCs w:val="24"/>
              </w:rPr>
              <w:t>AGE</w:t>
            </w:r>
          </w:p>
        </w:tc>
        <w:tc>
          <w:tcPr>
            <w:tcW w:w="8028" w:type="dxa"/>
          </w:tcPr>
          <w:p w14:paraId="17D7D52A" w14:textId="02D293DB" w:rsidR="00182131" w:rsidRPr="00AB75D4" w:rsidRDefault="0023475D" w:rsidP="0023475D">
            <w:pPr>
              <w:contextualSpacing/>
              <w:rPr>
                <w:rFonts w:asciiTheme="majorBidi" w:hAnsiTheme="majorBidi" w:cstheme="majorBidi"/>
                <w:sz w:val="24"/>
                <w:szCs w:val="24"/>
              </w:rPr>
            </w:pPr>
            <w:r>
              <w:rPr>
                <w:rFonts w:asciiTheme="majorBidi" w:hAnsiTheme="majorBidi" w:cstheme="majorBidi"/>
                <w:sz w:val="24"/>
                <w:szCs w:val="24"/>
              </w:rPr>
              <w:t>Denotes the age of a HEI, which is measured as the n</w:t>
            </w:r>
            <w:r w:rsidR="00182131" w:rsidRPr="00AB75D4">
              <w:rPr>
                <w:rFonts w:asciiTheme="majorBidi" w:hAnsiTheme="majorBidi" w:cstheme="majorBidi"/>
                <w:sz w:val="24"/>
                <w:szCs w:val="24"/>
              </w:rPr>
              <w:t xml:space="preserve">atural </w:t>
            </w:r>
            <w:r w:rsidR="00182131" w:rsidRPr="00AB75D4">
              <w:rPr>
                <w:rFonts w:ascii="Times New Roman" w:eastAsia="Calibri" w:hAnsi="Times New Roman" w:cs="Times New Roman"/>
                <w:bCs/>
                <w:sz w:val="24"/>
                <w:szCs w:val="24"/>
              </w:rPr>
              <w:t xml:space="preserve">log </w:t>
            </w:r>
            <w:r w:rsidR="00182131" w:rsidRPr="00AB75D4">
              <w:rPr>
                <w:rFonts w:asciiTheme="majorBidi" w:hAnsiTheme="majorBidi" w:cstheme="majorBidi"/>
                <w:sz w:val="24"/>
                <w:szCs w:val="24"/>
              </w:rPr>
              <w:t xml:space="preserve">of </w:t>
            </w:r>
            <w:r w:rsidR="00182131">
              <w:rPr>
                <w:rFonts w:asciiTheme="majorBidi" w:hAnsiTheme="majorBidi" w:cstheme="majorBidi"/>
                <w:sz w:val="24"/>
                <w:szCs w:val="24"/>
              </w:rPr>
              <w:t xml:space="preserve">the </w:t>
            </w:r>
            <w:r>
              <w:rPr>
                <w:rFonts w:asciiTheme="majorBidi" w:hAnsiTheme="majorBidi" w:cstheme="majorBidi"/>
                <w:sz w:val="24"/>
                <w:szCs w:val="24"/>
              </w:rPr>
              <w:t xml:space="preserve">number of years since a HEI is established. </w:t>
            </w:r>
          </w:p>
        </w:tc>
      </w:tr>
      <w:tr w:rsidR="00182131" w:rsidRPr="00AB75D4" w14:paraId="0B797516" w14:textId="77777777" w:rsidTr="00462406">
        <w:tc>
          <w:tcPr>
            <w:tcW w:w="988" w:type="dxa"/>
          </w:tcPr>
          <w:p w14:paraId="3E639902" w14:textId="21569AFE" w:rsidR="00182131" w:rsidRPr="00AB75D4" w:rsidRDefault="007A0B04" w:rsidP="00462406">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HE</w:t>
            </w:r>
            <w:r w:rsidR="00674DE4">
              <w:rPr>
                <w:rFonts w:ascii="Times New Roman" w:eastAsia="Calibri" w:hAnsi="Times New Roman" w:cs="Times New Roman"/>
                <w:bCs/>
                <w:sz w:val="24"/>
                <w:szCs w:val="24"/>
              </w:rPr>
              <w:t>I</w:t>
            </w:r>
            <w:r>
              <w:rPr>
                <w:rFonts w:ascii="Times New Roman" w:eastAsia="Calibri" w:hAnsi="Times New Roman" w:cs="Times New Roman"/>
                <w:bCs/>
                <w:sz w:val="24"/>
                <w:szCs w:val="24"/>
              </w:rPr>
              <w:t>ZE</w:t>
            </w:r>
          </w:p>
        </w:tc>
        <w:tc>
          <w:tcPr>
            <w:tcW w:w="8028" w:type="dxa"/>
          </w:tcPr>
          <w:p w14:paraId="0DF1ACA9" w14:textId="5B43F422" w:rsidR="00182131" w:rsidRPr="00AB75D4" w:rsidRDefault="0023475D" w:rsidP="0023475D">
            <w:pPr>
              <w:contextualSpacing/>
              <w:rPr>
                <w:rFonts w:asciiTheme="majorBidi" w:hAnsiTheme="majorBidi" w:cstheme="majorBidi"/>
                <w:sz w:val="24"/>
                <w:szCs w:val="24"/>
              </w:rPr>
            </w:pPr>
            <w:r>
              <w:rPr>
                <w:rFonts w:asciiTheme="majorBidi" w:hAnsiTheme="majorBidi" w:cstheme="majorBidi"/>
                <w:sz w:val="24"/>
                <w:szCs w:val="24"/>
              </w:rPr>
              <w:t>Denotes the size o</w:t>
            </w:r>
            <w:r w:rsidR="00943448">
              <w:rPr>
                <w:rFonts w:asciiTheme="majorBidi" w:hAnsiTheme="majorBidi" w:cstheme="majorBidi"/>
                <w:sz w:val="24"/>
                <w:szCs w:val="24"/>
              </w:rPr>
              <w:t>f</w:t>
            </w:r>
            <w:r>
              <w:rPr>
                <w:rFonts w:asciiTheme="majorBidi" w:hAnsiTheme="majorBidi" w:cstheme="majorBidi"/>
                <w:sz w:val="24"/>
                <w:szCs w:val="24"/>
              </w:rPr>
              <w:t xml:space="preserve"> a </w:t>
            </w:r>
            <w:r w:rsidRPr="004745F7">
              <w:rPr>
                <w:rFonts w:asciiTheme="majorBidi" w:hAnsiTheme="majorBidi" w:cstheme="majorBidi"/>
                <w:sz w:val="24"/>
                <w:szCs w:val="24"/>
              </w:rPr>
              <w:t>HEI, which is measured as the n</w:t>
            </w:r>
            <w:r w:rsidR="00182131" w:rsidRPr="004745F7">
              <w:rPr>
                <w:rFonts w:asciiTheme="majorBidi" w:hAnsiTheme="majorBidi" w:cstheme="majorBidi"/>
                <w:sz w:val="24"/>
                <w:szCs w:val="24"/>
              </w:rPr>
              <w:t xml:space="preserve">atural </w:t>
            </w:r>
            <w:r w:rsidR="00182131" w:rsidRPr="004745F7">
              <w:rPr>
                <w:rFonts w:ascii="Times New Roman" w:eastAsia="Calibri" w:hAnsi="Times New Roman" w:cs="Times New Roman"/>
                <w:bCs/>
                <w:sz w:val="24"/>
                <w:szCs w:val="24"/>
              </w:rPr>
              <w:t xml:space="preserve">log </w:t>
            </w:r>
            <w:r w:rsidR="00182131" w:rsidRPr="004745F7">
              <w:rPr>
                <w:rFonts w:asciiTheme="majorBidi" w:hAnsiTheme="majorBidi" w:cstheme="majorBidi"/>
                <w:sz w:val="24"/>
                <w:szCs w:val="24"/>
              </w:rPr>
              <w:t xml:space="preserve">of book total assets of </w:t>
            </w:r>
            <w:r w:rsidRPr="004745F7">
              <w:rPr>
                <w:rFonts w:asciiTheme="majorBidi" w:hAnsiTheme="majorBidi" w:cstheme="majorBidi"/>
                <w:sz w:val="24"/>
                <w:szCs w:val="24"/>
              </w:rPr>
              <w:t>the</w:t>
            </w:r>
            <w:r w:rsidR="00182131" w:rsidRPr="004745F7">
              <w:rPr>
                <w:rFonts w:asciiTheme="majorBidi" w:hAnsiTheme="majorBidi" w:cstheme="majorBidi"/>
                <w:sz w:val="24"/>
                <w:szCs w:val="24"/>
              </w:rPr>
              <w:t xml:space="preserve"> HEI.</w:t>
            </w:r>
            <w:r w:rsidR="004745F7" w:rsidRPr="004745F7">
              <w:rPr>
                <w:rFonts w:asciiTheme="majorBidi" w:hAnsiTheme="majorBidi" w:cstheme="majorBidi"/>
                <w:sz w:val="24"/>
                <w:szCs w:val="24"/>
              </w:rPr>
              <w:t xml:space="preserve"> T</w:t>
            </w:r>
            <w:r w:rsidR="004745F7" w:rsidRPr="004745F7">
              <w:rPr>
                <w:rFonts w:ascii="Times New Roman" w:eastAsia="SimSun" w:hAnsi="Times New Roman" w:cs="Times New Roman"/>
                <w:sz w:val="24"/>
                <w:szCs w:val="24"/>
                <w:lang w:val="en-US" w:eastAsia="zh-CN"/>
              </w:rPr>
              <w:t xml:space="preserve">he total number of staff is also </w:t>
            </w:r>
            <w:r w:rsidR="004745F7">
              <w:rPr>
                <w:rFonts w:ascii="Times New Roman" w:eastAsia="SimSun" w:hAnsi="Times New Roman" w:cs="Times New Roman"/>
                <w:sz w:val="24"/>
                <w:szCs w:val="24"/>
                <w:lang w:val="en-US" w:eastAsia="zh-CN"/>
              </w:rPr>
              <w:t xml:space="preserve">used </w:t>
            </w:r>
            <w:r w:rsidR="004745F7" w:rsidRPr="004745F7">
              <w:rPr>
                <w:rFonts w:ascii="Times New Roman" w:eastAsia="SimSun" w:hAnsi="Times New Roman" w:cs="Times New Roman"/>
                <w:sz w:val="24"/>
                <w:szCs w:val="24"/>
                <w:lang w:val="en-US" w:eastAsia="zh-CN"/>
              </w:rPr>
              <w:t>as an alternative measure for HEIs size.</w:t>
            </w:r>
            <w:r w:rsidR="004745F7" w:rsidRPr="00264E52">
              <w:rPr>
                <w:rFonts w:ascii="Times New Roman" w:eastAsia="SimSun" w:hAnsi="Times New Roman" w:cs="Times New Roman"/>
                <w:sz w:val="17"/>
                <w:szCs w:val="17"/>
                <w:lang w:val="en-US" w:eastAsia="zh-CN"/>
              </w:rPr>
              <w:t xml:space="preserve"> </w:t>
            </w:r>
          </w:p>
        </w:tc>
      </w:tr>
      <w:tr w:rsidR="00182131" w:rsidRPr="00AB75D4" w14:paraId="70BE5CA5" w14:textId="77777777" w:rsidTr="00462406">
        <w:tc>
          <w:tcPr>
            <w:tcW w:w="988" w:type="dxa"/>
          </w:tcPr>
          <w:p w14:paraId="4D8D8E7B" w14:textId="0CE1F7DF" w:rsidR="00182131" w:rsidRPr="00AB75D4" w:rsidRDefault="00D24267" w:rsidP="00462406">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C</w:t>
            </w:r>
            <w:r w:rsidR="007A0B04">
              <w:rPr>
                <w:rFonts w:ascii="Times New Roman" w:eastAsia="Calibri" w:hAnsi="Times New Roman" w:cs="Times New Roman"/>
                <w:bCs/>
                <w:sz w:val="24"/>
                <w:szCs w:val="24"/>
              </w:rPr>
              <w:t>FUND</w:t>
            </w:r>
          </w:p>
        </w:tc>
        <w:tc>
          <w:tcPr>
            <w:tcW w:w="8028" w:type="dxa"/>
          </w:tcPr>
          <w:p w14:paraId="4A9FD515" w14:textId="1CDB7EEE" w:rsidR="00182131" w:rsidRPr="00AB75D4" w:rsidRDefault="0023475D" w:rsidP="0023475D">
            <w:pPr>
              <w:contextualSpacing/>
              <w:rPr>
                <w:rFonts w:ascii="Times New Roman" w:eastAsia="Calibri" w:hAnsi="Times New Roman" w:cs="Times New Roman"/>
                <w:sz w:val="24"/>
                <w:szCs w:val="24"/>
              </w:rPr>
            </w:pPr>
            <w:r>
              <w:rPr>
                <w:rFonts w:asciiTheme="majorBidi" w:hAnsiTheme="majorBidi" w:cstheme="majorBidi"/>
                <w:sz w:val="24"/>
                <w:szCs w:val="24"/>
              </w:rPr>
              <w:t xml:space="preserve">Denotes funding council income </w:t>
            </w:r>
            <w:r w:rsidR="00943448">
              <w:rPr>
                <w:rFonts w:asciiTheme="majorBidi" w:hAnsiTheme="majorBidi" w:cstheme="majorBidi"/>
                <w:sz w:val="24"/>
                <w:szCs w:val="24"/>
              </w:rPr>
              <w:t xml:space="preserve">(teaching income) </w:t>
            </w:r>
            <w:r>
              <w:rPr>
                <w:rFonts w:asciiTheme="majorBidi" w:hAnsiTheme="majorBidi" w:cstheme="majorBidi"/>
                <w:sz w:val="24"/>
                <w:szCs w:val="24"/>
              </w:rPr>
              <w:t>to total income. It is measure as the p</w:t>
            </w:r>
            <w:r w:rsidR="00182131" w:rsidRPr="00AB75D4">
              <w:rPr>
                <w:rFonts w:asciiTheme="majorBidi" w:hAnsiTheme="majorBidi" w:cstheme="majorBidi"/>
                <w:sz w:val="24"/>
                <w:szCs w:val="24"/>
              </w:rPr>
              <w:t>roportion of total revenues from funding councils to total income</w:t>
            </w:r>
            <w:r w:rsidR="0037434E">
              <w:rPr>
                <w:rFonts w:asciiTheme="majorBidi" w:hAnsiTheme="majorBidi" w:cstheme="majorBidi"/>
                <w:sz w:val="24"/>
                <w:szCs w:val="24"/>
              </w:rPr>
              <w:t>.</w:t>
            </w:r>
          </w:p>
        </w:tc>
      </w:tr>
      <w:tr w:rsidR="00182131" w:rsidRPr="00AB75D4" w14:paraId="3FF9C379" w14:textId="77777777" w:rsidTr="00462406">
        <w:tc>
          <w:tcPr>
            <w:tcW w:w="988" w:type="dxa"/>
          </w:tcPr>
          <w:p w14:paraId="51F513DC" w14:textId="33A776C0" w:rsidR="00182131" w:rsidRPr="00AB75D4" w:rsidRDefault="00182131" w:rsidP="00462406">
            <w:pPr>
              <w:contextualSpacing/>
              <w:rPr>
                <w:rFonts w:ascii="Times New Roman" w:eastAsia="Calibri" w:hAnsi="Times New Roman" w:cs="Times New Roman"/>
                <w:bCs/>
                <w:sz w:val="24"/>
                <w:szCs w:val="24"/>
              </w:rPr>
            </w:pPr>
            <w:r w:rsidRPr="00AB75D4">
              <w:rPr>
                <w:rFonts w:ascii="Times New Roman" w:eastAsia="Calibri" w:hAnsi="Times New Roman" w:cs="Times New Roman"/>
                <w:bCs/>
                <w:sz w:val="24"/>
                <w:szCs w:val="24"/>
              </w:rPr>
              <w:t>P</w:t>
            </w:r>
            <w:r w:rsidR="0050162A">
              <w:rPr>
                <w:rFonts w:ascii="Times New Roman" w:eastAsia="Calibri" w:hAnsi="Times New Roman" w:cs="Times New Roman"/>
                <w:bCs/>
                <w:sz w:val="24"/>
                <w:szCs w:val="24"/>
              </w:rPr>
              <w:t>ST</w:t>
            </w:r>
            <w:r w:rsidRPr="00AB75D4">
              <w:rPr>
                <w:rFonts w:ascii="Times New Roman" w:eastAsia="Calibri" w:hAnsi="Times New Roman" w:cs="Times New Roman"/>
                <w:bCs/>
                <w:sz w:val="24"/>
                <w:szCs w:val="24"/>
              </w:rPr>
              <w:t>92</w:t>
            </w:r>
          </w:p>
        </w:tc>
        <w:tc>
          <w:tcPr>
            <w:tcW w:w="8028" w:type="dxa"/>
          </w:tcPr>
          <w:p w14:paraId="4207CABE" w14:textId="2FAC9C8D" w:rsidR="00182131" w:rsidRPr="00AB75D4" w:rsidRDefault="0023475D" w:rsidP="0023475D">
            <w:pPr>
              <w:contextualSpacing/>
              <w:rPr>
                <w:rFonts w:asciiTheme="majorBidi" w:hAnsiTheme="majorBidi" w:cstheme="majorBidi"/>
                <w:sz w:val="24"/>
                <w:szCs w:val="24"/>
              </w:rPr>
            </w:pPr>
            <w:r>
              <w:rPr>
                <w:rFonts w:asciiTheme="majorBidi" w:hAnsiTheme="majorBidi" w:cstheme="majorBidi"/>
                <w:sz w:val="24"/>
                <w:szCs w:val="24"/>
              </w:rPr>
              <w:t xml:space="preserve">Denotes universities established </w:t>
            </w:r>
            <w:r w:rsidR="00943448">
              <w:rPr>
                <w:rFonts w:asciiTheme="majorBidi" w:hAnsiTheme="majorBidi" w:cstheme="majorBidi"/>
                <w:sz w:val="24"/>
                <w:szCs w:val="24"/>
              </w:rPr>
              <w:t xml:space="preserve">in the </w:t>
            </w:r>
            <w:r>
              <w:rPr>
                <w:rFonts w:asciiTheme="majorBidi" w:hAnsiTheme="majorBidi" w:cstheme="majorBidi"/>
                <w:sz w:val="24"/>
                <w:szCs w:val="24"/>
              </w:rPr>
              <w:t>post 1992</w:t>
            </w:r>
            <w:r w:rsidR="00943448">
              <w:rPr>
                <w:rFonts w:asciiTheme="majorBidi" w:hAnsiTheme="majorBidi" w:cstheme="majorBidi"/>
                <w:sz w:val="24"/>
                <w:szCs w:val="24"/>
              </w:rPr>
              <w:t xml:space="preserve"> era</w:t>
            </w:r>
            <w:r>
              <w:rPr>
                <w:rFonts w:asciiTheme="majorBidi" w:hAnsiTheme="majorBidi" w:cstheme="majorBidi"/>
                <w:sz w:val="24"/>
                <w:szCs w:val="24"/>
              </w:rPr>
              <w:t>. It is an i</w:t>
            </w:r>
            <w:r w:rsidR="001A547F">
              <w:rPr>
                <w:rFonts w:asciiTheme="majorBidi" w:hAnsiTheme="majorBidi" w:cstheme="majorBidi"/>
                <w:sz w:val="24"/>
                <w:szCs w:val="24"/>
              </w:rPr>
              <w:t xml:space="preserve">ndicator </w:t>
            </w:r>
            <w:r w:rsidR="00182131">
              <w:rPr>
                <w:rFonts w:asciiTheme="majorBidi" w:hAnsiTheme="majorBidi" w:cstheme="majorBidi"/>
                <w:sz w:val="24"/>
                <w:szCs w:val="24"/>
              </w:rPr>
              <w:t xml:space="preserve">variable </w:t>
            </w:r>
            <w:r w:rsidR="001A547F">
              <w:rPr>
                <w:rFonts w:asciiTheme="majorBidi" w:hAnsiTheme="majorBidi" w:cstheme="majorBidi"/>
                <w:sz w:val="24"/>
                <w:szCs w:val="24"/>
              </w:rPr>
              <w:t xml:space="preserve">that </w:t>
            </w:r>
            <w:r w:rsidR="00182131">
              <w:rPr>
                <w:rFonts w:asciiTheme="majorBidi" w:hAnsiTheme="majorBidi" w:cstheme="majorBidi"/>
                <w:sz w:val="24"/>
                <w:szCs w:val="24"/>
              </w:rPr>
              <w:t>equal</w:t>
            </w:r>
            <w:r w:rsidR="001A547F">
              <w:rPr>
                <w:rFonts w:asciiTheme="majorBidi" w:hAnsiTheme="majorBidi" w:cstheme="majorBidi"/>
                <w:sz w:val="24"/>
                <w:szCs w:val="24"/>
              </w:rPr>
              <w:t xml:space="preserve">s </w:t>
            </w:r>
            <w:r w:rsidR="00182131" w:rsidRPr="00AB75D4">
              <w:rPr>
                <w:rFonts w:asciiTheme="majorBidi" w:hAnsiTheme="majorBidi" w:cstheme="majorBidi"/>
                <w:sz w:val="24"/>
                <w:szCs w:val="24"/>
              </w:rPr>
              <w:t>1 if a HEI is established after 1992</w:t>
            </w:r>
            <w:r w:rsidR="00182131">
              <w:rPr>
                <w:rFonts w:asciiTheme="majorBidi" w:hAnsiTheme="majorBidi" w:cstheme="majorBidi"/>
                <w:sz w:val="24"/>
                <w:szCs w:val="24"/>
              </w:rPr>
              <w:t xml:space="preserve"> or</w:t>
            </w:r>
            <w:r w:rsidR="00182131" w:rsidRPr="00AB75D4">
              <w:rPr>
                <w:rFonts w:asciiTheme="majorBidi" w:hAnsiTheme="majorBidi" w:cstheme="majorBidi"/>
                <w:sz w:val="24"/>
                <w:szCs w:val="24"/>
              </w:rPr>
              <w:t xml:space="preserve"> </w:t>
            </w:r>
            <w:r w:rsidR="00182131">
              <w:rPr>
                <w:rFonts w:asciiTheme="majorBidi" w:hAnsiTheme="majorBidi" w:cstheme="majorBidi"/>
                <w:sz w:val="24"/>
                <w:szCs w:val="24"/>
              </w:rPr>
              <w:t>‘</w:t>
            </w:r>
            <w:r w:rsidR="00182131" w:rsidRPr="00AB75D4">
              <w:rPr>
                <w:rFonts w:asciiTheme="majorBidi" w:hAnsiTheme="majorBidi" w:cstheme="majorBidi"/>
                <w:sz w:val="24"/>
                <w:szCs w:val="24"/>
              </w:rPr>
              <w:t>0</w:t>
            </w:r>
            <w:r w:rsidR="00182131">
              <w:rPr>
                <w:rFonts w:asciiTheme="majorBidi" w:hAnsiTheme="majorBidi" w:cstheme="majorBidi"/>
                <w:sz w:val="24"/>
                <w:szCs w:val="24"/>
              </w:rPr>
              <w:t>’</w:t>
            </w:r>
            <w:r w:rsidR="00182131" w:rsidRPr="00AB75D4">
              <w:rPr>
                <w:rFonts w:asciiTheme="majorBidi" w:hAnsiTheme="majorBidi" w:cstheme="majorBidi"/>
                <w:sz w:val="24"/>
                <w:szCs w:val="24"/>
              </w:rPr>
              <w:t xml:space="preserve"> otherwise</w:t>
            </w:r>
            <w:r w:rsidR="0037434E">
              <w:rPr>
                <w:rFonts w:asciiTheme="majorBidi" w:hAnsiTheme="majorBidi" w:cstheme="majorBidi"/>
                <w:sz w:val="24"/>
                <w:szCs w:val="24"/>
              </w:rPr>
              <w:t>.</w:t>
            </w:r>
          </w:p>
        </w:tc>
      </w:tr>
      <w:tr w:rsidR="00182131" w:rsidRPr="00AB75D4" w14:paraId="1CA28375" w14:textId="77777777" w:rsidTr="00462406">
        <w:tc>
          <w:tcPr>
            <w:tcW w:w="988" w:type="dxa"/>
          </w:tcPr>
          <w:p w14:paraId="6BCCDABC" w14:textId="0FFD5BE2" w:rsidR="00182131" w:rsidRPr="00AB75D4" w:rsidRDefault="00182131" w:rsidP="00462406">
            <w:pPr>
              <w:contextualSpacing/>
              <w:rPr>
                <w:rFonts w:ascii="Times New Roman" w:eastAsia="Calibri" w:hAnsi="Times New Roman" w:cs="Times New Roman"/>
                <w:bCs/>
                <w:sz w:val="24"/>
                <w:szCs w:val="24"/>
              </w:rPr>
            </w:pPr>
            <w:r w:rsidRPr="00AB75D4">
              <w:rPr>
                <w:rFonts w:ascii="Times New Roman" w:eastAsia="Calibri" w:hAnsi="Times New Roman" w:cs="Times New Roman"/>
                <w:bCs/>
                <w:sz w:val="24"/>
                <w:szCs w:val="24"/>
              </w:rPr>
              <w:t>R</w:t>
            </w:r>
            <w:r w:rsidR="0050162A">
              <w:rPr>
                <w:rFonts w:ascii="Times New Roman" w:eastAsia="Calibri" w:hAnsi="Times New Roman" w:cs="Times New Roman"/>
                <w:bCs/>
                <w:sz w:val="24"/>
                <w:szCs w:val="24"/>
              </w:rPr>
              <w:t>US</w:t>
            </w:r>
            <w:r w:rsidRPr="00AB75D4">
              <w:rPr>
                <w:rFonts w:ascii="Times New Roman" w:eastAsia="Calibri" w:hAnsi="Times New Roman" w:cs="Times New Roman"/>
                <w:bCs/>
                <w:sz w:val="24"/>
                <w:szCs w:val="24"/>
              </w:rPr>
              <w:t>G</w:t>
            </w:r>
          </w:p>
        </w:tc>
        <w:tc>
          <w:tcPr>
            <w:tcW w:w="8028" w:type="dxa"/>
          </w:tcPr>
          <w:p w14:paraId="2CF06013" w14:textId="45A765A6" w:rsidR="00182131" w:rsidRPr="00AB75D4" w:rsidRDefault="0023475D" w:rsidP="0023475D">
            <w:pPr>
              <w:contextualSpacing/>
              <w:rPr>
                <w:rFonts w:asciiTheme="majorBidi" w:hAnsiTheme="majorBidi" w:cstheme="majorBidi"/>
                <w:sz w:val="24"/>
                <w:szCs w:val="24"/>
              </w:rPr>
            </w:pPr>
            <w:r>
              <w:rPr>
                <w:rFonts w:asciiTheme="majorBidi" w:hAnsiTheme="majorBidi" w:cstheme="majorBidi"/>
                <w:sz w:val="24"/>
                <w:szCs w:val="24"/>
              </w:rPr>
              <w:t>Denotes Russel Group of universities. It is an i</w:t>
            </w:r>
            <w:r w:rsidR="001A547F">
              <w:rPr>
                <w:rFonts w:asciiTheme="majorBidi" w:hAnsiTheme="majorBidi" w:cstheme="majorBidi"/>
                <w:sz w:val="24"/>
                <w:szCs w:val="24"/>
              </w:rPr>
              <w:t xml:space="preserve">ndicator </w:t>
            </w:r>
            <w:r w:rsidR="00182131">
              <w:rPr>
                <w:rFonts w:asciiTheme="majorBidi" w:hAnsiTheme="majorBidi" w:cstheme="majorBidi"/>
                <w:sz w:val="24"/>
                <w:szCs w:val="24"/>
              </w:rPr>
              <w:t>variable</w:t>
            </w:r>
            <w:r w:rsidR="001A547F">
              <w:rPr>
                <w:rFonts w:asciiTheme="majorBidi" w:hAnsiTheme="majorBidi" w:cstheme="majorBidi"/>
                <w:sz w:val="24"/>
                <w:szCs w:val="24"/>
              </w:rPr>
              <w:t xml:space="preserve"> that</w:t>
            </w:r>
            <w:r w:rsidR="00182131">
              <w:rPr>
                <w:rFonts w:asciiTheme="majorBidi" w:hAnsiTheme="majorBidi" w:cstheme="majorBidi"/>
                <w:sz w:val="24"/>
                <w:szCs w:val="24"/>
              </w:rPr>
              <w:t xml:space="preserve"> equal</w:t>
            </w:r>
            <w:r w:rsidR="001A547F">
              <w:rPr>
                <w:rFonts w:asciiTheme="majorBidi" w:hAnsiTheme="majorBidi" w:cstheme="majorBidi"/>
                <w:sz w:val="24"/>
                <w:szCs w:val="24"/>
              </w:rPr>
              <w:t xml:space="preserve">s </w:t>
            </w:r>
            <w:r w:rsidR="00182131" w:rsidRPr="00AB75D4">
              <w:rPr>
                <w:rFonts w:asciiTheme="majorBidi" w:hAnsiTheme="majorBidi" w:cstheme="majorBidi"/>
                <w:sz w:val="24"/>
                <w:szCs w:val="24"/>
              </w:rPr>
              <w:t xml:space="preserve">1 </w:t>
            </w:r>
            <w:r w:rsidR="00182131">
              <w:rPr>
                <w:rFonts w:asciiTheme="majorBidi" w:hAnsiTheme="majorBidi" w:cstheme="majorBidi"/>
                <w:sz w:val="24"/>
                <w:szCs w:val="24"/>
              </w:rPr>
              <w:t>for</w:t>
            </w:r>
            <w:r w:rsidR="00182131" w:rsidRPr="00AB75D4">
              <w:rPr>
                <w:rFonts w:asciiTheme="majorBidi" w:hAnsiTheme="majorBidi" w:cstheme="majorBidi"/>
                <w:sz w:val="24"/>
                <w:szCs w:val="24"/>
              </w:rPr>
              <w:t xml:space="preserve"> Russel</w:t>
            </w:r>
            <w:r w:rsidR="00182131">
              <w:rPr>
                <w:rFonts w:asciiTheme="majorBidi" w:hAnsiTheme="majorBidi" w:cstheme="majorBidi"/>
                <w:sz w:val="24"/>
                <w:szCs w:val="24"/>
              </w:rPr>
              <w:t>l</w:t>
            </w:r>
            <w:r w:rsidR="00182131" w:rsidRPr="00AB75D4">
              <w:rPr>
                <w:rFonts w:asciiTheme="majorBidi" w:hAnsiTheme="majorBidi" w:cstheme="majorBidi"/>
                <w:sz w:val="24"/>
                <w:szCs w:val="24"/>
              </w:rPr>
              <w:t xml:space="preserve"> Group</w:t>
            </w:r>
            <w:r w:rsidR="00182131">
              <w:rPr>
                <w:rFonts w:asciiTheme="majorBidi" w:hAnsiTheme="majorBidi" w:cstheme="majorBidi"/>
                <w:sz w:val="24"/>
                <w:szCs w:val="24"/>
              </w:rPr>
              <w:t xml:space="preserve"> universities or</w:t>
            </w:r>
            <w:r w:rsidR="00182131" w:rsidRPr="00AB75D4">
              <w:rPr>
                <w:rFonts w:asciiTheme="majorBidi" w:hAnsiTheme="majorBidi" w:cstheme="majorBidi"/>
                <w:sz w:val="24"/>
                <w:szCs w:val="24"/>
              </w:rPr>
              <w:t xml:space="preserve"> </w:t>
            </w:r>
            <w:r w:rsidR="00182131">
              <w:rPr>
                <w:rFonts w:asciiTheme="majorBidi" w:hAnsiTheme="majorBidi" w:cstheme="majorBidi"/>
                <w:sz w:val="24"/>
                <w:szCs w:val="24"/>
              </w:rPr>
              <w:t>‘</w:t>
            </w:r>
            <w:r w:rsidR="00182131" w:rsidRPr="00AB75D4">
              <w:rPr>
                <w:rFonts w:asciiTheme="majorBidi" w:hAnsiTheme="majorBidi" w:cstheme="majorBidi"/>
                <w:sz w:val="24"/>
                <w:szCs w:val="24"/>
              </w:rPr>
              <w:t>0</w:t>
            </w:r>
            <w:r w:rsidR="00182131">
              <w:rPr>
                <w:rFonts w:asciiTheme="majorBidi" w:hAnsiTheme="majorBidi" w:cstheme="majorBidi"/>
                <w:sz w:val="24"/>
                <w:szCs w:val="24"/>
              </w:rPr>
              <w:t>’</w:t>
            </w:r>
            <w:r w:rsidR="00182131" w:rsidRPr="00AB75D4">
              <w:rPr>
                <w:rFonts w:asciiTheme="majorBidi" w:hAnsiTheme="majorBidi" w:cstheme="majorBidi"/>
                <w:sz w:val="24"/>
                <w:szCs w:val="24"/>
              </w:rPr>
              <w:t xml:space="preserve"> otherwise</w:t>
            </w:r>
            <w:r w:rsidR="0037434E">
              <w:rPr>
                <w:rFonts w:asciiTheme="majorBidi" w:hAnsiTheme="majorBidi" w:cstheme="majorBidi"/>
                <w:sz w:val="24"/>
                <w:szCs w:val="24"/>
              </w:rPr>
              <w:t>.</w:t>
            </w:r>
          </w:p>
        </w:tc>
      </w:tr>
      <w:tr w:rsidR="004745F7" w:rsidRPr="00AB75D4" w14:paraId="7A75D723" w14:textId="77777777" w:rsidTr="00462406">
        <w:tc>
          <w:tcPr>
            <w:tcW w:w="988" w:type="dxa"/>
          </w:tcPr>
          <w:p w14:paraId="7053F255" w14:textId="52F4FB3C" w:rsidR="004745F7" w:rsidRPr="00AB75D4" w:rsidRDefault="004745F7" w:rsidP="00462406">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UNI</w:t>
            </w:r>
          </w:p>
        </w:tc>
        <w:tc>
          <w:tcPr>
            <w:tcW w:w="8028" w:type="dxa"/>
          </w:tcPr>
          <w:p w14:paraId="5F848882" w14:textId="73583619" w:rsidR="004745F7" w:rsidRPr="00140C49" w:rsidRDefault="004745F7" w:rsidP="0023475D">
            <w:pPr>
              <w:contextualSpacing/>
              <w:rPr>
                <w:rFonts w:asciiTheme="majorBidi" w:hAnsiTheme="majorBidi" w:cstheme="majorBidi"/>
                <w:sz w:val="24"/>
                <w:szCs w:val="24"/>
              </w:rPr>
            </w:pPr>
            <w:r w:rsidRPr="00140C49">
              <w:rPr>
                <w:rFonts w:asciiTheme="majorBidi" w:hAnsiTheme="majorBidi" w:cstheme="majorBidi"/>
                <w:sz w:val="24"/>
                <w:szCs w:val="24"/>
              </w:rPr>
              <w:t xml:space="preserve">Denotes </w:t>
            </w:r>
            <w:r w:rsidRPr="00140C49">
              <w:rPr>
                <w:rFonts w:ascii="Times New Roman" w:eastAsia="SimSun" w:hAnsi="Times New Roman" w:cs="Times New Roman"/>
                <w:sz w:val="24"/>
                <w:szCs w:val="24"/>
                <w:lang w:val="en-US" w:eastAsia="zh-CN"/>
              </w:rPr>
              <w:t>university and non-university dummy</w:t>
            </w:r>
            <w:r w:rsidR="00140C49" w:rsidRPr="00140C49">
              <w:rPr>
                <w:rFonts w:ascii="Times New Roman" w:eastAsia="SimSun" w:hAnsi="Times New Roman" w:cs="Times New Roman"/>
                <w:sz w:val="24"/>
                <w:szCs w:val="24"/>
                <w:lang w:val="en-US" w:eastAsia="zh-CN"/>
              </w:rPr>
              <w:t xml:space="preserve"> that equals </w:t>
            </w:r>
            <w:r w:rsidR="00140C49">
              <w:rPr>
                <w:rFonts w:ascii="Times New Roman" w:eastAsia="SimSun" w:hAnsi="Times New Roman" w:cs="Times New Roman"/>
                <w:sz w:val="24"/>
                <w:szCs w:val="24"/>
                <w:lang w:val="en-US" w:eastAsia="zh-CN"/>
              </w:rPr>
              <w:t>1</w:t>
            </w:r>
            <w:r w:rsidR="00140C49" w:rsidRPr="00140C49">
              <w:rPr>
                <w:rFonts w:ascii="Times New Roman" w:eastAsia="SimSun" w:hAnsi="Times New Roman" w:cs="Times New Roman"/>
                <w:sz w:val="24"/>
                <w:szCs w:val="24"/>
                <w:lang w:val="en-US" w:eastAsia="zh-CN"/>
              </w:rPr>
              <w:t xml:space="preserve"> if a HEI is </w:t>
            </w:r>
            <w:r w:rsidR="00140C49">
              <w:rPr>
                <w:rFonts w:ascii="Times New Roman" w:eastAsia="SimSun" w:hAnsi="Times New Roman" w:cs="Times New Roman"/>
                <w:sz w:val="24"/>
                <w:szCs w:val="24"/>
                <w:lang w:val="en-US" w:eastAsia="zh-CN"/>
              </w:rPr>
              <w:t xml:space="preserve">not </w:t>
            </w:r>
            <w:r w:rsidR="00140C49" w:rsidRPr="00140C49">
              <w:rPr>
                <w:rFonts w:ascii="Times New Roman" w:eastAsia="SimSun" w:hAnsi="Times New Roman" w:cs="Times New Roman"/>
                <w:sz w:val="24"/>
                <w:szCs w:val="24"/>
                <w:lang w:val="en-US" w:eastAsia="zh-CN"/>
              </w:rPr>
              <w:t xml:space="preserve">university or ‘0’ otherwise. </w:t>
            </w:r>
          </w:p>
        </w:tc>
      </w:tr>
      <w:tr w:rsidR="00182131" w:rsidRPr="00AB75D4" w14:paraId="21C89FF3" w14:textId="77777777" w:rsidTr="00462406">
        <w:tc>
          <w:tcPr>
            <w:tcW w:w="988" w:type="dxa"/>
          </w:tcPr>
          <w:p w14:paraId="2199EF14" w14:textId="1694DFF9" w:rsidR="00182131" w:rsidRPr="00AB75D4" w:rsidRDefault="00182131" w:rsidP="00462406">
            <w:pPr>
              <w:contextualSpacing/>
              <w:rPr>
                <w:rFonts w:ascii="Times New Roman" w:eastAsia="Calibri" w:hAnsi="Times New Roman" w:cs="Times New Roman"/>
                <w:bCs/>
                <w:sz w:val="24"/>
                <w:szCs w:val="24"/>
              </w:rPr>
            </w:pPr>
            <w:r w:rsidRPr="00AB75D4">
              <w:rPr>
                <w:rFonts w:ascii="Times New Roman" w:eastAsia="Calibri" w:hAnsi="Times New Roman" w:cs="Times New Roman"/>
                <w:bCs/>
                <w:sz w:val="24"/>
                <w:szCs w:val="24"/>
              </w:rPr>
              <w:t>LQ</w:t>
            </w:r>
            <w:r w:rsidR="0050162A">
              <w:rPr>
                <w:rFonts w:ascii="Times New Roman" w:eastAsia="Calibri" w:hAnsi="Times New Roman" w:cs="Times New Roman"/>
                <w:bCs/>
                <w:sz w:val="24"/>
                <w:szCs w:val="24"/>
              </w:rPr>
              <w:t>UD</w:t>
            </w:r>
          </w:p>
        </w:tc>
        <w:tc>
          <w:tcPr>
            <w:tcW w:w="8028" w:type="dxa"/>
          </w:tcPr>
          <w:p w14:paraId="2975A85C" w14:textId="327AA1FA" w:rsidR="00182131" w:rsidRPr="00AB75D4" w:rsidRDefault="0023475D" w:rsidP="0023475D">
            <w:pPr>
              <w:contextualSpacing/>
              <w:rPr>
                <w:rFonts w:asciiTheme="majorBidi" w:hAnsiTheme="majorBidi" w:cstheme="majorBidi"/>
                <w:sz w:val="24"/>
                <w:szCs w:val="24"/>
              </w:rPr>
            </w:pPr>
            <w:r>
              <w:rPr>
                <w:rFonts w:asciiTheme="majorBidi" w:hAnsiTheme="majorBidi" w:cstheme="majorBidi"/>
                <w:sz w:val="24"/>
                <w:szCs w:val="24"/>
              </w:rPr>
              <w:t>Denotes liquidity, which is measured as the r</w:t>
            </w:r>
            <w:r w:rsidR="00182131">
              <w:rPr>
                <w:rFonts w:asciiTheme="majorBidi" w:hAnsiTheme="majorBidi" w:cstheme="majorBidi"/>
                <w:sz w:val="24"/>
                <w:szCs w:val="24"/>
              </w:rPr>
              <w:t>atio</w:t>
            </w:r>
            <w:r w:rsidR="00182131" w:rsidRPr="00AB75D4">
              <w:rPr>
                <w:rFonts w:asciiTheme="majorBidi" w:hAnsiTheme="majorBidi" w:cstheme="majorBidi"/>
                <w:sz w:val="24"/>
                <w:szCs w:val="24"/>
              </w:rPr>
              <w:t xml:space="preserve"> of net operating </w:t>
            </w:r>
            <w:r w:rsidR="00182131">
              <w:rPr>
                <w:rFonts w:asciiTheme="majorBidi" w:hAnsiTheme="majorBidi" w:cstheme="majorBidi"/>
                <w:sz w:val="24"/>
                <w:szCs w:val="24"/>
              </w:rPr>
              <w:t>cash flow</w:t>
            </w:r>
            <w:r w:rsidR="00166117">
              <w:rPr>
                <w:rFonts w:asciiTheme="majorBidi" w:hAnsiTheme="majorBidi" w:cstheme="majorBidi"/>
                <w:sz w:val="24"/>
                <w:szCs w:val="24"/>
              </w:rPr>
              <w:t>/</w:t>
            </w:r>
            <w:r w:rsidR="00182131" w:rsidRPr="00AB75D4">
              <w:rPr>
                <w:rFonts w:asciiTheme="majorBidi" w:hAnsiTheme="majorBidi" w:cstheme="majorBidi"/>
                <w:sz w:val="24"/>
                <w:szCs w:val="24"/>
              </w:rPr>
              <w:t>total revenue</w:t>
            </w:r>
            <w:r w:rsidR="0037434E">
              <w:rPr>
                <w:rFonts w:asciiTheme="majorBidi" w:hAnsiTheme="majorBidi" w:cstheme="majorBidi"/>
                <w:sz w:val="24"/>
                <w:szCs w:val="24"/>
              </w:rPr>
              <w:t>.</w:t>
            </w:r>
          </w:p>
        </w:tc>
      </w:tr>
      <w:tr w:rsidR="00182131" w:rsidRPr="00AB75D4" w14:paraId="1F1A9D4B" w14:textId="77777777" w:rsidTr="00462406">
        <w:tc>
          <w:tcPr>
            <w:tcW w:w="988" w:type="dxa"/>
          </w:tcPr>
          <w:p w14:paraId="28ACEE8B" w14:textId="3D4E0246" w:rsidR="00182131" w:rsidRPr="00AB75D4" w:rsidRDefault="00182131" w:rsidP="00462406">
            <w:pPr>
              <w:contextualSpacing/>
              <w:rPr>
                <w:rFonts w:ascii="Times New Roman" w:eastAsia="Calibri" w:hAnsi="Times New Roman" w:cs="Times New Roman"/>
                <w:bCs/>
                <w:sz w:val="24"/>
                <w:szCs w:val="24"/>
              </w:rPr>
            </w:pPr>
            <w:r w:rsidRPr="00AB75D4">
              <w:rPr>
                <w:rFonts w:ascii="Times New Roman" w:eastAsia="Calibri" w:hAnsi="Times New Roman" w:cs="Times New Roman"/>
                <w:bCs/>
                <w:sz w:val="24"/>
                <w:szCs w:val="24"/>
              </w:rPr>
              <w:t>C</w:t>
            </w:r>
            <w:r w:rsidR="0050162A">
              <w:rPr>
                <w:rFonts w:ascii="Times New Roman" w:eastAsia="Calibri" w:hAnsi="Times New Roman" w:cs="Times New Roman"/>
                <w:bCs/>
                <w:sz w:val="24"/>
                <w:szCs w:val="24"/>
              </w:rPr>
              <w:t>PE</w:t>
            </w:r>
            <w:r w:rsidRPr="00AB75D4">
              <w:rPr>
                <w:rFonts w:ascii="Times New Roman" w:eastAsia="Calibri" w:hAnsi="Times New Roman" w:cs="Times New Roman"/>
                <w:bCs/>
                <w:sz w:val="24"/>
                <w:szCs w:val="24"/>
              </w:rPr>
              <w:t>X</w:t>
            </w:r>
          </w:p>
        </w:tc>
        <w:tc>
          <w:tcPr>
            <w:tcW w:w="8028" w:type="dxa"/>
          </w:tcPr>
          <w:p w14:paraId="0D4805FE" w14:textId="76DE1962" w:rsidR="00182131" w:rsidRPr="00AB75D4" w:rsidRDefault="0023475D" w:rsidP="0023475D">
            <w:pPr>
              <w:contextualSpacing/>
              <w:rPr>
                <w:rFonts w:asciiTheme="majorBidi" w:hAnsiTheme="majorBidi" w:cstheme="majorBidi"/>
                <w:sz w:val="24"/>
                <w:szCs w:val="24"/>
              </w:rPr>
            </w:pPr>
            <w:r>
              <w:rPr>
                <w:rFonts w:asciiTheme="majorBidi" w:hAnsiTheme="majorBidi" w:cstheme="majorBidi"/>
                <w:sz w:val="24"/>
                <w:szCs w:val="24"/>
              </w:rPr>
              <w:t>Denotes capital expenditure to total assets. It is measured as the r</w:t>
            </w:r>
            <w:r w:rsidR="00182131">
              <w:rPr>
                <w:rFonts w:asciiTheme="majorBidi" w:hAnsiTheme="majorBidi" w:cstheme="majorBidi"/>
                <w:sz w:val="24"/>
                <w:szCs w:val="24"/>
              </w:rPr>
              <w:t>atio</w:t>
            </w:r>
            <w:r w:rsidR="00182131" w:rsidRPr="00AB75D4">
              <w:rPr>
                <w:rFonts w:asciiTheme="majorBidi" w:hAnsiTheme="majorBidi" w:cstheme="majorBidi"/>
                <w:sz w:val="24"/>
                <w:szCs w:val="24"/>
              </w:rPr>
              <w:t xml:space="preserve"> of total capital expenditure</w:t>
            </w:r>
            <w:r w:rsidR="00166117">
              <w:rPr>
                <w:rFonts w:asciiTheme="majorBidi" w:hAnsiTheme="majorBidi" w:cstheme="majorBidi"/>
                <w:sz w:val="24"/>
                <w:szCs w:val="24"/>
              </w:rPr>
              <w:t>/</w:t>
            </w:r>
            <w:r w:rsidR="00182131">
              <w:rPr>
                <w:rFonts w:asciiTheme="majorBidi" w:hAnsiTheme="majorBidi" w:cstheme="majorBidi"/>
                <w:sz w:val="24"/>
                <w:szCs w:val="24"/>
              </w:rPr>
              <w:t xml:space="preserve">book </w:t>
            </w:r>
            <w:r w:rsidR="00182131" w:rsidRPr="00AB75D4">
              <w:rPr>
                <w:rFonts w:asciiTheme="majorBidi" w:hAnsiTheme="majorBidi" w:cstheme="majorBidi"/>
                <w:sz w:val="24"/>
                <w:szCs w:val="24"/>
              </w:rPr>
              <w:t>total assets</w:t>
            </w:r>
            <w:r w:rsidR="0037434E">
              <w:rPr>
                <w:rFonts w:asciiTheme="majorBidi" w:hAnsiTheme="majorBidi" w:cstheme="majorBidi"/>
                <w:sz w:val="24"/>
                <w:szCs w:val="24"/>
              </w:rPr>
              <w:t>.</w:t>
            </w:r>
          </w:p>
        </w:tc>
      </w:tr>
      <w:tr w:rsidR="00182131" w:rsidRPr="00AB75D4" w14:paraId="4823DA77" w14:textId="77777777" w:rsidTr="00462406">
        <w:tc>
          <w:tcPr>
            <w:tcW w:w="988" w:type="dxa"/>
          </w:tcPr>
          <w:p w14:paraId="5B110CAD" w14:textId="6359C138" w:rsidR="00182131" w:rsidRPr="00AB75D4" w:rsidRDefault="00182131" w:rsidP="00462406">
            <w:pPr>
              <w:contextualSpacing/>
              <w:rPr>
                <w:rFonts w:ascii="Times New Roman" w:eastAsia="Calibri" w:hAnsi="Times New Roman" w:cs="Times New Roman"/>
                <w:bCs/>
                <w:sz w:val="24"/>
                <w:szCs w:val="24"/>
              </w:rPr>
            </w:pPr>
            <w:r w:rsidRPr="00AB75D4">
              <w:rPr>
                <w:rFonts w:ascii="Times New Roman" w:eastAsia="Calibri" w:hAnsi="Times New Roman" w:cs="Times New Roman"/>
                <w:bCs/>
                <w:sz w:val="24"/>
                <w:szCs w:val="24"/>
              </w:rPr>
              <w:t>L</w:t>
            </w:r>
            <w:r w:rsidR="0050162A">
              <w:rPr>
                <w:rFonts w:ascii="Times New Roman" w:eastAsia="Calibri" w:hAnsi="Times New Roman" w:cs="Times New Roman"/>
                <w:bCs/>
                <w:sz w:val="24"/>
                <w:szCs w:val="24"/>
              </w:rPr>
              <w:t>E</w:t>
            </w:r>
            <w:r w:rsidRPr="00AB75D4">
              <w:rPr>
                <w:rFonts w:ascii="Times New Roman" w:eastAsia="Calibri" w:hAnsi="Times New Roman" w:cs="Times New Roman"/>
                <w:bCs/>
                <w:sz w:val="24"/>
                <w:szCs w:val="24"/>
              </w:rPr>
              <w:t>V</w:t>
            </w:r>
            <w:r w:rsidR="0050162A">
              <w:rPr>
                <w:rFonts w:ascii="Times New Roman" w:eastAsia="Calibri" w:hAnsi="Times New Roman" w:cs="Times New Roman"/>
                <w:bCs/>
                <w:sz w:val="24"/>
                <w:szCs w:val="24"/>
              </w:rPr>
              <w:t>R</w:t>
            </w:r>
          </w:p>
        </w:tc>
        <w:tc>
          <w:tcPr>
            <w:tcW w:w="8028" w:type="dxa"/>
          </w:tcPr>
          <w:p w14:paraId="38203F29" w14:textId="4450E0DD" w:rsidR="00182131" w:rsidRPr="00AB75D4" w:rsidRDefault="0023475D" w:rsidP="0023475D">
            <w:pPr>
              <w:contextualSpacing/>
              <w:rPr>
                <w:rFonts w:asciiTheme="majorBidi" w:hAnsiTheme="majorBidi" w:cstheme="majorBidi"/>
                <w:sz w:val="24"/>
                <w:szCs w:val="24"/>
              </w:rPr>
            </w:pPr>
            <w:r>
              <w:rPr>
                <w:rFonts w:asciiTheme="majorBidi" w:hAnsiTheme="majorBidi" w:cstheme="majorBidi"/>
                <w:sz w:val="24"/>
                <w:szCs w:val="24"/>
              </w:rPr>
              <w:t>Denotes leverage, which is measured as the ratio</w:t>
            </w:r>
            <w:r w:rsidR="00182131" w:rsidRPr="00AB75D4">
              <w:rPr>
                <w:rFonts w:asciiTheme="majorBidi" w:hAnsiTheme="majorBidi" w:cstheme="majorBidi"/>
                <w:sz w:val="24"/>
                <w:szCs w:val="24"/>
              </w:rPr>
              <w:t xml:space="preserve"> of total debt</w:t>
            </w:r>
            <w:r w:rsidR="00166117">
              <w:rPr>
                <w:rFonts w:asciiTheme="majorBidi" w:hAnsiTheme="majorBidi" w:cstheme="majorBidi"/>
                <w:sz w:val="24"/>
                <w:szCs w:val="24"/>
              </w:rPr>
              <w:t>/</w:t>
            </w:r>
            <w:r w:rsidR="00182131">
              <w:rPr>
                <w:rFonts w:asciiTheme="majorBidi" w:hAnsiTheme="majorBidi" w:cstheme="majorBidi"/>
                <w:sz w:val="24"/>
                <w:szCs w:val="24"/>
              </w:rPr>
              <w:t xml:space="preserve">book </w:t>
            </w:r>
            <w:r w:rsidR="00182131" w:rsidRPr="00AB75D4">
              <w:rPr>
                <w:rFonts w:asciiTheme="majorBidi" w:hAnsiTheme="majorBidi" w:cstheme="majorBidi"/>
                <w:sz w:val="24"/>
                <w:szCs w:val="24"/>
              </w:rPr>
              <w:t>total assets</w:t>
            </w:r>
            <w:r w:rsidR="0037434E">
              <w:rPr>
                <w:rFonts w:asciiTheme="majorBidi" w:hAnsiTheme="majorBidi" w:cstheme="majorBidi"/>
                <w:sz w:val="24"/>
                <w:szCs w:val="24"/>
              </w:rPr>
              <w:t>.</w:t>
            </w:r>
          </w:p>
        </w:tc>
      </w:tr>
      <w:tr w:rsidR="00182131" w:rsidRPr="00AB75D4" w14:paraId="6545209A" w14:textId="77777777" w:rsidTr="00462406">
        <w:tc>
          <w:tcPr>
            <w:tcW w:w="988" w:type="dxa"/>
          </w:tcPr>
          <w:p w14:paraId="2280E784" w14:textId="348320DF" w:rsidR="00182131" w:rsidRPr="00AB75D4" w:rsidRDefault="00182131" w:rsidP="00462406">
            <w:pPr>
              <w:contextualSpacing/>
              <w:rPr>
                <w:rFonts w:ascii="Times New Roman" w:eastAsia="Calibri" w:hAnsi="Times New Roman" w:cs="Times New Roman"/>
                <w:bCs/>
                <w:sz w:val="24"/>
                <w:szCs w:val="24"/>
              </w:rPr>
            </w:pPr>
            <w:r w:rsidRPr="00AB75D4">
              <w:rPr>
                <w:rFonts w:ascii="Times New Roman" w:eastAsia="Calibri" w:hAnsi="Times New Roman" w:cs="Times New Roman"/>
                <w:bCs/>
                <w:sz w:val="24"/>
                <w:szCs w:val="24"/>
              </w:rPr>
              <w:t>GR</w:t>
            </w:r>
            <w:r w:rsidR="0050162A">
              <w:rPr>
                <w:rFonts w:ascii="Times New Roman" w:eastAsia="Calibri" w:hAnsi="Times New Roman" w:cs="Times New Roman"/>
                <w:bCs/>
                <w:sz w:val="24"/>
                <w:szCs w:val="24"/>
              </w:rPr>
              <w:t>TH</w:t>
            </w:r>
          </w:p>
        </w:tc>
        <w:tc>
          <w:tcPr>
            <w:tcW w:w="8028" w:type="dxa"/>
          </w:tcPr>
          <w:p w14:paraId="463E7617" w14:textId="08FE05CA" w:rsidR="00182131" w:rsidRPr="00AB75D4" w:rsidRDefault="0023475D" w:rsidP="0023475D">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Denotes total income growth. It is measured as the difference between total income of current and previous year divided by total income of the previous year.</w:t>
            </w:r>
          </w:p>
        </w:tc>
      </w:tr>
      <w:tr w:rsidR="00182131" w:rsidRPr="00AB75D4" w14:paraId="528C049F" w14:textId="77777777" w:rsidTr="00E120E0">
        <w:tc>
          <w:tcPr>
            <w:tcW w:w="988" w:type="dxa"/>
          </w:tcPr>
          <w:p w14:paraId="2800A264" w14:textId="0131B301" w:rsidR="00182131" w:rsidRPr="00AB75D4" w:rsidRDefault="00182131" w:rsidP="00462406">
            <w:pPr>
              <w:contextualSpacing/>
              <w:rPr>
                <w:rFonts w:ascii="Times New Roman" w:eastAsia="Calibri" w:hAnsi="Times New Roman" w:cs="Times New Roman"/>
                <w:bCs/>
                <w:sz w:val="24"/>
                <w:szCs w:val="24"/>
              </w:rPr>
            </w:pPr>
            <w:r w:rsidRPr="00AB75D4">
              <w:rPr>
                <w:rFonts w:ascii="Times New Roman" w:eastAsia="Calibri" w:hAnsi="Times New Roman" w:cs="Times New Roman"/>
                <w:bCs/>
                <w:sz w:val="24"/>
                <w:szCs w:val="24"/>
              </w:rPr>
              <w:t>R</w:t>
            </w:r>
            <w:r w:rsidR="0050162A">
              <w:rPr>
                <w:rFonts w:ascii="Times New Roman" w:eastAsia="Calibri" w:hAnsi="Times New Roman" w:cs="Times New Roman"/>
                <w:bCs/>
                <w:sz w:val="24"/>
                <w:szCs w:val="24"/>
              </w:rPr>
              <w:t>IS</w:t>
            </w:r>
            <w:r w:rsidRPr="00AB75D4">
              <w:rPr>
                <w:rFonts w:ascii="Times New Roman" w:eastAsia="Calibri" w:hAnsi="Times New Roman" w:cs="Times New Roman"/>
                <w:bCs/>
                <w:sz w:val="24"/>
                <w:szCs w:val="24"/>
              </w:rPr>
              <w:t>K</w:t>
            </w:r>
          </w:p>
        </w:tc>
        <w:tc>
          <w:tcPr>
            <w:tcW w:w="8028" w:type="dxa"/>
          </w:tcPr>
          <w:p w14:paraId="3B62A621" w14:textId="01C0DEBC" w:rsidR="00182131" w:rsidRPr="00AB75D4" w:rsidRDefault="0023475D" w:rsidP="0023475D">
            <w:pPr>
              <w:contextualSpacing/>
              <w:rPr>
                <w:rFonts w:asciiTheme="majorBidi" w:hAnsiTheme="majorBidi" w:cstheme="majorBidi"/>
                <w:sz w:val="24"/>
                <w:szCs w:val="24"/>
              </w:rPr>
            </w:pPr>
            <w:r>
              <w:rPr>
                <w:rFonts w:asciiTheme="majorBidi" w:hAnsiTheme="majorBidi" w:cstheme="majorBidi"/>
                <w:sz w:val="24"/>
                <w:szCs w:val="24"/>
              </w:rPr>
              <w:t>Denotes risk, which is measured as the s</w:t>
            </w:r>
            <w:r w:rsidR="00182131" w:rsidRPr="00AB75D4">
              <w:rPr>
                <w:rFonts w:asciiTheme="majorBidi" w:hAnsiTheme="majorBidi" w:cstheme="majorBidi"/>
                <w:sz w:val="24"/>
                <w:szCs w:val="24"/>
              </w:rPr>
              <w:t xml:space="preserve">tandard deviation of financial </w:t>
            </w:r>
            <w:r w:rsidR="00182131">
              <w:rPr>
                <w:rFonts w:asciiTheme="majorBidi" w:hAnsiTheme="majorBidi" w:cstheme="majorBidi"/>
                <w:sz w:val="24"/>
                <w:szCs w:val="24"/>
              </w:rPr>
              <w:t>deficit and surplus</w:t>
            </w:r>
            <w:r w:rsidR="00182131" w:rsidRPr="00AB75D4">
              <w:rPr>
                <w:rFonts w:asciiTheme="majorBidi" w:hAnsiTheme="majorBidi" w:cstheme="majorBidi"/>
                <w:sz w:val="24"/>
                <w:szCs w:val="24"/>
              </w:rPr>
              <w:t xml:space="preserve"> to </w:t>
            </w:r>
            <w:r w:rsidR="00182131">
              <w:rPr>
                <w:rFonts w:asciiTheme="majorBidi" w:hAnsiTheme="majorBidi" w:cstheme="majorBidi"/>
                <w:sz w:val="24"/>
                <w:szCs w:val="24"/>
              </w:rPr>
              <w:t xml:space="preserve">book </w:t>
            </w:r>
            <w:r w:rsidR="00182131" w:rsidRPr="00AB75D4">
              <w:rPr>
                <w:rFonts w:asciiTheme="majorBidi" w:hAnsiTheme="majorBidi" w:cstheme="majorBidi"/>
                <w:sz w:val="24"/>
                <w:szCs w:val="24"/>
              </w:rPr>
              <w:t>total assets</w:t>
            </w:r>
            <w:r w:rsidR="0037434E">
              <w:rPr>
                <w:rFonts w:asciiTheme="majorBidi" w:hAnsiTheme="majorBidi" w:cstheme="majorBidi"/>
                <w:sz w:val="24"/>
                <w:szCs w:val="24"/>
              </w:rPr>
              <w:t>.</w:t>
            </w:r>
          </w:p>
        </w:tc>
      </w:tr>
      <w:tr w:rsidR="00E120E0" w:rsidRPr="00AB75D4" w14:paraId="641AA071" w14:textId="77777777" w:rsidTr="00462406">
        <w:tc>
          <w:tcPr>
            <w:tcW w:w="988" w:type="dxa"/>
            <w:tcBorders>
              <w:bottom w:val="single" w:sz="12" w:space="0" w:color="auto"/>
            </w:tcBorders>
          </w:tcPr>
          <w:p w14:paraId="291A5F14" w14:textId="7CB0AE76" w:rsidR="00E120E0" w:rsidRPr="00AB75D4" w:rsidRDefault="00E120E0" w:rsidP="00462406">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CNTRYD</w:t>
            </w:r>
          </w:p>
        </w:tc>
        <w:tc>
          <w:tcPr>
            <w:tcW w:w="8028" w:type="dxa"/>
            <w:tcBorders>
              <w:bottom w:val="single" w:sz="12" w:space="0" w:color="auto"/>
            </w:tcBorders>
          </w:tcPr>
          <w:p w14:paraId="73BE3C42" w14:textId="5E5E301D" w:rsidR="00E120E0" w:rsidRPr="00AB75D4" w:rsidRDefault="00E120E0" w:rsidP="00E120E0">
            <w:pPr>
              <w:contextualSpacing/>
              <w:rPr>
                <w:rFonts w:asciiTheme="majorBidi" w:hAnsiTheme="majorBidi" w:cstheme="majorBidi"/>
                <w:sz w:val="24"/>
                <w:szCs w:val="24"/>
              </w:rPr>
            </w:pPr>
            <w:r>
              <w:rPr>
                <w:rFonts w:asciiTheme="majorBidi" w:hAnsiTheme="majorBidi" w:cstheme="majorBidi"/>
                <w:sz w:val="24"/>
                <w:szCs w:val="24"/>
              </w:rPr>
              <w:t>Country d</w:t>
            </w:r>
            <w:r w:rsidRPr="00E120E0">
              <w:rPr>
                <w:rFonts w:asciiTheme="majorBidi" w:hAnsiTheme="majorBidi" w:cstheme="majorBidi"/>
                <w:sz w:val="24"/>
                <w:szCs w:val="24"/>
              </w:rPr>
              <w:t>ummies for each of the UK four countries, namely, Scotland, Wales, Northern Ireland and England.</w:t>
            </w:r>
          </w:p>
        </w:tc>
      </w:tr>
    </w:tbl>
    <w:p w14:paraId="609A3049" w14:textId="77777777" w:rsidR="00182131" w:rsidRDefault="00182131" w:rsidP="00182131"/>
    <w:p w14:paraId="61B62491" w14:textId="77777777" w:rsidR="00566D02" w:rsidRDefault="00566D02" w:rsidP="00566D02"/>
    <w:bookmarkEnd w:id="2"/>
    <w:p w14:paraId="23A5BE79" w14:textId="77777777" w:rsidR="00566D02" w:rsidRDefault="00566D02" w:rsidP="00566D02"/>
    <w:tbl>
      <w:tblPr>
        <w:tblStyle w:val="TableGrid11"/>
        <w:tblpPr w:leftFromText="180" w:rightFromText="180" w:vertAnchor="page" w:horzAnchor="margin" w:tblpY="1486"/>
        <w:tblW w:w="9781" w:type="dxa"/>
        <w:tblLook w:val="04A0" w:firstRow="1" w:lastRow="0" w:firstColumn="1" w:lastColumn="0" w:noHBand="0" w:noVBand="1"/>
      </w:tblPr>
      <w:tblGrid>
        <w:gridCol w:w="1691"/>
        <w:gridCol w:w="876"/>
        <w:gridCol w:w="842"/>
        <w:gridCol w:w="876"/>
        <w:gridCol w:w="876"/>
        <w:gridCol w:w="843"/>
        <w:gridCol w:w="842"/>
        <w:gridCol w:w="876"/>
        <w:gridCol w:w="1071"/>
        <w:gridCol w:w="988"/>
      </w:tblGrid>
      <w:tr w:rsidR="00566D02" w:rsidRPr="00D9685F" w14:paraId="4F347197" w14:textId="77777777" w:rsidTr="003C080D">
        <w:trPr>
          <w:trHeight w:val="490"/>
        </w:trPr>
        <w:tc>
          <w:tcPr>
            <w:tcW w:w="9781" w:type="dxa"/>
            <w:gridSpan w:val="10"/>
            <w:tcBorders>
              <w:top w:val="nil"/>
              <w:left w:val="nil"/>
              <w:bottom w:val="single" w:sz="18" w:space="0" w:color="auto"/>
              <w:right w:val="nil"/>
            </w:tcBorders>
          </w:tcPr>
          <w:p w14:paraId="2562827B" w14:textId="0139D628" w:rsidR="00566D02" w:rsidRPr="00FD07E4" w:rsidRDefault="00566D02" w:rsidP="00D258D5">
            <w:pPr>
              <w:rPr>
                <w:rFonts w:asciiTheme="majorBidi" w:hAnsiTheme="majorBidi" w:cstheme="majorBidi"/>
                <w:b/>
                <w:sz w:val="24"/>
                <w:szCs w:val="24"/>
              </w:rPr>
            </w:pPr>
            <w:r w:rsidRPr="00D9685F">
              <w:rPr>
                <w:rFonts w:asciiTheme="majorBidi" w:hAnsiTheme="majorBidi" w:cstheme="majorBidi"/>
                <w:b/>
                <w:sz w:val="24"/>
                <w:szCs w:val="24"/>
              </w:rPr>
              <w:lastRenderedPageBreak/>
              <w:t xml:space="preserve">Table </w:t>
            </w:r>
            <w:r w:rsidR="00D258D5">
              <w:rPr>
                <w:rFonts w:asciiTheme="majorBidi" w:hAnsiTheme="majorBidi" w:cstheme="majorBidi"/>
                <w:b/>
                <w:sz w:val="24"/>
                <w:szCs w:val="24"/>
              </w:rPr>
              <w:t>3</w:t>
            </w:r>
            <w:r w:rsidR="00FD07E4">
              <w:rPr>
                <w:rFonts w:asciiTheme="majorBidi" w:hAnsiTheme="majorBidi" w:cstheme="majorBidi"/>
                <w:b/>
                <w:sz w:val="24"/>
                <w:szCs w:val="24"/>
              </w:rPr>
              <w:t xml:space="preserve">. </w:t>
            </w:r>
            <w:r w:rsidR="00166117">
              <w:rPr>
                <w:rFonts w:asciiTheme="majorBidi" w:hAnsiTheme="majorBidi" w:cstheme="majorBidi"/>
                <w:bCs/>
                <w:sz w:val="24"/>
                <w:szCs w:val="24"/>
              </w:rPr>
              <w:t>D</w:t>
            </w:r>
            <w:r w:rsidRPr="00D9685F">
              <w:rPr>
                <w:rFonts w:asciiTheme="majorBidi" w:hAnsiTheme="majorBidi" w:cstheme="majorBidi"/>
                <w:bCs/>
                <w:sz w:val="24"/>
                <w:szCs w:val="24"/>
              </w:rPr>
              <w:t xml:space="preserve">escriptive </w:t>
            </w:r>
            <w:r w:rsidR="00C86C12">
              <w:rPr>
                <w:rFonts w:asciiTheme="majorBidi" w:hAnsiTheme="majorBidi" w:cstheme="majorBidi"/>
                <w:bCs/>
                <w:sz w:val="24"/>
                <w:szCs w:val="24"/>
              </w:rPr>
              <w:t>s</w:t>
            </w:r>
            <w:r w:rsidRPr="00D9685F">
              <w:rPr>
                <w:rFonts w:asciiTheme="majorBidi" w:hAnsiTheme="majorBidi" w:cstheme="majorBidi"/>
                <w:bCs/>
                <w:sz w:val="24"/>
                <w:szCs w:val="24"/>
              </w:rPr>
              <w:t xml:space="preserve">tatistics </w:t>
            </w:r>
            <w:r w:rsidR="00166117">
              <w:rPr>
                <w:rFonts w:asciiTheme="majorBidi" w:hAnsiTheme="majorBidi" w:cstheme="majorBidi"/>
                <w:bCs/>
                <w:sz w:val="24"/>
                <w:szCs w:val="24"/>
              </w:rPr>
              <w:t>for the research variables (</w:t>
            </w:r>
            <w:r w:rsidR="002C18D3">
              <w:rPr>
                <w:rFonts w:asciiTheme="majorBidi" w:hAnsiTheme="majorBidi" w:cstheme="majorBidi"/>
                <w:bCs/>
                <w:sz w:val="24"/>
                <w:szCs w:val="24"/>
              </w:rPr>
              <w:t>HE</w:t>
            </w:r>
            <w:r w:rsidRPr="00D9685F">
              <w:rPr>
                <w:rFonts w:asciiTheme="majorBidi" w:hAnsiTheme="majorBidi" w:cstheme="majorBidi"/>
                <w:bCs/>
                <w:sz w:val="24"/>
                <w:szCs w:val="24"/>
              </w:rPr>
              <w:t>GI</w:t>
            </w:r>
            <w:r w:rsidR="00166117">
              <w:rPr>
                <w:rFonts w:asciiTheme="majorBidi" w:hAnsiTheme="majorBidi" w:cstheme="majorBidi"/>
                <w:bCs/>
                <w:sz w:val="24"/>
                <w:szCs w:val="24"/>
              </w:rPr>
              <w:t>)</w:t>
            </w:r>
            <w:r w:rsidR="00FD07E4">
              <w:rPr>
                <w:rFonts w:asciiTheme="majorBidi" w:hAnsiTheme="majorBidi" w:cstheme="majorBidi"/>
                <w:bCs/>
                <w:sz w:val="24"/>
                <w:szCs w:val="24"/>
              </w:rPr>
              <w:t>.</w:t>
            </w:r>
          </w:p>
        </w:tc>
      </w:tr>
      <w:tr w:rsidR="00566D02" w:rsidRPr="00D9685F" w14:paraId="4EEAC79B" w14:textId="77777777" w:rsidTr="00D9685F">
        <w:tc>
          <w:tcPr>
            <w:tcW w:w="1691" w:type="dxa"/>
            <w:vMerge w:val="restart"/>
            <w:tcBorders>
              <w:top w:val="single" w:sz="18" w:space="0" w:color="auto"/>
              <w:left w:val="nil"/>
              <w:right w:val="nil"/>
            </w:tcBorders>
          </w:tcPr>
          <w:p w14:paraId="29F67D95" w14:textId="77777777" w:rsidR="00566D02" w:rsidRPr="00D9685F" w:rsidRDefault="00566D02" w:rsidP="003C080D">
            <w:pPr>
              <w:rPr>
                <w:rFonts w:asciiTheme="majorBidi" w:hAnsiTheme="majorBidi" w:cstheme="majorBidi"/>
                <w:sz w:val="24"/>
                <w:szCs w:val="24"/>
              </w:rPr>
            </w:pPr>
          </w:p>
        </w:tc>
        <w:tc>
          <w:tcPr>
            <w:tcW w:w="876" w:type="dxa"/>
            <w:vMerge w:val="restart"/>
            <w:tcBorders>
              <w:top w:val="single" w:sz="18" w:space="0" w:color="auto"/>
              <w:left w:val="nil"/>
              <w:right w:val="nil"/>
            </w:tcBorders>
          </w:tcPr>
          <w:p w14:paraId="703C7ACB" w14:textId="77777777" w:rsidR="00566D02" w:rsidRPr="00D9685F" w:rsidRDefault="00566D02" w:rsidP="003C080D">
            <w:pPr>
              <w:rPr>
                <w:rFonts w:asciiTheme="majorBidi" w:hAnsiTheme="majorBidi" w:cstheme="majorBidi"/>
                <w:sz w:val="24"/>
                <w:szCs w:val="24"/>
              </w:rPr>
            </w:pPr>
          </w:p>
          <w:p w14:paraId="5B3FAA6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 xml:space="preserve">All </w:t>
            </w:r>
          </w:p>
        </w:tc>
        <w:tc>
          <w:tcPr>
            <w:tcW w:w="842" w:type="dxa"/>
            <w:vMerge w:val="restart"/>
            <w:tcBorders>
              <w:top w:val="single" w:sz="18" w:space="0" w:color="auto"/>
              <w:left w:val="nil"/>
              <w:right w:val="nil"/>
            </w:tcBorders>
          </w:tcPr>
          <w:p w14:paraId="3478A6DB" w14:textId="77777777" w:rsidR="00566D02" w:rsidRPr="00D9685F" w:rsidRDefault="00566D02" w:rsidP="003C080D">
            <w:pPr>
              <w:rPr>
                <w:rFonts w:asciiTheme="majorBidi" w:hAnsiTheme="majorBidi" w:cstheme="majorBidi"/>
                <w:sz w:val="24"/>
                <w:szCs w:val="24"/>
              </w:rPr>
            </w:pPr>
          </w:p>
          <w:p w14:paraId="13A5E1F3"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2009</w:t>
            </w:r>
          </w:p>
        </w:tc>
        <w:tc>
          <w:tcPr>
            <w:tcW w:w="876" w:type="dxa"/>
            <w:vMerge w:val="restart"/>
            <w:tcBorders>
              <w:top w:val="single" w:sz="18" w:space="0" w:color="auto"/>
              <w:left w:val="nil"/>
              <w:right w:val="nil"/>
            </w:tcBorders>
          </w:tcPr>
          <w:p w14:paraId="5DD9D834" w14:textId="77777777" w:rsidR="00566D02" w:rsidRPr="00D9685F" w:rsidRDefault="00566D02" w:rsidP="003C080D">
            <w:pPr>
              <w:rPr>
                <w:rFonts w:asciiTheme="majorBidi" w:hAnsiTheme="majorBidi" w:cstheme="majorBidi"/>
                <w:sz w:val="24"/>
                <w:szCs w:val="24"/>
              </w:rPr>
            </w:pPr>
          </w:p>
          <w:p w14:paraId="09483430"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2010</w:t>
            </w:r>
          </w:p>
        </w:tc>
        <w:tc>
          <w:tcPr>
            <w:tcW w:w="876" w:type="dxa"/>
            <w:vMerge w:val="restart"/>
            <w:tcBorders>
              <w:top w:val="single" w:sz="18" w:space="0" w:color="auto"/>
              <w:left w:val="nil"/>
              <w:right w:val="nil"/>
            </w:tcBorders>
          </w:tcPr>
          <w:p w14:paraId="3206BB21" w14:textId="77777777" w:rsidR="00566D02" w:rsidRPr="00D9685F" w:rsidRDefault="00566D02" w:rsidP="003C080D">
            <w:pPr>
              <w:rPr>
                <w:rFonts w:asciiTheme="majorBidi" w:hAnsiTheme="majorBidi" w:cstheme="majorBidi"/>
                <w:sz w:val="24"/>
                <w:szCs w:val="24"/>
              </w:rPr>
            </w:pPr>
          </w:p>
          <w:p w14:paraId="4745A27A"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2011</w:t>
            </w:r>
          </w:p>
        </w:tc>
        <w:tc>
          <w:tcPr>
            <w:tcW w:w="843" w:type="dxa"/>
            <w:vMerge w:val="restart"/>
            <w:tcBorders>
              <w:top w:val="single" w:sz="18" w:space="0" w:color="auto"/>
              <w:left w:val="nil"/>
              <w:right w:val="nil"/>
            </w:tcBorders>
          </w:tcPr>
          <w:p w14:paraId="5576F2B8" w14:textId="77777777" w:rsidR="00566D02" w:rsidRPr="00D9685F" w:rsidRDefault="00566D02" w:rsidP="003C080D">
            <w:pPr>
              <w:rPr>
                <w:rFonts w:asciiTheme="majorBidi" w:hAnsiTheme="majorBidi" w:cstheme="majorBidi"/>
                <w:sz w:val="24"/>
                <w:szCs w:val="24"/>
              </w:rPr>
            </w:pPr>
          </w:p>
          <w:p w14:paraId="4F4A52DC"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2012</w:t>
            </w:r>
          </w:p>
        </w:tc>
        <w:tc>
          <w:tcPr>
            <w:tcW w:w="842" w:type="dxa"/>
            <w:vMerge w:val="restart"/>
            <w:tcBorders>
              <w:top w:val="single" w:sz="18" w:space="0" w:color="auto"/>
              <w:left w:val="nil"/>
              <w:right w:val="nil"/>
            </w:tcBorders>
          </w:tcPr>
          <w:p w14:paraId="7159AFD7" w14:textId="77777777" w:rsidR="00566D02" w:rsidRPr="00D9685F" w:rsidRDefault="00566D02" w:rsidP="003C080D">
            <w:pPr>
              <w:rPr>
                <w:rFonts w:asciiTheme="majorBidi" w:hAnsiTheme="majorBidi" w:cstheme="majorBidi"/>
                <w:sz w:val="24"/>
                <w:szCs w:val="24"/>
              </w:rPr>
            </w:pPr>
          </w:p>
          <w:p w14:paraId="18BBB6DB"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2013</w:t>
            </w:r>
          </w:p>
        </w:tc>
        <w:tc>
          <w:tcPr>
            <w:tcW w:w="876" w:type="dxa"/>
            <w:vMerge w:val="restart"/>
            <w:tcBorders>
              <w:top w:val="single" w:sz="18" w:space="0" w:color="auto"/>
              <w:left w:val="nil"/>
              <w:right w:val="nil"/>
            </w:tcBorders>
          </w:tcPr>
          <w:p w14:paraId="7462AAD3" w14:textId="77777777" w:rsidR="00566D02" w:rsidRPr="00D9685F" w:rsidRDefault="00566D02" w:rsidP="003C080D">
            <w:pPr>
              <w:rPr>
                <w:rFonts w:asciiTheme="majorBidi" w:hAnsiTheme="majorBidi" w:cstheme="majorBidi"/>
                <w:sz w:val="24"/>
                <w:szCs w:val="24"/>
              </w:rPr>
            </w:pPr>
          </w:p>
          <w:p w14:paraId="0840547F"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2014</w:t>
            </w:r>
          </w:p>
        </w:tc>
        <w:tc>
          <w:tcPr>
            <w:tcW w:w="2059" w:type="dxa"/>
            <w:gridSpan w:val="2"/>
            <w:tcBorders>
              <w:top w:val="single" w:sz="18" w:space="0" w:color="auto"/>
              <w:left w:val="nil"/>
              <w:bottom w:val="nil"/>
              <w:right w:val="nil"/>
            </w:tcBorders>
          </w:tcPr>
          <w:p w14:paraId="26F638B9"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bCs/>
                <w:sz w:val="24"/>
                <w:szCs w:val="24"/>
              </w:rPr>
              <w:t>Pre-1992 – Post-1992</w:t>
            </w:r>
          </w:p>
        </w:tc>
      </w:tr>
      <w:tr w:rsidR="00566D02" w:rsidRPr="00D9685F" w14:paraId="492950F6" w14:textId="77777777" w:rsidTr="00D9685F">
        <w:tc>
          <w:tcPr>
            <w:tcW w:w="1691" w:type="dxa"/>
            <w:vMerge/>
            <w:tcBorders>
              <w:left w:val="nil"/>
              <w:bottom w:val="single" w:sz="12" w:space="0" w:color="auto"/>
              <w:right w:val="nil"/>
            </w:tcBorders>
          </w:tcPr>
          <w:p w14:paraId="1FF85A34" w14:textId="77777777" w:rsidR="00566D02" w:rsidRPr="00D9685F" w:rsidRDefault="00566D02" w:rsidP="003C080D">
            <w:pPr>
              <w:rPr>
                <w:rFonts w:asciiTheme="majorBidi" w:hAnsiTheme="majorBidi" w:cstheme="majorBidi"/>
                <w:sz w:val="24"/>
                <w:szCs w:val="24"/>
              </w:rPr>
            </w:pPr>
          </w:p>
        </w:tc>
        <w:tc>
          <w:tcPr>
            <w:tcW w:w="876" w:type="dxa"/>
            <w:vMerge/>
            <w:tcBorders>
              <w:left w:val="nil"/>
              <w:bottom w:val="single" w:sz="12" w:space="0" w:color="auto"/>
              <w:right w:val="nil"/>
            </w:tcBorders>
          </w:tcPr>
          <w:p w14:paraId="15A94F04" w14:textId="77777777" w:rsidR="00566D02" w:rsidRPr="00D9685F" w:rsidRDefault="00566D02" w:rsidP="003C080D">
            <w:pPr>
              <w:rPr>
                <w:rFonts w:asciiTheme="majorBidi" w:hAnsiTheme="majorBidi" w:cstheme="majorBidi"/>
                <w:sz w:val="24"/>
                <w:szCs w:val="24"/>
              </w:rPr>
            </w:pPr>
          </w:p>
        </w:tc>
        <w:tc>
          <w:tcPr>
            <w:tcW w:w="842" w:type="dxa"/>
            <w:vMerge/>
            <w:tcBorders>
              <w:left w:val="nil"/>
              <w:bottom w:val="single" w:sz="12" w:space="0" w:color="auto"/>
              <w:right w:val="nil"/>
            </w:tcBorders>
          </w:tcPr>
          <w:p w14:paraId="1B4902EE" w14:textId="77777777" w:rsidR="00566D02" w:rsidRPr="00D9685F" w:rsidRDefault="00566D02" w:rsidP="003C080D">
            <w:pPr>
              <w:rPr>
                <w:rFonts w:asciiTheme="majorBidi" w:hAnsiTheme="majorBidi" w:cstheme="majorBidi"/>
                <w:sz w:val="24"/>
                <w:szCs w:val="24"/>
              </w:rPr>
            </w:pPr>
          </w:p>
        </w:tc>
        <w:tc>
          <w:tcPr>
            <w:tcW w:w="876" w:type="dxa"/>
            <w:vMerge/>
            <w:tcBorders>
              <w:left w:val="nil"/>
              <w:bottom w:val="single" w:sz="12" w:space="0" w:color="auto"/>
              <w:right w:val="nil"/>
            </w:tcBorders>
          </w:tcPr>
          <w:p w14:paraId="5B0219F5" w14:textId="77777777" w:rsidR="00566D02" w:rsidRPr="00D9685F" w:rsidRDefault="00566D02" w:rsidP="003C080D">
            <w:pPr>
              <w:rPr>
                <w:rFonts w:asciiTheme="majorBidi" w:hAnsiTheme="majorBidi" w:cstheme="majorBidi"/>
                <w:sz w:val="24"/>
                <w:szCs w:val="24"/>
              </w:rPr>
            </w:pPr>
          </w:p>
        </w:tc>
        <w:tc>
          <w:tcPr>
            <w:tcW w:w="876" w:type="dxa"/>
            <w:vMerge/>
            <w:tcBorders>
              <w:left w:val="nil"/>
              <w:bottom w:val="single" w:sz="12" w:space="0" w:color="auto"/>
              <w:right w:val="nil"/>
            </w:tcBorders>
          </w:tcPr>
          <w:p w14:paraId="7AAAC05D" w14:textId="77777777" w:rsidR="00566D02" w:rsidRPr="00D9685F" w:rsidRDefault="00566D02" w:rsidP="003C080D">
            <w:pPr>
              <w:rPr>
                <w:rFonts w:asciiTheme="majorBidi" w:hAnsiTheme="majorBidi" w:cstheme="majorBidi"/>
                <w:sz w:val="24"/>
                <w:szCs w:val="24"/>
              </w:rPr>
            </w:pPr>
          </w:p>
        </w:tc>
        <w:tc>
          <w:tcPr>
            <w:tcW w:w="843" w:type="dxa"/>
            <w:vMerge/>
            <w:tcBorders>
              <w:left w:val="nil"/>
              <w:bottom w:val="single" w:sz="12" w:space="0" w:color="auto"/>
              <w:right w:val="nil"/>
            </w:tcBorders>
          </w:tcPr>
          <w:p w14:paraId="03A2B35D" w14:textId="77777777" w:rsidR="00566D02" w:rsidRPr="00D9685F" w:rsidRDefault="00566D02" w:rsidP="003C080D">
            <w:pPr>
              <w:rPr>
                <w:rFonts w:asciiTheme="majorBidi" w:hAnsiTheme="majorBidi" w:cstheme="majorBidi"/>
                <w:sz w:val="24"/>
                <w:szCs w:val="24"/>
              </w:rPr>
            </w:pPr>
          </w:p>
        </w:tc>
        <w:tc>
          <w:tcPr>
            <w:tcW w:w="842" w:type="dxa"/>
            <w:vMerge/>
            <w:tcBorders>
              <w:left w:val="nil"/>
              <w:bottom w:val="single" w:sz="12" w:space="0" w:color="auto"/>
              <w:right w:val="nil"/>
            </w:tcBorders>
          </w:tcPr>
          <w:p w14:paraId="13C7A8C4" w14:textId="77777777" w:rsidR="00566D02" w:rsidRPr="00D9685F" w:rsidRDefault="00566D02" w:rsidP="003C080D">
            <w:pPr>
              <w:rPr>
                <w:rFonts w:asciiTheme="majorBidi" w:hAnsiTheme="majorBidi" w:cstheme="majorBidi"/>
                <w:sz w:val="24"/>
                <w:szCs w:val="24"/>
              </w:rPr>
            </w:pPr>
          </w:p>
        </w:tc>
        <w:tc>
          <w:tcPr>
            <w:tcW w:w="876" w:type="dxa"/>
            <w:vMerge/>
            <w:tcBorders>
              <w:left w:val="nil"/>
              <w:bottom w:val="single" w:sz="12" w:space="0" w:color="auto"/>
              <w:right w:val="nil"/>
            </w:tcBorders>
          </w:tcPr>
          <w:p w14:paraId="6DA22099" w14:textId="77777777" w:rsidR="00566D02" w:rsidRPr="00D9685F" w:rsidRDefault="00566D02" w:rsidP="003C080D">
            <w:pPr>
              <w:rPr>
                <w:rFonts w:asciiTheme="majorBidi" w:hAnsiTheme="majorBidi" w:cstheme="majorBidi"/>
                <w:sz w:val="24"/>
                <w:szCs w:val="24"/>
              </w:rPr>
            </w:pPr>
          </w:p>
        </w:tc>
        <w:tc>
          <w:tcPr>
            <w:tcW w:w="1071" w:type="dxa"/>
            <w:tcBorders>
              <w:top w:val="nil"/>
              <w:left w:val="nil"/>
              <w:bottom w:val="single" w:sz="12" w:space="0" w:color="auto"/>
              <w:right w:val="nil"/>
            </w:tcBorders>
          </w:tcPr>
          <w:p w14:paraId="7FC96CAA"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Mean Diff.</w:t>
            </w:r>
          </w:p>
        </w:tc>
        <w:tc>
          <w:tcPr>
            <w:tcW w:w="988" w:type="dxa"/>
            <w:tcBorders>
              <w:top w:val="nil"/>
              <w:left w:val="nil"/>
              <w:bottom w:val="single" w:sz="12" w:space="0" w:color="auto"/>
              <w:right w:val="nil"/>
            </w:tcBorders>
          </w:tcPr>
          <w:p w14:paraId="6D5AA2ED"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Median Diff.</w:t>
            </w:r>
          </w:p>
        </w:tc>
      </w:tr>
      <w:tr w:rsidR="00D9685F" w:rsidRPr="00D9685F" w14:paraId="016EAFAB" w14:textId="77777777" w:rsidTr="00D9685F">
        <w:tc>
          <w:tcPr>
            <w:tcW w:w="9781" w:type="dxa"/>
            <w:gridSpan w:val="10"/>
            <w:tcBorders>
              <w:top w:val="single" w:sz="12" w:space="0" w:color="auto"/>
              <w:left w:val="nil"/>
              <w:bottom w:val="nil"/>
              <w:right w:val="nil"/>
            </w:tcBorders>
          </w:tcPr>
          <w:p w14:paraId="5113D8BD" w14:textId="3C5ABFB0" w:rsidR="00D9685F" w:rsidRPr="00D9685F" w:rsidRDefault="00D9685F" w:rsidP="00B6105A">
            <w:pPr>
              <w:rPr>
                <w:rFonts w:asciiTheme="majorBidi" w:hAnsiTheme="majorBidi" w:cstheme="majorBidi"/>
                <w:sz w:val="24"/>
                <w:szCs w:val="24"/>
              </w:rPr>
            </w:pPr>
            <w:r w:rsidRPr="00D9685F">
              <w:rPr>
                <w:rFonts w:asciiTheme="majorBidi" w:hAnsiTheme="majorBidi" w:cstheme="majorBidi"/>
                <w:i/>
                <w:iCs/>
                <w:sz w:val="24"/>
                <w:szCs w:val="24"/>
              </w:rPr>
              <w:t xml:space="preserve">Panel 1:  Overall </w:t>
            </w:r>
            <w:r w:rsidR="00B6105A">
              <w:rPr>
                <w:rFonts w:asciiTheme="majorBidi" w:hAnsiTheme="majorBidi" w:cstheme="majorBidi"/>
                <w:i/>
                <w:iCs/>
                <w:sz w:val="24"/>
                <w:szCs w:val="24"/>
              </w:rPr>
              <w:t>HEIs</w:t>
            </w:r>
            <w:r w:rsidR="00B6105A" w:rsidRPr="00D9685F">
              <w:rPr>
                <w:rFonts w:asciiTheme="majorBidi" w:hAnsiTheme="majorBidi" w:cstheme="majorBidi"/>
                <w:i/>
                <w:iCs/>
                <w:sz w:val="24"/>
                <w:szCs w:val="24"/>
              </w:rPr>
              <w:t xml:space="preserve"> </w:t>
            </w:r>
            <w:r w:rsidR="00646C38">
              <w:rPr>
                <w:rFonts w:asciiTheme="majorBidi" w:hAnsiTheme="majorBidi" w:cstheme="majorBidi"/>
                <w:i/>
                <w:iCs/>
                <w:sz w:val="24"/>
                <w:szCs w:val="24"/>
              </w:rPr>
              <w:t>g</w:t>
            </w:r>
            <w:r w:rsidRPr="00D9685F">
              <w:rPr>
                <w:rFonts w:asciiTheme="majorBidi" w:hAnsiTheme="majorBidi" w:cstheme="majorBidi"/>
                <w:i/>
                <w:iCs/>
                <w:sz w:val="24"/>
                <w:szCs w:val="24"/>
              </w:rPr>
              <w:t xml:space="preserve">overnance </w:t>
            </w:r>
            <w:r w:rsidR="00646C38">
              <w:rPr>
                <w:rFonts w:asciiTheme="majorBidi" w:hAnsiTheme="majorBidi" w:cstheme="majorBidi"/>
                <w:i/>
                <w:iCs/>
                <w:sz w:val="24"/>
                <w:szCs w:val="24"/>
              </w:rPr>
              <w:t>d</w:t>
            </w:r>
            <w:r w:rsidRPr="00D9685F">
              <w:rPr>
                <w:rFonts w:asciiTheme="majorBidi" w:hAnsiTheme="majorBidi" w:cstheme="majorBidi"/>
                <w:i/>
                <w:iCs/>
                <w:sz w:val="24"/>
                <w:szCs w:val="24"/>
              </w:rPr>
              <w:t>isclosure (%)</w:t>
            </w:r>
          </w:p>
        </w:tc>
      </w:tr>
      <w:tr w:rsidR="00566D02" w:rsidRPr="00D9685F" w14:paraId="4C851803" w14:textId="77777777" w:rsidTr="00D9685F">
        <w:tc>
          <w:tcPr>
            <w:tcW w:w="1691" w:type="dxa"/>
            <w:tcBorders>
              <w:top w:val="nil"/>
              <w:left w:val="nil"/>
              <w:bottom w:val="nil"/>
              <w:right w:val="nil"/>
            </w:tcBorders>
          </w:tcPr>
          <w:p w14:paraId="0E55E0E8"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Mean</w:t>
            </w:r>
          </w:p>
        </w:tc>
        <w:tc>
          <w:tcPr>
            <w:tcW w:w="876" w:type="dxa"/>
            <w:tcBorders>
              <w:top w:val="nil"/>
              <w:left w:val="nil"/>
              <w:bottom w:val="nil"/>
              <w:right w:val="nil"/>
            </w:tcBorders>
          </w:tcPr>
          <w:p w14:paraId="0FA1D716"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40.02</w:t>
            </w:r>
          </w:p>
        </w:tc>
        <w:tc>
          <w:tcPr>
            <w:tcW w:w="842" w:type="dxa"/>
            <w:tcBorders>
              <w:top w:val="nil"/>
              <w:left w:val="nil"/>
              <w:bottom w:val="nil"/>
              <w:right w:val="nil"/>
            </w:tcBorders>
          </w:tcPr>
          <w:p w14:paraId="4EC52BD0"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37.37</w:t>
            </w:r>
          </w:p>
        </w:tc>
        <w:tc>
          <w:tcPr>
            <w:tcW w:w="876" w:type="dxa"/>
            <w:tcBorders>
              <w:top w:val="nil"/>
              <w:left w:val="nil"/>
              <w:bottom w:val="nil"/>
              <w:right w:val="nil"/>
            </w:tcBorders>
          </w:tcPr>
          <w:p w14:paraId="7D2EB153"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38.96</w:t>
            </w:r>
          </w:p>
        </w:tc>
        <w:tc>
          <w:tcPr>
            <w:tcW w:w="876" w:type="dxa"/>
            <w:tcBorders>
              <w:top w:val="nil"/>
              <w:left w:val="nil"/>
              <w:bottom w:val="nil"/>
              <w:right w:val="nil"/>
            </w:tcBorders>
          </w:tcPr>
          <w:p w14:paraId="0355AEBF"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39.66</w:t>
            </w:r>
          </w:p>
        </w:tc>
        <w:tc>
          <w:tcPr>
            <w:tcW w:w="843" w:type="dxa"/>
            <w:tcBorders>
              <w:top w:val="nil"/>
              <w:left w:val="nil"/>
              <w:bottom w:val="nil"/>
              <w:right w:val="nil"/>
            </w:tcBorders>
          </w:tcPr>
          <w:p w14:paraId="091D96F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40.46</w:t>
            </w:r>
          </w:p>
        </w:tc>
        <w:tc>
          <w:tcPr>
            <w:tcW w:w="842" w:type="dxa"/>
            <w:tcBorders>
              <w:top w:val="nil"/>
              <w:left w:val="nil"/>
              <w:bottom w:val="nil"/>
              <w:right w:val="nil"/>
            </w:tcBorders>
          </w:tcPr>
          <w:p w14:paraId="4F34BFA5"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41.14</w:t>
            </w:r>
          </w:p>
        </w:tc>
        <w:tc>
          <w:tcPr>
            <w:tcW w:w="876" w:type="dxa"/>
            <w:tcBorders>
              <w:top w:val="nil"/>
              <w:left w:val="nil"/>
              <w:bottom w:val="nil"/>
              <w:right w:val="nil"/>
            </w:tcBorders>
          </w:tcPr>
          <w:p w14:paraId="35A8EED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42.51</w:t>
            </w:r>
          </w:p>
        </w:tc>
        <w:tc>
          <w:tcPr>
            <w:tcW w:w="1071" w:type="dxa"/>
            <w:tcBorders>
              <w:top w:val="nil"/>
              <w:left w:val="nil"/>
              <w:bottom w:val="nil"/>
              <w:right w:val="nil"/>
            </w:tcBorders>
          </w:tcPr>
          <w:p w14:paraId="2CDF760A" w14:textId="77777777" w:rsidR="00566D02" w:rsidRPr="00D9685F" w:rsidRDefault="00566D02" w:rsidP="003C080D">
            <w:pPr>
              <w:rPr>
                <w:rFonts w:asciiTheme="majorBidi" w:hAnsiTheme="majorBidi" w:cstheme="majorBidi"/>
                <w:sz w:val="24"/>
                <w:szCs w:val="24"/>
                <w:vertAlign w:val="superscript"/>
              </w:rPr>
            </w:pPr>
            <w:r w:rsidRPr="00D9685F">
              <w:rPr>
                <w:rFonts w:asciiTheme="majorBidi" w:hAnsiTheme="majorBidi" w:cstheme="majorBidi"/>
                <w:sz w:val="24"/>
                <w:szCs w:val="24"/>
              </w:rPr>
              <w:t>0.38</w:t>
            </w:r>
          </w:p>
        </w:tc>
        <w:tc>
          <w:tcPr>
            <w:tcW w:w="988" w:type="dxa"/>
            <w:tcBorders>
              <w:top w:val="nil"/>
              <w:left w:val="nil"/>
              <w:bottom w:val="nil"/>
              <w:right w:val="nil"/>
            </w:tcBorders>
          </w:tcPr>
          <w:p w14:paraId="13C01F7F"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566D02" w:rsidRPr="00D9685F" w14:paraId="2E40E599" w14:textId="77777777" w:rsidTr="00D9685F">
        <w:tc>
          <w:tcPr>
            <w:tcW w:w="1691" w:type="dxa"/>
            <w:tcBorders>
              <w:top w:val="nil"/>
              <w:left w:val="nil"/>
              <w:bottom w:val="nil"/>
              <w:right w:val="nil"/>
            </w:tcBorders>
          </w:tcPr>
          <w:p w14:paraId="28F712DE"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 xml:space="preserve">Median </w:t>
            </w:r>
          </w:p>
        </w:tc>
        <w:tc>
          <w:tcPr>
            <w:tcW w:w="876" w:type="dxa"/>
            <w:tcBorders>
              <w:top w:val="nil"/>
              <w:left w:val="nil"/>
              <w:bottom w:val="nil"/>
              <w:right w:val="nil"/>
            </w:tcBorders>
          </w:tcPr>
          <w:p w14:paraId="299B981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40.00</w:t>
            </w:r>
          </w:p>
        </w:tc>
        <w:tc>
          <w:tcPr>
            <w:tcW w:w="842" w:type="dxa"/>
            <w:tcBorders>
              <w:top w:val="nil"/>
              <w:left w:val="nil"/>
              <w:bottom w:val="nil"/>
              <w:right w:val="nil"/>
            </w:tcBorders>
          </w:tcPr>
          <w:p w14:paraId="5126116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36.00</w:t>
            </w:r>
          </w:p>
        </w:tc>
        <w:tc>
          <w:tcPr>
            <w:tcW w:w="876" w:type="dxa"/>
            <w:tcBorders>
              <w:top w:val="nil"/>
              <w:left w:val="nil"/>
              <w:bottom w:val="nil"/>
              <w:right w:val="nil"/>
            </w:tcBorders>
          </w:tcPr>
          <w:p w14:paraId="3C7689F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39.00</w:t>
            </w:r>
          </w:p>
        </w:tc>
        <w:tc>
          <w:tcPr>
            <w:tcW w:w="876" w:type="dxa"/>
            <w:tcBorders>
              <w:top w:val="nil"/>
              <w:left w:val="nil"/>
              <w:bottom w:val="nil"/>
              <w:right w:val="nil"/>
            </w:tcBorders>
          </w:tcPr>
          <w:p w14:paraId="2A9791A3"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39.00</w:t>
            </w:r>
          </w:p>
        </w:tc>
        <w:tc>
          <w:tcPr>
            <w:tcW w:w="843" w:type="dxa"/>
            <w:tcBorders>
              <w:top w:val="nil"/>
              <w:left w:val="nil"/>
              <w:bottom w:val="nil"/>
              <w:right w:val="nil"/>
            </w:tcBorders>
          </w:tcPr>
          <w:p w14:paraId="13BAE9F1"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40.00</w:t>
            </w:r>
          </w:p>
        </w:tc>
        <w:tc>
          <w:tcPr>
            <w:tcW w:w="842" w:type="dxa"/>
            <w:tcBorders>
              <w:top w:val="nil"/>
              <w:left w:val="nil"/>
              <w:bottom w:val="nil"/>
              <w:right w:val="nil"/>
            </w:tcBorders>
          </w:tcPr>
          <w:p w14:paraId="04AD8039"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41.00</w:t>
            </w:r>
          </w:p>
        </w:tc>
        <w:tc>
          <w:tcPr>
            <w:tcW w:w="876" w:type="dxa"/>
            <w:tcBorders>
              <w:top w:val="nil"/>
              <w:left w:val="nil"/>
              <w:bottom w:val="nil"/>
              <w:right w:val="nil"/>
            </w:tcBorders>
          </w:tcPr>
          <w:p w14:paraId="0F1CAAA1"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42.00</w:t>
            </w:r>
          </w:p>
        </w:tc>
        <w:tc>
          <w:tcPr>
            <w:tcW w:w="1071" w:type="dxa"/>
            <w:tcBorders>
              <w:top w:val="nil"/>
              <w:left w:val="nil"/>
              <w:bottom w:val="nil"/>
              <w:right w:val="nil"/>
            </w:tcBorders>
          </w:tcPr>
          <w:p w14:paraId="59CAA480"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4E159D50" w14:textId="77777777" w:rsidR="00566D02" w:rsidRPr="00D9685F" w:rsidRDefault="00566D02" w:rsidP="003C080D">
            <w:pPr>
              <w:rPr>
                <w:rFonts w:asciiTheme="majorBidi" w:hAnsiTheme="majorBidi" w:cstheme="majorBidi"/>
                <w:sz w:val="24"/>
                <w:szCs w:val="24"/>
                <w:vertAlign w:val="superscript"/>
              </w:rPr>
            </w:pPr>
            <w:r w:rsidRPr="00D9685F">
              <w:rPr>
                <w:rFonts w:asciiTheme="majorBidi" w:hAnsiTheme="majorBidi" w:cstheme="majorBidi"/>
                <w:sz w:val="24"/>
                <w:szCs w:val="24"/>
              </w:rPr>
              <w:t>1.00</w:t>
            </w:r>
          </w:p>
        </w:tc>
      </w:tr>
      <w:tr w:rsidR="00566D02" w:rsidRPr="00D9685F" w14:paraId="3BE008DA" w14:textId="77777777" w:rsidTr="00D9685F">
        <w:tc>
          <w:tcPr>
            <w:tcW w:w="1691" w:type="dxa"/>
            <w:tcBorders>
              <w:top w:val="nil"/>
              <w:left w:val="nil"/>
              <w:bottom w:val="nil"/>
              <w:right w:val="nil"/>
            </w:tcBorders>
          </w:tcPr>
          <w:p w14:paraId="0AB4E8C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STD</w:t>
            </w:r>
          </w:p>
        </w:tc>
        <w:tc>
          <w:tcPr>
            <w:tcW w:w="876" w:type="dxa"/>
            <w:tcBorders>
              <w:top w:val="nil"/>
              <w:left w:val="nil"/>
              <w:bottom w:val="nil"/>
              <w:right w:val="nil"/>
            </w:tcBorders>
          </w:tcPr>
          <w:p w14:paraId="595253EF" w14:textId="65B85831"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9.20</w:t>
            </w:r>
          </w:p>
        </w:tc>
        <w:tc>
          <w:tcPr>
            <w:tcW w:w="842" w:type="dxa"/>
            <w:tcBorders>
              <w:top w:val="nil"/>
              <w:left w:val="nil"/>
              <w:bottom w:val="nil"/>
              <w:right w:val="nil"/>
            </w:tcBorders>
          </w:tcPr>
          <w:p w14:paraId="466AE286" w14:textId="7062A1AA"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8.91</w:t>
            </w:r>
          </w:p>
        </w:tc>
        <w:tc>
          <w:tcPr>
            <w:tcW w:w="876" w:type="dxa"/>
            <w:tcBorders>
              <w:top w:val="nil"/>
              <w:left w:val="nil"/>
              <w:bottom w:val="nil"/>
              <w:right w:val="nil"/>
            </w:tcBorders>
          </w:tcPr>
          <w:p w14:paraId="0D80FB56" w14:textId="57B4B80D"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9.12</w:t>
            </w:r>
          </w:p>
        </w:tc>
        <w:tc>
          <w:tcPr>
            <w:tcW w:w="876" w:type="dxa"/>
            <w:tcBorders>
              <w:top w:val="nil"/>
              <w:left w:val="nil"/>
              <w:bottom w:val="nil"/>
              <w:right w:val="nil"/>
            </w:tcBorders>
          </w:tcPr>
          <w:p w14:paraId="2836BEC0" w14:textId="565AD745"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9.12</w:t>
            </w:r>
          </w:p>
        </w:tc>
        <w:tc>
          <w:tcPr>
            <w:tcW w:w="843" w:type="dxa"/>
            <w:tcBorders>
              <w:top w:val="nil"/>
              <w:left w:val="nil"/>
              <w:bottom w:val="nil"/>
              <w:right w:val="nil"/>
            </w:tcBorders>
          </w:tcPr>
          <w:p w14:paraId="5740A18B" w14:textId="2D2299ED"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8.78</w:t>
            </w:r>
          </w:p>
        </w:tc>
        <w:tc>
          <w:tcPr>
            <w:tcW w:w="842" w:type="dxa"/>
            <w:tcBorders>
              <w:top w:val="nil"/>
              <w:left w:val="nil"/>
              <w:bottom w:val="nil"/>
              <w:right w:val="nil"/>
            </w:tcBorders>
          </w:tcPr>
          <w:p w14:paraId="65822A82" w14:textId="49095161"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9.22</w:t>
            </w:r>
          </w:p>
        </w:tc>
        <w:tc>
          <w:tcPr>
            <w:tcW w:w="876" w:type="dxa"/>
            <w:tcBorders>
              <w:top w:val="nil"/>
              <w:left w:val="nil"/>
              <w:bottom w:val="nil"/>
              <w:right w:val="nil"/>
            </w:tcBorders>
          </w:tcPr>
          <w:p w14:paraId="4DA5B556" w14:textId="2EC68A70"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9.34</w:t>
            </w:r>
          </w:p>
        </w:tc>
        <w:tc>
          <w:tcPr>
            <w:tcW w:w="1071" w:type="dxa"/>
            <w:tcBorders>
              <w:top w:val="nil"/>
              <w:left w:val="nil"/>
              <w:bottom w:val="nil"/>
              <w:right w:val="nil"/>
            </w:tcBorders>
          </w:tcPr>
          <w:p w14:paraId="692A8499"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1F2DD20D"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566D02" w:rsidRPr="00D9685F" w14:paraId="2F20FC31" w14:textId="77777777" w:rsidTr="00D9685F">
        <w:tc>
          <w:tcPr>
            <w:tcW w:w="1691" w:type="dxa"/>
            <w:tcBorders>
              <w:top w:val="nil"/>
              <w:left w:val="nil"/>
              <w:bottom w:val="nil"/>
              <w:right w:val="nil"/>
            </w:tcBorders>
          </w:tcPr>
          <w:p w14:paraId="1CC05BA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Minimum</w:t>
            </w:r>
          </w:p>
        </w:tc>
        <w:tc>
          <w:tcPr>
            <w:tcW w:w="876" w:type="dxa"/>
            <w:tcBorders>
              <w:top w:val="nil"/>
              <w:left w:val="nil"/>
              <w:bottom w:val="nil"/>
              <w:right w:val="nil"/>
            </w:tcBorders>
          </w:tcPr>
          <w:p w14:paraId="1A88E1F3" w14:textId="151C2934"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8.00</w:t>
            </w:r>
          </w:p>
        </w:tc>
        <w:tc>
          <w:tcPr>
            <w:tcW w:w="842" w:type="dxa"/>
            <w:tcBorders>
              <w:top w:val="nil"/>
              <w:left w:val="nil"/>
              <w:bottom w:val="nil"/>
              <w:right w:val="nil"/>
            </w:tcBorders>
          </w:tcPr>
          <w:p w14:paraId="1050D74F"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10.00</w:t>
            </w:r>
          </w:p>
        </w:tc>
        <w:tc>
          <w:tcPr>
            <w:tcW w:w="876" w:type="dxa"/>
            <w:tcBorders>
              <w:top w:val="nil"/>
              <w:left w:val="nil"/>
              <w:bottom w:val="nil"/>
              <w:right w:val="nil"/>
            </w:tcBorders>
          </w:tcPr>
          <w:p w14:paraId="0860B5BD" w14:textId="3192A4FA"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8.00</w:t>
            </w:r>
          </w:p>
        </w:tc>
        <w:tc>
          <w:tcPr>
            <w:tcW w:w="876" w:type="dxa"/>
            <w:tcBorders>
              <w:top w:val="nil"/>
              <w:left w:val="nil"/>
              <w:bottom w:val="nil"/>
              <w:right w:val="nil"/>
            </w:tcBorders>
          </w:tcPr>
          <w:p w14:paraId="0128C471" w14:textId="0033512F"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8.00</w:t>
            </w:r>
          </w:p>
        </w:tc>
        <w:tc>
          <w:tcPr>
            <w:tcW w:w="843" w:type="dxa"/>
            <w:tcBorders>
              <w:top w:val="nil"/>
              <w:left w:val="nil"/>
              <w:bottom w:val="nil"/>
              <w:right w:val="nil"/>
            </w:tcBorders>
          </w:tcPr>
          <w:p w14:paraId="1404E00C"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10.00</w:t>
            </w:r>
          </w:p>
        </w:tc>
        <w:tc>
          <w:tcPr>
            <w:tcW w:w="842" w:type="dxa"/>
            <w:tcBorders>
              <w:top w:val="nil"/>
              <w:left w:val="nil"/>
              <w:bottom w:val="nil"/>
              <w:right w:val="nil"/>
            </w:tcBorders>
          </w:tcPr>
          <w:p w14:paraId="1A13DA4B"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10.00</w:t>
            </w:r>
          </w:p>
        </w:tc>
        <w:tc>
          <w:tcPr>
            <w:tcW w:w="876" w:type="dxa"/>
            <w:tcBorders>
              <w:top w:val="nil"/>
              <w:left w:val="nil"/>
              <w:bottom w:val="nil"/>
              <w:right w:val="nil"/>
            </w:tcBorders>
          </w:tcPr>
          <w:p w14:paraId="06AA3B7D"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10.00</w:t>
            </w:r>
          </w:p>
        </w:tc>
        <w:tc>
          <w:tcPr>
            <w:tcW w:w="1071" w:type="dxa"/>
            <w:tcBorders>
              <w:top w:val="nil"/>
              <w:left w:val="nil"/>
              <w:bottom w:val="nil"/>
              <w:right w:val="nil"/>
            </w:tcBorders>
          </w:tcPr>
          <w:p w14:paraId="4BB8EA23"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0FFB19FF"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566D02" w:rsidRPr="00D9685F" w14:paraId="0D33E530" w14:textId="77777777" w:rsidTr="00D9685F">
        <w:tc>
          <w:tcPr>
            <w:tcW w:w="1691" w:type="dxa"/>
            <w:tcBorders>
              <w:top w:val="nil"/>
              <w:left w:val="nil"/>
              <w:bottom w:val="nil"/>
              <w:right w:val="nil"/>
            </w:tcBorders>
          </w:tcPr>
          <w:p w14:paraId="1F77B241"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Maximum</w:t>
            </w:r>
          </w:p>
        </w:tc>
        <w:tc>
          <w:tcPr>
            <w:tcW w:w="876" w:type="dxa"/>
            <w:tcBorders>
              <w:top w:val="nil"/>
              <w:left w:val="nil"/>
              <w:bottom w:val="nil"/>
              <w:right w:val="nil"/>
            </w:tcBorders>
          </w:tcPr>
          <w:p w14:paraId="4DFE21E8"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75.00</w:t>
            </w:r>
          </w:p>
        </w:tc>
        <w:tc>
          <w:tcPr>
            <w:tcW w:w="842" w:type="dxa"/>
            <w:tcBorders>
              <w:top w:val="nil"/>
              <w:left w:val="nil"/>
              <w:bottom w:val="nil"/>
              <w:right w:val="nil"/>
            </w:tcBorders>
          </w:tcPr>
          <w:p w14:paraId="2967A743"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56.00</w:t>
            </w:r>
          </w:p>
        </w:tc>
        <w:tc>
          <w:tcPr>
            <w:tcW w:w="876" w:type="dxa"/>
            <w:tcBorders>
              <w:top w:val="nil"/>
              <w:left w:val="nil"/>
              <w:bottom w:val="nil"/>
              <w:right w:val="nil"/>
            </w:tcBorders>
          </w:tcPr>
          <w:p w14:paraId="088870FD"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58.00</w:t>
            </w:r>
          </w:p>
        </w:tc>
        <w:tc>
          <w:tcPr>
            <w:tcW w:w="876" w:type="dxa"/>
            <w:tcBorders>
              <w:top w:val="nil"/>
              <w:left w:val="nil"/>
              <w:bottom w:val="nil"/>
              <w:right w:val="nil"/>
            </w:tcBorders>
          </w:tcPr>
          <w:p w14:paraId="75633D80"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60.00</w:t>
            </w:r>
          </w:p>
        </w:tc>
        <w:tc>
          <w:tcPr>
            <w:tcW w:w="843" w:type="dxa"/>
            <w:tcBorders>
              <w:top w:val="nil"/>
              <w:left w:val="nil"/>
              <w:bottom w:val="nil"/>
              <w:right w:val="nil"/>
            </w:tcBorders>
          </w:tcPr>
          <w:p w14:paraId="7B3B3C0D"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60.00</w:t>
            </w:r>
          </w:p>
        </w:tc>
        <w:tc>
          <w:tcPr>
            <w:tcW w:w="842" w:type="dxa"/>
            <w:tcBorders>
              <w:top w:val="nil"/>
              <w:left w:val="nil"/>
              <w:bottom w:val="nil"/>
              <w:right w:val="nil"/>
            </w:tcBorders>
          </w:tcPr>
          <w:p w14:paraId="2A7BB5EF"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70.00</w:t>
            </w:r>
          </w:p>
        </w:tc>
        <w:tc>
          <w:tcPr>
            <w:tcW w:w="876" w:type="dxa"/>
            <w:tcBorders>
              <w:top w:val="nil"/>
              <w:left w:val="nil"/>
              <w:bottom w:val="nil"/>
              <w:right w:val="nil"/>
            </w:tcBorders>
          </w:tcPr>
          <w:p w14:paraId="66FF6B5D"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75.00</w:t>
            </w:r>
          </w:p>
        </w:tc>
        <w:tc>
          <w:tcPr>
            <w:tcW w:w="1071" w:type="dxa"/>
            <w:tcBorders>
              <w:top w:val="nil"/>
              <w:left w:val="nil"/>
              <w:bottom w:val="nil"/>
              <w:right w:val="nil"/>
            </w:tcBorders>
          </w:tcPr>
          <w:p w14:paraId="6FC6AAF2"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3398EFCA"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D9685F" w:rsidRPr="00D9685F" w14:paraId="6F1CD7A6" w14:textId="77777777" w:rsidTr="00D9685F">
        <w:tc>
          <w:tcPr>
            <w:tcW w:w="9781" w:type="dxa"/>
            <w:gridSpan w:val="10"/>
            <w:tcBorders>
              <w:top w:val="nil"/>
              <w:left w:val="nil"/>
              <w:bottom w:val="nil"/>
              <w:right w:val="nil"/>
            </w:tcBorders>
          </w:tcPr>
          <w:p w14:paraId="1AEC1CE2" w14:textId="6080CA47" w:rsidR="00D9685F" w:rsidRPr="00D9685F" w:rsidRDefault="00D9685F" w:rsidP="003C080D">
            <w:pPr>
              <w:rPr>
                <w:rFonts w:asciiTheme="majorBidi" w:hAnsiTheme="majorBidi" w:cstheme="majorBidi"/>
                <w:sz w:val="24"/>
                <w:szCs w:val="24"/>
              </w:rPr>
            </w:pPr>
            <w:r w:rsidRPr="00D9685F">
              <w:rPr>
                <w:rFonts w:asciiTheme="majorBidi" w:hAnsiTheme="majorBidi" w:cstheme="majorBidi"/>
                <w:i/>
                <w:iCs/>
                <w:sz w:val="24"/>
                <w:szCs w:val="24"/>
              </w:rPr>
              <w:t xml:space="preserve">Panel 2: Governing </w:t>
            </w:r>
            <w:r w:rsidR="00646C38">
              <w:rPr>
                <w:rFonts w:asciiTheme="majorBidi" w:hAnsiTheme="majorBidi" w:cstheme="majorBidi"/>
                <w:i/>
                <w:iCs/>
                <w:sz w:val="24"/>
                <w:szCs w:val="24"/>
              </w:rPr>
              <w:t>b</w:t>
            </w:r>
            <w:r w:rsidRPr="00D9685F">
              <w:rPr>
                <w:rFonts w:asciiTheme="majorBidi" w:hAnsiTheme="majorBidi" w:cstheme="majorBidi"/>
                <w:i/>
                <w:iCs/>
                <w:sz w:val="24"/>
                <w:szCs w:val="24"/>
              </w:rPr>
              <w:t xml:space="preserve">oard </w:t>
            </w:r>
            <w:r w:rsidR="00646C38">
              <w:rPr>
                <w:rFonts w:asciiTheme="majorBidi" w:hAnsiTheme="majorBidi" w:cstheme="majorBidi"/>
                <w:i/>
                <w:iCs/>
                <w:sz w:val="24"/>
                <w:szCs w:val="24"/>
              </w:rPr>
              <w:t>s</w:t>
            </w:r>
            <w:r w:rsidRPr="00D9685F">
              <w:rPr>
                <w:rFonts w:asciiTheme="majorBidi" w:hAnsiTheme="majorBidi" w:cstheme="majorBidi"/>
                <w:i/>
                <w:iCs/>
                <w:sz w:val="24"/>
                <w:szCs w:val="24"/>
              </w:rPr>
              <w:t>ub-</w:t>
            </w:r>
            <w:r w:rsidR="00646C38">
              <w:rPr>
                <w:rFonts w:asciiTheme="majorBidi" w:hAnsiTheme="majorBidi" w:cstheme="majorBidi"/>
                <w:i/>
                <w:iCs/>
                <w:sz w:val="24"/>
                <w:szCs w:val="24"/>
              </w:rPr>
              <w:t>i</w:t>
            </w:r>
            <w:r w:rsidRPr="00D9685F">
              <w:rPr>
                <w:rFonts w:asciiTheme="majorBidi" w:hAnsiTheme="majorBidi" w:cstheme="majorBidi"/>
                <w:i/>
                <w:iCs/>
                <w:sz w:val="24"/>
                <w:szCs w:val="24"/>
              </w:rPr>
              <w:t>ndex (%)</w:t>
            </w:r>
          </w:p>
        </w:tc>
      </w:tr>
      <w:tr w:rsidR="00566D02" w:rsidRPr="00D9685F" w14:paraId="20F562DD" w14:textId="77777777" w:rsidTr="00D9685F">
        <w:tc>
          <w:tcPr>
            <w:tcW w:w="1691" w:type="dxa"/>
            <w:tcBorders>
              <w:top w:val="nil"/>
              <w:left w:val="nil"/>
              <w:bottom w:val="nil"/>
              <w:right w:val="nil"/>
            </w:tcBorders>
          </w:tcPr>
          <w:p w14:paraId="4089FB6F"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Mean</w:t>
            </w:r>
          </w:p>
        </w:tc>
        <w:tc>
          <w:tcPr>
            <w:tcW w:w="876" w:type="dxa"/>
            <w:tcBorders>
              <w:top w:val="nil"/>
              <w:left w:val="nil"/>
              <w:bottom w:val="nil"/>
              <w:right w:val="nil"/>
            </w:tcBorders>
          </w:tcPr>
          <w:p w14:paraId="087F9C2E"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52.65</w:t>
            </w:r>
          </w:p>
        </w:tc>
        <w:tc>
          <w:tcPr>
            <w:tcW w:w="842" w:type="dxa"/>
            <w:tcBorders>
              <w:top w:val="nil"/>
              <w:left w:val="nil"/>
              <w:bottom w:val="nil"/>
              <w:right w:val="nil"/>
            </w:tcBorders>
          </w:tcPr>
          <w:p w14:paraId="229755CC"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49.51</w:t>
            </w:r>
          </w:p>
        </w:tc>
        <w:tc>
          <w:tcPr>
            <w:tcW w:w="876" w:type="dxa"/>
            <w:tcBorders>
              <w:top w:val="nil"/>
              <w:left w:val="nil"/>
              <w:bottom w:val="nil"/>
              <w:right w:val="nil"/>
            </w:tcBorders>
          </w:tcPr>
          <w:p w14:paraId="22C338B8"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51.66</w:t>
            </w:r>
          </w:p>
        </w:tc>
        <w:tc>
          <w:tcPr>
            <w:tcW w:w="876" w:type="dxa"/>
            <w:tcBorders>
              <w:top w:val="nil"/>
              <w:left w:val="nil"/>
              <w:bottom w:val="nil"/>
              <w:right w:val="nil"/>
            </w:tcBorders>
          </w:tcPr>
          <w:p w14:paraId="3663BADE"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52.20</w:t>
            </w:r>
          </w:p>
        </w:tc>
        <w:tc>
          <w:tcPr>
            <w:tcW w:w="843" w:type="dxa"/>
            <w:tcBorders>
              <w:top w:val="nil"/>
              <w:left w:val="nil"/>
              <w:bottom w:val="nil"/>
              <w:right w:val="nil"/>
            </w:tcBorders>
          </w:tcPr>
          <w:p w14:paraId="2B04B030"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53.47</w:t>
            </w:r>
          </w:p>
        </w:tc>
        <w:tc>
          <w:tcPr>
            <w:tcW w:w="842" w:type="dxa"/>
            <w:tcBorders>
              <w:top w:val="nil"/>
              <w:left w:val="nil"/>
              <w:bottom w:val="nil"/>
              <w:right w:val="nil"/>
            </w:tcBorders>
          </w:tcPr>
          <w:p w14:paraId="6DE7FD99"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53.88</w:t>
            </w:r>
          </w:p>
        </w:tc>
        <w:tc>
          <w:tcPr>
            <w:tcW w:w="876" w:type="dxa"/>
            <w:tcBorders>
              <w:top w:val="nil"/>
              <w:left w:val="nil"/>
              <w:bottom w:val="nil"/>
              <w:right w:val="nil"/>
            </w:tcBorders>
          </w:tcPr>
          <w:p w14:paraId="77F8C07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55.21</w:t>
            </w:r>
          </w:p>
        </w:tc>
        <w:tc>
          <w:tcPr>
            <w:tcW w:w="1071" w:type="dxa"/>
            <w:tcBorders>
              <w:top w:val="nil"/>
              <w:left w:val="nil"/>
              <w:bottom w:val="nil"/>
              <w:right w:val="nil"/>
            </w:tcBorders>
          </w:tcPr>
          <w:p w14:paraId="1CFC154F" w14:textId="77777777" w:rsidR="00566D02" w:rsidRPr="00D9685F" w:rsidRDefault="00566D02" w:rsidP="003C080D">
            <w:pPr>
              <w:rPr>
                <w:rFonts w:asciiTheme="majorBidi" w:hAnsiTheme="majorBidi" w:cstheme="majorBidi"/>
                <w:sz w:val="24"/>
                <w:szCs w:val="24"/>
                <w:vertAlign w:val="superscript"/>
              </w:rPr>
            </w:pPr>
            <w:r w:rsidRPr="00D9685F">
              <w:rPr>
                <w:rFonts w:asciiTheme="majorBidi" w:hAnsiTheme="majorBidi" w:cstheme="majorBidi"/>
                <w:sz w:val="24"/>
                <w:szCs w:val="24"/>
              </w:rPr>
              <w:t>-0.16</w:t>
            </w:r>
          </w:p>
        </w:tc>
        <w:tc>
          <w:tcPr>
            <w:tcW w:w="988" w:type="dxa"/>
            <w:tcBorders>
              <w:top w:val="nil"/>
              <w:left w:val="nil"/>
              <w:bottom w:val="nil"/>
              <w:right w:val="nil"/>
            </w:tcBorders>
          </w:tcPr>
          <w:p w14:paraId="0DCA3239"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566D02" w:rsidRPr="00D9685F" w14:paraId="1648FAFF" w14:textId="77777777" w:rsidTr="00D9685F">
        <w:tc>
          <w:tcPr>
            <w:tcW w:w="1691" w:type="dxa"/>
            <w:tcBorders>
              <w:top w:val="nil"/>
              <w:left w:val="nil"/>
              <w:bottom w:val="nil"/>
              <w:right w:val="nil"/>
            </w:tcBorders>
          </w:tcPr>
          <w:p w14:paraId="00DE8DEF"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 xml:space="preserve">Median </w:t>
            </w:r>
          </w:p>
        </w:tc>
        <w:tc>
          <w:tcPr>
            <w:tcW w:w="876" w:type="dxa"/>
            <w:tcBorders>
              <w:top w:val="nil"/>
              <w:left w:val="nil"/>
              <w:bottom w:val="nil"/>
              <w:right w:val="nil"/>
            </w:tcBorders>
          </w:tcPr>
          <w:p w14:paraId="74F7AE89"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55.56</w:t>
            </w:r>
          </w:p>
        </w:tc>
        <w:tc>
          <w:tcPr>
            <w:tcW w:w="842" w:type="dxa"/>
            <w:tcBorders>
              <w:top w:val="nil"/>
              <w:left w:val="nil"/>
              <w:bottom w:val="nil"/>
              <w:right w:val="nil"/>
            </w:tcBorders>
          </w:tcPr>
          <w:p w14:paraId="5CEFBE1F"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51.85</w:t>
            </w:r>
          </w:p>
        </w:tc>
        <w:tc>
          <w:tcPr>
            <w:tcW w:w="876" w:type="dxa"/>
            <w:tcBorders>
              <w:top w:val="nil"/>
              <w:left w:val="nil"/>
              <w:bottom w:val="nil"/>
              <w:right w:val="nil"/>
            </w:tcBorders>
          </w:tcPr>
          <w:p w14:paraId="745D967B"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55.56</w:t>
            </w:r>
          </w:p>
        </w:tc>
        <w:tc>
          <w:tcPr>
            <w:tcW w:w="876" w:type="dxa"/>
            <w:tcBorders>
              <w:top w:val="nil"/>
              <w:left w:val="nil"/>
              <w:bottom w:val="nil"/>
              <w:right w:val="nil"/>
            </w:tcBorders>
          </w:tcPr>
          <w:p w14:paraId="4562EA1D"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55.56</w:t>
            </w:r>
          </w:p>
        </w:tc>
        <w:tc>
          <w:tcPr>
            <w:tcW w:w="843" w:type="dxa"/>
            <w:tcBorders>
              <w:top w:val="nil"/>
              <w:left w:val="nil"/>
              <w:bottom w:val="nil"/>
              <w:right w:val="nil"/>
            </w:tcBorders>
          </w:tcPr>
          <w:p w14:paraId="7EBC3711"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55.56</w:t>
            </w:r>
          </w:p>
        </w:tc>
        <w:tc>
          <w:tcPr>
            <w:tcW w:w="842" w:type="dxa"/>
            <w:tcBorders>
              <w:top w:val="nil"/>
              <w:left w:val="nil"/>
              <w:bottom w:val="nil"/>
              <w:right w:val="nil"/>
            </w:tcBorders>
          </w:tcPr>
          <w:p w14:paraId="159993E5"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55.56</w:t>
            </w:r>
          </w:p>
        </w:tc>
        <w:tc>
          <w:tcPr>
            <w:tcW w:w="876" w:type="dxa"/>
            <w:tcBorders>
              <w:top w:val="nil"/>
              <w:left w:val="nil"/>
              <w:bottom w:val="nil"/>
              <w:right w:val="nil"/>
            </w:tcBorders>
          </w:tcPr>
          <w:p w14:paraId="3FCB707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55.56</w:t>
            </w:r>
          </w:p>
        </w:tc>
        <w:tc>
          <w:tcPr>
            <w:tcW w:w="1071" w:type="dxa"/>
            <w:tcBorders>
              <w:top w:val="nil"/>
              <w:left w:val="nil"/>
              <w:bottom w:val="nil"/>
              <w:right w:val="nil"/>
            </w:tcBorders>
          </w:tcPr>
          <w:p w14:paraId="7AA64883"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5838CE23" w14:textId="77777777" w:rsidR="00566D02" w:rsidRPr="00D9685F" w:rsidRDefault="00566D02" w:rsidP="003C080D">
            <w:pPr>
              <w:rPr>
                <w:rFonts w:asciiTheme="majorBidi" w:hAnsiTheme="majorBidi" w:cstheme="majorBidi"/>
                <w:sz w:val="24"/>
                <w:szCs w:val="24"/>
                <w:vertAlign w:val="superscript"/>
              </w:rPr>
            </w:pPr>
            <w:r w:rsidRPr="00D9685F">
              <w:rPr>
                <w:rFonts w:asciiTheme="majorBidi" w:hAnsiTheme="majorBidi" w:cstheme="majorBidi"/>
                <w:sz w:val="24"/>
                <w:szCs w:val="24"/>
              </w:rPr>
              <w:t>0.00</w:t>
            </w:r>
          </w:p>
        </w:tc>
      </w:tr>
      <w:tr w:rsidR="00566D02" w:rsidRPr="00D9685F" w14:paraId="535E4C34" w14:textId="77777777" w:rsidTr="00D9685F">
        <w:tc>
          <w:tcPr>
            <w:tcW w:w="1691" w:type="dxa"/>
            <w:tcBorders>
              <w:top w:val="nil"/>
              <w:left w:val="nil"/>
              <w:bottom w:val="nil"/>
              <w:right w:val="nil"/>
            </w:tcBorders>
          </w:tcPr>
          <w:p w14:paraId="08D1B9CB"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STD</w:t>
            </w:r>
          </w:p>
        </w:tc>
        <w:tc>
          <w:tcPr>
            <w:tcW w:w="876" w:type="dxa"/>
            <w:tcBorders>
              <w:top w:val="nil"/>
              <w:left w:val="nil"/>
              <w:bottom w:val="nil"/>
              <w:right w:val="nil"/>
            </w:tcBorders>
          </w:tcPr>
          <w:p w14:paraId="70D15A3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10.99</w:t>
            </w:r>
          </w:p>
        </w:tc>
        <w:tc>
          <w:tcPr>
            <w:tcW w:w="842" w:type="dxa"/>
            <w:tcBorders>
              <w:top w:val="nil"/>
              <w:left w:val="nil"/>
              <w:bottom w:val="nil"/>
              <w:right w:val="nil"/>
            </w:tcBorders>
          </w:tcPr>
          <w:p w14:paraId="2A7ED609"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11.42</w:t>
            </w:r>
          </w:p>
        </w:tc>
        <w:tc>
          <w:tcPr>
            <w:tcW w:w="876" w:type="dxa"/>
            <w:tcBorders>
              <w:top w:val="nil"/>
              <w:left w:val="nil"/>
              <w:bottom w:val="nil"/>
              <w:right w:val="nil"/>
            </w:tcBorders>
          </w:tcPr>
          <w:p w14:paraId="5EE5DA0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11.31</w:t>
            </w:r>
          </w:p>
        </w:tc>
        <w:tc>
          <w:tcPr>
            <w:tcW w:w="876" w:type="dxa"/>
            <w:tcBorders>
              <w:top w:val="nil"/>
              <w:left w:val="nil"/>
              <w:bottom w:val="nil"/>
              <w:right w:val="nil"/>
            </w:tcBorders>
          </w:tcPr>
          <w:p w14:paraId="32EA38AD"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11.52</w:t>
            </w:r>
          </w:p>
        </w:tc>
        <w:tc>
          <w:tcPr>
            <w:tcW w:w="843" w:type="dxa"/>
            <w:tcBorders>
              <w:top w:val="nil"/>
              <w:left w:val="nil"/>
              <w:bottom w:val="nil"/>
              <w:right w:val="nil"/>
            </w:tcBorders>
          </w:tcPr>
          <w:p w14:paraId="5E8D2188"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10.47</w:t>
            </w:r>
          </w:p>
        </w:tc>
        <w:tc>
          <w:tcPr>
            <w:tcW w:w="842" w:type="dxa"/>
            <w:tcBorders>
              <w:top w:val="nil"/>
              <w:left w:val="nil"/>
              <w:bottom w:val="nil"/>
              <w:right w:val="nil"/>
            </w:tcBorders>
          </w:tcPr>
          <w:p w14:paraId="674C52B1"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10.57</w:t>
            </w:r>
          </w:p>
        </w:tc>
        <w:tc>
          <w:tcPr>
            <w:tcW w:w="876" w:type="dxa"/>
            <w:tcBorders>
              <w:top w:val="nil"/>
              <w:left w:val="nil"/>
              <w:bottom w:val="nil"/>
              <w:right w:val="nil"/>
            </w:tcBorders>
          </w:tcPr>
          <w:p w14:paraId="760D4CE7" w14:textId="1AAA6F46"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9.88</w:t>
            </w:r>
          </w:p>
        </w:tc>
        <w:tc>
          <w:tcPr>
            <w:tcW w:w="1071" w:type="dxa"/>
            <w:tcBorders>
              <w:top w:val="nil"/>
              <w:left w:val="nil"/>
              <w:bottom w:val="nil"/>
              <w:right w:val="nil"/>
            </w:tcBorders>
          </w:tcPr>
          <w:p w14:paraId="774C3CBD"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42C3248F"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566D02" w:rsidRPr="00D9685F" w14:paraId="019F638F" w14:textId="77777777" w:rsidTr="00D9685F">
        <w:tc>
          <w:tcPr>
            <w:tcW w:w="1691" w:type="dxa"/>
            <w:tcBorders>
              <w:top w:val="nil"/>
              <w:left w:val="nil"/>
              <w:bottom w:val="nil"/>
              <w:right w:val="nil"/>
            </w:tcBorders>
          </w:tcPr>
          <w:p w14:paraId="639E40F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Minimum</w:t>
            </w:r>
          </w:p>
        </w:tc>
        <w:tc>
          <w:tcPr>
            <w:tcW w:w="876" w:type="dxa"/>
            <w:tcBorders>
              <w:top w:val="nil"/>
              <w:left w:val="nil"/>
              <w:bottom w:val="nil"/>
              <w:right w:val="nil"/>
            </w:tcBorders>
          </w:tcPr>
          <w:p w14:paraId="492EB738"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14.81</w:t>
            </w:r>
          </w:p>
        </w:tc>
        <w:tc>
          <w:tcPr>
            <w:tcW w:w="842" w:type="dxa"/>
            <w:tcBorders>
              <w:top w:val="nil"/>
              <w:left w:val="nil"/>
              <w:bottom w:val="nil"/>
              <w:right w:val="nil"/>
            </w:tcBorders>
          </w:tcPr>
          <w:p w14:paraId="2037AC5F"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14.81</w:t>
            </w:r>
          </w:p>
        </w:tc>
        <w:tc>
          <w:tcPr>
            <w:tcW w:w="876" w:type="dxa"/>
            <w:tcBorders>
              <w:top w:val="nil"/>
              <w:left w:val="nil"/>
              <w:bottom w:val="nil"/>
              <w:right w:val="nil"/>
            </w:tcBorders>
          </w:tcPr>
          <w:p w14:paraId="12DC87DD"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14.81</w:t>
            </w:r>
          </w:p>
        </w:tc>
        <w:tc>
          <w:tcPr>
            <w:tcW w:w="876" w:type="dxa"/>
            <w:tcBorders>
              <w:top w:val="nil"/>
              <w:left w:val="nil"/>
              <w:bottom w:val="nil"/>
              <w:right w:val="nil"/>
            </w:tcBorders>
          </w:tcPr>
          <w:p w14:paraId="3154EA79"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14.81</w:t>
            </w:r>
          </w:p>
        </w:tc>
        <w:tc>
          <w:tcPr>
            <w:tcW w:w="843" w:type="dxa"/>
            <w:tcBorders>
              <w:top w:val="nil"/>
              <w:left w:val="nil"/>
              <w:bottom w:val="nil"/>
              <w:right w:val="nil"/>
            </w:tcBorders>
          </w:tcPr>
          <w:p w14:paraId="21B3FED9"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18.52</w:t>
            </w:r>
          </w:p>
        </w:tc>
        <w:tc>
          <w:tcPr>
            <w:tcW w:w="842" w:type="dxa"/>
            <w:tcBorders>
              <w:top w:val="nil"/>
              <w:left w:val="nil"/>
              <w:bottom w:val="nil"/>
              <w:right w:val="nil"/>
            </w:tcBorders>
          </w:tcPr>
          <w:p w14:paraId="11448AF9"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18.52</w:t>
            </w:r>
          </w:p>
        </w:tc>
        <w:tc>
          <w:tcPr>
            <w:tcW w:w="876" w:type="dxa"/>
            <w:tcBorders>
              <w:top w:val="nil"/>
              <w:left w:val="nil"/>
              <w:bottom w:val="nil"/>
              <w:right w:val="nil"/>
            </w:tcBorders>
          </w:tcPr>
          <w:p w14:paraId="0D943885"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18.52</w:t>
            </w:r>
          </w:p>
        </w:tc>
        <w:tc>
          <w:tcPr>
            <w:tcW w:w="1071" w:type="dxa"/>
            <w:tcBorders>
              <w:top w:val="nil"/>
              <w:left w:val="nil"/>
              <w:bottom w:val="nil"/>
              <w:right w:val="nil"/>
            </w:tcBorders>
          </w:tcPr>
          <w:p w14:paraId="0A48F36D"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2BAF5D6A"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566D02" w:rsidRPr="00D9685F" w14:paraId="3D297932" w14:textId="77777777" w:rsidTr="00D9685F">
        <w:tc>
          <w:tcPr>
            <w:tcW w:w="1691" w:type="dxa"/>
            <w:tcBorders>
              <w:top w:val="nil"/>
              <w:left w:val="nil"/>
              <w:bottom w:val="nil"/>
              <w:right w:val="nil"/>
            </w:tcBorders>
          </w:tcPr>
          <w:p w14:paraId="5ABB135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Maximum</w:t>
            </w:r>
          </w:p>
        </w:tc>
        <w:tc>
          <w:tcPr>
            <w:tcW w:w="876" w:type="dxa"/>
            <w:tcBorders>
              <w:top w:val="nil"/>
              <w:left w:val="nil"/>
              <w:bottom w:val="nil"/>
              <w:right w:val="nil"/>
            </w:tcBorders>
          </w:tcPr>
          <w:p w14:paraId="55E16810"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74.07</w:t>
            </w:r>
          </w:p>
        </w:tc>
        <w:tc>
          <w:tcPr>
            <w:tcW w:w="842" w:type="dxa"/>
            <w:tcBorders>
              <w:top w:val="nil"/>
              <w:left w:val="nil"/>
              <w:bottom w:val="nil"/>
              <w:right w:val="nil"/>
            </w:tcBorders>
          </w:tcPr>
          <w:p w14:paraId="43621E5B"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70.37</w:t>
            </w:r>
          </w:p>
        </w:tc>
        <w:tc>
          <w:tcPr>
            <w:tcW w:w="876" w:type="dxa"/>
            <w:tcBorders>
              <w:top w:val="nil"/>
              <w:left w:val="nil"/>
              <w:bottom w:val="nil"/>
              <w:right w:val="nil"/>
            </w:tcBorders>
          </w:tcPr>
          <w:p w14:paraId="26335C28"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70.37</w:t>
            </w:r>
          </w:p>
        </w:tc>
        <w:tc>
          <w:tcPr>
            <w:tcW w:w="876" w:type="dxa"/>
            <w:tcBorders>
              <w:top w:val="nil"/>
              <w:left w:val="nil"/>
              <w:bottom w:val="nil"/>
              <w:right w:val="nil"/>
            </w:tcBorders>
          </w:tcPr>
          <w:p w14:paraId="1B632EDE"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74.07</w:t>
            </w:r>
          </w:p>
        </w:tc>
        <w:tc>
          <w:tcPr>
            <w:tcW w:w="843" w:type="dxa"/>
            <w:tcBorders>
              <w:top w:val="nil"/>
              <w:left w:val="nil"/>
              <w:bottom w:val="nil"/>
              <w:right w:val="nil"/>
            </w:tcBorders>
          </w:tcPr>
          <w:p w14:paraId="4709C74D"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74.07</w:t>
            </w:r>
          </w:p>
        </w:tc>
        <w:tc>
          <w:tcPr>
            <w:tcW w:w="842" w:type="dxa"/>
            <w:tcBorders>
              <w:top w:val="nil"/>
              <w:left w:val="nil"/>
              <w:bottom w:val="nil"/>
              <w:right w:val="nil"/>
            </w:tcBorders>
          </w:tcPr>
          <w:p w14:paraId="5D2FA7D8"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74.07</w:t>
            </w:r>
          </w:p>
        </w:tc>
        <w:tc>
          <w:tcPr>
            <w:tcW w:w="876" w:type="dxa"/>
            <w:tcBorders>
              <w:top w:val="nil"/>
              <w:left w:val="nil"/>
              <w:bottom w:val="nil"/>
              <w:right w:val="nil"/>
            </w:tcBorders>
          </w:tcPr>
          <w:p w14:paraId="0846DF4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74.07</w:t>
            </w:r>
          </w:p>
        </w:tc>
        <w:tc>
          <w:tcPr>
            <w:tcW w:w="1071" w:type="dxa"/>
            <w:tcBorders>
              <w:top w:val="nil"/>
              <w:left w:val="nil"/>
              <w:bottom w:val="nil"/>
              <w:right w:val="nil"/>
            </w:tcBorders>
          </w:tcPr>
          <w:p w14:paraId="21EFE65B"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0B6502CF"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D9685F" w:rsidRPr="00D9685F" w14:paraId="5F0A4C31" w14:textId="77777777" w:rsidTr="00D9685F">
        <w:tc>
          <w:tcPr>
            <w:tcW w:w="9781" w:type="dxa"/>
            <w:gridSpan w:val="10"/>
            <w:tcBorders>
              <w:top w:val="nil"/>
              <w:left w:val="nil"/>
              <w:bottom w:val="nil"/>
              <w:right w:val="nil"/>
            </w:tcBorders>
          </w:tcPr>
          <w:p w14:paraId="7B1B3D44" w14:textId="0993D11A" w:rsidR="00D9685F" w:rsidRPr="00D9685F" w:rsidRDefault="00D9685F" w:rsidP="003C080D">
            <w:pPr>
              <w:rPr>
                <w:rFonts w:asciiTheme="majorBidi" w:hAnsiTheme="majorBidi" w:cstheme="majorBidi"/>
                <w:sz w:val="24"/>
                <w:szCs w:val="24"/>
              </w:rPr>
            </w:pPr>
            <w:r w:rsidRPr="00D9685F">
              <w:rPr>
                <w:rFonts w:asciiTheme="majorBidi" w:hAnsiTheme="majorBidi" w:cstheme="majorBidi"/>
                <w:i/>
                <w:iCs/>
                <w:sz w:val="24"/>
                <w:szCs w:val="24"/>
              </w:rPr>
              <w:t xml:space="preserve">Panel 3:  Processes &amp; </w:t>
            </w:r>
            <w:r w:rsidR="00235130">
              <w:rPr>
                <w:rFonts w:asciiTheme="majorBidi" w:hAnsiTheme="majorBidi" w:cstheme="majorBidi"/>
                <w:i/>
                <w:iCs/>
                <w:sz w:val="24"/>
                <w:szCs w:val="24"/>
              </w:rPr>
              <w:t>s</w:t>
            </w:r>
            <w:r w:rsidRPr="00D9685F">
              <w:rPr>
                <w:rFonts w:asciiTheme="majorBidi" w:hAnsiTheme="majorBidi" w:cstheme="majorBidi"/>
                <w:i/>
                <w:iCs/>
                <w:sz w:val="24"/>
                <w:szCs w:val="24"/>
              </w:rPr>
              <w:t xml:space="preserve">tructures </w:t>
            </w:r>
            <w:r w:rsidR="00235130">
              <w:rPr>
                <w:rFonts w:asciiTheme="majorBidi" w:hAnsiTheme="majorBidi" w:cstheme="majorBidi"/>
                <w:i/>
                <w:iCs/>
                <w:sz w:val="24"/>
                <w:szCs w:val="24"/>
              </w:rPr>
              <w:t>s</w:t>
            </w:r>
            <w:r w:rsidRPr="00D9685F">
              <w:rPr>
                <w:rFonts w:asciiTheme="majorBidi" w:hAnsiTheme="majorBidi" w:cstheme="majorBidi"/>
                <w:i/>
                <w:iCs/>
                <w:sz w:val="24"/>
                <w:szCs w:val="24"/>
              </w:rPr>
              <w:t>ub-</w:t>
            </w:r>
            <w:r w:rsidR="00235130">
              <w:rPr>
                <w:rFonts w:asciiTheme="majorBidi" w:hAnsiTheme="majorBidi" w:cstheme="majorBidi"/>
                <w:i/>
                <w:iCs/>
                <w:sz w:val="24"/>
                <w:szCs w:val="24"/>
              </w:rPr>
              <w:t>i</w:t>
            </w:r>
            <w:r w:rsidRPr="00D9685F">
              <w:rPr>
                <w:rFonts w:asciiTheme="majorBidi" w:hAnsiTheme="majorBidi" w:cstheme="majorBidi"/>
                <w:i/>
                <w:iCs/>
                <w:sz w:val="24"/>
                <w:szCs w:val="24"/>
              </w:rPr>
              <w:t>ndex (%)</w:t>
            </w:r>
          </w:p>
        </w:tc>
      </w:tr>
      <w:tr w:rsidR="00566D02" w:rsidRPr="00D9685F" w14:paraId="6F40F906" w14:textId="77777777" w:rsidTr="00D9685F">
        <w:tc>
          <w:tcPr>
            <w:tcW w:w="1691" w:type="dxa"/>
            <w:tcBorders>
              <w:top w:val="nil"/>
              <w:left w:val="nil"/>
              <w:bottom w:val="nil"/>
              <w:right w:val="nil"/>
            </w:tcBorders>
          </w:tcPr>
          <w:p w14:paraId="2919E29F"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Mean</w:t>
            </w:r>
          </w:p>
        </w:tc>
        <w:tc>
          <w:tcPr>
            <w:tcW w:w="876" w:type="dxa"/>
            <w:tcBorders>
              <w:top w:val="nil"/>
              <w:left w:val="nil"/>
              <w:bottom w:val="nil"/>
              <w:right w:val="nil"/>
            </w:tcBorders>
          </w:tcPr>
          <w:p w14:paraId="6117BA09"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31.52</w:t>
            </w:r>
          </w:p>
        </w:tc>
        <w:tc>
          <w:tcPr>
            <w:tcW w:w="842" w:type="dxa"/>
            <w:tcBorders>
              <w:top w:val="nil"/>
              <w:left w:val="nil"/>
              <w:bottom w:val="nil"/>
              <w:right w:val="nil"/>
            </w:tcBorders>
          </w:tcPr>
          <w:p w14:paraId="6648E806"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29.17</w:t>
            </w:r>
          </w:p>
        </w:tc>
        <w:tc>
          <w:tcPr>
            <w:tcW w:w="876" w:type="dxa"/>
            <w:tcBorders>
              <w:top w:val="nil"/>
              <w:left w:val="nil"/>
              <w:bottom w:val="nil"/>
              <w:right w:val="nil"/>
            </w:tcBorders>
          </w:tcPr>
          <w:p w14:paraId="15FA1895"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30.16</w:t>
            </w:r>
          </w:p>
        </w:tc>
        <w:tc>
          <w:tcPr>
            <w:tcW w:w="876" w:type="dxa"/>
            <w:tcBorders>
              <w:top w:val="nil"/>
              <w:left w:val="nil"/>
              <w:bottom w:val="nil"/>
              <w:right w:val="nil"/>
            </w:tcBorders>
          </w:tcPr>
          <w:p w14:paraId="368DBCE8"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31.13</w:t>
            </w:r>
          </w:p>
        </w:tc>
        <w:tc>
          <w:tcPr>
            <w:tcW w:w="843" w:type="dxa"/>
            <w:tcBorders>
              <w:top w:val="nil"/>
              <w:left w:val="nil"/>
              <w:bottom w:val="nil"/>
              <w:right w:val="nil"/>
            </w:tcBorders>
          </w:tcPr>
          <w:p w14:paraId="7694F3A2"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31.87</w:t>
            </w:r>
          </w:p>
        </w:tc>
        <w:tc>
          <w:tcPr>
            <w:tcW w:w="842" w:type="dxa"/>
            <w:tcBorders>
              <w:top w:val="nil"/>
              <w:left w:val="nil"/>
              <w:bottom w:val="nil"/>
              <w:right w:val="nil"/>
            </w:tcBorders>
          </w:tcPr>
          <w:p w14:paraId="4B538882"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32.69</w:t>
            </w:r>
          </w:p>
        </w:tc>
        <w:tc>
          <w:tcPr>
            <w:tcW w:w="876" w:type="dxa"/>
            <w:tcBorders>
              <w:top w:val="nil"/>
              <w:left w:val="nil"/>
              <w:bottom w:val="nil"/>
              <w:right w:val="nil"/>
            </w:tcBorders>
          </w:tcPr>
          <w:p w14:paraId="5EA8CA6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34.12</w:t>
            </w:r>
          </w:p>
        </w:tc>
        <w:tc>
          <w:tcPr>
            <w:tcW w:w="1071" w:type="dxa"/>
            <w:tcBorders>
              <w:top w:val="nil"/>
              <w:left w:val="nil"/>
              <w:bottom w:val="nil"/>
              <w:right w:val="nil"/>
            </w:tcBorders>
          </w:tcPr>
          <w:p w14:paraId="0C69AFD5" w14:textId="77777777" w:rsidR="00566D02" w:rsidRPr="00D9685F" w:rsidRDefault="00566D02" w:rsidP="003C080D">
            <w:pPr>
              <w:rPr>
                <w:rFonts w:asciiTheme="majorBidi" w:hAnsiTheme="majorBidi" w:cstheme="majorBidi"/>
                <w:sz w:val="24"/>
                <w:szCs w:val="24"/>
                <w:vertAlign w:val="superscript"/>
              </w:rPr>
            </w:pPr>
            <w:r w:rsidRPr="00D9685F">
              <w:rPr>
                <w:rFonts w:asciiTheme="majorBidi" w:hAnsiTheme="majorBidi" w:cstheme="majorBidi"/>
                <w:sz w:val="24"/>
                <w:szCs w:val="24"/>
              </w:rPr>
              <w:t>-0.17</w:t>
            </w:r>
          </w:p>
        </w:tc>
        <w:tc>
          <w:tcPr>
            <w:tcW w:w="988" w:type="dxa"/>
            <w:tcBorders>
              <w:top w:val="nil"/>
              <w:left w:val="nil"/>
              <w:bottom w:val="nil"/>
              <w:right w:val="nil"/>
            </w:tcBorders>
          </w:tcPr>
          <w:p w14:paraId="4D8B2CC2"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566D02" w:rsidRPr="00D9685F" w14:paraId="2DCA7C07" w14:textId="77777777" w:rsidTr="00D9685F">
        <w:tc>
          <w:tcPr>
            <w:tcW w:w="1691" w:type="dxa"/>
            <w:tcBorders>
              <w:top w:val="nil"/>
              <w:left w:val="nil"/>
              <w:bottom w:val="nil"/>
              <w:right w:val="nil"/>
            </w:tcBorders>
          </w:tcPr>
          <w:p w14:paraId="2A9E4042"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 xml:space="preserve">Median </w:t>
            </w:r>
          </w:p>
        </w:tc>
        <w:tc>
          <w:tcPr>
            <w:tcW w:w="876" w:type="dxa"/>
            <w:tcBorders>
              <w:top w:val="nil"/>
              <w:left w:val="nil"/>
              <w:bottom w:val="nil"/>
              <w:right w:val="nil"/>
            </w:tcBorders>
          </w:tcPr>
          <w:p w14:paraId="1413FF2B"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29.17</w:t>
            </w:r>
          </w:p>
        </w:tc>
        <w:tc>
          <w:tcPr>
            <w:tcW w:w="842" w:type="dxa"/>
            <w:tcBorders>
              <w:top w:val="nil"/>
              <w:left w:val="nil"/>
              <w:bottom w:val="nil"/>
              <w:right w:val="nil"/>
            </w:tcBorders>
          </w:tcPr>
          <w:p w14:paraId="5E30CA45"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29.17</w:t>
            </w:r>
          </w:p>
        </w:tc>
        <w:tc>
          <w:tcPr>
            <w:tcW w:w="876" w:type="dxa"/>
            <w:tcBorders>
              <w:top w:val="nil"/>
              <w:left w:val="nil"/>
              <w:bottom w:val="nil"/>
              <w:right w:val="nil"/>
            </w:tcBorders>
          </w:tcPr>
          <w:p w14:paraId="10CC9502"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29.17</w:t>
            </w:r>
          </w:p>
        </w:tc>
        <w:tc>
          <w:tcPr>
            <w:tcW w:w="876" w:type="dxa"/>
            <w:tcBorders>
              <w:top w:val="nil"/>
              <w:left w:val="nil"/>
              <w:bottom w:val="nil"/>
              <w:right w:val="nil"/>
            </w:tcBorders>
          </w:tcPr>
          <w:p w14:paraId="137D1C56"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29.17</w:t>
            </w:r>
          </w:p>
        </w:tc>
        <w:tc>
          <w:tcPr>
            <w:tcW w:w="843" w:type="dxa"/>
            <w:tcBorders>
              <w:top w:val="nil"/>
              <w:left w:val="nil"/>
              <w:bottom w:val="nil"/>
              <w:right w:val="nil"/>
            </w:tcBorders>
          </w:tcPr>
          <w:p w14:paraId="41B4C1F8"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29.17</w:t>
            </w:r>
          </w:p>
        </w:tc>
        <w:tc>
          <w:tcPr>
            <w:tcW w:w="842" w:type="dxa"/>
            <w:tcBorders>
              <w:top w:val="nil"/>
              <w:left w:val="nil"/>
              <w:bottom w:val="nil"/>
              <w:right w:val="nil"/>
            </w:tcBorders>
          </w:tcPr>
          <w:p w14:paraId="4E821FCF"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33.33</w:t>
            </w:r>
          </w:p>
        </w:tc>
        <w:tc>
          <w:tcPr>
            <w:tcW w:w="876" w:type="dxa"/>
            <w:tcBorders>
              <w:top w:val="nil"/>
              <w:left w:val="nil"/>
              <w:bottom w:val="nil"/>
              <w:right w:val="nil"/>
            </w:tcBorders>
          </w:tcPr>
          <w:p w14:paraId="710B246F"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33.33</w:t>
            </w:r>
          </w:p>
        </w:tc>
        <w:tc>
          <w:tcPr>
            <w:tcW w:w="1071" w:type="dxa"/>
            <w:tcBorders>
              <w:top w:val="nil"/>
              <w:left w:val="nil"/>
              <w:bottom w:val="nil"/>
              <w:right w:val="nil"/>
            </w:tcBorders>
          </w:tcPr>
          <w:p w14:paraId="5381A72A"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2FF6E561" w14:textId="77777777" w:rsidR="00566D02" w:rsidRPr="00D9685F" w:rsidRDefault="00566D02" w:rsidP="003C080D">
            <w:pPr>
              <w:rPr>
                <w:rFonts w:asciiTheme="majorBidi" w:hAnsiTheme="majorBidi" w:cstheme="majorBidi"/>
                <w:sz w:val="24"/>
                <w:szCs w:val="24"/>
                <w:vertAlign w:val="superscript"/>
              </w:rPr>
            </w:pPr>
            <w:r w:rsidRPr="00D9685F">
              <w:rPr>
                <w:rFonts w:asciiTheme="majorBidi" w:hAnsiTheme="majorBidi" w:cstheme="majorBidi"/>
                <w:sz w:val="24"/>
                <w:szCs w:val="24"/>
              </w:rPr>
              <w:t>-4.16</w:t>
            </w:r>
            <w:r w:rsidRPr="00D9685F">
              <w:rPr>
                <w:rFonts w:asciiTheme="majorBidi" w:hAnsiTheme="majorBidi" w:cstheme="majorBidi"/>
                <w:sz w:val="24"/>
                <w:szCs w:val="24"/>
                <w:vertAlign w:val="superscript"/>
              </w:rPr>
              <w:t>**</w:t>
            </w:r>
          </w:p>
        </w:tc>
      </w:tr>
      <w:tr w:rsidR="00566D02" w:rsidRPr="00D9685F" w14:paraId="4B43C3D7" w14:textId="77777777" w:rsidTr="00D9685F">
        <w:tc>
          <w:tcPr>
            <w:tcW w:w="1691" w:type="dxa"/>
            <w:tcBorders>
              <w:top w:val="nil"/>
              <w:left w:val="nil"/>
              <w:bottom w:val="nil"/>
              <w:right w:val="nil"/>
            </w:tcBorders>
          </w:tcPr>
          <w:p w14:paraId="4C04DE73"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STD</w:t>
            </w:r>
          </w:p>
        </w:tc>
        <w:tc>
          <w:tcPr>
            <w:tcW w:w="876" w:type="dxa"/>
            <w:tcBorders>
              <w:top w:val="nil"/>
              <w:left w:val="nil"/>
              <w:bottom w:val="nil"/>
              <w:right w:val="nil"/>
            </w:tcBorders>
          </w:tcPr>
          <w:p w14:paraId="71D6CDAC"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11.85</w:t>
            </w:r>
          </w:p>
        </w:tc>
        <w:tc>
          <w:tcPr>
            <w:tcW w:w="842" w:type="dxa"/>
            <w:tcBorders>
              <w:top w:val="nil"/>
              <w:left w:val="nil"/>
              <w:bottom w:val="nil"/>
              <w:right w:val="nil"/>
            </w:tcBorders>
          </w:tcPr>
          <w:p w14:paraId="589D2EE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11.23</w:t>
            </w:r>
          </w:p>
        </w:tc>
        <w:tc>
          <w:tcPr>
            <w:tcW w:w="876" w:type="dxa"/>
            <w:tcBorders>
              <w:top w:val="nil"/>
              <w:left w:val="nil"/>
              <w:bottom w:val="nil"/>
              <w:right w:val="nil"/>
            </w:tcBorders>
          </w:tcPr>
          <w:p w14:paraId="211D31A8"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11.73</w:t>
            </w:r>
          </w:p>
        </w:tc>
        <w:tc>
          <w:tcPr>
            <w:tcW w:w="876" w:type="dxa"/>
            <w:tcBorders>
              <w:top w:val="nil"/>
              <w:left w:val="nil"/>
              <w:bottom w:val="nil"/>
              <w:right w:val="nil"/>
            </w:tcBorders>
          </w:tcPr>
          <w:p w14:paraId="7806B66C"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11.61</w:t>
            </w:r>
          </w:p>
        </w:tc>
        <w:tc>
          <w:tcPr>
            <w:tcW w:w="843" w:type="dxa"/>
            <w:tcBorders>
              <w:top w:val="nil"/>
              <w:left w:val="nil"/>
              <w:bottom w:val="nil"/>
              <w:right w:val="nil"/>
            </w:tcBorders>
          </w:tcPr>
          <w:p w14:paraId="34913682"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11.32</w:t>
            </w:r>
          </w:p>
        </w:tc>
        <w:tc>
          <w:tcPr>
            <w:tcW w:w="842" w:type="dxa"/>
            <w:tcBorders>
              <w:top w:val="nil"/>
              <w:left w:val="nil"/>
              <w:bottom w:val="nil"/>
              <w:right w:val="nil"/>
            </w:tcBorders>
          </w:tcPr>
          <w:p w14:paraId="41E4FB02"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12.03</w:t>
            </w:r>
          </w:p>
        </w:tc>
        <w:tc>
          <w:tcPr>
            <w:tcW w:w="876" w:type="dxa"/>
            <w:tcBorders>
              <w:top w:val="nil"/>
              <w:left w:val="nil"/>
              <w:bottom w:val="nil"/>
              <w:right w:val="nil"/>
            </w:tcBorders>
          </w:tcPr>
          <w:p w14:paraId="087E5725"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12.69</w:t>
            </w:r>
          </w:p>
        </w:tc>
        <w:tc>
          <w:tcPr>
            <w:tcW w:w="1071" w:type="dxa"/>
            <w:tcBorders>
              <w:top w:val="nil"/>
              <w:left w:val="nil"/>
              <w:bottom w:val="nil"/>
              <w:right w:val="nil"/>
            </w:tcBorders>
          </w:tcPr>
          <w:p w14:paraId="71E1CAA1"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7E27786C"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566D02" w:rsidRPr="00D9685F" w14:paraId="2737D9C0" w14:textId="77777777" w:rsidTr="00D9685F">
        <w:tc>
          <w:tcPr>
            <w:tcW w:w="1691" w:type="dxa"/>
            <w:tcBorders>
              <w:top w:val="nil"/>
              <w:left w:val="nil"/>
              <w:bottom w:val="nil"/>
              <w:right w:val="nil"/>
            </w:tcBorders>
          </w:tcPr>
          <w:p w14:paraId="01BCEBA5"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Minimum</w:t>
            </w:r>
          </w:p>
        </w:tc>
        <w:tc>
          <w:tcPr>
            <w:tcW w:w="876" w:type="dxa"/>
            <w:tcBorders>
              <w:top w:val="nil"/>
              <w:left w:val="nil"/>
              <w:bottom w:val="nil"/>
              <w:right w:val="nil"/>
            </w:tcBorders>
          </w:tcPr>
          <w:p w14:paraId="47A8D8EE" w14:textId="7C4BC13D"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42" w:type="dxa"/>
            <w:tcBorders>
              <w:top w:val="nil"/>
              <w:left w:val="nil"/>
              <w:bottom w:val="nil"/>
              <w:right w:val="nil"/>
            </w:tcBorders>
          </w:tcPr>
          <w:p w14:paraId="339700F3" w14:textId="3D9DF3BE"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76" w:type="dxa"/>
            <w:tcBorders>
              <w:top w:val="nil"/>
              <w:left w:val="nil"/>
              <w:bottom w:val="nil"/>
              <w:right w:val="nil"/>
            </w:tcBorders>
          </w:tcPr>
          <w:p w14:paraId="430C36A1" w14:textId="648E3E84"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76" w:type="dxa"/>
            <w:tcBorders>
              <w:top w:val="nil"/>
              <w:left w:val="nil"/>
              <w:bottom w:val="nil"/>
              <w:right w:val="nil"/>
            </w:tcBorders>
          </w:tcPr>
          <w:p w14:paraId="46989BD9" w14:textId="0A34C7D5"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43" w:type="dxa"/>
            <w:tcBorders>
              <w:top w:val="nil"/>
              <w:left w:val="nil"/>
              <w:bottom w:val="nil"/>
              <w:right w:val="nil"/>
            </w:tcBorders>
          </w:tcPr>
          <w:p w14:paraId="679FBA1B" w14:textId="0CB98DAA"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4.17</w:t>
            </w:r>
          </w:p>
        </w:tc>
        <w:tc>
          <w:tcPr>
            <w:tcW w:w="842" w:type="dxa"/>
            <w:tcBorders>
              <w:top w:val="nil"/>
              <w:left w:val="nil"/>
              <w:bottom w:val="nil"/>
              <w:right w:val="nil"/>
            </w:tcBorders>
          </w:tcPr>
          <w:p w14:paraId="75B39BAF" w14:textId="534ABC5C"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4.17</w:t>
            </w:r>
          </w:p>
        </w:tc>
        <w:tc>
          <w:tcPr>
            <w:tcW w:w="876" w:type="dxa"/>
            <w:tcBorders>
              <w:top w:val="nil"/>
              <w:left w:val="nil"/>
              <w:bottom w:val="nil"/>
              <w:right w:val="nil"/>
            </w:tcBorders>
          </w:tcPr>
          <w:p w14:paraId="06688EC6" w14:textId="413E4EAE"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4.17</w:t>
            </w:r>
          </w:p>
        </w:tc>
        <w:tc>
          <w:tcPr>
            <w:tcW w:w="1071" w:type="dxa"/>
            <w:tcBorders>
              <w:top w:val="nil"/>
              <w:left w:val="nil"/>
              <w:bottom w:val="nil"/>
              <w:right w:val="nil"/>
            </w:tcBorders>
          </w:tcPr>
          <w:p w14:paraId="743A01B1"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705FD33E"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566D02" w:rsidRPr="00D9685F" w14:paraId="13F7A4B7" w14:textId="77777777" w:rsidTr="00D9685F">
        <w:tc>
          <w:tcPr>
            <w:tcW w:w="1691" w:type="dxa"/>
            <w:tcBorders>
              <w:top w:val="nil"/>
              <w:left w:val="nil"/>
              <w:bottom w:val="nil"/>
              <w:right w:val="nil"/>
            </w:tcBorders>
          </w:tcPr>
          <w:p w14:paraId="24A967B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Maximum</w:t>
            </w:r>
          </w:p>
        </w:tc>
        <w:tc>
          <w:tcPr>
            <w:tcW w:w="876" w:type="dxa"/>
            <w:tcBorders>
              <w:top w:val="nil"/>
              <w:left w:val="nil"/>
              <w:bottom w:val="nil"/>
              <w:right w:val="nil"/>
            </w:tcBorders>
          </w:tcPr>
          <w:p w14:paraId="11FC2CC6"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79.17</w:t>
            </w:r>
          </w:p>
        </w:tc>
        <w:tc>
          <w:tcPr>
            <w:tcW w:w="842" w:type="dxa"/>
            <w:tcBorders>
              <w:top w:val="nil"/>
              <w:left w:val="nil"/>
              <w:bottom w:val="nil"/>
              <w:right w:val="nil"/>
            </w:tcBorders>
          </w:tcPr>
          <w:p w14:paraId="124E6D3E"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58.33</w:t>
            </w:r>
          </w:p>
        </w:tc>
        <w:tc>
          <w:tcPr>
            <w:tcW w:w="876" w:type="dxa"/>
            <w:tcBorders>
              <w:top w:val="nil"/>
              <w:left w:val="nil"/>
              <w:bottom w:val="nil"/>
              <w:right w:val="nil"/>
            </w:tcBorders>
          </w:tcPr>
          <w:p w14:paraId="65C197AC"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58.33</w:t>
            </w:r>
          </w:p>
        </w:tc>
        <w:tc>
          <w:tcPr>
            <w:tcW w:w="876" w:type="dxa"/>
            <w:tcBorders>
              <w:top w:val="nil"/>
              <w:left w:val="nil"/>
              <w:bottom w:val="nil"/>
              <w:right w:val="nil"/>
            </w:tcBorders>
          </w:tcPr>
          <w:p w14:paraId="4EE48B82"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66.67</w:t>
            </w:r>
          </w:p>
        </w:tc>
        <w:tc>
          <w:tcPr>
            <w:tcW w:w="843" w:type="dxa"/>
            <w:tcBorders>
              <w:top w:val="nil"/>
              <w:left w:val="nil"/>
              <w:bottom w:val="nil"/>
              <w:right w:val="nil"/>
            </w:tcBorders>
          </w:tcPr>
          <w:p w14:paraId="30C8D4E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62.50</w:t>
            </w:r>
          </w:p>
        </w:tc>
        <w:tc>
          <w:tcPr>
            <w:tcW w:w="842" w:type="dxa"/>
            <w:tcBorders>
              <w:top w:val="nil"/>
              <w:left w:val="nil"/>
              <w:bottom w:val="nil"/>
              <w:right w:val="nil"/>
            </w:tcBorders>
          </w:tcPr>
          <w:p w14:paraId="239C006D"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70.83</w:t>
            </w:r>
          </w:p>
        </w:tc>
        <w:tc>
          <w:tcPr>
            <w:tcW w:w="876" w:type="dxa"/>
            <w:tcBorders>
              <w:top w:val="nil"/>
              <w:left w:val="nil"/>
              <w:bottom w:val="nil"/>
              <w:right w:val="nil"/>
            </w:tcBorders>
          </w:tcPr>
          <w:p w14:paraId="32C92805"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79.17</w:t>
            </w:r>
          </w:p>
        </w:tc>
        <w:tc>
          <w:tcPr>
            <w:tcW w:w="1071" w:type="dxa"/>
            <w:tcBorders>
              <w:top w:val="nil"/>
              <w:left w:val="nil"/>
              <w:bottom w:val="nil"/>
              <w:right w:val="nil"/>
            </w:tcBorders>
          </w:tcPr>
          <w:p w14:paraId="6A111A29"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2D2588A3"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D9685F" w:rsidRPr="00D9685F" w14:paraId="4F073FF4" w14:textId="77777777" w:rsidTr="00D9685F">
        <w:tc>
          <w:tcPr>
            <w:tcW w:w="9781" w:type="dxa"/>
            <w:gridSpan w:val="10"/>
            <w:tcBorders>
              <w:top w:val="nil"/>
              <w:left w:val="nil"/>
              <w:bottom w:val="nil"/>
              <w:right w:val="nil"/>
            </w:tcBorders>
          </w:tcPr>
          <w:p w14:paraId="1E76CF9B" w14:textId="6AEA02E2" w:rsidR="00D9685F" w:rsidRPr="00D9685F" w:rsidRDefault="00D9685F" w:rsidP="003C080D">
            <w:pPr>
              <w:rPr>
                <w:rFonts w:asciiTheme="majorBidi" w:hAnsiTheme="majorBidi" w:cstheme="majorBidi"/>
                <w:sz w:val="24"/>
                <w:szCs w:val="24"/>
              </w:rPr>
            </w:pPr>
            <w:r w:rsidRPr="00D9685F">
              <w:rPr>
                <w:rFonts w:asciiTheme="majorBidi" w:hAnsiTheme="majorBidi" w:cstheme="majorBidi"/>
                <w:i/>
                <w:iCs/>
                <w:sz w:val="24"/>
                <w:szCs w:val="24"/>
              </w:rPr>
              <w:t xml:space="preserve">Panel 4: Performance, </w:t>
            </w:r>
            <w:r w:rsidR="00235130">
              <w:rPr>
                <w:rFonts w:asciiTheme="majorBidi" w:hAnsiTheme="majorBidi" w:cstheme="majorBidi"/>
                <w:i/>
                <w:iCs/>
                <w:sz w:val="24"/>
                <w:szCs w:val="24"/>
              </w:rPr>
              <w:t>e</w:t>
            </w:r>
            <w:r w:rsidRPr="00D9685F">
              <w:rPr>
                <w:rFonts w:asciiTheme="majorBidi" w:hAnsiTheme="majorBidi" w:cstheme="majorBidi"/>
                <w:i/>
                <w:iCs/>
                <w:sz w:val="24"/>
                <w:szCs w:val="24"/>
              </w:rPr>
              <w:t xml:space="preserve">valuation, </w:t>
            </w:r>
            <w:r w:rsidR="00235130">
              <w:rPr>
                <w:rFonts w:asciiTheme="majorBidi" w:hAnsiTheme="majorBidi" w:cstheme="majorBidi"/>
                <w:i/>
                <w:iCs/>
                <w:sz w:val="24"/>
                <w:szCs w:val="24"/>
              </w:rPr>
              <w:t>r</w:t>
            </w:r>
            <w:r w:rsidRPr="00D9685F">
              <w:rPr>
                <w:rFonts w:asciiTheme="majorBidi" w:hAnsiTheme="majorBidi" w:cstheme="majorBidi"/>
                <w:i/>
                <w:iCs/>
                <w:sz w:val="24"/>
                <w:szCs w:val="24"/>
              </w:rPr>
              <w:t xml:space="preserve">emuneration and </w:t>
            </w:r>
            <w:r w:rsidR="00235130">
              <w:rPr>
                <w:rFonts w:asciiTheme="majorBidi" w:hAnsiTheme="majorBidi" w:cstheme="majorBidi"/>
                <w:i/>
                <w:iCs/>
                <w:sz w:val="24"/>
                <w:szCs w:val="24"/>
              </w:rPr>
              <w:t>r</w:t>
            </w:r>
            <w:r w:rsidRPr="00D9685F">
              <w:rPr>
                <w:rFonts w:asciiTheme="majorBidi" w:hAnsiTheme="majorBidi" w:cstheme="majorBidi"/>
                <w:i/>
                <w:iCs/>
                <w:sz w:val="24"/>
                <w:szCs w:val="24"/>
              </w:rPr>
              <w:t xml:space="preserve">eward </w:t>
            </w:r>
            <w:r w:rsidR="00235130">
              <w:rPr>
                <w:rFonts w:asciiTheme="majorBidi" w:hAnsiTheme="majorBidi" w:cstheme="majorBidi"/>
                <w:i/>
                <w:iCs/>
                <w:sz w:val="24"/>
                <w:szCs w:val="24"/>
              </w:rPr>
              <w:t>s</w:t>
            </w:r>
            <w:r w:rsidRPr="00D9685F">
              <w:rPr>
                <w:rFonts w:asciiTheme="majorBidi" w:hAnsiTheme="majorBidi" w:cstheme="majorBidi"/>
                <w:i/>
                <w:iCs/>
                <w:sz w:val="24"/>
                <w:szCs w:val="24"/>
              </w:rPr>
              <w:t>ub-index (%)</w:t>
            </w:r>
          </w:p>
        </w:tc>
      </w:tr>
      <w:tr w:rsidR="00566D02" w:rsidRPr="00D9685F" w14:paraId="4AB8CF20" w14:textId="77777777" w:rsidTr="00D9685F">
        <w:tc>
          <w:tcPr>
            <w:tcW w:w="1691" w:type="dxa"/>
            <w:tcBorders>
              <w:top w:val="nil"/>
              <w:left w:val="nil"/>
              <w:bottom w:val="nil"/>
              <w:right w:val="nil"/>
            </w:tcBorders>
          </w:tcPr>
          <w:p w14:paraId="642D5AE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Mean</w:t>
            </w:r>
          </w:p>
        </w:tc>
        <w:tc>
          <w:tcPr>
            <w:tcW w:w="876" w:type="dxa"/>
            <w:tcBorders>
              <w:top w:val="nil"/>
              <w:left w:val="nil"/>
              <w:bottom w:val="nil"/>
              <w:right w:val="nil"/>
            </w:tcBorders>
          </w:tcPr>
          <w:p w14:paraId="3B04C235"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24.98</w:t>
            </w:r>
          </w:p>
        </w:tc>
        <w:tc>
          <w:tcPr>
            <w:tcW w:w="842" w:type="dxa"/>
            <w:tcBorders>
              <w:top w:val="nil"/>
              <w:left w:val="nil"/>
              <w:bottom w:val="nil"/>
              <w:right w:val="nil"/>
            </w:tcBorders>
          </w:tcPr>
          <w:p w14:paraId="409B3BE1"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23.23</w:t>
            </w:r>
          </w:p>
        </w:tc>
        <w:tc>
          <w:tcPr>
            <w:tcW w:w="876" w:type="dxa"/>
            <w:tcBorders>
              <w:top w:val="nil"/>
              <w:left w:val="nil"/>
              <w:bottom w:val="nil"/>
              <w:right w:val="nil"/>
            </w:tcBorders>
          </w:tcPr>
          <w:p w14:paraId="1E54EB4D"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24.09</w:t>
            </w:r>
          </w:p>
        </w:tc>
        <w:tc>
          <w:tcPr>
            <w:tcW w:w="876" w:type="dxa"/>
            <w:tcBorders>
              <w:top w:val="nil"/>
              <w:left w:val="nil"/>
              <w:bottom w:val="nil"/>
              <w:right w:val="nil"/>
            </w:tcBorders>
          </w:tcPr>
          <w:p w14:paraId="3AD3A42B"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24.67</w:t>
            </w:r>
          </w:p>
        </w:tc>
        <w:tc>
          <w:tcPr>
            <w:tcW w:w="843" w:type="dxa"/>
            <w:tcBorders>
              <w:top w:val="nil"/>
              <w:left w:val="nil"/>
              <w:bottom w:val="nil"/>
              <w:right w:val="nil"/>
            </w:tcBorders>
          </w:tcPr>
          <w:p w14:paraId="644DCC20"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25.17</w:t>
            </w:r>
          </w:p>
        </w:tc>
        <w:tc>
          <w:tcPr>
            <w:tcW w:w="842" w:type="dxa"/>
            <w:tcBorders>
              <w:top w:val="nil"/>
              <w:left w:val="nil"/>
              <w:bottom w:val="nil"/>
              <w:right w:val="nil"/>
            </w:tcBorders>
          </w:tcPr>
          <w:p w14:paraId="179CE4E8"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25.84</w:t>
            </w:r>
          </w:p>
        </w:tc>
        <w:tc>
          <w:tcPr>
            <w:tcW w:w="876" w:type="dxa"/>
            <w:tcBorders>
              <w:top w:val="nil"/>
              <w:left w:val="nil"/>
              <w:bottom w:val="nil"/>
              <w:right w:val="nil"/>
            </w:tcBorders>
          </w:tcPr>
          <w:p w14:paraId="790666BA"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26.88</w:t>
            </w:r>
          </w:p>
        </w:tc>
        <w:tc>
          <w:tcPr>
            <w:tcW w:w="1071" w:type="dxa"/>
            <w:tcBorders>
              <w:top w:val="nil"/>
              <w:left w:val="nil"/>
              <w:bottom w:val="nil"/>
              <w:right w:val="nil"/>
            </w:tcBorders>
          </w:tcPr>
          <w:p w14:paraId="059FF498" w14:textId="77777777" w:rsidR="00566D02" w:rsidRPr="00D9685F" w:rsidRDefault="00566D02" w:rsidP="003C080D">
            <w:pPr>
              <w:rPr>
                <w:rFonts w:asciiTheme="majorBidi" w:hAnsiTheme="majorBidi" w:cstheme="majorBidi"/>
                <w:sz w:val="24"/>
                <w:szCs w:val="24"/>
                <w:vertAlign w:val="superscript"/>
              </w:rPr>
            </w:pPr>
            <w:r w:rsidRPr="00D9685F">
              <w:rPr>
                <w:rFonts w:asciiTheme="majorBidi" w:hAnsiTheme="majorBidi" w:cstheme="majorBidi"/>
                <w:sz w:val="24"/>
                <w:szCs w:val="24"/>
              </w:rPr>
              <w:t>1.19</w:t>
            </w:r>
          </w:p>
        </w:tc>
        <w:tc>
          <w:tcPr>
            <w:tcW w:w="988" w:type="dxa"/>
            <w:tcBorders>
              <w:top w:val="nil"/>
              <w:left w:val="nil"/>
              <w:bottom w:val="nil"/>
              <w:right w:val="nil"/>
            </w:tcBorders>
          </w:tcPr>
          <w:p w14:paraId="64772AFB"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566D02" w:rsidRPr="00D9685F" w14:paraId="6063EB97" w14:textId="77777777" w:rsidTr="00D9685F">
        <w:tc>
          <w:tcPr>
            <w:tcW w:w="1691" w:type="dxa"/>
            <w:tcBorders>
              <w:top w:val="nil"/>
              <w:left w:val="nil"/>
              <w:bottom w:val="nil"/>
              <w:right w:val="nil"/>
            </w:tcBorders>
          </w:tcPr>
          <w:p w14:paraId="2EEEE6B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 xml:space="preserve">Median </w:t>
            </w:r>
          </w:p>
        </w:tc>
        <w:tc>
          <w:tcPr>
            <w:tcW w:w="876" w:type="dxa"/>
            <w:tcBorders>
              <w:top w:val="nil"/>
              <w:left w:val="nil"/>
              <w:bottom w:val="nil"/>
              <w:right w:val="nil"/>
            </w:tcBorders>
          </w:tcPr>
          <w:p w14:paraId="1E154655"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22.73</w:t>
            </w:r>
          </w:p>
        </w:tc>
        <w:tc>
          <w:tcPr>
            <w:tcW w:w="842" w:type="dxa"/>
            <w:tcBorders>
              <w:top w:val="nil"/>
              <w:left w:val="nil"/>
              <w:bottom w:val="nil"/>
              <w:right w:val="nil"/>
            </w:tcBorders>
          </w:tcPr>
          <w:p w14:paraId="3137F489"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22.73</w:t>
            </w:r>
          </w:p>
        </w:tc>
        <w:tc>
          <w:tcPr>
            <w:tcW w:w="876" w:type="dxa"/>
            <w:tcBorders>
              <w:top w:val="nil"/>
              <w:left w:val="nil"/>
              <w:bottom w:val="nil"/>
              <w:right w:val="nil"/>
            </w:tcBorders>
          </w:tcPr>
          <w:p w14:paraId="4AACF473"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22.73</w:t>
            </w:r>
          </w:p>
        </w:tc>
        <w:tc>
          <w:tcPr>
            <w:tcW w:w="876" w:type="dxa"/>
            <w:tcBorders>
              <w:top w:val="nil"/>
              <w:left w:val="nil"/>
              <w:bottom w:val="nil"/>
              <w:right w:val="nil"/>
            </w:tcBorders>
          </w:tcPr>
          <w:p w14:paraId="682AC0F5"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22.73</w:t>
            </w:r>
          </w:p>
        </w:tc>
        <w:tc>
          <w:tcPr>
            <w:tcW w:w="843" w:type="dxa"/>
            <w:tcBorders>
              <w:top w:val="nil"/>
              <w:left w:val="nil"/>
              <w:bottom w:val="nil"/>
              <w:right w:val="nil"/>
            </w:tcBorders>
          </w:tcPr>
          <w:p w14:paraId="4B396765"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22.73</w:t>
            </w:r>
          </w:p>
        </w:tc>
        <w:tc>
          <w:tcPr>
            <w:tcW w:w="842" w:type="dxa"/>
            <w:tcBorders>
              <w:top w:val="nil"/>
              <w:left w:val="nil"/>
              <w:bottom w:val="nil"/>
              <w:right w:val="nil"/>
            </w:tcBorders>
          </w:tcPr>
          <w:p w14:paraId="74407936"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22.73</w:t>
            </w:r>
          </w:p>
        </w:tc>
        <w:tc>
          <w:tcPr>
            <w:tcW w:w="876" w:type="dxa"/>
            <w:tcBorders>
              <w:top w:val="nil"/>
              <w:left w:val="nil"/>
              <w:bottom w:val="nil"/>
              <w:right w:val="nil"/>
            </w:tcBorders>
          </w:tcPr>
          <w:p w14:paraId="6876FF8E"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22.73</w:t>
            </w:r>
          </w:p>
        </w:tc>
        <w:tc>
          <w:tcPr>
            <w:tcW w:w="1071" w:type="dxa"/>
            <w:tcBorders>
              <w:top w:val="nil"/>
              <w:left w:val="nil"/>
              <w:bottom w:val="nil"/>
              <w:right w:val="nil"/>
            </w:tcBorders>
          </w:tcPr>
          <w:p w14:paraId="3836DD01"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2BC930DA" w14:textId="77777777" w:rsidR="00566D02" w:rsidRPr="00D9685F" w:rsidRDefault="00566D02" w:rsidP="003C080D">
            <w:pPr>
              <w:rPr>
                <w:rFonts w:asciiTheme="majorBidi" w:hAnsiTheme="majorBidi" w:cstheme="majorBidi"/>
                <w:sz w:val="24"/>
                <w:szCs w:val="24"/>
                <w:vertAlign w:val="superscript"/>
              </w:rPr>
            </w:pPr>
            <w:r w:rsidRPr="00D9685F">
              <w:rPr>
                <w:rFonts w:asciiTheme="majorBidi" w:hAnsiTheme="majorBidi" w:cstheme="majorBidi"/>
                <w:sz w:val="24"/>
                <w:szCs w:val="24"/>
              </w:rPr>
              <w:t>4.54</w:t>
            </w:r>
            <w:r w:rsidRPr="00D9685F">
              <w:rPr>
                <w:rFonts w:asciiTheme="majorBidi" w:hAnsiTheme="majorBidi" w:cstheme="majorBidi"/>
                <w:sz w:val="24"/>
                <w:szCs w:val="24"/>
                <w:vertAlign w:val="superscript"/>
              </w:rPr>
              <w:t>**</w:t>
            </w:r>
          </w:p>
        </w:tc>
      </w:tr>
      <w:tr w:rsidR="00566D02" w:rsidRPr="00D9685F" w14:paraId="73609857" w14:textId="77777777" w:rsidTr="00D9685F">
        <w:tc>
          <w:tcPr>
            <w:tcW w:w="1691" w:type="dxa"/>
            <w:tcBorders>
              <w:top w:val="nil"/>
              <w:left w:val="nil"/>
              <w:bottom w:val="nil"/>
              <w:right w:val="nil"/>
            </w:tcBorders>
          </w:tcPr>
          <w:p w14:paraId="7451FC3C"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STD</w:t>
            </w:r>
          </w:p>
        </w:tc>
        <w:tc>
          <w:tcPr>
            <w:tcW w:w="876" w:type="dxa"/>
            <w:tcBorders>
              <w:top w:val="nil"/>
              <w:left w:val="nil"/>
              <w:bottom w:val="nil"/>
              <w:right w:val="nil"/>
            </w:tcBorders>
          </w:tcPr>
          <w:p w14:paraId="084677B8"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13.04</w:t>
            </w:r>
          </w:p>
        </w:tc>
        <w:tc>
          <w:tcPr>
            <w:tcW w:w="842" w:type="dxa"/>
            <w:tcBorders>
              <w:top w:val="nil"/>
              <w:left w:val="nil"/>
              <w:bottom w:val="nil"/>
              <w:right w:val="nil"/>
            </w:tcBorders>
          </w:tcPr>
          <w:p w14:paraId="126B934E"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11.87</w:t>
            </w:r>
          </w:p>
        </w:tc>
        <w:tc>
          <w:tcPr>
            <w:tcW w:w="876" w:type="dxa"/>
            <w:tcBorders>
              <w:top w:val="nil"/>
              <w:left w:val="nil"/>
              <w:bottom w:val="nil"/>
              <w:right w:val="nil"/>
            </w:tcBorders>
          </w:tcPr>
          <w:p w14:paraId="43FED96C"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12.24</w:t>
            </w:r>
          </w:p>
        </w:tc>
        <w:tc>
          <w:tcPr>
            <w:tcW w:w="876" w:type="dxa"/>
            <w:tcBorders>
              <w:top w:val="nil"/>
              <w:left w:val="nil"/>
              <w:bottom w:val="nil"/>
              <w:right w:val="nil"/>
            </w:tcBorders>
          </w:tcPr>
          <w:p w14:paraId="22E7E605"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13.18</w:t>
            </w:r>
          </w:p>
        </w:tc>
        <w:tc>
          <w:tcPr>
            <w:tcW w:w="843" w:type="dxa"/>
            <w:tcBorders>
              <w:top w:val="nil"/>
              <w:left w:val="nil"/>
              <w:bottom w:val="nil"/>
              <w:right w:val="nil"/>
            </w:tcBorders>
          </w:tcPr>
          <w:p w14:paraId="357002DE"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13.35</w:t>
            </w:r>
          </w:p>
        </w:tc>
        <w:tc>
          <w:tcPr>
            <w:tcW w:w="842" w:type="dxa"/>
            <w:tcBorders>
              <w:top w:val="nil"/>
              <w:left w:val="nil"/>
              <w:bottom w:val="nil"/>
              <w:right w:val="nil"/>
            </w:tcBorders>
          </w:tcPr>
          <w:p w14:paraId="252AC93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13.75</w:t>
            </w:r>
          </w:p>
        </w:tc>
        <w:tc>
          <w:tcPr>
            <w:tcW w:w="876" w:type="dxa"/>
            <w:tcBorders>
              <w:top w:val="nil"/>
              <w:left w:val="nil"/>
              <w:bottom w:val="nil"/>
              <w:right w:val="nil"/>
            </w:tcBorders>
          </w:tcPr>
          <w:p w14:paraId="75759F76"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13.70</w:t>
            </w:r>
          </w:p>
        </w:tc>
        <w:tc>
          <w:tcPr>
            <w:tcW w:w="1071" w:type="dxa"/>
            <w:tcBorders>
              <w:top w:val="nil"/>
              <w:left w:val="nil"/>
              <w:bottom w:val="nil"/>
              <w:right w:val="nil"/>
            </w:tcBorders>
          </w:tcPr>
          <w:p w14:paraId="3C736E53"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335C34C1"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566D02" w:rsidRPr="00D9685F" w14:paraId="1690A689" w14:textId="77777777" w:rsidTr="00D9685F">
        <w:tc>
          <w:tcPr>
            <w:tcW w:w="1691" w:type="dxa"/>
            <w:tcBorders>
              <w:top w:val="nil"/>
              <w:left w:val="nil"/>
              <w:bottom w:val="nil"/>
              <w:right w:val="nil"/>
            </w:tcBorders>
          </w:tcPr>
          <w:p w14:paraId="5BC145B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Minimum</w:t>
            </w:r>
          </w:p>
        </w:tc>
        <w:tc>
          <w:tcPr>
            <w:tcW w:w="876" w:type="dxa"/>
            <w:tcBorders>
              <w:top w:val="nil"/>
              <w:left w:val="nil"/>
              <w:bottom w:val="nil"/>
              <w:right w:val="nil"/>
            </w:tcBorders>
          </w:tcPr>
          <w:p w14:paraId="209BED39" w14:textId="2BA5929A"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42" w:type="dxa"/>
            <w:tcBorders>
              <w:top w:val="nil"/>
              <w:left w:val="nil"/>
              <w:bottom w:val="nil"/>
              <w:right w:val="nil"/>
            </w:tcBorders>
          </w:tcPr>
          <w:p w14:paraId="18E86D97" w14:textId="3A5E00A5"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76" w:type="dxa"/>
            <w:tcBorders>
              <w:top w:val="nil"/>
              <w:left w:val="nil"/>
              <w:bottom w:val="nil"/>
              <w:right w:val="nil"/>
            </w:tcBorders>
          </w:tcPr>
          <w:p w14:paraId="27C0F114" w14:textId="41F059AE"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76" w:type="dxa"/>
            <w:tcBorders>
              <w:top w:val="nil"/>
              <w:left w:val="nil"/>
              <w:bottom w:val="nil"/>
              <w:right w:val="nil"/>
            </w:tcBorders>
          </w:tcPr>
          <w:p w14:paraId="2FED6116" w14:textId="5AF19F3E"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43" w:type="dxa"/>
            <w:tcBorders>
              <w:top w:val="nil"/>
              <w:left w:val="nil"/>
              <w:bottom w:val="nil"/>
              <w:right w:val="nil"/>
            </w:tcBorders>
          </w:tcPr>
          <w:p w14:paraId="40B25425" w14:textId="22A35BCF"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42" w:type="dxa"/>
            <w:tcBorders>
              <w:top w:val="nil"/>
              <w:left w:val="nil"/>
              <w:bottom w:val="nil"/>
              <w:right w:val="nil"/>
            </w:tcBorders>
          </w:tcPr>
          <w:p w14:paraId="1452F067" w14:textId="2BEC0570"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76" w:type="dxa"/>
            <w:tcBorders>
              <w:top w:val="nil"/>
              <w:left w:val="nil"/>
              <w:bottom w:val="nil"/>
              <w:right w:val="nil"/>
            </w:tcBorders>
          </w:tcPr>
          <w:p w14:paraId="4CDD548B" w14:textId="520E926C"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1071" w:type="dxa"/>
            <w:tcBorders>
              <w:top w:val="nil"/>
              <w:left w:val="nil"/>
              <w:bottom w:val="nil"/>
              <w:right w:val="nil"/>
            </w:tcBorders>
          </w:tcPr>
          <w:p w14:paraId="62012A0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61B5CD4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566D02" w:rsidRPr="00D9685F" w14:paraId="380ADECF" w14:textId="77777777" w:rsidTr="00D9685F">
        <w:tc>
          <w:tcPr>
            <w:tcW w:w="1691" w:type="dxa"/>
            <w:tcBorders>
              <w:top w:val="nil"/>
              <w:left w:val="nil"/>
              <w:bottom w:val="nil"/>
              <w:right w:val="nil"/>
            </w:tcBorders>
          </w:tcPr>
          <w:p w14:paraId="4651A0C6"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Maximum</w:t>
            </w:r>
          </w:p>
        </w:tc>
        <w:tc>
          <w:tcPr>
            <w:tcW w:w="876" w:type="dxa"/>
            <w:tcBorders>
              <w:top w:val="nil"/>
              <w:left w:val="nil"/>
              <w:bottom w:val="nil"/>
              <w:right w:val="nil"/>
            </w:tcBorders>
          </w:tcPr>
          <w:p w14:paraId="44919EF3"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72.73</w:t>
            </w:r>
          </w:p>
        </w:tc>
        <w:tc>
          <w:tcPr>
            <w:tcW w:w="842" w:type="dxa"/>
            <w:tcBorders>
              <w:top w:val="nil"/>
              <w:left w:val="nil"/>
              <w:bottom w:val="nil"/>
              <w:right w:val="nil"/>
            </w:tcBorders>
          </w:tcPr>
          <w:p w14:paraId="218BB402"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63.64</w:t>
            </w:r>
          </w:p>
        </w:tc>
        <w:tc>
          <w:tcPr>
            <w:tcW w:w="876" w:type="dxa"/>
            <w:tcBorders>
              <w:top w:val="nil"/>
              <w:left w:val="nil"/>
              <w:bottom w:val="nil"/>
              <w:right w:val="nil"/>
            </w:tcBorders>
          </w:tcPr>
          <w:p w14:paraId="07858181"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68.18</w:t>
            </w:r>
          </w:p>
        </w:tc>
        <w:tc>
          <w:tcPr>
            <w:tcW w:w="876" w:type="dxa"/>
            <w:tcBorders>
              <w:top w:val="nil"/>
              <w:left w:val="nil"/>
              <w:bottom w:val="nil"/>
              <w:right w:val="nil"/>
            </w:tcBorders>
          </w:tcPr>
          <w:p w14:paraId="27C5DDFF"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72.73</w:t>
            </w:r>
          </w:p>
        </w:tc>
        <w:tc>
          <w:tcPr>
            <w:tcW w:w="843" w:type="dxa"/>
            <w:tcBorders>
              <w:top w:val="nil"/>
              <w:left w:val="nil"/>
              <w:bottom w:val="nil"/>
              <w:right w:val="nil"/>
            </w:tcBorders>
          </w:tcPr>
          <w:p w14:paraId="6CE258F3"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72.73</w:t>
            </w:r>
          </w:p>
        </w:tc>
        <w:tc>
          <w:tcPr>
            <w:tcW w:w="842" w:type="dxa"/>
            <w:tcBorders>
              <w:top w:val="nil"/>
              <w:left w:val="nil"/>
              <w:bottom w:val="nil"/>
              <w:right w:val="nil"/>
            </w:tcBorders>
          </w:tcPr>
          <w:p w14:paraId="427B4FE6"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72.73</w:t>
            </w:r>
          </w:p>
        </w:tc>
        <w:tc>
          <w:tcPr>
            <w:tcW w:w="876" w:type="dxa"/>
            <w:tcBorders>
              <w:top w:val="nil"/>
              <w:left w:val="nil"/>
              <w:bottom w:val="nil"/>
              <w:right w:val="nil"/>
            </w:tcBorders>
          </w:tcPr>
          <w:p w14:paraId="0FB4FA82"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72.73</w:t>
            </w:r>
          </w:p>
        </w:tc>
        <w:tc>
          <w:tcPr>
            <w:tcW w:w="1071" w:type="dxa"/>
            <w:tcBorders>
              <w:top w:val="nil"/>
              <w:left w:val="nil"/>
              <w:bottom w:val="nil"/>
              <w:right w:val="nil"/>
            </w:tcBorders>
          </w:tcPr>
          <w:p w14:paraId="2CFAF970"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333FF79C"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D9685F" w:rsidRPr="00D9685F" w14:paraId="2416B2DC" w14:textId="77777777" w:rsidTr="00D9685F">
        <w:tc>
          <w:tcPr>
            <w:tcW w:w="9781" w:type="dxa"/>
            <w:gridSpan w:val="10"/>
            <w:tcBorders>
              <w:top w:val="nil"/>
              <w:left w:val="nil"/>
              <w:bottom w:val="nil"/>
              <w:right w:val="nil"/>
            </w:tcBorders>
          </w:tcPr>
          <w:p w14:paraId="14127B73" w14:textId="57A0BED7" w:rsidR="00D9685F" w:rsidRPr="00D9685F" w:rsidRDefault="00D9685F" w:rsidP="003C080D">
            <w:pPr>
              <w:rPr>
                <w:rFonts w:asciiTheme="majorBidi" w:hAnsiTheme="majorBidi" w:cstheme="majorBidi"/>
                <w:sz w:val="24"/>
                <w:szCs w:val="24"/>
              </w:rPr>
            </w:pPr>
            <w:r w:rsidRPr="00D9685F">
              <w:rPr>
                <w:rFonts w:asciiTheme="majorBidi" w:hAnsiTheme="majorBidi" w:cstheme="majorBidi"/>
                <w:i/>
                <w:iCs/>
                <w:sz w:val="24"/>
                <w:szCs w:val="24"/>
              </w:rPr>
              <w:t xml:space="preserve">Panel 5:  Audit &amp; </w:t>
            </w:r>
            <w:r w:rsidR="00235130">
              <w:rPr>
                <w:rFonts w:asciiTheme="majorBidi" w:hAnsiTheme="majorBidi" w:cstheme="majorBidi"/>
                <w:i/>
                <w:iCs/>
                <w:sz w:val="24"/>
                <w:szCs w:val="24"/>
              </w:rPr>
              <w:t>a</w:t>
            </w:r>
            <w:r w:rsidRPr="00D9685F">
              <w:rPr>
                <w:rFonts w:asciiTheme="majorBidi" w:hAnsiTheme="majorBidi" w:cstheme="majorBidi"/>
                <w:i/>
                <w:iCs/>
                <w:sz w:val="24"/>
                <w:szCs w:val="24"/>
              </w:rPr>
              <w:t xml:space="preserve">ccountability </w:t>
            </w:r>
            <w:r w:rsidR="00235130">
              <w:rPr>
                <w:rFonts w:asciiTheme="majorBidi" w:hAnsiTheme="majorBidi" w:cstheme="majorBidi"/>
                <w:i/>
                <w:iCs/>
                <w:sz w:val="24"/>
                <w:szCs w:val="24"/>
              </w:rPr>
              <w:t>s</w:t>
            </w:r>
            <w:r w:rsidRPr="00D9685F">
              <w:rPr>
                <w:rFonts w:asciiTheme="majorBidi" w:hAnsiTheme="majorBidi" w:cstheme="majorBidi"/>
                <w:i/>
                <w:iCs/>
                <w:sz w:val="24"/>
                <w:szCs w:val="24"/>
              </w:rPr>
              <w:t>ub-</w:t>
            </w:r>
            <w:r w:rsidR="00235130">
              <w:rPr>
                <w:rFonts w:asciiTheme="majorBidi" w:hAnsiTheme="majorBidi" w:cstheme="majorBidi"/>
                <w:i/>
                <w:iCs/>
                <w:sz w:val="24"/>
                <w:szCs w:val="24"/>
              </w:rPr>
              <w:t>i</w:t>
            </w:r>
            <w:r w:rsidRPr="00D9685F">
              <w:rPr>
                <w:rFonts w:asciiTheme="majorBidi" w:hAnsiTheme="majorBidi" w:cstheme="majorBidi"/>
                <w:i/>
                <w:iCs/>
                <w:sz w:val="24"/>
                <w:szCs w:val="24"/>
              </w:rPr>
              <w:t>ndex (%)</w:t>
            </w:r>
          </w:p>
        </w:tc>
      </w:tr>
      <w:tr w:rsidR="00566D02" w:rsidRPr="00D9685F" w14:paraId="085C63C7" w14:textId="77777777" w:rsidTr="00D9685F">
        <w:tc>
          <w:tcPr>
            <w:tcW w:w="1691" w:type="dxa"/>
            <w:tcBorders>
              <w:top w:val="nil"/>
              <w:left w:val="nil"/>
              <w:bottom w:val="nil"/>
              <w:right w:val="nil"/>
            </w:tcBorders>
          </w:tcPr>
          <w:p w14:paraId="15D871B9"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Mean</w:t>
            </w:r>
          </w:p>
        </w:tc>
        <w:tc>
          <w:tcPr>
            <w:tcW w:w="876" w:type="dxa"/>
            <w:tcBorders>
              <w:top w:val="nil"/>
              <w:left w:val="nil"/>
              <w:bottom w:val="nil"/>
              <w:right w:val="nil"/>
            </w:tcBorders>
          </w:tcPr>
          <w:p w14:paraId="2B8F8AD8"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49.67</w:t>
            </w:r>
          </w:p>
        </w:tc>
        <w:tc>
          <w:tcPr>
            <w:tcW w:w="842" w:type="dxa"/>
            <w:tcBorders>
              <w:top w:val="nil"/>
              <w:left w:val="nil"/>
              <w:bottom w:val="nil"/>
              <w:right w:val="nil"/>
            </w:tcBorders>
          </w:tcPr>
          <w:p w14:paraId="3CCE42A2"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48.29</w:t>
            </w:r>
          </w:p>
        </w:tc>
        <w:tc>
          <w:tcPr>
            <w:tcW w:w="876" w:type="dxa"/>
            <w:tcBorders>
              <w:top w:val="nil"/>
              <w:left w:val="nil"/>
              <w:bottom w:val="nil"/>
              <w:right w:val="nil"/>
            </w:tcBorders>
          </w:tcPr>
          <w:p w14:paraId="4FDF033D"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48.89</w:t>
            </w:r>
          </w:p>
        </w:tc>
        <w:tc>
          <w:tcPr>
            <w:tcW w:w="876" w:type="dxa"/>
            <w:tcBorders>
              <w:top w:val="nil"/>
              <w:left w:val="nil"/>
              <w:bottom w:val="nil"/>
              <w:right w:val="nil"/>
            </w:tcBorders>
          </w:tcPr>
          <w:p w14:paraId="398C127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49.32</w:t>
            </w:r>
          </w:p>
        </w:tc>
        <w:tc>
          <w:tcPr>
            <w:tcW w:w="843" w:type="dxa"/>
            <w:tcBorders>
              <w:top w:val="nil"/>
              <w:left w:val="nil"/>
              <w:bottom w:val="nil"/>
              <w:right w:val="nil"/>
            </w:tcBorders>
          </w:tcPr>
          <w:p w14:paraId="4DACB712"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49.70</w:t>
            </w:r>
          </w:p>
        </w:tc>
        <w:tc>
          <w:tcPr>
            <w:tcW w:w="842" w:type="dxa"/>
            <w:tcBorders>
              <w:top w:val="nil"/>
              <w:left w:val="nil"/>
              <w:bottom w:val="nil"/>
              <w:right w:val="nil"/>
            </w:tcBorders>
          </w:tcPr>
          <w:p w14:paraId="75F7F99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50.34</w:t>
            </w:r>
          </w:p>
        </w:tc>
        <w:tc>
          <w:tcPr>
            <w:tcW w:w="876" w:type="dxa"/>
            <w:tcBorders>
              <w:top w:val="nil"/>
              <w:left w:val="nil"/>
              <w:bottom w:val="nil"/>
              <w:right w:val="nil"/>
            </w:tcBorders>
          </w:tcPr>
          <w:p w14:paraId="452EFDB5"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51.45</w:t>
            </w:r>
          </w:p>
        </w:tc>
        <w:tc>
          <w:tcPr>
            <w:tcW w:w="1071" w:type="dxa"/>
            <w:tcBorders>
              <w:top w:val="nil"/>
              <w:left w:val="nil"/>
              <w:bottom w:val="nil"/>
              <w:right w:val="nil"/>
            </w:tcBorders>
          </w:tcPr>
          <w:p w14:paraId="36C7D94D" w14:textId="77777777" w:rsidR="00566D02" w:rsidRPr="00D9685F" w:rsidRDefault="00566D02" w:rsidP="003C080D">
            <w:pPr>
              <w:rPr>
                <w:rFonts w:asciiTheme="majorBidi" w:hAnsiTheme="majorBidi" w:cstheme="majorBidi"/>
                <w:sz w:val="24"/>
                <w:szCs w:val="24"/>
                <w:vertAlign w:val="superscript"/>
              </w:rPr>
            </w:pPr>
            <w:r w:rsidRPr="00D9685F">
              <w:rPr>
                <w:rFonts w:asciiTheme="majorBidi" w:hAnsiTheme="majorBidi" w:cstheme="majorBidi"/>
                <w:sz w:val="24"/>
                <w:szCs w:val="24"/>
              </w:rPr>
              <w:t>1.26</w:t>
            </w:r>
          </w:p>
        </w:tc>
        <w:tc>
          <w:tcPr>
            <w:tcW w:w="988" w:type="dxa"/>
            <w:tcBorders>
              <w:top w:val="nil"/>
              <w:left w:val="nil"/>
              <w:bottom w:val="nil"/>
              <w:right w:val="nil"/>
            </w:tcBorders>
          </w:tcPr>
          <w:p w14:paraId="2BE842EE"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566D02" w:rsidRPr="00D9685F" w14:paraId="759A6316" w14:textId="77777777" w:rsidTr="00D9685F">
        <w:tc>
          <w:tcPr>
            <w:tcW w:w="1691" w:type="dxa"/>
            <w:tcBorders>
              <w:top w:val="nil"/>
              <w:left w:val="nil"/>
              <w:bottom w:val="nil"/>
              <w:right w:val="nil"/>
            </w:tcBorders>
          </w:tcPr>
          <w:p w14:paraId="5B6C8F6D"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 xml:space="preserve">Median </w:t>
            </w:r>
          </w:p>
        </w:tc>
        <w:tc>
          <w:tcPr>
            <w:tcW w:w="876" w:type="dxa"/>
            <w:tcBorders>
              <w:top w:val="nil"/>
              <w:left w:val="nil"/>
              <w:bottom w:val="nil"/>
              <w:right w:val="nil"/>
            </w:tcBorders>
          </w:tcPr>
          <w:p w14:paraId="6EC72309"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50.00</w:t>
            </w:r>
          </w:p>
        </w:tc>
        <w:tc>
          <w:tcPr>
            <w:tcW w:w="842" w:type="dxa"/>
            <w:tcBorders>
              <w:top w:val="nil"/>
              <w:left w:val="nil"/>
              <w:bottom w:val="nil"/>
              <w:right w:val="nil"/>
            </w:tcBorders>
          </w:tcPr>
          <w:p w14:paraId="6897F353"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50.00</w:t>
            </w:r>
          </w:p>
        </w:tc>
        <w:tc>
          <w:tcPr>
            <w:tcW w:w="876" w:type="dxa"/>
            <w:tcBorders>
              <w:top w:val="nil"/>
              <w:left w:val="nil"/>
              <w:bottom w:val="nil"/>
              <w:right w:val="nil"/>
            </w:tcBorders>
          </w:tcPr>
          <w:p w14:paraId="285E961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50.00</w:t>
            </w:r>
          </w:p>
        </w:tc>
        <w:tc>
          <w:tcPr>
            <w:tcW w:w="876" w:type="dxa"/>
            <w:tcBorders>
              <w:top w:val="nil"/>
              <w:left w:val="nil"/>
              <w:bottom w:val="nil"/>
              <w:right w:val="nil"/>
            </w:tcBorders>
          </w:tcPr>
          <w:p w14:paraId="4FB0A92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50.00</w:t>
            </w:r>
          </w:p>
        </w:tc>
        <w:tc>
          <w:tcPr>
            <w:tcW w:w="843" w:type="dxa"/>
            <w:tcBorders>
              <w:top w:val="nil"/>
              <w:left w:val="nil"/>
              <w:bottom w:val="nil"/>
              <w:right w:val="nil"/>
            </w:tcBorders>
          </w:tcPr>
          <w:p w14:paraId="47560ADE"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50.00</w:t>
            </w:r>
          </w:p>
        </w:tc>
        <w:tc>
          <w:tcPr>
            <w:tcW w:w="842" w:type="dxa"/>
            <w:tcBorders>
              <w:top w:val="nil"/>
              <w:left w:val="nil"/>
              <w:bottom w:val="nil"/>
              <w:right w:val="nil"/>
            </w:tcBorders>
          </w:tcPr>
          <w:p w14:paraId="4AEBCE59"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50.00</w:t>
            </w:r>
          </w:p>
        </w:tc>
        <w:tc>
          <w:tcPr>
            <w:tcW w:w="876" w:type="dxa"/>
            <w:tcBorders>
              <w:top w:val="nil"/>
              <w:left w:val="nil"/>
              <w:bottom w:val="nil"/>
              <w:right w:val="nil"/>
            </w:tcBorders>
          </w:tcPr>
          <w:p w14:paraId="53581528"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50.00</w:t>
            </w:r>
          </w:p>
        </w:tc>
        <w:tc>
          <w:tcPr>
            <w:tcW w:w="1071" w:type="dxa"/>
            <w:tcBorders>
              <w:top w:val="nil"/>
              <w:left w:val="nil"/>
              <w:bottom w:val="nil"/>
              <w:right w:val="nil"/>
            </w:tcBorders>
          </w:tcPr>
          <w:p w14:paraId="75307DCA"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60569B8D" w14:textId="77777777" w:rsidR="00566D02" w:rsidRPr="00D9685F" w:rsidRDefault="00566D02" w:rsidP="003C080D">
            <w:pPr>
              <w:rPr>
                <w:rFonts w:asciiTheme="majorBidi" w:hAnsiTheme="majorBidi" w:cstheme="majorBidi"/>
                <w:sz w:val="24"/>
                <w:szCs w:val="24"/>
                <w:vertAlign w:val="superscript"/>
              </w:rPr>
            </w:pPr>
            <w:r w:rsidRPr="00D9685F">
              <w:rPr>
                <w:rFonts w:asciiTheme="majorBidi" w:hAnsiTheme="majorBidi" w:cstheme="majorBidi"/>
                <w:sz w:val="24"/>
                <w:szCs w:val="24"/>
              </w:rPr>
              <w:t>0.00</w:t>
            </w:r>
          </w:p>
        </w:tc>
      </w:tr>
      <w:tr w:rsidR="00566D02" w:rsidRPr="00D9685F" w14:paraId="55D94FA1" w14:textId="77777777" w:rsidTr="00D9685F">
        <w:tc>
          <w:tcPr>
            <w:tcW w:w="1691" w:type="dxa"/>
            <w:tcBorders>
              <w:top w:val="nil"/>
              <w:left w:val="nil"/>
              <w:bottom w:val="nil"/>
              <w:right w:val="nil"/>
            </w:tcBorders>
          </w:tcPr>
          <w:p w14:paraId="3ED82E4A"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STD</w:t>
            </w:r>
          </w:p>
        </w:tc>
        <w:tc>
          <w:tcPr>
            <w:tcW w:w="876" w:type="dxa"/>
            <w:tcBorders>
              <w:top w:val="nil"/>
              <w:left w:val="nil"/>
              <w:bottom w:val="nil"/>
              <w:right w:val="nil"/>
            </w:tcBorders>
          </w:tcPr>
          <w:p w14:paraId="0674AAEC"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11.56</w:t>
            </w:r>
          </w:p>
        </w:tc>
        <w:tc>
          <w:tcPr>
            <w:tcW w:w="842" w:type="dxa"/>
            <w:tcBorders>
              <w:top w:val="nil"/>
              <w:left w:val="nil"/>
              <w:bottom w:val="nil"/>
              <w:right w:val="nil"/>
            </w:tcBorders>
          </w:tcPr>
          <w:p w14:paraId="44CDD1A3"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11.22</w:t>
            </w:r>
          </w:p>
        </w:tc>
        <w:tc>
          <w:tcPr>
            <w:tcW w:w="876" w:type="dxa"/>
            <w:tcBorders>
              <w:top w:val="nil"/>
              <w:left w:val="nil"/>
              <w:bottom w:val="nil"/>
              <w:right w:val="nil"/>
            </w:tcBorders>
          </w:tcPr>
          <w:p w14:paraId="26F03302"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11.39</w:t>
            </w:r>
          </w:p>
        </w:tc>
        <w:tc>
          <w:tcPr>
            <w:tcW w:w="876" w:type="dxa"/>
            <w:tcBorders>
              <w:top w:val="nil"/>
              <w:left w:val="nil"/>
              <w:bottom w:val="nil"/>
              <w:right w:val="nil"/>
            </w:tcBorders>
          </w:tcPr>
          <w:p w14:paraId="67E19091"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11.52</w:t>
            </w:r>
          </w:p>
        </w:tc>
        <w:tc>
          <w:tcPr>
            <w:tcW w:w="843" w:type="dxa"/>
            <w:tcBorders>
              <w:top w:val="nil"/>
              <w:left w:val="nil"/>
              <w:bottom w:val="nil"/>
              <w:right w:val="nil"/>
            </w:tcBorders>
          </w:tcPr>
          <w:p w14:paraId="5373F765"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11.47</w:t>
            </w:r>
          </w:p>
        </w:tc>
        <w:tc>
          <w:tcPr>
            <w:tcW w:w="842" w:type="dxa"/>
            <w:tcBorders>
              <w:top w:val="nil"/>
              <w:left w:val="nil"/>
              <w:bottom w:val="nil"/>
              <w:right w:val="nil"/>
            </w:tcBorders>
          </w:tcPr>
          <w:p w14:paraId="22E6CD09"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11.52</w:t>
            </w:r>
          </w:p>
        </w:tc>
        <w:tc>
          <w:tcPr>
            <w:tcW w:w="876" w:type="dxa"/>
            <w:tcBorders>
              <w:top w:val="nil"/>
              <w:left w:val="nil"/>
              <w:bottom w:val="nil"/>
              <w:right w:val="nil"/>
            </w:tcBorders>
          </w:tcPr>
          <w:p w14:paraId="0B54A8F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12.18</w:t>
            </w:r>
          </w:p>
        </w:tc>
        <w:tc>
          <w:tcPr>
            <w:tcW w:w="1071" w:type="dxa"/>
            <w:tcBorders>
              <w:top w:val="nil"/>
              <w:left w:val="nil"/>
              <w:bottom w:val="nil"/>
              <w:right w:val="nil"/>
            </w:tcBorders>
          </w:tcPr>
          <w:p w14:paraId="49E2C546"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1BB6FB7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566D02" w:rsidRPr="00D9685F" w14:paraId="70C609D3" w14:textId="77777777" w:rsidTr="00D9685F">
        <w:tc>
          <w:tcPr>
            <w:tcW w:w="1691" w:type="dxa"/>
            <w:tcBorders>
              <w:top w:val="nil"/>
              <w:left w:val="nil"/>
              <w:bottom w:val="nil"/>
              <w:right w:val="nil"/>
            </w:tcBorders>
          </w:tcPr>
          <w:p w14:paraId="0CD0C010"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Minimum</w:t>
            </w:r>
          </w:p>
        </w:tc>
        <w:tc>
          <w:tcPr>
            <w:tcW w:w="876" w:type="dxa"/>
            <w:tcBorders>
              <w:top w:val="nil"/>
              <w:left w:val="nil"/>
              <w:bottom w:val="nil"/>
              <w:right w:val="nil"/>
            </w:tcBorders>
          </w:tcPr>
          <w:p w14:paraId="3F64E0DB" w14:textId="60AE1743"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42" w:type="dxa"/>
            <w:tcBorders>
              <w:top w:val="nil"/>
              <w:left w:val="nil"/>
              <w:bottom w:val="nil"/>
              <w:right w:val="nil"/>
            </w:tcBorders>
          </w:tcPr>
          <w:p w14:paraId="1C13107F" w14:textId="7503AA0C"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76" w:type="dxa"/>
            <w:tcBorders>
              <w:top w:val="nil"/>
              <w:left w:val="nil"/>
              <w:bottom w:val="nil"/>
              <w:right w:val="nil"/>
            </w:tcBorders>
          </w:tcPr>
          <w:p w14:paraId="226C90EF" w14:textId="0A4A11CA"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76" w:type="dxa"/>
            <w:tcBorders>
              <w:top w:val="nil"/>
              <w:left w:val="nil"/>
              <w:bottom w:val="nil"/>
              <w:right w:val="nil"/>
            </w:tcBorders>
          </w:tcPr>
          <w:p w14:paraId="3A00EE87" w14:textId="4D8D4C3D"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43" w:type="dxa"/>
            <w:tcBorders>
              <w:top w:val="nil"/>
              <w:left w:val="nil"/>
              <w:bottom w:val="nil"/>
              <w:right w:val="nil"/>
            </w:tcBorders>
          </w:tcPr>
          <w:p w14:paraId="50CB7261" w14:textId="1F299F68"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5.00</w:t>
            </w:r>
          </w:p>
        </w:tc>
        <w:tc>
          <w:tcPr>
            <w:tcW w:w="842" w:type="dxa"/>
            <w:tcBorders>
              <w:top w:val="nil"/>
              <w:left w:val="nil"/>
              <w:bottom w:val="nil"/>
              <w:right w:val="nil"/>
            </w:tcBorders>
          </w:tcPr>
          <w:p w14:paraId="27EFDC11" w14:textId="7CD0944A"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5.00</w:t>
            </w:r>
          </w:p>
        </w:tc>
        <w:tc>
          <w:tcPr>
            <w:tcW w:w="876" w:type="dxa"/>
            <w:tcBorders>
              <w:top w:val="nil"/>
              <w:left w:val="nil"/>
              <w:bottom w:val="nil"/>
              <w:right w:val="nil"/>
            </w:tcBorders>
          </w:tcPr>
          <w:p w14:paraId="37DA3013" w14:textId="6CFB26EA"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5.00</w:t>
            </w:r>
          </w:p>
        </w:tc>
        <w:tc>
          <w:tcPr>
            <w:tcW w:w="1071" w:type="dxa"/>
            <w:tcBorders>
              <w:top w:val="nil"/>
              <w:left w:val="nil"/>
              <w:bottom w:val="nil"/>
              <w:right w:val="nil"/>
            </w:tcBorders>
          </w:tcPr>
          <w:p w14:paraId="48730FB6"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012E858C"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566D02" w:rsidRPr="00D9685F" w14:paraId="280A5F1E" w14:textId="77777777" w:rsidTr="00D9685F">
        <w:tc>
          <w:tcPr>
            <w:tcW w:w="1691" w:type="dxa"/>
            <w:tcBorders>
              <w:top w:val="nil"/>
              <w:left w:val="nil"/>
              <w:bottom w:val="nil"/>
              <w:right w:val="nil"/>
            </w:tcBorders>
          </w:tcPr>
          <w:p w14:paraId="7873C5CE"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Maximum</w:t>
            </w:r>
          </w:p>
        </w:tc>
        <w:tc>
          <w:tcPr>
            <w:tcW w:w="876" w:type="dxa"/>
            <w:tcBorders>
              <w:top w:val="nil"/>
              <w:left w:val="nil"/>
              <w:bottom w:val="nil"/>
              <w:right w:val="nil"/>
            </w:tcBorders>
          </w:tcPr>
          <w:p w14:paraId="0C7879A2"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75.00</w:t>
            </w:r>
          </w:p>
        </w:tc>
        <w:tc>
          <w:tcPr>
            <w:tcW w:w="842" w:type="dxa"/>
            <w:tcBorders>
              <w:top w:val="nil"/>
              <w:left w:val="nil"/>
              <w:bottom w:val="nil"/>
              <w:right w:val="nil"/>
            </w:tcBorders>
          </w:tcPr>
          <w:p w14:paraId="04DEF0D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70.00</w:t>
            </w:r>
          </w:p>
        </w:tc>
        <w:tc>
          <w:tcPr>
            <w:tcW w:w="876" w:type="dxa"/>
            <w:tcBorders>
              <w:top w:val="nil"/>
              <w:left w:val="nil"/>
              <w:bottom w:val="nil"/>
              <w:right w:val="nil"/>
            </w:tcBorders>
          </w:tcPr>
          <w:p w14:paraId="77C9B899"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70.00</w:t>
            </w:r>
          </w:p>
        </w:tc>
        <w:tc>
          <w:tcPr>
            <w:tcW w:w="876" w:type="dxa"/>
            <w:tcBorders>
              <w:top w:val="nil"/>
              <w:left w:val="nil"/>
              <w:bottom w:val="nil"/>
              <w:right w:val="nil"/>
            </w:tcBorders>
          </w:tcPr>
          <w:p w14:paraId="10BBBFA5"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70.00</w:t>
            </w:r>
          </w:p>
        </w:tc>
        <w:tc>
          <w:tcPr>
            <w:tcW w:w="843" w:type="dxa"/>
            <w:tcBorders>
              <w:top w:val="nil"/>
              <w:left w:val="nil"/>
              <w:bottom w:val="nil"/>
              <w:right w:val="nil"/>
            </w:tcBorders>
          </w:tcPr>
          <w:p w14:paraId="0DB3CC60"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70.00</w:t>
            </w:r>
          </w:p>
        </w:tc>
        <w:tc>
          <w:tcPr>
            <w:tcW w:w="842" w:type="dxa"/>
            <w:tcBorders>
              <w:top w:val="nil"/>
              <w:left w:val="nil"/>
              <w:bottom w:val="nil"/>
              <w:right w:val="nil"/>
            </w:tcBorders>
          </w:tcPr>
          <w:p w14:paraId="45B4318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75.00</w:t>
            </w:r>
          </w:p>
        </w:tc>
        <w:tc>
          <w:tcPr>
            <w:tcW w:w="876" w:type="dxa"/>
            <w:tcBorders>
              <w:top w:val="nil"/>
              <w:left w:val="nil"/>
              <w:bottom w:val="nil"/>
              <w:right w:val="nil"/>
            </w:tcBorders>
          </w:tcPr>
          <w:p w14:paraId="2CDCD9CB"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75.00</w:t>
            </w:r>
          </w:p>
        </w:tc>
        <w:tc>
          <w:tcPr>
            <w:tcW w:w="1071" w:type="dxa"/>
            <w:tcBorders>
              <w:top w:val="nil"/>
              <w:left w:val="nil"/>
              <w:bottom w:val="nil"/>
              <w:right w:val="nil"/>
            </w:tcBorders>
          </w:tcPr>
          <w:p w14:paraId="2F9BFABE"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0DEF1522"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D9685F" w:rsidRPr="00D9685F" w14:paraId="7A32D155" w14:textId="77777777" w:rsidTr="00D9685F">
        <w:tc>
          <w:tcPr>
            <w:tcW w:w="9781" w:type="dxa"/>
            <w:gridSpan w:val="10"/>
            <w:tcBorders>
              <w:top w:val="nil"/>
              <w:left w:val="nil"/>
              <w:bottom w:val="nil"/>
              <w:right w:val="nil"/>
            </w:tcBorders>
          </w:tcPr>
          <w:p w14:paraId="30EFCA5B" w14:textId="782891CB" w:rsidR="00D9685F" w:rsidRPr="00D9685F" w:rsidRDefault="00D9685F" w:rsidP="003C080D">
            <w:pPr>
              <w:rPr>
                <w:rFonts w:asciiTheme="majorBidi" w:hAnsiTheme="majorBidi" w:cstheme="majorBidi"/>
                <w:sz w:val="24"/>
                <w:szCs w:val="24"/>
              </w:rPr>
            </w:pPr>
            <w:r w:rsidRPr="00D9685F">
              <w:rPr>
                <w:rFonts w:asciiTheme="majorBidi" w:hAnsiTheme="majorBidi" w:cstheme="majorBidi"/>
                <w:i/>
                <w:iCs/>
                <w:sz w:val="24"/>
                <w:szCs w:val="24"/>
              </w:rPr>
              <w:t xml:space="preserve">Panel 6: Dialogue with </w:t>
            </w:r>
            <w:r w:rsidR="00235130">
              <w:rPr>
                <w:rFonts w:asciiTheme="majorBidi" w:hAnsiTheme="majorBidi" w:cstheme="majorBidi"/>
                <w:i/>
                <w:iCs/>
                <w:sz w:val="24"/>
                <w:szCs w:val="24"/>
              </w:rPr>
              <w:t>s</w:t>
            </w:r>
            <w:r w:rsidRPr="00D9685F">
              <w:rPr>
                <w:rFonts w:asciiTheme="majorBidi" w:hAnsiTheme="majorBidi" w:cstheme="majorBidi"/>
                <w:i/>
                <w:iCs/>
                <w:sz w:val="24"/>
                <w:szCs w:val="24"/>
              </w:rPr>
              <w:t xml:space="preserve">takeholders &amp; SR </w:t>
            </w:r>
            <w:r w:rsidR="00235130">
              <w:rPr>
                <w:rFonts w:asciiTheme="majorBidi" w:hAnsiTheme="majorBidi" w:cstheme="majorBidi"/>
                <w:i/>
                <w:iCs/>
                <w:sz w:val="24"/>
                <w:szCs w:val="24"/>
              </w:rPr>
              <w:t>s</w:t>
            </w:r>
            <w:r w:rsidRPr="00D9685F">
              <w:rPr>
                <w:rFonts w:asciiTheme="majorBidi" w:hAnsiTheme="majorBidi" w:cstheme="majorBidi"/>
                <w:i/>
                <w:iCs/>
                <w:sz w:val="24"/>
                <w:szCs w:val="24"/>
              </w:rPr>
              <w:t>ub-</w:t>
            </w:r>
            <w:r w:rsidR="00235130">
              <w:rPr>
                <w:rFonts w:asciiTheme="majorBidi" w:hAnsiTheme="majorBidi" w:cstheme="majorBidi"/>
                <w:i/>
                <w:iCs/>
                <w:sz w:val="24"/>
                <w:szCs w:val="24"/>
              </w:rPr>
              <w:t>i</w:t>
            </w:r>
            <w:r w:rsidRPr="00D9685F">
              <w:rPr>
                <w:rFonts w:asciiTheme="majorBidi" w:hAnsiTheme="majorBidi" w:cstheme="majorBidi"/>
                <w:i/>
                <w:iCs/>
                <w:sz w:val="24"/>
                <w:szCs w:val="24"/>
              </w:rPr>
              <w:t xml:space="preserve">ndex (%) </w:t>
            </w:r>
          </w:p>
        </w:tc>
      </w:tr>
      <w:tr w:rsidR="00566D02" w:rsidRPr="00D9685F" w14:paraId="6D5E5087" w14:textId="77777777" w:rsidTr="00D9685F">
        <w:tc>
          <w:tcPr>
            <w:tcW w:w="1691" w:type="dxa"/>
            <w:tcBorders>
              <w:top w:val="nil"/>
              <w:left w:val="nil"/>
              <w:bottom w:val="nil"/>
              <w:right w:val="nil"/>
            </w:tcBorders>
          </w:tcPr>
          <w:p w14:paraId="0A95A6A3"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Mean</w:t>
            </w:r>
          </w:p>
        </w:tc>
        <w:tc>
          <w:tcPr>
            <w:tcW w:w="876" w:type="dxa"/>
            <w:tcBorders>
              <w:top w:val="nil"/>
              <w:left w:val="nil"/>
              <w:bottom w:val="nil"/>
              <w:right w:val="nil"/>
            </w:tcBorders>
          </w:tcPr>
          <w:p w14:paraId="2A267F54" w14:textId="28F4D472"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40.07</w:t>
            </w:r>
          </w:p>
        </w:tc>
        <w:tc>
          <w:tcPr>
            <w:tcW w:w="842" w:type="dxa"/>
            <w:tcBorders>
              <w:top w:val="nil"/>
              <w:left w:val="nil"/>
              <w:bottom w:val="nil"/>
              <w:right w:val="nil"/>
            </w:tcBorders>
          </w:tcPr>
          <w:p w14:paraId="21EF7144"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31.87</w:t>
            </w:r>
          </w:p>
        </w:tc>
        <w:tc>
          <w:tcPr>
            <w:tcW w:w="876" w:type="dxa"/>
            <w:tcBorders>
              <w:top w:val="nil"/>
              <w:left w:val="nil"/>
              <w:bottom w:val="nil"/>
              <w:right w:val="nil"/>
            </w:tcBorders>
          </w:tcPr>
          <w:p w14:paraId="79D8F692" w14:textId="0E0F0754"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38.46</w:t>
            </w:r>
          </w:p>
        </w:tc>
        <w:tc>
          <w:tcPr>
            <w:tcW w:w="876" w:type="dxa"/>
            <w:tcBorders>
              <w:top w:val="nil"/>
              <w:left w:val="nil"/>
              <w:bottom w:val="nil"/>
              <w:right w:val="nil"/>
            </w:tcBorders>
          </w:tcPr>
          <w:p w14:paraId="13783A13" w14:textId="78D66BCF"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40.05</w:t>
            </w:r>
          </w:p>
        </w:tc>
        <w:tc>
          <w:tcPr>
            <w:tcW w:w="843" w:type="dxa"/>
            <w:tcBorders>
              <w:top w:val="nil"/>
              <w:left w:val="nil"/>
              <w:bottom w:val="nil"/>
              <w:right w:val="nil"/>
            </w:tcBorders>
          </w:tcPr>
          <w:p w14:paraId="0658A846"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41.39</w:t>
            </w:r>
          </w:p>
        </w:tc>
        <w:tc>
          <w:tcPr>
            <w:tcW w:w="842" w:type="dxa"/>
            <w:tcBorders>
              <w:top w:val="nil"/>
              <w:left w:val="nil"/>
              <w:bottom w:val="nil"/>
              <w:right w:val="nil"/>
            </w:tcBorders>
          </w:tcPr>
          <w:p w14:paraId="123C2FD8"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42.74</w:t>
            </w:r>
          </w:p>
        </w:tc>
        <w:tc>
          <w:tcPr>
            <w:tcW w:w="876" w:type="dxa"/>
            <w:tcBorders>
              <w:top w:val="nil"/>
              <w:left w:val="nil"/>
              <w:bottom w:val="nil"/>
              <w:right w:val="nil"/>
            </w:tcBorders>
          </w:tcPr>
          <w:p w14:paraId="2A041D9A" w14:textId="6BC9DFE4"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45.91</w:t>
            </w:r>
          </w:p>
        </w:tc>
        <w:tc>
          <w:tcPr>
            <w:tcW w:w="1071" w:type="dxa"/>
            <w:tcBorders>
              <w:top w:val="nil"/>
              <w:left w:val="nil"/>
              <w:bottom w:val="nil"/>
              <w:right w:val="nil"/>
            </w:tcBorders>
          </w:tcPr>
          <w:p w14:paraId="7AF07642"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-0.72</w:t>
            </w:r>
          </w:p>
        </w:tc>
        <w:tc>
          <w:tcPr>
            <w:tcW w:w="988" w:type="dxa"/>
            <w:tcBorders>
              <w:top w:val="nil"/>
              <w:left w:val="nil"/>
              <w:bottom w:val="nil"/>
              <w:right w:val="nil"/>
            </w:tcBorders>
          </w:tcPr>
          <w:p w14:paraId="75F5AF98"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566D02" w:rsidRPr="00D9685F" w14:paraId="2C57C1C2" w14:textId="77777777" w:rsidTr="00D9685F">
        <w:tc>
          <w:tcPr>
            <w:tcW w:w="1691" w:type="dxa"/>
            <w:tcBorders>
              <w:top w:val="nil"/>
              <w:left w:val="nil"/>
              <w:bottom w:val="nil"/>
              <w:right w:val="nil"/>
            </w:tcBorders>
          </w:tcPr>
          <w:p w14:paraId="5644440D"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 xml:space="preserve">Median </w:t>
            </w:r>
          </w:p>
        </w:tc>
        <w:tc>
          <w:tcPr>
            <w:tcW w:w="876" w:type="dxa"/>
            <w:tcBorders>
              <w:top w:val="nil"/>
              <w:left w:val="nil"/>
              <w:bottom w:val="nil"/>
              <w:right w:val="nil"/>
            </w:tcBorders>
          </w:tcPr>
          <w:p w14:paraId="13F38E0D" w14:textId="5386E64A"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42.86</w:t>
            </w:r>
          </w:p>
        </w:tc>
        <w:tc>
          <w:tcPr>
            <w:tcW w:w="842" w:type="dxa"/>
            <w:tcBorders>
              <w:top w:val="nil"/>
              <w:left w:val="nil"/>
              <w:bottom w:val="nil"/>
              <w:right w:val="nil"/>
            </w:tcBorders>
          </w:tcPr>
          <w:p w14:paraId="019D4EB6"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28.57</w:t>
            </w:r>
          </w:p>
        </w:tc>
        <w:tc>
          <w:tcPr>
            <w:tcW w:w="876" w:type="dxa"/>
            <w:tcBorders>
              <w:top w:val="nil"/>
              <w:left w:val="nil"/>
              <w:bottom w:val="nil"/>
              <w:right w:val="nil"/>
            </w:tcBorders>
          </w:tcPr>
          <w:p w14:paraId="0AE14242" w14:textId="4CFA4D5A"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42.86</w:t>
            </w:r>
          </w:p>
        </w:tc>
        <w:tc>
          <w:tcPr>
            <w:tcW w:w="876" w:type="dxa"/>
            <w:tcBorders>
              <w:top w:val="nil"/>
              <w:left w:val="nil"/>
              <w:bottom w:val="nil"/>
              <w:right w:val="nil"/>
            </w:tcBorders>
          </w:tcPr>
          <w:p w14:paraId="7EB7A2E9" w14:textId="78F8B8CC"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42.86</w:t>
            </w:r>
          </w:p>
        </w:tc>
        <w:tc>
          <w:tcPr>
            <w:tcW w:w="843" w:type="dxa"/>
            <w:tcBorders>
              <w:top w:val="nil"/>
              <w:left w:val="nil"/>
              <w:bottom w:val="nil"/>
              <w:right w:val="nil"/>
            </w:tcBorders>
          </w:tcPr>
          <w:p w14:paraId="65F1AE2E"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42.86</w:t>
            </w:r>
          </w:p>
        </w:tc>
        <w:tc>
          <w:tcPr>
            <w:tcW w:w="842" w:type="dxa"/>
            <w:tcBorders>
              <w:top w:val="nil"/>
              <w:left w:val="nil"/>
              <w:bottom w:val="nil"/>
              <w:right w:val="nil"/>
            </w:tcBorders>
          </w:tcPr>
          <w:p w14:paraId="03B401BE"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42.86</w:t>
            </w:r>
          </w:p>
        </w:tc>
        <w:tc>
          <w:tcPr>
            <w:tcW w:w="876" w:type="dxa"/>
            <w:tcBorders>
              <w:top w:val="nil"/>
              <w:left w:val="nil"/>
              <w:bottom w:val="nil"/>
              <w:right w:val="nil"/>
            </w:tcBorders>
          </w:tcPr>
          <w:p w14:paraId="2BB38022" w14:textId="306D4A58"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42.86</w:t>
            </w:r>
          </w:p>
        </w:tc>
        <w:tc>
          <w:tcPr>
            <w:tcW w:w="1071" w:type="dxa"/>
            <w:tcBorders>
              <w:top w:val="nil"/>
              <w:left w:val="nil"/>
              <w:bottom w:val="nil"/>
              <w:right w:val="nil"/>
            </w:tcBorders>
          </w:tcPr>
          <w:p w14:paraId="2047755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706D4E0A" w14:textId="77777777" w:rsidR="00566D02" w:rsidRPr="00D9685F" w:rsidRDefault="00566D02" w:rsidP="003C080D">
            <w:pPr>
              <w:rPr>
                <w:rFonts w:asciiTheme="majorBidi" w:hAnsiTheme="majorBidi" w:cstheme="majorBidi"/>
                <w:sz w:val="24"/>
                <w:szCs w:val="24"/>
                <w:vertAlign w:val="superscript"/>
              </w:rPr>
            </w:pPr>
            <w:r w:rsidRPr="00D9685F">
              <w:rPr>
                <w:rFonts w:asciiTheme="majorBidi" w:hAnsiTheme="majorBidi" w:cstheme="majorBidi"/>
                <w:sz w:val="24"/>
                <w:szCs w:val="24"/>
              </w:rPr>
              <w:t>0.00</w:t>
            </w:r>
          </w:p>
        </w:tc>
      </w:tr>
      <w:tr w:rsidR="00566D02" w:rsidRPr="00D9685F" w14:paraId="20B85893" w14:textId="77777777" w:rsidTr="00D9685F">
        <w:tc>
          <w:tcPr>
            <w:tcW w:w="1691" w:type="dxa"/>
            <w:tcBorders>
              <w:top w:val="nil"/>
              <w:left w:val="nil"/>
              <w:bottom w:val="nil"/>
              <w:right w:val="nil"/>
            </w:tcBorders>
          </w:tcPr>
          <w:p w14:paraId="3DB0E726"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STD</w:t>
            </w:r>
          </w:p>
        </w:tc>
        <w:tc>
          <w:tcPr>
            <w:tcW w:w="876" w:type="dxa"/>
            <w:tcBorders>
              <w:top w:val="nil"/>
              <w:left w:val="nil"/>
              <w:bottom w:val="nil"/>
              <w:right w:val="nil"/>
            </w:tcBorders>
          </w:tcPr>
          <w:p w14:paraId="46A07512" w14:textId="793D8CA8"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21.30</w:t>
            </w:r>
          </w:p>
        </w:tc>
        <w:tc>
          <w:tcPr>
            <w:tcW w:w="842" w:type="dxa"/>
            <w:tcBorders>
              <w:top w:val="nil"/>
              <w:left w:val="nil"/>
              <w:bottom w:val="nil"/>
              <w:right w:val="nil"/>
            </w:tcBorders>
          </w:tcPr>
          <w:p w14:paraId="14B80C55"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21.00</w:t>
            </w:r>
          </w:p>
        </w:tc>
        <w:tc>
          <w:tcPr>
            <w:tcW w:w="876" w:type="dxa"/>
            <w:tcBorders>
              <w:top w:val="nil"/>
              <w:left w:val="nil"/>
              <w:bottom w:val="nil"/>
              <w:right w:val="nil"/>
            </w:tcBorders>
          </w:tcPr>
          <w:p w14:paraId="73BDD5B8" w14:textId="3601AD5E"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21.75</w:t>
            </w:r>
          </w:p>
        </w:tc>
        <w:tc>
          <w:tcPr>
            <w:tcW w:w="876" w:type="dxa"/>
            <w:tcBorders>
              <w:top w:val="nil"/>
              <w:left w:val="nil"/>
              <w:bottom w:val="nil"/>
              <w:right w:val="nil"/>
            </w:tcBorders>
          </w:tcPr>
          <w:p w14:paraId="54BCE090" w14:textId="728F27DA"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20.48</w:t>
            </w:r>
          </w:p>
        </w:tc>
        <w:tc>
          <w:tcPr>
            <w:tcW w:w="843" w:type="dxa"/>
            <w:tcBorders>
              <w:top w:val="nil"/>
              <w:left w:val="nil"/>
              <w:bottom w:val="nil"/>
              <w:right w:val="nil"/>
            </w:tcBorders>
          </w:tcPr>
          <w:p w14:paraId="6CFFE3BA"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19.97</w:t>
            </w:r>
          </w:p>
        </w:tc>
        <w:tc>
          <w:tcPr>
            <w:tcW w:w="842" w:type="dxa"/>
            <w:tcBorders>
              <w:top w:val="nil"/>
              <w:left w:val="nil"/>
              <w:bottom w:val="nil"/>
              <w:right w:val="nil"/>
            </w:tcBorders>
          </w:tcPr>
          <w:p w14:paraId="2FD05A98"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20.76</w:t>
            </w:r>
          </w:p>
        </w:tc>
        <w:tc>
          <w:tcPr>
            <w:tcW w:w="876" w:type="dxa"/>
            <w:tcBorders>
              <w:top w:val="nil"/>
              <w:left w:val="nil"/>
              <w:bottom w:val="nil"/>
              <w:right w:val="nil"/>
            </w:tcBorders>
          </w:tcPr>
          <w:p w14:paraId="67305527" w14:textId="0C9AF9C9"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21.54</w:t>
            </w:r>
          </w:p>
        </w:tc>
        <w:tc>
          <w:tcPr>
            <w:tcW w:w="1071" w:type="dxa"/>
            <w:tcBorders>
              <w:top w:val="nil"/>
              <w:left w:val="nil"/>
              <w:bottom w:val="nil"/>
              <w:right w:val="nil"/>
            </w:tcBorders>
          </w:tcPr>
          <w:p w14:paraId="443FB480"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5AFC6B9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566D02" w:rsidRPr="00D9685F" w14:paraId="49370B0E" w14:textId="77777777" w:rsidTr="00D9685F">
        <w:tc>
          <w:tcPr>
            <w:tcW w:w="1691" w:type="dxa"/>
            <w:tcBorders>
              <w:top w:val="nil"/>
              <w:left w:val="nil"/>
              <w:bottom w:val="nil"/>
              <w:right w:val="nil"/>
            </w:tcBorders>
          </w:tcPr>
          <w:p w14:paraId="5B2AB546"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Minimum</w:t>
            </w:r>
          </w:p>
        </w:tc>
        <w:tc>
          <w:tcPr>
            <w:tcW w:w="876" w:type="dxa"/>
            <w:tcBorders>
              <w:top w:val="nil"/>
              <w:left w:val="nil"/>
              <w:bottom w:val="nil"/>
              <w:right w:val="nil"/>
            </w:tcBorders>
          </w:tcPr>
          <w:p w14:paraId="10792F46" w14:textId="4949F8D3"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42" w:type="dxa"/>
            <w:tcBorders>
              <w:top w:val="nil"/>
              <w:left w:val="nil"/>
              <w:bottom w:val="nil"/>
              <w:right w:val="nil"/>
            </w:tcBorders>
          </w:tcPr>
          <w:p w14:paraId="1417590A" w14:textId="6AA89617"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76" w:type="dxa"/>
            <w:tcBorders>
              <w:top w:val="nil"/>
              <w:left w:val="nil"/>
              <w:bottom w:val="nil"/>
              <w:right w:val="nil"/>
            </w:tcBorders>
          </w:tcPr>
          <w:p w14:paraId="5EBF887B" w14:textId="7964BEDE"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76" w:type="dxa"/>
            <w:tcBorders>
              <w:top w:val="nil"/>
              <w:left w:val="nil"/>
              <w:bottom w:val="nil"/>
              <w:right w:val="nil"/>
            </w:tcBorders>
          </w:tcPr>
          <w:p w14:paraId="74E3CB32" w14:textId="1FDCCF86"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43" w:type="dxa"/>
            <w:tcBorders>
              <w:top w:val="nil"/>
              <w:left w:val="nil"/>
              <w:bottom w:val="nil"/>
              <w:right w:val="nil"/>
            </w:tcBorders>
          </w:tcPr>
          <w:p w14:paraId="61F7284F" w14:textId="01DE3B73"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42" w:type="dxa"/>
            <w:tcBorders>
              <w:top w:val="nil"/>
              <w:left w:val="nil"/>
              <w:bottom w:val="nil"/>
              <w:right w:val="nil"/>
            </w:tcBorders>
          </w:tcPr>
          <w:p w14:paraId="61D2554F" w14:textId="744AD77C"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876" w:type="dxa"/>
            <w:tcBorders>
              <w:top w:val="nil"/>
              <w:left w:val="nil"/>
              <w:bottom w:val="nil"/>
              <w:right w:val="nil"/>
            </w:tcBorders>
          </w:tcPr>
          <w:p w14:paraId="5D1FA624" w14:textId="457DF7DF" w:rsidR="00566D02" w:rsidRPr="00D9685F" w:rsidRDefault="00624F34" w:rsidP="003C080D">
            <w:pPr>
              <w:rPr>
                <w:rFonts w:asciiTheme="majorBidi" w:hAnsiTheme="majorBidi" w:cstheme="majorBidi"/>
                <w:sz w:val="24"/>
                <w:szCs w:val="24"/>
              </w:rPr>
            </w:pPr>
            <w:r>
              <w:rPr>
                <w:rFonts w:asciiTheme="majorBidi" w:hAnsiTheme="majorBidi" w:cstheme="majorBidi"/>
                <w:sz w:val="24"/>
                <w:szCs w:val="24"/>
              </w:rPr>
              <w:t xml:space="preserve">   </w:t>
            </w:r>
            <w:r w:rsidR="00566D02" w:rsidRPr="00D9685F">
              <w:rPr>
                <w:rFonts w:asciiTheme="majorBidi" w:hAnsiTheme="majorBidi" w:cstheme="majorBidi"/>
                <w:sz w:val="24"/>
                <w:szCs w:val="24"/>
              </w:rPr>
              <w:t>0.00</w:t>
            </w:r>
          </w:p>
        </w:tc>
        <w:tc>
          <w:tcPr>
            <w:tcW w:w="1071" w:type="dxa"/>
            <w:tcBorders>
              <w:top w:val="nil"/>
              <w:left w:val="nil"/>
              <w:bottom w:val="nil"/>
              <w:right w:val="nil"/>
            </w:tcBorders>
          </w:tcPr>
          <w:p w14:paraId="2235A93E"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nil"/>
              <w:right w:val="nil"/>
            </w:tcBorders>
          </w:tcPr>
          <w:p w14:paraId="7FAA742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r w:rsidR="00566D02" w:rsidRPr="00D9685F" w14:paraId="1956B233" w14:textId="77777777" w:rsidTr="00D9685F">
        <w:tc>
          <w:tcPr>
            <w:tcW w:w="1691" w:type="dxa"/>
            <w:tcBorders>
              <w:top w:val="nil"/>
              <w:left w:val="nil"/>
              <w:bottom w:val="single" w:sz="4" w:space="0" w:color="auto"/>
              <w:right w:val="nil"/>
            </w:tcBorders>
          </w:tcPr>
          <w:p w14:paraId="5FB000E9"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Maximum</w:t>
            </w:r>
          </w:p>
        </w:tc>
        <w:tc>
          <w:tcPr>
            <w:tcW w:w="876" w:type="dxa"/>
            <w:tcBorders>
              <w:top w:val="nil"/>
              <w:left w:val="nil"/>
              <w:bottom w:val="single" w:sz="4" w:space="0" w:color="auto"/>
              <w:right w:val="nil"/>
            </w:tcBorders>
          </w:tcPr>
          <w:p w14:paraId="7E1FC8E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100.00</w:t>
            </w:r>
          </w:p>
        </w:tc>
        <w:tc>
          <w:tcPr>
            <w:tcW w:w="842" w:type="dxa"/>
            <w:tcBorders>
              <w:top w:val="nil"/>
              <w:left w:val="nil"/>
              <w:bottom w:val="single" w:sz="4" w:space="0" w:color="auto"/>
              <w:right w:val="nil"/>
            </w:tcBorders>
          </w:tcPr>
          <w:p w14:paraId="246B331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85.71</w:t>
            </w:r>
          </w:p>
        </w:tc>
        <w:tc>
          <w:tcPr>
            <w:tcW w:w="876" w:type="dxa"/>
            <w:tcBorders>
              <w:top w:val="nil"/>
              <w:left w:val="nil"/>
              <w:bottom w:val="single" w:sz="4" w:space="0" w:color="auto"/>
              <w:right w:val="nil"/>
            </w:tcBorders>
          </w:tcPr>
          <w:p w14:paraId="3F93C5DC"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100.00</w:t>
            </w:r>
          </w:p>
        </w:tc>
        <w:tc>
          <w:tcPr>
            <w:tcW w:w="876" w:type="dxa"/>
            <w:tcBorders>
              <w:top w:val="nil"/>
              <w:left w:val="nil"/>
              <w:bottom w:val="single" w:sz="4" w:space="0" w:color="auto"/>
              <w:right w:val="nil"/>
            </w:tcBorders>
          </w:tcPr>
          <w:p w14:paraId="231A4DDC"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100.00</w:t>
            </w:r>
          </w:p>
        </w:tc>
        <w:tc>
          <w:tcPr>
            <w:tcW w:w="843" w:type="dxa"/>
            <w:tcBorders>
              <w:top w:val="nil"/>
              <w:left w:val="nil"/>
              <w:bottom w:val="single" w:sz="4" w:space="0" w:color="auto"/>
              <w:right w:val="nil"/>
            </w:tcBorders>
          </w:tcPr>
          <w:p w14:paraId="4329A898"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85.71</w:t>
            </w:r>
          </w:p>
        </w:tc>
        <w:tc>
          <w:tcPr>
            <w:tcW w:w="842" w:type="dxa"/>
            <w:tcBorders>
              <w:top w:val="nil"/>
              <w:left w:val="nil"/>
              <w:bottom w:val="single" w:sz="4" w:space="0" w:color="auto"/>
              <w:right w:val="nil"/>
            </w:tcBorders>
          </w:tcPr>
          <w:p w14:paraId="3035A77C"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85.71</w:t>
            </w:r>
          </w:p>
        </w:tc>
        <w:tc>
          <w:tcPr>
            <w:tcW w:w="876" w:type="dxa"/>
            <w:tcBorders>
              <w:top w:val="nil"/>
              <w:left w:val="nil"/>
              <w:bottom w:val="single" w:sz="4" w:space="0" w:color="auto"/>
              <w:right w:val="nil"/>
            </w:tcBorders>
          </w:tcPr>
          <w:p w14:paraId="156718D7"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100.00</w:t>
            </w:r>
          </w:p>
        </w:tc>
        <w:tc>
          <w:tcPr>
            <w:tcW w:w="1071" w:type="dxa"/>
            <w:tcBorders>
              <w:top w:val="nil"/>
              <w:left w:val="nil"/>
              <w:bottom w:val="single" w:sz="4" w:space="0" w:color="auto"/>
              <w:right w:val="nil"/>
            </w:tcBorders>
          </w:tcPr>
          <w:p w14:paraId="2F30ACF3"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c>
          <w:tcPr>
            <w:tcW w:w="988" w:type="dxa"/>
            <w:tcBorders>
              <w:top w:val="nil"/>
              <w:left w:val="nil"/>
              <w:bottom w:val="single" w:sz="4" w:space="0" w:color="auto"/>
              <w:right w:val="nil"/>
            </w:tcBorders>
          </w:tcPr>
          <w:p w14:paraId="7967ACA2" w14:textId="77777777" w:rsidR="00566D02" w:rsidRPr="00D9685F" w:rsidRDefault="00566D02" w:rsidP="003C080D">
            <w:pPr>
              <w:rPr>
                <w:rFonts w:asciiTheme="majorBidi" w:hAnsiTheme="majorBidi" w:cstheme="majorBidi"/>
                <w:sz w:val="24"/>
                <w:szCs w:val="24"/>
              </w:rPr>
            </w:pPr>
            <w:r w:rsidRPr="00D9685F">
              <w:rPr>
                <w:rFonts w:asciiTheme="majorBidi" w:hAnsiTheme="majorBidi" w:cstheme="majorBidi"/>
                <w:sz w:val="24"/>
                <w:szCs w:val="24"/>
              </w:rPr>
              <w:t>-</w:t>
            </w:r>
          </w:p>
        </w:tc>
      </w:tr>
    </w:tbl>
    <w:p w14:paraId="2DFEFF02" w14:textId="77777777" w:rsidR="00566D02" w:rsidRDefault="00566D02" w:rsidP="00566D02"/>
    <w:p w14:paraId="2A89B736" w14:textId="77777777" w:rsidR="00566D02" w:rsidRDefault="00566D02" w:rsidP="00566D02"/>
    <w:p w14:paraId="00465109" w14:textId="77777777" w:rsidR="00566D02" w:rsidRDefault="00566D02" w:rsidP="00566D02"/>
    <w:p w14:paraId="249F8583" w14:textId="77777777" w:rsidR="00566D02" w:rsidRDefault="00566D02" w:rsidP="00566D02"/>
    <w:p w14:paraId="16D1B1C2" w14:textId="77777777" w:rsidR="00566D02" w:rsidRDefault="00566D02" w:rsidP="00566D02"/>
    <w:tbl>
      <w:tblPr>
        <w:tblW w:w="10542" w:type="dxa"/>
        <w:tblInd w:w="-567" w:type="dxa"/>
        <w:tblLook w:val="00A0" w:firstRow="1" w:lastRow="0" w:firstColumn="1" w:lastColumn="0" w:noHBand="0" w:noVBand="0"/>
      </w:tblPr>
      <w:tblGrid>
        <w:gridCol w:w="2410"/>
        <w:gridCol w:w="996"/>
        <w:gridCol w:w="1276"/>
        <w:gridCol w:w="1134"/>
        <w:gridCol w:w="1078"/>
        <w:gridCol w:w="1176"/>
        <w:gridCol w:w="1236"/>
        <w:gridCol w:w="1236"/>
      </w:tblGrid>
      <w:tr w:rsidR="00182131" w:rsidRPr="00AB75D4" w14:paraId="5936E84E" w14:textId="77777777" w:rsidTr="00182131">
        <w:trPr>
          <w:trHeight w:val="129"/>
        </w:trPr>
        <w:tc>
          <w:tcPr>
            <w:tcW w:w="10542" w:type="dxa"/>
            <w:gridSpan w:val="8"/>
            <w:tcBorders>
              <w:bottom w:val="single" w:sz="18" w:space="0" w:color="auto"/>
            </w:tcBorders>
            <w:noWrap/>
            <w:vAlign w:val="center"/>
          </w:tcPr>
          <w:p w14:paraId="763E9068" w14:textId="411B123B" w:rsidR="00182131" w:rsidRPr="00FD07E4" w:rsidRDefault="00182131" w:rsidP="00D258D5">
            <w:pPr>
              <w:spacing w:after="0" w:line="240" w:lineRule="auto"/>
              <w:ind w:left="-108"/>
              <w:rPr>
                <w:rFonts w:asciiTheme="majorBidi" w:hAnsiTheme="majorBidi" w:cstheme="majorBidi"/>
                <w:b/>
                <w:bCs/>
                <w:sz w:val="24"/>
                <w:szCs w:val="24"/>
              </w:rPr>
            </w:pPr>
            <w:r w:rsidRPr="00FD07E4">
              <w:rPr>
                <w:rFonts w:asciiTheme="majorBidi" w:hAnsiTheme="majorBidi" w:cstheme="majorBidi"/>
                <w:b/>
                <w:bCs/>
                <w:sz w:val="24"/>
                <w:szCs w:val="24"/>
              </w:rPr>
              <w:lastRenderedPageBreak/>
              <w:t xml:space="preserve">Table </w:t>
            </w:r>
            <w:r w:rsidR="00D258D5">
              <w:rPr>
                <w:rFonts w:asciiTheme="majorBidi" w:hAnsiTheme="majorBidi" w:cstheme="majorBidi"/>
                <w:b/>
                <w:bCs/>
                <w:sz w:val="24"/>
                <w:szCs w:val="24"/>
              </w:rPr>
              <w:t>4</w:t>
            </w:r>
            <w:r w:rsidR="00FD07E4">
              <w:rPr>
                <w:rFonts w:asciiTheme="majorBidi" w:hAnsiTheme="majorBidi" w:cstheme="majorBidi"/>
                <w:b/>
                <w:bCs/>
                <w:sz w:val="24"/>
                <w:szCs w:val="24"/>
              </w:rPr>
              <w:t xml:space="preserve">. </w:t>
            </w:r>
            <w:r w:rsidRPr="002C7C41">
              <w:rPr>
                <w:rFonts w:asciiTheme="majorBidi" w:hAnsiTheme="majorBidi" w:cstheme="majorBidi"/>
                <w:bCs/>
                <w:sz w:val="24"/>
                <w:szCs w:val="24"/>
              </w:rPr>
              <w:t xml:space="preserve">Descriptive statistics </w:t>
            </w:r>
            <w:r w:rsidR="00166117">
              <w:rPr>
                <w:rFonts w:asciiTheme="majorBidi" w:hAnsiTheme="majorBidi" w:cstheme="majorBidi"/>
                <w:bCs/>
                <w:sz w:val="24"/>
                <w:szCs w:val="24"/>
              </w:rPr>
              <w:t>for the research variables (explanatory and controls)</w:t>
            </w:r>
            <w:r w:rsidRPr="002C7C41">
              <w:rPr>
                <w:rFonts w:asciiTheme="majorBidi" w:hAnsiTheme="majorBidi" w:cstheme="majorBidi"/>
                <w:bCs/>
                <w:sz w:val="24"/>
                <w:szCs w:val="24"/>
              </w:rPr>
              <w:t>.</w:t>
            </w:r>
          </w:p>
        </w:tc>
      </w:tr>
      <w:tr w:rsidR="00182131" w:rsidRPr="00AB75D4" w14:paraId="4EDA0F34" w14:textId="77777777" w:rsidTr="00182131">
        <w:trPr>
          <w:trHeight w:val="129"/>
        </w:trPr>
        <w:tc>
          <w:tcPr>
            <w:tcW w:w="2410" w:type="dxa"/>
            <w:vMerge w:val="restart"/>
            <w:tcBorders>
              <w:top w:val="single" w:sz="18" w:space="0" w:color="auto"/>
              <w:bottom w:val="single" w:sz="4" w:space="0" w:color="auto"/>
            </w:tcBorders>
            <w:noWrap/>
            <w:vAlign w:val="center"/>
          </w:tcPr>
          <w:p w14:paraId="2A7AE25C" w14:textId="77777777" w:rsidR="00182131" w:rsidRPr="00AB75D4" w:rsidRDefault="00182131" w:rsidP="00462406">
            <w:pPr>
              <w:spacing w:after="0" w:line="240" w:lineRule="auto"/>
              <w:rPr>
                <w:rFonts w:asciiTheme="majorBidi" w:eastAsia="SimSun" w:hAnsiTheme="majorBidi" w:cstheme="majorBidi"/>
                <w:color w:val="000000"/>
                <w:sz w:val="24"/>
                <w:szCs w:val="24"/>
                <w:lang w:val="en-US" w:eastAsia="en-GB"/>
              </w:rPr>
            </w:pPr>
          </w:p>
          <w:p w14:paraId="474ABE16" w14:textId="77777777" w:rsidR="00182131" w:rsidRPr="00AB75D4" w:rsidRDefault="00182131" w:rsidP="00462406">
            <w:pPr>
              <w:spacing w:after="0" w:line="240" w:lineRule="auto"/>
              <w:rPr>
                <w:rFonts w:asciiTheme="majorBidi" w:eastAsia="SimSun" w:hAnsiTheme="majorBidi" w:cstheme="majorBidi"/>
                <w:color w:val="000000"/>
                <w:sz w:val="24"/>
                <w:szCs w:val="24"/>
                <w:lang w:val="en-US" w:eastAsia="en-GB"/>
              </w:rPr>
            </w:pPr>
          </w:p>
          <w:p w14:paraId="196B2397" w14:textId="77777777" w:rsidR="00182131" w:rsidRPr="00AB75D4" w:rsidRDefault="00182131" w:rsidP="00462406">
            <w:pPr>
              <w:spacing w:after="0" w:line="240" w:lineRule="auto"/>
              <w:rPr>
                <w:rFonts w:asciiTheme="majorBidi" w:eastAsia="SimSun" w:hAnsiTheme="majorBidi" w:cstheme="majorBidi"/>
                <w:b/>
                <w:bCs/>
                <w:color w:val="000000"/>
                <w:sz w:val="24"/>
                <w:szCs w:val="24"/>
                <w:lang w:val="en-US" w:eastAsia="en-GB"/>
              </w:rPr>
            </w:pPr>
            <w:r w:rsidRPr="00AB75D4">
              <w:rPr>
                <w:rFonts w:asciiTheme="majorBidi" w:eastAsia="SimSun" w:hAnsiTheme="majorBidi" w:cstheme="majorBidi"/>
                <w:color w:val="000000"/>
                <w:sz w:val="24"/>
                <w:szCs w:val="24"/>
                <w:lang w:val="en-US" w:eastAsia="en-GB"/>
              </w:rPr>
              <w:t>Variables</w:t>
            </w:r>
          </w:p>
        </w:tc>
        <w:tc>
          <w:tcPr>
            <w:tcW w:w="996" w:type="dxa"/>
            <w:vMerge w:val="restart"/>
            <w:tcBorders>
              <w:top w:val="single" w:sz="18" w:space="0" w:color="auto"/>
              <w:bottom w:val="single" w:sz="4" w:space="0" w:color="auto"/>
            </w:tcBorders>
            <w:vAlign w:val="center"/>
          </w:tcPr>
          <w:p w14:paraId="3E412A47" w14:textId="77777777" w:rsidR="00182131" w:rsidRPr="00AB75D4" w:rsidRDefault="00182131" w:rsidP="00462406">
            <w:pPr>
              <w:spacing w:after="0" w:line="240" w:lineRule="auto"/>
              <w:jc w:val="right"/>
              <w:rPr>
                <w:rFonts w:asciiTheme="majorBidi" w:eastAsia="SimSun" w:hAnsiTheme="majorBidi" w:cstheme="majorBidi"/>
                <w:color w:val="000000"/>
                <w:sz w:val="24"/>
                <w:szCs w:val="24"/>
                <w:lang w:val="en-US" w:eastAsia="en-GB"/>
              </w:rPr>
            </w:pPr>
          </w:p>
          <w:p w14:paraId="64FFB823" w14:textId="77777777" w:rsidR="00182131" w:rsidRPr="00AB75D4" w:rsidRDefault="00182131" w:rsidP="00462406">
            <w:pPr>
              <w:spacing w:after="0" w:line="240" w:lineRule="auto"/>
              <w:jc w:val="right"/>
              <w:rPr>
                <w:rFonts w:asciiTheme="majorBidi" w:eastAsia="SimSun" w:hAnsiTheme="majorBidi" w:cstheme="majorBidi"/>
                <w:color w:val="000000"/>
                <w:sz w:val="24"/>
                <w:szCs w:val="24"/>
                <w:lang w:val="en-US" w:eastAsia="en-GB"/>
              </w:rPr>
            </w:pPr>
          </w:p>
          <w:p w14:paraId="41480875" w14:textId="77777777" w:rsidR="00182131" w:rsidRPr="00AB75D4" w:rsidRDefault="00182131" w:rsidP="00462406">
            <w:pPr>
              <w:spacing w:after="0" w:line="240" w:lineRule="auto"/>
              <w:jc w:val="right"/>
              <w:rPr>
                <w:rFonts w:asciiTheme="majorBidi" w:eastAsia="SimSun" w:hAnsiTheme="majorBidi" w:cstheme="majorBidi"/>
                <w:b/>
                <w:bCs/>
                <w:color w:val="000000"/>
                <w:sz w:val="24"/>
                <w:szCs w:val="24"/>
                <w:lang w:val="en-US" w:eastAsia="en-GB"/>
              </w:rPr>
            </w:pPr>
            <w:r w:rsidRPr="00AB75D4">
              <w:rPr>
                <w:rFonts w:asciiTheme="majorBidi" w:eastAsia="SimSun" w:hAnsiTheme="majorBidi" w:cstheme="majorBidi"/>
                <w:color w:val="000000"/>
                <w:sz w:val="24"/>
                <w:szCs w:val="24"/>
                <w:lang w:val="en-US" w:eastAsia="en-GB"/>
              </w:rPr>
              <w:t>Mean</w:t>
            </w:r>
          </w:p>
        </w:tc>
        <w:tc>
          <w:tcPr>
            <w:tcW w:w="1276" w:type="dxa"/>
            <w:vMerge w:val="restart"/>
            <w:tcBorders>
              <w:top w:val="single" w:sz="18" w:space="0" w:color="auto"/>
              <w:bottom w:val="single" w:sz="4" w:space="0" w:color="auto"/>
            </w:tcBorders>
            <w:vAlign w:val="center"/>
          </w:tcPr>
          <w:p w14:paraId="03794002" w14:textId="77777777" w:rsidR="00182131" w:rsidRPr="00AB75D4" w:rsidRDefault="00182131" w:rsidP="00462406">
            <w:pPr>
              <w:spacing w:after="0" w:line="240" w:lineRule="auto"/>
              <w:jc w:val="right"/>
              <w:rPr>
                <w:rFonts w:asciiTheme="majorBidi" w:eastAsia="SimSun" w:hAnsiTheme="majorBidi" w:cstheme="majorBidi"/>
                <w:color w:val="000000"/>
                <w:sz w:val="24"/>
                <w:szCs w:val="24"/>
                <w:lang w:val="en-US" w:eastAsia="en-GB"/>
              </w:rPr>
            </w:pPr>
          </w:p>
          <w:p w14:paraId="5D99357C" w14:textId="77777777" w:rsidR="00182131" w:rsidRPr="00AB75D4" w:rsidRDefault="00182131" w:rsidP="00462406">
            <w:pPr>
              <w:spacing w:after="0" w:line="240" w:lineRule="auto"/>
              <w:jc w:val="right"/>
              <w:rPr>
                <w:rFonts w:asciiTheme="majorBidi" w:eastAsia="SimSun" w:hAnsiTheme="majorBidi" w:cstheme="majorBidi"/>
                <w:color w:val="000000"/>
                <w:sz w:val="24"/>
                <w:szCs w:val="24"/>
                <w:lang w:val="en-US" w:eastAsia="en-GB"/>
              </w:rPr>
            </w:pPr>
          </w:p>
          <w:p w14:paraId="59A5CF0E" w14:textId="77777777" w:rsidR="00182131" w:rsidRPr="00AB75D4" w:rsidRDefault="00182131" w:rsidP="00462406">
            <w:pPr>
              <w:spacing w:after="0" w:line="240" w:lineRule="auto"/>
              <w:jc w:val="right"/>
              <w:rPr>
                <w:rFonts w:asciiTheme="majorBidi" w:eastAsia="SimSun" w:hAnsiTheme="majorBidi" w:cstheme="majorBidi"/>
                <w:b/>
                <w:bCs/>
                <w:color w:val="000000"/>
                <w:sz w:val="24"/>
                <w:szCs w:val="24"/>
                <w:lang w:val="en-US" w:eastAsia="en-GB"/>
              </w:rPr>
            </w:pPr>
            <w:r w:rsidRPr="00AB75D4">
              <w:rPr>
                <w:rFonts w:asciiTheme="majorBidi" w:eastAsia="SimSun" w:hAnsiTheme="majorBidi" w:cstheme="majorBidi"/>
                <w:color w:val="000000"/>
                <w:sz w:val="24"/>
                <w:szCs w:val="24"/>
                <w:lang w:val="en-US" w:eastAsia="en-GB"/>
              </w:rPr>
              <w:t>Median</w:t>
            </w:r>
          </w:p>
        </w:tc>
        <w:tc>
          <w:tcPr>
            <w:tcW w:w="1134" w:type="dxa"/>
            <w:vMerge w:val="restart"/>
            <w:tcBorders>
              <w:top w:val="single" w:sz="18" w:space="0" w:color="auto"/>
              <w:bottom w:val="single" w:sz="4" w:space="0" w:color="auto"/>
            </w:tcBorders>
            <w:vAlign w:val="center"/>
          </w:tcPr>
          <w:p w14:paraId="49053356" w14:textId="77777777" w:rsidR="00182131" w:rsidRPr="00AB75D4" w:rsidRDefault="00182131" w:rsidP="00462406">
            <w:pPr>
              <w:spacing w:after="0" w:line="240" w:lineRule="auto"/>
              <w:jc w:val="right"/>
              <w:rPr>
                <w:rFonts w:asciiTheme="majorBidi" w:eastAsia="SimSun" w:hAnsiTheme="majorBidi" w:cstheme="majorBidi"/>
                <w:color w:val="000000"/>
                <w:sz w:val="24"/>
                <w:szCs w:val="24"/>
                <w:lang w:val="en-US" w:eastAsia="en-GB"/>
              </w:rPr>
            </w:pPr>
          </w:p>
          <w:p w14:paraId="678F4F9E" w14:textId="77777777" w:rsidR="00182131" w:rsidRPr="00AB75D4" w:rsidRDefault="00182131" w:rsidP="00462406">
            <w:pPr>
              <w:spacing w:after="0" w:line="240" w:lineRule="auto"/>
              <w:jc w:val="right"/>
              <w:rPr>
                <w:rFonts w:asciiTheme="majorBidi" w:eastAsia="SimSun" w:hAnsiTheme="majorBidi" w:cstheme="majorBidi"/>
                <w:color w:val="000000"/>
                <w:sz w:val="24"/>
                <w:szCs w:val="24"/>
                <w:lang w:val="en-US" w:eastAsia="en-GB"/>
              </w:rPr>
            </w:pPr>
          </w:p>
          <w:p w14:paraId="7FEE5762" w14:textId="77777777" w:rsidR="00182131" w:rsidRPr="00AB75D4" w:rsidRDefault="00182131" w:rsidP="00462406">
            <w:pPr>
              <w:spacing w:after="0" w:line="240" w:lineRule="auto"/>
              <w:jc w:val="right"/>
              <w:rPr>
                <w:rFonts w:asciiTheme="majorBidi" w:eastAsia="SimSun" w:hAnsiTheme="majorBidi" w:cstheme="majorBidi"/>
                <w:b/>
                <w:bCs/>
                <w:color w:val="000000"/>
                <w:sz w:val="24"/>
                <w:szCs w:val="24"/>
                <w:lang w:val="en-US" w:eastAsia="en-GB"/>
              </w:rPr>
            </w:pPr>
            <w:r w:rsidRPr="00AB75D4">
              <w:rPr>
                <w:rFonts w:asciiTheme="majorBidi" w:eastAsia="SimSun" w:hAnsiTheme="majorBidi" w:cstheme="majorBidi"/>
                <w:color w:val="000000"/>
                <w:sz w:val="24"/>
                <w:szCs w:val="24"/>
                <w:lang w:val="en-US" w:eastAsia="en-GB"/>
              </w:rPr>
              <w:t>Std. Dev.</w:t>
            </w:r>
          </w:p>
        </w:tc>
        <w:tc>
          <w:tcPr>
            <w:tcW w:w="1078" w:type="dxa"/>
            <w:vMerge w:val="restart"/>
            <w:tcBorders>
              <w:top w:val="single" w:sz="18" w:space="0" w:color="auto"/>
              <w:bottom w:val="single" w:sz="4" w:space="0" w:color="auto"/>
            </w:tcBorders>
            <w:vAlign w:val="center"/>
          </w:tcPr>
          <w:p w14:paraId="759B3585" w14:textId="77777777" w:rsidR="00182131" w:rsidRPr="00AB75D4" w:rsidRDefault="00182131" w:rsidP="00462406">
            <w:pPr>
              <w:spacing w:after="0" w:line="240" w:lineRule="auto"/>
              <w:jc w:val="right"/>
              <w:rPr>
                <w:rFonts w:asciiTheme="majorBidi" w:eastAsia="SimSun" w:hAnsiTheme="majorBidi" w:cstheme="majorBidi"/>
                <w:color w:val="000000"/>
                <w:sz w:val="24"/>
                <w:szCs w:val="24"/>
                <w:lang w:val="en-US" w:eastAsia="en-GB"/>
              </w:rPr>
            </w:pPr>
          </w:p>
          <w:p w14:paraId="5E61374F" w14:textId="77777777" w:rsidR="00182131" w:rsidRPr="00AB75D4" w:rsidRDefault="00182131" w:rsidP="00462406">
            <w:pPr>
              <w:spacing w:after="0" w:line="240" w:lineRule="auto"/>
              <w:jc w:val="right"/>
              <w:rPr>
                <w:rFonts w:asciiTheme="majorBidi" w:eastAsia="SimSun" w:hAnsiTheme="majorBidi" w:cstheme="majorBidi"/>
                <w:color w:val="000000"/>
                <w:sz w:val="24"/>
                <w:szCs w:val="24"/>
                <w:lang w:val="en-US" w:eastAsia="en-GB"/>
              </w:rPr>
            </w:pPr>
          </w:p>
          <w:p w14:paraId="5293C59D" w14:textId="77777777" w:rsidR="00182131" w:rsidRPr="00AB75D4" w:rsidRDefault="00182131" w:rsidP="00462406">
            <w:pPr>
              <w:spacing w:after="0" w:line="240" w:lineRule="auto"/>
              <w:jc w:val="right"/>
              <w:rPr>
                <w:rFonts w:asciiTheme="majorBidi" w:eastAsia="SimSun" w:hAnsiTheme="majorBidi" w:cstheme="majorBidi"/>
                <w:b/>
                <w:bCs/>
                <w:color w:val="000000"/>
                <w:sz w:val="24"/>
                <w:szCs w:val="24"/>
                <w:lang w:val="en-US" w:eastAsia="en-GB"/>
              </w:rPr>
            </w:pPr>
            <w:r w:rsidRPr="00AB75D4">
              <w:rPr>
                <w:rFonts w:asciiTheme="majorBidi" w:eastAsia="SimSun" w:hAnsiTheme="majorBidi" w:cstheme="majorBidi"/>
                <w:color w:val="000000"/>
                <w:sz w:val="24"/>
                <w:szCs w:val="24"/>
                <w:lang w:val="en-US" w:eastAsia="en-GB"/>
              </w:rPr>
              <w:t>Min</w:t>
            </w:r>
          </w:p>
        </w:tc>
        <w:tc>
          <w:tcPr>
            <w:tcW w:w="1176" w:type="dxa"/>
            <w:vMerge w:val="restart"/>
            <w:tcBorders>
              <w:top w:val="single" w:sz="18" w:space="0" w:color="auto"/>
              <w:bottom w:val="single" w:sz="4" w:space="0" w:color="auto"/>
            </w:tcBorders>
            <w:vAlign w:val="center"/>
          </w:tcPr>
          <w:p w14:paraId="0A10F1CE" w14:textId="77777777" w:rsidR="00182131" w:rsidRPr="00AB75D4" w:rsidRDefault="00182131" w:rsidP="00462406">
            <w:pPr>
              <w:spacing w:after="0" w:line="240" w:lineRule="auto"/>
              <w:jc w:val="right"/>
              <w:rPr>
                <w:rFonts w:asciiTheme="majorBidi" w:eastAsia="SimSun" w:hAnsiTheme="majorBidi" w:cstheme="majorBidi"/>
                <w:color w:val="000000"/>
                <w:sz w:val="24"/>
                <w:szCs w:val="24"/>
                <w:lang w:val="en-US" w:eastAsia="en-GB"/>
              </w:rPr>
            </w:pPr>
          </w:p>
          <w:p w14:paraId="4719102D" w14:textId="77777777" w:rsidR="00182131" w:rsidRPr="00AB75D4" w:rsidRDefault="00182131" w:rsidP="00462406">
            <w:pPr>
              <w:spacing w:after="0" w:line="240" w:lineRule="auto"/>
              <w:jc w:val="right"/>
              <w:rPr>
                <w:rFonts w:asciiTheme="majorBidi" w:eastAsia="SimSun" w:hAnsiTheme="majorBidi" w:cstheme="majorBidi"/>
                <w:color w:val="000000"/>
                <w:sz w:val="24"/>
                <w:szCs w:val="24"/>
                <w:lang w:val="en-US" w:eastAsia="en-GB"/>
              </w:rPr>
            </w:pPr>
          </w:p>
          <w:p w14:paraId="278E6BDC" w14:textId="77777777" w:rsidR="00182131" w:rsidRPr="00AB75D4" w:rsidRDefault="00182131" w:rsidP="00462406">
            <w:pPr>
              <w:spacing w:after="0" w:line="240" w:lineRule="auto"/>
              <w:jc w:val="right"/>
              <w:rPr>
                <w:rFonts w:asciiTheme="majorBidi" w:eastAsia="SimSun" w:hAnsiTheme="majorBidi" w:cstheme="majorBidi"/>
                <w:b/>
                <w:bCs/>
                <w:color w:val="000000"/>
                <w:sz w:val="24"/>
                <w:szCs w:val="24"/>
                <w:lang w:val="en-US" w:eastAsia="en-GB"/>
              </w:rPr>
            </w:pPr>
            <w:r w:rsidRPr="00AB75D4">
              <w:rPr>
                <w:rFonts w:asciiTheme="majorBidi" w:eastAsia="SimSun" w:hAnsiTheme="majorBidi" w:cstheme="majorBidi"/>
                <w:color w:val="000000"/>
                <w:sz w:val="24"/>
                <w:szCs w:val="24"/>
                <w:lang w:val="en-US" w:eastAsia="en-GB"/>
              </w:rPr>
              <w:t>Max</w:t>
            </w:r>
          </w:p>
        </w:tc>
        <w:tc>
          <w:tcPr>
            <w:tcW w:w="2472" w:type="dxa"/>
            <w:gridSpan w:val="2"/>
            <w:tcBorders>
              <w:top w:val="single" w:sz="18" w:space="0" w:color="auto"/>
              <w:bottom w:val="single" w:sz="12" w:space="0" w:color="auto"/>
            </w:tcBorders>
          </w:tcPr>
          <w:p w14:paraId="1DCCA4C6" w14:textId="77777777" w:rsidR="00182131" w:rsidRPr="00AB75D4" w:rsidRDefault="00182131" w:rsidP="00462406">
            <w:pPr>
              <w:spacing w:after="0" w:line="240" w:lineRule="auto"/>
              <w:rPr>
                <w:rFonts w:asciiTheme="majorBidi" w:eastAsia="SimSun" w:hAnsiTheme="majorBidi" w:cstheme="majorBidi"/>
                <w:bCs/>
                <w:color w:val="000000"/>
                <w:sz w:val="24"/>
                <w:szCs w:val="24"/>
                <w:lang w:val="en-US" w:eastAsia="en-GB"/>
              </w:rPr>
            </w:pPr>
            <w:r w:rsidRPr="00AB75D4">
              <w:rPr>
                <w:rFonts w:asciiTheme="majorBidi" w:hAnsiTheme="majorBidi" w:cstheme="majorBidi"/>
                <w:bCs/>
                <w:sz w:val="24"/>
                <w:szCs w:val="24"/>
              </w:rPr>
              <w:t>Pre-1992 – Post-1992</w:t>
            </w:r>
          </w:p>
        </w:tc>
      </w:tr>
      <w:tr w:rsidR="00182131" w:rsidRPr="00AB75D4" w14:paraId="4752F192" w14:textId="77777777" w:rsidTr="00182131">
        <w:trPr>
          <w:trHeight w:val="129"/>
        </w:trPr>
        <w:tc>
          <w:tcPr>
            <w:tcW w:w="2410" w:type="dxa"/>
            <w:vMerge/>
            <w:tcBorders>
              <w:bottom w:val="single" w:sz="4" w:space="0" w:color="auto"/>
            </w:tcBorders>
            <w:noWrap/>
            <w:vAlign w:val="center"/>
          </w:tcPr>
          <w:p w14:paraId="1E861E7A" w14:textId="77777777" w:rsidR="00182131" w:rsidRPr="00AB75D4" w:rsidRDefault="00182131" w:rsidP="00462406">
            <w:pPr>
              <w:spacing w:after="0" w:line="240" w:lineRule="auto"/>
              <w:rPr>
                <w:rFonts w:asciiTheme="majorBidi" w:eastAsia="SimSun" w:hAnsiTheme="majorBidi" w:cstheme="majorBidi"/>
                <w:color w:val="000000"/>
                <w:sz w:val="24"/>
                <w:szCs w:val="24"/>
                <w:lang w:val="en-US" w:eastAsia="en-GB"/>
              </w:rPr>
            </w:pPr>
          </w:p>
        </w:tc>
        <w:tc>
          <w:tcPr>
            <w:tcW w:w="996" w:type="dxa"/>
            <w:vMerge/>
            <w:tcBorders>
              <w:bottom w:val="single" w:sz="4" w:space="0" w:color="auto"/>
            </w:tcBorders>
            <w:vAlign w:val="center"/>
          </w:tcPr>
          <w:p w14:paraId="1A4BE6F8" w14:textId="77777777" w:rsidR="00182131" w:rsidRPr="00AB75D4" w:rsidRDefault="00182131" w:rsidP="00462406">
            <w:pPr>
              <w:spacing w:after="0" w:line="240" w:lineRule="auto"/>
              <w:jc w:val="right"/>
              <w:rPr>
                <w:rFonts w:asciiTheme="majorBidi" w:eastAsia="SimSun" w:hAnsiTheme="majorBidi" w:cstheme="majorBidi"/>
                <w:color w:val="000000"/>
                <w:sz w:val="24"/>
                <w:szCs w:val="24"/>
                <w:lang w:val="en-US" w:eastAsia="en-GB"/>
              </w:rPr>
            </w:pPr>
          </w:p>
        </w:tc>
        <w:tc>
          <w:tcPr>
            <w:tcW w:w="1276" w:type="dxa"/>
            <w:vMerge/>
            <w:tcBorders>
              <w:bottom w:val="single" w:sz="4" w:space="0" w:color="auto"/>
            </w:tcBorders>
            <w:vAlign w:val="center"/>
          </w:tcPr>
          <w:p w14:paraId="6CE877DB" w14:textId="77777777" w:rsidR="00182131" w:rsidRPr="00AB75D4" w:rsidRDefault="00182131" w:rsidP="00462406">
            <w:pPr>
              <w:spacing w:after="0" w:line="240" w:lineRule="auto"/>
              <w:jc w:val="right"/>
              <w:rPr>
                <w:rFonts w:asciiTheme="majorBidi" w:eastAsia="SimSun" w:hAnsiTheme="majorBidi" w:cstheme="majorBidi"/>
                <w:color w:val="000000"/>
                <w:sz w:val="24"/>
                <w:szCs w:val="24"/>
                <w:lang w:val="en-US" w:eastAsia="en-GB"/>
              </w:rPr>
            </w:pPr>
          </w:p>
        </w:tc>
        <w:tc>
          <w:tcPr>
            <w:tcW w:w="1134" w:type="dxa"/>
            <w:vMerge/>
            <w:tcBorders>
              <w:bottom w:val="single" w:sz="4" w:space="0" w:color="auto"/>
            </w:tcBorders>
            <w:vAlign w:val="center"/>
          </w:tcPr>
          <w:p w14:paraId="2D4AFC81" w14:textId="77777777" w:rsidR="00182131" w:rsidRPr="00AB75D4" w:rsidRDefault="00182131" w:rsidP="00462406">
            <w:pPr>
              <w:spacing w:after="0" w:line="240" w:lineRule="auto"/>
              <w:jc w:val="right"/>
              <w:rPr>
                <w:rFonts w:asciiTheme="majorBidi" w:eastAsia="SimSun" w:hAnsiTheme="majorBidi" w:cstheme="majorBidi"/>
                <w:color w:val="000000"/>
                <w:sz w:val="24"/>
                <w:szCs w:val="24"/>
                <w:lang w:val="en-US" w:eastAsia="en-GB"/>
              </w:rPr>
            </w:pPr>
          </w:p>
        </w:tc>
        <w:tc>
          <w:tcPr>
            <w:tcW w:w="1078" w:type="dxa"/>
            <w:vMerge/>
            <w:tcBorders>
              <w:bottom w:val="single" w:sz="4" w:space="0" w:color="auto"/>
            </w:tcBorders>
            <w:vAlign w:val="center"/>
          </w:tcPr>
          <w:p w14:paraId="30C5A2BA" w14:textId="77777777" w:rsidR="00182131" w:rsidRPr="00AB75D4" w:rsidRDefault="00182131" w:rsidP="00462406">
            <w:pPr>
              <w:spacing w:after="0" w:line="240" w:lineRule="auto"/>
              <w:jc w:val="right"/>
              <w:rPr>
                <w:rFonts w:asciiTheme="majorBidi" w:eastAsia="SimSun" w:hAnsiTheme="majorBidi" w:cstheme="majorBidi"/>
                <w:color w:val="000000"/>
                <w:sz w:val="24"/>
                <w:szCs w:val="24"/>
                <w:lang w:val="en-US" w:eastAsia="en-GB"/>
              </w:rPr>
            </w:pPr>
          </w:p>
        </w:tc>
        <w:tc>
          <w:tcPr>
            <w:tcW w:w="1176" w:type="dxa"/>
            <w:vMerge/>
            <w:tcBorders>
              <w:bottom w:val="single" w:sz="4" w:space="0" w:color="auto"/>
            </w:tcBorders>
            <w:vAlign w:val="center"/>
          </w:tcPr>
          <w:p w14:paraId="29008673" w14:textId="77777777" w:rsidR="00182131" w:rsidRPr="00AB75D4" w:rsidRDefault="00182131" w:rsidP="00462406">
            <w:pPr>
              <w:spacing w:after="0" w:line="240" w:lineRule="auto"/>
              <w:jc w:val="right"/>
              <w:rPr>
                <w:rFonts w:asciiTheme="majorBidi" w:eastAsia="SimSun" w:hAnsiTheme="majorBidi" w:cstheme="majorBidi"/>
                <w:color w:val="000000"/>
                <w:sz w:val="24"/>
                <w:szCs w:val="24"/>
                <w:lang w:val="en-US" w:eastAsia="en-GB"/>
              </w:rPr>
            </w:pPr>
          </w:p>
        </w:tc>
        <w:tc>
          <w:tcPr>
            <w:tcW w:w="1236" w:type="dxa"/>
            <w:tcBorders>
              <w:bottom w:val="single" w:sz="2" w:space="0" w:color="auto"/>
            </w:tcBorders>
            <w:vAlign w:val="center"/>
          </w:tcPr>
          <w:p w14:paraId="1432AB31" w14:textId="77777777" w:rsidR="00182131" w:rsidRPr="00AB75D4" w:rsidRDefault="00182131" w:rsidP="00462406">
            <w:pPr>
              <w:spacing w:after="0" w:line="240" w:lineRule="auto"/>
              <w:jc w:val="center"/>
              <w:rPr>
                <w:rFonts w:asciiTheme="majorBidi" w:eastAsia="SimSun" w:hAnsiTheme="majorBidi" w:cstheme="majorBidi"/>
                <w:color w:val="000000"/>
                <w:sz w:val="24"/>
                <w:szCs w:val="24"/>
                <w:lang w:val="en-US" w:eastAsia="en-GB"/>
              </w:rPr>
            </w:pPr>
            <w:r w:rsidRPr="00AB75D4">
              <w:rPr>
                <w:rFonts w:asciiTheme="majorBidi" w:eastAsia="SimSun" w:hAnsiTheme="majorBidi" w:cstheme="majorBidi"/>
                <w:color w:val="000000"/>
                <w:sz w:val="24"/>
                <w:szCs w:val="24"/>
                <w:lang w:val="en-US" w:eastAsia="en-GB"/>
              </w:rPr>
              <w:t>Mean Diff.</w:t>
            </w:r>
          </w:p>
        </w:tc>
        <w:tc>
          <w:tcPr>
            <w:tcW w:w="1236" w:type="dxa"/>
            <w:tcBorders>
              <w:bottom w:val="single" w:sz="2" w:space="0" w:color="auto"/>
            </w:tcBorders>
            <w:vAlign w:val="center"/>
          </w:tcPr>
          <w:p w14:paraId="76DE403A" w14:textId="77777777" w:rsidR="00182131" w:rsidRPr="00AB75D4" w:rsidRDefault="00182131" w:rsidP="00462406">
            <w:pPr>
              <w:spacing w:after="0" w:line="240" w:lineRule="auto"/>
              <w:jc w:val="center"/>
              <w:rPr>
                <w:rFonts w:asciiTheme="majorBidi" w:eastAsia="SimSun" w:hAnsiTheme="majorBidi" w:cstheme="majorBidi"/>
                <w:color w:val="000000"/>
                <w:sz w:val="24"/>
                <w:szCs w:val="24"/>
                <w:lang w:val="en-US" w:eastAsia="en-GB"/>
              </w:rPr>
            </w:pPr>
            <w:r w:rsidRPr="00AB75D4">
              <w:rPr>
                <w:rFonts w:asciiTheme="majorBidi" w:eastAsia="SimSun" w:hAnsiTheme="majorBidi" w:cstheme="majorBidi"/>
                <w:color w:val="000000"/>
                <w:sz w:val="24"/>
                <w:szCs w:val="24"/>
                <w:lang w:val="en-US" w:eastAsia="en-GB"/>
              </w:rPr>
              <w:t>Median Diff.</w:t>
            </w:r>
          </w:p>
        </w:tc>
      </w:tr>
      <w:tr w:rsidR="00182131" w:rsidRPr="00AB75D4" w14:paraId="27744CAC" w14:textId="77777777" w:rsidTr="00182131">
        <w:trPr>
          <w:trHeight w:val="105"/>
        </w:trPr>
        <w:tc>
          <w:tcPr>
            <w:tcW w:w="10542" w:type="dxa"/>
            <w:gridSpan w:val="8"/>
          </w:tcPr>
          <w:p w14:paraId="540A5BA9" w14:textId="77777777" w:rsidR="00182131" w:rsidRPr="00AB75D4" w:rsidRDefault="00182131" w:rsidP="00462406">
            <w:pPr>
              <w:spacing w:after="0" w:line="240" w:lineRule="auto"/>
              <w:rPr>
                <w:rFonts w:asciiTheme="majorBidi" w:eastAsia="SimSun" w:hAnsiTheme="majorBidi" w:cstheme="majorBidi"/>
                <w:i/>
                <w:iCs/>
                <w:color w:val="000000"/>
                <w:sz w:val="24"/>
                <w:szCs w:val="24"/>
                <w:lang w:val="en-US" w:eastAsia="en-GB"/>
              </w:rPr>
            </w:pPr>
          </w:p>
          <w:p w14:paraId="2C6B3245" w14:textId="5401CA0E" w:rsidR="00182131" w:rsidRPr="00AB75D4" w:rsidRDefault="00182131" w:rsidP="000E48A7">
            <w:pPr>
              <w:spacing w:after="0" w:line="240" w:lineRule="auto"/>
              <w:rPr>
                <w:rFonts w:asciiTheme="majorBidi" w:eastAsia="SimSun" w:hAnsiTheme="majorBidi" w:cstheme="majorBidi"/>
                <w:i/>
                <w:iCs/>
                <w:color w:val="000000"/>
                <w:sz w:val="24"/>
                <w:szCs w:val="24"/>
                <w:lang w:val="en-US" w:eastAsia="en-GB"/>
              </w:rPr>
            </w:pPr>
            <w:r w:rsidRPr="00AB75D4">
              <w:rPr>
                <w:rFonts w:asciiTheme="majorBidi" w:eastAsia="SimSun" w:hAnsiTheme="majorBidi" w:cstheme="majorBidi"/>
                <w:i/>
                <w:iCs/>
                <w:color w:val="000000"/>
                <w:sz w:val="24"/>
                <w:szCs w:val="24"/>
                <w:lang w:val="en-US" w:eastAsia="en-GB"/>
              </w:rPr>
              <w:t xml:space="preserve">Panel 1: </w:t>
            </w:r>
            <w:r w:rsidR="000E48A7">
              <w:rPr>
                <w:rFonts w:asciiTheme="majorBidi" w:eastAsia="SimSun" w:hAnsiTheme="majorBidi" w:cstheme="majorBidi"/>
                <w:i/>
                <w:iCs/>
                <w:color w:val="000000"/>
                <w:sz w:val="24"/>
                <w:szCs w:val="24"/>
                <w:lang w:val="en-US" w:eastAsia="en-GB"/>
              </w:rPr>
              <w:t>E</w:t>
            </w:r>
            <w:r w:rsidR="000E48A7">
              <w:rPr>
                <w:rFonts w:ascii="Times New Roman" w:eastAsia="Times New Roman" w:hAnsi="Times New Roman" w:cs="Times New Roman"/>
                <w:i/>
                <w:iCs/>
                <w:sz w:val="24"/>
                <w:szCs w:val="24"/>
              </w:rPr>
              <w:t>explanatory</w:t>
            </w:r>
            <w:r w:rsidR="000E48A7" w:rsidRPr="00AB75D4">
              <w:rPr>
                <w:rFonts w:ascii="Times New Roman" w:eastAsia="Times New Roman" w:hAnsi="Times New Roman" w:cs="Times New Roman"/>
                <w:i/>
                <w:iCs/>
                <w:sz w:val="24"/>
                <w:szCs w:val="24"/>
              </w:rPr>
              <w:t xml:space="preserve"> </w:t>
            </w:r>
            <w:r w:rsidRPr="00AB75D4">
              <w:rPr>
                <w:rFonts w:ascii="Times New Roman" w:eastAsia="Times New Roman" w:hAnsi="Times New Roman" w:cs="Times New Roman"/>
                <w:i/>
                <w:iCs/>
                <w:sz w:val="24"/>
                <w:szCs w:val="24"/>
              </w:rPr>
              <w:t>variables (internal governance mechanisms)</w:t>
            </w:r>
          </w:p>
        </w:tc>
      </w:tr>
      <w:tr w:rsidR="00182131" w:rsidRPr="00AB75D4" w14:paraId="28BEB5A1" w14:textId="77777777" w:rsidTr="00182131">
        <w:trPr>
          <w:trHeight w:val="105"/>
        </w:trPr>
        <w:tc>
          <w:tcPr>
            <w:tcW w:w="2410" w:type="dxa"/>
          </w:tcPr>
          <w:p w14:paraId="33AE2087" w14:textId="08120DD7" w:rsidR="00182131" w:rsidRPr="00AB75D4" w:rsidRDefault="00182131" w:rsidP="00462406">
            <w:pPr>
              <w:contextualSpacing/>
              <w:rPr>
                <w:rFonts w:ascii="Times New Roman" w:eastAsia="Calibri" w:hAnsi="Times New Roman" w:cs="Times New Roman"/>
                <w:bCs/>
                <w:sz w:val="24"/>
                <w:szCs w:val="24"/>
              </w:rPr>
            </w:pPr>
            <w:r w:rsidRPr="00AB75D4">
              <w:rPr>
                <w:rFonts w:ascii="Times New Roman" w:eastAsia="Calibri" w:hAnsi="Times New Roman" w:cs="Times New Roman"/>
                <w:bCs/>
                <w:sz w:val="24"/>
                <w:szCs w:val="24"/>
              </w:rPr>
              <w:t xml:space="preserve">  V</w:t>
            </w:r>
            <w:r w:rsidR="00674DE4">
              <w:rPr>
                <w:rFonts w:ascii="Times New Roman" w:eastAsia="Calibri" w:hAnsi="Times New Roman" w:cs="Times New Roman"/>
                <w:bCs/>
                <w:sz w:val="24"/>
                <w:szCs w:val="24"/>
              </w:rPr>
              <w:t>C</w:t>
            </w:r>
            <w:r w:rsidRPr="00AB75D4">
              <w:rPr>
                <w:rFonts w:ascii="Times New Roman" w:eastAsia="Calibri" w:hAnsi="Times New Roman" w:cs="Times New Roman"/>
                <w:bCs/>
                <w:sz w:val="24"/>
                <w:szCs w:val="24"/>
              </w:rPr>
              <w:t>G</w:t>
            </w:r>
            <w:r w:rsidR="00674DE4">
              <w:rPr>
                <w:rFonts w:ascii="Times New Roman" w:eastAsia="Calibri" w:hAnsi="Times New Roman" w:cs="Times New Roman"/>
                <w:bCs/>
                <w:sz w:val="24"/>
                <w:szCs w:val="24"/>
              </w:rPr>
              <w:t>EN</w:t>
            </w:r>
            <w:r w:rsidRPr="00AB75D4">
              <w:rPr>
                <w:rFonts w:ascii="Times New Roman" w:eastAsia="Calibri" w:hAnsi="Times New Roman" w:cs="Times New Roman"/>
                <w:bCs/>
                <w:sz w:val="24"/>
                <w:szCs w:val="24"/>
              </w:rPr>
              <w:t xml:space="preserve"> (dummy)</w:t>
            </w:r>
          </w:p>
        </w:tc>
        <w:tc>
          <w:tcPr>
            <w:tcW w:w="996" w:type="dxa"/>
            <w:noWrap/>
            <w:vAlign w:val="bottom"/>
          </w:tcPr>
          <w:p w14:paraId="3A229DCE"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82.91</w:t>
            </w:r>
          </w:p>
        </w:tc>
        <w:tc>
          <w:tcPr>
            <w:tcW w:w="1276" w:type="dxa"/>
            <w:noWrap/>
            <w:vAlign w:val="bottom"/>
          </w:tcPr>
          <w:p w14:paraId="5D0CBB9B"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100.00</w:t>
            </w:r>
          </w:p>
        </w:tc>
        <w:tc>
          <w:tcPr>
            <w:tcW w:w="1134" w:type="dxa"/>
            <w:noWrap/>
            <w:vAlign w:val="bottom"/>
          </w:tcPr>
          <w:p w14:paraId="4C8605FF"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37.67</w:t>
            </w:r>
          </w:p>
        </w:tc>
        <w:tc>
          <w:tcPr>
            <w:tcW w:w="1078" w:type="dxa"/>
            <w:noWrap/>
            <w:vAlign w:val="bottom"/>
          </w:tcPr>
          <w:p w14:paraId="4CA0D590"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0.00</w:t>
            </w:r>
          </w:p>
        </w:tc>
        <w:tc>
          <w:tcPr>
            <w:tcW w:w="1176" w:type="dxa"/>
            <w:noWrap/>
            <w:vAlign w:val="bottom"/>
          </w:tcPr>
          <w:p w14:paraId="512DCB8E"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100.00</w:t>
            </w:r>
          </w:p>
        </w:tc>
        <w:tc>
          <w:tcPr>
            <w:tcW w:w="1236" w:type="dxa"/>
          </w:tcPr>
          <w:p w14:paraId="64E6E30C"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en-GB"/>
              </w:rPr>
            </w:pPr>
            <w:r w:rsidRPr="00AB75D4">
              <w:rPr>
                <w:rFonts w:asciiTheme="majorBidi" w:eastAsia="SimSun" w:hAnsiTheme="majorBidi" w:cstheme="majorBidi"/>
                <w:color w:val="000000"/>
                <w:sz w:val="24"/>
                <w:szCs w:val="24"/>
                <w:lang w:val="en-US" w:eastAsia="en-GB"/>
              </w:rPr>
              <w:t>-1.29</w:t>
            </w:r>
          </w:p>
        </w:tc>
        <w:tc>
          <w:tcPr>
            <w:tcW w:w="1236" w:type="dxa"/>
          </w:tcPr>
          <w:p w14:paraId="08A122BF"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en-GB"/>
              </w:rPr>
            </w:pPr>
            <w:r w:rsidRPr="00AB75D4">
              <w:rPr>
                <w:rFonts w:asciiTheme="majorBidi" w:eastAsia="SimSun" w:hAnsiTheme="majorBidi" w:cstheme="majorBidi"/>
                <w:color w:val="000000"/>
                <w:sz w:val="24"/>
                <w:szCs w:val="24"/>
                <w:lang w:val="en-US" w:eastAsia="en-GB"/>
              </w:rPr>
              <w:t>0.00</w:t>
            </w:r>
          </w:p>
        </w:tc>
      </w:tr>
      <w:tr w:rsidR="00182131" w:rsidRPr="00AB75D4" w14:paraId="758F6835" w14:textId="77777777" w:rsidTr="00182131">
        <w:trPr>
          <w:trHeight w:val="105"/>
        </w:trPr>
        <w:tc>
          <w:tcPr>
            <w:tcW w:w="2410" w:type="dxa"/>
          </w:tcPr>
          <w:p w14:paraId="374ABCD4" w14:textId="5FE9306E" w:rsidR="00182131" w:rsidRPr="00AB75D4" w:rsidRDefault="00182131" w:rsidP="00674DE4">
            <w:pPr>
              <w:ind w:right="-103"/>
              <w:contextualSpacing/>
              <w:rPr>
                <w:rFonts w:ascii="Times New Roman" w:eastAsia="Calibri" w:hAnsi="Times New Roman" w:cs="Times New Roman"/>
                <w:bCs/>
                <w:sz w:val="24"/>
                <w:szCs w:val="24"/>
              </w:rPr>
            </w:pPr>
            <w:r w:rsidRPr="00AB75D4">
              <w:rPr>
                <w:rFonts w:ascii="Times New Roman" w:eastAsia="Calibri" w:hAnsi="Times New Roman" w:cs="Times New Roman"/>
                <w:bCs/>
                <w:sz w:val="24"/>
                <w:szCs w:val="24"/>
              </w:rPr>
              <w:t xml:space="preserve">  V</w:t>
            </w:r>
            <w:r w:rsidR="00674DE4">
              <w:rPr>
                <w:rFonts w:ascii="Times New Roman" w:eastAsia="Calibri" w:hAnsi="Times New Roman" w:cs="Times New Roman"/>
                <w:bCs/>
                <w:sz w:val="24"/>
                <w:szCs w:val="24"/>
              </w:rPr>
              <w:t>CE</w:t>
            </w:r>
            <w:r w:rsidRPr="00AB75D4">
              <w:rPr>
                <w:rFonts w:ascii="Times New Roman" w:eastAsia="Calibri" w:hAnsi="Times New Roman" w:cs="Times New Roman"/>
                <w:bCs/>
                <w:sz w:val="24"/>
                <w:szCs w:val="24"/>
              </w:rPr>
              <w:t>D</w:t>
            </w:r>
            <w:r w:rsidR="00674DE4">
              <w:rPr>
                <w:rFonts w:ascii="Times New Roman" w:eastAsia="Calibri" w:hAnsi="Times New Roman" w:cs="Times New Roman"/>
                <w:bCs/>
                <w:sz w:val="24"/>
                <w:szCs w:val="24"/>
              </w:rPr>
              <w:t>U</w:t>
            </w:r>
            <w:r w:rsidRPr="00AB75D4">
              <w:rPr>
                <w:rFonts w:ascii="Times New Roman" w:eastAsia="Calibri" w:hAnsi="Times New Roman" w:cs="Times New Roman"/>
                <w:bCs/>
                <w:sz w:val="24"/>
                <w:szCs w:val="24"/>
              </w:rPr>
              <w:t xml:space="preserve"> (continuous)</w:t>
            </w:r>
          </w:p>
        </w:tc>
        <w:tc>
          <w:tcPr>
            <w:tcW w:w="996" w:type="dxa"/>
            <w:noWrap/>
            <w:vAlign w:val="bottom"/>
          </w:tcPr>
          <w:p w14:paraId="493AD49A"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4.33</w:t>
            </w:r>
          </w:p>
        </w:tc>
        <w:tc>
          <w:tcPr>
            <w:tcW w:w="1276" w:type="dxa"/>
            <w:noWrap/>
            <w:vAlign w:val="bottom"/>
          </w:tcPr>
          <w:p w14:paraId="70FAEBA3"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4.00</w:t>
            </w:r>
          </w:p>
        </w:tc>
        <w:tc>
          <w:tcPr>
            <w:tcW w:w="1134" w:type="dxa"/>
            <w:noWrap/>
            <w:vAlign w:val="bottom"/>
          </w:tcPr>
          <w:p w14:paraId="652EC84B"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1.74</w:t>
            </w:r>
          </w:p>
        </w:tc>
        <w:tc>
          <w:tcPr>
            <w:tcW w:w="1078" w:type="dxa"/>
            <w:noWrap/>
            <w:vAlign w:val="bottom"/>
          </w:tcPr>
          <w:p w14:paraId="4EC6DDA8"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1.00</w:t>
            </w:r>
          </w:p>
        </w:tc>
        <w:tc>
          <w:tcPr>
            <w:tcW w:w="1176" w:type="dxa"/>
            <w:noWrap/>
            <w:vAlign w:val="bottom"/>
          </w:tcPr>
          <w:p w14:paraId="3E324BE6"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6.00</w:t>
            </w:r>
          </w:p>
        </w:tc>
        <w:tc>
          <w:tcPr>
            <w:tcW w:w="1236" w:type="dxa"/>
          </w:tcPr>
          <w:p w14:paraId="2A96968A" w14:textId="77777777"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eastAsia="SimSun" w:hAnsiTheme="majorBidi" w:cstheme="majorBidi"/>
                <w:color w:val="000000"/>
                <w:sz w:val="24"/>
                <w:szCs w:val="24"/>
                <w:lang w:val="en-US" w:eastAsia="en-GB"/>
              </w:rPr>
              <w:t>-0.20</w:t>
            </w:r>
            <w:r w:rsidRPr="00AB75D4">
              <w:rPr>
                <w:rFonts w:asciiTheme="majorBidi" w:eastAsia="SimSun" w:hAnsiTheme="majorBidi" w:cstheme="majorBidi"/>
                <w:color w:val="000000"/>
                <w:sz w:val="24"/>
                <w:szCs w:val="24"/>
                <w:vertAlign w:val="superscript"/>
                <w:lang w:val="en-US" w:eastAsia="en-GB"/>
              </w:rPr>
              <w:t>***</w:t>
            </w:r>
          </w:p>
        </w:tc>
        <w:tc>
          <w:tcPr>
            <w:tcW w:w="1236" w:type="dxa"/>
          </w:tcPr>
          <w:p w14:paraId="6E19F9C2" w14:textId="77777777"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eastAsia="SimSun" w:hAnsiTheme="majorBidi" w:cstheme="majorBidi"/>
                <w:color w:val="000000"/>
                <w:sz w:val="24"/>
                <w:szCs w:val="24"/>
                <w:lang w:val="en-US" w:eastAsia="en-GB"/>
              </w:rPr>
              <w:t>-0.59</w:t>
            </w:r>
            <w:r w:rsidRPr="00AB75D4">
              <w:rPr>
                <w:rFonts w:asciiTheme="majorBidi" w:eastAsia="SimSun" w:hAnsiTheme="majorBidi" w:cstheme="majorBidi"/>
                <w:color w:val="000000"/>
                <w:sz w:val="24"/>
                <w:szCs w:val="24"/>
                <w:vertAlign w:val="superscript"/>
                <w:lang w:val="en-US" w:eastAsia="en-GB"/>
              </w:rPr>
              <w:t>***</w:t>
            </w:r>
          </w:p>
        </w:tc>
      </w:tr>
      <w:tr w:rsidR="00182131" w:rsidRPr="00AB75D4" w14:paraId="318DFFB0" w14:textId="77777777" w:rsidTr="00182131">
        <w:trPr>
          <w:trHeight w:val="105"/>
        </w:trPr>
        <w:tc>
          <w:tcPr>
            <w:tcW w:w="2410" w:type="dxa"/>
          </w:tcPr>
          <w:p w14:paraId="199DA647" w14:textId="4ACF49E6" w:rsidR="00182131" w:rsidRPr="00AB75D4" w:rsidRDefault="00182131" w:rsidP="00462406">
            <w:pPr>
              <w:contextualSpacing/>
              <w:rPr>
                <w:rFonts w:ascii="Times New Roman" w:eastAsia="Calibri" w:hAnsi="Times New Roman" w:cs="Times New Roman"/>
                <w:bCs/>
                <w:sz w:val="24"/>
                <w:szCs w:val="24"/>
              </w:rPr>
            </w:pPr>
            <w:r w:rsidRPr="00AB75D4">
              <w:rPr>
                <w:rFonts w:ascii="Times New Roman" w:eastAsia="Calibri" w:hAnsi="Times New Roman" w:cs="Times New Roman"/>
                <w:bCs/>
                <w:sz w:val="24"/>
                <w:szCs w:val="24"/>
              </w:rPr>
              <w:t xml:space="preserve">  V</w:t>
            </w:r>
            <w:r w:rsidR="00674DE4">
              <w:rPr>
                <w:rFonts w:ascii="Times New Roman" w:eastAsia="Calibri" w:hAnsi="Times New Roman" w:cs="Times New Roman"/>
                <w:bCs/>
                <w:sz w:val="24"/>
                <w:szCs w:val="24"/>
              </w:rPr>
              <w:t>C</w:t>
            </w:r>
            <w:r w:rsidRPr="00AB75D4">
              <w:rPr>
                <w:rFonts w:ascii="Times New Roman" w:eastAsia="Calibri" w:hAnsi="Times New Roman" w:cs="Times New Roman"/>
                <w:bCs/>
                <w:sz w:val="24"/>
                <w:szCs w:val="24"/>
              </w:rPr>
              <w:t>A</w:t>
            </w:r>
            <w:r w:rsidR="00674DE4">
              <w:rPr>
                <w:rFonts w:ascii="Times New Roman" w:eastAsia="Calibri" w:hAnsi="Times New Roman" w:cs="Times New Roman"/>
                <w:bCs/>
                <w:sz w:val="24"/>
                <w:szCs w:val="24"/>
              </w:rPr>
              <w:t>GE</w:t>
            </w:r>
            <w:r w:rsidRPr="00AB75D4">
              <w:rPr>
                <w:rFonts w:ascii="Times New Roman" w:eastAsia="Calibri" w:hAnsi="Times New Roman" w:cs="Times New Roman"/>
                <w:bCs/>
                <w:sz w:val="24"/>
                <w:szCs w:val="24"/>
              </w:rPr>
              <w:t xml:space="preserve"> (years)</w:t>
            </w:r>
          </w:p>
        </w:tc>
        <w:tc>
          <w:tcPr>
            <w:tcW w:w="996" w:type="dxa"/>
            <w:noWrap/>
            <w:vAlign w:val="bottom"/>
          </w:tcPr>
          <w:p w14:paraId="5000B05C"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57.41</w:t>
            </w:r>
          </w:p>
        </w:tc>
        <w:tc>
          <w:tcPr>
            <w:tcW w:w="1276" w:type="dxa"/>
            <w:noWrap/>
            <w:vAlign w:val="bottom"/>
          </w:tcPr>
          <w:p w14:paraId="457A8699"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58.00</w:t>
            </w:r>
          </w:p>
        </w:tc>
        <w:tc>
          <w:tcPr>
            <w:tcW w:w="1134" w:type="dxa"/>
            <w:noWrap/>
            <w:vAlign w:val="bottom"/>
          </w:tcPr>
          <w:p w14:paraId="088A78DF"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5.22</w:t>
            </w:r>
          </w:p>
        </w:tc>
        <w:tc>
          <w:tcPr>
            <w:tcW w:w="1078" w:type="dxa"/>
            <w:noWrap/>
            <w:vAlign w:val="bottom"/>
          </w:tcPr>
          <w:p w14:paraId="434BBBF5"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41.00</w:t>
            </w:r>
          </w:p>
        </w:tc>
        <w:tc>
          <w:tcPr>
            <w:tcW w:w="1176" w:type="dxa"/>
            <w:noWrap/>
            <w:vAlign w:val="bottom"/>
          </w:tcPr>
          <w:p w14:paraId="4B7681A4"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73.00</w:t>
            </w:r>
          </w:p>
        </w:tc>
        <w:tc>
          <w:tcPr>
            <w:tcW w:w="1236" w:type="dxa"/>
          </w:tcPr>
          <w:p w14:paraId="1C58500A"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en-GB"/>
              </w:rPr>
            </w:pPr>
            <w:r w:rsidRPr="00AB75D4">
              <w:rPr>
                <w:rFonts w:asciiTheme="majorBidi" w:eastAsia="SimSun" w:hAnsiTheme="majorBidi" w:cstheme="majorBidi"/>
                <w:color w:val="000000"/>
                <w:sz w:val="24"/>
                <w:szCs w:val="24"/>
                <w:lang w:val="en-US" w:eastAsia="en-GB"/>
              </w:rPr>
              <w:t>0.59</w:t>
            </w:r>
          </w:p>
        </w:tc>
        <w:tc>
          <w:tcPr>
            <w:tcW w:w="1236" w:type="dxa"/>
          </w:tcPr>
          <w:p w14:paraId="030352D9"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en-GB"/>
              </w:rPr>
            </w:pPr>
            <w:r w:rsidRPr="00AB75D4">
              <w:rPr>
                <w:rFonts w:asciiTheme="majorBidi" w:eastAsia="SimSun" w:hAnsiTheme="majorBidi" w:cstheme="majorBidi"/>
                <w:color w:val="000000"/>
                <w:sz w:val="24"/>
                <w:szCs w:val="24"/>
                <w:lang w:val="en-US" w:eastAsia="en-GB"/>
              </w:rPr>
              <w:t>0.47</w:t>
            </w:r>
          </w:p>
        </w:tc>
      </w:tr>
      <w:tr w:rsidR="00182131" w:rsidRPr="00AB75D4" w14:paraId="40D99F5F" w14:textId="77777777" w:rsidTr="00182131">
        <w:trPr>
          <w:trHeight w:val="105"/>
        </w:trPr>
        <w:tc>
          <w:tcPr>
            <w:tcW w:w="2410" w:type="dxa"/>
          </w:tcPr>
          <w:p w14:paraId="2F96C6E7" w14:textId="4097BE67" w:rsidR="00182131" w:rsidRPr="00AB75D4" w:rsidRDefault="00182131" w:rsidP="00462406">
            <w:pPr>
              <w:contextualSpacing/>
              <w:rPr>
                <w:rFonts w:ascii="Times New Roman" w:eastAsia="Calibri" w:hAnsi="Times New Roman" w:cs="Times New Roman"/>
                <w:bCs/>
                <w:sz w:val="24"/>
                <w:szCs w:val="24"/>
              </w:rPr>
            </w:pPr>
            <w:r w:rsidRPr="00AB75D4">
              <w:rPr>
                <w:rFonts w:ascii="Times New Roman" w:eastAsia="Calibri" w:hAnsi="Times New Roman" w:cs="Times New Roman"/>
                <w:bCs/>
                <w:sz w:val="24"/>
                <w:szCs w:val="24"/>
              </w:rPr>
              <w:t xml:space="preserve">  V</w:t>
            </w:r>
            <w:r w:rsidR="00674DE4">
              <w:rPr>
                <w:rFonts w:ascii="Times New Roman" w:eastAsia="Calibri" w:hAnsi="Times New Roman" w:cs="Times New Roman"/>
                <w:bCs/>
                <w:sz w:val="24"/>
                <w:szCs w:val="24"/>
              </w:rPr>
              <w:t>C</w:t>
            </w:r>
            <w:r w:rsidRPr="00AB75D4">
              <w:rPr>
                <w:rFonts w:ascii="Times New Roman" w:eastAsia="Calibri" w:hAnsi="Times New Roman" w:cs="Times New Roman"/>
                <w:bCs/>
                <w:sz w:val="24"/>
                <w:szCs w:val="24"/>
              </w:rPr>
              <w:t>T</w:t>
            </w:r>
            <w:r w:rsidR="00674DE4">
              <w:rPr>
                <w:rFonts w:ascii="Times New Roman" w:eastAsia="Calibri" w:hAnsi="Times New Roman" w:cs="Times New Roman"/>
                <w:bCs/>
                <w:sz w:val="24"/>
                <w:szCs w:val="24"/>
              </w:rPr>
              <w:t>EN</w:t>
            </w:r>
            <w:r w:rsidRPr="00AB75D4">
              <w:rPr>
                <w:rFonts w:ascii="Times New Roman" w:eastAsia="Calibri" w:hAnsi="Times New Roman" w:cs="Times New Roman"/>
                <w:bCs/>
                <w:sz w:val="24"/>
                <w:szCs w:val="24"/>
              </w:rPr>
              <w:t xml:space="preserve"> (no.)</w:t>
            </w:r>
          </w:p>
        </w:tc>
        <w:tc>
          <w:tcPr>
            <w:tcW w:w="996" w:type="dxa"/>
            <w:noWrap/>
            <w:vAlign w:val="bottom"/>
          </w:tcPr>
          <w:p w14:paraId="46594CBB"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6.15</w:t>
            </w:r>
          </w:p>
        </w:tc>
        <w:tc>
          <w:tcPr>
            <w:tcW w:w="1276" w:type="dxa"/>
            <w:noWrap/>
            <w:vAlign w:val="bottom"/>
          </w:tcPr>
          <w:p w14:paraId="6AE18057"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5.00</w:t>
            </w:r>
          </w:p>
        </w:tc>
        <w:tc>
          <w:tcPr>
            <w:tcW w:w="1134" w:type="dxa"/>
            <w:noWrap/>
            <w:vAlign w:val="bottom"/>
          </w:tcPr>
          <w:p w14:paraId="680584B6"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3.37</w:t>
            </w:r>
          </w:p>
        </w:tc>
        <w:tc>
          <w:tcPr>
            <w:tcW w:w="1078" w:type="dxa"/>
            <w:noWrap/>
            <w:vAlign w:val="bottom"/>
          </w:tcPr>
          <w:p w14:paraId="36C124BE"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2.00</w:t>
            </w:r>
          </w:p>
        </w:tc>
        <w:tc>
          <w:tcPr>
            <w:tcW w:w="1176" w:type="dxa"/>
            <w:noWrap/>
            <w:vAlign w:val="bottom"/>
          </w:tcPr>
          <w:p w14:paraId="2AAB52B5"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21.00</w:t>
            </w:r>
          </w:p>
        </w:tc>
        <w:tc>
          <w:tcPr>
            <w:tcW w:w="1236" w:type="dxa"/>
          </w:tcPr>
          <w:p w14:paraId="0990C0C0" w14:textId="77777777"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eastAsia="SimSun" w:hAnsiTheme="majorBidi" w:cstheme="majorBidi"/>
                <w:color w:val="000000"/>
                <w:sz w:val="24"/>
                <w:szCs w:val="24"/>
                <w:lang w:val="en-US" w:eastAsia="en-GB"/>
              </w:rPr>
              <w:t>-0.56</w:t>
            </w:r>
            <w:r w:rsidRPr="00AB75D4">
              <w:rPr>
                <w:rFonts w:asciiTheme="majorBidi" w:eastAsia="SimSun" w:hAnsiTheme="majorBidi" w:cstheme="majorBidi"/>
                <w:color w:val="000000"/>
                <w:sz w:val="24"/>
                <w:szCs w:val="24"/>
                <w:vertAlign w:val="superscript"/>
                <w:lang w:val="en-US" w:eastAsia="en-GB"/>
              </w:rPr>
              <w:t>**</w:t>
            </w:r>
          </w:p>
        </w:tc>
        <w:tc>
          <w:tcPr>
            <w:tcW w:w="1236" w:type="dxa"/>
          </w:tcPr>
          <w:p w14:paraId="113F34CF" w14:textId="4130C4D1" w:rsidR="00182131" w:rsidRPr="00AB75D4" w:rsidRDefault="00182131" w:rsidP="00EA2E9A">
            <w:pPr>
              <w:spacing w:after="0" w:line="240" w:lineRule="auto"/>
              <w:rPr>
                <w:rFonts w:asciiTheme="majorBidi" w:eastAsia="SimSun" w:hAnsiTheme="majorBidi" w:cstheme="majorBidi"/>
                <w:color w:val="000000"/>
                <w:sz w:val="24"/>
                <w:szCs w:val="24"/>
                <w:lang w:val="en-US" w:eastAsia="en-GB"/>
              </w:rPr>
            </w:pPr>
            <w:r w:rsidRPr="00AB75D4">
              <w:rPr>
                <w:rFonts w:asciiTheme="majorBidi" w:eastAsia="SimSun" w:hAnsiTheme="majorBidi" w:cstheme="majorBidi"/>
                <w:color w:val="000000"/>
                <w:sz w:val="24"/>
                <w:szCs w:val="24"/>
                <w:lang w:val="en-US" w:eastAsia="en-GB"/>
              </w:rPr>
              <w:t>0.00</w:t>
            </w:r>
          </w:p>
        </w:tc>
      </w:tr>
      <w:tr w:rsidR="00182131" w:rsidRPr="00AB75D4" w14:paraId="55930E6B" w14:textId="77777777" w:rsidTr="00182131">
        <w:trPr>
          <w:trHeight w:val="105"/>
        </w:trPr>
        <w:tc>
          <w:tcPr>
            <w:tcW w:w="2410" w:type="dxa"/>
          </w:tcPr>
          <w:p w14:paraId="77C3E5DC" w14:textId="2A5BF9E2" w:rsidR="00182131" w:rsidRPr="00AB75D4" w:rsidRDefault="00182131" w:rsidP="00462406">
            <w:pPr>
              <w:spacing w:after="0" w:line="240" w:lineRule="auto"/>
              <w:ind w:right="-173"/>
              <w:jc w:val="both"/>
              <w:rPr>
                <w:rFonts w:asciiTheme="majorBidi" w:eastAsia="SimSun" w:hAnsiTheme="majorBidi" w:cstheme="majorBidi"/>
                <w:sz w:val="24"/>
                <w:szCs w:val="24"/>
                <w:lang w:val="en-US" w:eastAsia="zh-CN"/>
              </w:rPr>
            </w:pPr>
            <w:r w:rsidRPr="00AB75D4">
              <w:rPr>
                <w:rFonts w:asciiTheme="majorBidi" w:eastAsia="SimSun" w:hAnsiTheme="majorBidi" w:cstheme="majorBidi"/>
                <w:sz w:val="24"/>
                <w:szCs w:val="24"/>
                <w:lang w:val="en-US" w:eastAsia="zh-CN"/>
              </w:rPr>
              <w:t xml:space="preserve">  </w:t>
            </w:r>
            <w:r w:rsidR="00674DE4">
              <w:rPr>
                <w:rFonts w:asciiTheme="majorBidi" w:eastAsia="SimSun" w:hAnsiTheme="majorBidi" w:cstheme="majorBidi"/>
                <w:sz w:val="24"/>
                <w:szCs w:val="24"/>
                <w:lang w:val="en-US" w:eastAsia="zh-CN"/>
              </w:rPr>
              <w:t>E</w:t>
            </w:r>
            <w:r w:rsidRPr="00AB75D4">
              <w:rPr>
                <w:rFonts w:asciiTheme="majorBidi" w:eastAsia="SimSun" w:hAnsiTheme="majorBidi" w:cstheme="majorBidi"/>
                <w:sz w:val="24"/>
                <w:szCs w:val="24"/>
                <w:lang w:val="en-US" w:eastAsia="zh-CN"/>
              </w:rPr>
              <w:t>G</w:t>
            </w:r>
            <w:r w:rsidR="00674DE4">
              <w:rPr>
                <w:rFonts w:asciiTheme="majorBidi" w:eastAsia="SimSun" w:hAnsiTheme="majorBidi" w:cstheme="majorBidi"/>
                <w:sz w:val="24"/>
                <w:szCs w:val="24"/>
                <w:lang w:val="en-US" w:eastAsia="zh-CN"/>
              </w:rPr>
              <w:t>C</w:t>
            </w:r>
            <w:r w:rsidRPr="00AB75D4">
              <w:rPr>
                <w:rFonts w:asciiTheme="majorBidi" w:eastAsia="SimSun" w:hAnsiTheme="majorBidi" w:cstheme="majorBidi"/>
                <w:sz w:val="24"/>
                <w:szCs w:val="24"/>
                <w:lang w:val="en-US" w:eastAsia="zh-CN"/>
              </w:rPr>
              <w:t xml:space="preserve"> (%)</w:t>
            </w:r>
          </w:p>
        </w:tc>
        <w:tc>
          <w:tcPr>
            <w:tcW w:w="996" w:type="dxa"/>
            <w:noWrap/>
            <w:vAlign w:val="bottom"/>
          </w:tcPr>
          <w:p w14:paraId="31562DC5"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17.24</w:t>
            </w:r>
          </w:p>
        </w:tc>
        <w:tc>
          <w:tcPr>
            <w:tcW w:w="1276" w:type="dxa"/>
            <w:noWrap/>
            <w:vAlign w:val="bottom"/>
          </w:tcPr>
          <w:p w14:paraId="5226BA5A"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0.00</w:t>
            </w:r>
          </w:p>
        </w:tc>
        <w:tc>
          <w:tcPr>
            <w:tcW w:w="1134" w:type="dxa"/>
            <w:noWrap/>
            <w:vAlign w:val="bottom"/>
          </w:tcPr>
          <w:p w14:paraId="32C7FC17"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37.80</w:t>
            </w:r>
          </w:p>
        </w:tc>
        <w:tc>
          <w:tcPr>
            <w:tcW w:w="1078" w:type="dxa"/>
            <w:noWrap/>
            <w:vAlign w:val="bottom"/>
          </w:tcPr>
          <w:p w14:paraId="3D1EDFB0"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0.00</w:t>
            </w:r>
          </w:p>
        </w:tc>
        <w:tc>
          <w:tcPr>
            <w:tcW w:w="1176" w:type="dxa"/>
            <w:noWrap/>
            <w:vAlign w:val="bottom"/>
          </w:tcPr>
          <w:p w14:paraId="64783AE7"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100.00</w:t>
            </w:r>
          </w:p>
        </w:tc>
        <w:tc>
          <w:tcPr>
            <w:tcW w:w="1236" w:type="dxa"/>
          </w:tcPr>
          <w:p w14:paraId="73789332" w14:textId="77777777"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eastAsia="SimSun" w:hAnsiTheme="majorBidi" w:cstheme="majorBidi"/>
                <w:color w:val="000000"/>
                <w:sz w:val="24"/>
                <w:szCs w:val="24"/>
                <w:lang w:val="en-US" w:eastAsia="en-GB"/>
              </w:rPr>
              <w:t>-8.14</w:t>
            </w:r>
            <w:r w:rsidRPr="00AB75D4">
              <w:rPr>
                <w:rFonts w:asciiTheme="majorBidi" w:eastAsia="SimSun" w:hAnsiTheme="majorBidi" w:cstheme="majorBidi"/>
                <w:color w:val="000000"/>
                <w:sz w:val="24"/>
                <w:szCs w:val="24"/>
                <w:vertAlign w:val="superscript"/>
                <w:lang w:val="en-US" w:eastAsia="en-GB"/>
              </w:rPr>
              <w:t>***</w:t>
            </w:r>
          </w:p>
        </w:tc>
        <w:tc>
          <w:tcPr>
            <w:tcW w:w="1236" w:type="dxa"/>
          </w:tcPr>
          <w:p w14:paraId="73B3D8DA" w14:textId="77777777"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eastAsia="SimSun" w:hAnsiTheme="majorBidi" w:cstheme="majorBidi"/>
                <w:color w:val="000000"/>
                <w:sz w:val="24"/>
                <w:szCs w:val="24"/>
                <w:lang w:val="en-US" w:eastAsia="en-GB"/>
              </w:rPr>
              <w:t>-0.00</w:t>
            </w:r>
            <w:r w:rsidRPr="00AB75D4">
              <w:rPr>
                <w:rFonts w:asciiTheme="majorBidi" w:eastAsia="SimSun" w:hAnsiTheme="majorBidi" w:cstheme="majorBidi"/>
                <w:color w:val="000000"/>
                <w:sz w:val="24"/>
                <w:szCs w:val="24"/>
                <w:vertAlign w:val="superscript"/>
                <w:lang w:val="en-US" w:eastAsia="en-GB"/>
              </w:rPr>
              <w:t>***</w:t>
            </w:r>
          </w:p>
        </w:tc>
      </w:tr>
      <w:tr w:rsidR="00182131" w:rsidRPr="00AB75D4" w14:paraId="327F1AF6" w14:textId="77777777" w:rsidTr="00182131">
        <w:trPr>
          <w:trHeight w:val="105"/>
        </w:trPr>
        <w:tc>
          <w:tcPr>
            <w:tcW w:w="2410" w:type="dxa"/>
          </w:tcPr>
          <w:p w14:paraId="059CF604" w14:textId="477C31C3" w:rsidR="00182131" w:rsidRPr="00AB75D4" w:rsidRDefault="00182131" w:rsidP="00462406">
            <w:pPr>
              <w:spacing w:after="0" w:line="240" w:lineRule="auto"/>
              <w:ind w:right="-173"/>
              <w:jc w:val="both"/>
              <w:rPr>
                <w:rFonts w:asciiTheme="majorBidi" w:eastAsia="SimSun" w:hAnsiTheme="majorBidi" w:cstheme="majorBidi"/>
                <w:sz w:val="24"/>
                <w:szCs w:val="24"/>
                <w:lang w:val="en-US" w:eastAsia="zh-CN"/>
              </w:rPr>
            </w:pPr>
            <w:r w:rsidRPr="00AB75D4">
              <w:rPr>
                <w:rFonts w:asciiTheme="majorBidi" w:eastAsia="SimSun" w:hAnsiTheme="majorBidi" w:cstheme="majorBidi"/>
                <w:sz w:val="24"/>
                <w:szCs w:val="24"/>
                <w:lang w:val="en-US" w:eastAsia="zh-CN"/>
              </w:rPr>
              <w:t xml:space="preserve">  G</w:t>
            </w:r>
            <w:r w:rsidR="00674DE4">
              <w:rPr>
                <w:rFonts w:asciiTheme="majorBidi" w:eastAsia="SimSun" w:hAnsiTheme="majorBidi" w:cstheme="majorBidi"/>
                <w:sz w:val="24"/>
                <w:szCs w:val="24"/>
                <w:lang w:val="en-US" w:eastAsia="zh-CN"/>
              </w:rPr>
              <w:t>BGE</w:t>
            </w:r>
            <w:r w:rsidRPr="00AB75D4">
              <w:rPr>
                <w:rFonts w:asciiTheme="majorBidi" w:eastAsia="SimSun" w:hAnsiTheme="majorBidi" w:cstheme="majorBidi"/>
                <w:sz w:val="24"/>
                <w:szCs w:val="24"/>
                <w:lang w:val="en-US" w:eastAsia="zh-CN"/>
              </w:rPr>
              <w:t>D (%)</w:t>
            </w:r>
          </w:p>
        </w:tc>
        <w:tc>
          <w:tcPr>
            <w:tcW w:w="996" w:type="dxa"/>
            <w:noWrap/>
            <w:vAlign w:val="bottom"/>
          </w:tcPr>
          <w:p w14:paraId="7196B471"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31.74</w:t>
            </w:r>
          </w:p>
        </w:tc>
        <w:tc>
          <w:tcPr>
            <w:tcW w:w="1276" w:type="dxa"/>
            <w:noWrap/>
            <w:vAlign w:val="bottom"/>
          </w:tcPr>
          <w:p w14:paraId="3D954DB5"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30.56</w:t>
            </w:r>
          </w:p>
        </w:tc>
        <w:tc>
          <w:tcPr>
            <w:tcW w:w="1134" w:type="dxa"/>
            <w:noWrap/>
            <w:vAlign w:val="bottom"/>
          </w:tcPr>
          <w:p w14:paraId="23D2FFEF"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11.30</w:t>
            </w:r>
          </w:p>
        </w:tc>
        <w:tc>
          <w:tcPr>
            <w:tcW w:w="1078" w:type="dxa"/>
            <w:noWrap/>
            <w:vAlign w:val="bottom"/>
          </w:tcPr>
          <w:p w14:paraId="70B12BDE"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5.26</w:t>
            </w:r>
          </w:p>
        </w:tc>
        <w:tc>
          <w:tcPr>
            <w:tcW w:w="1176" w:type="dxa"/>
            <w:noWrap/>
            <w:vAlign w:val="bottom"/>
          </w:tcPr>
          <w:p w14:paraId="57ECDEC1"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65.52</w:t>
            </w:r>
          </w:p>
        </w:tc>
        <w:tc>
          <w:tcPr>
            <w:tcW w:w="1236" w:type="dxa"/>
          </w:tcPr>
          <w:p w14:paraId="352A7CBD" w14:textId="77777777"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eastAsia="SimSun" w:hAnsiTheme="majorBidi" w:cstheme="majorBidi"/>
                <w:color w:val="000000"/>
                <w:sz w:val="24"/>
                <w:szCs w:val="24"/>
                <w:lang w:val="en-US" w:eastAsia="en-GB"/>
              </w:rPr>
              <w:t>-3.08</w:t>
            </w:r>
            <w:r w:rsidRPr="00AB75D4">
              <w:rPr>
                <w:rFonts w:asciiTheme="majorBidi" w:eastAsia="SimSun" w:hAnsiTheme="majorBidi" w:cstheme="majorBidi"/>
                <w:color w:val="000000"/>
                <w:sz w:val="24"/>
                <w:szCs w:val="24"/>
                <w:vertAlign w:val="superscript"/>
                <w:lang w:val="en-US" w:eastAsia="en-GB"/>
              </w:rPr>
              <w:t>***</w:t>
            </w:r>
          </w:p>
        </w:tc>
        <w:tc>
          <w:tcPr>
            <w:tcW w:w="1236" w:type="dxa"/>
          </w:tcPr>
          <w:p w14:paraId="3A002458" w14:textId="77777777"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eastAsia="SimSun" w:hAnsiTheme="majorBidi" w:cstheme="majorBidi"/>
                <w:color w:val="000000"/>
                <w:sz w:val="24"/>
                <w:szCs w:val="24"/>
                <w:lang w:val="en-US" w:eastAsia="en-GB"/>
              </w:rPr>
              <w:t>-2.41</w:t>
            </w:r>
            <w:r w:rsidRPr="00AB75D4">
              <w:rPr>
                <w:rFonts w:asciiTheme="majorBidi" w:eastAsia="SimSun" w:hAnsiTheme="majorBidi" w:cstheme="majorBidi"/>
                <w:color w:val="000000"/>
                <w:sz w:val="24"/>
                <w:szCs w:val="24"/>
                <w:vertAlign w:val="superscript"/>
                <w:lang w:val="en-US" w:eastAsia="en-GB"/>
              </w:rPr>
              <w:t>***</w:t>
            </w:r>
          </w:p>
        </w:tc>
      </w:tr>
      <w:tr w:rsidR="00182131" w:rsidRPr="00AB75D4" w14:paraId="376770AF" w14:textId="77777777" w:rsidTr="00182131">
        <w:trPr>
          <w:trHeight w:val="105"/>
        </w:trPr>
        <w:tc>
          <w:tcPr>
            <w:tcW w:w="2410" w:type="dxa"/>
          </w:tcPr>
          <w:p w14:paraId="513A24C9" w14:textId="5805A7F1" w:rsidR="00182131" w:rsidRPr="00AB75D4" w:rsidRDefault="00182131" w:rsidP="00462406">
            <w:pPr>
              <w:spacing w:after="0" w:line="240" w:lineRule="auto"/>
              <w:ind w:right="-173"/>
              <w:jc w:val="both"/>
              <w:rPr>
                <w:rFonts w:asciiTheme="majorBidi" w:eastAsia="SimSun" w:hAnsiTheme="majorBidi" w:cstheme="majorBidi"/>
                <w:sz w:val="24"/>
                <w:szCs w:val="24"/>
                <w:lang w:val="en-US" w:eastAsia="zh-CN"/>
              </w:rPr>
            </w:pPr>
            <w:r w:rsidRPr="00AB75D4">
              <w:rPr>
                <w:rFonts w:asciiTheme="majorBidi" w:eastAsia="SimSun" w:hAnsiTheme="majorBidi" w:cstheme="majorBidi"/>
                <w:sz w:val="24"/>
                <w:szCs w:val="24"/>
                <w:lang w:val="en-US" w:eastAsia="zh-CN"/>
              </w:rPr>
              <w:t xml:space="preserve">  </w:t>
            </w:r>
            <w:r w:rsidR="00674DE4">
              <w:rPr>
                <w:rFonts w:asciiTheme="majorBidi" w:eastAsia="SimSun" w:hAnsiTheme="majorBidi" w:cstheme="majorBidi"/>
                <w:sz w:val="24"/>
                <w:szCs w:val="24"/>
                <w:lang w:val="en-US" w:eastAsia="zh-CN"/>
              </w:rPr>
              <w:t>GB</w:t>
            </w:r>
            <w:r w:rsidRPr="00AB75D4">
              <w:rPr>
                <w:rFonts w:asciiTheme="majorBidi" w:eastAsia="SimSun" w:hAnsiTheme="majorBidi" w:cstheme="majorBidi"/>
                <w:sz w:val="24"/>
                <w:szCs w:val="24"/>
                <w:lang w:val="en-US" w:eastAsia="zh-CN"/>
              </w:rPr>
              <w:t>I</w:t>
            </w:r>
            <w:r w:rsidR="00674DE4">
              <w:rPr>
                <w:rFonts w:asciiTheme="majorBidi" w:eastAsia="SimSun" w:hAnsiTheme="majorBidi" w:cstheme="majorBidi"/>
                <w:sz w:val="24"/>
                <w:szCs w:val="24"/>
                <w:lang w:val="en-US" w:eastAsia="zh-CN"/>
              </w:rPr>
              <w:t>ND</w:t>
            </w:r>
            <w:r w:rsidRPr="00AB75D4">
              <w:rPr>
                <w:rFonts w:asciiTheme="majorBidi" w:eastAsia="SimSun" w:hAnsiTheme="majorBidi" w:cstheme="majorBidi"/>
                <w:sz w:val="24"/>
                <w:szCs w:val="24"/>
                <w:lang w:val="en-US" w:eastAsia="zh-CN"/>
              </w:rPr>
              <w:t xml:space="preserve"> (%)</w:t>
            </w:r>
          </w:p>
        </w:tc>
        <w:tc>
          <w:tcPr>
            <w:tcW w:w="996" w:type="dxa"/>
            <w:noWrap/>
            <w:vAlign w:val="bottom"/>
          </w:tcPr>
          <w:p w14:paraId="3EA20F8E"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55.25</w:t>
            </w:r>
          </w:p>
        </w:tc>
        <w:tc>
          <w:tcPr>
            <w:tcW w:w="1276" w:type="dxa"/>
            <w:noWrap/>
            <w:vAlign w:val="bottom"/>
          </w:tcPr>
          <w:p w14:paraId="6A3BA0F0"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56.71</w:t>
            </w:r>
          </w:p>
        </w:tc>
        <w:tc>
          <w:tcPr>
            <w:tcW w:w="1134" w:type="dxa"/>
            <w:noWrap/>
            <w:vAlign w:val="bottom"/>
          </w:tcPr>
          <w:p w14:paraId="0C99F5AD"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15.03</w:t>
            </w:r>
          </w:p>
        </w:tc>
        <w:tc>
          <w:tcPr>
            <w:tcW w:w="1078" w:type="dxa"/>
            <w:noWrap/>
            <w:vAlign w:val="bottom"/>
          </w:tcPr>
          <w:p w14:paraId="0972A333"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7.69</w:t>
            </w:r>
          </w:p>
        </w:tc>
        <w:tc>
          <w:tcPr>
            <w:tcW w:w="1176" w:type="dxa"/>
            <w:noWrap/>
            <w:vAlign w:val="bottom"/>
          </w:tcPr>
          <w:p w14:paraId="0DEB9B98"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95.65</w:t>
            </w:r>
          </w:p>
        </w:tc>
        <w:tc>
          <w:tcPr>
            <w:tcW w:w="1236" w:type="dxa"/>
          </w:tcPr>
          <w:p w14:paraId="22BCD54F" w14:textId="77777777"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eastAsia="SimSun" w:hAnsiTheme="majorBidi" w:cstheme="majorBidi"/>
                <w:color w:val="000000"/>
                <w:sz w:val="24"/>
                <w:szCs w:val="24"/>
                <w:lang w:val="en-US" w:eastAsia="en-GB"/>
              </w:rPr>
              <w:t>-11.87</w:t>
            </w:r>
            <w:r w:rsidRPr="00AB75D4">
              <w:rPr>
                <w:rFonts w:asciiTheme="majorBidi" w:eastAsia="SimSun" w:hAnsiTheme="majorBidi" w:cstheme="majorBidi"/>
                <w:color w:val="000000"/>
                <w:sz w:val="24"/>
                <w:szCs w:val="24"/>
                <w:vertAlign w:val="superscript"/>
                <w:lang w:val="en-US" w:eastAsia="en-GB"/>
              </w:rPr>
              <w:t>***</w:t>
            </w:r>
          </w:p>
        </w:tc>
        <w:tc>
          <w:tcPr>
            <w:tcW w:w="1236" w:type="dxa"/>
          </w:tcPr>
          <w:p w14:paraId="41500F4A" w14:textId="77777777"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eastAsia="SimSun" w:hAnsiTheme="majorBidi" w:cstheme="majorBidi"/>
                <w:color w:val="000000"/>
                <w:sz w:val="24"/>
                <w:szCs w:val="24"/>
                <w:lang w:val="en-US" w:eastAsia="en-GB"/>
              </w:rPr>
              <w:t>-11.54</w:t>
            </w:r>
            <w:r w:rsidRPr="00AB75D4">
              <w:rPr>
                <w:rFonts w:asciiTheme="majorBidi" w:eastAsia="SimSun" w:hAnsiTheme="majorBidi" w:cstheme="majorBidi"/>
                <w:color w:val="000000"/>
                <w:sz w:val="24"/>
                <w:szCs w:val="24"/>
                <w:vertAlign w:val="superscript"/>
                <w:lang w:val="en-US" w:eastAsia="en-GB"/>
              </w:rPr>
              <w:t>***</w:t>
            </w:r>
          </w:p>
        </w:tc>
      </w:tr>
      <w:tr w:rsidR="00182131" w:rsidRPr="00AB75D4" w14:paraId="1F0EEC20" w14:textId="77777777" w:rsidTr="00182131">
        <w:trPr>
          <w:trHeight w:val="105"/>
        </w:trPr>
        <w:tc>
          <w:tcPr>
            <w:tcW w:w="2410" w:type="dxa"/>
          </w:tcPr>
          <w:p w14:paraId="165ACB82" w14:textId="378F1BB7" w:rsidR="00182131" w:rsidRPr="00AB75D4" w:rsidRDefault="00182131" w:rsidP="00462406">
            <w:pPr>
              <w:spacing w:after="0" w:line="240" w:lineRule="auto"/>
              <w:ind w:right="-173"/>
              <w:jc w:val="both"/>
              <w:rPr>
                <w:rFonts w:asciiTheme="majorBidi" w:eastAsia="SimSun" w:hAnsiTheme="majorBidi" w:cstheme="majorBidi"/>
                <w:sz w:val="24"/>
                <w:szCs w:val="24"/>
                <w:lang w:val="en-US" w:eastAsia="zh-CN"/>
              </w:rPr>
            </w:pPr>
            <w:r w:rsidRPr="00AB75D4">
              <w:rPr>
                <w:rFonts w:asciiTheme="majorBidi" w:eastAsia="SimSun" w:hAnsiTheme="majorBidi" w:cstheme="majorBidi"/>
                <w:sz w:val="24"/>
                <w:szCs w:val="24"/>
                <w:lang w:val="en-US" w:eastAsia="zh-CN"/>
              </w:rPr>
              <w:t xml:space="preserve">  G</w:t>
            </w:r>
            <w:r w:rsidR="00674DE4">
              <w:rPr>
                <w:rFonts w:asciiTheme="majorBidi" w:eastAsia="SimSun" w:hAnsiTheme="majorBidi" w:cstheme="majorBidi"/>
                <w:sz w:val="24"/>
                <w:szCs w:val="24"/>
                <w:lang w:val="en-US" w:eastAsia="zh-CN"/>
              </w:rPr>
              <w:t>B</w:t>
            </w:r>
            <w:r w:rsidRPr="00AB75D4">
              <w:rPr>
                <w:rFonts w:asciiTheme="majorBidi" w:eastAsia="SimSun" w:hAnsiTheme="majorBidi" w:cstheme="majorBidi"/>
                <w:sz w:val="24"/>
                <w:szCs w:val="24"/>
                <w:lang w:val="en-US" w:eastAsia="zh-CN"/>
              </w:rPr>
              <w:t>M</w:t>
            </w:r>
            <w:r w:rsidR="00674DE4">
              <w:rPr>
                <w:rFonts w:asciiTheme="majorBidi" w:eastAsia="SimSun" w:hAnsiTheme="majorBidi" w:cstheme="majorBidi"/>
                <w:sz w:val="24"/>
                <w:szCs w:val="24"/>
                <w:lang w:val="en-US" w:eastAsia="zh-CN"/>
              </w:rPr>
              <w:t>T</w:t>
            </w:r>
            <w:r w:rsidRPr="00AB75D4">
              <w:rPr>
                <w:rFonts w:asciiTheme="majorBidi" w:eastAsia="SimSun" w:hAnsiTheme="majorBidi" w:cstheme="majorBidi"/>
                <w:sz w:val="24"/>
                <w:szCs w:val="24"/>
                <w:lang w:val="en-US" w:eastAsia="zh-CN"/>
              </w:rPr>
              <w:t xml:space="preserve"> (no.)</w:t>
            </w:r>
          </w:p>
        </w:tc>
        <w:tc>
          <w:tcPr>
            <w:tcW w:w="996" w:type="dxa"/>
            <w:noWrap/>
            <w:vAlign w:val="bottom"/>
          </w:tcPr>
          <w:p w14:paraId="343DFD37"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4.87</w:t>
            </w:r>
          </w:p>
        </w:tc>
        <w:tc>
          <w:tcPr>
            <w:tcW w:w="1276" w:type="dxa"/>
            <w:noWrap/>
            <w:vAlign w:val="bottom"/>
          </w:tcPr>
          <w:p w14:paraId="4927E94B"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4.00</w:t>
            </w:r>
          </w:p>
        </w:tc>
        <w:tc>
          <w:tcPr>
            <w:tcW w:w="1134" w:type="dxa"/>
            <w:noWrap/>
            <w:vAlign w:val="bottom"/>
          </w:tcPr>
          <w:p w14:paraId="1B2DB292"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1.44</w:t>
            </w:r>
          </w:p>
        </w:tc>
        <w:tc>
          <w:tcPr>
            <w:tcW w:w="1078" w:type="dxa"/>
            <w:noWrap/>
            <w:vAlign w:val="bottom"/>
          </w:tcPr>
          <w:p w14:paraId="43285A17"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3.00</w:t>
            </w:r>
          </w:p>
        </w:tc>
        <w:tc>
          <w:tcPr>
            <w:tcW w:w="1176" w:type="dxa"/>
            <w:noWrap/>
            <w:vAlign w:val="bottom"/>
          </w:tcPr>
          <w:p w14:paraId="7E14F008"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12.00</w:t>
            </w:r>
          </w:p>
        </w:tc>
        <w:tc>
          <w:tcPr>
            <w:tcW w:w="1236" w:type="dxa"/>
          </w:tcPr>
          <w:p w14:paraId="04494E48" w14:textId="539006D8"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hAnsiTheme="majorBidi" w:cstheme="majorBidi"/>
                <w:sz w:val="24"/>
                <w:szCs w:val="24"/>
              </w:rPr>
              <w:t>0.44</w:t>
            </w:r>
            <w:r w:rsidRPr="00AB75D4">
              <w:rPr>
                <w:rFonts w:asciiTheme="majorBidi" w:hAnsiTheme="majorBidi" w:cstheme="majorBidi"/>
                <w:sz w:val="24"/>
                <w:szCs w:val="24"/>
                <w:vertAlign w:val="superscript"/>
              </w:rPr>
              <w:t>***</w:t>
            </w:r>
          </w:p>
        </w:tc>
        <w:tc>
          <w:tcPr>
            <w:tcW w:w="1236" w:type="dxa"/>
          </w:tcPr>
          <w:p w14:paraId="0B4CDEE0" w14:textId="168B824A"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eastAsia="SimSun" w:hAnsiTheme="majorBidi" w:cstheme="majorBidi"/>
                <w:color w:val="000000"/>
                <w:sz w:val="24"/>
                <w:szCs w:val="24"/>
                <w:lang w:val="en-US" w:eastAsia="en-GB"/>
              </w:rPr>
              <w:t>1.00</w:t>
            </w:r>
            <w:r w:rsidRPr="00AB75D4">
              <w:rPr>
                <w:rFonts w:asciiTheme="majorBidi" w:eastAsia="SimSun" w:hAnsiTheme="majorBidi" w:cstheme="majorBidi"/>
                <w:color w:val="000000"/>
                <w:sz w:val="24"/>
                <w:szCs w:val="24"/>
                <w:vertAlign w:val="superscript"/>
                <w:lang w:val="en-US" w:eastAsia="en-GB"/>
              </w:rPr>
              <w:t>***</w:t>
            </w:r>
          </w:p>
        </w:tc>
      </w:tr>
      <w:tr w:rsidR="00182131" w:rsidRPr="00AB75D4" w14:paraId="1AB1754F" w14:textId="77777777" w:rsidTr="00182131">
        <w:trPr>
          <w:trHeight w:val="231"/>
        </w:trPr>
        <w:tc>
          <w:tcPr>
            <w:tcW w:w="10542" w:type="dxa"/>
            <w:gridSpan w:val="8"/>
          </w:tcPr>
          <w:p w14:paraId="1A855CAC" w14:textId="77777777" w:rsidR="00182131" w:rsidRPr="00AB75D4" w:rsidRDefault="00182131" w:rsidP="00EA2E9A">
            <w:pPr>
              <w:spacing w:after="0" w:line="240" w:lineRule="auto"/>
              <w:rPr>
                <w:rFonts w:asciiTheme="majorBidi" w:eastAsia="SimSun" w:hAnsiTheme="majorBidi" w:cstheme="majorBidi"/>
                <w:i/>
                <w:iCs/>
                <w:color w:val="000000"/>
                <w:sz w:val="24"/>
                <w:szCs w:val="24"/>
                <w:lang w:val="en-US" w:eastAsia="en-GB"/>
              </w:rPr>
            </w:pPr>
          </w:p>
          <w:p w14:paraId="0940EC2F" w14:textId="459797DC" w:rsidR="00182131" w:rsidRPr="00AB75D4" w:rsidRDefault="00182131" w:rsidP="00EA2E9A">
            <w:pPr>
              <w:spacing w:after="0" w:line="240" w:lineRule="auto"/>
              <w:rPr>
                <w:rFonts w:asciiTheme="majorBidi" w:eastAsia="SimSun" w:hAnsiTheme="majorBidi" w:cstheme="majorBidi"/>
                <w:i/>
                <w:iCs/>
                <w:color w:val="000000"/>
                <w:sz w:val="24"/>
                <w:szCs w:val="24"/>
                <w:lang w:val="en-US" w:eastAsia="en-GB"/>
              </w:rPr>
            </w:pPr>
            <w:r w:rsidRPr="00AB75D4">
              <w:rPr>
                <w:rFonts w:asciiTheme="majorBidi" w:eastAsia="SimSun" w:hAnsiTheme="majorBidi" w:cstheme="majorBidi"/>
                <w:i/>
                <w:iCs/>
                <w:color w:val="000000"/>
                <w:sz w:val="24"/>
                <w:szCs w:val="24"/>
                <w:lang w:val="en-US" w:eastAsia="en-GB"/>
              </w:rPr>
              <w:t xml:space="preserve">Panel2: </w:t>
            </w:r>
            <w:r w:rsidRPr="00AB75D4">
              <w:rPr>
                <w:rFonts w:ascii="Times New Roman" w:eastAsia="Times New Roman" w:hAnsi="Times New Roman" w:cs="Times New Roman"/>
                <w:i/>
                <w:iCs/>
                <w:sz w:val="24"/>
                <w:szCs w:val="24"/>
              </w:rPr>
              <w:t>Controls</w:t>
            </w:r>
          </w:p>
        </w:tc>
      </w:tr>
      <w:tr w:rsidR="00182131" w:rsidRPr="00AB75D4" w14:paraId="5C3FFA3E" w14:textId="77777777" w:rsidTr="00182131">
        <w:trPr>
          <w:trHeight w:val="231"/>
        </w:trPr>
        <w:tc>
          <w:tcPr>
            <w:tcW w:w="2410" w:type="dxa"/>
          </w:tcPr>
          <w:p w14:paraId="24EE0DF3" w14:textId="0CD21AFD" w:rsidR="00182131" w:rsidRPr="00AB75D4" w:rsidRDefault="00182131" w:rsidP="00462406">
            <w:pPr>
              <w:spacing w:after="0" w:line="240" w:lineRule="auto"/>
              <w:ind w:right="-173"/>
              <w:jc w:val="both"/>
              <w:rPr>
                <w:rFonts w:asciiTheme="majorBidi" w:eastAsia="SimSun" w:hAnsiTheme="majorBidi" w:cstheme="majorBidi"/>
                <w:sz w:val="24"/>
                <w:szCs w:val="24"/>
                <w:lang w:val="en-US" w:eastAsia="zh-CN"/>
              </w:rPr>
            </w:pPr>
            <w:r w:rsidRPr="00AB75D4">
              <w:rPr>
                <w:rFonts w:asciiTheme="majorBidi" w:eastAsia="SimSun" w:hAnsiTheme="majorBidi" w:cstheme="majorBidi"/>
                <w:sz w:val="24"/>
                <w:szCs w:val="24"/>
                <w:lang w:val="en-US" w:eastAsia="zh-CN"/>
              </w:rPr>
              <w:t xml:space="preserve">  G</w:t>
            </w:r>
            <w:r w:rsidR="00674DE4">
              <w:rPr>
                <w:rFonts w:asciiTheme="majorBidi" w:eastAsia="SimSun" w:hAnsiTheme="majorBidi" w:cstheme="majorBidi"/>
                <w:sz w:val="24"/>
                <w:szCs w:val="24"/>
                <w:lang w:val="en-US" w:eastAsia="zh-CN"/>
              </w:rPr>
              <w:t>B</w:t>
            </w:r>
            <w:r w:rsidRPr="00AB75D4">
              <w:rPr>
                <w:rFonts w:asciiTheme="majorBidi" w:eastAsia="SimSun" w:hAnsiTheme="majorBidi" w:cstheme="majorBidi"/>
                <w:sz w:val="24"/>
                <w:szCs w:val="24"/>
                <w:lang w:val="en-US" w:eastAsia="zh-CN"/>
              </w:rPr>
              <w:t>Z</w:t>
            </w:r>
            <w:r w:rsidR="00674DE4">
              <w:rPr>
                <w:rFonts w:asciiTheme="majorBidi" w:eastAsia="SimSun" w:hAnsiTheme="majorBidi" w:cstheme="majorBidi"/>
                <w:sz w:val="24"/>
                <w:szCs w:val="24"/>
                <w:lang w:val="en-US" w:eastAsia="zh-CN"/>
              </w:rPr>
              <w:t>E</w:t>
            </w:r>
            <w:r w:rsidRPr="00AB75D4">
              <w:rPr>
                <w:rFonts w:asciiTheme="majorBidi" w:eastAsia="SimSun" w:hAnsiTheme="majorBidi" w:cstheme="majorBidi"/>
                <w:sz w:val="24"/>
                <w:szCs w:val="24"/>
                <w:lang w:val="en-US" w:eastAsia="zh-CN"/>
              </w:rPr>
              <w:t xml:space="preserve"> (no.)</w:t>
            </w:r>
          </w:p>
        </w:tc>
        <w:tc>
          <w:tcPr>
            <w:tcW w:w="996" w:type="dxa"/>
            <w:noWrap/>
            <w:vAlign w:val="bottom"/>
          </w:tcPr>
          <w:p w14:paraId="5B99EA3C" w14:textId="77777777" w:rsidR="00182131" w:rsidRPr="00AB75D4" w:rsidRDefault="00182131" w:rsidP="00EA2E9A">
            <w:pPr>
              <w:spacing w:after="0" w:line="240" w:lineRule="auto"/>
              <w:rPr>
                <w:rFonts w:asciiTheme="majorBidi" w:hAnsiTheme="majorBidi" w:cstheme="majorBidi"/>
                <w:sz w:val="24"/>
                <w:szCs w:val="24"/>
              </w:rPr>
            </w:pPr>
            <w:r w:rsidRPr="00AB75D4">
              <w:rPr>
                <w:rFonts w:asciiTheme="majorBidi" w:eastAsia="SimSun" w:hAnsiTheme="majorBidi" w:cstheme="majorBidi"/>
                <w:color w:val="000000"/>
                <w:sz w:val="24"/>
                <w:szCs w:val="24"/>
                <w:lang w:val="en-US" w:eastAsia="zh-CN"/>
              </w:rPr>
              <w:t>23.49</w:t>
            </w:r>
          </w:p>
        </w:tc>
        <w:tc>
          <w:tcPr>
            <w:tcW w:w="1276" w:type="dxa"/>
            <w:noWrap/>
            <w:vAlign w:val="bottom"/>
          </w:tcPr>
          <w:p w14:paraId="3ABBDA29"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23.00</w:t>
            </w:r>
          </w:p>
        </w:tc>
        <w:tc>
          <w:tcPr>
            <w:tcW w:w="1134" w:type="dxa"/>
            <w:noWrap/>
            <w:vAlign w:val="bottom"/>
          </w:tcPr>
          <w:p w14:paraId="53AD32FB"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4.86</w:t>
            </w:r>
          </w:p>
        </w:tc>
        <w:tc>
          <w:tcPr>
            <w:tcW w:w="1078" w:type="dxa"/>
            <w:noWrap/>
            <w:vAlign w:val="bottom"/>
          </w:tcPr>
          <w:p w14:paraId="3689AA17"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11.00</w:t>
            </w:r>
          </w:p>
        </w:tc>
        <w:tc>
          <w:tcPr>
            <w:tcW w:w="1176" w:type="dxa"/>
            <w:noWrap/>
            <w:vAlign w:val="bottom"/>
          </w:tcPr>
          <w:p w14:paraId="5A4F0534"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39.00</w:t>
            </w:r>
          </w:p>
        </w:tc>
        <w:tc>
          <w:tcPr>
            <w:tcW w:w="1236" w:type="dxa"/>
          </w:tcPr>
          <w:p w14:paraId="2487755B" w14:textId="77777777" w:rsidR="00182131" w:rsidRPr="00AB75D4" w:rsidRDefault="00182131" w:rsidP="00EA2E9A">
            <w:pPr>
              <w:spacing w:after="0" w:line="240" w:lineRule="auto"/>
              <w:rPr>
                <w:rFonts w:asciiTheme="majorBidi" w:hAnsiTheme="majorBidi" w:cstheme="majorBidi"/>
                <w:sz w:val="24"/>
                <w:szCs w:val="24"/>
              </w:rPr>
            </w:pPr>
            <w:r w:rsidRPr="00AB75D4">
              <w:rPr>
                <w:rFonts w:asciiTheme="majorBidi" w:eastAsia="SimSun" w:hAnsiTheme="majorBidi" w:cstheme="majorBidi"/>
                <w:color w:val="000000"/>
                <w:sz w:val="24"/>
                <w:szCs w:val="24"/>
                <w:lang w:val="en-US" w:eastAsia="en-GB"/>
              </w:rPr>
              <w:t>2.72</w:t>
            </w:r>
            <w:r w:rsidRPr="00AB75D4">
              <w:rPr>
                <w:rFonts w:asciiTheme="majorBidi" w:eastAsia="SimSun" w:hAnsiTheme="majorBidi" w:cstheme="majorBidi"/>
                <w:color w:val="000000"/>
                <w:sz w:val="24"/>
                <w:szCs w:val="24"/>
                <w:vertAlign w:val="superscript"/>
                <w:lang w:val="en-US" w:eastAsia="en-GB"/>
              </w:rPr>
              <w:t>***</w:t>
            </w:r>
          </w:p>
        </w:tc>
        <w:tc>
          <w:tcPr>
            <w:tcW w:w="1236" w:type="dxa"/>
          </w:tcPr>
          <w:p w14:paraId="7BADF940" w14:textId="77777777" w:rsidR="00182131" w:rsidRPr="00AB75D4" w:rsidRDefault="00182131" w:rsidP="00EA2E9A">
            <w:pPr>
              <w:spacing w:after="0" w:line="240" w:lineRule="auto"/>
              <w:rPr>
                <w:rFonts w:asciiTheme="majorBidi" w:hAnsiTheme="majorBidi" w:cstheme="majorBidi"/>
                <w:sz w:val="24"/>
                <w:szCs w:val="24"/>
              </w:rPr>
            </w:pPr>
            <w:r w:rsidRPr="00AB75D4">
              <w:rPr>
                <w:rFonts w:asciiTheme="majorBidi" w:eastAsia="SimSun" w:hAnsiTheme="majorBidi" w:cstheme="majorBidi"/>
                <w:color w:val="000000"/>
                <w:sz w:val="24"/>
                <w:szCs w:val="24"/>
                <w:lang w:val="en-US" w:eastAsia="en-GB"/>
              </w:rPr>
              <w:t>3.00</w:t>
            </w:r>
            <w:r w:rsidRPr="00AB75D4">
              <w:rPr>
                <w:rFonts w:asciiTheme="majorBidi" w:eastAsia="SimSun" w:hAnsiTheme="majorBidi" w:cstheme="majorBidi"/>
                <w:color w:val="000000"/>
                <w:sz w:val="24"/>
                <w:szCs w:val="24"/>
                <w:vertAlign w:val="superscript"/>
                <w:lang w:val="en-US" w:eastAsia="en-GB"/>
              </w:rPr>
              <w:t>***</w:t>
            </w:r>
          </w:p>
        </w:tc>
      </w:tr>
      <w:tr w:rsidR="00182131" w:rsidRPr="00AB75D4" w14:paraId="21CEDE97" w14:textId="77777777" w:rsidTr="00182131">
        <w:trPr>
          <w:trHeight w:val="231"/>
        </w:trPr>
        <w:tc>
          <w:tcPr>
            <w:tcW w:w="2410" w:type="dxa"/>
          </w:tcPr>
          <w:p w14:paraId="1D700F3E" w14:textId="761FC39D" w:rsidR="00182131" w:rsidRPr="00AB75D4" w:rsidRDefault="00182131" w:rsidP="00462406">
            <w:pPr>
              <w:spacing w:after="0" w:line="240" w:lineRule="auto"/>
              <w:ind w:right="-173"/>
              <w:jc w:val="both"/>
              <w:rPr>
                <w:rFonts w:asciiTheme="majorBidi" w:eastAsia="SimSun" w:hAnsiTheme="majorBidi" w:cstheme="majorBidi"/>
                <w:sz w:val="24"/>
                <w:szCs w:val="24"/>
                <w:lang w:val="en-US" w:eastAsia="zh-CN"/>
              </w:rPr>
            </w:pPr>
            <w:r w:rsidRPr="00AB75D4">
              <w:rPr>
                <w:rFonts w:asciiTheme="majorBidi" w:eastAsia="SimSun" w:hAnsiTheme="majorBidi" w:cstheme="majorBidi"/>
                <w:sz w:val="24"/>
                <w:szCs w:val="24"/>
                <w:lang w:val="en-US" w:eastAsia="zh-CN"/>
              </w:rPr>
              <w:t xml:space="preserve">  A</w:t>
            </w:r>
            <w:r w:rsidR="00674DE4">
              <w:rPr>
                <w:rFonts w:asciiTheme="majorBidi" w:eastAsia="SimSun" w:hAnsiTheme="majorBidi" w:cstheme="majorBidi"/>
                <w:sz w:val="24"/>
                <w:szCs w:val="24"/>
                <w:lang w:val="en-US" w:eastAsia="zh-CN"/>
              </w:rPr>
              <w:t>F</w:t>
            </w:r>
            <w:r w:rsidRPr="00AB75D4">
              <w:rPr>
                <w:rFonts w:asciiTheme="majorBidi" w:eastAsia="SimSun" w:hAnsiTheme="majorBidi" w:cstheme="majorBidi"/>
                <w:sz w:val="24"/>
                <w:szCs w:val="24"/>
                <w:lang w:val="en-US" w:eastAsia="zh-CN"/>
              </w:rPr>
              <w:t>Z</w:t>
            </w:r>
            <w:r w:rsidR="00674DE4">
              <w:rPr>
                <w:rFonts w:asciiTheme="majorBidi" w:eastAsia="SimSun" w:hAnsiTheme="majorBidi" w:cstheme="majorBidi"/>
                <w:sz w:val="24"/>
                <w:szCs w:val="24"/>
                <w:lang w:val="en-US" w:eastAsia="zh-CN"/>
              </w:rPr>
              <w:t>E</w:t>
            </w:r>
            <w:r w:rsidRPr="00AB75D4">
              <w:rPr>
                <w:rFonts w:asciiTheme="majorBidi" w:eastAsia="SimSun" w:hAnsiTheme="majorBidi" w:cstheme="majorBidi"/>
                <w:sz w:val="24"/>
                <w:szCs w:val="24"/>
                <w:lang w:val="en-US" w:eastAsia="zh-CN"/>
              </w:rPr>
              <w:t xml:space="preserve"> (%)</w:t>
            </w:r>
          </w:p>
        </w:tc>
        <w:tc>
          <w:tcPr>
            <w:tcW w:w="996" w:type="dxa"/>
            <w:noWrap/>
            <w:vAlign w:val="bottom"/>
          </w:tcPr>
          <w:p w14:paraId="6F057485" w14:textId="77777777" w:rsidR="00182131" w:rsidRPr="00AB75D4" w:rsidRDefault="00182131" w:rsidP="00EA2E9A">
            <w:pPr>
              <w:spacing w:after="0" w:line="240" w:lineRule="auto"/>
              <w:rPr>
                <w:rFonts w:asciiTheme="majorBidi" w:hAnsiTheme="majorBidi" w:cstheme="majorBidi"/>
                <w:sz w:val="24"/>
                <w:szCs w:val="24"/>
              </w:rPr>
            </w:pPr>
            <w:r w:rsidRPr="00AB75D4">
              <w:rPr>
                <w:rFonts w:asciiTheme="majorBidi" w:eastAsia="SimSun" w:hAnsiTheme="majorBidi" w:cstheme="majorBidi"/>
                <w:color w:val="000000"/>
                <w:sz w:val="24"/>
                <w:szCs w:val="24"/>
                <w:lang w:val="en-US" w:eastAsia="zh-CN"/>
              </w:rPr>
              <w:t>73.50</w:t>
            </w:r>
          </w:p>
        </w:tc>
        <w:tc>
          <w:tcPr>
            <w:tcW w:w="1276" w:type="dxa"/>
            <w:noWrap/>
            <w:vAlign w:val="bottom"/>
          </w:tcPr>
          <w:p w14:paraId="3F53F898"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100.00</w:t>
            </w:r>
          </w:p>
        </w:tc>
        <w:tc>
          <w:tcPr>
            <w:tcW w:w="1134" w:type="dxa"/>
            <w:noWrap/>
            <w:vAlign w:val="bottom"/>
          </w:tcPr>
          <w:p w14:paraId="1374B6D0"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44.16</w:t>
            </w:r>
          </w:p>
        </w:tc>
        <w:tc>
          <w:tcPr>
            <w:tcW w:w="1078" w:type="dxa"/>
            <w:noWrap/>
            <w:vAlign w:val="bottom"/>
          </w:tcPr>
          <w:p w14:paraId="7F9609FF"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0.00</w:t>
            </w:r>
          </w:p>
        </w:tc>
        <w:tc>
          <w:tcPr>
            <w:tcW w:w="1176" w:type="dxa"/>
            <w:noWrap/>
            <w:vAlign w:val="bottom"/>
          </w:tcPr>
          <w:p w14:paraId="3A0A83EF"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100.00</w:t>
            </w:r>
          </w:p>
        </w:tc>
        <w:tc>
          <w:tcPr>
            <w:tcW w:w="1236" w:type="dxa"/>
          </w:tcPr>
          <w:p w14:paraId="40742AE3" w14:textId="77777777" w:rsidR="00182131" w:rsidRPr="00AB75D4" w:rsidRDefault="00182131" w:rsidP="00EA2E9A">
            <w:pPr>
              <w:spacing w:after="0" w:line="240" w:lineRule="auto"/>
              <w:rPr>
                <w:rFonts w:asciiTheme="majorBidi" w:hAnsiTheme="majorBidi" w:cstheme="majorBidi"/>
                <w:sz w:val="24"/>
                <w:szCs w:val="24"/>
              </w:rPr>
            </w:pPr>
            <w:r w:rsidRPr="00AB75D4">
              <w:rPr>
                <w:rFonts w:asciiTheme="majorBidi" w:eastAsia="SimSun" w:hAnsiTheme="majorBidi" w:cstheme="majorBidi"/>
                <w:color w:val="000000"/>
                <w:sz w:val="24"/>
                <w:szCs w:val="24"/>
                <w:lang w:val="en-US" w:eastAsia="en-GB"/>
              </w:rPr>
              <w:t>26.40</w:t>
            </w:r>
            <w:r w:rsidRPr="00AB75D4">
              <w:rPr>
                <w:rFonts w:asciiTheme="majorBidi" w:eastAsia="SimSun" w:hAnsiTheme="majorBidi" w:cstheme="majorBidi"/>
                <w:color w:val="000000"/>
                <w:sz w:val="24"/>
                <w:szCs w:val="24"/>
                <w:vertAlign w:val="superscript"/>
                <w:lang w:val="en-US" w:eastAsia="en-GB"/>
              </w:rPr>
              <w:t>***</w:t>
            </w:r>
          </w:p>
        </w:tc>
        <w:tc>
          <w:tcPr>
            <w:tcW w:w="1236" w:type="dxa"/>
          </w:tcPr>
          <w:p w14:paraId="439E0FBF" w14:textId="77777777" w:rsidR="00182131" w:rsidRPr="00AB75D4" w:rsidRDefault="00182131" w:rsidP="00EA2E9A">
            <w:pPr>
              <w:spacing w:after="0" w:line="240" w:lineRule="auto"/>
              <w:rPr>
                <w:rFonts w:asciiTheme="majorBidi" w:hAnsiTheme="majorBidi" w:cstheme="majorBidi"/>
                <w:sz w:val="24"/>
                <w:szCs w:val="24"/>
              </w:rPr>
            </w:pPr>
            <w:r w:rsidRPr="00AB75D4">
              <w:rPr>
                <w:rFonts w:asciiTheme="majorBidi" w:eastAsia="SimSun" w:hAnsiTheme="majorBidi" w:cstheme="majorBidi"/>
                <w:color w:val="000000"/>
                <w:sz w:val="24"/>
                <w:szCs w:val="24"/>
                <w:lang w:val="en-US" w:eastAsia="en-GB"/>
              </w:rPr>
              <w:t>0.00</w:t>
            </w:r>
            <w:r w:rsidRPr="00AB75D4">
              <w:rPr>
                <w:rFonts w:asciiTheme="majorBidi" w:eastAsia="SimSun" w:hAnsiTheme="majorBidi" w:cstheme="majorBidi"/>
                <w:color w:val="000000"/>
                <w:sz w:val="24"/>
                <w:szCs w:val="24"/>
                <w:vertAlign w:val="superscript"/>
                <w:lang w:val="en-US" w:eastAsia="en-GB"/>
              </w:rPr>
              <w:t>***</w:t>
            </w:r>
          </w:p>
        </w:tc>
      </w:tr>
      <w:tr w:rsidR="00182131" w:rsidRPr="00AB75D4" w14:paraId="386B285D" w14:textId="77777777" w:rsidTr="00182131">
        <w:trPr>
          <w:trHeight w:val="231"/>
        </w:trPr>
        <w:tc>
          <w:tcPr>
            <w:tcW w:w="2410" w:type="dxa"/>
          </w:tcPr>
          <w:p w14:paraId="183E1648" w14:textId="6C5E42E0" w:rsidR="00182131" w:rsidRPr="00AB75D4" w:rsidRDefault="00182131" w:rsidP="00674DE4">
            <w:pPr>
              <w:spacing w:after="0" w:line="240" w:lineRule="auto"/>
              <w:ind w:right="-173"/>
              <w:jc w:val="both"/>
              <w:rPr>
                <w:rFonts w:asciiTheme="majorBidi" w:eastAsia="SimSun" w:hAnsiTheme="majorBidi" w:cstheme="majorBidi"/>
                <w:sz w:val="24"/>
                <w:szCs w:val="24"/>
                <w:lang w:val="en-US" w:eastAsia="zh-CN"/>
              </w:rPr>
            </w:pPr>
            <w:r w:rsidRPr="00AB75D4">
              <w:rPr>
                <w:rFonts w:asciiTheme="majorBidi" w:eastAsia="SimSun" w:hAnsiTheme="majorBidi" w:cstheme="majorBidi"/>
                <w:sz w:val="24"/>
                <w:szCs w:val="24"/>
                <w:lang w:val="en-US" w:eastAsia="zh-CN"/>
              </w:rPr>
              <w:t xml:space="preserve">  </w:t>
            </w:r>
            <w:r w:rsidR="00674DE4">
              <w:rPr>
                <w:rFonts w:asciiTheme="majorBidi" w:eastAsia="SimSun" w:hAnsiTheme="majorBidi" w:cstheme="majorBidi"/>
                <w:sz w:val="24"/>
                <w:szCs w:val="24"/>
                <w:lang w:val="en-US" w:eastAsia="zh-CN"/>
              </w:rPr>
              <w:t>HEIAGE</w:t>
            </w:r>
            <w:r w:rsidR="00674DE4" w:rsidRPr="00AB75D4">
              <w:rPr>
                <w:rFonts w:asciiTheme="majorBidi" w:eastAsia="SimSun" w:hAnsiTheme="majorBidi" w:cstheme="majorBidi"/>
                <w:sz w:val="24"/>
                <w:szCs w:val="24"/>
                <w:lang w:val="en-US" w:eastAsia="zh-CN"/>
              </w:rPr>
              <w:t xml:space="preserve"> </w:t>
            </w:r>
            <w:r w:rsidRPr="00AB75D4">
              <w:rPr>
                <w:rFonts w:asciiTheme="majorBidi" w:eastAsia="SimSun" w:hAnsiTheme="majorBidi" w:cstheme="majorBidi"/>
                <w:sz w:val="24"/>
                <w:szCs w:val="24"/>
                <w:lang w:val="en-US" w:eastAsia="zh-CN"/>
              </w:rPr>
              <w:t>(years)</w:t>
            </w:r>
          </w:p>
        </w:tc>
        <w:tc>
          <w:tcPr>
            <w:tcW w:w="996" w:type="dxa"/>
            <w:noWrap/>
            <w:vAlign w:val="bottom"/>
          </w:tcPr>
          <w:p w14:paraId="20E99050"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hAnsiTheme="majorBidi" w:cstheme="majorBidi"/>
                <w:sz w:val="24"/>
                <w:szCs w:val="24"/>
              </w:rPr>
              <w:t>85.29</w:t>
            </w:r>
          </w:p>
        </w:tc>
        <w:tc>
          <w:tcPr>
            <w:tcW w:w="1276" w:type="dxa"/>
            <w:noWrap/>
            <w:vAlign w:val="bottom"/>
          </w:tcPr>
          <w:p w14:paraId="3B5223D4"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43.00</w:t>
            </w:r>
          </w:p>
        </w:tc>
        <w:tc>
          <w:tcPr>
            <w:tcW w:w="1134" w:type="dxa"/>
            <w:noWrap/>
            <w:vAlign w:val="bottom"/>
          </w:tcPr>
          <w:p w14:paraId="593562E4"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143.98</w:t>
            </w:r>
          </w:p>
        </w:tc>
        <w:tc>
          <w:tcPr>
            <w:tcW w:w="1078" w:type="dxa"/>
            <w:noWrap/>
            <w:vAlign w:val="bottom"/>
          </w:tcPr>
          <w:p w14:paraId="701FADBA"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2.00</w:t>
            </w:r>
          </w:p>
        </w:tc>
        <w:tc>
          <w:tcPr>
            <w:tcW w:w="1176" w:type="dxa"/>
            <w:noWrap/>
            <w:vAlign w:val="bottom"/>
          </w:tcPr>
          <w:p w14:paraId="0A589DCD"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918.00</w:t>
            </w:r>
          </w:p>
        </w:tc>
        <w:tc>
          <w:tcPr>
            <w:tcW w:w="1236" w:type="dxa"/>
          </w:tcPr>
          <w:p w14:paraId="04AA843D" w14:textId="31DDEFEC" w:rsidR="00182131" w:rsidRPr="00AB75D4" w:rsidRDefault="00182131" w:rsidP="00EA2E9A">
            <w:pPr>
              <w:spacing w:after="0" w:line="240" w:lineRule="auto"/>
              <w:rPr>
                <w:rFonts w:asciiTheme="majorBidi" w:eastAsia="SimSun" w:hAnsiTheme="majorBidi" w:cstheme="majorBidi"/>
                <w:color w:val="000000"/>
                <w:sz w:val="24"/>
                <w:szCs w:val="24"/>
                <w:lang w:val="en-US" w:eastAsia="en-GB"/>
              </w:rPr>
            </w:pPr>
            <w:r w:rsidRPr="00AB75D4">
              <w:rPr>
                <w:rFonts w:asciiTheme="majorBidi" w:hAnsiTheme="majorBidi" w:cstheme="majorBidi"/>
                <w:sz w:val="24"/>
                <w:szCs w:val="24"/>
              </w:rPr>
              <w:t>122.4</w:t>
            </w:r>
            <w:r w:rsidR="00410F71">
              <w:rPr>
                <w:rFonts w:asciiTheme="majorBidi" w:hAnsiTheme="majorBidi" w:cstheme="majorBidi"/>
                <w:sz w:val="24"/>
                <w:szCs w:val="24"/>
              </w:rPr>
              <w:t>5</w:t>
            </w:r>
            <w:r w:rsidRPr="00AB75D4">
              <w:rPr>
                <w:rFonts w:asciiTheme="majorBidi" w:hAnsiTheme="majorBidi" w:cstheme="majorBidi"/>
                <w:sz w:val="24"/>
                <w:szCs w:val="24"/>
                <w:vertAlign w:val="superscript"/>
              </w:rPr>
              <w:t>***</w:t>
            </w:r>
          </w:p>
        </w:tc>
        <w:tc>
          <w:tcPr>
            <w:tcW w:w="1236" w:type="dxa"/>
          </w:tcPr>
          <w:p w14:paraId="1C9FC592"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en-GB"/>
              </w:rPr>
            </w:pPr>
            <w:r w:rsidRPr="00AB75D4">
              <w:rPr>
                <w:rFonts w:asciiTheme="majorBidi" w:hAnsiTheme="majorBidi" w:cstheme="majorBidi"/>
                <w:sz w:val="24"/>
                <w:szCs w:val="24"/>
              </w:rPr>
              <w:t>77.00</w:t>
            </w:r>
            <w:r w:rsidRPr="00AB75D4">
              <w:rPr>
                <w:rFonts w:asciiTheme="majorBidi" w:hAnsiTheme="majorBidi" w:cstheme="majorBidi"/>
                <w:sz w:val="24"/>
                <w:szCs w:val="24"/>
                <w:vertAlign w:val="superscript"/>
              </w:rPr>
              <w:t>***</w:t>
            </w:r>
          </w:p>
        </w:tc>
      </w:tr>
      <w:tr w:rsidR="00182131" w:rsidRPr="00AB75D4" w14:paraId="21A77C58" w14:textId="77777777" w:rsidTr="00182131">
        <w:trPr>
          <w:trHeight w:val="231"/>
        </w:trPr>
        <w:tc>
          <w:tcPr>
            <w:tcW w:w="2410" w:type="dxa"/>
          </w:tcPr>
          <w:p w14:paraId="01F845B7" w14:textId="538AC764" w:rsidR="00182131" w:rsidRPr="00AB75D4" w:rsidRDefault="00182131" w:rsidP="00674DE4">
            <w:pPr>
              <w:spacing w:after="0" w:line="240" w:lineRule="auto"/>
              <w:ind w:right="-173"/>
              <w:jc w:val="both"/>
              <w:rPr>
                <w:rFonts w:asciiTheme="majorBidi" w:eastAsia="SimSun" w:hAnsiTheme="majorBidi" w:cstheme="majorBidi"/>
                <w:sz w:val="24"/>
                <w:szCs w:val="24"/>
                <w:lang w:val="en-US" w:eastAsia="zh-CN"/>
              </w:rPr>
            </w:pPr>
            <w:r w:rsidRPr="00AB75D4">
              <w:rPr>
                <w:rFonts w:asciiTheme="majorBidi" w:eastAsia="SimSun" w:hAnsiTheme="majorBidi" w:cstheme="majorBidi"/>
                <w:sz w:val="24"/>
                <w:szCs w:val="24"/>
                <w:lang w:val="en-US" w:eastAsia="zh-CN"/>
              </w:rPr>
              <w:t xml:space="preserve">  </w:t>
            </w:r>
            <w:r w:rsidR="00674DE4">
              <w:rPr>
                <w:rFonts w:asciiTheme="majorBidi" w:eastAsia="SimSun" w:hAnsiTheme="majorBidi" w:cstheme="majorBidi"/>
                <w:sz w:val="24"/>
                <w:szCs w:val="24"/>
                <w:lang w:val="en-US" w:eastAsia="zh-CN"/>
              </w:rPr>
              <w:t>HEI</w:t>
            </w:r>
            <w:r w:rsidR="007C4834">
              <w:rPr>
                <w:rFonts w:asciiTheme="majorBidi" w:eastAsia="SimSun" w:hAnsiTheme="majorBidi" w:cstheme="majorBidi"/>
                <w:sz w:val="24"/>
                <w:szCs w:val="24"/>
                <w:lang w:val="en-US" w:eastAsia="zh-CN"/>
              </w:rPr>
              <w:t>Z</w:t>
            </w:r>
            <w:r w:rsidR="00674DE4">
              <w:rPr>
                <w:rFonts w:asciiTheme="majorBidi" w:eastAsia="SimSun" w:hAnsiTheme="majorBidi" w:cstheme="majorBidi"/>
                <w:sz w:val="24"/>
                <w:szCs w:val="24"/>
                <w:lang w:val="en-US" w:eastAsia="zh-CN"/>
              </w:rPr>
              <w:t>E</w:t>
            </w:r>
            <w:r w:rsidR="00674DE4" w:rsidRPr="00AB75D4">
              <w:rPr>
                <w:rFonts w:asciiTheme="majorBidi" w:eastAsia="SimSun" w:hAnsiTheme="majorBidi" w:cstheme="majorBidi"/>
                <w:sz w:val="24"/>
                <w:szCs w:val="24"/>
                <w:lang w:val="en-US" w:eastAsia="zh-CN"/>
              </w:rPr>
              <w:t xml:space="preserve"> </w:t>
            </w:r>
            <w:r w:rsidRPr="00AB75D4">
              <w:rPr>
                <w:rFonts w:asciiTheme="majorBidi" w:eastAsia="SimSun" w:hAnsiTheme="majorBidi" w:cstheme="majorBidi"/>
                <w:sz w:val="24"/>
                <w:szCs w:val="24"/>
                <w:lang w:val="en-US" w:eastAsia="zh-CN"/>
              </w:rPr>
              <w:t>(£m)</w:t>
            </w:r>
          </w:p>
        </w:tc>
        <w:tc>
          <w:tcPr>
            <w:tcW w:w="996" w:type="dxa"/>
            <w:noWrap/>
            <w:vAlign w:val="bottom"/>
          </w:tcPr>
          <w:p w14:paraId="2C972D5C" w14:textId="0B8F5128"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hAnsiTheme="majorBidi" w:cstheme="majorBidi"/>
                <w:sz w:val="24"/>
                <w:szCs w:val="24"/>
              </w:rPr>
              <w:t>330.3</w:t>
            </w:r>
            <w:r w:rsidR="00410F71">
              <w:rPr>
                <w:rFonts w:asciiTheme="majorBidi" w:hAnsiTheme="majorBidi" w:cstheme="majorBidi"/>
                <w:sz w:val="24"/>
                <w:szCs w:val="24"/>
              </w:rPr>
              <w:t>3</w:t>
            </w:r>
          </w:p>
        </w:tc>
        <w:tc>
          <w:tcPr>
            <w:tcW w:w="1276" w:type="dxa"/>
            <w:noWrap/>
            <w:vAlign w:val="bottom"/>
          </w:tcPr>
          <w:p w14:paraId="3EB3FEE3" w14:textId="39B93B2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hAnsiTheme="majorBidi" w:cstheme="majorBidi"/>
                <w:sz w:val="24"/>
                <w:szCs w:val="24"/>
              </w:rPr>
              <w:t>228.2</w:t>
            </w:r>
            <w:r w:rsidR="00410F71">
              <w:rPr>
                <w:rFonts w:asciiTheme="majorBidi" w:hAnsiTheme="majorBidi" w:cstheme="majorBidi"/>
                <w:sz w:val="24"/>
                <w:szCs w:val="24"/>
              </w:rPr>
              <w:t>6</w:t>
            </w:r>
          </w:p>
        </w:tc>
        <w:tc>
          <w:tcPr>
            <w:tcW w:w="1134" w:type="dxa"/>
            <w:noWrap/>
            <w:vAlign w:val="bottom"/>
          </w:tcPr>
          <w:p w14:paraId="1A461A7E" w14:textId="4F45E84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hAnsiTheme="majorBidi" w:cstheme="majorBidi"/>
                <w:sz w:val="24"/>
                <w:szCs w:val="24"/>
              </w:rPr>
              <w:t>375.92</w:t>
            </w:r>
          </w:p>
        </w:tc>
        <w:tc>
          <w:tcPr>
            <w:tcW w:w="1078" w:type="dxa"/>
            <w:noWrap/>
          </w:tcPr>
          <w:p w14:paraId="0E7306F4" w14:textId="11A32B2A" w:rsidR="00182131" w:rsidRPr="00AB75D4" w:rsidRDefault="00182131" w:rsidP="00EA2E9A">
            <w:pPr>
              <w:spacing w:after="0" w:line="240" w:lineRule="auto"/>
              <w:rPr>
                <w:rFonts w:asciiTheme="majorBidi" w:hAnsiTheme="majorBidi" w:cstheme="majorBidi"/>
                <w:sz w:val="24"/>
                <w:szCs w:val="24"/>
              </w:rPr>
            </w:pPr>
            <w:r w:rsidRPr="00AB75D4">
              <w:rPr>
                <w:rFonts w:asciiTheme="majorBidi" w:hAnsiTheme="majorBidi" w:cstheme="majorBidi"/>
                <w:sz w:val="24"/>
                <w:szCs w:val="24"/>
              </w:rPr>
              <w:t>2.7</w:t>
            </w:r>
            <w:r w:rsidR="00410F71">
              <w:rPr>
                <w:rFonts w:asciiTheme="majorBidi" w:hAnsiTheme="majorBidi" w:cstheme="majorBidi"/>
                <w:sz w:val="24"/>
                <w:szCs w:val="24"/>
              </w:rPr>
              <w:t>8</w:t>
            </w:r>
          </w:p>
        </w:tc>
        <w:tc>
          <w:tcPr>
            <w:tcW w:w="1176" w:type="dxa"/>
            <w:noWrap/>
            <w:vAlign w:val="bottom"/>
          </w:tcPr>
          <w:p w14:paraId="6DDE7470" w14:textId="2E9783D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hAnsiTheme="majorBidi" w:cstheme="majorBidi"/>
                <w:sz w:val="24"/>
                <w:szCs w:val="24"/>
              </w:rPr>
              <w:t>3,033.40</w:t>
            </w:r>
          </w:p>
        </w:tc>
        <w:tc>
          <w:tcPr>
            <w:tcW w:w="1236" w:type="dxa"/>
          </w:tcPr>
          <w:p w14:paraId="0A25D691" w14:textId="3131F7D8" w:rsidR="00182131" w:rsidRPr="00AB75D4" w:rsidRDefault="00182131" w:rsidP="00EA2E9A">
            <w:pPr>
              <w:spacing w:after="0" w:line="240" w:lineRule="auto"/>
              <w:rPr>
                <w:rFonts w:asciiTheme="majorBidi" w:eastAsia="SimSun" w:hAnsiTheme="majorBidi" w:cstheme="majorBidi"/>
                <w:color w:val="000000"/>
                <w:sz w:val="24"/>
                <w:szCs w:val="24"/>
                <w:lang w:val="en-US" w:eastAsia="en-GB"/>
              </w:rPr>
            </w:pPr>
            <w:r w:rsidRPr="00AB75D4">
              <w:rPr>
                <w:rFonts w:asciiTheme="majorBidi" w:hAnsiTheme="majorBidi" w:cstheme="majorBidi"/>
                <w:sz w:val="24"/>
                <w:szCs w:val="24"/>
              </w:rPr>
              <w:t>222.90</w:t>
            </w:r>
            <w:r w:rsidRPr="00AB75D4">
              <w:rPr>
                <w:rFonts w:asciiTheme="majorBidi" w:hAnsiTheme="majorBidi" w:cstheme="majorBidi"/>
                <w:sz w:val="24"/>
                <w:szCs w:val="24"/>
                <w:vertAlign w:val="superscript"/>
              </w:rPr>
              <w:t>***</w:t>
            </w:r>
          </w:p>
        </w:tc>
        <w:tc>
          <w:tcPr>
            <w:tcW w:w="1236" w:type="dxa"/>
          </w:tcPr>
          <w:p w14:paraId="68A51F1D" w14:textId="093F244E" w:rsidR="00182131" w:rsidRPr="00AB75D4" w:rsidRDefault="00182131" w:rsidP="00EA2E9A">
            <w:pPr>
              <w:spacing w:after="0" w:line="240" w:lineRule="auto"/>
              <w:rPr>
                <w:rFonts w:asciiTheme="majorBidi" w:eastAsia="SimSun" w:hAnsiTheme="majorBidi" w:cstheme="majorBidi"/>
                <w:color w:val="000000"/>
                <w:sz w:val="24"/>
                <w:szCs w:val="24"/>
                <w:lang w:val="en-US" w:eastAsia="en-GB"/>
              </w:rPr>
            </w:pPr>
            <w:r w:rsidRPr="00AB75D4">
              <w:rPr>
                <w:rFonts w:asciiTheme="majorBidi" w:hAnsiTheme="majorBidi" w:cstheme="majorBidi"/>
                <w:sz w:val="24"/>
                <w:szCs w:val="24"/>
              </w:rPr>
              <w:t>127.6</w:t>
            </w:r>
            <w:r w:rsidR="00410F71">
              <w:rPr>
                <w:rFonts w:asciiTheme="majorBidi" w:hAnsiTheme="majorBidi" w:cstheme="majorBidi"/>
                <w:sz w:val="24"/>
                <w:szCs w:val="24"/>
              </w:rPr>
              <w:t>6</w:t>
            </w:r>
            <w:r w:rsidRPr="00AB75D4">
              <w:rPr>
                <w:rFonts w:asciiTheme="majorBidi" w:hAnsiTheme="majorBidi" w:cstheme="majorBidi"/>
                <w:sz w:val="24"/>
                <w:szCs w:val="24"/>
                <w:vertAlign w:val="superscript"/>
              </w:rPr>
              <w:t>***</w:t>
            </w:r>
          </w:p>
        </w:tc>
      </w:tr>
      <w:tr w:rsidR="00182131" w:rsidRPr="00AB75D4" w14:paraId="6119C08B" w14:textId="77777777" w:rsidTr="00182131">
        <w:trPr>
          <w:trHeight w:val="231"/>
        </w:trPr>
        <w:tc>
          <w:tcPr>
            <w:tcW w:w="2410" w:type="dxa"/>
          </w:tcPr>
          <w:p w14:paraId="315A0985" w14:textId="44F62D7E" w:rsidR="00182131" w:rsidRPr="00AB75D4" w:rsidRDefault="00182131" w:rsidP="00674DE4">
            <w:pPr>
              <w:spacing w:after="0" w:line="240" w:lineRule="auto"/>
              <w:ind w:right="-173"/>
              <w:jc w:val="both"/>
              <w:rPr>
                <w:rFonts w:asciiTheme="majorBidi" w:eastAsia="SimSun" w:hAnsiTheme="majorBidi" w:cstheme="majorBidi"/>
                <w:sz w:val="24"/>
                <w:szCs w:val="24"/>
                <w:lang w:val="en-US" w:eastAsia="zh-CN"/>
              </w:rPr>
            </w:pPr>
            <w:r w:rsidRPr="00AB75D4">
              <w:rPr>
                <w:rFonts w:asciiTheme="majorBidi" w:eastAsia="SimSun" w:hAnsiTheme="majorBidi" w:cstheme="majorBidi"/>
                <w:sz w:val="24"/>
                <w:szCs w:val="24"/>
                <w:lang w:val="en-US" w:eastAsia="zh-CN"/>
              </w:rPr>
              <w:t xml:space="preserve">  </w:t>
            </w:r>
            <w:r w:rsidR="00CF5E9C">
              <w:rPr>
                <w:rFonts w:asciiTheme="majorBidi" w:eastAsia="SimSun" w:hAnsiTheme="majorBidi" w:cstheme="majorBidi"/>
                <w:sz w:val="24"/>
                <w:szCs w:val="24"/>
                <w:lang w:val="en-US" w:eastAsia="zh-CN"/>
              </w:rPr>
              <w:t>C</w:t>
            </w:r>
            <w:r w:rsidR="00674DE4">
              <w:rPr>
                <w:rFonts w:asciiTheme="majorBidi" w:eastAsia="SimSun" w:hAnsiTheme="majorBidi" w:cstheme="majorBidi"/>
                <w:sz w:val="24"/>
                <w:szCs w:val="24"/>
                <w:lang w:val="en-US" w:eastAsia="zh-CN"/>
              </w:rPr>
              <w:t>FUND</w:t>
            </w:r>
            <w:r w:rsidR="00674DE4" w:rsidRPr="00AB75D4">
              <w:rPr>
                <w:rFonts w:asciiTheme="majorBidi" w:eastAsia="SimSun" w:hAnsiTheme="majorBidi" w:cstheme="majorBidi"/>
                <w:sz w:val="24"/>
                <w:szCs w:val="24"/>
                <w:lang w:val="en-US" w:eastAsia="zh-CN"/>
              </w:rPr>
              <w:t xml:space="preserve"> </w:t>
            </w:r>
            <w:r w:rsidRPr="00AB75D4">
              <w:rPr>
                <w:rFonts w:asciiTheme="majorBidi" w:eastAsia="SimSun" w:hAnsiTheme="majorBidi" w:cstheme="majorBidi"/>
                <w:sz w:val="24"/>
                <w:szCs w:val="24"/>
                <w:lang w:val="en-US" w:eastAsia="zh-CN"/>
              </w:rPr>
              <w:t>(%)</w:t>
            </w:r>
          </w:p>
        </w:tc>
        <w:tc>
          <w:tcPr>
            <w:tcW w:w="996" w:type="dxa"/>
            <w:noWrap/>
            <w:vAlign w:val="bottom"/>
          </w:tcPr>
          <w:p w14:paraId="662C0D14"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32.77</w:t>
            </w:r>
          </w:p>
        </w:tc>
        <w:tc>
          <w:tcPr>
            <w:tcW w:w="1276" w:type="dxa"/>
            <w:noWrap/>
            <w:vAlign w:val="bottom"/>
          </w:tcPr>
          <w:p w14:paraId="42FEA955"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32.18</w:t>
            </w:r>
          </w:p>
        </w:tc>
        <w:tc>
          <w:tcPr>
            <w:tcW w:w="1134" w:type="dxa"/>
            <w:noWrap/>
            <w:vAlign w:val="bottom"/>
          </w:tcPr>
          <w:p w14:paraId="3EB2FF64"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12.15</w:t>
            </w:r>
          </w:p>
        </w:tc>
        <w:tc>
          <w:tcPr>
            <w:tcW w:w="1078" w:type="dxa"/>
            <w:noWrap/>
            <w:vAlign w:val="bottom"/>
          </w:tcPr>
          <w:p w14:paraId="73FC6D2D"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6.95</w:t>
            </w:r>
          </w:p>
        </w:tc>
        <w:tc>
          <w:tcPr>
            <w:tcW w:w="1176" w:type="dxa"/>
            <w:noWrap/>
            <w:vAlign w:val="bottom"/>
          </w:tcPr>
          <w:p w14:paraId="35F54CFC"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72.00</w:t>
            </w:r>
          </w:p>
        </w:tc>
        <w:tc>
          <w:tcPr>
            <w:tcW w:w="1236" w:type="dxa"/>
          </w:tcPr>
          <w:p w14:paraId="1E974048" w14:textId="77777777"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eastAsia="SimSun" w:hAnsiTheme="majorBidi" w:cstheme="majorBidi"/>
                <w:color w:val="000000"/>
                <w:sz w:val="24"/>
                <w:szCs w:val="24"/>
                <w:lang w:val="en-US" w:eastAsia="en-GB"/>
              </w:rPr>
              <w:t>-7.27</w:t>
            </w:r>
            <w:r w:rsidRPr="00AB75D4">
              <w:rPr>
                <w:rFonts w:asciiTheme="majorBidi" w:eastAsia="SimSun" w:hAnsiTheme="majorBidi" w:cstheme="majorBidi"/>
                <w:color w:val="000000"/>
                <w:sz w:val="24"/>
                <w:szCs w:val="24"/>
                <w:vertAlign w:val="superscript"/>
                <w:lang w:val="en-US" w:eastAsia="en-GB"/>
              </w:rPr>
              <w:t>***</w:t>
            </w:r>
          </w:p>
        </w:tc>
        <w:tc>
          <w:tcPr>
            <w:tcW w:w="1236" w:type="dxa"/>
          </w:tcPr>
          <w:p w14:paraId="2B89D0BE" w14:textId="77777777"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eastAsia="SimSun" w:hAnsiTheme="majorBidi" w:cstheme="majorBidi"/>
                <w:color w:val="000000"/>
                <w:sz w:val="24"/>
                <w:szCs w:val="24"/>
                <w:lang w:val="en-US" w:eastAsia="en-GB"/>
              </w:rPr>
              <w:t>-8.04</w:t>
            </w:r>
            <w:r w:rsidRPr="00AB75D4">
              <w:rPr>
                <w:rFonts w:asciiTheme="majorBidi" w:eastAsia="SimSun" w:hAnsiTheme="majorBidi" w:cstheme="majorBidi"/>
                <w:color w:val="000000"/>
                <w:sz w:val="24"/>
                <w:szCs w:val="24"/>
                <w:vertAlign w:val="superscript"/>
                <w:lang w:val="en-US" w:eastAsia="en-GB"/>
              </w:rPr>
              <w:t>***</w:t>
            </w:r>
          </w:p>
        </w:tc>
      </w:tr>
      <w:tr w:rsidR="00182131" w:rsidRPr="00AB75D4" w14:paraId="00DDA712" w14:textId="77777777" w:rsidTr="00182131">
        <w:trPr>
          <w:trHeight w:val="231"/>
        </w:trPr>
        <w:tc>
          <w:tcPr>
            <w:tcW w:w="2410" w:type="dxa"/>
          </w:tcPr>
          <w:p w14:paraId="33FC8530" w14:textId="10904740" w:rsidR="00182131" w:rsidRPr="00AB75D4" w:rsidRDefault="00182131" w:rsidP="00462406">
            <w:pPr>
              <w:spacing w:after="0" w:line="240" w:lineRule="auto"/>
              <w:ind w:right="-173"/>
              <w:jc w:val="both"/>
              <w:rPr>
                <w:rFonts w:asciiTheme="majorBidi" w:eastAsia="SimSun" w:hAnsiTheme="majorBidi" w:cstheme="majorBidi"/>
                <w:sz w:val="24"/>
                <w:szCs w:val="24"/>
                <w:lang w:val="en-US" w:eastAsia="zh-CN"/>
              </w:rPr>
            </w:pPr>
            <w:r w:rsidRPr="00AB75D4">
              <w:rPr>
                <w:rFonts w:asciiTheme="majorBidi" w:eastAsia="SimSun" w:hAnsiTheme="majorBidi" w:cstheme="majorBidi"/>
                <w:sz w:val="24"/>
                <w:szCs w:val="24"/>
                <w:lang w:val="en-US" w:eastAsia="zh-CN"/>
              </w:rPr>
              <w:t xml:space="preserve">  P</w:t>
            </w:r>
            <w:r w:rsidR="00674DE4">
              <w:rPr>
                <w:rFonts w:asciiTheme="majorBidi" w:eastAsia="SimSun" w:hAnsiTheme="majorBidi" w:cstheme="majorBidi"/>
                <w:sz w:val="24"/>
                <w:szCs w:val="24"/>
                <w:lang w:val="en-US" w:eastAsia="zh-CN"/>
              </w:rPr>
              <w:t>ST</w:t>
            </w:r>
            <w:r w:rsidRPr="00AB75D4">
              <w:rPr>
                <w:rFonts w:asciiTheme="majorBidi" w:eastAsia="SimSun" w:hAnsiTheme="majorBidi" w:cstheme="majorBidi"/>
                <w:sz w:val="24"/>
                <w:szCs w:val="24"/>
                <w:lang w:val="en-US" w:eastAsia="zh-CN"/>
              </w:rPr>
              <w:t>92 (%)</w:t>
            </w:r>
          </w:p>
        </w:tc>
        <w:tc>
          <w:tcPr>
            <w:tcW w:w="996" w:type="dxa"/>
            <w:noWrap/>
            <w:vAlign w:val="bottom"/>
          </w:tcPr>
          <w:p w14:paraId="798E6377"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48.00</w:t>
            </w:r>
          </w:p>
        </w:tc>
        <w:tc>
          <w:tcPr>
            <w:tcW w:w="1276" w:type="dxa"/>
            <w:noWrap/>
            <w:vAlign w:val="bottom"/>
          </w:tcPr>
          <w:p w14:paraId="668AD50C"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0.00</w:t>
            </w:r>
          </w:p>
        </w:tc>
        <w:tc>
          <w:tcPr>
            <w:tcW w:w="1134" w:type="dxa"/>
            <w:noWrap/>
            <w:vAlign w:val="bottom"/>
          </w:tcPr>
          <w:p w14:paraId="771C2145"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50.00</w:t>
            </w:r>
          </w:p>
        </w:tc>
        <w:tc>
          <w:tcPr>
            <w:tcW w:w="1078" w:type="dxa"/>
            <w:noWrap/>
            <w:vAlign w:val="bottom"/>
          </w:tcPr>
          <w:p w14:paraId="0D355432"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0.00</w:t>
            </w:r>
          </w:p>
        </w:tc>
        <w:tc>
          <w:tcPr>
            <w:tcW w:w="1176" w:type="dxa"/>
            <w:noWrap/>
            <w:vAlign w:val="bottom"/>
          </w:tcPr>
          <w:p w14:paraId="51EBCD04"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100.00</w:t>
            </w:r>
          </w:p>
        </w:tc>
        <w:tc>
          <w:tcPr>
            <w:tcW w:w="1236" w:type="dxa"/>
          </w:tcPr>
          <w:p w14:paraId="5E24FDE6"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en-GB"/>
              </w:rPr>
            </w:pPr>
            <w:r w:rsidRPr="00AB75D4">
              <w:rPr>
                <w:rFonts w:asciiTheme="majorBidi" w:eastAsia="SimSun" w:hAnsiTheme="majorBidi" w:cstheme="majorBidi"/>
                <w:color w:val="000000"/>
                <w:sz w:val="24"/>
                <w:szCs w:val="24"/>
                <w:lang w:val="en-US" w:eastAsia="en-GB"/>
              </w:rPr>
              <w:t>-</w:t>
            </w:r>
          </w:p>
        </w:tc>
        <w:tc>
          <w:tcPr>
            <w:tcW w:w="1236" w:type="dxa"/>
          </w:tcPr>
          <w:p w14:paraId="4C2D4C87"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en-GB"/>
              </w:rPr>
            </w:pPr>
            <w:r w:rsidRPr="00AB75D4">
              <w:rPr>
                <w:rFonts w:asciiTheme="majorBidi" w:eastAsia="SimSun" w:hAnsiTheme="majorBidi" w:cstheme="majorBidi"/>
                <w:color w:val="000000"/>
                <w:sz w:val="24"/>
                <w:szCs w:val="24"/>
                <w:lang w:val="en-US" w:eastAsia="en-GB"/>
              </w:rPr>
              <w:t>-</w:t>
            </w:r>
          </w:p>
        </w:tc>
      </w:tr>
      <w:tr w:rsidR="00182131" w:rsidRPr="00AB75D4" w14:paraId="74CD8245" w14:textId="77777777" w:rsidTr="00182131">
        <w:trPr>
          <w:trHeight w:val="231"/>
        </w:trPr>
        <w:tc>
          <w:tcPr>
            <w:tcW w:w="2410" w:type="dxa"/>
          </w:tcPr>
          <w:p w14:paraId="525F10B7" w14:textId="3514D2CF" w:rsidR="00182131" w:rsidRPr="00AB75D4" w:rsidRDefault="00182131" w:rsidP="00462406">
            <w:pPr>
              <w:spacing w:after="0" w:line="240" w:lineRule="auto"/>
              <w:ind w:right="-173"/>
              <w:jc w:val="both"/>
              <w:rPr>
                <w:rFonts w:asciiTheme="majorBidi" w:eastAsia="SimSun" w:hAnsiTheme="majorBidi" w:cstheme="majorBidi"/>
                <w:sz w:val="24"/>
                <w:szCs w:val="24"/>
                <w:lang w:val="en-US" w:eastAsia="zh-CN"/>
              </w:rPr>
            </w:pPr>
            <w:r w:rsidRPr="00AB75D4">
              <w:rPr>
                <w:rFonts w:asciiTheme="majorBidi" w:eastAsia="SimSun" w:hAnsiTheme="majorBidi" w:cstheme="majorBidi"/>
                <w:sz w:val="24"/>
                <w:szCs w:val="24"/>
                <w:lang w:val="en-US" w:eastAsia="zh-CN"/>
              </w:rPr>
              <w:t xml:space="preserve">  R</w:t>
            </w:r>
            <w:r w:rsidR="00674DE4">
              <w:rPr>
                <w:rFonts w:asciiTheme="majorBidi" w:eastAsia="SimSun" w:hAnsiTheme="majorBidi" w:cstheme="majorBidi"/>
                <w:sz w:val="24"/>
                <w:szCs w:val="24"/>
                <w:lang w:val="en-US" w:eastAsia="zh-CN"/>
              </w:rPr>
              <w:t>US</w:t>
            </w:r>
            <w:r w:rsidRPr="00AB75D4">
              <w:rPr>
                <w:rFonts w:asciiTheme="majorBidi" w:eastAsia="SimSun" w:hAnsiTheme="majorBidi" w:cstheme="majorBidi"/>
                <w:sz w:val="24"/>
                <w:szCs w:val="24"/>
                <w:lang w:val="en-US" w:eastAsia="zh-CN"/>
              </w:rPr>
              <w:t>G (%)</w:t>
            </w:r>
          </w:p>
        </w:tc>
        <w:tc>
          <w:tcPr>
            <w:tcW w:w="996" w:type="dxa"/>
            <w:noWrap/>
            <w:vAlign w:val="bottom"/>
          </w:tcPr>
          <w:p w14:paraId="241118A5"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21.00</w:t>
            </w:r>
          </w:p>
        </w:tc>
        <w:tc>
          <w:tcPr>
            <w:tcW w:w="1276" w:type="dxa"/>
            <w:noWrap/>
            <w:vAlign w:val="bottom"/>
          </w:tcPr>
          <w:p w14:paraId="3EEB40EB"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0.00</w:t>
            </w:r>
          </w:p>
        </w:tc>
        <w:tc>
          <w:tcPr>
            <w:tcW w:w="1134" w:type="dxa"/>
            <w:noWrap/>
            <w:vAlign w:val="bottom"/>
          </w:tcPr>
          <w:p w14:paraId="62263C14"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40.40</w:t>
            </w:r>
          </w:p>
        </w:tc>
        <w:tc>
          <w:tcPr>
            <w:tcW w:w="1078" w:type="dxa"/>
            <w:noWrap/>
            <w:vAlign w:val="bottom"/>
          </w:tcPr>
          <w:p w14:paraId="6FDBBAC2"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0.00</w:t>
            </w:r>
          </w:p>
        </w:tc>
        <w:tc>
          <w:tcPr>
            <w:tcW w:w="1176" w:type="dxa"/>
            <w:noWrap/>
            <w:vAlign w:val="bottom"/>
          </w:tcPr>
          <w:p w14:paraId="5B98891B"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100.00</w:t>
            </w:r>
          </w:p>
        </w:tc>
        <w:tc>
          <w:tcPr>
            <w:tcW w:w="1236" w:type="dxa"/>
          </w:tcPr>
          <w:p w14:paraId="05D0A88E"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en-GB"/>
              </w:rPr>
            </w:pPr>
            <w:r w:rsidRPr="00AB75D4">
              <w:rPr>
                <w:rFonts w:asciiTheme="majorBidi" w:eastAsia="SimSun" w:hAnsiTheme="majorBidi" w:cstheme="majorBidi"/>
                <w:color w:val="000000"/>
                <w:sz w:val="24"/>
                <w:szCs w:val="24"/>
                <w:lang w:val="en-US" w:eastAsia="en-GB"/>
              </w:rPr>
              <w:t>-</w:t>
            </w:r>
          </w:p>
        </w:tc>
        <w:tc>
          <w:tcPr>
            <w:tcW w:w="1236" w:type="dxa"/>
          </w:tcPr>
          <w:p w14:paraId="30DEF799"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en-GB"/>
              </w:rPr>
            </w:pPr>
            <w:r w:rsidRPr="00AB75D4">
              <w:rPr>
                <w:rFonts w:asciiTheme="majorBidi" w:eastAsia="SimSun" w:hAnsiTheme="majorBidi" w:cstheme="majorBidi"/>
                <w:color w:val="000000"/>
                <w:sz w:val="24"/>
                <w:szCs w:val="24"/>
                <w:lang w:val="en-US" w:eastAsia="en-GB"/>
              </w:rPr>
              <w:t>-</w:t>
            </w:r>
          </w:p>
        </w:tc>
      </w:tr>
      <w:tr w:rsidR="00182131" w:rsidRPr="00AB75D4" w14:paraId="5A19F459" w14:textId="77777777" w:rsidTr="00182131">
        <w:trPr>
          <w:trHeight w:val="231"/>
        </w:trPr>
        <w:tc>
          <w:tcPr>
            <w:tcW w:w="2410" w:type="dxa"/>
          </w:tcPr>
          <w:p w14:paraId="0B0B7B2B" w14:textId="1782E59A" w:rsidR="00182131" w:rsidRPr="00AB75D4" w:rsidRDefault="00182131" w:rsidP="00462406">
            <w:pPr>
              <w:spacing w:after="0" w:line="240" w:lineRule="auto"/>
              <w:ind w:right="-173"/>
              <w:jc w:val="both"/>
              <w:rPr>
                <w:rFonts w:asciiTheme="majorBidi" w:eastAsia="SimSun" w:hAnsiTheme="majorBidi" w:cstheme="majorBidi"/>
                <w:sz w:val="24"/>
                <w:szCs w:val="24"/>
                <w:lang w:val="en-US" w:eastAsia="zh-CN"/>
              </w:rPr>
            </w:pPr>
            <w:r w:rsidRPr="00AB75D4">
              <w:rPr>
                <w:rFonts w:asciiTheme="majorBidi" w:eastAsia="SimSun" w:hAnsiTheme="majorBidi" w:cstheme="majorBidi"/>
                <w:sz w:val="24"/>
                <w:szCs w:val="24"/>
                <w:lang w:val="en-US" w:eastAsia="zh-CN"/>
              </w:rPr>
              <w:t xml:space="preserve">  LQ</w:t>
            </w:r>
            <w:r w:rsidR="00674DE4">
              <w:rPr>
                <w:rFonts w:asciiTheme="majorBidi" w:eastAsia="SimSun" w:hAnsiTheme="majorBidi" w:cstheme="majorBidi"/>
                <w:sz w:val="24"/>
                <w:szCs w:val="24"/>
                <w:lang w:val="en-US" w:eastAsia="zh-CN"/>
              </w:rPr>
              <w:t>UD</w:t>
            </w:r>
            <w:r w:rsidRPr="00AB75D4">
              <w:rPr>
                <w:rFonts w:asciiTheme="majorBidi" w:eastAsia="SimSun" w:hAnsiTheme="majorBidi" w:cstheme="majorBidi"/>
                <w:sz w:val="24"/>
                <w:szCs w:val="24"/>
                <w:lang w:val="en-US" w:eastAsia="zh-CN"/>
              </w:rPr>
              <w:t xml:space="preserve"> (%)</w:t>
            </w:r>
          </w:p>
        </w:tc>
        <w:tc>
          <w:tcPr>
            <w:tcW w:w="996" w:type="dxa"/>
            <w:noWrap/>
            <w:vAlign w:val="bottom"/>
          </w:tcPr>
          <w:p w14:paraId="5280DBE3"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2.02</w:t>
            </w:r>
          </w:p>
        </w:tc>
        <w:tc>
          <w:tcPr>
            <w:tcW w:w="1276" w:type="dxa"/>
            <w:noWrap/>
            <w:vAlign w:val="bottom"/>
          </w:tcPr>
          <w:p w14:paraId="3480874E"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1.23</w:t>
            </w:r>
          </w:p>
        </w:tc>
        <w:tc>
          <w:tcPr>
            <w:tcW w:w="1134" w:type="dxa"/>
            <w:noWrap/>
            <w:vAlign w:val="bottom"/>
          </w:tcPr>
          <w:p w14:paraId="41D38E22"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5.72</w:t>
            </w:r>
          </w:p>
        </w:tc>
        <w:tc>
          <w:tcPr>
            <w:tcW w:w="1078" w:type="dxa"/>
            <w:noWrap/>
            <w:vAlign w:val="bottom"/>
          </w:tcPr>
          <w:p w14:paraId="6C007D2C"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-19.82</w:t>
            </w:r>
          </w:p>
        </w:tc>
        <w:tc>
          <w:tcPr>
            <w:tcW w:w="1176" w:type="dxa"/>
            <w:noWrap/>
            <w:vAlign w:val="bottom"/>
          </w:tcPr>
          <w:p w14:paraId="69CF047B"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25.91</w:t>
            </w:r>
          </w:p>
        </w:tc>
        <w:tc>
          <w:tcPr>
            <w:tcW w:w="1236" w:type="dxa"/>
          </w:tcPr>
          <w:p w14:paraId="45EBDA7E" w14:textId="77777777"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eastAsia="SimSun" w:hAnsiTheme="majorBidi" w:cstheme="majorBidi"/>
                <w:color w:val="000000"/>
                <w:sz w:val="24"/>
                <w:szCs w:val="24"/>
                <w:lang w:val="en-US" w:eastAsia="en-GB"/>
              </w:rPr>
              <w:t>-1.04</w:t>
            </w:r>
            <w:r w:rsidRPr="00AB75D4">
              <w:rPr>
                <w:rFonts w:asciiTheme="majorBidi" w:eastAsia="SimSun" w:hAnsiTheme="majorBidi" w:cstheme="majorBidi"/>
                <w:color w:val="000000"/>
                <w:sz w:val="24"/>
                <w:szCs w:val="24"/>
                <w:vertAlign w:val="superscript"/>
                <w:lang w:val="en-US" w:eastAsia="en-GB"/>
              </w:rPr>
              <w:t>**</w:t>
            </w:r>
          </w:p>
        </w:tc>
        <w:tc>
          <w:tcPr>
            <w:tcW w:w="1236" w:type="dxa"/>
          </w:tcPr>
          <w:p w14:paraId="0429FEA0" w14:textId="77777777"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eastAsia="SimSun" w:hAnsiTheme="majorBidi" w:cstheme="majorBidi"/>
                <w:color w:val="000000"/>
                <w:sz w:val="24"/>
                <w:szCs w:val="24"/>
                <w:lang w:val="en-US" w:eastAsia="en-GB"/>
              </w:rPr>
              <w:t>-1.23</w:t>
            </w:r>
            <w:r w:rsidRPr="00AB75D4">
              <w:rPr>
                <w:rFonts w:asciiTheme="majorBidi" w:eastAsia="SimSun" w:hAnsiTheme="majorBidi" w:cstheme="majorBidi"/>
                <w:color w:val="000000"/>
                <w:sz w:val="24"/>
                <w:szCs w:val="24"/>
                <w:vertAlign w:val="superscript"/>
                <w:lang w:val="en-US" w:eastAsia="en-GB"/>
              </w:rPr>
              <w:t>***</w:t>
            </w:r>
          </w:p>
        </w:tc>
      </w:tr>
      <w:tr w:rsidR="00182131" w:rsidRPr="00AB75D4" w14:paraId="77C28AFE" w14:textId="77777777" w:rsidTr="00182131">
        <w:trPr>
          <w:trHeight w:val="231"/>
        </w:trPr>
        <w:tc>
          <w:tcPr>
            <w:tcW w:w="2410" w:type="dxa"/>
          </w:tcPr>
          <w:p w14:paraId="30BFEB53" w14:textId="49F905B9" w:rsidR="00182131" w:rsidRPr="00AB75D4" w:rsidRDefault="00182131" w:rsidP="00462406">
            <w:pPr>
              <w:spacing w:after="0" w:line="240" w:lineRule="auto"/>
              <w:ind w:right="-173"/>
              <w:jc w:val="both"/>
              <w:rPr>
                <w:rFonts w:asciiTheme="majorBidi" w:eastAsia="SimSun" w:hAnsiTheme="majorBidi" w:cstheme="majorBidi"/>
                <w:sz w:val="24"/>
                <w:szCs w:val="24"/>
                <w:lang w:val="en-US" w:eastAsia="zh-CN"/>
              </w:rPr>
            </w:pPr>
            <w:r w:rsidRPr="00AB75D4">
              <w:rPr>
                <w:rFonts w:asciiTheme="majorBidi" w:eastAsia="SimSun" w:hAnsiTheme="majorBidi" w:cstheme="majorBidi"/>
                <w:sz w:val="24"/>
                <w:szCs w:val="24"/>
                <w:lang w:val="en-US" w:eastAsia="zh-CN"/>
              </w:rPr>
              <w:t xml:space="preserve">  C</w:t>
            </w:r>
            <w:r w:rsidR="00674DE4">
              <w:rPr>
                <w:rFonts w:asciiTheme="majorBidi" w:eastAsia="SimSun" w:hAnsiTheme="majorBidi" w:cstheme="majorBidi"/>
                <w:sz w:val="24"/>
                <w:szCs w:val="24"/>
                <w:lang w:val="en-US" w:eastAsia="zh-CN"/>
              </w:rPr>
              <w:t>PE</w:t>
            </w:r>
            <w:r w:rsidRPr="00AB75D4">
              <w:rPr>
                <w:rFonts w:asciiTheme="majorBidi" w:eastAsia="SimSun" w:hAnsiTheme="majorBidi" w:cstheme="majorBidi"/>
                <w:sz w:val="24"/>
                <w:szCs w:val="24"/>
                <w:lang w:val="en-US" w:eastAsia="zh-CN"/>
              </w:rPr>
              <w:t>X (%)</w:t>
            </w:r>
          </w:p>
        </w:tc>
        <w:tc>
          <w:tcPr>
            <w:tcW w:w="996" w:type="dxa"/>
            <w:noWrap/>
            <w:vAlign w:val="bottom"/>
          </w:tcPr>
          <w:p w14:paraId="4DB3A5B2"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58.96</w:t>
            </w:r>
          </w:p>
        </w:tc>
        <w:tc>
          <w:tcPr>
            <w:tcW w:w="1276" w:type="dxa"/>
            <w:noWrap/>
            <w:vAlign w:val="bottom"/>
          </w:tcPr>
          <w:p w14:paraId="7FE86FA2"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59.08</w:t>
            </w:r>
          </w:p>
        </w:tc>
        <w:tc>
          <w:tcPr>
            <w:tcW w:w="1134" w:type="dxa"/>
            <w:noWrap/>
            <w:vAlign w:val="bottom"/>
          </w:tcPr>
          <w:p w14:paraId="130F8F1E"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19.39</w:t>
            </w:r>
          </w:p>
        </w:tc>
        <w:tc>
          <w:tcPr>
            <w:tcW w:w="1078" w:type="dxa"/>
            <w:noWrap/>
            <w:vAlign w:val="bottom"/>
          </w:tcPr>
          <w:p w14:paraId="56F22FB7"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-73.05</w:t>
            </w:r>
          </w:p>
        </w:tc>
        <w:tc>
          <w:tcPr>
            <w:tcW w:w="1176" w:type="dxa"/>
            <w:noWrap/>
            <w:vAlign w:val="bottom"/>
          </w:tcPr>
          <w:p w14:paraId="241D53B4"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98.04</w:t>
            </w:r>
          </w:p>
        </w:tc>
        <w:tc>
          <w:tcPr>
            <w:tcW w:w="1236" w:type="dxa"/>
          </w:tcPr>
          <w:p w14:paraId="1420DA2A" w14:textId="77777777"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eastAsia="SimSun" w:hAnsiTheme="majorBidi" w:cstheme="majorBidi"/>
                <w:color w:val="000000"/>
                <w:sz w:val="24"/>
                <w:szCs w:val="24"/>
                <w:lang w:val="en-US" w:eastAsia="en-GB"/>
              </w:rPr>
              <w:t>3.43</w:t>
            </w:r>
            <w:r w:rsidRPr="00AB75D4">
              <w:rPr>
                <w:rFonts w:asciiTheme="majorBidi" w:eastAsia="SimSun" w:hAnsiTheme="majorBidi" w:cstheme="majorBidi"/>
                <w:color w:val="000000"/>
                <w:sz w:val="24"/>
                <w:szCs w:val="24"/>
                <w:vertAlign w:val="superscript"/>
                <w:lang w:val="en-US" w:eastAsia="en-GB"/>
              </w:rPr>
              <w:t>**</w:t>
            </w:r>
          </w:p>
        </w:tc>
        <w:tc>
          <w:tcPr>
            <w:tcW w:w="1236" w:type="dxa"/>
          </w:tcPr>
          <w:p w14:paraId="4B5E3275" w14:textId="029FB2D4" w:rsidR="00182131" w:rsidRPr="00AB75D4" w:rsidRDefault="00182131" w:rsidP="00EA2E9A">
            <w:pPr>
              <w:spacing w:after="0" w:line="240" w:lineRule="auto"/>
              <w:rPr>
                <w:rFonts w:asciiTheme="majorBidi" w:eastAsia="SimSun" w:hAnsiTheme="majorBidi" w:cstheme="majorBidi"/>
                <w:color w:val="000000"/>
                <w:sz w:val="24"/>
                <w:szCs w:val="24"/>
                <w:lang w:val="en-US" w:eastAsia="en-GB"/>
              </w:rPr>
            </w:pPr>
            <w:r w:rsidRPr="00AB75D4">
              <w:rPr>
                <w:rFonts w:asciiTheme="majorBidi" w:eastAsia="SimSun" w:hAnsiTheme="majorBidi" w:cstheme="majorBidi"/>
                <w:color w:val="000000"/>
                <w:sz w:val="24"/>
                <w:szCs w:val="24"/>
                <w:lang w:val="en-US" w:eastAsia="en-GB"/>
              </w:rPr>
              <w:t>0.33</w:t>
            </w:r>
          </w:p>
        </w:tc>
      </w:tr>
      <w:tr w:rsidR="00182131" w:rsidRPr="00AB75D4" w14:paraId="02D97B3F" w14:textId="77777777" w:rsidTr="00182131">
        <w:trPr>
          <w:trHeight w:val="231"/>
        </w:trPr>
        <w:tc>
          <w:tcPr>
            <w:tcW w:w="2410" w:type="dxa"/>
          </w:tcPr>
          <w:p w14:paraId="7D5B1FF7" w14:textId="09DDAFC8" w:rsidR="00182131" w:rsidRPr="00AB75D4" w:rsidRDefault="00182131" w:rsidP="00462406">
            <w:pPr>
              <w:spacing w:after="0" w:line="240" w:lineRule="auto"/>
              <w:ind w:right="-173"/>
              <w:jc w:val="both"/>
              <w:rPr>
                <w:rFonts w:asciiTheme="majorBidi" w:eastAsia="SimSun" w:hAnsiTheme="majorBidi" w:cstheme="majorBidi"/>
                <w:sz w:val="24"/>
                <w:szCs w:val="24"/>
                <w:lang w:val="en-US" w:eastAsia="zh-CN"/>
              </w:rPr>
            </w:pPr>
            <w:r w:rsidRPr="00AB75D4">
              <w:rPr>
                <w:rFonts w:asciiTheme="majorBidi" w:eastAsia="SimSun" w:hAnsiTheme="majorBidi" w:cstheme="majorBidi"/>
                <w:sz w:val="24"/>
                <w:szCs w:val="24"/>
                <w:lang w:val="en-US" w:eastAsia="zh-CN"/>
              </w:rPr>
              <w:t xml:space="preserve">  L</w:t>
            </w:r>
            <w:r w:rsidR="00674DE4">
              <w:rPr>
                <w:rFonts w:asciiTheme="majorBidi" w:eastAsia="SimSun" w:hAnsiTheme="majorBidi" w:cstheme="majorBidi"/>
                <w:sz w:val="24"/>
                <w:szCs w:val="24"/>
                <w:lang w:val="en-US" w:eastAsia="zh-CN"/>
              </w:rPr>
              <w:t>E</w:t>
            </w:r>
            <w:r w:rsidRPr="00AB75D4">
              <w:rPr>
                <w:rFonts w:asciiTheme="majorBidi" w:eastAsia="SimSun" w:hAnsiTheme="majorBidi" w:cstheme="majorBidi"/>
                <w:sz w:val="24"/>
                <w:szCs w:val="24"/>
                <w:lang w:val="en-US" w:eastAsia="zh-CN"/>
              </w:rPr>
              <w:t>V</w:t>
            </w:r>
            <w:r w:rsidR="00674DE4">
              <w:rPr>
                <w:rFonts w:asciiTheme="majorBidi" w:eastAsia="SimSun" w:hAnsiTheme="majorBidi" w:cstheme="majorBidi"/>
                <w:sz w:val="24"/>
                <w:szCs w:val="24"/>
                <w:lang w:val="en-US" w:eastAsia="zh-CN"/>
              </w:rPr>
              <w:t>R</w:t>
            </w:r>
            <w:r w:rsidRPr="00AB75D4">
              <w:rPr>
                <w:rFonts w:asciiTheme="majorBidi" w:eastAsia="SimSun" w:hAnsiTheme="majorBidi" w:cstheme="majorBidi"/>
                <w:sz w:val="24"/>
                <w:szCs w:val="24"/>
                <w:lang w:val="en-US" w:eastAsia="zh-CN"/>
              </w:rPr>
              <w:t xml:space="preserve"> (%)</w:t>
            </w:r>
          </w:p>
        </w:tc>
        <w:tc>
          <w:tcPr>
            <w:tcW w:w="996" w:type="dxa"/>
            <w:noWrap/>
            <w:vAlign w:val="bottom"/>
          </w:tcPr>
          <w:p w14:paraId="2BE643F0"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30.28</w:t>
            </w:r>
          </w:p>
        </w:tc>
        <w:tc>
          <w:tcPr>
            <w:tcW w:w="1276" w:type="dxa"/>
            <w:noWrap/>
            <w:vAlign w:val="bottom"/>
          </w:tcPr>
          <w:p w14:paraId="3BC915BF"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30.03</w:t>
            </w:r>
          </w:p>
        </w:tc>
        <w:tc>
          <w:tcPr>
            <w:tcW w:w="1134" w:type="dxa"/>
            <w:noWrap/>
            <w:vAlign w:val="bottom"/>
          </w:tcPr>
          <w:p w14:paraId="2C5405C6"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12.13</w:t>
            </w:r>
          </w:p>
        </w:tc>
        <w:tc>
          <w:tcPr>
            <w:tcW w:w="1078" w:type="dxa"/>
            <w:noWrap/>
            <w:vAlign w:val="bottom"/>
          </w:tcPr>
          <w:p w14:paraId="2E6E380D"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8.38</w:t>
            </w:r>
          </w:p>
        </w:tc>
        <w:tc>
          <w:tcPr>
            <w:tcW w:w="1176" w:type="dxa"/>
            <w:noWrap/>
            <w:vAlign w:val="bottom"/>
          </w:tcPr>
          <w:p w14:paraId="55690A43"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74.59</w:t>
            </w:r>
          </w:p>
        </w:tc>
        <w:tc>
          <w:tcPr>
            <w:tcW w:w="1236" w:type="dxa"/>
          </w:tcPr>
          <w:p w14:paraId="39BB8761" w14:textId="77777777"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eastAsia="SimSun" w:hAnsiTheme="majorBidi" w:cstheme="majorBidi"/>
                <w:color w:val="000000"/>
                <w:sz w:val="24"/>
                <w:szCs w:val="24"/>
                <w:lang w:val="en-US" w:eastAsia="en-GB"/>
              </w:rPr>
              <w:t>-2.05</w:t>
            </w:r>
            <w:r w:rsidRPr="00AB75D4">
              <w:rPr>
                <w:rFonts w:asciiTheme="majorBidi" w:eastAsia="SimSun" w:hAnsiTheme="majorBidi" w:cstheme="majorBidi"/>
                <w:color w:val="000000"/>
                <w:sz w:val="24"/>
                <w:szCs w:val="24"/>
                <w:vertAlign w:val="superscript"/>
                <w:lang w:val="en-US" w:eastAsia="en-GB"/>
              </w:rPr>
              <w:t>***</w:t>
            </w:r>
          </w:p>
        </w:tc>
        <w:tc>
          <w:tcPr>
            <w:tcW w:w="1236" w:type="dxa"/>
          </w:tcPr>
          <w:p w14:paraId="6A456250" w14:textId="77777777"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eastAsia="SimSun" w:hAnsiTheme="majorBidi" w:cstheme="majorBidi"/>
                <w:color w:val="000000"/>
                <w:sz w:val="24"/>
                <w:szCs w:val="24"/>
                <w:lang w:val="en-US" w:eastAsia="en-GB"/>
              </w:rPr>
              <w:t>-3.92</w:t>
            </w:r>
            <w:r w:rsidRPr="00AB75D4">
              <w:rPr>
                <w:rFonts w:asciiTheme="majorBidi" w:eastAsia="SimSun" w:hAnsiTheme="majorBidi" w:cstheme="majorBidi"/>
                <w:color w:val="000000"/>
                <w:sz w:val="24"/>
                <w:szCs w:val="24"/>
                <w:vertAlign w:val="superscript"/>
                <w:lang w:val="en-US" w:eastAsia="en-GB"/>
              </w:rPr>
              <w:t>***</w:t>
            </w:r>
          </w:p>
        </w:tc>
      </w:tr>
      <w:tr w:rsidR="00182131" w:rsidRPr="00AB75D4" w14:paraId="11DF467F" w14:textId="77777777" w:rsidTr="00182131">
        <w:trPr>
          <w:trHeight w:val="231"/>
        </w:trPr>
        <w:tc>
          <w:tcPr>
            <w:tcW w:w="2410" w:type="dxa"/>
          </w:tcPr>
          <w:p w14:paraId="6C59CDBE" w14:textId="2AB42112" w:rsidR="00182131" w:rsidRPr="00AB75D4" w:rsidRDefault="00182131" w:rsidP="00462406">
            <w:pPr>
              <w:spacing w:after="0" w:line="240" w:lineRule="auto"/>
              <w:ind w:right="-173"/>
              <w:jc w:val="both"/>
              <w:rPr>
                <w:rFonts w:asciiTheme="majorBidi" w:eastAsia="SimSun" w:hAnsiTheme="majorBidi" w:cstheme="majorBidi"/>
                <w:sz w:val="24"/>
                <w:szCs w:val="24"/>
                <w:lang w:val="en-US" w:eastAsia="zh-CN"/>
              </w:rPr>
            </w:pPr>
            <w:r w:rsidRPr="00AB75D4">
              <w:rPr>
                <w:rFonts w:asciiTheme="majorBidi" w:eastAsia="SimSun" w:hAnsiTheme="majorBidi" w:cstheme="majorBidi"/>
                <w:sz w:val="24"/>
                <w:szCs w:val="24"/>
                <w:lang w:val="en-US" w:eastAsia="zh-CN"/>
              </w:rPr>
              <w:t xml:space="preserve">  GR</w:t>
            </w:r>
            <w:r w:rsidR="00674DE4">
              <w:rPr>
                <w:rFonts w:asciiTheme="majorBidi" w:eastAsia="SimSun" w:hAnsiTheme="majorBidi" w:cstheme="majorBidi"/>
                <w:sz w:val="24"/>
                <w:szCs w:val="24"/>
                <w:lang w:val="en-US" w:eastAsia="zh-CN"/>
              </w:rPr>
              <w:t>TH</w:t>
            </w:r>
            <w:r w:rsidRPr="00AB75D4">
              <w:rPr>
                <w:rFonts w:asciiTheme="majorBidi" w:eastAsia="SimSun" w:hAnsiTheme="majorBidi" w:cstheme="majorBidi"/>
                <w:sz w:val="24"/>
                <w:szCs w:val="24"/>
                <w:lang w:val="en-US" w:eastAsia="zh-CN"/>
              </w:rPr>
              <w:t xml:space="preserve"> (%)</w:t>
            </w:r>
          </w:p>
        </w:tc>
        <w:tc>
          <w:tcPr>
            <w:tcW w:w="996" w:type="dxa"/>
            <w:noWrap/>
            <w:vAlign w:val="bottom"/>
          </w:tcPr>
          <w:p w14:paraId="4C36D229"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4.74</w:t>
            </w:r>
          </w:p>
        </w:tc>
        <w:tc>
          <w:tcPr>
            <w:tcW w:w="1276" w:type="dxa"/>
            <w:noWrap/>
            <w:vAlign w:val="bottom"/>
          </w:tcPr>
          <w:p w14:paraId="6E293B18"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4.56</w:t>
            </w:r>
          </w:p>
        </w:tc>
        <w:tc>
          <w:tcPr>
            <w:tcW w:w="1134" w:type="dxa"/>
            <w:noWrap/>
            <w:vAlign w:val="bottom"/>
          </w:tcPr>
          <w:p w14:paraId="3ECCFD82"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5.78</w:t>
            </w:r>
          </w:p>
        </w:tc>
        <w:tc>
          <w:tcPr>
            <w:tcW w:w="1078" w:type="dxa"/>
            <w:noWrap/>
            <w:vAlign w:val="bottom"/>
          </w:tcPr>
          <w:p w14:paraId="59262C62"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-11.70</w:t>
            </w:r>
          </w:p>
        </w:tc>
        <w:tc>
          <w:tcPr>
            <w:tcW w:w="1176" w:type="dxa"/>
            <w:noWrap/>
            <w:vAlign w:val="bottom"/>
          </w:tcPr>
          <w:p w14:paraId="2881825F"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44.36</w:t>
            </w:r>
          </w:p>
        </w:tc>
        <w:tc>
          <w:tcPr>
            <w:tcW w:w="1236" w:type="dxa"/>
          </w:tcPr>
          <w:p w14:paraId="0B733707"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en-GB"/>
              </w:rPr>
            </w:pPr>
            <w:r w:rsidRPr="00AB75D4">
              <w:rPr>
                <w:rFonts w:asciiTheme="majorBidi" w:eastAsia="SimSun" w:hAnsiTheme="majorBidi" w:cstheme="majorBidi"/>
                <w:color w:val="000000"/>
                <w:sz w:val="24"/>
                <w:szCs w:val="24"/>
                <w:lang w:val="en-US" w:eastAsia="en-GB"/>
              </w:rPr>
              <w:t>0.58</w:t>
            </w:r>
          </w:p>
        </w:tc>
        <w:tc>
          <w:tcPr>
            <w:tcW w:w="1236" w:type="dxa"/>
          </w:tcPr>
          <w:p w14:paraId="5E12CA14" w14:textId="77777777"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eastAsia="SimSun" w:hAnsiTheme="majorBidi" w:cstheme="majorBidi"/>
                <w:color w:val="000000"/>
                <w:sz w:val="24"/>
                <w:szCs w:val="24"/>
                <w:lang w:val="en-US" w:eastAsia="en-GB"/>
              </w:rPr>
              <w:t>0.86</w:t>
            </w:r>
            <w:r w:rsidRPr="00AB75D4">
              <w:rPr>
                <w:rFonts w:asciiTheme="majorBidi" w:eastAsia="SimSun" w:hAnsiTheme="majorBidi" w:cstheme="majorBidi"/>
                <w:color w:val="000000"/>
                <w:sz w:val="24"/>
                <w:szCs w:val="24"/>
                <w:vertAlign w:val="superscript"/>
                <w:lang w:val="en-US" w:eastAsia="en-GB"/>
              </w:rPr>
              <w:t>*</w:t>
            </w:r>
          </w:p>
        </w:tc>
      </w:tr>
      <w:tr w:rsidR="00182131" w:rsidRPr="00AB75D4" w14:paraId="25B94187" w14:textId="77777777" w:rsidTr="00182131">
        <w:trPr>
          <w:trHeight w:val="231"/>
        </w:trPr>
        <w:tc>
          <w:tcPr>
            <w:tcW w:w="2410" w:type="dxa"/>
          </w:tcPr>
          <w:p w14:paraId="3DA038D3" w14:textId="4BEE0FC2" w:rsidR="00182131" w:rsidRPr="00AB75D4" w:rsidRDefault="00182131" w:rsidP="00462406">
            <w:pPr>
              <w:spacing w:after="0" w:line="240" w:lineRule="auto"/>
              <w:ind w:right="-173"/>
              <w:jc w:val="both"/>
              <w:rPr>
                <w:rFonts w:asciiTheme="majorBidi" w:eastAsia="SimSun" w:hAnsiTheme="majorBidi" w:cstheme="majorBidi"/>
                <w:sz w:val="24"/>
                <w:szCs w:val="24"/>
                <w:lang w:val="en-US" w:eastAsia="zh-CN"/>
              </w:rPr>
            </w:pPr>
            <w:r w:rsidRPr="00AB75D4">
              <w:rPr>
                <w:rFonts w:asciiTheme="majorBidi" w:eastAsia="SimSun" w:hAnsiTheme="majorBidi" w:cstheme="majorBidi"/>
                <w:sz w:val="24"/>
                <w:szCs w:val="24"/>
                <w:lang w:val="en-US" w:eastAsia="zh-CN"/>
              </w:rPr>
              <w:t xml:space="preserve">  R</w:t>
            </w:r>
            <w:r w:rsidR="00674DE4">
              <w:rPr>
                <w:rFonts w:asciiTheme="majorBidi" w:eastAsia="SimSun" w:hAnsiTheme="majorBidi" w:cstheme="majorBidi"/>
                <w:sz w:val="24"/>
                <w:szCs w:val="24"/>
                <w:lang w:val="en-US" w:eastAsia="zh-CN"/>
              </w:rPr>
              <w:t>IS</w:t>
            </w:r>
            <w:r w:rsidRPr="00AB75D4">
              <w:rPr>
                <w:rFonts w:asciiTheme="majorBidi" w:eastAsia="SimSun" w:hAnsiTheme="majorBidi" w:cstheme="majorBidi"/>
                <w:sz w:val="24"/>
                <w:szCs w:val="24"/>
                <w:lang w:val="en-US" w:eastAsia="zh-CN"/>
              </w:rPr>
              <w:t>K (%)</w:t>
            </w:r>
          </w:p>
        </w:tc>
        <w:tc>
          <w:tcPr>
            <w:tcW w:w="996" w:type="dxa"/>
            <w:noWrap/>
            <w:vAlign w:val="bottom"/>
          </w:tcPr>
          <w:p w14:paraId="46B0C374"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1.30</w:t>
            </w:r>
          </w:p>
        </w:tc>
        <w:tc>
          <w:tcPr>
            <w:tcW w:w="1276" w:type="dxa"/>
            <w:noWrap/>
            <w:vAlign w:val="bottom"/>
          </w:tcPr>
          <w:p w14:paraId="064719F4"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0.86</w:t>
            </w:r>
          </w:p>
        </w:tc>
        <w:tc>
          <w:tcPr>
            <w:tcW w:w="1134" w:type="dxa"/>
            <w:noWrap/>
            <w:vAlign w:val="bottom"/>
          </w:tcPr>
          <w:p w14:paraId="70BB4CD3"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1.43</w:t>
            </w:r>
          </w:p>
        </w:tc>
        <w:tc>
          <w:tcPr>
            <w:tcW w:w="1078" w:type="dxa"/>
            <w:noWrap/>
            <w:vAlign w:val="bottom"/>
          </w:tcPr>
          <w:p w14:paraId="5C7F3AC7" w14:textId="5FAF98FD"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0.00</w:t>
            </w:r>
          </w:p>
        </w:tc>
        <w:tc>
          <w:tcPr>
            <w:tcW w:w="1176" w:type="dxa"/>
            <w:noWrap/>
            <w:vAlign w:val="bottom"/>
          </w:tcPr>
          <w:p w14:paraId="17FED583" w14:textId="77777777" w:rsidR="00182131" w:rsidRPr="00AB75D4" w:rsidRDefault="00182131" w:rsidP="00EA2E9A">
            <w:pPr>
              <w:spacing w:after="0" w:line="240" w:lineRule="auto"/>
              <w:rPr>
                <w:rFonts w:asciiTheme="majorBidi" w:eastAsia="SimSun" w:hAnsiTheme="majorBidi" w:cstheme="majorBidi"/>
                <w:color w:val="000000"/>
                <w:sz w:val="24"/>
                <w:szCs w:val="24"/>
                <w:lang w:val="en-US" w:eastAsia="zh-CN"/>
              </w:rPr>
            </w:pPr>
            <w:r w:rsidRPr="00AB75D4">
              <w:rPr>
                <w:rFonts w:asciiTheme="majorBidi" w:eastAsia="SimSun" w:hAnsiTheme="majorBidi" w:cstheme="majorBidi"/>
                <w:color w:val="000000"/>
                <w:sz w:val="24"/>
                <w:szCs w:val="24"/>
                <w:lang w:val="en-US" w:eastAsia="zh-CN"/>
              </w:rPr>
              <w:t>9.62</w:t>
            </w:r>
          </w:p>
        </w:tc>
        <w:tc>
          <w:tcPr>
            <w:tcW w:w="1236" w:type="dxa"/>
          </w:tcPr>
          <w:p w14:paraId="2651C7AD" w14:textId="77777777" w:rsidR="00182131" w:rsidRPr="00AB75D4" w:rsidRDefault="00182131" w:rsidP="00EA2E9A">
            <w:pPr>
              <w:spacing w:after="0" w:line="240" w:lineRule="auto"/>
              <w:rPr>
                <w:rFonts w:asciiTheme="majorBidi" w:eastAsia="SimSun" w:hAnsiTheme="majorBidi" w:cstheme="majorBidi"/>
                <w:color w:val="000000"/>
                <w:sz w:val="24"/>
                <w:szCs w:val="24"/>
                <w:vertAlign w:val="superscript"/>
                <w:lang w:val="en-US" w:eastAsia="en-GB"/>
              </w:rPr>
            </w:pPr>
            <w:r w:rsidRPr="00AB75D4">
              <w:rPr>
                <w:rFonts w:asciiTheme="majorBidi" w:eastAsia="SimSun" w:hAnsiTheme="majorBidi" w:cstheme="majorBidi"/>
                <w:color w:val="000000"/>
                <w:sz w:val="24"/>
                <w:szCs w:val="24"/>
                <w:lang w:val="en-US" w:eastAsia="en-GB"/>
              </w:rPr>
              <w:t>-0.23</w:t>
            </w:r>
            <w:r w:rsidRPr="00AB75D4">
              <w:rPr>
                <w:rFonts w:asciiTheme="majorBidi" w:eastAsia="SimSun" w:hAnsiTheme="majorBidi" w:cstheme="majorBidi"/>
                <w:color w:val="000000"/>
                <w:sz w:val="24"/>
                <w:szCs w:val="24"/>
                <w:vertAlign w:val="superscript"/>
                <w:lang w:val="en-US" w:eastAsia="en-GB"/>
              </w:rPr>
              <w:t>**</w:t>
            </w:r>
          </w:p>
        </w:tc>
        <w:tc>
          <w:tcPr>
            <w:tcW w:w="1236" w:type="dxa"/>
          </w:tcPr>
          <w:p w14:paraId="2A65FD75" w14:textId="7890FCEE" w:rsidR="00182131" w:rsidRPr="00AB75D4" w:rsidRDefault="00182131" w:rsidP="00EA2E9A">
            <w:pPr>
              <w:spacing w:after="0" w:line="240" w:lineRule="auto"/>
              <w:rPr>
                <w:rFonts w:asciiTheme="majorBidi" w:eastAsia="SimSun" w:hAnsiTheme="majorBidi" w:cstheme="majorBidi"/>
                <w:color w:val="000000"/>
                <w:sz w:val="24"/>
                <w:szCs w:val="24"/>
                <w:lang w:val="en-US" w:eastAsia="en-GB"/>
              </w:rPr>
            </w:pPr>
            <w:r w:rsidRPr="00AB75D4">
              <w:rPr>
                <w:rFonts w:asciiTheme="majorBidi" w:eastAsia="SimSun" w:hAnsiTheme="majorBidi" w:cstheme="majorBidi"/>
                <w:color w:val="000000"/>
                <w:sz w:val="24"/>
                <w:szCs w:val="24"/>
                <w:lang w:val="en-US" w:eastAsia="en-GB"/>
              </w:rPr>
              <w:t>-0.14</w:t>
            </w:r>
          </w:p>
        </w:tc>
      </w:tr>
      <w:tr w:rsidR="00182131" w:rsidRPr="00AB75D4" w14:paraId="41907D4A" w14:textId="77777777" w:rsidTr="00182131">
        <w:trPr>
          <w:trHeight w:val="169"/>
        </w:trPr>
        <w:tc>
          <w:tcPr>
            <w:tcW w:w="10542" w:type="dxa"/>
            <w:gridSpan w:val="8"/>
            <w:tcBorders>
              <w:top w:val="single" w:sz="12" w:space="0" w:color="auto"/>
            </w:tcBorders>
          </w:tcPr>
          <w:p w14:paraId="4F13B195" w14:textId="2CE69C54" w:rsidR="00182131" w:rsidRPr="00FA0820" w:rsidRDefault="00EA2E9A" w:rsidP="00EA2E9A">
            <w:pPr>
              <w:spacing w:after="0"/>
              <w:ind w:left="-108" w:right="-108"/>
              <w:jc w:val="both"/>
              <w:rPr>
                <w:rFonts w:ascii="Times New Roman" w:hAnsi="Times New Roman" w:cs="Times New Roman"/>
                <w:sz w:val="24"/>
                <w:szCs w:val="24"/>
                <w:lang w:val="en-US"/>
              </w:rPr>
            </w:pPr>
            <w:r w:rsidRPr="00FA0820">
              <w:rPr>
                <w:rFonts w:ascii="Times New Roman" w:eastAsia="SimSun" w:hAnsi="Times New Roman" w:cs="Times New Roman"/>
                <w:b/>
                <w:bCs/>
                <w:sz w:val="24"/>
                <w:szCs w:val="24"/>
                <w:lang w:val="en-US" w:eastAsia="zh-CN"/>
              </w:rPr>
              <w:t>Note</w:t>
            </w:r>
            <w:r w:rsidR="00643054" w:rsidRPr="00FA0820">
              <w:rPr>
                <w:rFonts w:ascii="Times New Roman" w:eastAsia="SimSun" w:hAnsi="Times New Roman" w:cs="Times New Roman"/>
                <w:b/>
                <w:bCs/>
                <w:sz w:val="24"/>
                <w:szCs w:val="24"/>
                <w:lang w:val="en-US" w:eastAsia="zh-CN"/>
              </w:rPr>
              <w:t>s</w:t>
            </w:r>
            <w:r w:rsidRPr="00FA0820">
              <w:rPr>
                <w:rFonts w:ascii="Times New Roman" w:eastAsia="SimSun" w:hAnsi="Times New Roman" w:cs="Times New Roman"/>
                <w:b/>
                <w:bCs/>
                <w:sz w:val="24"/>
                <w:szCs w:val="24"/>
                <w:lang w:val="en-US" w:eastAsia="zh-CN"/>
              </w:rPr>
              <w:t>:</w:t>
            </w:r>
            <w:r w:rsidRPr="00FA0820">
              <w:rPr>
                <w:rFonts w:ascii="Times New Roman" w:eastAsia="SimSun" w:hAnsi="Times New Roman" w:cs="Times New Roman"/>
                <w:sz w:val="24"/>
                <w:szCs w:val="24"/>
                <w:lang w:val="en-US" w:eastAsia="zh-CN"/>
              </w:rPr>
              <w:t xml:space="preserve"> </w:t>
            </w:r>
            <w:r w:rsidRPr="00FA0820">
              <w:rPr>
                <w:rFonts w:ascii="Times New Roman" w:hAnsi="Times New Roman" w:cs="Times New Roman"/>
                <w:sz w:val="24"/>
                <w:szCs w:val="24"/>
                <w:lang w:val="en-US"/>
              </w:rPr>
              <w:t>Please see Table 2 for</w:t>
            </w:r>
            <w:r w:rsidR="00FA0820" w:rsidRPr="00FA0820">
              <w:rPr>
                <w:rFonts w:ascii="Times New Roman" w:hAnsi="Times New Roman" w:cs="Times New Roman"/>
                <w:sz w:val="24"/>
                <w:szCs w:val="24"/>
                <w:lang w:val="en-US"/>
              </w:rPr>
              <w:t xml:space="preserve"> full</w:t>
            </w:r>
            <w:r w:rsidRPr="00FA0820">
              <w:rPr>
                <w:rFonts w:ascii="Times New Roman" w:hAnsi="Times New Roman" w:cs="Times New Roman"/>
                <w:sz w:val="24"/>
                <w:szCs w:val="24"/>
                <w:lang w:val="en-US"/>
              </w:rPr>
              <w:t xml:space="preserve"> variable definitions.</w:t>
            </w:r>
            <w:r w:rsidRPr="00FA0820">
              <w:rPr>
                <w:rFonts w:ascii="Times New Roman" w:eastAsiaTheme="minorEastAsia" w:hAnsi="Times New Roman" w:cs="Times New Roman"/>
                <w:sz w:val="24"/>
                <w:szCs w:val="24"/>
                <w:lang w:eastAsia="en-GB"/>
              </w:rPr>
              <w:t xml:space="preserve"> </w:t>
            </w:r>
            <w:r w:rsidR="00FA0820" w:rsidRPr="00FA0820">
              <w:rPr>
                <w:rFonts w:ascii="Times New Roman" w:hAnsi="Times New Roman" w:cs="Times New Roman"/>
                <w:sz w:val="24"/>
                <w:szCs w:val="24"/>
              </w:rPr>
              <w:t>*** means significance at the 1% level (p&lt;0.01). ** means significance at the 5% level (p&lt;0.05). * means significance at the 10% level (p&lt;0.10).</w:t>
            </w:r>
          </w:p>
        </w:tc>
      </w:tr>
    </w:tbl>
    <w:p w14:paraId="66528BAF" w14:textId="77777777" w:rsidR="00566D02" w:rsidRDefault="00566D02" w:rsidP="00566D02">
      <w:pPr>
        <w:sectPr w:rsidR="00566D02">
          <w:pgSz w:w="11906" w:h="16838"/>
          <w:pgMar w:top="1440" w:right="1440" w:bottom="1440" w:left="1440" w:header="708" w:footer="708" w:gutter="0"/>
          <w:cols w:space="708"/>
          <w:docGrid w:linePitch="360"/>
        </w:sectPr>
      </w:pPr>
    </w:p>
    <w:tbl>
      <w:tblPr>
        <w:tblpPr w:leftFromText="180" w:rightFromText="180" w:vertAnchor="page" w:horzAnchor="margin" w:tblpXSpec="center" w:tblpY="961"/>
        <w:tblW w:w="16165" w:type="dxa"/>
        <w:shd w:val="clear" w:color="auto" w:fill="FFFFFF" w:themeFill="background1"/>
        <w:tblLayout w:type="fixed"/>
        <w:tblLook w:val="04A0" w:firstRow="1" w:lastRow="0" w:firstColumn="1" w:lastColumn="0" w:noHBand="0" w:noVBand="1"/>
      </w:tblPr>
      <w:tblGrid>
        <w:gridCol w:w="851"/>
        <w:gridCol w:w="709"/>
        <w:gridCol w:w="709"/>
        <w:gridCol w:w="850"/>
        <w:gridCol w:w="850"/>
        <w:gridCol w:w="709"/>
        <w:gridCol w:w="709"/>
        <w:gridCol w:w="709"/>
        <w:gridCol w:w="709"/>
        <w:gridCol w:w="709"/>
        <w:gridCol w:w="709"/>
        <w:gridCol w:w="708"/>
        <w:gridCol w:w="850"/>
        <w:gridCol w:w="709"/>
        <w:gridCol w:w="709"/>
        <w:gridCol w:w="709"/>
        <w:gridCol w:w="709"/>
        <w:gridCol w:w="708"/>
        <w:gridCol w:w="709"/>
        <w:gridCol w:w="709"/>
        <w:gridCol w:w="709"/>
        <w:gridCol w:w="713"/>
      </w:tblGrid>
      <w:tr w:rsidR="007B26F1" w:rsidRPr="009E6B6E" w14:paraId="7A03E8E7" w14:textId="77777777" w:rsidTr="000711DA">
        <w:trPr>
          <w:trHeight w:val="157"/>
        </w:trPr>
        <w:tc>
          <w:tcPr>
            <w:tcW w:w="16164" w:type="dxa"/>
            <w:gridSpan w:val="22"/>
            <w:tcBorders>
              <w:left w:val="nil"/>
              <w:bottom w:val="single" w:sz="4" w:space="0" w:color="auto"/>
            </w:tcBorders>
            <w:shd w:val="clear" w:color="auto" w:fill="FFFFFF" w:themeFill="background1"/>
            <w:noWrap/>
            <w:vAlign w:val="center"/>
          </w:tcPr>
          <w:p w14:paraId="0EA56442" w14:textId="77777777" w:rsidR="007B26F1" w:rsidRPr="009E6B6E" w:rsidRDefault="007B26F1" w:rsidP="00F4486F">
            <w:pPr>
              <w:spacing w:after="0" w:line="240" w:lineRule="auto"/>
              <w:rPr>
                <w:rFonts w:ascii="Times New Roman" w:eastAsia="Times New Roman" w:hAnsi="Times New Roman" w:cs="Times New Roman"/>
                <w:color w:val="000000"/>
                <w:sz w:val="18"/>
                <w:szCs w:val="18"/>
                <w:lang w:val="en-US"/>
              </w:rPr>
            </w:pPr>
            <w:r w:rsidRPr="009E6B6E">
              <w:rPr>
                <w:rFonts w:ascii="Times New Roman" w:eastAsia="SimSun" w:hAnsi="Times New Roman" w:cs="Times New Roman"/>
                <w:b/>
                <w:bCs/>
                <w:sz w:val="18"/>
                <w:szCs w:val="18"/>
                <w:lang w:val="en-US" w:eastAsia="zh-CN"/>
              </w:rPr>
              <w:lastRenderedPageBreak/>
              <w:t xml:space="preserve">Table 5. </w:t>
            </w:r>
            <w:r w:rsidRPr="009E6B6E">
              <w:rPr>
                <w:rFonts w:ascii="Times New Roman" w:eastAsia="SimSun" w:hAnsi="Times New Roman" w:cs="Times New Roman"/>
                <w:sz w:val="18"/>
                <w:szCs w:val="18"/>
                <w:lang w:val="en-US" w:eastAsia="zh-CN"/>
              </w:rPr>
              <w:t>Bivariate correlations for all 117 UK HEIs.</w:t>
            </w:r>
          </w:p>
        </w:tc>
      </w:tr>
      <w:tr w:rsidR="007B26F1" w:rsidRPr="009E6B6E" w14:paraId="46AC7A6B" w14:textId="77777777" w:rsidTr="000711DA">
        <w:trPr>
          <w:trHeight w:val="157"/>
        </w:trPr>
        <w:tc>
          <w:tcPr>
            <w:tcW w:w="851" w:type="dxa"/>
            <w:tcBorders>
              <w:top w:val="single" w:sz="18" w:space="0" w:color="auto"/>
              <w:left w:val="nil"/>
              <w:bottom w:val="single" w:sz="4" w:space="0" w:color="auto"/>
            </w:tcBorders>
            <w:shd w:val="clear" w:color="auto" w:fill="FFFFFF" w:themeFill="background1"/>
            <w:noWrap/>
            <w:vAlign w:val="center"/>
            <w:hideMark/>
          </w:tcPr>
          <w:p w14:paraId="030AD737" w14:textId="77777777" w:rsidR="007B26F1" w:rsidRPr="009E6B6E" w:rsidRDefault="007B26F1" w:rsidP="00F4486F">
            <w:pPr>
              <w:spacing w:after="0" w:line="240" w:lineRule="auto"/>
              <w:ind w:left="-150" w:firstLine="150"/>
              <w:rPr>
                <w:rFonts w:ascii="Times New Roman" w:eastAsia="Times New Roman" w:hAnsi="Times New Roman" w:cs="Times New Roman"/>
                <w:sz w:val="18"/>
                <w:szCs w:val="18"/>
                <w:lang w:val="en-US"/>
              </w:rPr>
            </w:pPr>
            <w:r w:rsidRPr="009E6B6E">
              <w:rPr>
                <w:rFonts w:ascii="Times New Roman" w:eastAsia="SimSun" w:hAnsi="Times New Roman" w:cs="Times New Roman"/>
                <w:color w:val="000000"/>
                <w:sz w:val="18"/>
                <w:szCs w:val="18"/>
                <w:lang w:val="en-US" w:eastAsia="zh-CN"/>
              </w:rPr>
              <w:t>Variable</w:t>
            </w:r>
          </w:p>
        </w:tc>
        <w:tc>
          <w:tcPr>
            <w:tcW w:w="709" w:type="dxa"/>
            <w:tcBorders>
              <w:top w:val="single" w:sz="18" w:space="0" w:color="auto"/>
              <w:left w:val="nil"/>
              <w:bottom w:val="single" w:sz="4" w:space="0" w:color="auto"/>
              <w:right w:val="nil"/>
            </w:tcBorders>
            <w:shd w:val="clear" w:color="auto" w:fill="FFFFFF" w:themeFill="background1"/>
            <w:vAlign w:val="center"/>
            <w:hideMark/>
          </w:tcPr>
          <w:p w14:paraId="51EEFEAB" w14:textId="77777777" w:rsidR="007B26F1" w:rsidRPr="009E6B6E" w:rsidRDefault="007B26F1" w:rsidP="00F4486F">
            <w:pPr>
              <w:spacing w:after="0" w:line="240" w:lineRule="auto"/>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HEGI</w:t>
            </w:r>
          </w:p>
        </w:tc>
        <w:tc>
          <w:tcPr>
            <w:tcW w:w="709" w:type="dxa"/>
            <w:tcBorders>
              <w:top w:val="single" w:sz="18" w:space="0" w:color="auto"/>
              <w:left w:val="nil"/>
              <w:bottom w:val="single" w:sz="4" w:space="0" w:color="auto"/>
              <w:right w:val="nil"/>
            </w:tcBorders>
            <w:shd w:val="clear" w:color="auto" w:fill="FFFFFF" w:themeFill="background1"/>
            <w:vAlign w:val="center"/>
          </w:tcPr>
          <w:p w14:paraId="58ACCDF9" w14:textId="77777777" w:rsidR="007B26F1" w:rsidRPr="009E6B6E" w:rsidRDefault="007B26F1" w:rsidP="00F4486F">
            <w:pPr>
              <w:spacing w:after="0" w:line="240" w:lineRule="auto"/>
              <w:ind w:right="-250"/>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V</w:t>
            </w:r>
            <w:r>
              <w:rPr>
                <w:rFonts w:ascii="Times New Roman" w:eastAsia="Times New Roman" w:hAnsi="Times New Roman" w:cs="Times New Roman"/>
                <w:color w:val="000000"/>
                <w:sz w:val="18"/>
                <w:szCs w:val="18"/>
                <w:lang w:val="en-US"/>
              </w:rPr>
              <w:t>C</w:t>
            </w:r>
            <w:r w:rsidRPr="009E6B6E">
              <w:rPr>
                <w:rFonts w:ascii="Times New Roman" w:eastAsia="Times New Roman" w:hAnsi="Times New Roman" w:cs="Times New Roman"/>
                <w:color w:val="000000"/>
                <w:sz w:val="18"/>
                <w:szCs w:val="18"/>
                <w:lang w:val="en-US"/>
              </w:rPr>
              <w:t>G</w:t>
            </w:r>
            <w:r>
              <w:rPr>
                <w:rFonts w:ascii="Times New Roman" w:eastAsia="Times New Roman" w:hAnsi="Times New Roman" w:cs="Times New Roman"/>
                <w:color w:val="000000"/>
                <w:sz w:val="18"/>
                <w:szCs w:val="18"/>
                <w:lang w:val="en-US"/>
              </w:rPr>
              <w:t>EN</w:t>
            </w:r>
          </w:p>
        </w:tc>
        <w:tc>
          <w:tcPr>
            <w:tcW w:w="850" w:type="dxa"/>
            <w:tcBorders>
              <w:top w:val="single" w:sz="18" w:space="0" w:color="auto"/>
              <w:left w:val="nil"/>
              <w:bottom w:val="single" w:sz="4" w:space="0" w:color="auto"/>
              <w:right w:val="nil"/>
            </w:tcBorders>
            <w:shd w:val="clear" w:color="auto" w:fill="FFFFFF" w:themeFill="background1"/>
          </w:tcPr>
          <w:p w14:paraId="7866B0DB" w14:textId="77777777" w:rsidR="007B26F1" w:rsidRPr="009E6B6E" w:rsidRDefault="007B26F1" w:rsidP="00F4486F">
            <w:pPr>
              <w:spacing w:after="0" w:line="240" w:lineRule="auto"/>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V</w:t>
            </w:r>
            <w:r>
              <w:rPr>
                <w:rFonts w:ascii="Times New Roman" w:eastAsia="Times New Roman" w:hAnsi="Times New Roman" w:cs="Times New Roman"/>
                <w:color w:val="000000"/>
                <w:sz w:val="18"/>
                <w:szCs w:val="18"/>
                <w:lang w:val="en-US"/>
              </w:rPr>
              <w:t>CE</w:t>
            </w:r>
            <w:r w:rsidRPr="009E6B6E">
              <w:rPr>
                <w:rFonts w:ascii="Times New Roman" w:eastAsia="Times New Roman" w:hAnsi="Times New Roman" w:cs="Times New Roman"/>
                <w:color w:val="000000"/>
                <w:sz w:val="18"/>
                <w:szCs w:val="18"/>
                <w:lang w:val="en-US"/>
              </w:rPr>
              <w:t>D</w:t>
            </w:r>
            <w:r>
              <w:rPr>
                <w:rFonts w:ascii="Times New Roman" w:eastAsia="Times New Roman" w:hAnsi="Times New Roman" w:cs="Times New Roman"/>
                <w:color w:val="000000"/>
                <w:sz w:val="18"/>
                <w:szCs w:val="18"/>
                <w:lang w:val="en-US"/>
              </w:rPr>
              <w:t>U</w:t>
            </w:r>
          </w:p>
        </w:tc>
        <w:tc>
          <w:tcPr>
            <w:tcW w:w="850" w:type="dxa"/>
            <w:tcBorders>
              <w:top w:val="single" w:sz="18" w:space="0" w:color="auto"/>
              <w:left w:val="nil"/>
              <w:bottom w:val="single" w:sz="4" w:space="0" w:color="auto"/>
              <w:right w:val="nil"/>
            </w:tcBorders>
            <w:shd w:val="clear" w:color="auto" w:fill="FFFFFF" w:themeFill="background1"/>
          </w:tcPr>
          <w:p w14:paraId="169BB4E0" w14:textId="77777777" w:rsidR="007B26F1" w:rsidRPr="009E6B6E" w:rsidRDefault="007B26F1" w:rsidP="00F4486F">
            <w:pPr>
              <w:spacing w:after="0" w:line="240" w:lineRule="auto"/>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V</w:t>
            </w:r>
            <w:r>
              <w:rPr>
                <w:rFonts w:ascii="Times New Roman" w:eastAsia="Times New Roman" w:hAnsi="Times New Roman" w:cs="Times New Roman"/>
                <w:color w:val="000000"/>
                <w:sz w:val="18"/>
                <w:szCs w:val="18"/>
                <w:lang w:val="en-US"/>
              </w:rPr>
              <w:t>C</w:t>
            </w:r>
            <w:r w:rsidRPr="009E6B6E">
              <w:rPr>
                <w:rFonts w:ascii="Times New Roman" w:eastAsia="Times New Roman" w:hAnsi="Times New Roman" w:cs="Times New Roman"/>
                <w:color w:val="000000"/>
                <w:sz w:val="18"/>
                <w:szCs w:val="18"/>
                <w:lang w:val="en-US"/>
              </w:rPr>
              <w:t>A</w:t>
            </w:r>
            <w:r>
              <w:rPr>
                <w:rFonts w:ascii="Times New Roman" w:eastAsia="Times New Roman" w:hAnsi="Times New Roman" w:cs="Times New Roman"/>
                <w:color w:val="000000"/>
                <w:sz w:val="18"/>
                <w:szCs w:val="18"/>
                <w:lang w:val="en-US"/>
              </w:rPr>
              <w:t>GE</w:t>
            </w:r>
          </w:p>
        </w:tc>
        <w:tc>
          <w:tcPr>
            <w:tcW w:w="709" w:type="dxa"/>
            <w:tcBorders>
              <w:top w:val="single" w:sz="18" w:space="0" w:color="auto"/>
              <w:left w:val="nil"/>
              <w:bottom w:val="single" w:sz="4" w:space="0" w:color="auto"/>
              <w:right w:val="nil"/>
            </w:tcBorders>
            <w:shd w:val="clear" w:color="auto" w:fill="FFFFFF" w:themeFill="background1"/>
            <w:vAlign w:val="center"/>
          </w:tcPr>
          <w:p w14:paraId="6E76BDD4" w14:textId="77777777" w:rsidR="007B26F1" w:rsidRPr="009E6B6E" w:rsidRDefault="007B26F1" w:rsidP="00F4486F">
            <w:pPr>
              <w:spacing w:after="0" w:line="240" w:lineRule="auto"/>
              <w:ind w:right="-108"/>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V</w:t>
            </w:r>
            <w:r>
              <w:rPr>
                <w:rFonts w:ascii="Times New Roman" w:eastAsia="Times New Roman" w:hAnsi="Times New Roman" w:cs="Times New Roman"/>
                <w:color w:val="000000"/>
                <w:sz w:val="18"/>
                <w:szCs w:val="18"/>
                <w:lang w:val="en-US"/>
              </w:rPr>
              <w:t>C</w:t>
            </w:r>
            <w:r w:rsidRPr="009E6B6E">
              <w:rPr>
                <w:rFonts w:ascii="Times New Roman" w:eastAsia="Times New Roman" w:hAnsi="Times New Roman" w:cs="Times New Roman"/>
                <w:color w:val="000000"/>
                <w:sz w:val="18"/>
                <w:szCs w:val="18"/>
                <w:lang w:val="en-US"/>
              </w:rPr>
              <w:t>T</w:t>
            </w:r>
            <w:r>
              <w:rPr>
                <w:rFonts w:ascii="Times New Roman" w:eastAsia="Times New Roman" w:hAnsi="Times New Roman" w:cs="Times New Roman"/>
                <w:color w:val="000000"/>
                <w:sz w:val="18"/>
                <w:szCs w:val="18"/>
                <w:lang w:val="en-US"/>
              </w:rPr>
              <w:t>EN</w:t>
            </w:r>
          </w:p>
        </w:tc>
        <w:tc>
          <w:tcPr>
            <w:tcW w:w="709" w:type="dxa"/>
            <w:tcBorders>
              <w:top w:val="single" w:sz="18" w:space="0" w:color="auto"/>
              <w:left w:val="nil"/>
              <w:bottom w:val="single" w:sz="4" w:space="0" w:color="auto"/>
              <w:right w:val="nil"/>
            </w:tcBorders>
            <w:shd w:val="clear" w:color="auto" w:fill="FFFFFF" w:themeFill="background1"/>
          </w:tcPr>
          <w:p w14:paraId="5C5D60A8" w14:textId="77777777" w:rsidR="007B26F1" w:rsidRPr="009E6B6E" w:rsidRDefault="007B26F1" w:rsidP="00F4486F">
            <w:pPr>
              <w:spacing w:after="0" w:line="240" w:lineRule="auto"/>
              <w:ind w:right="-114"/>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EGC</w:t>
            </w:r>
          </w:p>
        </w:tc>
        <w:tc>
          <w:tcPr>
            <w:tcW w:w="709" w:type="dxa"/>
            <w:tcBorders>
              <w:top w:val="single" w:sz="18" w:space="0" w:color="auto"/>
              <w:left w:val="nil"/>
              <w:bottom w:val="single" w:sz="4" w:space="0" w:color="auto"/>
              <w:right w:val="nil"/>
            </w:tcBorders>
            <w:shd w:val="clear" w:color="auto" w:fill="FFFFFF" w:themeFill="background1"/>
          </w:tcPr>
          <w:p w14:paraId="0551E394" w14:textId="77777777" w:rsidR="007B26F1" w:rsidRPr="009E6B6E" w:rsidRDefault="007B26F1" w:rsidP="00F4486F">
            <w:pPr>
              <w:spacing w:after="0" w:line="240" w:lineRule="auto"/>
              <w:ind w:right="-114"/>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G</w:t>
            </w:r>
            <w:r>
              <w:rPr>
                <w:rFonts w:ascii="Times New Roman" w:eastAsia="Times New Roman" w:hAnsi="Times New Roman" w:cs="Times New Roman"/>
                <w:color w:val="000000"/>
                <w:sz w:val="18"/>
                <w:szCs w:val="18"/>
                <w:lang w:val="en-US"/>
              </w:rPr>
              <w:t>B</w:t>
            </w:r>
            <w:r w:rsidRPr="009E6B6E">
              <w:rPr>
                <w:rFonts w:ascii="Times New Roman" w:eastAsia="Times New Roman" w:hAnsi="Times New Roman" w:cs="Times New Roman"/>
                <w:color w:val="000000"/>
                <w:sz w:val="18"/>
                <w:szCs w:val="18"/>
                <w:lang w:val="en-US"/>
              </w:rPr>
              <w:t>Z</w:t>
            </w:r>
            <w:r>
              <w:rPr>
                <w:rFonts w:ascii="Times New Roman" w:eastAsia="Times New Roman" w:hAnsi="Times New Roman" w:cs="Times New Roman"/>
                <w:color w:val="000000"/>
                <w:sz w:val="18"/>
                <w:szCs w:val="18"/>
                <w:lang w:val="en-US"/>
              </w:rPr>
              <w:t>E</w:t>
            </w:r>
          </w:p>
        </w:tc>
        <w:tc>
          <w:tcPr>
            <w:tcW w:w="709" w:type="dxa"/>
            <w:tcBorders>
              <w:top w:val="single" w:sz="18" w:space="0" w:color="auto"/>
              <w:left w:val="nil"/>
              <w:bottom w:val="single" w:sz="4" w:space="0" w:color="auto"/>
              <w:right w:val="nil"/>
            </w:tcBorders>
            <w:shd w:val="clear" w:color="auto" w:fill="FFFFFF" w:themeFill="background1"/>
          </w:tcPr>
          <w:p w14:paraId="31945060" w14:textId="77777777" w:rsidR="007B26F1" w:rsidRPr="009E6B6E" w:rsidRDefault="007B26F1" w:rsidP="00F4486F">
            <w:pPr>
              <w:spacing w:after="0" w:line="240" w:lineRule="auto"/>
              <w:ind w:right="-246"/>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G</w:t>
            </w:r>
            <w:r>
              <w:rPr>
                <w:rFonts w:ascii="Times New Roman" w:eastAsia="Times New Roman" w:hAnsi="Times New Roman" w:cs="Times New Roman"/>
                <w:color w:val="000000"/>
                <w:sz w:val="18"/>
                <w:szCs w:val="18"/>
                <w:lang w:val="en-US"/>
              </w:rPr>
              <w:t>BGE</w:t>
            </w:r>
            <w:r w:rsidRPr="009E6B6E">
              <w:rPr>
                <w:rFonts w:ascii="Times New Roman" w:eastAsia="Times New Roman" w:hAnsi="Times New Roman" w:cs="Times New Roman"/>
                <w:color w:val="000000"/>
                <w:sz w:val="18"/>
                <w:szCs w:val="18"/>
                <w:lang w:val="en-US"/>
              </w:rPr>
              <w:t>D</w:t>
            </w:r>
          </w:p>
        </w:tc>
        <w:tc>
          <w:tcPr>
            <w:tcW w:w="709" w:type="dxa"/>
            <w:tcBorders>
              <w:top w:val="single" w:sz="18" w:space="0" w:color="auto"/>
              <w:left w:val="nil"/>
              <w:bottom w:val="single" w:sz="4" w:space="0" w:color="auto"/>
              <w:right w:val="nil"/>
            </w:tcBorders>
            <w:shd w:val="clear" w:color="auto" w:fill="FFFFFF" w:themeFill="background1"/>
          </w:tcPr>
          <w:p w14:paraId="21DC41C7" w14:textId="77777777" w:rsidR="007B26F1" w:rsidRPr="009E6B6E" w:rsidRDefault="007B26F1" w:rsidP="00F4486F">
            <w:pPr>
              <w:spacing w:after="0" w:line="240" w:lineRule="auto"/>
              <w:ind w:right="-103"/>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GBIND</w:t>
            </w:r>
          </w:p>
        </w:tc>
        <w:tc>
          <w:tcPr>
            <w:tcW w:w="709" w:type="dxa"/>
            <w:tcBorders>
              <w:top w:val="single" w:sz="18" w:space="0" w:color="auto"/>
              <w:left w:val="nil"/>
              <w:bottom w:val="single" w:sz="4" w:space="0" w:color="auto"/>
              <w:right w:val="nil"/>
            </w:tcBorders>
            <w:shd w:val="clear" w:color="auto" w:fill="FFFFFF" w:themeFill="background1"/>
            <w:vAlign w:val="center"/>
          </w:tcPr>
          <w:p w14:paraId="19D42D09" w14:textId="77777777" w:rsidR="007B26F1" w:rsidRPr="009E6B6E" w:rsidRDefault="007B26F1" w:rsidP="00F4486F">
            <w:pPr>
              <w:spacing w:after="0" w:line="240" w:lineRule="auto"/>
              <w:ind w:right="-102"/>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 xml:space="preserve"> G</w:t>
            </w:r>
            <w:r>
              <w:rPr>
                <w:rFonts w:ascii="Times New Roman" w:eastAsia="Times New Roman" w:hAnsi="Times New Roman" w:cs="Times New Roman"/>
                <w:color w:val="000000"/>
                <w:sz w:val="18"/>
                <w:szCs w:val="18"/>
                <w:lang w:val="en-US"/>
              </w:rPr>
              <w:t>B</w:t>
            </w:r>
            <w:r w:rsidRPr="009E6B6E">
              <w:rPr>
                <w:rFonts w:ascii="Times New Roman" w:eastAsia="Times New Roman" w:hAnsi="Times New Roman" w:cs="Times New Roman"/>
                <w:color w:val="000000"/>
                <w:sz w:val="18"/>
                <w:szCs w:val="18"/>
                <w:lang w:val="en-US"/>
              </w:rPr>
              <w:t>M</w:t>
            </w:r>
            <w:r>
              <w:rPr>
                <w:rFonts w:ascii="Times New Roman" w:eastAsia="Times New Roman" w:hAnsi="Times New Roman" w:cs="Times New Roman"/>
                <w:color w:val="000000"/>
                <w:sz w:val="18"/>
                <w:szCs w:val="18"/>
                <w:lang w:val="en-US"/>
              </w:rPr>
              <w:t>T</w:t>
            </w:r>
          </w:p>
        </w:tc>
        <w:tc>
          <w:tcPr>
            <w:tcW w:w="708" w:type="dxa"/>
            <w:tcBorders>
              <w:top w:val="single" w:sz="18" w:space="0" w:color="auto"/>
              <w:left w:val="nil"/>
              <w:bottom w:val="single" w:sz="4" w:space="0" w:color="auto"/>
              <w:right w:val="nil"/>
            </w:tcBorders>
            <w:shd w:val="clear" w:color="auto" w:fill="FFFFFF" w:themeFill="background1"/>
            <w:vAlign w:val="center"/>
          </w:tcPr>
          <w:p w14:paraId="7BD07F84" w14:textId="77777777" w:rsidR="007B26F1" w:rsidRPr="009E6B6E" w:rsidRDefault="007B26F1" w:rsidP="00F4486F">
            <w:pPr>
              <w:spacing w:after="0" w:line="240" w:lineRule="auto"/>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A</w:t>
            </w:r>
            <w:r>
              <w:rPr>
                <w:rFonts w:ascii="Times New Roman" w:eastAsia="Times New Roman" w:hAnsi="Times New Roman" w:cs="Times New Roman"/>
                <w:color w:val="000000"/>
                <w:sz w:val="18"/>
                <w:szCs w:val="18"/>
                <w:lang w:val="en-US"/>
              </w:rPr>
              <w:t>F</w:t>
            </w:r>
            <w:r w:rsidRPr="009E6B6E">
              <w:rPr>
                <w:rFonts w:ascii="Times New Roman" w:eastAsia="Times New Roman" w:hAnsi="Times New Roman" w:cs="Times New Roman"/>
                <w:color w:val="000000"/>
                <w:sz w:val="18"/>
                <w:szCs w:val="18"/>
                <w:lang w:val="en-US"/>
              </w:rPr>
              <w:t>Z</w:t>
            </w:r>
            <w:r>
              <w:rPr>
                <w:rFonts w:ascii="Times New Roman" w:eastAsia="Times New Roman" w:hAnsi="Times New Roman" w:cs="Times New Roman"/>
                <w:color w:val="000000"/>
                <w:sz w:val="18"/>
                <w:szCs w:val="18"/>
                <w:lang w:val="en-US"/>
              </w:rPr>
              <w:t>E</w:t>
            </w:r>
          </w:p>
        </w:tc>
        <w:tc>
          <w:tcPr>
            <w:tcW w:w="850" w:type="dxa"/>
            <w:tcBorders>
              <w:top w:val="single" w:sz="18" w:space="0" w:color="auto"/>
              <w:left w:val="nil"/>
              <w:bottom w:val="single" w:sz="4" w:space="0" w:color="auto"/>
              <w:right w:val="nil"/>
            </w:tcBorders>
            <w:shd w:val="clear" w:color="auto" w:fill="FFFFFF" w:themeFill="background1"/>
            <w:vAlign w:val="center"/>
          </w:tcPr>
          <w:p w14:paraId="08B8F593" w14:textId="3EF6FB79" w:rsidR="007B26F1" w:rsidRPr="009E6B6E" w:rsidRDefault="007B26F1" w:rsidP="00F4486F">
            <w:pPr>
              <w:spacing w:after="0" w:line="240" w:lineRule="auto"/>
              <w:ind w:right="-251"/>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 xml:space="preserve"> </w:t>
            </w:r>
            <w:r>
              <w:rPr>
                <w:rFonts w:ascii="Times New Roman" w:eastAsia="Times New Roman" w:hAnsi="Times New Roman" w:cs="Times New Roman"/>
                <w:color w:val="000000"/>
                <w:sz w:val="18"/>
                <w:szCs w:val="18"/>
                <w:lang w:val="en-US"/>
              </w:rPr>
              <w:t>HEIAGE</w:t>
            </w:r>
          </w:p>
        </w:tc>
        <w:tc>
          <w:tcPr>
            <w:tcW w:w="709" w:type="dxa"/>
            <w:tcBorders>
              <w:top w:val="single" w:sz="18" w:space="0" w:color="auto"/>
              <w:left w:val="nil"/>
              <w:bottom w:val="single" w:sz="4" w:space="0" w:color="auto"/>
              <w:right w:val="nil"/>
            </w:tcBorders>
            <w:shd w:val="clear" w:color="auto" w:fill="FFFFFF" w:themeFill="background1"/>
          </w:tcPr>
          <w:p w14:paraId="3AB1BD61" w14:textId="77777777" w:rsidR="007B26F1" w:rsidRPr="009E6B6E" w:rsidRDefault="007B26F1" w:rsidP="00F4486F">
            <w:pPr>
              <w:spacing w:after="0" w:line="240" w:lineRule="auto"/>
              <w:ind w:right="-108"/>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HEIZE</w:t>
            </w:r>
          </w:p>
        </w:tc>
        <w:tc>
          <w:tcPr>
            <w:tcW w:w="709" w:type="dxa"/>
            <w:tcBorders>
              <w:top w:val="single" w:sz="18" w:space="0" w:color="auto"/>
              <w:left w:val="nil"/>
              <w:bottom w:val="single" w:sz="4" w:space="0" w:color="auto"/>
              <w:right w:val="nil"/>
            </w:tcBorders>
            <w:shd w:val="clear" w:color="auto" w:fill="FFFFFF" w:themeFill="background1"/>
            <w:vAlign w:val="center"/>
          </w:tcPr>
          <w:p w14:paraId="4FBAF5D3" w14:textId="77777777" w:rsidR="007B26F1" w:rsidRPr="009E6B6E" w:rsidRDefault="007B26F1" w:rsidP="00F4486F">
            <w:pPr>
              <w:spacing w:after="0" w:line="240" w:lineRule="auto"/>
              <w:ind w:right="-249"/>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CFUND</w:t>
            </w:r>
          </w:p>
        </w:tc>
        <w:tc>
          <w:tcPr>
            <w:tcW w:w="709" w:type="dxa"/>
            <w:tcBorders>
              <w:top w:val="single" w:sz="18" w:space="0" w:color="auto"/>
              <w:left w:val="nil"/>
              <w:bottom w:val="single" w:sz="4" w:space="0" w:color="auto"/>
              <w:right w:val="nil"/>
            </w:tcBorders>
            <w:shd w:val="clear" w:color="auto" w:fill="FFFFFF" w:themeFill="background1"/>
            <w:vAlign w:val="center"/>
          </w:tcPr>
          <w:p w14:paraId="52757359" w14:textId="77777777" w:rsidR="007B26F1" w:rsidRPr="009E6B6E" w:rsidRDefault="007B26F1" w:rsidP="00F4486F">
            <w:pPr>
              <w:spacing w:after="0" w:line="240" w:lineRule="auto"/>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P</w:t>
            </w:r>
            <w:r>
              <w:rPr>
                <w:rFonts w:ascii="Times New Roman" w:eastAsia="Times New Roman" w:hAnsi="Times New Roman" w:cs="Times New Roman"/>
                <w:color w:val="000000"/>
                <w:sz w:val="18"/>
                <w:szCs w:val="18"/>
                <w:lang w:val="en-US"/>
              </w:rPr>
              <w:t>ST</w:t>
            </w:r>
            <w:r w:rsidRPr="009E6B6E">
              <w:rPr>
                <w:rFonts w:ascii="Times New Roman" w:eastAsia="Times New Roman" w:hAnsi="Times New Roman" w:cs="Times New Roman"/>
                <w:color w:val="000000"/>
                <w:sz w:val="18"/>
                <w:szCs w:val="18"/>
                <w:lang w:val="en-US"/>
              </w:rPr>
              <w:t>92</w:t>
            </w:r>
          </w:p>
        </w:tc>
        <w:tc>
          <w:tcPr>
            <w:tcW w:w="709" w:type="dxa"/>
            <w:tcBorders>
              <w:top w:val="single" w:sz="18" w:space="0" w:color="auto"/>
              <w:left w:val="nil"/>
              <w:bottom w:val="single" w:sz="4" w:space="0" w:color="auto"/>
              <w:right w:val="nil"/>
            </w:tcBorders>
            <w:shd w:val="clear" w:color="auto" w:fill="FFFFFF" w:themeFill="background1"/>
            <w:vAlign w:val="center"/>
          </w:tcPr>
          <w:p w14:paraId="7ED6F30C" w14:textId="77777777" w:rsidR="007B26F1" w:rsidRPr="009E6B6E" w:rsidRDefault="007B26F1" w:rsidP="00F4486F">
            <w:pPr>
              <w:spacing w:after="0" w:line="240" w:lineRule="auto"/>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R</w:t>
            </w:r>
            <w:r>
              <w:rPr>
                <w:rFonts w:ascii="Times New Roman" w:eastAsia="Times New Roman" w:hAnsi="Times New Roman" w:cs="Times New Roman"/>
                <w:color w:val="000000"/>
                <w:sz w:val="18"/>
                <w:szCs w:val="18"/>
                <w:lang w:val="en-US"/>
              </w:rPr>
              <w:t>US</w:t>
            </w:r>
            <w:r w:rsidRPr="009E6B6E">
              <w:rPr>
                <w:rFonts w:ascii="Times New Roman" w:eastAsia="Times New Roman" w:hAnsi="Times New Roman" w:cs="Times New Roman"/>
                <w:color w:val="000000"/>
                <w:sz w:val="18"/>
                <w:szCs w:val="18"/>
                <w:lang w:val="en-US"/>
              </w:rPr>
              <w:t>G</w:t>
            </w:r>
          </w:p>
        </w:tc>
        <w:tc>
          <w:tcPr>
            <w:tcW w:w="708" w:type="dxa"/>
            <w:tcBorders>
              <w:top w:val="single" w:sz="18" w:space="0" w:color="auto"/>
              <w:left w:val="nil"/>
              <w:bottom w:val="single" w:sz="4" w:space="0" w:color="auto"/>
              <w:right w:val="nil"/>
            </w:tcBorders>
            <w:shd w:val="clear" w:color="auto" w:fill="FFFFFF" w:themeFill="background1"/>
            <w:vAlign w:val="center"/>
          </w:tcPr>
          <w:p w14:paraId="17370BC6" w14:textId="77777777" w:rsidR="007B26F1" w:rsidRPr="009E6B6E" w:rsidRDefault="007B26F1" w:rsidP="00F4486F">
            <w:pPr>
              <w:spacing w:after="0" w:line="240" w:lineRule="auto"/>
              <w:ind w:right="-103"/>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LQ</w:t>
            </w:r>
            <w:r>
              <w:rPr>
                <w:rFonts w:ascii="Times New Roman" w:eastAsia="Times New Roman" w:hAnsi="Times New Roman" w:cs="Times New Roman"/>
                <w:color w:val="000000"/>
                <w:sz w:val="18"/>
                <w:szCs w:val="18"/>
                <w:lang w:val="en-US"/>
              </w:rPr>
              <w:t>UD</w:t>
            </w:r>
          </w:p>
        </w:tc>
        <w:tc>
          <w:tcPr>
            <w:tcW w:w="709" w:type="dxa"/>
            <w:tcBorders>
              <w:top w:val="single" w:sz="18" w:space="0" w:color="auto"/>
              <w:left w:val="nil"/>
              <w:bottom w:val="single" w:sz="4" w:space="0" w:color="auto"/>
              <w:right w:val="nil"/>
            </w:tcBorders>
            <w:shd w:val="clear" w:color="auto" w:fill="FFFFFF" w:themeFill="background1"/>
            <w:vAlign w:val="center"/>
          </w:tcPr>
          <w:p w14:paraId="35CB5A83" w14:textId="77777777" w:rsidR="007B26F1" w:rsidRPr="009E6B6E" w:rsidRDefault="007B26F1" w:rsidP="00F4486F">
            <w:pPr>
              <w:spacing w:after="0" w:line="240" w:lineRule="auto"/>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C</w:t>
            </w:r>
            <w:r>
              <w:rPr>
                <w:rFonts w:ascii="Times New Roman" w:eastAsia="Times New Roman" w:hAnsi="Times New Roman" w:cs="Times New Roman"/>
                <w:color w:val="000000"/>
                <w:sz w:val="18"/>
                <w:szCs w:val="18"/>
                <w:lang w:val="en-US"/>
              </w:rPr>
              <w:t>PE</w:t>
            </w:r>
            <w:r w:rsidRPr="009E6B6E">
              <w:rPr>
                <w:rFonts w:ascii="Times New Roman" w:eastAsia="Times New Roman" w:hAnsi="Times New Roman" w:cs="Times New Roman"/>
                <w:color w:val="000000"/>
                <w:sz w:val="18"/>
                <w:szCs w:val="18"/>
                <w:lang w:val="en-US"/>
              </w:rPr>
              <w:t>X</w:t>
            </w:r>
          </w:p>
        </w:tc>
        <w:tc>
          <w:tcPr>
            <w:tcW w:w="709" w:type="dxa"/>
            <w:tcBorders>
              <w:top w:val="single" w:sz="18" w:space="0" w:color="auto"/>
              <w:left w:val="nil"/>
              <w:bottom w:val="single" w:sz="4" w:space="0" w:color="auto"/>
              <w:right w:val="nil"/>
            </w:tcBorders>
            <w:shd w:val="clear" w:color="auto" w:fill="FFFFFF" w:themeFill="background1"/>
            <w:vAlign w:val="center"/>
          </w:tcPr>
          <w:p w14:paraId="555C142D" w14:textId="77777777" w:rsidR="007B26F1" w:rsidRPr="009E6B6E" w:rsidRDefault="007B26F1" w:rsidP="00F4486F">
            <w:pPr>
              <w:spacing w:after="0" w:line="240" w:lineRule="auto"/>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L</w:t>
            </w:r>
            <w:r>
              <w:rPr>
                <w:rFonts w:ascii="Times New Roman" w:eastAsia="Times New Roman" w:hAnsi="Times New Roman" w:cs="Times New Roman"/>
                <w:color w:val="000000"/>
                <w:sz w:val="18"/>
                <w:szCs w:val="18"/>
                <w:lang w:val="en-US"/>
              </w:rPr>
              <w:t>E</w:t>
            </w:r>
            <w:r w:rsidRPr="009E6B6E">
              <w:rPr>
                <w:rFonts w:ascii="Times New Roman" w:eastAsia="Times New Roman" w:hAnsi="Times New Roman" w:cs="Times New Roman"/>
                <w:color w:val="000000"/>
                <w:sz w:val="18"/>
                <w:szCs w:val="18"/>
                <w:lang w:val="en-US"/>
              </w:rPr>
              <w:t>V</w:t>
            </w:r>
            <w:r>
              <w:rPr>
                <w:rFonts w:ascii="Times New Roman" w:eastAsia="Times New Roman" w:hAnsi="Times New Roman" w:cs="Times New Roman"/>
                <w:color w:val="000000"/>
                <w:sz w:val="18"/>
                <w:szCs w:val="18"/>
                <w:lang w:val="en-US"/>
              </w:rPr>
              <w:t>R</w:t>
            </w:r>
          </w:p>
        </w:tc>
        <w:tc>
          <w:tcPr>
            <w:tcW w:w="709" w:type="dxa"/>
            <w:tcBorders>
              <w:top w:val="single" w:sz="18" w:space="0" w:color="auto"/>
              <w:left w:val="nil"/>
              <w:bottom w:val="single" w:sz="4" w:space="0" w:color="auto"/>
              <w:right w:val="nil"/>
            </w:tcBorders>
            <w:shd w:val="clear" w:color="auto" w:fill="FFFFFF" w:themeFill="background1"/>
          </w:tcPr>
          <w:p w14:paraId="487EF237" w14:textId="77777777" w:rsidR="007B26F1" w:rsidRPr="009E6B6E" w:rsidRDefault="007B26F1" w:rsidP="00F4486F">
            <w:pPr>
              <w:spacing w:after="0" w:line="240" w:lineRule="auto"/>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GR</w:t>
            </w:r>
            <w:r>
              <w:rPr>
                <w:rFonts w:ascii="Times New Roman" w:eastAsia="Times New Roman" w:hAnsi="Times New Roman" w:cs="Times New Roman"/>
                <w:color w:val="000000"/>
                <w:sz w:val="18"/>
                <w:szCs w:val="18"/>
                <w:lang w:val="en-US"/>
              </w:rPr>
              <w:t>TH</w:t>
            </w:r>
          </w:p>
        </w:tc>
        <w:tc>
          <w:tcPr>
            <w:tcW w:w="713" w:type="dxa"/>
            <w:tcBorders>
              <w:top w:val="single" w:sz="18" w:space="0" w:color="auto"/>
              <w:left w:val="nil"/>
              <w:bottom w:val="single" w:sz="4" w:space="0" w:color="auto"/>
            </w:tcBorders>
            <w:shd w:val="clear" w:color="auto" w:fill="FFFFFF" w:themeFill="background1"/>
          </w:tcPr>
          <w:p w14:paraId="491F0916" w14:textId="77777777" w:rsidR="007B26F1" w:rsidRPr="009E6B6E" w:rsidRDefault="007B26F1" w:rsidP="00F4486F">
            <w:pPr>
              <w:spacing w:after="0" w:line="240" w:lineRule="auto"/>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R</w:t>
            </w:r>
            <w:r>
              <w:rPr>
                <w:rFonts w:ascii="Times New Roman" w:eastAsia="Times New Roman" w:hAnsi="Times New Roman" w:cs="Times New Roman"/>
                <w:color w:val="000000"/>
                <w:sz w:val="18"/>
                <w:szCs w:val="18"/>
                <w:lang w:val="en-US"/>
              </w:rPr>
              <w:t>IS</w:t>
            </w:r>
            <w:r w:rsidRPr="009E6B6E">
              <w:rPr>
                <w:rFonts w:ascii="Times New Roman" w:eastAsia="Times New Roman" w:hAnsi="Times New Roman" w:cs="Times New Roman"/>
                <w:color w:val="000000"/>
                <w:sz w:val="18"/>
                <w:szCs w:val="18"/>
                <w:lang w:val="en-US"/>
              </w:rPr>
              <w:t>K</w:t>
            </w:r>
          </w:p>
        </w:tc>
      </w:tr>
      <w:tr w:rsidR="007B26F1" w:rsidRPr="009E6B6E" w14:paraId="3E59C6A5" w14:textId="77777777" w:rsidTr="000711DA">
        <w:trPr>
          <w:trHeight w:val="293"/>
        </w:trPr>
        <w:tc>
          <w:tcPr>
            <w:tcW w:w="851" w:type="dxa"/>
            <w:tcBorders>
              <w:top w:val="nil"/>
              <w:left w:val="nil"/>
              <w:bottom w:val="nil"/>
            </w:tcBorders>
            <w:shd w:val="clear" w:color="auto" w:fill="FFFFFF" w:themeFill="background1"/>
          </w:tcPr>
          <w:p w14:paraId="61E12426" w14:textId="77777777" w:rsidR="007B26F1" w:rsidRPr="009E6B6E" w:rsidRDefault="007B26F1" w:rsidP="00F4486F">
            <w:pPr>
              <w:spacing w:after="0" w:line="240" w:lineRule="auto"/>
              <w:rPr>
                <w:rFonts w:ascii="Times New Roman" w:eastAsia="Times New Roman" w:hAnsi="Times New Roman" w:cs="Times New Roman"/>
                <w:iCs/>
                <w:color w:val="000000"/>
                <w:sz w:val="18"/>
                <w:szCs w:val="18"/>
                <w:lang w:val="en-US"/>
              </w:rPr>
            </w:pPr>
            <w:r w:rsidRPr="009E6B6E">
              <w:rPr>
                <w:rFonts w:ascii="Times New Roman" w:eastAsia="Times New Roman" w:hAnsi="Times New Roman" w:cs="Times New Roman"/>
                <w:iCs/>
                <w:color w:val="000000"/>
                <w:sz w:val="18"/>
                <w:szCs w:val="18"/>
                <w:lang w:val="en-US"/>
              </w:rPr>
              <w:t>HEGI</w:t>
            </w:r>
          </w:p>
        </w:tc>
        <w:tc>
          <w:tcPr>
            <w:tcW w:w="709" w:type="dxa"/>
            <w:tcBorders>
              <w:top w:val="nil"/>
              <w:left w:val="nil"/>
              <w:bottom w:val="nil"/>
              <w:right w:val="nil"/>
            </w:tcBorders>
            <w:shd w:val="clear" w:color="auto" w:fill="FFFFFF" w:themeFill="background1"/>
            <w:noWrap/>
          </w:tcPr>
          <w:p w14:paraId="1534B85F"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p>
        </w:tc>
        <w:tc>
          <w:tcPr>
            <w:tcW w:w="709" w:type="dxa"/>
            <w:shd w:val="clear" w:color="auto" w:fill="FFFFFF" w:themeFill="background1"/>
          </w:tcPr>
          <w:p w14:paraId="2291E3F0"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850" w:type="dxa"/>
            <w:shd w:val="clear" w:color="auto" w:fill="FFFFFF" w:themeFill="background1"/>
          </w:tcPr>
          <w:p w14:paraId="51E23658"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850" w:type="dxa"/>
            <w:shd w:val="clear" w:color="auto" w:fill="FFFFFF" w:themeFill="background1"/>
          </w:tcPr>
          <w:p w14:paraId="6E4BA4BC"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-0.11</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66FBA72C"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tcPr>
          <w:p w14:paraId="5F492BF5"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0.18</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15284234"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44808375"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113FECAF"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0.24</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5C67AC7F" w14:textId="77777777" w:rsidR="007B26F1" w:rsidRPr="009E6B6E" w:rsidRDefault="007B26F1" w:rsidP="00F4486F">
            <w:pPr>
              <w:spacing w:after="0" w:line="240" w:lineRule="auto"/>
              <w:ind w:right="-13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0.23</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noWrap/>
          </w:tcPr>
          <w:p w14:paraId="10516373"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-0.15</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noWrap/>
          </w:tcPr>
          <w:p w14:paraId="1D60E80E"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noWrap/>
          </w:tcPr>
          <w:p w14:paraId="29B31A2F"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tcPr>
          <w:p w14:paraId="57004049" w14:textId="77777777" w:rsidR="007B26F1" w:rsidRPr="009E6B6E" w:rsidRDefault="007B26F1" w:rsidP="00F4486F">
            <w:pPr>
              <w:spacing w:after="0" w:line="240" w:lineRule="auto"/>
              <w:ind w:right="-120"/>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3FAF07BD"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noWrap/>
          </w:tcPr>
          <w:p w14:paraId="38C8A19F"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-0.06</w:t>
            </w:r>
          </w:p>
        </w:tc>
        <w:tc>
          <w:tcPr>
            <w:tcW w:w="708" w:type="dxa"/>
            <w:shd w:val="clear" w:color="auto" w:fill="FFFFFF" w:themeFill="background1"/>
          </w:tcPr>
          <w:p w14:paraId="03ED20F0"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9" w:type="dxa"/>
            <w:shd w:val="clear" w:color="auto" w:fill="FFFFFF" w:themeFill="background1"/>
            <w:noWrap/>
          </w:tcPr>
          <w:p w14:paraId="3B15584D"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noWrap/>
          </w:tcPr>
          <w:p w14:paraId="3CE955E5"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9" w:type="dxa"/>
            <w:shd w:val="clear" w:color="auto" w:fill="FFFFFF" w:themeFill="background1"/>
          </w:tcPr>
          <w:p w14:paraId="5E90F673"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13" w:type="dxa"/>
            <w:tcBorders>
              <w:top w:val="single" w:sz="4" w:space="0" w:color="auto"/>
            </w:tcBorders>
            <w:shd w:val="clear" w:color="auto" w:fill="FFFFFF" w:themeFill="background1"/>
          </w:tcPr>
          <w:p w14:paraId="7A4B85D2"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r>
      <w:tr w:rsidR="007B26F1" w:rsidRPr="009E6B6E" w14:paraId="1B7E5B8C" w14:textId="77777777" w:rsidTr="000711DA">
        <w:trPr>
          <w:trHeight w:val="293"/>
        </w:trPr>
        <w:tc>
          <w:tcPr>
            <w:tcW w:w="851" w:type="dxa"/>
            <w:tcBorders>
              <w:top w:val="nil"/>
              <w:left w:val="nil"/>
              <w:bottom w:val="nil"/>
            </w:tcBorders>
            <w:shd w:val="clear" w:color="auto" w:fill="FFFFFF" w:themeFill="background1"/>
          </w:tcPr>
          <w:p w14:paraId="15267D70" w14:textId="77777777" w:rsidR="007B26F1" w:rsidRPr="009E6B6E" w:rsidRDefault="007B26F1" w:rsidP="00F4486F">
            <w:pPr>
              <w:spacing w:after="0" w:line="240" w:lineRule="auto"/>
              <w:rPr>
                <w:rFonts w:ascii="Times New Roman" w:eastAsia="Times New Roman" w:hAnsi="Times New Roman" w:cs="Times New Roman"/>
                <w:iCs/>
                <w:color w:val="000000"/>
                <w:sz w:val="18"/>
                <w:szCs w:val="18"/>
                <w:lang w:val="en-US"/>
              </w:rPr>
            </w:pPr>
            <w:r w:rsidRPr="009E6B6E">
              <w:rPr>
                <w:rFonts w:ascii="Times New Roman" w:eastAsia="Times New Roman" w:hAnsi="Times New Roman" w:cs="Times New Roman"/>
                <w:iCs/>
                <w:color w:val="000000"/>
                <w:sz w:val="18"/>
                <w:szCs w:val="18"/>
                <w:lang w:val="en-US"/>
              </w:rPr>
              <w:t>V</w:t>
            </w:r>
            <w:r>
              <w:rPr>
                <w:rFonts w:ascii="Times New Roman" w:eastAsia="Times New Roman" w:hAnsi="Times New Roman" w:cs="Times New Roman"/>
                <w:iCs/>
                <w:color w:val="000000"/>
                <w:sz w:val="18"/>
                <w:szCs w:val="18"/>
                <w:lang w:val="en-US"/>
              </w:rPr>
              <w:t>C</w:t>
            </w:r>
            <w:r w:rsidRPr="009E6B6E">
              <w:rPr>
                <w:rFonts w:ascii="Times New Roman" w:eastAsia="Times New Roman" w:hAnsi="Times New Roman" w:cs="Times New Roman"/>
                <w:iCs/>
                <w:color w:val="000000"/>
                <w:sz w:val="18"/>
                <w:szCs w:val="18"/>
                <w:lang w:val="en-US"/>
              </w:rPr>
              <w:t>G</w:t>
            </w:r>
            <w:r>
              <w:rPr>
                <w:rFonts w:ascii="Times New Roman" w:eastAsia="Times New Roman" w:hAnsi="Times New Roman" w:cs="Times New Roman"/>
                <w:iCs/>
                <w:color w:val="000000"/>
                <w:sz w:val="18"/>
                <w:szCs w:val="18"/>
                <w:lang w:val="en-US"/>
              </w:rPr>
              <w:t>EN</w:t>
            </w:r>
          </w:p>
        </w:tc>
        <w:tc>
          <w:tcPr>
            <w:tcW w:w="709" w:type="dxa"/>
            <w:tcBorders>
              <w:top w:val="nil"/>
              <w:left w:val="nil"/>
              <w:bottom w:val="nil"/>
              <w:right w:val="nil"/>
            </w:tcBorders>
            <w:shd w:val="clear" w:color="auto" w:fill="FFFFFF" w:themeFill="background1"/>
            <w:noWrap/>
          </w:tcPr>
          <w:p w14:paraId="00A6EED5"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09" w:type="dxa"/>
            <w:shd w:val="clear" w:color="auto" w:fill="FFFFFF" w:themeFill="background1"/>
          </w:tcPr>
          <w:p w14:paraId="1F251D40"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p>
        </w:tc>
        <w:tc>
          <w:tcPr>
            <w:tcW w:w="850" w:type="dxa"/>
            <w:shd w:val="clear" w:color="auto" w:fill="FFFFFF" w:themeFill="background1"/>
          </w:tcPr>
          <w:p w14:paraId="6DDFD8BF"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0.06</w:t>
            </w:r>
          </w:p>
        </w:tc>
        <w:tc>
          <w:tcPr>
            <w:tcW w:w="850" w:type="dxa"/>
            <w:shd w:val="clear" w:color="auto" w:fill="FFFFFF" w:themeFill="background1"/>
          </w:tcPr>
          <w:p w14:paraId="3F8AFB14"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0.06</w:t>
            </w:r>
          </w:p>
        </w:tc>
        <w:tc>
          <w:tcPr>
            <w:tcW w:w="709" w:type="dxa"/>
            <w:shd w:val="clear" w:color="auto" w:fill="FFFFFF" w:themeFill="background1"/>
          </w:tcPr>
          <w:p w14:paraId="51CF0ED9"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-0.07</w:t>
            </w:r>
          </w:p>
        </w:tc>
        <w:tc>
          <w:tcPr>
            <w:tcW w:w="709" w:type="dxa"/>
            <w:shd w:val="clear" w:color="auto" w:fill="FFFFFF" w:themeFill="background1"/>
          </w:tcPr>
          <w:p w14:paraId="0F7979D8" w14:textId="77777777" w:rsidR="007B26F1" w:rsidRPr="009E6B6E" w:rsidRDefault="007B26F1" w:rsidP="00F4486F">
            <w:pPr>
              <w:spacing w:after="0" w:line="240" w:lineRule="auto"/>
              <w:ind w:right="-120"/>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0.14</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4244133C"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tcPr>
          <w:p w14:paraId="48A2AE60" w14:textId="77777777" w:rsidR="007B26F1" w:rsidRPr="009E6B6E" w:rsidRDefault="007B26F1" w:rsidP="00F4486F">
            <w:pPr>
              <w:spacing w:after="0" w:line="240" w:lineRule="auto"/>
              <w:ind w:right="-128"/>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-0.11</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240880F4"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09" w:type="dxa"/>
            <w:shd w:val="clear" w:color="auto" w:fill="FFFFFF" w:themeFill="background1"/>
            <w:noWrap/>
          </w:tcPr>
          <w:p w14:paraId="7547CF94" w14:textId="77777777" w:rsidR="007B26F1" w:rsidRPr="009E6B6E" w:rsidRDefault="007B26F1" w:rsidP="00F4486F">
            <w:pPr>
              <w:spacing w:after="0" w:line="240" w:lineRule="auto"/>
              <w:ind w:right="-11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08" w:type="dxa"/>
            <w:shd w:val="clear" w:color="auto" w:fill="FFFFFF" w:themeFill="background1"/>
            <w:noWrap/>
          </w:tcPr>
          <w:p w14:paraId="5EF350C8"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850" w:type="dxa"/>
            <w:shd w:val="clear" w:color="auto" w:fill="FFFFFF" w:themeFill="background1"/>
            <w:noWrap/>
          </w:tcPr>
          <w:p w14:paraId="376EF7C7"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0.06</w:t>
            </w:r>
          </w:p>
        </w:tc>
        <w:tc>
          <w:tcPr>
            <w:tcW w:w="709" w:type="dxa"/>
            <w:shd w:val="clear" w:color="auto" w:fill="FFFFFF" w:themeFill="background1"/>
            <w:noWrap/>
          </w:tcPr>
          <w:p w14:paraId="37244F15" w14:textId="77777777" w:rsidR="007B26F1" w:rsidRPr="009E6B6E" w:rsidRDefault="007B26F1" w:rsidP="00F4486F">
            <w:pPr>
              <w:spacing w:after="0" w:line="240" w:lineRule="auto"/>
              <w:ind w:right="-108"/>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0.13</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06FA9E8A"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-0.11</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57A0D9AA"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9" w:type="dxa"/>
            <w:shd w:val="clear" w:color="auto" w:fill="FFFFFF" w:themeFill="background1"/>
            <w:noWrap/>
          </w:tcPr>
          <w:p w14:paraId="50CB3E2D"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tcPr>
          <w:p w14:paraId="201D2203"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-0.06</w:t>
            </w:r>
          </w:p>
        </w:tc>
        <w:tc>
          <w:tcPr>
            <w:tcW w:w="709" w:type="dxa"/>
            <w:shd w:val="clear" w:color="auto" w:fill="FFFFFF" w:themeFill="background1"/>
            <w:noWrap/>
          </w:tcPr>
          <w:p w14:paraId="18AE8284"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79D1C8FB" w14:textId="77777777" w:rsidR="007B26F1" w:rsidRPr="009E6B6E" w:rsidRDefault="007B26F1" w:rsidP="00F4486F">
            <w:pPr>
              <w:spacing w:after="0" w:line="240" w:lineRule="auto"/>
              <w:ind w:right="-23"/>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00184CE2" w14:textId="77777777" w:rsidR="007B26F1" w:rsidRPr="009E6B6E" w:rsidRDefault="007B26F1" w:rsidP="00F4486F">
            <w:pPr>
              <w:spacing w:after="0" w:line="240" w:lineRule="auto"/>
              <w:ind w:right="-23"/>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13" w:type="dxa"/>
            <w:shd w:val="clear" w:color="auto" w:fill="FFFFFF" w:themeFill="background1"/>
          </w:tcPr>
          <w:p w14:paraId="3F4A2BC8" w14:textId="77777777" w:rsidR="007B26F1" w:rsidRPr="009E6B6E" w:rsidRDefault="007B26F1" w:rsidP="00F4486F">
            <w:pPr>
              <w:spacing w:after="0" w:line="240" w:lineRule="auto"/>
              <w:ind w:right="-23"/>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0.06</w:t>
            </w:r>
          </w:p>
        </w:tc>
      </w:tr>
      <w:tr w:rsidR="007B26F1" w:rsidRPr="009E6B6E" w14:paraId="2C4FA5F1" w14:textId="77777777" w:rsidTr="000711DA">
        <w:trPr>
          <w:trHeight w:val="293"/>
        </w:trPr>
        <w:tc>
          <w:tcPr>
            <w:tcW w:w="851" w:type="dxa"/>
            <w:tcBorders>
              <w:top w:val="nil"/>
              <w:left w:val="nil"/>
              <w:bottom w:val="nil"/>
            </w:tcBorders>
            <w:shd w:val="clear" w:color="auto" w:fill="FFFFFF" w:themeFill="background1"/>
          </w:tcPr>
          <w:p w14:paraId="598ABA56" w14:textId="77777777" w:rsidR="007B26F1" w:rsidRPr="009E6B6E" w:rsidRDefault="007B26F1" w:rsidP="00F4486F">
            <w:pPr>
              <w:spacing w:after="0" w:line="240" w:lineRule="auto"/>
              <w:rPr>
                <w:rFonts w:ascii="Times New Roman" w:eastAsia="Times New Roman" w:hAnsi="Times New Roman" w:cs="Times New Roman"/>
                <w:iCs/>
                <w:color w:val="000000"/>
                <w:sz w:val="18"/>
                <w:szCs w:val="18"/>
                <w:lang w:val="en-US"/>
              </w:rPr>
            </w:pPr>
            <w:r w:rsidRPr="009E6B6E">
              <w:rPr>
                <w:rFonts w:ascii="Times New Roman" w:eastAsia="Times New Roman" w:hAnsi="Times New Roman" w:cs="Times New Roman"/>
                <w:iCs/>
                <w:color w:val="000000"/>
                <w:sz w:val="18"/>
                <w:szCs w:val="18"/>
                <w:lang w:val="en-US"/>
              </w:rPr>
              <w:t>V</w:t>
            </w:r>
            <w:r>
              <w:rPr>
                <w:rFonts w:ascii="Times New Roman" w:eastAsia="Times New Roman" w:hAnsi="Times New Roman" w:cs="Times New Roman"/>
                <w:iCs/>
                <w:color w:val="000000"/>
                <w:sz w:val="18"/>
                <w:szCs w:val="18"/>
                <w:lang w:val="en-US"/>
              </w:rPr>
              <w:t>CE</w:t>
            </w:r>
            <w:r w:rsidRPr="009E6B6E">
              <w:rPr>
                <w:rFonts w:ascii="Times New Roman" w:eastAsia="Times New Roman" w:hAnsi="Times New Roman" w:cs="Times New Roman"/>
                <w:iCs/>
                <w:color w:val="000000"/>
                <w:sz w:val="18"/>
                <w:szCs w:val="18"/>
                <w:lang w:val="en-US"/>
              </w:rPr>
              <w:t>D</w:t>
            </w:r>
            <w:r>
              <w:rPr>
                <w:rFonts w:ascii="Times New Roman" w:eastAsia="Times New Roman" w:hAnsi="Times New Roman" w:cs="Times New Roman"/>
                <w:iCs/>
                <w:color w:val="000000"/>
                <w:sz w:val="18"/>
                <w:szCs w:val="18"/>
                <w:lang w:val="en-US"/>
              </w:rPr>
              <w:t>U</w:t>
            </w:r>
          </w:p>
        </w:tc>
        <w:tc>
          <w:tcPr>
            <w:tcW w:w="709" w:type="dxa"/>
            <w:tcBorders>
              <w:top w:val="nil"/>
              <w:left w:val="nil"/>
              <w:bottom w:val="nil"/>
              <w:right w:val="nil"/>
            </w:tcBorders>
            <w:shd w:val="clear" w:color="auto" w:fill="FFFFFF" w:themeFill="background1"/>
            <w:noWrap/>
          </w:tcPr>
          <w:p w14:paraId="3A1B6316"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tcPr>
          <w:p w14:paraId="47B527C5"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0.07</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tcPr>
          <w:p w14:paraId="0BC3962C"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p>
        </w:tc>
        <w:tc>
          <w:tcPr>
            <w:tcW w:w="850" w:type="dxa"/>
            <w:shd w:val="clear" w:color="auto" w:fill="FFFFFF" w:themeFill="background1"/>
          </w:tcPr>
          <w:p w14:paraId="6964D526" w14:textId="77777777" w:rsidR="007B26F1" w:rsidRPr="009E6B6E" w:rsidRDefault="007B26F1" w:rsidP="00F4486F">
            <w:pPr>
              <w:spacing w:after="0" w:line="240" w:lineRule="auto"/>
              <w:ind w:right="-11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tcPr>
          <w:p w14:paraId="5C51F15D"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-0.00</w:t>
            </w:r>
          </w:p>
        </w:tc>
        <w:tc>
          <w:tcPr>
            <w:tcW w:w="709" w:type="dxa"/>
            <w:shd w:val="clear" w:color="auto" w:fill="FFFFFF" w:themeFill="background1"/>
          </w:tcPr>
          <w:p w14:paraId="4EA55F77"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0.23</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394C3A8A"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tcPr>
          <w:p w14:paraId="3C6E7F99"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-0.14</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7621E4A6"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0D4DACDE" w14:textId="77777777" w:rsidR="007B26F1" w:rsidRPr="009E6B6E" w:rsidRDefault="007B26F1" w:rsidP="00F4486F">
            <w:pPr>
              <w:spacing w:after="0" w:line="240" w:lineRule="auto"/>
              <w:ind w:right="-11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-0.06</w:t>
            </w:r>
          </w:p>
        </w:tc>
        <w:tc>
          <w:tcPr>
            <w:tcW w:w="708" w:type="dxa"/>
            <w:shd w:val="clear" w:color="auto" w:fill="FFFFFF" w:themeFill="background1"/>
            <w:noWrap/>
          </w:tcPr>
          <w:p w14:paraId="77ED7E29"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-0.07</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noWrap/>
          </w:tcPr>
          <w:p w14:paraId="6D0DEFF7"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09" w:type="dxa"/>
            <w:shd w:val="clear" w:color="auto" w:fill="FFFFFF" w:themeFill="background1"/>
            <w:noWrap/>
          </w:tcPr>
          <w:p w14:paraId="4ABBC759" w14:textId="77777777" w:rsidR="007B26F1" w:rsidRPr="009E6B6E" w:rsidRDefault="007B26F1" w:rsidP="00F4486F">
            <w:pPr>
              <w:spacing w:after="0" w:line="240" w:lineRule="auto"/>
              <w:ind w:right="-12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20DB7B79"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1F1C9824" w14:textId="77777777" w:rsidR="007B26F1" w:rsidRPr="009E6B6E" w:rsidRDefault="007B26F1" w:rsidP="00F4486F">
            <w:pPr>
              <w:spacing w:after="0" w:line="240" w:lineRule="auto"/>
              <w:ind w:right="-13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0.14</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270565FC"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-0.10</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tcPr>
          <w:p w14:paraId="15264446"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noWrap/>
          </w:tcPr>
          <w:p w14:paraId="7815EF18" w14:textId="77777777" w:rsidR="007B26F1" w:rsidRPr="009E6B6E" w:rsidRDefault="007B26F1" w:rsidP="00F4486F">
            <w:pPr>
              <w:spacing w:after="0" w:line="240" w:lineRule="auto"/>
              <w:ind w:right="-23"/>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noWrap/>
          </w:tcPr>
          <w:p w14:paraId="7C82585D" w14:textId="77777777" w:rsidR="007B26F1" w:rsidRPr="009E6B6E" w:rsidRDefault="007B26F1" w:rsidP="00F4486F">
            <w:pPr>
              <w:spacing w:after="0" w:line="240" w:lineRule="auto"/>
              <w:ind w:right="-23"/>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tcPr>
          <w:p w14:paraId="2F84D050" w14:textId="77777777" w:rsidR="007B26F1" w:rsidRPr="009E6B6E" w:rsidRDefault="007B26F1" w:rsidP="00F4486F">
            <w:pPr>
              <w:spacing w:after="0" w:line="240" w:lineRule="auto"/>
              <w:ind w:right="-23"/>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13" w:type="dxa"/>
            <w:shd w:val="clear" w:color="auto" w:fill="FFFFFF" w:themeFill="background1"/>
          </w:tcPr>
          <w:p w14:paraId="15384F87" w14:textId="77777777" w:rsidR="007B26F1" w:rsidRPr="009E6B6E" w:rsidRDefault="007B26F1" w:rsidP="00F4486F">
            <w:pPr>
              <w:spacing w:after="0" w:line="240" w:lineRule="auto"/>
              <w:ind w:right="-23"/>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0.07</w:t>
            </w:r>
          </w:p>
        </w:tc>
      </w:tr>
      <w:tr w:rsidR="007B26F1" w:rsidRPr="009E6B6E" w14:paraId="799775B1" w14:textId="77777777" w:rsidTr="000711DA">
        <w:trPr>
          <w:trHeight w:val="293"/>
        </w:trPr>
        <w:tc>
          <w:tcPr>
            <w:tcW w:w="851" w:type="dxa"/>
            <w:tcBorders>
              <w:top w:val="nil"/>
              <w:left w:val="nil"/>
              <w:bottom w:val="nil"/>
            </w:tcBorders>
            <w:shd w:val="clear" w:color="auto" w:fill="FFFFFF" w:themeFill="background1"/>
          </w:tcPr>
          <w:p w14:paraId="069DD55D" w14:textId="77777777" w:rsidR="007B26F1" w:rsidRPr="009E6B6E" w:rsidRDefault="007B26F1" w:rsidP="00F4486F">
            <w:pPr>
              <w:spacing w:after="0" w:line="240" w:lineRule="auto"/>
              <w:rPr>
                <w:rFonts w:ascii="Times New Roman" w:eastAsia="Times New Roman" w:hAnsi="Times New Roman" w:cs="Times New Roman"/>
                <w:iCs/>
                <w:color w:val="000000"/>
                <w:sz w:val="18"/>
                <w:szCs w:val="18"/>
                <w:lang w:val="en-US"/>
              </w:rPr>
            </w:pPr>
            <w:r w:rsidRPr="009E6B6E">
              <w:rPr>
                <w:rFonts w:ascii="Times New Roman" w:eastAsia="Times New Roman" w:hAnsi="Times New Roman" w:cs="Times New Roman"/>
                <w:iCs/>
                <w:color w:val="000000"/>
                <w:sz w:val="18"/>
                <w:szCs w:val="18"/>
                <w:lang w:val="en-US"/>
              </w:rPr>
              <w:t>V</w:t>
            </w:r>
            <w:r>
              <w:rPr>
                <w:rFonts w:ascii="Times New Roman" w:eastAsia="Times New Roman" w:hAnsi="Times New Roman" w:cs="Times New Roman"/>
                <w:iCs/>
                <w:color w:val="000000"/>
                <w:sz w:val="18"/>
                <w:szCs w:val="18"/>
                <w:lang w:val="en-US"/>
              </w:rPr>
              <w:t>C</w:t>
            </w:r>
            <w:r w:rsidRPr="009E6B6E">
              <w:rPr>
                <w:rFonts w:ascii="Times New Roman" w:eastAsia="Times New Roman" w:hAnsi="Times New Roman" w:cs="Times New Roman"/>
                <w:iCs/>
                <w:color w:val="000000"/>
                <w:sz w:val="18"/>
                <w:szCs w:val="18"/>
                <w:lang w:val="en-US"/>
              </w:rPr>
              <w:t>A</w:t>
            </w:r>
            <w:r>
              <w:rPr>
                <w:rFonts w:ascii="Times New Roman" w:eastAsia="Times New Roman" w:hAnsi="Times New Roman" w:cs="Times New Roman"/>
                <w:iCs/>
                <w:color w:val="000000"/>
                <w:sz w:val="18"/>
                <w:szCs w:val="18"/>
                <w:lang w:val="en-US"/>
              </w:rPr>
              <w:t>GE</w:t>
            </w:r>
          </w:p>
        </w:tc>
        <w:tc>
          <w:tcPr>
            <w:tcW w:w="709" w:type="dxa"/>
            <w:tcBorders>
              <w:top w:val="nil"/>
              <w:left w:val="nil"/>
              <w:bottom w:val="nil"/>
              <w:right w:val="nil"/>
            </w:tcBorders>
            <w:shd w:val="clear" w:color="auto" w:fill="FFFFFF" w:themeFill="background1"/>
            <w:noWrap/>
          </w:tcPr>
          <w:p w14:paraId="700EF6D9"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tcPr>
          <w:p w14:paraId="0920C72A"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0.06</w:t>
            </w:r>
          </w:p>
        </w:tc>
        <w:tc>
          <w:tcPr>
            <w:tcW w:w="850" w:type="dxa"/>
            <w:shd w:val="clear" w:color="auto" w:fill="FFFFFF" w:themeFill="background1"/>
          </w:tcPr>
          <w:p w14:paraId="49855220"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850" w:type="dxa"/>
            <w:shd w:val="clear" w:color="auto" w:fill="FFFFFF" w:themeFill="background1"/>
          </w:tcPr>
          <w:p w14:paraId="1AAC747D" w14:textId="77777777" w:rsidR="007B26F1" w:rsidRPr="009E6B6E" w:rsidRDefault="007B26F1" w:rsidP="00F4486F">
            <w:pPr>
              <w:spacing w:after="0" w:line="240" w:lineRule="auto"/>
              <w:ind w:right="-112"/>
              <w:jc w:val="both"/>
              <w:rPr>
                <w:rFonts w:ascii="Times New Roman" w:eastAsia="Times New Roman" w:hAnsi="Times New Roman" w:cs="Times New Roman"/>
                <w:color w:val="000000"/>
                <w:sz w:val="18"/>
                <w:szCs w:val="18"/>
                <w:lang w:val="en-US"/>
              </w:rPr>
            </w:pPr>
          </w:p>
        </w:tc>
        <w:tc>
          <w:tcPr>
            <w:tcW w:w="709" w:type="dxa"/>
            <w:shd w:val="clear" w:color="auto" w:fill="FFFFFF" w:themeFill="background1"/>
          </w:tcPr>
          <w:p w14:paraId="64FD913C"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0.38</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6EB9A2FB"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-0.17</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62AE5E82"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566C8DA6"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0.06</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1D82ECC7"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noWrap/>
          </w:tcPr>
          <w:p w14:paraId="42C24F1B" w14:textId="77777777" w:rsidR="007B26F1" w:rsidRPr="009E6B6E" w:rsidRDefault="007B26F1" w:rsidP="00F4486F">
            <w:pPr>
              <w:spacing w:after="0" w:line="240" w:lineRule="auto"/>
              <w:ind w:right="-11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8" w:type="dxa"/>
            <w:shd w:val="clear" w:color="auto" w:fill="FFFFFF" w:themeFill="background1"/>
            <w:noWrap/>
          </w:tcPr>
          <w:p w14:paraId="33619D38"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0.23</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noWrap/>
          </w:tcPr>
          <w:p w14:paraId="42D94216"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0.14</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23C9308B" w14:textId="77777777" w:rsidR="007B26F1" w:rsidRPr="009E6B6E" w:rsidRDefault="007B26F1" w:rsidP="00F4486F">
            <w:pPr>
              <w:spacing w:after="0" w:line="240" w:lineRule="auto"/>
              <w:ind w:right="-12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0.14</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78580335" w14:textId="77777777" w:rsidR="007B26F1" w:rsidRPr="009E6B6E" w:rsidRDefault="007B26F1" w:rsidP="00F4486F">
            <w:pPr>
              <w:spacing w:after="0" w:line="240" w:lineRule="auto"/>
              <w:ind w:right="-120"/>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-0.28</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638009BA" w14:textId="77777777" w:rsidR="007B26F1" w:rsidRPr="009E6B6E" w:rsidRDefault="007B26F1" w:rsidP="00F4486F">
            <w:pPr>
              <w:spacing w:after="0" w:line="240" w:lineRule="auto"/>
              <w:ind w:right="-13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09" w:type="dxa"/>
            <w:shd w:val="clear" w:color="auto" w:fill="FFFFFF" w:themeFill="background1"/>
            <w:noWrap/>
          </w:tcPr>
          <w:p w14:paraId="42021FFA"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0.16</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tcPr>
          <w:p w14:paraId="669199E0"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9" w:type="dxa"/>
            <w:shd w:val="clear" w:color="auto" w:fill="FFFFFF" w:themeFill="background1"/>
            <w:noWrap/>
          </w:tcPr>
          <w:p w14:paraId="7AC92154" w14:textId="77777777" w:rsidR="007B26F1" w:rsidRPr="009E6B6E" w:rsidRDefault="007B26F1" w:rsidP="00F4486F">
            <w:pPr>
              <w:spacing w:after="0" w:line="240" w:lineRule="auto"/>
              <w:ind w:right="-23"/>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1110967E" w14:textId="77777777" w:rsidR="007B26F1" w:rsidRPr="009E6B6E" w:rsidRDefault="007B26F1" w:rsidP="00F4486F">
            <w:pPr>
              <w:spacing w:after="0" w:line="240" w:lineRule="auto"/>
              <w:ind w:right="-23"/>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tcPr>
          <w:p w14:paraId="446A26BB" w14:textId="77777777" w:rsidR="007B26F1" w:rsidRPr="009E6B6E" w:rsidRDefault="007B26F1" w:rsidP="00F4486F">
            <w:pPr>
              <w:spacing w:after="0" w:line="240" w:lineRule="auto"/>
              <w:ind w:right="-23"/>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13" w:type="dxa"/>
            <w:shd w:val="clear" w:color="auto" w:fill="FFFFFF" w:themeFill="background1"/>
          </w:tcPr>
          <w:p w14:paraId="375CAE4C" w14:textId="77777777" w:rsidR="007B26F1" w:rsidRPr="009E6B6E" w:rsidRDefault="007B26F1" w:rsidP="00F4486F">
            <w:pPr>
              <w:spacing w:after="0" w:line="240" w:lineRule="auto"/>
              <w:ind w:right="-23"/>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r>
      <w:tr w:rsidR="007B26F1" w:rsidRPr="009E6B6E" w14:paraId="67698237" w14:textId="77777777" w:rsidTr="000711DA">
        <w:trPr>
          <w:trHeight w:val="293"/>
        </w:trPr>
        <w:tc>
          <w:tcPr>
            <w:tcW w:w="851" w:type="dxa"/>
            <w:tcBorders>
              <w:top w:val="nil"/>
              <w:left w:val="nil"/>
              <w:bottom w:val="nil"/>
            </w:tcBorders>
            <w:shd w:val="clear" w:color="auto" w:fill="FFFFFF" w:themeFill="background1"/>
          </w:tcPr>
          <w:p w14:paraId="428B1092" w14:textId="77777777" w:rsidR="007B26F1" w:rsidRPr="009E6B6E" w:rsidRDefault="007B26F1" w:rsidP="00F4486F">
            <w:pPr>
              <w:spacing w:after="0" w:line="240" w:lineRule="auto"/>
              <w:rPr>
                <w:rFonts w:ascii="Times New Roman" w:eastAsia="Times New Roman" w:hAnsi="Times New Roman" w:cs="Times New Roman"/>
                <w:iCs/>
                <w:color w:val="000000"/>
                <w:sz w:val="18"/>
                <w:szCs w:val="18"/>
                <w:lang w:val="en-US"/>
              </w:rPr>
            </w:pPr>
            <w:r w:rsidRPr="009E6B6E">
              <w:rPr>
                <w:rFonts w:ascii="Times New Roman" w:eastAsia="Times New Roman" w:hAnsi="Times New Roman" w:cs="Times New Roman"/>
                <w:iCs/>
                <w:color w:val="000000"/>
                <w:sz w:val="18"/>
                <w:szCs w:val="18"/>
                <w:lang w:val="en-US"/>
              </w:rPr>
              <w:t>V</w:t>
            </w:r>
            <w:r>
              <w:rPr>
                <w:rFonts w:ascii="Times New Roman" w:eastAsia="Times New Roman" w:hAnsi="Times New Roman" w:cs="Times New Roman"/>
                <w:iCs/>
                <w:color w:val="000000"/>
                <w:sz w:val="18"/>
                <w:szCs w:val="18"/>
                <w:lang w:val="en-US"/>
              </w:rPr>
              <w:t>C</w:t>
            </w:r>
            <w:r w:rsidRPr="009E6B6E">
              <w:rPr>
                <w:rFonts w:ascii="Times New Roman" w:eastAsia="Times New Roman" w:hAnsi="Times New Roman" w:cs="Times New Roman"/>
                <w:iCs/>
                <w:color w:val="000000"/>
                <w:sz w:val="18"/>
                <w:szCs w:val="18"/>
                <w:lang w:val="en-US"/>
              </w:rPr>
              <w:t>T</w:t>
            </w:r>
            <w:r>
              <w:rPr>
                <w:rFonts w:ascii="Times New Roman" w:eastAsia="Times New Roman" w:hAnsi="Times New Roman" w:cs="Times New Roman"/>
                <w:iCs/>
                <w:color w:val="000000"/>
                <w:sz w:val="18"/>
                <w:szCs w:val="18"/>
                <w:lang w:val="en-US"/>
              </w:rPr>
              <w:t>EN</w:t>
            </w:r>
          </w:p>
        </w:tc>
        <w:tc>
          <w:tcPr>
            <w:tcW w:w="709" w:type="dxa"/>
            <w:tcBorders>
              <w:top w:val="nil"/>
              <w:left w:val="nil"/>
              <w:bottom w:val="nil"/>
              <w:right w:val="nil"/>
            </w:tcBorders>
            <w:shd w:val="clear" w:color="auto" w:fill="FFFFFF" w:themeFill="background1"/>
            <w:noWrap/>
          </w:tcPr>
          <w:p w14:paraId="6C0781E2"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0.07</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770EBAED" w14:textId="77777777" w:rsidR="007B26F1" w:rsidRPr="009E6B6E" w:rsidRDefault="007B26F1" w:rsidP="00F4486F">
            <w:pPr>
              <w:spacing w:after="0" w:line="240" w:lineRule="auto"/>
              <w:ind w:right="-12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-0.06</w:t>
            </w:r>
          </w:p>
        </w:tc>
        <w:tc>
          <w:tcPr>
            <w:tcW w:w="850" w:type="dxa"/>
            <w:shd w:val="clear" w:color="auto" w:fill="FFFFFF" w:themeFill="background1"/>
          </w:tcPr>
          <w:p w14:paraId="0B2611CF"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850" w:type="dxa"/>
            <w:shd w:val="clear" w:color="auto" w:fill="FFFFFF" w:themeFill="background1"/>
          </w:tcPr>
          <w:p w14:paraId="4E85E17A"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0.36</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0127F6C4"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lang w:val="en-US"/>
              </w:rPr>
            </w:pPr>
          </w:p>
        </w:tc>
        <w:tc>
          <w:tcPr>
            <w:tcW w:w="709" w:type="dxa"/>
            <w:shd w:val="clear" w:color="auto" w:fill="FFFFFF" w:themeFill="background1"/>
          </w:tcPr>
          <w:p w14:paraId="753270D3"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9" w:type="dxa"/>
            <w:shd w:val="clear" w:color="auto" w:fill="FFFFFF" w:themeFill="background1"/>
          </w:tcPr>
          <w:p w14:paraId="2B1F54A0"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tcPr>
          <w:p w14:paraId="6BFE5ACF"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9" w:type="dxa"/>
            <w:shd w:val="clear" w:color="auto" w:fill="FFFFFF" w:themeFill="background1"/>
          </w:tcPr>
          <w:p w14:paraId="17EEAB7E"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0.07</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3A35B0A7"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-0.07</w:t>
            </w:r>
          </w:p>
        </w:tc>
        <w:tc>
          <w:tcPr>
            <w:tcW w:w="708" w:type="dxa"/>
            <w:shd w:val="clear" w:color="auto" w:fill="FFFFFF" w:themeFill="background1"/>
            <w:noWrap/>
          </w:tcPr>
          <w:p w14:paraId="38C6D321"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noWrap/>
          </w:tcPr>
          <w:p w14:paraId="3E9E785F" w14:textId="77777777" w:rsidR="007B26F1" w:rsidRPr="009E6B6E" w:rsidRDefault="007B26F1" w:rsidP="00F4486F">
            <w:pPr>
              <w:spacing w:after="0" w:line="240" w:lineRule="auto"/>
              <w:ind w:right="-113"/>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9" w:type="dxa"/>
            <w:shd w:val="clear" w:color="auto" w:fill="FFFFFF" w:themeFill="background1"/>
            <w:noWrap/>
          </w:tcPr>
          <w:p w14:paraId="607CB71E" w14:textId="77777777" w:rsidR="007B26F1" w:rsidRPr="009E6B6E" w:rsidRDefault="007B26F1" w:rsidP="00F4486F">
            <w:pPr>
              <w:spacing w:after="0" w:line="240" w:lineRule="auto"/>
              <w:ind w:right="-108"/>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09" w:type="dxa"/>
            <w:shd w:val="clear" w:color="auto" w:fill="FFFFFF" w:themeFill="background1"/>
          </w:tcPr>
          <w:p w14:paraId="2B89D53D"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-0.18</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61C648BE"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noWrap/>
          </w:tcPr>
          <w:p w14:paraId="0EE19B16"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8" w:type="dxa"/>
            <w:shd w:val="clear" w:color="auto" w:fill="FFFFFF" w:themeFill="background1"/>
          </w:tcPr>
          <w:p w14:paraId="00074A5A"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0.07</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32BC0A61"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-0.13</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72E7011B" w14:textId="77777777" w:rsidR="007B26F1" w:rsidRPr="009E6B6E" w:rsidRDefault="007B26F1" w:rsidP="00F4486F">
            <w:pPr>
              <w:spacing w:after="0" w:line="240" w:lineRule="auto"/>
              <w:ind w:right="-23"/>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tcPr>
          <w:p w14:paraId="2322566E" w14:textId="77777777" w:rsidR="007B26F1" w:rsidRPr="009E6B6E" w:rsidRDefault="007B26F1" w:rsidP="00F4486F">
            <w:pPr>
              <w:spacing w:after="0" w:line="240" w:lineRule="auto"/>
              <w:ind w:right="-23"/>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0.07</w:t>
            </w:r>
          </w:p>
        </w:tc>
        <w:tc>
          <w:tcPr>
            <w:tcW w:w="713" w:type="dxa"/>
            <w:shd w:val="clear" w:color="auto" w:fill="FFFFFF" w:themeFill="background1"/>
          </w:tcPr>
          <w:p w14:paraId="775A89E8" w14:textId="77777777" w:rsidR="007B26F1" w:rsidRPr="009E6B6E" w:rsidRDefault="007B26F1" w:rsidP="00F4486F">
            <w:pPr>
              <w:spacing w:after="0" w:line="240" w:lineRule="auto"/>
              <w:ind w:right="-23"/>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0.00</w:t>
            </w:r>
          </w:p>
        </w:tc>
      </w:tr>
      <w:tr w:rsidR="007B26F1" w:rsidRPr="009E6B6E" w14:paraId="5470A503" w14:textId="77777777" w:rsidTr="000711DA">
        <w:trPr>
          <w:trHeight w:val="293"/>
        </w:trPr>
        <w:tc>
          <w:tcPr>
            <w:tcW w:w="851" w:type="dxa"/>
            <w:tcBorders>
              <w:top w:val="nil"/>
              <w:left w:val="nil"/>
              <w:bottom w:val="nil"/>
            </w:tcBorders>
            <w:shd w:val="clear" w:color="auto" w:fill="FFFFFF" w:themeFill="background1"/>
          </w:tcPr>
          <w:p w14:paraId="55B5586A" w14:textId="77777777" w:rsidR="007B26F1" w:rsidRPr="009E6B6E" w:rsidRDefault="007B26F1" w:rsidP="00F4486F">
            <w:pPr>
              <w:spacing w:after="0" w:line="240" w:lineRule="auto"/>
              <w:rPr>
                <w:rFonts w:ascii="Times New Roman" w:eastAsia="Times New Roman" w:hAnsi="Times New Roman" w:cs="Times New Roman"/>
                <w:iCs/>
                <w:sz w:val="18"/>
                <w:szCs w:val="18"/>
                <w:lang w:val="en-US"/>
              </w:rPr>
            </w:pPr>
            <w:r>
              <w:rPr>
                <w:rFonts w:ascii="Times New Roman" w:eastAsia="Times New Roman" w:hAnsi="Times New Roman" w:cs="Times New Roman"/>
                <w:iCs/>
                <w:sz w:val="18"/>
                <w:szCs w:val="18"/>
                <w:lang w:val="en-US"/>
              </w:rPr>
              <w:t>EGC</w:t>
            </w:r>
          </w:p>
        </w:tc>
        <w:tc>
          <w:tcPr>
            <w:tcW w:w="709" w:type="dxa"/>
            <w:tcBorders>
              <w:top w:val="nil"/>
              <w:left w:val="nil"/>
              <w:bottom w:val="nil"/>
              <w:right w:val="nil"/>
            </w:tcBorders>
            <w:shd w:val="clear" w:color="auto" w:fill="FFFFFF" w:themeFill="background1"/>
            <w:noWrap/>
          </w:tcPr>
          <w:p w14:paraId="290DAB95" w14:textId="77777777" w:rsidR="007B26F1" w:rsidRPr="009E6B6E" w:rsidRDefault="007B26F1" w:rsidP="00F4486F">
            <w:pPr>
              <w:spacing w:after="0" w:line="240" w:lineRule="auto"/>
              <w:ind w:right="-110"/>
              <w:jc w:val="both"/>
              <w:rPr>
                <w:rFonts w:ascii="Times New Roman" w:eastAsia="Times New Roman" w:hAnsi="Times New Roman" w:cs="Times New Roman"/>
                <w:sz w:val="18"/>
                <w:szCs w:val="18"/>
                <w:vertAlign w:val="superscript"/>
                <w:lang w:val="en-US"/>
              </w:rPr>
            </w:pPr>
            <w:r w:rsidRPr="009E6B6E">
              <w:rPr>
                <w:rFonts w:ascii="Times New Roman" w:eastAsia="Times New Roman" w:hAnsi="Times New Roman" w:cs="Times New Roman"/>
                <w:sz w:val="18"/>
                <w:szCs w:val="18"/>
                <w:lang w:val="en-US"/>
              </w:rPr>
              <w:t>0.18</w:t>
            </w:r>
            <w:r w:rsidRPr="009E6B6E">
              <w:rPr>
                <w:rFonts w:ascii="Times New Roman" w:eastAsia="Times New Roman" w:hAnsi="Times New Roman" w:cs="Times New Roman"/>
                <w:sz w:val="18"/>
                <w:szCs w:val="18"/>
                <w:vertAlign w:val="superscript"/>
                <w:lang w:val="en-US"/>
              </w:rPr>
              <w:t>***</w:t>
            </w:r>
          </w:p>
        </w:tc>
        <w:tc>
          <w:tcPr>
            <w:tcW w:w="709" w:type="dxa"/>
            <w:shd w:val="clear" w:color="auto" w:fill="FFFFFF" w:themeFill="background1"/>
          </w:tcPr>
          <w:p w14:paraId="0C7C3B23" w14:textId="77777777" w:rsidR="007B26F1" w:rsidRPr="009E6B6E" w:rsidRDefault="007B26F1" w:rsidP="00F4486F">
            <w:pPr>
              <w:spacing w:after="0" w:line="240" w:lineRule="auto"/>
              <w:ind w:right="-30"/>
              <w:jc w:val="both"/>
              <w:rPr>
                <w:rFonts w:ascii="Times New Roman" w:eastAsia="Times New Roman" w:hAnsi="Times New Roman" w:cs="Times New Roman"/>
                <w:sz w:val="18"/>
                <w:szCs w:val="18"/>
                <w:vertAlign w:val="superscript"/>
                <w:lang w:val="en-US"/>
              </w:rPr>
            </w:pPr>
            <w:r w:rsidRPr="009E6B6E">
              <w:rPr>
                <w:rFonts w:ascii="Times New Roman" w:eastAsia="Times New Roman" w:hAnsi="Times New Roman" w:cs="Times New Roman"/>
                <w:sz w:val="18"/>
                <w:szCs w:val="18"/>
                <w:lang w:val="en-US"/>
              </w:rPr>
              <w:t>0.14</w:t>
            </w:r>
            <w:r w:rsidRPr="009E6B6E">
              <w:rPr>
                <w:rFonts w:ascii="Times New Roman" w:eastAsia="Times New Roman" w:hAnsi="Times New Roman" w:cs="Times New Roman"/>
                <w:sz w:val="18"/>
                <w:szCs w:val="18"/>
                <w:vertAlign w:val="superscript"/>
                <w:lang w:val="en-US"/>
              </w:rPr>
              <w:t>***</w:t>
            </w:r>
          </w:p>
        </w:tc>
        <w:tc>
          <w:tcPr>
            <w:tcW w:w="850" w:type="dxa"/>
            <w:shd w:val="clear" w:color="auto" w:fill="FFFFFF" w:themeFill="background1"/>
          </w:tcPr>
          <w:p w14:paraId="14F5768C" w14:textId="77777777" w:rsidR="007B26F1" w:rsidRPr="009E6B6E" w:rsidRDefault="007B26F1" w:rsidP="00F4486F">
            <w:pPr>
              <w:spacing w:after="0" w:line="240" w:lineRule="auto"/>
              <w:jc w:val="both"/>
              <w:rPr>
                <w:rFonts w:ascii="Times New Roman" w:eastAsia="Times New Roman" w:hAnsi="Times New Roman" w:cs="Times New Roman"/>
                <w:sz w:val="18"/>
                <w:szCs w:val="18"/>
                <w:vertAlign w:val="superscript"/>
                <w:lang w:val="en-US"/>
              </w:rPr>
            </w:pPr>
            <w:r w:rsidRPr="009E6B6E">
              <w:rPr>
                <w:rFonts w:ascii="Times New Roman" w:eastAsia="Times New Roman" w:hAnsi="Times New Roman" w:cs="Times New Roman"/>
                <w:sz w:val="18"/>
                <w:szCs w:val="18"/>
                <w:lang w:val="en-US"/>
              </w:rPr>
              <w:t>0.23</w:t>
            </w:r>
            <w:r w:rsidRPr="009E6B6E">
              <w:rPr>
                <w:rFonts w:ascii="Times New Roman" w:eastAsia="Times New Roman" w:hAnsi="Times New Roman" w:cs="Times New Roman"/>
                <w:sz w:val="18"/>
                <w:szCs w:val="18"/>
                <w:vertAlign w:val="superscript"/>
                <w:lang w:val="en-US"/>
              </w:rPr>
              <w:t>***</w:t>
            </w:r>
          </w:p>
        </w:tc>
        <w:tc>
          <w:tcPr>
            <w:tcW w:w="850" w:type="dxa"/>
            <w:shd w:val="clear" w:color="auto" w:fill="FFFFFF" w:themeFill="background1"/>
          </w:tcPr>
          <w:p w14:paraId="27D1A19E" w14:textId="77777777" w:rsidR="007B26F1" w:rsidRPr="009E6B6E" w:rsidRDefault="007B26F1" w:rsidP="00F4486F">
            <w:pPr>
              <w:spacing w:after="0" w:line="240" w:lineRule="auto"/>
              <w:jc w:val="both"/>
              <w:rPr>
                <w:rFonts w:ascii="Times New Roman" w:eastAsia="Times New Roman" w:hAnsi="Times New Roman" w:cs="Times New Roman"/>
                <w:sz w:val="18"/>
                <w:szCs w:val="18"/>
                <w:vertAlign w:val="superscript"/>
                <w:lang w:val="en-US"/>
              </w:rPr>
            </w:pPr>
            <w:r w:rsidRPr="009E6B6E">
              <w:rPr>
                <w:rFonts w:ascii="Times New Roman" w:eastAsia="Times New Roman" w:hAnsi="Times New Roman" w:cs="Times New Roman"/>
                <w:sz w:val="18"/>
                <w:szCs w:val="18"/>
                <w:lang w:val="en-US"/>
              </w:rPr>
              <w:t>-0.16</w:t>
            </w:r>
            <w:r w:rsidRPr="009E6B6E">
              <w:rPr>
                <w:rFonts w:ascii="Times New Roman" w:eastAsia="Times New Roman" w:hAnsi="Times New Roman" w:cs="Times New Roman"/>
                <w:sz w:val="18"/>
                <w:szCs w:val="18"/>
                <w:vertAlign w:val="superscript"/>
                <w:lang w:val="en-US"/>
              </w:rPr>
              <w:t>***</w:t>
            </w:r>
          </w:p>
        </w:tc>
        <w:tc>
          <w:tcPr>
            <w:tcW w:w="709" w:type="dxa"/>
            <w:shd w:val="clear" w:color="auto" w:fill="FFFFFF" w:themeFill="background1"/>
          </w:tcPr>
          <w:p w14:paraId="3031EC30" w14:textId="77777777" w:rsidR="007B26F1" w:rsidRPr="009E6B6E" w:rsidRDefault="007B26F1" w:rsidP="00F4486F">
            <w:pPr>
              <w:spacing w:after="0" w:line="240" w:lineRule="auto"/>
              <w:ind w:right="-107"/>
              <w:jc w:val="both"/>
              <w:rPr>
                <w:rFonts w:ascii="Times New Roman" w:eastAsia="Times New Roman" w:hAnsi="Times New Roman" w:cs="Times New Roman"/>
                <w:sz w:val="18"/>
                <w:szCs w:val="18"/>
                <w:highlight w:val="yellow"/>
                <w:lang w:val="en-US"/>
              </w:rPr>
            </w:pPr>
            <w:r w:rsidRPr="009E6B6E">
              <w:rPr>
                <w:rFonts w:ascii="Times New Roman" w:eastAsia="Times New Roman" w:hAnsi="Times New Roman" w:cs="Times New Roman"/>
                <w:sz w:val="18"/>
                <w:szCs w:val="18"/>
                <w:lang w:val="en-US"/>
              </w:rPr>
              <w:t>0.02</w:t>
            </w:r>
          </w:p>
        </w:tc>
        <w:tc>
          <w:tcPr>
            <w:tcW w:w="709" w:type="dxa"/>
            <w:shd w:val="clear" w:color="auto" w:fill="FFFFFF" w:themeFill="background1"/>
          </w:tcPr>
          <w:p w14:paraId="063EB359" w14:textId="77777777" w:rsidR="007B26F1" w:rsidRPr="009E6B6E" w:rsidRDefault="007B26F1" w:rsidP="00F4486F">
            <w:pPr>
              <w:spacing w:after="0" w:line="240" w:lineRule="auto"/>
              <w:ind w:right="-106"/>
              <w:jc w:val="both"/>
              <w:rPr>
                <w:rFonts w:ascii="Times New Roman" w:eastAsia="Times New Roman" w:hAnsi="Times New Roman" w:cs="Times New Roman"/>
                <w:sz w:val="18"/>
                <w:szCs w:val="18"/>
                <w:vertAlign w:val="superscript"/>
                <w:lang w:val="en-US"/>
              </w:rPr>
            </w:pPr>
          </w:p>
        </w:tc>
        <w:tc>
          <w:tcPr>
            <w:tcW w:w="709" w:type="dxa"/>
            <w:shd w:val="clear" w:color="auto" w:fill="FFFFFF" w:themeFill="background1"/>
          </w:tcPr>
          <w:p w14:paraId="2E7322DE" w14:textId="77777777" w:rsidR="007B26F1" w:rsidRPr="009E6B6E" w:rsidRDefault="007B26F1" w:rsidP="00F4486F">
            <w:pPr>
              <w:spacing w:after="0" w:line="240" w:lineRule="auto"/>
              <w:ind w:right="-106"/>
              <w:jc w:val="both"/>
              <w:rPr>
                <w:rFonts w:ascii="Times New Roman" w:eastAsia="Times New Roman" w:hAnsi="Times New Roman" w:cs="Times New Roman"/>
                <w:sz w:val="18"/>
                <w:szCs w:val="18"/>
                <w:vertAlign w:val="superscript"/>
                <w:lang w:val="en-US"/>
              </w:rPr>
            </w:pPr>
            <w:r w:rsidRPr="009E6B6E">
              <w:rPr>
                <w:rFonts w:ascii="Times New Roman" w:eastAsia="Times New Roman" w:hAnsi="Times New Roman" w:cs="Times New Roman"/>
                <w:sz w:val="18"/>
                <w:szCs w:val="18"/>
                <w:lang w:val="en-US"/>
              </w:rPr>
              <w:t>-0.12</w:t>
            </w:r>
            <w:r w:rsidRPr="009E6B6E">
              <w:rPr>
                <w:rFonts w:ascii="Times New Roman" w:eastAsia="Times New Roman" w:hAnsi="Times New Roman" w:cs="Times New Roman"/>
                <w:sz w:val="18"/>
                <w:szCs w:val="18"/>
                <w:vertAlign w:val="superscript"/>
                <w:lang w:val="en-US"/>
              </w:rPr>
              <w:t>***</w:t>
            </w:r>
          </w:p>
        </w:tc>
        <w:tc>
          <w:tcPr>
            <w:tcW w:w="709" w:type="dxa"/>
            <w:shd w:val="clear" w:color="auto" w:fill="FFFFFF" w:themeFill="background1"/>
          </w:tcPr>
          <w:p w14:paraId="120D67B5" w14:textId="77777777" w:rsidR="007B26F1" w:rsidRPr="009E6B6E" w:rsidRDefault="007B26F1" w:rsidP="00F4486F">
            <w:pPr>
              <w:spacing w:after="0" w:line="240" w:lineRule="auto"/>
              <w:ind w:right="-106"/>
              <w:jc w:val="both"/>
              <w:rPr>
                <w:rFonts w:ascii="Times New Roman" w:eastAsia="Times New Roman" w:hAnsi="Times New Roman" w:cs="Times New Roman"/>
                <w:sz w:val="18"/>
                <w:szCs w:val="18"/>
                <w:vertAlign w:val="superscript"/>
                <w:lang w:val="en-US"/>
              </w:rPr>
            </w:pPr>
            <w:r w:rsidRPr="009E6B6E">
              <w:rPr>
                <w:rFonts w:ascii="Times New Roman" w:eastAsia="Times New Roman" w:hAnsi="Times New Roman" w:cs="Times New Roman"/>
                <w:sz w:val="18"/>
                <w:szCs w:val="18"/>
                <w:lang w:val="en-US"/>
              </w:rPr>
              <w:t>-0.07</w:t>
            </w:r>
            <w:r w:rsidRPr="009E6B6E">
              <w:rPr>
                <w:rFonts w:ascii="Times New Roman" w:eastAsia="Times New Roman" w:hAnsi="Times New Roman" w:cs="Times New Roman"/>
                <w:sz w:val="18"/>
                <w:szCs w:val="18"/>
                <w:vertAlign w:val="superscript"/>
                <w:lang w:val="en-US"/>
              </w:rPr>
              <w:t>*</w:t>
            </w:r>
          </w:p>
        </w:tc>
        <w:tc>
          <w:tcPr>
            <w:tcW w:w="709" w:type="dxa"/>
            <w:shd w:val="clear" w:color="auto" w:fill="FFFFFF" w:themeFill="background1"/>
          </w:tcPr>
          <w:p w14:paraId="2750420E" w14:textId="77777777" w:rsidR="007B26F1" w:rsidRPr="009E6B6E" w:rsidRDefault="007B26F1" w:rsidP="00F4486F">
            <w:pPr>
              <w:spacing w:after="0" w:line="240" w:lineRule="auto"/>
              <w:ind w:right="-106"/>
              <w:jc w:val="both"/>
              <w:rPr>
                <w:rFonts w:ascii="Times New Roman" w:eastAsia="Times New Roman" w:hAnsi="Times New Roman" w:cs="Times New Roman"/>
                <w:sz w:val="18"/>
                <w:szCs w:val="18"/>
                <w:lang w:val="en-US"/>
              </w:rPr>
            </w:pPr>
            <w:r w:rsidRPr="009E6B6E">
              <w:rPr>
                <w:rFonts w:ascii="Times New Roman" w:eastAsia="Times New Roman" w:hAnsi="Times New Roman" w:cs="Times New Roman"/>
                <w:sz w:val="18"/>
                <w:szCs w:val="18"/>
                <w:lang w:val="en-US"/>
              </w:rPr>
              <w:t>0.01</w:t>
            </w:r>
          </w:p>
        </w:tc>
        <w:tc>
          <w:tcPr>
            <w:tcW w:w="709" w:type="dxa"/>
            <w:shd w:val="clear" w:color="auto" w:fill="FFFFFF" w:themeFill="background1"/>
            <w:noWrap/>
          </w:tcPr>
          <w:p w14:paraId="4D02C882" w14:textId="77777777" w:rsidR="007B26F1" w:rsidRPr="009E6B6E" w:rsidRDefault="007B26F1" w:rsidP="00F4486F">
            <w:pPr>
              <w:spacing w:after="0" w:line="240" w:lineRule="auto"/>
              <w:ind w:right="-112"/>
              <w:jc w:val="both"/>
              <w:rPr>
                <w:rFonts w:ascii="Times New Roman" w:eastAsia="Times New Roman" w:hAnsi="Times New Roman" w:cs="Times New Roman"/>
                <w:sz w:val="18"/>
                <w:szCs w:val="18"/>
                <w:vertAlign w:val="superscript"/>
                <w:lang w:val="en-US"/>
              </w:rPr>
            </w:pPr>
            <w:r w:rsidRPr="009E6B6E">
              <w:rPr>
                <w:rFonts w:ascii="Times New Roman" w:eastAsia="Times New Roman" w:hAnsi="Times New Roman" w:cs="Times New Roman"/>
                <w:sz w:val="18"/>
                <w:szCs w:val="18"/>
                <w:lang w:val="en-US"/>
              </w:rPr>
              <w:t>0.13</w:t>
            </w:r>
            <w:r w:rsidRPr="009E6B6E">
              <w:rPr>
                <w:rFonts w:ascii="Times New Roman" w:eastAsia="Times New Roman" w:hAnsi="Times New Roman" w:cs="Times New Roman"/>
                <w:sz w:val="18"/>
                <w:szCs w:val="18"/>
                <w:vertAlign w:val="superscript"/>
                <w:lang w:val="en-US"/>
              </w:rPr>
              <w:t>***</w:t>
            </w:r>
          </w:p>
        </w:tc>
        <w:tc>
          <w:tcPr>
            <w:tcW w:w="708" w:type="dxa"/>
            <w:shd w:val="clear" w:color="auto" w:fill="FFFFFF" w:themeFill="background1"/>
            <w:noWrap/>
          </w:tcPr>
          <w:p w14:paraId="7ED3109E" w14:textId="77777777" w:rsidR="007B26F1" w:rsidRPr="009E6B6E" w:rsidRDefault="007B26F1" w:rsidP="00F4486F">
            <w:pPr>
              <w:spacing w:after="0" w:line="240" w:lineRule="auto"/>
              <w:ind w:right="-107"/>
              <w:jc w:val="both"/>
              <w:rPr>
                <w:rFonts w:ascii="Times New Roman" w:eastAsia="Times New Roman" w:hAnsi="Times New Roman" w:cs="Times New Roman"/>
                <w:sz w:val="18"/>
                <w:szCs w:val="18"/>
                <w:vertAlign w:val="superscript"/>
                <w:lang w:val="en-US"/>
              </w:rPr>
            </w:pPr>
            <w:r w:rsidRPr="009E6B6E">
              <w:rPr>
                <w:rFonts w:ascii="Times New Roman" w:eastAsia="Times New Roman" w:hAnsi="Times New Roman" w:cs="Times New Roman"/>
                <w:sz w:val="18"/>
                <w:szCs w:val="18"/>
                <w:lang w:val="en-US"/>
              </w:rPr>
              <w:t>-0.13</w:t>
            </w:r>
            <w:r w:rsidRPr="009E6B6E">
              <w:rPr>
                <w:rFonts w:ascii="Times New Roman" w:eastAsia="Times New Roman" w:hAnsi="Times New Roman" w:cs="Times New Roman"/>
                <w:sz w:val="18"/>
                <w:szCs w:val="18"/>
                <w:vertAlign w:val="superscript"/>
                <w:lang w:val="en-US"/>
              </w:rPr>
              <w:t>***</w:t>
            </w:r>
          </w:p>
        </w:tc>
        <w:tc>
          <w:tcPr>
            <w:tcW w:w="850" w:type="dxa"/>
            <w:shd w:val="clear" w:color="auto" w:fill="FFFFFF" w:themeFill="background1"/>
            <w:noWrap/>
          </w:tcPr>
          <w:p w14:paraId="02318519" w14:textId="77777777" w:rsidR="007B26F1" w:rsidRPr="009E6B6E" w:rsidRDefault="007B26F1" w:rsidP="00F4486F">
            <w:pPr>
              <w:spacing w:after="0" w:line="240" w:lineRule="auto"/>
              <w:ind w:right="-102"/>
              <w:jc w:val="both"/>
              <w:rPr>
                <w:rFonts w:ascii="Times New Roman" w:eastAsia="Times New Roman" w:hAnsi="Times New Roman" w:cs="Times New Roman"/>
                <w:sz w:val="18"/>
                <w:szCs w:val="18"/>
                <w:lang w:val="en-US"/>
              </w:rPr>
            </w:pPr>
            <w:r w:rsidRPr="009E6B6E">
              <w:rPr>
                <w:rFonts w:ascii="Times New Roman" w:eastAsia="Times New Roman" w:hAnsi="Times New Roman" w:cs="Times New Roman"/>
                <w:sz w:val="18"/>
                <w:szCs w:val="18"/>
                <w:lang w:val="en-US"/>
              </w:rPr>
              <w:t>-0.06</w:t>
            </w:r>
          </w:p>
        </w:tc>
        <w:tc>
          <w:tcPr>
            <w:tcW w:w="709" w:type="dxa"/>
            <w:shd w:val="clear" w:color="auto" w:fill="FFFFFF" w:themeFill="background1"/>
            <w:noWrap/>
          </w:tcPr>
          <w:p w14:paraId="40CBC1C3" w14:textId="77777777" w:rsidR="007B26F1" w:rsidRPr="009E6B6E" w:rsidRDefault="007B26F1" w:rsidP="00F4486F">
            <w:pPr>
              <w:spacing w:after="0" w:line="240" w:lineRule="auto"/>
              <w:ind w:right="-108"/>
              <w:jc w:val="both"/>
              <w:rPr>
                <w:rFonts w:ascii="Times New Roman" w:eastAsia="Times New Roman" w:hAnsi="Times New Roman" w:cs="Times New Roman"/>
                <w:sz w:val="18"/>
                <w:szCs w:val="18"/>
                <w:vertAlign w:val="superscript"/>
                <w:lang w:val="en-US"/>
              </w:rPr>
            </w:pPr>
            <w:r w:rsidRPr="009E6B6E">
              <w:rPr>
                <w:rFonts w:ascii="Times New Roman" w:eastAsia="Times New Roman" w:hAnsi="Times New Roman" w:cs="Times New Roman"/>
                <w:sz w:val="18"/>
                <w:szCs w:val="18"/>
                <w:lang w:val="en-US"/>
              </w:rPr>
              <w:t>0.07</w:t>
            </w:r>
            <w:r w:rsidRPr="009E6B6E">
              <w:rPr>
                <w:rFonts w:ascii="Times New Roman" w:eastAsia="Times New Roman" w:hAnsi="Times New Roman" w:cs="Times New Roman"/>
                <w:sz w:val="18"/>
                <w:szCs w:val="18"/>
                <w:vertAlign w:val="superscript"/>
                <w:lang w:val="en-US"/>
              </w:rPr>
              <w:t>*</w:t>
            </w:r>
          </w:p>
        </w:tc>
        <w:tc>
          <w:tcPr>
            <w:tcW w:w="709" w:type="dxa"/>
            <w:shd w:val="clear" w:color="auto" w:fill="FFFFFF" w:themeFill="background1"/>
          </w:tcPr>
          <w:p w14:paraId="63D519BA" w14:textId="77777777" w:rsidR="007B26F1" w:rsidRPr="009E6B6E" w:rsidRDefault="007B26F1" w:rsidP="00F4486F">
            <w:pPr>
              <w:spacing w:after="0" w:line="240" w:lineRule="auto"/>
              <w:ind w:right="-109"/>
              <w:jc w:val="both"/>
              <w:rPr>
                <w:rFonts w:ascii="Times New Roman" w:eastAsia="Times New Roman" w:hAnsi="Times New Roman" w:cs="Times New Roman"/>
                <w:sz w:val="18"/>
                <w:szCs w:val="18"/>
                <w:lang w:val="en-US"/>
              </w:rPr>
            </w:pPr>
            <w:r w:rsidRPr="009E6B6E">
              <w:rPr>
                <w:rFonts w:ascii="Times New Roman" w:eastAsia="Times New Roman" w:hAnsi="Times New Roman" w:cs="Times New Roman"/>
                <w:sz w:val="18"/>
                <w:szCs w:val="18"/>
                <w:lang w:val="en-US"/>
              </w:rPr>
              <w:t>0.02</w:t>
            </w:r>
          </w:p>
        </w:tc>
        <w:tc>
          <w:tcPr>
            <w:tcW w:w="709" w:type="dxa"/>
            <w:shd w:val="clear" w:color="auto" w:fill="FFFFFF" w:themeFill="background1"/>
          </w:tcPr>
          <w:p w14:paraId="0148D4C8" w14:textId="77777777" w:rsidR="007B26F1" w:rsidRPr="009E6B6E" w:rsidRDefault="007B26F1" w:rsidP="00F4486F">
            <w:pPr>
              <w:spacing w:after="0" w:line="240" w:lineRule="auto"/>
              <w:ind w:right="-109"/>
              <w:jc w:val="both"/>
              <w:rPr>
                <w:rFonts w:ascii="Times New Roman" w:eastAsia="Times New Roman" w:hAnsi="Times New Roman" w:cs="Times New Roman"/>
                <w:sz w:val="18"/>
                <w:szCs w:val="18"/>
                <w:vertAlign w:val="superscript"/>
                <w:lang w:val="en-US"/>
              </w:rPr>
            </w:pPr>
            <w:r w:rsidRPr="009E6B6E">
              <w:rPr>
                <w:rFonts w:ascii="Times New Roman" w:eastAsia="Times New Roman" w:hAnsi="Times New Roman" w:cs="Times New Roman"/>
                <w:sz w:val="18"/>
                <w:szCs w:val="18"/>
                <w:lang w:val="en-US"/>
              </w:rPr>
              <w:t>0.11</w:t>
            </w:r>
            <w:r w:rsidRPr="009E6B6E">
              <w:rPr>
                <w:rFonts w:ascii="Times New Roman" w:eastAsia="Times New Roman" w:hAnsi="Times New Roman" w:cs="Times New Roman"/>
                <w:sz w:val="18"/>
                <w:szCs w:val="18"/>
                <w:vertAlign w:val="superscript"/>
                <w:lang w:val="en-US"/>
              </w:rPr>
              <w:t>***</w:t>
            </w:r>
          </w:p>
        </w:tc>
        <w:tc>
          <w:tcPr>
            <w:tcW w:w="709" w:type="dxa"/>
            <w:shd w:val="clear" w:color="auto" w:fill="FFFFFF" w:themeFill="background1"/>
            <w:noWrap/>
          </w:tcPr>
          <w:p w14:paraId="6217B8D2" w14:textId="77777777" w:rsidR="007B26F1" w:rsidRPr="009E6B6E" w:rsidRDefault="007B26F1" w:rsidP="00F4486F">
            <w:pPr>
              <w:spacing w:after="0" w:line="240" w:lineRule="auto"/>
              <w:ind w:right="-104"/>
              <w:jc w:val="both"/>
              <w:rPr>
                <w:rFonts w:ascii="Times New Roman" w:eastAsia="Times New Roman" w:hAnsi="Times New Roman" w:cs="Times New Roman"/>
                <w:sz w:val="18"/>
                <w:szCs w:val="18"/>
                <w:lang w:val="en-US"/>
              </w:rPr>
            </w:pPr>
            <w:r w:rsidRPr="009E6B6E">
              <w:rPr>
                <w:rFonts w:ascii="Times New Roman" w:eastAsia="Times New Roman" w:hAnsi="Times New Roman" w:cs="Times New Roman"/>
                <w:sz w:val="18"/>
                <w:szCs w:val="18"/>
                <w:lang w:val="en-US"/>
              </w:rPr>
              <w:t>0.05</w:t>
            </w:r>
          </w:p>
        </w:tc>
        <w:tc>
          <w:tcPr>
            <w:tcW w:w="708" w:type="dxa"/>
            <w:shd w:val="clear" w:color="auto" w:fill="FFFFFF" w:themeFill="background1"/>
          </w:tcPr>
          <w:p w14:paraId="431A4B06" w14:textId="77777777" w:rsidR="007B26F1" w:rsidRPr="009E6B6E" w:rsidRDefault="007B26F1" w:rsidP="00F4486F">
            <w:pPr>
              <w:spacing w:after="0" w:line="240" w:lineRule="auto"/>
              <w:ind w:right="-104"/>
              <w:jc w:val="both"/>
              <w:rPr>
                <w:rFonts w:ascii="Times New Roman" w:eastAsia="Times New Roman" w:hAnsi="Times New Roman" w:cs="Times New Roman"/>
                <w:sz w:val="18"/>
                <w:szCs w:val="18"/>
                <w:lang w:val="en-US"/>
              </w:rPr>
            </w:pPr>
            <w:r w:rsidRPr="009E6B6E">
              <w:rPr>
                <w:rFonts w:ascii="Times New Roman" w:eastAsia="Times New Roman" w:hAnsi="Times New Roman" w:cs="Times New Roman"/>
                <w:sz w:val="18"/>
                <w:szCs w:val="18"/>
                <w:lang w:val="en-US"/>
              </w:rPr>
              <w:t>0.00</w:t>
            </w:r>
          </w:p>
        </w:tc>
        <w:tc>
          <w:tcPr>
            <w:tcW w:w="709" w:type="dxa"/>
            <w:shd w:val="clear" w:color="auto" w:fill="FFFFFF" w:themeFill="background1"/>
            <w:noWrap/>
          </w:tcPr>
          <w:p w14:paraId="62BCF859" w14:textId="77777777" w:rsidR="007B26F1" w:rsidRPr="009E6B6E" w:rsidRDefault="007B26F1" w:rsidP="00F4486F">
            <w:pPr>
              <w:spacing w:after="0" w:line="240" w:lineRule="auto"/>
              <w:ind w:right="-105"/>
              <w:jc w:val="both"/>
              <w:rPr>
                <w:rFonts w:ascii="Times New Roman" w:eastAsia="Times New Roman" w:hAnsi="Times New Roman" w:cs="Times New Roman"/>
                <w:sz w:val="18"/>
                <w:szCs w:val="18"/>
                <w:vertAlign w:val="superscript"/>
                <w:lang w:val="en-US"/>
              </w:rPr>
            </w:pPr>
            <w:r w:rsidRPr="009E6B6E">
              <w:rPr>
                <w:rFonts w:ascii="Times New Roman" w:eastAsia="Times New Roman" w:hAnsi="Times New Roman" w:cs="Times New Roman"/>
                <w:sz w:val="18"/>
                <w:szCs w:val="18"/>
                <w:lang w:val="en-US"/>
              </w:rPr>
              <w:t>0.09</w:t>
            </w:r>
            <w:r w:rsidRPr="009E6B6E">
              <w:rPr>
                <w:rFonts w:ascii="Times New Roman" w:eastAsia="Times New Roman" w:hAnsi="Times New Roman" w:cs="Times New Roman"/>
                <w:sz w:val="18"/>
                <w:szCs w:val="18"/>
                <w:vertAlign w:val="superscript"/>
                <w:lang w:val="en-US"/>
              </w:rPr>
              <w:t>**</w:t>
            </w:r>
          </w:p>
        </w:tc>
        <w:tc>
          <w:tcPr>
            <w:tcW w:w="709" w:type="dxa"/>
            <w:shd w:val="clear" w:color="auto" w:fill="FFFFFF" w:themeFill="background1"/>
            <w:noWrap/>
          </w:tcPr>
          <w:p w14:paraId="06906001" w14:textId="77777777" w:rsidR="007B26F1" w:rsidRPr="009E6B6E" w:rsidRDefault="007B26F1" w:rsidP="00F4486F">
            <w:pPr>
              <w:spacing w:after="0" w:line="240" w:lineRule="auto"/>
              <w:ind w:right="-105"/>
              <w:jc w:val="both"/>
              <w:rPr>
                <w:rFonts w:ascii="Times New Roman" w:eastAsia="Times New Roman" w:hAnsi="Times New Roman" w:cs="Times New Roman"/>
                <w:sz w:val="18"/>
                <w:szCs w:val="18"/>
                <w:lang w:val="en-US"/>
              </w:rPr>
            </w:pPr>
            <w:r w:rsidRPr="009E6B6E">
              <w:rPr>
                <w:rFonts w:ascii="Times New Roman" w:eastAsia="Times New Roman" w:hAnsi="Times New Roman" w:cs="Times New Roman"/>
                <w:sz w:val="18"/>
                <w:szCs w:val="18"/>
                <w:lang w:val="en-US"/>
              </w:rPr>
              <w:t>-0.04</w:t>
            </w:r>
          </w:p>
        </w:tc>
        <w:tc>
          <w:tcPr>
            <w:tcW w:w="709" w:type="dxa"/>
            <w:shd w:val="clear" w:color="auto" w:fill="FFFFFF" w:themeFill="background1"/>
          </w:tcPr>
          <w:p w14:paraId="6BBFA887" w14:textId="77777777" w:rsidR="007B26F1" w:rsidRPr="009E6B6E" w:rsidRDefault="007B26F1" w:rsidP="00F4486F">
            <w:pPr>
              <w:spacing w:after="0" w:line="240" w:lineRule="auto"/>
              <w:ind w:right="-105"/>
              <w:jc w:val="both"/>
              <w:rPr>
                <w:rFonts w:ascii="Times New Roman" w:eastAsia="Times New Roman" w:hAnsi="Times New Roman" w:cs="Times New Roman"/>
                <w:sz w:val="18"/>
                <w:szCs w:val="18"/>
                <w:vertAlign w:val="superscript"/>
                <w:lang w:val="en-US"/>
              </w:rPr>
            </w:pPr>
            <w:r w:rsidRPr="009E6B6E">
              <w:rPr>
                <w:rFonts w:ascii="Times New Roman" w:eastAsia="Times New Roman" w:hAnsi="Times New Roman" w:cs="Times New Roman"/>
                <w:sz w:val="18"/>
                <w:szCs w:val="18"/>
                <w:lang w:val="en-US"/>
              </w:rPr>
              <w:t>-0.09</w:t>
            </w:r>
            <w:r w:rsidRPr="009E6B6E">
              <w:rPr>
                <w:rFonts w:ascii="Times New Roman" w:eastAsia="Times New Roman" w:hAnsi="Times New Roman" w:cs="Times New Roman"/>
                <w:sz w:val="18"/>
                <w:szCs w:val="18"/>
                <w:vertAlign w:val="superscript"/>
                <w:lang w:val="en-US"/>
              </w:rPr>
              <w:t>**</w:t>
            </w:r>
          </w:p>
        </w:tc>
        <w:tc>
          <w:tcPr>
            <w:tcW w:w="713" w:type="dxa"/>
            <w:shd w:val="clear" w:color="auto" w:fill="FFFFFF" w:themeFill="background1"/>
          </w:tcPr>
          <w:p w14:paraId="32B13CA7" w14:textId="77777777" w:rsidR="007B26F1" w:rsidRPr="009E6B6E" w:rsidRDefault="007B26F1" w:rsidP="00F4486F">
            <w:pPr>
              <w:spacing w:after="0" w:line="240" w:lineRule="auto"/>
              <w:ind w:right="-105"/>
              <w:jc w:val="both"/>
              <w:rPr>
                <w:rFonts w:ascii="Times New Roman" w:eastAsia="Times New Roman" w:hAnsi="Times New Roman" w:cs="Times New Roman"/>
                <w:sz w:val="18"/>
                <w:szCs w:val="18"/>
                <w:vertAlign w:val="superscript"/>
                <w:lang w:val="en-US"/>
              </w:rPr>
            </w:pPr>
            <w:r w:rsidRPr="009E6B6E">
              <w:rPr>
                <w:rFonts w:ascii="Times New Roman" w:eastAsia="Times New Roman" w:hAnsi="Times New Roman" w:cs="Times New Roman"/>
                <w:sz w:val="18"/>
                <w:szCs w:val="18"/>
                <w:lang w:val="en-US"/>
              </w:rPr>
              <w:t>0.10</w:t>
            </w:r>
            <w:r w:rsidRPr="009E6B6E">
              <w:rPr>
                <w:rFonts w:ascii="Times New Roman" w:eastAsia="Times New Roman" w:hAnsi="Times New Roman" w:cs="Times New Roman"/>
                <w:sz w:val="18"/>
                <w:szCs w:val="18"/>
                <w:vertAlign w:val="superscript"/>
                <w:lang w:val="en-US"/>
              </w:rPr>
              <w:t>***</w:t>
            </w:r>
          </w:p>
        </w:tc>
      </w:tr>
      <w:tr w:rsidR="007B26F1" w:rsidRPr="009E6B6E" w14:paraId="07D5E892" w14:textId="77777777" w:rsidTr="000711DA">
        <w:trPr>
          <w:trHeight w:val="293"/>
        </w:trPr>
        <w:tc>
          <w:tcPr>
            <w:tcW w:w="851" w:type="dxa"/>
            <w:tcBorders>
              <w:top w:val="nil"/>
              <w:left w:val="nil"/>
              <w:bottom w:val="nil"/>
            </w:tcBorders>
            <w:shd w:val="clear" w:color="auto" w:fill="FFFFFF" w:themeFill="background1"/>
          </w:tcPr>
          <w:p w14:paraId="007755D6" w14:textId="77777777" w:rsidR="007B26F1" w:rsidRPr="009E6B6E" w:rsidRDefault="007B26F1" w:rsidP="00F4486F">
            <w:pPr>
              <w:spacing w:after="0" w:line="240" w:lineRule="auto"/>
              <w:rPr>
                <w:rFonts w:ascii="Times New Roman" w:eastAsia="Times New Roman" w:hAnsi="Times New Roman" w:cs="Times New Roman"/>
                <w:iCs/>
                <w:color w:val="000000"/>
                <w:sz w:val="18"/>
                <w:szCs w:val="18"/>
                <w:lang w:val="en-US"/>
              </w:rPr>
            </w:pPr>
            <w:r w:rsidRPr="009E6B6E">
              <w:rPr>
                <w:rFonts w:ascii="Times New Roman" w:eastAsia="Times New Roman" w:hAnsi="Times New Roman" w:cs="Times New Roman"/>
                <w:iCs/>
                <w:color w:val="000000"/>
                <w:sz w:val="18"/>
                <w:szCs w:val="18"/>
                <w:lang w:val="en-US"/>
              </w:rPr>
              <w:t>G</w:t>
            </w:r>
            <w:r>
              <w:rPr>
                <w:rFonts w:ascii="Times New Roman" w:eastAsia="Times New Roman" w:hAnsi="Times New Roman" w:cs="Times New Roman"/>
                <w:iCs/>
                <w:color w:val="000000"/>
                <w:sz w:val="18"/>
                <w:szCs w:val="18"/>
                <w:lang w:val="en-US"/>
              </w:rPr>
              <w:t>B</w:t>
            </w:r>
            <w:r w:rsidRPr="009E6B6E">
              <w:rPr>
                <w:rFonts w:ascii="Times New Roman" w:eastAsia="Times New Roman" w:hAnsi="Times New Roman" w:cs="Times New Roman"/>
                <w:iCs/>
                <w:color w:val="000000"/>
                <w:sz w:val="18"/>
                <w:szCs w:val="18"/>
                <w:lang w:val="en-US"/>
              </w:rPr>
              <w:t>Z</w:t>
            </w:r>
            <w:r>
              <w:rPr>
                <w:rFonts w:ascii="Times New Roman" w:eastAsia="Times New Roman" w:hAnsi="Times New Roman" w:cs="Times New Roman"/>
                <w:iCs/>
                <w:color w:val="000000"/>
                <w:sz w:val="18"/>
                <w:szCs w:val="18"/>
                <w:lang w:val="en-US"/>
              </w:rPr>
              <w:t>E</w:t>
            </w:r>
          </w:p>
        </w:tc>
        <w:tc>
          <w:tcPr>
            <w:tcW w:w="709" w:type="dxa"/>
            <w:tcBorders>
              <w:top w:val="nil"/>
              <w:left w:val="nil"/>
              <w:bottom w:val="nil"/>
              <w:right w:val="nil"/>
            </w:tcBorders>
            <w:shd w:val="clear" w:color="auto" w:fill="FFFFFF" w:themeFill="background1"/>
            <w:noWrap/>
          </w:tcPr>
          <w:p w14:paraId="7D249BE0"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tcPr>
          <w:p w14:paraId="007CD5DE" w14:textId="77777777" w:rsidR="007B26F1" w:rsidRPr="009E6B6E" w:rsidRDefault="007B26F1" w:rsidP="00F4486F">
            <w:pPr>
              <w:spacing w:after="0" w:line="240" w:lineRule="auto"/>
              <w:ind w:right="-12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850" w:type="dxa"/>
            <w:shd w:val="clear" w:color="auto" w:fill="FFFFFF" w:themeFill="background1"/>
          </w:tcPr>
          <w:p w14:paraId="50255D78"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0.00</w:t>
            </w:r>
          </w:p>
        </w:tc>
        <w:tc>
          <w:tcPr>
            <w:tcW w:w="850" w:type="dxa"/>
            <w:shd w:val="clear" w:color="auto" w:fill="FFFFFF" w:themeFill="background1"/>
          </w:tcPr>
          <w:p w14:paraId="447FAACC"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09" w:type="dxa"/>
            <w:shd w:val="clear" w:color="auto" w:fill="FFFFFF" w:themeFill="background1"/>
          </w:tcPr>
          <w:p w14:paraId="70C8301E"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tcPr>
          <w:p w14:paraId="4AEAF133" w14:textId="77777777" w:rsidR="007B26F1" w:rsidRPr="009E6B6E" w:rsidRDefault="007B26F1" w:rsidP="00F4486F">
            <w:pPr>
              <w:spacing w:after="0" w:line="240" w:lineRule="auto"/>
              <w:ind w:right="-120"/>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-0.14</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32340692"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p>
        </w:tc>
        <w:tc>
          <w:tcPr>
            <w:tcW w:w="709" w:type="dxa"/>
            <w:shd w:val="clear" w:color="auto" w:fill="FFFFFF" w:themeFill="background1"/>
          </w:tcPr>
          <w:p w14:paraId="10ECEF1A" w14:textId="77777777" w:rsidR="007B26F1" w:rsidRPr="009E6B6E" w:rsidRDefault="007B26F1" w:rsidP="00F4486F">
            <w:pPr>
              <w:spacing w:after="0" w:line="240" w:lineRule="auto"/>
              <w:ind w:right="-128"/>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-0.13</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6C9D66AC" w14:textId="77777777" w:rsidR="007B26F1" w:rsidRPr="009E6B6E" w:rsidRDefault="007B26F1" w:rsidP="00F4486F">
            <w:pPr>
              <w:spacing w:after="0" w:line="240" w:lineRule="auto"/>
              <w:ind w:right="-13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-0.31</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6D78D775" w14:textId="77777777" w:rsidR="007B26F1" w:rsidRPr="009E6B6E" w:rsidRDefault="007B26F1" w:rsidP="00F4486F">
            <w:pPr>
              <w:spacing w:after="0" w:line="240" w:lineRule="auto"/>
              <w:ind w:right="-11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8" w:type="dxa"/>
            <w:shd w:val="clear" w:color="auto" w:fill="FFFFFF" w:themeFill="background1"/>
            <w:noWrap/>
          </w:tcPr>
          <w:p w14:paraId="4FEE90D3"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0.11</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noWrap/>
          </w:tcPr>
          <w:p w14:paraId="0E36C918"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0.24</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66CD5A69" w14:textId="77777777" w:rsidR="007B26F1" w:rsidRPr="009E6B6E" w:rsidRDefault="007B26F1" w:rsidP="00F4486F">
            <w:pPr>
              <w:spacing w:after="0" w:line="240" w:lineRule="auto"/>
              <w:ind w:right="-108"/>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0.11</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6F124CED" w14:textId="77777777" w:rsidR="007B26F1" w:rsidRPr="009E6B6E" w:rsidRDefault="007B26F1" w:rsidP="00F4486F">
            <w:pPr>
              <w:spacing w:after="0" w:line="240" w:lineRule="auto"/>
              <w:ind w:right="-120"/>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-0.13</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2C1E17AF" w14:textId="77777777" w:rsidR="007B26F1" w:rsidRPr="009E6B6E" w:rsidRDefault="007B26F1" w:rsidP="00F4486F">
            <w:pPr>
              <w:spacing w:after="0" w:line="240" w:lineRule="auto"/>
              <w:ind w:right="-12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-0.28</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197F6A85"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0.19</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tcPr>
          <w:p w14:paraId="482630E8" w14:textId="77777777" w:rsidR="007B26F1" w:rsidRPr="009E6B6E" w:rsidRDefault="007B26F1" w:rsidP="00F4486F">
            <w:pPr>
              <w:spacing w:after="0" w:line="240" w:lineRule="auto"/>
              <w:ind w:right="-104"/>
              <w:jc w:val="both"/>
              <w:rPr>
                <w:rFonts w:ascii="Times New Roman" w:eastAsia="Times New Roman" w:hAnsi="Times New Roman" w:cs="Times New Roman"/>
                <w:sz w:val="18"/>
                <w:szCs w:val="18"/>
                <w:lang w:val="en-US"/>
              </w:rPr>
            </w:pPr>
            <w:r w:rsidRPr="009E6B6E">
              <w:rPr>
                <w:rFonts w:ascii="Times New Roman" w:eastAsia="Times New Roman" w:hAnsi="Times New Roman" w:cs="Times New Roman"/>
                <w:sz w:val="18"/>
                <w:szCs w:val="18"/>
                <w:lang w:val="en-US"/>
              </w:rPr>
              <w:t>0.01</w:t>
            </w:r>
          </w:p>
        </w:tc>
        <w:tc>
          <w:tcPr>
            <w:tcW w:w="709" w:type="dxa"/>
            <w:shd w:val="clear" w:color="auto" w:fill="FFFFFF" w:themeFill="background1"/>
            <w:noWrap/>
          </w:tcPr>
          <w:p w14:paraId="7C2EFDC8"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09" w:type="dxa"/>
            <w:shd w:val="clear" w:color="auto" w:fill="FFFFFF" w:themeFill="background1"/>
            <w:noWrap/>
          </w:tcPr>
          <w:p w14:paraId="31CAE921"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09" w:type="dxa"/>
            <w:shd w:val="clear" w:color="auto" w:fill="FFFFFF" w:themeFill="background1"/>
          </w:tcPr>
          <w:p w14:paraId="505E5A0C"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713" w:type="dxa"/>
            <w:shd w:val="clear" w:color="auto" w:fill="FFFFFF" w:themeFill="background1"/>
          </w:tcPr>
          <w:p w14:paraId="4EB16E01"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-0.10</w:t>
            </w:r>
            <w:r w:rsidRPr="009E6B6E">
              <w:rPr>
                <w:rFonts w:ascii="Times New Roman" w:eastAsia="Times New Roman" w:hAnsi="Times New Roman" w:cs="Times New Roman"/>
                <w:color w:val="000000"/>
                <w:sz w:val="18"/>
                <w:szCs w:val="18"/>
                <w:vertAlign w:val="superscript"/>
                <w:lang w:val="en-US"/>
              </w:rPr>
              <w:t>**</w:t>
            </w:r>
          </w:p>
        </w:tc>
      </w:tr>
      <w:tr w:rsidR="007B26F1" w:rsidRPr="009E6B6E" w14:paraId="7E8B6071" w14:textId="77777777" w:rsidTr="000711DA">
        <w:trPr>
          <w:trHeight w:val="293"/>
        </w:trPr>
        <w:tc>
          <w:tcPr>
            <w:tcW w:w="851" w:type="dxa"/>
            <w:tcBorders>
              <w:top w:val="nil"/>
              <w:left w:val="nil"/>
              <w:bottom w:val="nil"/>
            </w:tcBorders>
            <w:shd w:val="clear" w:color="auto" w:fill="FFFFFF" w:themeFill="background1"/>
          </w:tcPr>
          <w:p w14:paraId="3447D21A" w14:textId="77777777" w:rsidR="007B26F1" w:rsidRPr="009E6B6E" w:rsidRDefault="007B26F1" w:rsidP="00F4486F">
            <w:pPr>
              <w:spacing w:after="0" w:line="240" w:lineRule="auto"/>
              <w:rPr>
                <w:rFonts w:ascii="Times New Roman" w:eastAsia="Times New Roman" w:hAnsi="Times New Roman" w:cs="Times New Roman"/>
                <w:iCs/>
                <w:color w:val="000000"/>
                <w:sz w:val="18"/>
                <w:szCs w:val="18"/>
                <w:lang w:val="en-US"/>
              </w:rPr>
            </w:pPr>
            <w:r w:rsidRPr="009E6B6E">
              <w:rPr>
                <w:rFonts w:ascii="Times New Roman" w:eastAsia="Times New Roman" w:hAnsi="Times New Roman" w:cs="Times New Roman"/>
                <w:iCs/>
                <w:color w:val="000000"/>
                <w:sz w:val="18"/>
                <w:szCs w:val="18"/>
                <w:lang w:val="en-US"/>
              </w:rPr>
              <w:t>G</w:t>
            </w:r>
            <w:r>
              <w:rPr>
                <w:rFonts w:ascii="Times New Roman" w:eastAsia="Times New Roman" w:hAnsi="Times New Roman" w:cs="Times New Roman"/>
                <w:iCs/>
                <w:color w:val="000000"/>
                <w:sz w:val="18"/>
                <w:szCs w:val="18"/>
                <w:lang w:val="en-US"/>
              </w:rPr>
              <w:t>BGE</w:t>
            </w:r>
            <w:r w:rsidRPr="009E6B6E">
              <w:rPr>
                <w:rFonts w:ascii="Times New Roman" w:eastAsia="Times New Roman" w:hAnsi="Times New Roman" w:cs="Times New Roman"/>
                <w:iCs/>
                <w:color w:val="000000"/>
                <w:sz w:val="18"/>
                <w:szCs w:val="18"/>
                <w:lang w:val="en-US"/>
              </w:rPr>
              <w:t>D</w:t>
            </w:r>
          </w:p>
        </w:tc>
        <w:tc>
          <w:tcPr>
            <w:tcW w:w="709" w:type="dxa"/>
            <w:tcBorders>
              <w:top w:val="nil"/>
              <w:left w:val="nil"/>
              <w:bottom w:val="nil"/>
              <w:right w:val="nil"/>
            </w:tcBorders>
            <w:shd w:val="clear" w:color="auto" w:fill="FFFFFF" w:themeFill="background1"/>
            <w:noWrap/>
          </w:tcPr>
          <w:p w14:paraId="4253F79A"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2A4EA5B7" w14:textId="77777777" w:rsidR="007B26F1" w:rsidRPr="009E6B6E" w:rsidRDefault="007B26F1" w:rsidP="00F4486F">
            <w:pPr>
              <w:spacing w:after="0" w:line="240" w:lineRule="auto"/>
              <w:ind w:right="-12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-0.10</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tcPr>
          <w:p w14:paraId="26381DFF"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-0.11</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tcPr>
          <w:p w14:paraId="51E3822C"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09" w:type="dxa"/>
            <w:shd w:val="clear" w:color="auto" w:fill="FFFFFF" w:themeFill="background1"/>
          </w:tcPr>
          <w:p w14:paraId="2005B737"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0.02</w:t>
            </w:r>
          </w:p>
        </w:tc>
        <w:tc>
          <w:tcPr>
            <w:tcW w:w="709" w:type="dxa"/>
            <w:shd w:val="clear" w:color="auto" w:fill="FFFFFF" w:themeFill="background1"/>
          </w:tcPr>
          <w:p w14:paraId="16527BAB"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755F1BEB"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5CBF0D8A"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lang w:val="en-US"/>
              </w:rPr>
            </w:pPr>
          </w:p>
        </w:tc>
        <w:tc>
          <w:tcPr>
            <w:tcW w:w="709" w:type="dxa"/>
            <w:shd w:val="clear" w:color="auto" w:fill="FFFFFF" w:themeFill="background1"/>
          </w:tcPr>
          <w:p w14:paraId="28775B0C"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0.06</w:t>
            </w:r>
          </w:p>
        </w:tc>
        <w:tc>
          <w:tcPr>
            <w:tcW w:w="709" w:type="dxa"/>
            <w:shd w:val="clear" w:color="auto" w:fill="FFFFFF" w:themeFill="background1"/>
            <w:noWrap/>
          </w:tcPr>
          <w:p w14:paraId="05ECB521"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08" w:type="dxa"/>
            <w:shd w:val="clear" w:color="auto" w:fill="FFFFFF" w:themeFill="background1"/>
            <w:noWrap/>
          </w:tcPr>
          <w:p w14:paraId="64ED5754"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-0.00</w:t>
            </w:r>
          </w:p>
        </w:tc>
        <w:tc>
          <w:tcPr>
            <w:tcW w:w="850" w:type="dxa"/>
            <w:shd w:val="clear" w:color="auto" w:fill="FFFFFF" w:themeFill="background1"/>
            <w:noWrap/>
          </w:tcPr>
          <w:p w14:paraId="003C0F08"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1B194D65" w14:textId="77777777" w:rsidR="007B26F1" w:rsidRPr="009E6B6E" w:rsidRDefault="007B26F1" w:rsidP="00F4486F">
            <w:pPr>
              <w:spacing w:after="0" w:line="240" w:lineRule="auto"/>
              <w:ind w:right="-108"/>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09" w:type="dxa"/>
            <w:shd w:val="clear" w:color="auto" w:fill="FFFFFF" w:themeFill="background1"/>
          </w:tcPr>
          <w:p w14:paraId="34BAEAF8"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01D4F4B4"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0.12</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61BC513D"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tcPr>
          <w:p w14:paraId="108585AE" w14:textId="77777777" w:rsidR="007B26F1" w:rsidRPr="009E6B6E" w:rsidRDefault="007B26F1" w:rsidP="00F4486F">
            <w:pPr>
              <w:spacing w:after="0" w:line="240" w:lineRule="auto"/>
              <w:ind w:right="-104"/>
              <w:jc w:val="both"/>
              <w:rPr>
                <w:rFonts w:ascii="Times New Roman" w:eastAsia="Times New Roman" w:hAnsi="Times New Roman" w:cs="Times New Roman"/>
                <w:sz w:val="18"/>
                <w:szCs w:val="18"/>
                <w:lang w:val="en-US"/>
              </w:rPr>
            </w:pPr>
            <w:r w:rsidRPr="009E6B6E">
              <w:rPr>
                <w:rFonts w:ascii="Times New Roman" w:eastAsia="Times New Roman" w:hAnsi="Times New Roman" w:cs="Times New Roman"/>
                <w:sz w:val="18"/>
                <w:szCs w:val="18"/>
                <w:lang w:val="en-US"/>
              </w:rPr>
              <w:t>0.02</w:t>
            </w:r>
          </w:p>
        </w:tc>
        <w:tc>
          <w:tcPr>
            <w:tcW w:w="709" w:type="dxa"/>
            <w:shd w:val="clear" w:color="auto" w:fill="FFFFFF" w:themeFill="background1"/>
            <w:noWrap/>
          </w:tcPr>
          <w:p w14:paraId="6D6619A2"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noWrap/>
          </w:tcPr>
          <w:p w14:paraId="00F24940"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tcPr>
          <w:p w14:paraId="69F0D737"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13" w:type="dxa"/>
            <w:shd w:val="clear" w:color="auto" w:fill="FFFFFF" w:themeFill="background1"/>
          </w:tcPr>
          <w:p w14:paraId="577D574F"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-0.00</w:t>
            </w:r>
          </w:p>
        </w:tc>
      </w:tr>
      <w:tr w:rsidR="007B26F1" w:rsidRPr="009E6B6E" w14:paraId="6148B4FA" w14:textId="77777777" w:rsidTr="000711DA">
        <w:trPr>
          <w:trHeight w:val="293"/>
        </w:trPr>
        <w:tc>
          <w:tcPr>
            <w:tcW w:w="851" w:type="dxa"/>
            <w:tcBorders>
              <w:top w:val="nil"/>
              <w:left w:val="nil"/>
              <w:bottom w:val="nil"/>
            </w:tcBorders>
            <w:shd w:val="clear" w:color="auto" w:fill="FFFFFF" w:themeFill="background1"/>
          </w:tcPr>
          <w:p w14:paraId="43FFBAB9" w14:textId="77777777" w:rsidR="007B26F1" w:rsidRPr="009E6B6E" w:rsidRDefault="007B26F1" w:rsidP="00F4486F">
            <w:pPr>
              <w:spacing w:after="0" w:line="240" w:lineRule="auto"/>
              <w:rPr>
                <w:rFonts w:ascii="Times New Roman" w:eastAsia="Times New Roman" w:hAnsi="Times New Roman" w:cs="Times New Roman"/>
                <w:iCs/>
                <w:color w:val="000000"/>
                <w:sz w:val="18"/>
                <w:szCs w:val="18"/>
                <w:lang w:val="en-US"/>
              </w:rPr>
            </w:pPr>
            <w:r>
              <w:rPr>
                <w:rFonts w:ascii="Times New Roman" w:eastAsia="Times New Roman" w:hAnsi="Times New Roman" w:cs="Times New Roman"/>
                <w:iCs/>
                <w:color w:val="000000"/>
                <w:sz w:val="18"/>
                <w:szCs w:val="18"/>
                <w:lang w:val="en-US"/>
              </w:rPr>
              <w:t>GBIND</w:t>
            </w:r>
          </w:p>
        </w:tc>
        <w:tc>
          <w:tcPr>
            <w:tcW w:w="709" w:type="dxa"/>
            <w:tcBorders>
              <w:top w:val="nil"/>
              <w:left w:val="nil"/>
              <w:bottom w:val="nil"/>
              <w:right w:val="nil"/>
            </w:tcBorders>
            <w:shd w:val="clear" w:color="auto" w:fill="FFFFFF" w:themeFill="background1"/>
            <w:noWrap/>
          </w:tcPr>
          <w:p w14:paraId="44AB25CC" w14:textId="77777777" w:rsidR="007B26F1" w:rsidRPr="009E6B6E" w:rsidRDefault="007B26F1" w:rsidP="00F4486F">
            <w:pPr>
              <w:spacing w:after="0" w:line="240" w:lineRule="auto"/>
              <w:ind w:right="-110"/>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0.24</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74D5CDBC" w14:textId="77777777" w:rsidR="007B26F1" w:rsidRPr="009E6B6E" w:rsidRDefault="007B26F1" w:rsidP="00F4486F">
            <w:pPr>
              <w:spacing w:after="0" w:line="240" w:lineRule="auto"/>
              <w:ind w:right="-12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850" w:type="dxa"/>
            <w:shd w:val="clear" w:color="auto" w:fill="FFFFFF" w:themeFill="background1"/>
          </w:tcPr>
          <w:p w14:paraId="4942A234"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tcPr>
          <w:p w14:paraId="1C5576F1" w14:textId="77777777" w:rsidR="007B26F1" w:rsidRPr="009E6B6E" w:rsidRDefault="007B26F1" w:rsidP="00F4486F">
            <w:pPr>
              <w:spacing w:after="0" w:line="240" w:lineRule="auto"/>
              <w:ind w:right="-11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09" w:type="dxa"/>
            <w:shd w:val="clear" w:color="auto" w:fill="FFFFFF" w:themeFill="background1"/>
          </w:tcPr>
          <w:p w14:paraId="15C0AB0F"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1B6F1812"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tcPr>
          <w:p w14:paraId="0FFB382B"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-0.30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33A683FE"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16226DDC"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lang w:val="en-US"/>
              </w:rPr>
            </w:pPr>
          </w:p>
        </w:tc>
        <w:tc>
          <w:tcPr>
            <w:tcW w:w="709" w:type="dxa"/>
            <w:shd w:val="clear" w:color="auto" w:fill="FFFFFF" w:themeFill="background1"/>
            <w:noWrap/>
          </w:tcPr>
          <w:p w14:paraId="41DD4872"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8" w:type="dxa"/>
            <w:shd w:val="clear" w:color="auto" w:fill="FFFFFF" w:themeFill="background1"/>
            <w:noWrap/>
          </w:tcPr>
          <w:p w14:paraId="613107BE"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-0.28</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noWrap/>
          </w:tcPr>
          <w:p w14:paraId="3102E50F"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-0.38</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571A2C8A" w14:textId="77777777" w:rsidR="007B26F1" w:rsidRPr="009E6B6E" w:rsidRDefault="007B26F1" w:rsidP="00F4486F">
            <w:pPr>
              <w:spacing w:after="0" w:line="240" w:lineRule="auto"/>
              <w:ind w:right="-108"/>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-0.26</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222B9DE6"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0.25</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7E554C61"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0.41</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29601E8D"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-0.21</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tcPr>
          <w:p w14:paraId="6780BDB2"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noWrap/>
          </w:tcPr>
          <w:p w14:paraId="50FA3187"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0.12</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294AD60C"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0.15</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37024135"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-0.07</w:t>
            </w:r>
            <w:r w:rsidRPr="009E6B6E">
              <w:rPr>
                <w:rFonts w:ascii="Times New Roman" w:eastAsia="Times New Roman" w:hAnsi="Times New Roman" w:cs="Times New Roman"/>
                <w:color w:val="000000"/>
                <w:sz w:val="18"/>
                <w:szCs w:val="18"/>
                <w:vertAlign w:val="superscript"/>
                <w:lang w:val="en-US"/>
              </w:rPr>
              <w:t>*</w:t>
            </w:r>
          </w:p>
        </w:tc>
        <w:tc>
          <w:tcPr>
            <w:tcW w:w="713" w:type="dxa"/>
            <w:shd w:val="clear" w:color="auto" w:fill="FFFFFF" w:themeFill="background1"/>
          </w:tcPr>
          <w:p w14:paraId="6C8C6698"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0.06</w:t>
            </w:r>
          </w:p>
        </w:tc>
      </w:tr>
      <w:tr w:rsidR="007B26F1" w:rsidRPr="009E6B6E" w14:paraId="3E511F0D" w14:textId="77777777" w:rsidTr="000711DA">
        <w:trPr>
          <w:trHeight w:val="300"/>
        </w:trPr>
        <w:tc>
          <w:tcPr>
            <w:tcW w:w="851" w:type="dxa"/>
            <w:tcBorders>
              <w:top w:val="nil"/>
              <w:left w:val="nil"/>
              <w:bottom w:val="nil"/>
            </w:tcBorders>
            <w:shd w:val="clear" w:color="auto" w:fill="FFFFFF" w:themeFill="background1"/>
          </w:tcPr>
          <w:p w14:paraId="3D53BA0E" w14:textId="77777777" w:rsidR="007B26F1" w:rsidRPr="009E6B6E" w:rsidRDefault="007B26F1" w:rsidP="00F4486F">
            <w:pPr>
              <w:spacing w:after="0" w:line="240" w:lineRule="auto"/>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G</w:t>
            </w:r>
            <w:r>
              <w:rPr>
                <w:rFonts w:ascii="Times New Roman" w:eastAsia="Times New Roman" w:hAnsi="Times New Roman" w:cs="Times New Roman"/>
                <w:color w:val="000000"/>
                <w:sz w:val="18"/>
                <w:szCs w:val="18"/>
                <w:lang w:val="en-US"/>
              </w:rPr>
              <w:t>B</w:t>
            </w:r>
            <w:r w:rsidRPr="009E6B6E">
              <w:rPr>
                <w:rFonts w:ascii="Times New Roman" w:eastAsia="Times New Roman" w:hAnsi="Times New Roman" w:cs="Times New Roman"/>
                <w:color w:val="000000"/>
                <w:sz w:val="18"/>
                <w:szCs w:val="18"/>
                <w:lang w:val="en-US"/>
              </w:rPr>
              <w:t>M</w:t>
            </w:r>
            <w:r>
              <w:rPr>
                <w:rFonts w:ascii="Times New Roman" w:eastAsia="Times New Roman" w:hAnsi="Times New Roman" w:cs="Times New Roman"/>
                <w:color w:val="000000"/>
                <w:sz w:val="18"/>
                <w:szCs w:val="18"/>
                <w:lang w:val="en-US"/>
              </w:rPr>
              <w:t>T</w:t>
            </w:r>
          </w:p>
        </w:tc>
        <w:tc>
          <w:tcPr>
            <w:tcW w:w="709" w:type="dxa"/>
            <w:tcBorders>
              <w:top w:val="nil"/>
              <w:left w:val="nil"/>
              <w:bottom w:val="nil"/>
              <w:right w:val="nil"/>
            </w:tcBorders>
            <w:shd w:val="clear" w:color="auto" w:fill="FFFFFF" w:themeFill="background1"/>
            <w:noWrap/>
          </w:tcPr>
          <w:p w14:paraId="50157FC1" w14:textId="77777777" w:rsidR="007B26F1" w:rsidRPr="009E6B6E" w:rsidRDefault="007B26F1" w:rsidP="00F4486F">
            <w:pPr>
              <w:spacing w:after="0" w:line="240" w:lineRule="auto"/>
              <w:ind w:right="-110"/>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0.17</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63D2F2B1" w14:textId="77777777" w:rsidR="007B26F1" w:rsidRPr="009E6B6E" w:rsidRDefault="007B26F1" w:rsidP="00F4486F">
            <w:pPr>
              <w:spacing w:after="0" w:line="240" w:lineRule="auto"/>
              <w:ind w:right="-12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850" w:type="dxa"/>
            <w:shd w:val="clear" w:color="auto" w:fill="FFFFFF" w:themeFill="background1"/>
          </w:tcPr>
          <w:p w14:paraId="2EB55980"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tcPr>
          <w:p w14:paraId="7E375E3C"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9" w:type="dxa"/>
            <w:shd w:val="clear" w:color="auto" w:fill="FFFFFF" w:themeFill="background1"/>
          </w:tcPr>
          <w:p w14:paraId="2D2722BA"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516C0805"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387C887A"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9" w:type="dxa"/>
            <w:shd w:val="clear" w:color="auto" w:fill="FFFFFF" w:themeFill="background1"/>
          </w:tcPr>
          <w:p w14:paraId="1C8C6FF0"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52AF05D4"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-0.13</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1F7F8656" w14:textId="77777777" w:rsidR="007B26F1" w:rsidRPr="009E6B6E" w:rsidRDefault="007B26F1" w:rsidP="00F4486F">
            <w:pPr>
              <w:spacing w:after="0" w:line="240" w:lineRule="auto"/>
              <w:ind w:right="-112"/>
              <w:jc w:val="both"/>
              <w:rPr>
                <w:rFonts w:ascii="Times New Roman" w:eastAsia="Times New Roman" w:hAnsi="Times New Roman" w:cs="Times New Roman"/>
                <w:color w:val="000000"/>
                <w:sz w:val="18"/>
                <w:szCs w:val="18"/>
                <w:lang w:val="en-US"/>
              </w:rPr>
            </w:pPr>
          </w:p>
        </w:tc>
        <w:tc>
          <w:tcPr>
            <w:tcW w:w="708" w:type="dxa"/>
            <w:shd w:val="clear" w:color="auto" w:fill="FFFFFF" w:themeFill="background1"/>
            <w:noWrap/>
          </w:tcPr>
          <w:p w14:paraId="7A514F6E"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0.07</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noWrap/>
          </w:tcPr>
          <w:p w14:paraId="1C612606"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0.15</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55FC7FC8" w14:textId="77777777" w:rsidR="007B26F1" w:rsidRPr="009E6B6E" w:rsidRDefault="007B26F1" w:rsidP="00F4486F">
            <w:pPr>
              <w:spacing w:after="0" w:line="240" w:lineRule="auto"/>
              <w:ind w:right="-108"/>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0.28</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52BF000F"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-0.13</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04722894"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-0.15</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2A8B632C"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0.24</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tcPr>
          <w:p w14:paraId="40686BAC"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-0.07</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00F7736A"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09" w:type="dxa"/>
            <w:shd w:val="clear" w:color="auto" w:fill="FFFFFF" w:themeFill="background1"/>
            <w:noWrap/>
          </w:tcPr>
          <w:p w14:paraId="30135963"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tcPr>
          <w:p w14:paraId="7159076D"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13" w:type="dxa"/>
            <w:shd w:val="clear" w:color="auto" w:fill="FFFFFF" w:themeFill="background1"/>
          </w:tcPr>
          <w:p w14:paraId="7F7ECB7B"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0.06</w:t>
            </w:r>
            <w:r w:rsidRPr="009E6B6E">
              <w:rPr>
                <w:rFonts w:ascii="Times New Roman" w:eastAsia="Times New Roman" w:hAnsi="Times New Roman" w:cs="Times New Roman"/>
                <w:color w:val="000000"/>
                <w:sz w:val="18"/>
                <w:szCs w:val="18"/>
                <w:vertAlign w:val="superscript"/>
                <w:lang w:val="en-US"/>
              </w:rPr>
              <w:t>*</w:t>
            </w:r>
          </w:p>
        </w:tc>
      </w:tr>
      <w:tr w:rsidR="007B26F1" w:rsidRPr="009E6B6E" w14:paraId="539F1082" w14:textId="77777777" w:rsidTr="000711DA">
        <w:trPr>
          <w:trHeight w:val="300"/>
        </w:trPr>
        <w:tc>
          <w:tcPr>
            <w:tcW w:w="851" w:type="dxa"/>
            <w:tcBorders>
              <w:top w:val="nil"/>
              <w:left w:val="nil"/>
              <w:bottom w:val="nil"/>
            </w:tcBorders>
            <w:shd w:val="clear" w:color="auto" w:fill="FFFFFF" w:themeFill="background1"/>
          </w:tcPr>
          <w:p w14:paraId="492108D1" w14:textId="77777777" w:rsidR="007B26F1" w:rsidRPr="009E6B6E" w:rsidRDefault="007B26F1" w:rsidP="00F4486F">
            <w:pPr>
              <w:spacing w:after="0" w:line="240" w:lineRule="auto"/>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A</w:t>
            </w:r>
            <w:r>
              <w:rPr>
                <w:rFonts w:ascii="Times New Roman" w:eastAsia="Times New Roman" w:hAnsi="Times New Roman" w:cs="Times New Roman"/>
                <w:color w:val="000000"/>
                <w:sz w:val="18"/>
                <w:szCs w:val="18"/>
                <w:lang w:val="en-US"/>
              </w:rPr>
              <w:t>F</w:t>
            </w:r>
            <w:r w:rsidRPr="009E6B6E">
              <w:rPr>
                <w:rFonts w:ascii="Times New Roman" w:eastAsia="Times New Roman" w:hAnsi="Times New Roman" w:cs="Times New Roman"/>
                <w:color w:val="000000"/>
                <w:sz w:val="18"/>
                <w:szCs w:val="18"/>
                <w:lang w:val="en-US"/>
              </w:rPr>
              <w:t>Z</w:t>
            </w:r>
            <w:r>
              <w:rPr>
                <w:rFonts w:ascii="Times New Roman" w:eastAsia="Times New Roman" w:hAnsi="Times New Roman" w:cs="Times New Roman"/>
                <w:color w:val="000000"/>
                <w:sz w:val="18"/>
                <w:szCs w:val="18"/>
                <w:lang w:val="en-US"/>
              </w:rPr>
              <w:t>E</w:t>
            </w:r>
          </w:p>
        </w:tc>
        <w:tc>
          <w:tcPr>
            <w:tcW w:w="709" w:type="dxa"/>
            <w:tcBorders>
              <w:top w:val="nil"/>
              <w:left w:val="nil"/>
              <w:bottom w:val="nil"/>
              <w:right w:val="nil"/>
            </w:tcBorders>
            <w:shd w:val="clear" w:color="auto" w:fill="FFFFFF" w:themeFill="background1"/>
            <w:noWrap/>
          </w:tcPr>
          <w:p w14:paraId="135C24A0" w14:textId="77777777" w:rsidR="007B26F1" w:rsidRPr="009E6B6E" w:rsidRDefault="007B26F1" w:rsidP="00F4486F">
            <w:pPr>
              <w:spacing w:after="0" w:line="240" w:lineRule="auto"/>
              <w:ind w:right="-110"/>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-0.12</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50F5DAC7" w14:textId="77777777" w:rsidR="007B26F1" w:rsidRPr="009E6B6E" w:rsidRDefault="007B26F1" w:rsidP="00F4486F">
            <w:pPr>
              <w:spacing w:after="0" w:line="240" w:lineRule="auto"/>
              <w:ind w:right="-12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850" w:type="dxa"/>
            <w:shd w:val="clear" w:color="auto" w:fill="FFFFFF" w:themeFill="background1"/>
          </w:tcPr>
          <w:p w14:paraId="02D6D72B"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850" w:type="dxa"/>
            <w:shd w:val="clear" w:color="auto" w:fill="FFFFFF" w:themeFill="background1"/>
          </w:tcPr>
          <w:p w14:paraId="07093C0E"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0.24</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085197BE"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3D371667"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-0.13</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05633575"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0.11</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4A067363"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9" w:type="dxa"/>
            <w:shd w:val="clear" w:color="auto" w:fill="FFFFFF" w:themeFill="background1"/>
          </w:tcPr>
          <w:p w14:paraId="74858B68"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-0.27</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42420AF1" w14:textId="77777777" w:rsidR="007B26F1" w:rsidRPr="009E6B6E" w:rsidRDefault="007B26F1" w:rsidP="00F4486F">
            <w:pPr>
              <w:spacing w:after="0" w:line="240" w:lineRule="auto"/>
              <w:ind w:right="-11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noWrap/>
          </w:tcPr>
          <w:p w14:paraId="7AAAAA9F"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lang w:val="en-US"/>
              </w:rPr>
            </w:pPr>
          </w:p>
        </w:tc>
        <w:tc>
          <w:tcPr>
            <w:tcW w:w="850" w:type="dxa"/>
            <w:shd w:val="clear" w:color="auto" w:fill="FFFFFF" w:themeFill="background1"/>
            <w:noWrap/>
          </w:tcPr>
          <w:p w14:paraId="00608542"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0.26</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11E4F33F" w14:textId="77777777" w:rsidR="007B26F1" w:rsidRPr="009E6B6E" w:rsidRDefault="007B26F1" w:rsidP="00F4486F">
            <w:pPr>
              <w:spacing w:after="0" w:line="240" w:lineRule="auto"/>
              <w:ind w:right="-108"/>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0.34</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17546932"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1C545294"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69F0B243"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0.18</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tcPr>
          <w:p w14:paraId="51F3B717"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noWrap/>
          </w:tcPr>
          <w:p w14:paraId="0DC3C5C6"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-0.13</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2A86FD4B"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-0.12</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17B00136"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13" w:type="dxa"/>
            <w:shd w:val="clear" w:color="auto" w:fill="FFFFFF" w:themeFill="background1"/>
          </w:tcPr>
          <w:p w14:paraId="562B3BB9"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r>
      <w:tr w:rsidR="007B26F1" w:rsidRPr="009E6B6E" w14:paraId="5058CFC9" w14:textId="77777777" w:rsidTr="000711DA">
        <w:trPr>
          <w:trHeight w:val="293"/>
        </w:trPr>
        <w:tc>
          <w:tcPr>
            <w:tcW w:w="851" w:type="dxa"/>
            <w:tcBorders>
              <w:top w:val="nil"/>
              <w:left w:val="nil"/>
              <w:bottom w:val="nil"/>
            </w:tcBorders>
            <w:shd w:val="clear" w:color="auto" w:fill="FFFFFF" w:themeFill="background1"/>
          </w:tcPr>
          <w:p w14:paraId="18491F13" w14:textId="77777777" w:rsidR="007B26F1" w:rsidRPr="009E6B6E" w:rsidRDefault="007B26F1" w:rsidP="00F4486F">
            <w:pPr>
              <w:spacing w:after="0" w:line="240" w:lineRule="auto"/>
              <w:ind w:right="-111"/>
              <w:rPr>
                <w:rFonts w:ascii="Times New Roman" w:eastAsia="Times New Roman" w:hAnsi="Times New Roman" w:cs="Times New Roman"/>
                <w:iCs/>
                <w:color w:val="000000"/>
                <w:sz w:val="18"/>
                <w:szCs w:val="18"/>
                <w:lang w:val="en-US"/>
              </w:rPr>
            </w:pPr>
            <w:r>
              <w:rPr>
                <w:rFonts w:ascii="Times New Roman" w:eastAsia="Times New Roman" w:hAnsi="Times New Roman" w:cs="Times New Roman"/>
                <w:iCs/>
                <w:color w:val="000000"/>
                <w:sz w:val="18"/>
                <w:szCs w:val="18"/>
                <w:lang w:val="en-US"/>
              </w:rPr>
              <w:t>HEIAGE</w:t>
            </w:r>
          </w:p>
        </w:tc>
        <w:tc>
          <w:tcPr>
            <w:tcW w:w="709" w:type="dxa"/>
            <w:tcBorders>
              <w:top w:val="nil"/>
              <w:left w:val="nil"/>
              <w:bottom w:val="nil"/>
              <w:right w:val="nil"/>
            </w:tcBorders>
            <w:shd w:val="clear" w:color="auto" w:fill="FFFFFF" w:themeFill="background1"/>
            <w:noWrap/>
          </w:tcPr>
          <w:p w14:paraId="4839D932"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tcPr>
          <w:p w14:paraId="6E4E1CF7" w14:textId="77777777" w:rsidR="007B26F1" w:rsidRPr="009E6B6E" w:rsidRDefault="007B26F1" w:rsidP="00F4486F">
            <w:pPr>
              <w:spacing w:after="0" w:line="240" w:lineRule="auto"/>
              <w:ind w:right="-12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850" w:type="dxa"/>
            <w:shd w:val="clear" w:color="auto" w:fill="FFFFFF" w:themeFill="background1"/>
          </w:tcPr>
          <w:p w14:paraId="45BA2CB6"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-0.10</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tcPr>
          <w:p w14:paraId="12521B0F"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72E4D93A"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tcPr>
          <w:p w14:paraId="506E6A8C"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tcPr>
          <w:p w14:paraId="36FA6D07"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0.23</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40357C29"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-0.15</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5EE909D5"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-0.43</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2D2B2186" w14:textId="77777777" w:rsidR="007B26F1" w:rsidRPr="009E6B6E" w:rsidRDefault="007B26F1" w:rsidP="00F4486F">
            <w:pPr>
              <w:spacing w:after="0" w:line="240" w:lineRule="auto"/>
              <w:ind w:right="-11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0.22</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noWrap/>
          </w:tcPr>
          <w:p w14:paraId="6AB1CFCB"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0.27</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noWrap/>
          </w:tcPr>
          <w:p w14:paraId="427D8ED7"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vertAlign w:val="superscript"/>
                <w:lang w:val="en-US"/>
              </w:rPr>
            </w:pPr>
          </w:p>
        </w:tc>
        <w:tc>
          <w:tcPr>
            <w:tcW w:w="709" w:type="dxa"/>
            <w:shd w:val="clear" w:color="auto" w:fill="FFFFFF" w:themeFill="background1"/>
            <w:noWrap/>
          </w:tcPr>
          <w:p w14:paraId="65DD9DC1" w14:textId="77777777" w:rsidR="007B26F1" w:rsidRPr="009E6B6E" w:rsidRDefault="007B26F1" w:rsidP="00F4486F">
            <w:pPr>
              <w:spacing w:after="0" w:line="240" w:lineRule="auto"/>
              <w:ind w:right="-108"/>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0.40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01F9D22E" w14:textId="77777777" w:rsidR="007B26F1" w:rsidRPr="009E6B6E" w:rsidRDefault="007B26F1" w:rsidP="00F4486F">
            <w:pPr>
              <w:spacing w:after="0" w:line="240" w:lineRule="auto"/>
              <w:ind w:right="-120"/>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-0.42</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6800D2C0" w14:textId="77777777" w:rsidR="007B26F1" w:rsidRPr="009E6B6E" w:rsidRDefault="007B26F1" w:rsidP="00F4486F">
            <w:pPr>
              <w:spacing w:after="0" w:line="240" w:lineRule="auto"/>
              <w:ind w:right="-12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-0.76</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02A1F7C2"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0.43</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tcPr>
          <w:p w14:paraId="1AAA7617"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-0.12</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18811512"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2B120D4F"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6E956B42"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13" w:type="dxa"/>
            <w:shd w:val="clear" w:color="auto" w:fill="FFFFFF" w:themeFill="background1"/>
          </w:tcPr>
          <w:p w14:paraId="7540C1D4"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-0.07</w:t>
            </w:r>
            <w:r w:rsidRPr="009E6B6E">
              <w:rPr>
                <w:rFonts w:ascii="Times New Roman" w:eastAsia="Times New Roman" w:hAnsi="Times New Roman" w:cs="Times New Roman"/>
                <w:color w:val="000000"/>
                <w:sz w:val="18"/>
                <w:szCs w:val="18"/>
                <w:vertAlign w:val="superscript"/>
                <w:lang w:val="en-US"/>
              </w:rPr>
              <w:t>*</w:t>
            </w:r>
          </w:p>
        </w:tc>
      </w:tr>
      <w:tr w:rsidR="007B26F1" w:rsidRPr="009E6B6E" w14:paraId="699854B7" w14:textId="77777777" w:rsidTr="000711DA">
        <w:trPr>
          <w:trHeight w:val="293"/>
        </w:trPr>
        <w:tc>
          <w:tcPr>
            <w:tcW w:w="851" w:type="dxa"/>
            <w:tcBorders>
              <w:top w:val="nil"/>
              <w:left w:val="nil"/>
              <w:bottom w:val="nil"/>
            </w:tcBorders>
            <w:shd w:val="clear" w:color="auto" w:fill="FFFFFF" w:themeFill="background1"/>
          </w:tcPr>
          <w:p w14:paraId="7A282FE7" w14:textId="77777777" w:rsidR="007B26F1" w:rsidRPr="009E6B6E" w:rsidRDefault="007B26F1" w:rsidP="00F4486F">
            <w:pPr>
              <w:spacing w:after="0" w:line="240" w:lineRule="auto"/>
              <w:ind w:right="-111"/>
              <w:rPr>
                <w:rFonts w:ascii="Times New Roman" w:eastAsia="Times New Roman" w:hAnsi="Times New Roman" w:cs="Times New Roman"/>
                <w:iCs/>
                <w:color w:val="000000"/>
                <w:sz w:val="18"/>
                <w:szCs w:val="18"/>
                <w:lang w:val="en-US"/>
              </w:rPr>
            </w:pPr>
            <w:r>
              <w:rPr>
                <w:rFonts w:ascii="Times New Roman" w:eastAsia="Times New Roman" w:hAnsi="Times New Roman" w:cs="Times New Roman"/>
                <w:iCs/>
                <w:color w:val="000000"/>
                <w:sz w:val="18"/>
                <w:szCs w:val="18"/>
                <w:lang w:val="en-US"/>
              </w:rPr>
              <w:t>HEIZE</w:t>
            </w:r>
          </w:p>
        </w:tc>
        <w:tc>
          <w:tcPr>
            <w:tcW w:w="709" w:type="dxa"/>
            <w:tcBorders>
              <w:top w:val="nil"/>
              <w:left w:val="nil"/>
              <w:bottom w:val="nil"/>
              <w:right w:val="nil"/>
            </w:tcBorders>
            <w:shd w:val="clear" w:color="auto" w:fill="FFFFFF" w:themeFill="background1"/>
            <w:noWrap/>
          </w:tcPr>
          <w:p w14:paraId="72C2A19B"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0.06</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2FBEBEB5" w14:textId="77777777" w:rsidR="007B26F1" w:rsidRPr="009E6B6E" w:rsidRDefault="007B26F1" w:rsidP="00F4486F">
            <w:pPr>
              <w:spacing w:after="0" w:line="240" w:lineRule="auto"/>
              <w:ind w:right="-12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0.11</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tcPr>
          <w:p w14:paraId="43A6E1EC"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-0.12</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tcPr>
          <w:p w14:paraId="7435EF1A" w14:textId="77777777" w:rsidR="007B26F1" w:rsidRPr="009E6B6E" w:rsidRDefault="007B26F1" w:rsidP="00F4486F">
            <w:pPr>
              <w:spacing w:after="0" w:line="240" w:lineRule="auto"/>
              <w:ind w:right="-11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0.14</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5422A684"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09" w:type="dxa"/>
            <w:shd w:val="clear" w:color="auto" w:fill="FFFFFF" w:themeFill="background1"/>
          </w:tcPr>
          <w:p w14:paraId="505AE959"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0.07</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4AB6DB8A"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64111FA9" w14:textId="77777777" w:rsidR="007B26F1" w:rsidRPr="009E6B6E" w:rsidRDefault="007B26F1" w:rsidP="00F4486F">
            <w:pPr>
              <w:spacing w:after="0" w:line="240" w:lineRule="auto"/>
              <w:ind w:right="-13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-0.06</w:t>
            </w:r>
          </w:p>
        </w:tc>
        <w:tc>
          <w:tcPr>
            <w:tcW w:w="709" w:type="dxa"/>
            <w:shd w:val="clear" w:color="auto" w:fill="FFFFFF" w:themeFill="background1"/>
          </w:tcPr>
          <w:p w14:paraId="7FF89120" w14:textId="77777777" w:rsidR="007B26F1" w:rsidRPr="009E6B6E" w:rsidRDefault="007B26F1" w:rsidP="00F4486F">
            <w:pPr>
              <w:spacing w:after="0" w:line="240" w:lineRule="auto"/>
              <w:ind w:right="-13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-0.15</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7DE466B1" w14:textId="77777777" w:rsidR="007B26F1" w:rsidRPr="009E6B6E" w:rsidRDefault="007B26F1" w:rsidP="00F4486F">
            <w:pPr>
              <w:spacing w:after="0" w:line="240" w:lineRule="auto"/>
              <w:ind w:right="-120"/>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0.16</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noWrap/>
          </w:tcPr>
          <w:p w14:paraId="3E448E0F"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0.29</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noWrap/>
          </w:tcPr>
          <w:p w14:paraId="670AB5BB"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0.30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20EAB06F" w14:textId="77777777" w:rsidR="007B26F1" w:rsidRPr="009E6B6E" w:rsidRDefault="007B26F1" w:rsidP="00F4486F">
            <w:pPr>
              <w:spacing w:after="0" w:line="240" w:lineRule="auto"/>
              <w:ind w:right="-108"/>
              <w:jc w:val="both"/>
              <w:rPr>
                <w:rFonts w:ascii="Times New Roman" w:eastAsia="Times New Roman" w:hAnsi="Times New Roman" w:cs="Times New Roman"/>
                <w:color w:val="000000"/>
                <w:sz w:val="18"/>
                <w:szCs w:val="18"/>
                <w:lang w:val="en-US"/>
              </w:rPr>
            </w:pPr>
          </w:p>
        </w:tc>
        <w:tc>
          <w:tcPr>
            <w:tcW w:w="709" w:type="dxa"/>
            <w:shd w:val="clear" w:color="auto" w:fill="FFFFFF" w:themeFill="background1"/>
          </w:tcPr>
          <w:p w14:paraId="667F6292"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-0.43</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3FF5697C"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-0.30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44DC89D8"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0.59</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tcPr>
          <w:p w14:paraId="5BA10E77"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09" w:type="dxa"/>
            <w:shd w:val="clear" w:color="auto" w:fill="FFFFFF" w:themeFill="background1"/>
            <w:noWrap/>
          </w:tcPr>
          <w:p w14:paraId="4CB4D3C1"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-0.15</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502C7BDD"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0.07</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5598A493"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13" w:type="dxa"/>
            <w:shd w:val="clear" w:color="auto" w:fill="FFFFFF" w:themeFill="background1"/>
          </w:tcPr>
          <w:p w14:paraId="5BEE8CB1"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r>
      <w:tr w:rsidR="007B26F1" w:rsidRPr="009E6B6E" w14:paraId="2381FBE1" w14:textId="77777777" w:rsidTr="000711DA">
        <w:trPr>
          <w:trHeight w:val="293"/>
        </w:trPr>
        <w:tc>
          <w:tcPr>
            <w:tcW w:w="851" w:type="dxa"/>
            <w:tcBorders>
              <w:top w:val="nil"/>
              <w:left w:val="nil"/>
              <w:bottom w:val="nil"/>
            </w:tcBorders>
            <w:shd w:val="clear" w:color="auto" w:fill="FFFFFF" w:themeFill="background1"/>
          </w:tcPr>
          <w:p w14:paraId="13F6D856" w14:textId="77777777" w:rsidR="007B26F1" w:rsidRPr="009E6B6E" w:rsidRDefault="007B26F1" w:rsidP="00F4486F">
            <w:pPr>
              <w:spacing w:after="0" w:line="240" w:lineRule="auto"/>
              <w:rPr>
                <w:rFonts w:ascii="Times New Roman" w:eastAsia="Times New Roman" w:hAnsi="Times New Roman" w:cs="Times New Roman"/>
                <w:iCs/>
                <w:color w:val="000000"/>
                <w:sz w:val="18"/>
                <w:szCs w:val="18"/>
                <w:lang w:val="en-US"/>
              </w:rPr>
            </w:pPr>
            <w:r>
              <w:rPr>
                <w:rFonts w:ascii="Times New Roman" w:eastAsia="Times New Roman" w:hAnsi="Times New Roman" w:cs="Times New Roman"/>
                <w:iCs/>
                <w:color w:val="000000"/>
                <w:sz w:val="18"/>
                <w:szCs w:val="18"/>
                <w:lang w:val="en-US"/>
              </w:rPr>
              <w:t>CFUND</w:t>
            </w:r>
          </w:p>
        </w:tc>
        <w:tc>
          <w:tcPr>
            <w:tcW w:w="709" w:type="dxa"/>
            <w:tcBorders>
              <w:top w:val="nil"/>
              <w:left w:val="nil"/>
              <w:bottom w:val="nil"/>
              <w:right w:val="nil"/>
            </w:tcBorders>
            <w:shd w:val="clear" w:color="auto" w:fill="FFFFFF" w:themeFill="background1"/>
            <w:noWrap/>
          </w:tcPr>
          <w:p w14:paraId="7FD60546"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0.06</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50954ACF" w14:textId="77777777" w:rsidR="007B26F1" w:rsidRPr="009E6B6E" w:rsidRDefault="007B26F1" w:rsidP="00F4486F">
            <w:pPr>
              <w:spacing w:after="0" w:line="240" w:lineRule="auto"/>
              <w:ind w:right="-12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-0.12</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tcPr>
          <w:p w14:paraId="0A63D51F"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tcPr>
          <w:p w14:paraId="32F3CBA5" w14:textId="77777777" w:rsidR="007B26F1" w:rsidRPr="009E6B6E" w:rsidRDefault="007B26F1" w:rsidP="00F4486F">
            <w:pPr>
              <w:spacing w:after="0" w:line="240" w:lineRule="auto"/>
              <w:ind w:right="-11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-0.27</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4DD85A6C"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-0.17</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0011C724"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9" w:type="dxa"/>
            <w:shd w:val="clear" w:color="auto" w:fill="FFFFFF" w:themeFill="background1"/>
          </w:tcPr>
          <w:p w14:paraId="451164C1"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-0.11</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47530E31" w14:textId="77777777" w:rsidR="007B26F1" w:rsidRPr="009E6B6E" w:rsidRDefault="007B26F1" w:rsidP="00F4486F">
            <w:pPr>
              <w:spacing w:after="0" w:line="240" w:lineRule="auto"/>
              <w:ind w:right="-13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58543941" w14:textId="77777777" w:rsidR="007B26F1" w:rsidRPr="009E6B6E" w:rsidRDefault="007B26F1" w:rsidP="00F4486F">
            <w:pPr>
              <w:spacing w:after="0" w:line="240" w:lineRule="auto"/>
              <w:ind w:right="-13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0.25</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32254915" w14:textId="77777777" w:rsidR="007B26F1" w:rsidRPr="009E6B6E" w:rsidRDefault="007B26F1" w:rsidP="00F4486F">
            <w:pPr>
              <w:spacing w:after="0" w:line="240" w:lineRule="auto"/>
              <w:ind w:right="-120"/>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-0.14</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noWrap/>
          </w:tcPr>
          <w:p w14:paraId="5B7175A1"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-0.07</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noWrap/>
          </w:tcPr>
          <w:p w14:paraId="2ABA9AE0"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-0.38</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53D440BE" w14:textId="77777777" w:rsidR="007B26F1" w:rsidRPr="009E6B6E" w:rsidRDefault="007B26F1" w:rsidP="00F4486F">
            <w:pPr>
              <w:spacing w:after="0" w:line="240" w:lineRule="auto"/>
              <w:ind w:right="-108"/>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-0.39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10C489CD"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lang w:val="en-US"/>
              </w:rPr>
            </w:pPr>
          </w:p>
        </w:tc>
        <w:tc>
          <w:tcPr>
            <w:tcW w:w="709" w:type="dxa"/>
            <w:shd w:val="clear" w:color="auto" w:fill="FFFFFF" w:themeFill="background1"/>
          </w:tcPr>
          <w:p w14:paraId="5EE7299B"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6533F89F"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-0.30</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tcPr>
          <w:p w14:paraId="15D5D962"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09" w:type="dxa"/>
            <w:shd w:val="clear" w:color="auto" w:fill="FFFFFF" w:themeFill="background1"/>
            <w:noWrap/>
          </w:tcPr>
          <w:p w14:paraId="4801547A"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761297EC"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-0.07</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425B1D23"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0.00</w:t>
            </w:r>
          </w:p>
        </w:tc>
        <w:tc>
          <w:tcPr>
            <w:tcW w:w="713" w:type="dxa"/>
            <w:shd w:val="clear" w:color="auto" w:fill="FFFFFF" w:themeFill="background1"/>
          </w:tcPr>
          <w:p w14:paraId="3C79B0D7"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r>
      <w:tr w:rsidR="007B26F1" w:rsidRPr="009E6B6E" w14:paraId="51B95CBB" w14:textId="77777777" w:rsidTr="000711DA">
        <w:trPr>
          <w:trHeight w:val="293"/>
        </w:trPr>
        <w:tc>
          <w:tcPr>
            <w:tcW w:w="851" w:type="dxa"/>
            <w:tcBorders>
              <w:top w:val="nil"/>
              <w:left w:val="nil"/>
              <w:bottom w:val="nil"/>
            </w:tcBorders>
            <w:shd w:val="clear" w:color="auto" w:fill="FFFFFF" w:themeFill="background1"/>
          </w:tcPr>
          <w:p w14:paraId="4CA89D10" w14:textId="77777777" w:rsidR="007B26F1" w:rsidRPr="009E6B6E" w:rsidRDefault="007B26F1" w:rsidP="00F4486F">
            <w:pPr>
              <w:spacing w:after="0" w:line="240" w:lineRule="auto"/>
              <w:rPr>
                <w:rFonts w:ascii="Times New Roman" w:eastAsia="Times New Roman" w:hAnsi="Times New Roman" w:cs="Times New Roman"/>
                <w:iCs/>
                <w:color w:val="000000"/>
                <w:sz w:val="18"/>
                <w:szCs w:val="18"/>
                <w:lang w:val="en-US"/>
              </w:rPr>
            </w:pPr>
            <w:r w:rsidRPr="009E6B6E">
              <w:rPr>
                <w:rFonts w:ascii="Times New Roman" w:eastAsia="Times New Roman" w:hAnsi="Times New Roman" w:cs="Times New Roman"/>
                <w:iCs/>
                <w:color w:val="000000"/>
                <w:sz w:val="18"/>
                <w:szCs w:val="18"/>
                <w:lang w:val="en-US"/>
              </w:rPr>
              <w:t>P</w:t>
            </w:r>
            <w:r>
              <w:rPr>
                <w:rFonts w:ascii="Times New Roman" w:eastAsia="Times New Roman" w:hAnsi="Times New Roman" w:cs="Times New Roman"/>
                <w:iCs/>
                <w:color w:val="000000"/>
                <w:sz w:val="18"/>
                <w:szCs w:val="18"/>
                <w:lang w:val="en-US"/>
              </w:rPr>
              <w:t>ST</w:t>
            </w:r>
            <w:r w:rsidRPr="009E6B6E">
              <w:rPr>
                <w:rFonts w:ascii="Times New Roman" w:eastAsia="Times New Roman" w:hAnsi="Times New Roman" w:cs="Times New Roman"/>
                <w:iCs/>
                <w:color w:val="000000"/>
                <w:sz w:val="18"/>
                <w:szCs w:val="18"/>
                <w:lang w:val="en-US"/>
              </w:rPr>
              <w:t>92</w:t>
            </w:r>
          </w:p>
        </w:tc>
        <w:tc>
          <w:tcPr>
            <w:tcW w:w="709" w:type="dxa"/>
            <w:tcBorders>
              <w:top w:val="nil"/>
              <w:left w:val="nil"/>
              <w:bottom w:val="nil"/>
              <w:right w:val="nil"/>
            </w:tcBorders>
            <w:shd w:val="clear" w:color="auto" w:fill="FFFFFF" w:themeFill="background1"/>
            <w:noWrap/>
          </w:tcPr>
          <w:p w14:paraId="7B9E3CBC"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tcPr>
          <w:p w14:paraId="008CF4E8" w14:textId="77777777" w:rsidR="007B26F1" w:rsidRPr="009E6B6E" w:rsidRDefault="007B26F1" w:rsidP="00F4486F">
            <w:pPr>
              <w:spacing w:after="0" w:line="240" w:lineRule="auto"/>
              <w:ind w:right="-12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850" w:type="dxa"/>
            <w:shd w:val="clear" w:color="auto" w:fill="FFFFFF" w:themeFill="background1"/>
          </w:tcPr>
          <w:p w14:paraId="3A9C1E74"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0.16</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tcPr>
          <w:p w14:paraId="12492E7F" w14:textId="77777777" w:rsidR="007B26F1" w:rsidRPr="009E6B6E" w:rsidRDefault="007B26F1" w:rsidP="00F4486F">
            <w:pPr>
              <w:spacing w:after="0" w:line="240" w:lineRule="auto"/>
              <w:ind w:right="-11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-0.06</w:t>
            </w:r>
          </w:p>
        </w:tc>
        <w:tc>
          <w:tcPr>
            <w:tcW w:w="709" w:type="dxa"/>
            <w:shd w:val="clear" w:color="auto" w:fill="FFFFFF" w:themeFill="background1"/>
          </w:tcPr>
          <w:p w14:paraId="1C8981B9"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09" w:type="dxa"/>
            <w:shd w:val="clear" w:color="auto" w:fill="FFFFFF" w:themeFill="background1"/>
          </w:tcPr>
          <w:p w14:paraId="624269E6"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0.11</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28E598A3"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-0.27</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0B1D7744" w14:textId="77777777" w:rsidR="007B26F1" w:rsidRPr="009E6B6E" w:rsidRDefault="007B26F1" w:rsidP="00F4486F">
            <w:pPr>
              <w:spacing w:after="0" w:line="240" w:lineRule="auto"/>
              <w:ind w:right="-13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0.14</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04751B36" w14:textId="77777777" w:rsidR="007B26F1" w:rsidRPr="009E6B6E" w:rsidRDefault="007B26F1" w:rsidP="00F4486F">
            <w:pPr>
              <w:spacing w:after="0" w:line="240" w:lineRule="auto"/>
              <w:ind w:right="-13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0.39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1BA1A03D" w14:textId="77777777" w:rsidR="007B26F1" w:rsidRPr="009E6B6E" w:rsidRDefault="007B26F1" w:rsidP="00F4486F">
            <w:pPr>
              <w:spacing w:after="0" w:line="240" w:lineRule="auto"/>
              <w:ind w:right="-120"/>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-0.16</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noWrap/>
          </w:tcPr>
          <w:p w14:paraId="228D11CA"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-0.29</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noWrap/>
          </w:tcPr>
          <w:p w14:paraId="18F02CC1"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-0.72</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50F1AEB2" w14:textId="77777777" w:rsidR="007B26F1" w:rsidRPr="009E6B6E" w:rsidRDefault="007B26F1" w:rsidP="00F4486F">
            <w:pPr>
              <w:spacing w:after="0" w:line="240" w:lineRule="auto"/>
              <w:ind w:right="-108"/>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-0.24</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62C7C08C"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0.30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2432AB8E"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lang w:val="en-US"/>
              </w:rPr>
            </w:pPr>
          </w:p>
        </w:tc>
        <w:tc>
          <w:tcPr>
            <w:tcW w:w="709" w:type="dxa"/>
            <w:shd w:val="clear" w:color="auto" w:fill="FFFFFF" w:themeFill="background1"/>
            <w:noWrap/>
          </w:tcPr>
          <w:p w14:paraId="46EC2141"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-0.40</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tcPr>
          <w:p w14:paraId="6BC49D11"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0.12</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70CA88F0"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09" w:type="dxa"/>
            <w:shd w:val="clear" w:color="auto" w:fill="FFFFFF" w:themeFill="background1"/>
            <w:noWrap/>
          </w:tcPr>
          <w:p w14:paraId="24F45175"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4BE5A921"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-0.07</w:t>
            </w:r>
            <w:r w:rsidRPr="009E6B6E">
              <w:rPr>
                <w:rFonts w:ascii="Times New Roman" w:eastAsia="Times New Roman" w:hAnsi="Times New Roman" w:cs="Times New Roman"/>
                <w:color w:val="000000"/>
                <w:sz w:val="18"/>
                <w:szCs w:val="18"/>
                <w:vertAlign w:val="superscript"/>
                <w:lang w:val="en-US"/>
              </w:rPr>
              <w:t>*</w:t>
            </w:r>
          </w:p>
        </w:tc>
        <w:tc>
          <w:tcPr>
            <w:tcW w:w="713" w:type="dxa"/>
            <w:shd w:val="clear" w:color="auto" w:fill="FFFFFF" w:themeFill="background1"/>
          </w:tcPr>
          <w:p w14:paraId="44963699"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0.06</w:t>
            </w:r>
          </w:p>
        </w:tc>
      </w:tr>
      <w:tr w:rsidR="007B26F1" w:rsidRPr="009E6B6E" w14:paraId="5205BFA3" w14:textId="77777777" w:rsidTr="000711DA">
        <w:trPr>
          <w:trHeight w:val="293"/>
        </w:trPr>
        <w:tc>
          <w:tcPr>
            <w:tcW w:w="851" w:type="dxa"/>
            <w:tcBorders>
              <w:top w:val="nil"/>
              <w:left w:val="nil"/>
              <w:bottom w:val="nil"/>
            </w:tcBorders>
            <w:shd w:val="clear" w:color="auto" w:fill="FFFFFF" w:themeFill="background1"/>
          </w:tcPr>
          <w:p w14:paraId="4F2740E8" w14:textId="77777777" w:rsidR="007B26F1" w:rsidRPr="009E6B6E" w:rsidRDefault="007B26F1" w:rsidP="00F4486F">
            <w:pPr>
              <w:spacing w:after="0" w:line="240" w:lineRule="auto"/>
              <w:rPr>
                <w:rFonts w:ascii="Times New Roman" w:eastAsia="Times New Roman" w:hAnsi="Times New Roman" w:cs="Times New Roman"/>
                <w:iCs/>
                <w:color w:val="000000"/>
                <w:sz w:val="18"/>
                <w:szCs w:val="18"/>
                <w:lang w:val="en-US"/>
              </w:rPr>
            </w:pPr>
            <w:r w:rsidRPr="009E6B6E">
              <w:rPr>
                <w:rFonts w:ascii="Times New Roman" w:eastAsia="Times New Roman" w:hAnsi="Times New Roman" w:cs="Times New Roman"/>
                <w:iCs/>
                <w:color w:val="000000"/>
                <w:sz w:val="18"/>
                <w:szCs w:val="18"/>
                <w:lang w:val="en-US"/>
              </w:rPr>
              <w:t>R</w:t>
            </w:r>
            <w:r>
              <w:rPr>
                <w:rFonts w:ascii="Times New Roman" w:eastAsia="Times New Roman" w:hAnsi="Times New Roman" w:cs="Times New Roman"/>
                <w:iCs/>
                <w:color w:val="000000"/>
                <w:sz w:val="18"/>
                <w:szCs w:val="18"/>
                <w:lang w:val="en-US"/>
              </w:rPr>
              <w:t>US</w:t>
            </w:r>
            <w:r w:rsidRPr="009E6B6E">
              <w:rPr>
                <w:rFonts w:ascii="Times New Roman" w:eastAsia="Times New Roman" w:hAnsi="Times New Roman" w:cs="Times New Roman"/>
                <w:iCs/>
                <w:color w:val="000000"/>
                <w:sz w:val="18"/>
                <w:szCs w:val="18"/>
                <w:lang w:val="en-US"/>
              </w:rPr>
              <w:t>G</w:t>
            </w:r>
          </w:p>
        </w:tc>
        <w:tc>
          <w:tcPr>
            <w:tcW w:w="709" w:type="dxa"/>
            <w:tcBorders>
              <w:top w:val="nil"/>
              <w:left w:val="nil"/>
              <w:bottom w:val="nil"/>
              <w:right w:val="nil"/>
            </w:tcBorders>
            <w:shd w:val="clear" w:color="auto" w:fill="FFFFFF" w:themeFill="background1"/>
            <w:noWrap/>
          </w:tcPr>
          <w:p w14:paraId="2FF1EF5B"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09" w:type="dxa"/>
            <w:shd w:val="clear" w:color="auto" w:fill="FFFFFF" w:themeFill="background1"/>
          </w:tcPr>
          <w:p w14:paraId="6F783F30" w14:textId="77777777" w:rsidR="007B26F1" w:rsidRPr="009E6B6E" w:rsidRDefault="007B26F1" w:rsidP="00F4486F">
            <w:pPr>
              <w:spacing w:after="0" w:line="240" w:lineRule="auto"/>
              <w:ind w:right="-12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tcPr>
          <w:p w14:paraId="731CF910"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-0.17</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tcPr>
          <w:p w14:paraId="398BD8EB" w14:textId="77777777" w:rsidR="007B26F1" w:rsidRPr="009E6B6E" w:rsidRDefault="007B26F1" w:rsidP="00F4486F">
            <w:pPr>
              <w:spacing w:after="0" w:line="240" w:lineRule="auto"/>
              <w:ind w:right="-11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0.15</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450D7DD2"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tcPr>
          <w:p w14:paraId="31A0C1F3"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09" w:type="dxa"/>
            <w:shd w:val="clear" w:color="auto" w:fill="FFFFFF" w:themeFill="background1"/>
          </w:tcPr>
          <w:p w14:paraId="7F3D46E3"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0.21</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6CD57AD5"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54D62DB2"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-0.23</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37A3EA4B" w14:textId="77777777" w:rsidR="007B26F1" w:rsidRPr="009E6B6E" w:rsidRDefault="007B26F1" w:rsidP="00F4486F">
            <w:pPr>
              <w:spacing w:after="0" w:line="240" w:lineRule="auto"/>
              <w:ind w:right="-11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0.25</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noWrap/>
          </w:tcPr>
          <w:p w14:paraId="266016EA"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0.18</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noWrap/>
          </w:tcPr>
          <w:p w14:paraId="4F5BD66A"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0.42</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113D7E52" w14:textId="77777777" w:rsidR="007B26F1" w:rsidRPr="009E6B6E" w:rsidRDefault="007B26F1" w:rsidP="00F4486F">
            <w:pPr>
              <w:spacing w:after="0" w:line="240" w:lineRule="auto"/>
              <w:ind w:right="-108"/>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0.51</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7F23D325"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1C683DF6"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-0.40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661DC23C"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lang w:val="en-US"/>
              </w:rPr>
            </w:pPr>
          </w:p>
        </w:tc>
        <w:tc>
          <w:tcPr>
            <w:tcW w:w="708" w:type="dxa"/>
            <w:shd w:val="clear" w:color="auto" w:fill="FFFFFF" w:themeFill="background1"/>
          </w:tcPr>
          <w:p w14:paraId="1EB156A9"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9" w:type="dxa"/>
            <w:shd w:val="clear" w:color="auto" w:fill="FFFFFF" w:themeFill="background1"/>
            <w:noWrap/>
          </w:tcPr>
          <w:p w14:paraId="1456433A"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-0.13</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4C5DB387"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09" w:type="dxa"/>
            <w:shd w:val="clear" w:color="auto" w:fill="FFFFFF" w:themeFill="background1"/>
          </w:tcPr>
          <w:p w14:paraId="41BD295F"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13" w:type="dxa"/>
            <w:shd w:val="clear" w:color="auto" w:fill="FFFFFF" w:themeFill="background1"/>
          </w:tcPr>
          <w:p w14:paraId="10E8E77F"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-0.11</w:t>
            </w:r>
            <w:r w:rsidRPr="009E6B6E">
              <w:rPr>
                <w:rFonts w:ascii="Times New Roman" w:eastAsia="Times New Roman" w:hAnsi="Times New Roman" w:cs="Times New Roman"/>
                <w:color w:val="000000"/>
                <w:sz w:val="18"/>
                <w:szCs w:val="18"/>
                <w:vertAlign w:val="superscript"/>
                <w:lang w:val="en-US"/>
              </w:rPr>
              <w:t>***</w:t>
            </w:r>
          </w:p>
        </w:tc>
      </w:tr>
      <w:tr w:rsidR="007B26F1" w:rsidRPr="009E6B6E" w14:paraId="1B83D9A5" w14:textId="77777777" w:rsidTr="000711DA">
        <w:trPr>
          <w:trHeight w:val="251"/>
        </w:trPr>
        <w:tc>
          <w:tcPr>
            <w:tcW w:w="851" w:type="dxa"/>
            <w:tcBorders>
              <w:top w:val="nil"/>
              <w:left w:val="nil"/>
              <w:bottom w:val="nil"/>
            </w:tcBorders>
            <w:shd w:val="clear" w:color="auto" w:fill="FFFFFF" w:themeFill="background1"/>
          </w:tcPr>
          <w:p w14:paraId="4195BB83" w14:textId="77777777" w:rsidR="007B26F1" w:rsidRPr="009E6B6E" w:rsidRDefault="007B26F1" w:rsidP="00F4486F">
            <w:pPr>
              <w:spacing w:after="0" w:line="240" w:lineRule="auto"/>
              <w:rPr>
                <w:rFonts w:ascii="Times New Roman" w:eastAsia="Times New Roman" w:hAnsi="Times New Roman" w:cs="Times New Roman"/>
                <w:iCs/>
                <w:color w:val="000000"/>
                <w:sz w:val="18"/>
                <w:szCs w:val="18"/>
                <w:lang w:val="en-US"/>
              </w:rPr>
            </w:pPr>
            <w:r w:rsidRPr="009E6B6E">
              <w:rPr>
                <w:rFonts w:ascii="Times New Roman" w:eastAsia="Times New Roman" w:hAnsi="Times New Roman" w:cs="Times New Roman"/>
                <w:iCs/>
                <w:color w:val="000000"/>
                <w:sz w:val="18"/>
                <w:szCs w:val="18"/>
                <w:lang w:val="en-US"/>
              </w:rPr>
              <w:t>LQ</w:t>
            </w:r>
            <w:r>
              <w:rPr>
                <w:rFonts w:ascii="Times New Roman" w:eastAsia="Times New Roman" w:hAnsi="Times New Roman" w:cs="Times New Roman"/>
                <w:iCs/>
                <w:color w:val="000000"/>
                <w:sz w:val="18"/>
                <w:szCs w:val="18"/>
                <w:lang w:val="en-US"/>
              </w:rPr>
              <w:t>UD</w:t>
            </w:r>
          </w:p>
        </w:tc>
        <w:tc>
          <w:tcPr>
            <w:tcW w:w="709" w:type="dxa"/>
            <w:tcBorders>
              <w:top w:val="nil"/>
              <w:left w:val="nil"/>
              <w:bottom w:val="nil"/>
              <w:right w:val="nil"/>
            </w:tcBorders>
            <w:shd w:val="clear" w:color="auto" w:fill="FFFFFF" w:themeFill="background1"/>
            <w:noWrap/>
          </w:tcPr>
          <w:p w14:paraId="28476EA0"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tcPr>
          <w:p w14:paraId="576BC864"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-0.07</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tcPr>
          <w:p w14:paraId="5CF37D1E"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850" w:type="dxa"/>
            <w:shd w:val="clear" w:color="auto" w:fill="FFFFFF" w:themeFill="background1"/>
          </w:tcPr>
          <w:p w14:paraId="0413CB1C"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9" w:type="dxa"/>
            <w:shd w:val="clear" w:color="auto" w:fill="FFFFFF" w:themeFill="background1"/>
          </w:tcPr>
          <w:p w14:paraId="0663912C"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0.07</w:t>
            </w:r>
          </w:p>
        </w:tc>
        <w:tc>
          <w:tcPr>
            <w:tcW w:w="709" w:type="dxa"/>
            <w:shd w:val="clear" w:color="auto" w:fill="FFFFFF" w:themeFill="background1"/>
          </w:tcPr>
          <w:p w14:paraId="34C4E79A"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0.00</w:t>
            </w:r>
          </w:p>
        </w:tc>
        <w:tc>
          <w:tcPr>
            <w:tcW w:w="709" w:type="dxa"/>
            <w:shd w:val="clear" w:color="auto" w:fill="FFFFFF" w:themeFill="background1"/>
          </w:tcPr>
          <w:p w14:paraId="00F5D5A4"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tcPr>
          <w:p w14:paraId="7211AE1F"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tcPr>
          <w:p w14:paraId="2B51C849"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-0.00</w:t>
            </w:r>
          </w:p>
        </w:tc>
        <w:tc>
          <w:tcPr>
            <w:tcW w:w="709" w:type="dxa"/>
            <w:shd w:val="clear" w:color="auto" w:fill="FFFFFF" w:themeFill="background1"/>
            <w:noWrap/>
          </w:tcPr>
          <w:p w14:paraId="7B7D629F" w14:textId="77777777" w:rsidR="007B26F1" w:rsidRPr="009E6B6E" w:rsidRDefault="007B26F1" w:rsidP="00F4486F">
            <w:pPr>
              <w:spacing w:after="0" w:line="240" w:lineRule="auto"/>
              <w:ind w:right="-11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8" w:type="dxa"/>
            <w:shd w:val="clear" w:color="auto" w:fill="FFFFFF" w:themeFill="background1"/>
            <w:noWrap/>
          </w:tcPr>
          <w:p w14:paraId="143D6041"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850" w:type="dxa"/>
            <w:shd w:val="clear" w:color="auto" w:fill="FFFFFF" w:themeFill="background1"/>
            <w:noWrap/>
          </w:tcPr>
          <w:p w14:paraId="11A26612"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1E328CD2" w14:textId="77777777" w:rsidR="007B26F1" w:rsidRPr="009E6B6E" w:rsidRDefault="007B26F1" w:rsidP="00F4486F">
            <w:pPr>
              <w:spacing w:after="0" w:line="240" w:lineRule="auto"/>
              <w:ind w:right="-108"/>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tcPr>
          <w:p w14:paraId="14510452"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tcPr>
          <w:p w14:paraId="031F81D4"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6AC452CB"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8" w:type="dxa"/>
            <w:shd w:val="clear" w:color="auto" w:fill="FFFFFF" w:themeFill="background1"/>
          </w:tcPr>
          <w:p w14:paraId="08A9191B"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lang w:val="en-US"/>
              </w:rPr>
            </w:pPr>
          </w:p>
        </w:tc>
        <w:tc>
          <w:tcPr>
            <w:tcW w:w="709" w:type="dxa"/>
            <w:shd w:val="clear" w:color="auto" w:fill="FFFFFF" w:themeFill="background1"/>
            <w:noWrap/>
          </w:tcPr>
          <w:p w14:paraId="5A34E5D1"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09" w:type="dxa"/>
            <w:shd w:val="clear" w:color="auto" w:fill="FFFFFF" w:themeFill="background1"/>
            <w:noWrap/>
          </w:tcPr>
          <w:p w14:paraId="3A6167EE"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tcPr>
          <w:p w14:paraId="45DCE99B"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13" w:type="dxa"/>
            <w:shd w:val="clear" w:color="auto" w:fill="FFFFFF" w:themeFill="background1"/>
          </w:tcPr>
          <w:p w14:paraId="46FAB879"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r>
      <w:tr w:rsidR="007B26F1" w:rsidRPr="009E6B6E" w14:paraId="543669C2" w14:textId="77777777" w:rsidTr="000711DA">
        <w:trPr>
          <w:trHeight w:val="255"/>
        </w:trPr>
        <w:tc>
          <w:tcPr>
            <w:tcW w:w="851" w:type="dxa"/>
            <w:tcBorders>
              <w:top w:val="nil"/>
              <w:left w:val="nil"/>
              <w:bottom w:val="nil"/>
            </w:tcBorders>
            <w:shd w:val="clear" w:color="auto" w:fill="FFFFFF" w:themeFill="background1"/>
          </w:tcPr>
          <w:p w14:paraId="2C4140B2" w14:textId="77777777" w:rsidR="007B26F1" w:rsidRPr="009E6B6E" w:rsidRDefault="007B26F1" w:rsidP="00F4486F">
            <w:pPr>
              <w:spacing w:after="0" w:line="240" w:lineRule="auto"/>
              <w:rPr>
                <w:rFonts w:ascii="Times New Roman" w:eastAsia="Times New Roman" w:hAnsi="Times New Roman" w:cs="Times New Roman"/>
                <w:iCs/>
                <w:color w:val="000000"/>
                <w:sz w:val="18"/>
                <w:szCs w:val="18"/>
                <w:lang w:val="en-US"/>
              </w:rPr>
            </w:pPr>
            <w:r w:rsidRPr="009E6B6E">
              <w:rPr>
                <w:rFonts w:ascii="Times New Roman" w:eastAsia="Times New Roman" w:hAnsi="Times New Roman" w:cs="Times New Roman"/>
                <w:iCs/>
                <w:color w:val="000000"/>
                <w:sz w:val="18"/>
                <w:szCs w:val="18"/>
                <w:lang w:val="en-US"/>
              </w:rPr>
              <w:t>C</w:t>
            </w:r>
            <w:r>
              <w:rPr>
                <w:rFonts w:ascii="Times New Roman" w:eastAsia="Times New Roman" w:hAnsi="Times New Roman" w:cs="Times New Roman"/>
                <w:iCs/>
                <w:color w:val="000000"/>
                <w:sz w:val="18"/>
                <w:szCs w:val="18"/>
                <w:lang w:val="en-US"/>
              </w:rPr>
              <w:t>PE</w:t>
            </w:r>
            <w:r w:rsidRPr="009E6B6E">
              <w:rPr>
                <w:rFonts w:ascii="Times New Roman" w:eastAsia="Times New Roman" w:hAnsi="Times New Roman" w:cs="Times New Roman"/>
                <w:iCs/>
                <w:color w:val="000000"/>
                <w:sz w:val="18"/>
                <w:szCs w:val="18"/>
                <w:lang w:val="en-US"/>
              </w:rPr>
              <w:t>X</w:t>
            </w:r>
          </w:p>
        </w:tc>
        <w:tc>
          <w:tcPr>
            <w:tcW w:w="709" w:type="dxa"/>
            <w:tcBorders>
              <w:top w:val="nil"/>
              <w:left w:val="nil"/>
              <w:bottom w:val="nil"/>
              <w:right w:val="nil"/>
            </w:tcBorders>
            <w:shd w:val="clear" w:color="auto" w:fill="FFFFFF" w:themeFill="background1"/>
            <w:noWrap/>
          </w:tcPr>
          <w:p w14:paraId="5E5BB784"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9" w:type="dxa"/>
            <w:shd w:val="clear" w:color="auto" w:fill="FFFFFF" w:themeFill="background1"/>
          </w:tcPr>
          <w:p w14:paraId="7F9C2E66" w14:textId="77777777" w:rsidR="007B26F1" w:rsidRPr="009E6B6E" w:rsidRDefault="007B26F1" w:rsidP="00F4486F">
            <w:pPr>
              <w:spacing w:after="0" w:line="240" w:lineRule="auto"/>
              <w:ind w:right="-12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0.26</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tcPr>
          <w:p w14:paraId="25ACEB07"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tcPr>
          <w:p w14:paraId="75C13BA3"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-0.00</w:t>
            </w:r>
          </w:p>
        </w:tc>
        <w:tc>
          <w:tcPr>
            <w:tcW w:w="709" w:type="dxa"/>
            <w:shd w:val="clear" w:color="auto" w:fill="FFFFFF" w:themeFill="background1"/>
          </w:tcPr>
          <w:p w14:paraId="1119E317"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29299B09"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3C2D6C28"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359B03BD"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9" w:type="dxa"/>
            <w:shd w:val="clear" w:color="auto" w:fill="FFFFFF" w:themeFill="background1"/>
          </w:tcPr>
          <w:p w14:paraId="16EB2EE6"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5772DABC"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8" w:type="dxa"/>
            <w:shd w:val="clear" w:color="auto" w:fill="FFFFFF" w:themeFill="background1"/>
            <w:noWrap/>
          </w:tcPr>
          <w:p w14:paraId="6C3E4C70"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-0.11</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noWrap/>
          </w:tcPr>
          <w:p w14:paraId="2D076557" w14:textId="77777777" w:rsidR="007B26F1" w:rsidRPr="009E6B6E" w:rsidRDefault="007B26F1" w:rsidP="00F4486F">
            <w:pPr>
              <w:spacing w:after="0" w:line="240" w:lineRule="auto"/>
              <w:ind w:right="-113"/>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-0.06</w:t>
            </w:r>
          </w:p>
        </w:tc>
        <w:tc>
          <w:tcPr>
            <w:tcW w:w="709" w:type="dxa"/>
            <w:shd w:val="clear" w:color="auto" w:fill="FFFFFF" w:themeFill="background1"/>
            <w:noWrap/>
          </w:tcPr>
          <w:p w14:paraId="0FC78FCD" w14:textId="77777777" w:rsidR="007B26F1" w:rsidRPr="009E6B6E" w:rsidRDefault="007B26F1" w:rsidP="00F4486F">
            <w:pPr>
              <w:spacing w:after="0" w:line="240" w:lineRule="auto"/>
              <w:ind w:right="-108"/>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75E4731A"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tcPr>
          <w:p w14:paraId="58209F29"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7686C554"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708" w:type="dxa"/>
            <w:shd w:val="clear" w:color="auto" w:fill="FFFFFF" w:themeFill="background1"/>
          </w:tcPr>
          <w:p w14:paraId="2B4D14C3"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noWrap/>
          </w:tcPr>
          <w:p w14:paraId="47225063"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p>
        </w:tc>
        <w:tc>
          <w:tcPr>
            <w:tcW w:w="709" w:type="dxa"/>
            <w:shd w:val="clear" w:color="auto" w:fill="FFFFFF" w:themeFill="background1"/>
            <w:noWrap/>
          </w:tcPr>
          <w:p w14:paraId="0A72ADC0"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0.20</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6C8052AC"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13" w:type="dxa"/>
            <w:shd w:val="clear" w:color="auto" w:fill="FFFFFF" w:themeFill="background1"/>
          </w:tcPr>
          <w:p w14:paraId="11F08BF8"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0.11</w:t>
            </w:r>
            <w:r w:rsidRPr="009E6B6E">
              <w:rPr>
                <w:rFonts w:ascii="Times New Roman" w:eastAsia="Times New Roman" w:hAnsi="Times New Roman" w:cs="Times New Roman"/>
                <w:color w:val="000000"/>
                <w:sz w:val="18"/>
                <w:szCs w:val="18"/>
                <w:vertAlign w:val="superscript"/>
                <w:lang w:val="en-US"/>
              </w:rPr>
              <w:t>***</w:t>
            </w:r>
          </w:p>
        </w:tc>
      </w:tr>
      <w:tr w:rsidR="007B26F1" w:rsidRPr="009E6B6E" w14:paraId="4256FB17" w14:textId="77777777" w:rsidTr="000711DA">
        <w:trPr>
          <w:trHeight w:val="251"/>
        </w:trPr>
        <w:tc>
          <w:tcPr>
            <w:tcW w:w="851" w:type="dxa"/>
            <w:tcBorders>
              <w:top w:val="nil"/>
              <w:left w:val="nil"/>
              <w:bottom w:val="nil"/>
            </w:tcBorders>
            <w:shd w:val="clear" w:color="auto" w:fill="FFFFFF" w:themeFill="background1"/>
          </w:tcPr>
          <w:p w14:paraId="468407F3" w14:textId="77777777" w:rsidR="007B26F1" w:rsidRPr="009E6B6E" w:rsidRDefault="007B26F1" w:rsidP="00F4486F">
            <w:pPr>
              <w:spacing w:after="0" w:line="240" w:lineRule="auto"/>
              <w:rPr>
                <w:rFonts w:ascii="Times New Roman" w:eastAsia="Times New Roman" w:hAnsi="Times New Roman" w:cs="Times New Roman"/>
                <w:iCs/>
                <w:color w:val="000000"/>
                <w:sz w:val="18"/>
                <w:szCs w:val="18"/>
                <w:lang w:val="en-US"/>
              </w:rPr>
            </w:pPr>
            <w:r w:rsidRPr="009E6B6E">
              <w:rPr>
                <w:rFonts w:ascii="Times New Roman" w:eastAsia="Times New Roman" w:hAnsi="Times New Roman" w:cs="Times New Roman"/>
                <w:iCs/>
                <w:color w:val="000000"/>
                <w:sz w:val="18"/>
                <w:szCs w:val="18"/>
                <w:lang w:val="en-US"/>
              </w:rPr>
              <w:t>L</w:t>
            </w:r>
            <w:r>
              <w:rPr>
                <w:rFonts w:ascii="Times New Roman" w:eastAsia="Times New Roman" w:hAnsi="Times New Roman" w:cs="Times New Roman"/>
                <w:iCs/>
                <w:color w:val="000000"/>
                <w:sz w:val="18"/>
                <w:szCs w:val="18"/>
                <w:lang w:val="en-US"/>
              </w:rPr>
              <w:t>E</w:t>
            </w:r>
            <w:r w:rsidRPr="009E6B6E">
              <w:rPr>
                <w:rFonts w:ascii="Times New Roman" w:eastAsia="Times New Roman" w:hAnsi="Times New Roman" w:cs="Times New Roman"/>
                <w:iCs/>
                <w:color w:val="000000"/>
                <w:sz w:val="18"/>
                <w:szCs w:val="18"/>
                <w:lang w:val="en-US"/>
              </w:rPr>
              <w:t>V</w:t>
            </w:r>
            <w:r>
              <w:rPr>
                <w:rFonts w:ascii="Times New Roman" w:eastAsia="Times New Roman" w:hAnsi="Times New Roman" w:cs="Times New Roman"/>
                <w:iCs/>
                <w:color w:val="000000"/>
                <w:sz w:val="18"/>
                <w:szCs w:val="18"/>
                <w:lang w:val="en-US"/>
              </w:rPr>
              <w:t>R</w:t>
            </w:r>
          </w:p>
        </w:tc>
        <w:tc>
          <w:tcPr>
            <w:tcW w:w="709" w:type="dxa"/>
            <w:tcBorders>
              <w:top w:val="nil"/>
              <w:left w:val="nil"/>
              <w:bottom w:val="nil"/>
              <w:right w:val="nil"/>
            </w:tcBorders>
            <w:shd w:val="clear" w:color="auto" w:fill="FFFFFF" w:themeFill="background1"/>
            <w:noWrap/>
          </w:tcPr>
          <w:p w14:paraId="5231D243"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tcPr>
          <w:p w14:paraId="5C5C3E23" w14:textId="77777777" w:rsidR="007B26F1" w:rsidRPr="009E6B6E" w:rsidRDefault="007B26F1" w:rsidP="00F4486F">
            <w:pPr>
              <w:spacing w:after="0" w:line="240" w:lineRule="auto"/>
              <w:ind w:right="-12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-0.10</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tcPr>
          <w:p w14:paraId="59C8B0D6"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850" w:type="dxa"/>
            <w:shd w:val="clear" w:color="auto" w:fill="FFFFFF" w:themeFill="background1"/>
          </w:tcPr>
          <w:p w14:paraId="0334DFB5"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09" w:type="dxa"/>
            <w:shd w:val="clear" w:color="auto" w:fill="FFFFFF" w:themeFill="background1"/>
          </w:tcPr>
          <w:p w14:paraId="1E76CDB1"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tcPr>
          <w:p w14:paraId="4EBDB5DA"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tcPr>
          <w:p w14:paraId="5EF63FAA"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09" w:type="dxa"/>
            <w:shd w:val="clear" w:color="auto" w:fill="FFFFFF" w:themeFill="background1"/>
          </w:tcPr>
          <w:p w14:paraId="27F543F0" w14:textId="77777777" w:rsidR="007B26F1" w:rsidRPr="009E6B6E" w:rsidRDefault="007B26F1" w:rsidP="00F4486F">
            <w:pPr>
              <w:spacing w:after="0" w:line="240" w:lineRule="auto"/>
              <w:ind w:right="-13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0.07</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073C063D" w14:textId="77777777" w:rsidR="007B26F1" w:rsidRPr="009E6B6E" w:rsidRDefault="007B26F1" w:rsidP="00F4486F">
            <w:pPr>
              <w:spacing w:after="0" w:line="240" w:lineRule="auto"/>
              <w:ind w:right="-13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0.17</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24C8008B" w14:textId="77777777" w:rsidR="007B26F1" w:rsidRPr="009E6B6E" w:rsidRDefault="007B26F1" w:rsidP="00F4486F">
            <w:pPr>
              <w:spacing w:after="0" w:line="240" w:lineRule="auto"/>
              <w:ind w:right="-11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8" w:type="dxa"/>
            <w:shd w:val="clear" w:color="auto" w:fill="FFFFFF" w:themeFill="background1"/>
            <w:noWrap/>
          </w:tcPr>
          <w:p w14:paraId="27C998AF"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-0.13</w:t>
            </w:r>
            <w:r w:rsidRPr="009E6B6E">
              <w:rPr>
                <w:rFonts w:ascii="Times New Roman" w:eastAsia="Times New Roman" w:hAnsi="Times New Roman" w:cs="Times New Roman"/>
                <w:color w:val="000000"/>
                <w:sz w:val="18"/>
                <w:szCs w:val="18"/>
                <w:vertAlign w:val="superscript"/>
                <w:lang w:val="en-US"/>
              </w:rPr>
              <w:t>***</w:t>
            </w:r>
          </w:p>
        </w:tc>
        <w:tc>
          <w:tcPr>
            <w:tcW w:w="850" w:type="dxa"/>
            <w:shd w:val="clear" w:color="auto" w:fill="FFFFFF" w:themeFill="background1"/>
            <w:noWrap/>
          </w:tcPr>
          <w:p w14:paraId="7BF33049"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-0.15</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3B9061FF" w14:textId="77777777" w:rsidR="007B26F1" w:rsidRPr="009E6B6E" w:rsidRDefault="007B26F1" w:rsidP="00F4486F">
            <w:pPr>
              <w:spacing w:after="0" w:line="240" w:lineRule="auto"/>
              <w:ind w:right="-108"/>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0.07</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2D0C48AF"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-0.07</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4B4D1B45"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681BFAA9"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8" w:type="dxa"/>
            <w:shd w:val="clear" w:color="auto" w:fill="FFFFFF" w:themeFill="background1"/>
          </w:tcPr>
          <w:p w14:paraId="146C0202"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9" w:type="dxa"/>
            <w:shd w:val="clear" w:color="auto" w:fill="FFFFFF" w:themeFill="background1"/>
            <w:noWrap/>
          </w:tcPr>
          <w:p w14:paraId="0E95CDB0"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noWrap/>
          </w:tcPr>
          <w:p w14:paraId="24008CF1"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p>
        </w:tc>
        <w:tc>
          <w:tcPr>
            <w:tcW w:w="709" w:type="dxa"/>
            <w:shd w:val="clear" w:color="auto" w:fill="FFFFFF" w:themeFill="background1"/>
          </w:tcPr>
          <w:p w14:paraId="442BAF46"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0.09</w:t>
            </w:r>
            <w:r w:rsidRPr="009E6B6E">
              <w:rPr>
                <w:rFonts w:ascii="Times New Roman" w:eastAsia="Times New Roman" w:hAnsi="Times New Roman" w:cs="Times New Roman"/>
                <w:color w:val="000000"/>
                <w:sz w:val="18"/>
                <w:szCs w:val="18"/>
                <w:vertAlign w:val="superscript"/>
                <w:lang w:val="en-US"/>
              </w:rPr>
              <w:t>**</w:t>
            </w:r>
          </w:p>
        </w:tc>
        <w:tc>
          <w:tcPr>
            <w:tcW w:w="713" w:type="dxa"/>
            <w:shd w:val="clear" w:color="auto" w:fill="FFFFFF" w:themeFill="background1"/>
          </w:tcPr>
          <w:p w14:paraId="5AEFF355"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r>
      <w:tr w:rsidR="007B26F1" w:rsidRPr="009E6B6E" w14:paraId="5E58EF3E" w14:textId="77777777" w:rsidTr="000711DA">
        <w:trPr>
          <w:trHeight w:val="295"/>
        </w:trPr>
        <w:tc>
          <w:tcPr>
            <w:tcW w:w="851" w:type="dxa"/>
            <w:tcBorders>
              <w:top w:val="nil"/>
              <w:left w:val="nil"/>
            </w:tcBorders>
            <w:shd w:val="clear" w:color="auto" w:fill="FFFFFF" w:themeFill="background1"/>
          </w:tcPr>
          <w:p w14:paraId="1DEB7AD2" w14:textId="77777777" w:rsidR="007B26F1" w:rsidRPr="009E6B6E" w:rsidRDefault="007B26F1" w:rsidP="00F4486F">
            <w:pPr>
              <w:spacing w:after="0" w:line="240" w:lineRule="auto"/>
              <w:rPr>
                <w:rFonts w:ascii="Times New Roman" w:eastAsia="Times New Roman" w:hAnsi="Times New Roman" w:cs="Times New Roman"/>
                <w:iCs/>
                <w:color w:val="000000"/>
                <w:sz w:val="18"/>
                <w:szCs w:val="18"/>
                <w:lang w:val="en-US"/>
              </w:rPr>
            </w:pPr>
            <w:r w:rsidRPr="009E6B6E">
              <w:rPr>
                <w:rFonts w:ascii="Times New Roman" w:eastAsia="Times New Roman" w:hAnsi="Times New Roman" w:cs="Times New Roman"/>
                <w:iCs/>
                <w:color w:val="000000"/>
                <w:sz w:val="18"/>
                <w:szCs w:val="18"/>
                <w:lang w:val="en-US"/>
              </w:rPr>
              <w:t>GR</w:t>
            </w:r>
            <w:r>
              <w:rPr>
                <w:rFonts w:ascii="Times New Roman" w:eastAsia="Times New Roman" w:hAnsi="Times New Roman" w:cs="Times New Roman"/>
                <w:iCs/>
                <w:color w:val="000000"/>
                <w:sz w:val="18"/>
                <w:szCs w:val="18"/>
                <w:lang w:val="en-US"/>
              </w:rPr>
              <w:t>TH</w:t>
            </w:r>
          </w:p>
        </w:tc>
        <w:tc>
          <w:tcPr>
            <w:tcW w:w="709" w:type="dxa"/>
            <w:tcBorders>
              <w:top w:val="nil"/>
              <w:left w:val="nil"/>
              <w:right w:val="nil"/>
            </w:tcBorders>
            <w:shd w:val="clear" w:color="auto" w:fill="FFFFFF" w:themeFill="background1"/>
            <w:noWrap/>
          </w:tcPr>
          <w:p w14:paraId="6DD39F7B"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-0.06</w:t>
            </w:r>
          </w:p>
        </w:tc>
        <w:tc>
          <w:tcPr>
            <w:tcW w:w="709" w:type="dxa"/>
            <w:shd w:val="clear" w:color="auto" w:fill="FFFFFF" w:themeFill="background1"/>
          </w:tcPr>
          <w:p w14:paraId="6A9A1FAD" w14:textId="77777777" w:rsidR="007B26F1" w:rsidRPr="009E6B6E" w:rsidRDefault="007B26F1" w:rsidP="00F4486F">
            <w:pPr>
              <w:spacing w:after="0" w:line="240" w:lineRule="auto"/>
              <w:ind w:right="-12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850" w:type="dxa"/>
            <w:shd w:val="clear" w:color="auto" w:fill="FFFFFF" w:themeFill="background1"/>
          </w:tcPr>
          <w:p w14:paraId="35BE2290"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850" w:type="dxa"/>
            <w:shd w:val="clear" w:color="auto" w:fill="FFFFFF" w:themeFill="background1"/>
          </w:tcPr>
          <w:p w14:paraId="5A40CBAC" w14:textId="77777777" w:rsidR="007B26F1" w:rsidRPr="009E6B6E" w:rsidRDefault="007B26F1" w:rsidP="00F4486F">
            <w:pPr>
              <w:spacing w:after="0" w:line="240" w:lineRule="auto"/>
              <w:ind w:right="-11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tcPr>
          <w:p w14:paraId="02D26BC4"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09" w:type="dxa"/>
            <w:shd w:val="clear" w:color="auto" w:fill="FFFFFF" w:themeFill="background1"/>
          </w:tcPr>
          <w:p w14:paraId="5D7CEF5B"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-0.07</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1CF755E6"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0.11</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57A708E2" w14:textId="77777777" w:rsidR="007B26F1" w:rsidRPr="009E6B6E" w:rsidRDefault="007B26F1" w:rsidP="00F4486F">
            <w:pPr>
              <w:spacing w:after="0" w:line="240" w:lineRule="auto"/>
              <w:ind w:right="-13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tcPr>
          <w:p w14:paraId="3E0CA603"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09" w:type="dxa"/>
            <w:shd w:val="clear" w:color="auto" w:fill="FFFFFF" w:themeFill="background1"/>
            <w:noWrap/>
          </w:tcPr>
          <w:p w14:paraId="064987C0"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8" w:type="dxa"/>
            <w:shd w:val="clear" w:color="auto" w:fill="FFFFFF" w:themeFill="background1"/>
            <w:noWrap/>
          </w:tcPr>
          <w:p w14:paraId="4DE98F3D"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850" w:type="dxa"/>
            <w:shd w:val="clear" w:color="auto" w:fill="FFFFFF" w:themeFill="background1"/>
            <w:noWrap/>
          </w:tcPr>
          <w:p w14:paraId="142903BC"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9" w:type="dxa"/>
            <w:shd w:val="clear" w:color="auto" w:fill="FFFFFF" w:themeFill="background1"/>
            <w:noWrap/>
          </w:tcPr>
          <w:p w14:paraId="0480FE58" w14:textId="77777777" w:rsidR="007B26F1" w:rsidRPr="009E6B6E" w:rsidRDefault="007B26F1" w:rsidP="00F4486F">
            <w:pPr>
              <w:spacing w:after="0" w:line="240" w:lineRule="auto"/>
              <w:ind w:right="-108"/>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09" w:type="dxa"/>
            <w:shd w:val="clear" w:color="auto" w:fill="FFFFFF" w:themeFill="background1"/>
          </w:tcPr>
          <w:p w14:paraId="63AA2E8A"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shd w:val="clear" w:color="auto" w:fill="FFFFFF" w:themeFill="background1"/>
          </w:tcPr>
          <w:p w14:paraId="12C8434B" w14:textId="77777777" w:rsidR="007B26F1" w:rsidRPr="009E6B6E" w:rsidRDefault="007B26F1" w:rsidP="00F4486F">
            <w:pPr>
              <w:spacing w:after="0" w:line="240" w:lineRule="auto"/>
              <w:ind w:right="-109"/>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09" w:type="dxa"/>
            <w:shd w:val="clear" w:color="auto" w:fill="FFFFFF" w:themeFill="background1"/>
            <w:noWrap/>
          </w:tcPr>
          <w:p w14:paraId="27CA61F3"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8" w:type="dxa"/>
            <w:shd w:val="clear" w:color="auto" w:fill="FFFFFF" w:themeFill="background1"/>
          </w:tcPr>
          <w:p w14:paraId="1A1C689E"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0.02</w:t>
            </w:r>
          </w:p>
        </w:tc>
        <w:tc>
          <w:tcPr>
            <w:tcW w:w="709" w:type="dxa"/>
            <w:shd w:val="clear" w:color="auto" w:fill="FFFFFF" w:themeFill="background1"/>
            <w:noWrap/>
          </w:tcPr>
          <w:p w14:paraId="4EE637DC"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shd w:val="clear" w:color="auto" w:fill="FFFFFF" w:themeFill="background1"/>
            <w:noWrap/>
          </w:tcPr>
          <w:p w14:paraId="70F9D12E"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0.11</w:t>
            </w:r>
            <w:r w:rsidRPr="009E6B6E">
              <w:rPr>
                <w:rFonts w:ascii="Times New Roman" w:eastAsia="Times New Roman" w:hAnsi="Times New Roman" w:cs="Times New Roman"/>
                <w:color w:val="000000"/>
                <w:sz w:val="18"/>
                <w:szCs w:val="18"/>
                <w:vertAlign w:val="superscript"/>
                <w:lang w:val="en-US"/>
              </w:rPr>
              <w:t>***</w:t>
            </w:r>
          </w:p>
        </w:tc>
        <w:tc>
          <w:tcPr>
            <w:tcW w:w="709" w:type="dxa"/>
            <w:shd w:val="clear" w:color="auto" w:fill="FFFFFF" w:themeFill="background1"/>
          </w:tcPr>
          <w:p w14:paraId="3ADABEE2"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p>
        </w:tc>
        <w:tc>
          <w:tcPr>
            <w:tcW w:w="713" w:type="dxa"/>
            <w:shd w:val="clear" w:color="auto" w:fill="FFFFFF" w:themeFill="background1"/>
          </w:tcPr>
          <w:p w14:paraId="74D9B09A" w14:textId="77777777" w:rsidR="007B26F1" w:rsidRPr="009E6B6E" w:rsidRDefault="007B26F1" w:rsidP="00F4486F">
            <w:pPr>
              <w:spacing w:after="0" w:line="240" w:lineRule="auto"/>
              <w:ind w:right="-105"/>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r>
      <w:tr w:rsidR="007B26F1" w:rsidRPr="009E6B6E" w14:paraId="173995BD" w14:textId="77777777" w:rsidTr="000711DA">
        <w:trPr>
          <w:trHeight w:val="293"/>
        </w:trPr>
        <w:tc>
          <w:tcPr>
            <w:tcW w:w="851" w:type="dxa"/>
            <w:tcBorders>
              <w:left w:val="nil"/>
              <w:bottom w:val="single" w:sz="4" w:space="0" w:color="auto"/>
            </w:tcBorders>
            <w:shd w:val="clear" w:color="auto" w:fill="FFFFFF" w:themeFill="background1"/>
          </w:tcPr>
          <w:p w14:paraId="14DEFB90" w14:textId="77777777" w:rsidR="007B26F1" w:rsidRPr="009E6B6E" w:rsidRDefault="007B26F1" w:rsidP="00F4486F">
            <w:pPr>
              <w:spacing w:after="0" w:line="240" w:lineRule="auto"/>
              <w:rPr>
                <w:rFonts w:ascii="Times New Roman" w:eastAsia="Times New Roman" w:hAnsi="Times New Roman" w:cs="Times New Roman"/>
                <w:iCs/>
                <w:color w:val="000000"/>
                <w:sz w:val="18"/>
                <w:szCs w:val="18"/>
                <w:lang w:val="en-US"/>
              </w:rPr>
            </w:pPr>
            <w:r w:rsidRPr="009E6B6E">
              <w:rPr>
                <w:rFonts w:ascii="Times New Roman" w:eastAsia="Times New Roman" w:hAnsi="Times New Roman" w:cs="Times New Roman"/>
                <w:iCs/>
                <w:color w:val="000000"/>
                <w:sz w:val="18"/>
                <w:szCs w:val="18"/>
                <w:lang w:val="en-US"/>
              </w:rPr>
              <w:t>R</w:t>
            </w:r>
            <w:r>
              <w:rPr>
                <w:rFonts w:ascii="Times New Roman" w:eastAsia="Times New Roman" w:hAnsi="Times New Roman" w:cs="Times New Roman"/>
                <w:iCs/>
                <w:color w:val="000000"/>
                <w:sz w:val="18"/>
                <w:szCs w:val="18"/>
                <w:lang w:val="en-US"/>
              </w:rPr>
              <w:t>IS</w:t>
            </w:r>
            <w:r w:rsidRPr="009E6B6E">
              <w:rPr>
                <w:rFonts w:ascii="Times New Roman" w:eastAsia="Times New Roman" w:hAnsi="Times New Roman" w:cs="Times New Roman"/>
                <w:iCs/>
                <w:color w:val="000000"/>
                <w:sz w:val="18"/>
                <w:szCs w:val="18"/>
                <w:lang w:val="en-US"/>
              </w:rPr>
              <w:t>K</w:t>
            </w:r>
          </w:p>
        </w:tc>
        <w:tc>
          <w:tcPr>
            <w:tcW w:w="709" w:type="dxa"/>
            <w:tcBorders>
              <w:left w:val="nil"/>
              <w:bottom w:val="single" w:sz="4" w:space="0" w:color="auto"/>
              <w:right w:val="nil"/>
            </w:tcBorders>
            <w:shd w:val="clear" w:color="auto" w:fill="FFFFFF" w:themeFill="background1"/>
            <w:noWrap/>
          </w:tcPr>
          <w:p w14:paraId="49657537"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09" w:type="dxa"/>
            <w:tcBorders>
              <w:bottom w:val="single" w:sz="4" w:space="0" w:color="auto"/>
            </w:tcBorders>
            <w:shd w:val="clear" w:color="auto" w:fill="FFFFFF" w:themeFill="background1"/>
          </w:tcPr>
          <w:p w14:paraId="544E97C5" w14:textId="77777777" w:rsidR="007B26F1" w:rsidRPr="009E6B6E" w:rsidRDefault="007B26F1" w:rsidP="00F4486F">
            <w:pPr>
              <w:spacing w:after="0" w:line="240" w:lineRule="auto"/>
              <w:ind w:right="-12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0.06</w:t>
            </w:r>
            <w:r w:rsidRPr="009E6B6E">
              <w:rPr>
                <w:rFonts w:ascii="Times New Roman" w:eastAsia="Times New Roman" w:hAnsi="Times New Roman" w:cs="Times New Roman"/>
                <w:color w:val="000000"/>
                <w:sz w:val="18"/>
                <w:szCs w:val="18"/>
                <w:vertAlign w:val="superscript"/>
                <w:lang w:val="en-US"/>
              </w:rPr>
              <w:t>*</w:t>
            </w:r>
          </w:p>
        </w:tc>
        <w:tc>
          <w:tcPr>
            <w:tcW w:w="850" w:type="dxa"/>
            <w:tcBorders>
              <w:bottom w:val="single" w:sz="4" w:space="0" w:color="auto"/>
            </w:tcBorders>
            <w:shd w:val="clear" w:color="auto" w:fill="FFFFFF" w:themeFill="background1"/>
          </w:tcPr>
          <w:p w14:paraId="662143C5"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0.06</w:t>
            </w:r>
          </w:p>
        </w:tc>
        <w:tc>
          <w:tcPr>
            <w:tcW w:w="850" w:type="dxa"/>
            <w:tcBorders>
              <w:bottom w:val="single" w:sz="4" w:space="0" w:color="auto"/>
            </w:tcBorders>
            <w:shd w:val="clear" w:color="auto" w:fill="FFFFFF" w:themeFill="background1"/>
          </w:tcPr>
          <w:p w14:paraId="2531C94A"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09" w:type="dxa"/>
            <w:tcBorders>
              <w:bottom w:val="single" w:sz="4" w:space="0" w:color="auto"/>
            </w:tcBorders>
            <w:shd w:val="clear" w:color="auto" w:fill="FFFFFF" w:themeFill="background1"/>
          </w:tcPr>
          <w:p w14:paraId="0203E4DE"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09" w:type="dxa"/>
            <w:tcBorders>
              <w:bottom w:val="single" w:sz="4" w:space="0" w:color="auto"/>
            </w:tcBorders>
            <w:shd w:val="clear" w:color="auto" w:fill="FFFFFF" w:themeFill="background1"/>
          </w:tcPr>
          <w:p w14:paraId="6A6FC8FA"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0.11</w:t>
            </w:r>
            <w:r w:rsidRPr="009E6B6E">
              <w:rPr>
                <w:rFonts w:ascii="Times New Roman" w:eastAsia="Times New Roman" w:hAnsi="Times New Roman" w:cs="Times New Roman"/>
                <w:color w:val="000000"/>
                <w:sz w:val="18"/>
                <w:szCs w:val="18"/>
                <w:vertAlign w:val="superscript"/>
                <w:lang w:val="en-US"/>
              </w:rPr>
              <w:t>***</w:t>
            </w:r>
          </w:p>
        </w:tc>
        <w:tc>
          <w:tcPr>
            <w:tcW w:w="709" w:type="dxa"/>
            <w:tcBorders>
              <w:bottom w:val="single" w:sz="4" w:space="0" w:color="auto"/>
            </w:tcBorders>
            <w:shd w:val="clear" w:color="auto" w:fill="FFFFFF" w:themeFill="background1"/>
          </w:tcPr>
          <w:p w14:paraId="5D7DFEBB"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-0.11</w:t>
            </w:r>
            <w:r w:rsidRPr="009E6B6E">
              <w:rPr>
                <w:rFonts w:ascii="Times New Roman" w:eastAsia="Times New Roman" w:hAnsi="Times New Roman" w:cs="Times New Roman"/>
                <w:color w:val="000000"/>
                <w:sz w:val="18"/>
                <w:szCs w:val="18"/>
                <w:vertAlign w:val="superscript"/>
                <w:lang w:val="en-US"/>
              </w:rPr>
              <w:t>***</w:t>
            </w:r>
          </w:p>
        </w:tc>
        <w:tc>
          <w:tcPr>
            <w:tcW w:w="709" w:type="dxa"/>
            <w:tcBorders>
              <w:bottom w:val="single" w:sz="4" w:space="0" w:color="auto"/>
            </w:tcBorders>
            <w:shd w:val="clear" w:color="auto" w:fill="FFFFFF" w:themeFill="background1"/>
          </w:tcPr>
          <w:p w14:paraId="45A22998"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-0.03</w:t>
            </w:r>
          </w:p>
        </w:tc>
        <w:tc>
          <w:tcPr>
            <w:tcW w:w="709" w:type="dxa"/>
            <w:tcBorders>
              <w:bottom w:val="single" w:sz="4" w:space="0" w:color="auto"/>
            </w:tcBorders>
            <w:shd w:val="clear" w:color="auto" w:fill="FFFFFF" w:themeFill="background1"/>
          </w:tcPr>
          <w:p w14:paraId="79228801" w14:textId="77777777" w:rsidR="007B26F1" w:rsidRPr="009E6B6E" w:rsidRDefault="007B26F1" w:rsidP="00F4486F">
            <w:pPr>
              <w:spacing w:after="0" w:line="240" w:lineRule="auto"/>
              <w:ind w:right="-106"/>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09" w:type="dxa"/>
            <w:tcBorders>
              <w:bottom w:val="single" w:sz="4" w:space="0" w:color="auto"/>
            </w:tcBorders>
            <w:shd w:val="clear" w:color="auto" w:fill="FFFFFF" w:themeFill="background1"/>
            <w:noWrap/>
          </w:tcPr>
          <w:p w14:paraId="3CC87BC2" w14:textId="77777777" w:rsidR="007B26F1" w:rsidRPr="009E6B6E" w:rsidRDefault="007B26F1" w:rsidP="00F4486F">
            <w:pPr>
              <w:spacing w:after="0" w:line="240" w:lineRule="auto"/>
              <w:ind w:right="-112"/>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08" w:type="dxa"/>
            <w:tcBorders>
              <w:bottom w:val="single" w:sz="4" w:space="0" w:color="auto"/>
            </w:tcBorders>
            <w:shd w:val="clear" w:color="auto" w:fill="FFFFFF" w:themeFill="background1"/>
            <w:noWrap/>
          </w:tcPr>
          <w:p w14:paraId="7240A2CE" w14:textId="77777777" w:rsidR="007B26F1" w:rsidRPr="009E6B6E" w:rsidRDefault="007B26F1" w:rsidP="00F4486F">
            <w:pPr>
              <w:spacing w:after="0" w:line="240" w:lineRule="auto"/>
              <w:ind w:right="-107"/>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-0.12</w:t>
            </w:r>
            <w:r w:rsidRPr="009E6B6E">
              <w:rPr>
                <w:rFonts w:ascii="Times New Roman" w:eastAsia="Times New Roman" w:hAnsi="Times New Roman" w:cs="Times New Roman"/>
                <w:color w:val="000000"/>
                <w:sz w:val="18"/>
                <w:szCs w:val="18"/>
                <w:vertAlign w:val="superscript"/>
                <w:lang w:val="en-US"/>
              </w:rPr>
              <w:t>***</w:t>
            </w:r>
          </w:p>
        </w:tc>
        <w:tc>
          <w:tcPr>
            <w:tcW w:w="850" w:type="dxa"/>
            <w:tcBorders>
              <w:bottom w:val="single" w:sz="4" w:space="0" w:color="auto"/>
            </w:tcBorders>
            <w:shd w:val="clear" w:color="auto" w:fill="FFFFFF" w:themeFill="background1"/>
            <w:noWrap/>
          </w:tcPr>
          <w:p w14:paraId="34B2B72B" w14:textId="77777777" w:rsidR="007B26F1" w:rsidRPr="009E6B6E" w:rsidRDefault="007B26F1" w:rsidP="00F4486F">
            <w:pPr>
              <w:spacing w:after="0" w:line="240" w:lineRule="auto"/>
              <w:ind w:right="-102"/>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709" w:type="dxa"/>
            <w:tcBorders>
              <w:bottom w:val="single" w:sz="4" w:space="0" w:color="auto"/>
            </w:tcBorders>
            <w:shd w:val="clear" w:color="auto" w:fill="FFFFFF" w:themeFill="background1"/>
            <w:noWrap/>
          </w:tcPr>
          <w:p w14:paraId="4729A9B0" w14:textId="77777777" w:rsidR="007B26F1" w:rsidRPr="009E6B6E" w:rsidRDefault="007B26F1" w:rsidP="00F4486F">
            <w:pPr>
              <w:spacing w:after="0" w:line="240" w:lineRule="auto"/>
              <w:ind w:right="-108"/>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-0.12</w:t>
            </w:r>
            <w:r w:rsidRPr="009E6B6E">
              <w:rPr>
                <w:rFonts w:ascii="Times New Roman" w:eastAsia="Times New Roman" w:hAnsi="Times New Roman" w:cs="Times New Roman"/>
                <w:color w:val="000000"/>
                <w:sz w:val="18"/>
                <w:szCs w:val="18"/>
                <w:vertAlign w:val="superscript"/>
                <w:lang w:val="en-US"/>
              </w:rPr>
              <w:t>***</w:t>
            </w:r>
          </w:p>
        </w:tc>
        <w:tc>
          <w:tcPr>
            <w:tcW w:w="709" w:type="dxa"/>
            <w:tcBorders>
              <w:bottom w:val="single" w:sz="4" w:space="0" w:color="auto"/>
            </w:tcBorders>
            <w:shd w:val="clear" w:color="auto" w:fill="FFFFFF" w:themeFill="background1"/>
          </w:tcPr>
          <w:p w14:paraId="245FA034"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-0.00</w:t>
            </w:r>
          </w:p>
        </w:tc>
        <w:tc>
          <w:tcPr>
            <w:tcW w:w="709" w:type="dxa"/>
            <w:tcBorders>
              <w:bottom w:val="single" w:sz="4" w:space="0" w:color="auto"/>
            </w:tcBorders>
            <w:shd w:val="clear" w:color="auto" w:fill="FFFFFF" w:themeFill="background1"/>
          </w:tcPr>
          <w:p w14:paraId="0391A783"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0.08</w:t>
            </w:r>
            <w:r w:rsidRPr="009E6B6E">
              <w:rPr>
                <w:rFonts w:ascii="Times New Roman" w:eastAsia="Times New Roman" w:hAnsi="Times New Roman" w:cs="Times New Roman"/>
                <w:color w:val="000000"/>
                <w:sz w:val="18"/>
                <w:szCs w:val="18"/>
                <w:vertAlign w:val="superscript"/>
                <w:lang w:val="en-US"/>
              </w:rPr>
              <w:t>**</w:t>
            </w:r>
          </w:p>
        </w:tc>
        <w:tc>
          <w:tcPr>
            <w:tcW w:w="709" w:type="dxa"/>
            <w:tcBorders>
              <w:bottom w:val="single" w:sz="4" w:space="0" w:color="auto"/>
            </w:tcBorders>
            <w:shd w:val="clear" w:color="auto" w:fill="FFFFFF" w:themeFill="background1"/>
            <w:noWrap/>
          </w:tcPr>
          <w:p w14:paraId="05D3FE0C"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-0.12</w:t>
            </w:r>
            <w:r w:rsidRPr="009E6B6E">
              <w:rPr>
                <w:rFonts w:ascii="Times New Roman" w:eastAsia="Times New Roman" w:hAnsi="Times New Roman" w:cs="Times New Roman"/>
                <w:color w:val="000000"/>
                <w:sz w:val="18"/>
                <w:szCs w:val="18"/>
                <w:vertAlign w:val="superscript"/>
                <w:lang w:val="en-US"/>
              </w:rPr>
              <w:t>***</w:t>
            </w:r>
          </w:p>
        </w:tc>
        <w:tc>
          <w:tcPr>
            <w:tcW w:w="708" w:type="dxa"/>
            <w:tcBorders>
              <w:bottom w:val="single" w:sz="4" w:space="0" w:color="auto"/>
            </w:tcBorders>
            <w:shd w:val="clear" w:color="auto" w:fill="FFFFFF" w:themeFill="background1"/>
          </w:tcPr>
          <w:p w14:paraId="30C5C157" w14:textId="77777777" w:rsidR="007B26F1" w:rsidRPr="009E6B6E" w:rsidRDefault="007B26F1" w:rsidP="00F4486F">
            <w:pPr>
              <w:spacing w:after="0" w:line="240" w:lineRule="auto"/>
              <w:ind w:right="-104"/>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0.04</w:t>
            </w:r>
          </w:p>
        </w:tc>
        <w:tc>
          <w:tcPr>
            <w:tcW w:w="709" w:type="dxa"/>
            <w:tcBorders>
              <w:bottom w:val="single" w:sz="4" w:space="0" w:color="auto"/>
            </w:tcBorders>
            <w:shd w:val="clear" w:color="auto" w:fill="FFFFFF" w:themeFill="background1"/>
            <w:noWrap/>
          </w:tcPr>
          <w:p w14:paraId="2D96FC2D" w14:textId="77777777" w:rsidR="007B26F1" w:rsidRPr="009E6B6E" w:rsidRDefault="007B26F1" w:rsidP="00F4486F">
            <w:pPr>
              <w:spacing w:after="0" w:line="240" w:lineRule="auto"/>
              <w:ind w:right="-30"/>
              <w:jc w:val="both"/>
              <w:rPr>
                <w:rFonts w:ascii="Times New Roman" w:eastAsia="Times New Roman" w:hAnsi="Times New Roman" w:cs="Times New Roman"/>
                <w:color w:val="000000"/>
                <w:sz w:val="18"/>
                <w:szCs w:val="18"/>
                <w:vertAlign w:val="superscript"/>
                <w:lang w:val="en-US"/>
              </w:rPr>
            </w:pPr>
            <w:r w:rsidRPr="009E6B6E">
              <w:rPr>
                <w:rFonts w:ascii="Times New Roman" w:eastAsia="Times New Roman" w:hAnsi="Times New Roman" w:cs="Times New Roman"/>
                <w:color w:val="000000"/>
                <w:sz w:val="18"/>
                <w:szCs w:val="18"/>
                <w:lang w:val="en-US"/>
              </w:rPr>
              <w:t>0.12</w:t>
            </w:r>
            <w:r w:rsidRPr="009E6B6E">
              <w:rPr>
                <w:rFonts w:ascii="Times New Roman" w:eastAsia="Times New Roman" w:hAnsi="Times New Roman" w:cs="Times New Roman"/>
                <w:color w:val="000000"/>
                <w:sz w:val="18"/>
                <w:szCs w:val="18"/>
                <w:vertAlign w:val="superscript"/>
                <w:lang w:val="en-US"/>
              </w:rPr>
              <w:t>***</w:t>
            </w:r>
          </w:p>
        </w:tc>
        <w:tc>
          <w:tcPr>
            <w:tcW w:w="709" w:type="dxa"/>
            <w:tcBorders>
              <w:bottom w:val="single" w:sz="4" w:space="0" w:color="auto"/>
            </w:tcBorders>
            <w:shd w:val="clear" w:color="auto" w:fill="FFFFFF" w:themeFill="background1"/>
            <w:noWrap/>
          </w:tcPr>
          <w:p w14:paraId="14550E76"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0.05</w:t>
            </w:r>
          </w:p>
        </w:tc>
        <w:tc>
          <w:tcPr>
            <w:tcW w:w="709" w:type="dxa"/>
            <w:tcBorders>
              <w:bottom w:val="single" w:sz="4" w:space="0" w:color="auto"/>
            </w:tcBorders>
            <w:shd w:val="clear" w:color="auto" w:fill="FFFFFF" w:themeFill="background1"/>
          </w:tcPr>
          <w:p w14:paraId="1E187C9E"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r w:rsidRPr="009E6B6E">
              <w:rPr>
                <w:rFonts w:ascii="Times New Roman" w:eastAsia="Times New Roman" w:hAnsi="Times New Roman" w:cs="Times New Roman"/>
                <w:color w:val="000000"/>
                <w:sz w:val="18"/>
                <w:szCs w:val="18"/>
                <w:lang w:val="en-US"/>
              </w:rPr>
              <w:t>-0.01</w:t>
            </w:r>
          </w:p>
        </w:tc>
        <w:tc>
          <w:tcPr>
            <w:tcW w:w="713" w:type="dxa"/>
            <w:tcBorders>
              <w:bottom w:val="single" w:sz="4" w:space="0" w:color="auto"/>
            </w:tcBorders>
            <w:shd w:val="clear" w:color="auto" w:fill="FFFFFF" w:themeFill="background1"/>
          </w:tcPr>
          <w:p w14:paraId="2C717245" w14:textId="77777777" w:rsidR="007B26F1" w:rsidRPr="009E6B6E" w:rsidRDefault="007B26F1" w:rsidP="00F4486F">
            <w:pPr>
              <w:spacing w:after="0" w:line="240" w:lineRule="auto"/>
              <w:jc w:val="both"/>
              <w:rPr>
                <w:rFonts w:ascii="Times New Roman" w:eastAsia="Times New Roman" w:hAnsi="Times New Roman" w:cs="Times New Roman"/>
                <w:color w:val="000000"/>
                <w:sz w:val="18"/>
                <w:szCs w:val="18"/>
                <w:lang w:val="en-US"/>
              </w:rPr>
            </w:pPr>
          </w:p>
        </w:tc>
      </w:tr>
      <w:tr w:rsidR="007B26F1" w:rsidRPr="009E6B6E" w14:paraId="59959530" w14:textId="77777777" w:rsidTr="000711DA">
        <w:trPr>
          <w:trHeight w:val="293"/>
        </w:trPr>
        <w:tc>
          <w:tcPr>
            <w:tcW w:w="16164" w:type="dxa"/>
            <w:gridSpan w:val="22"/>
            <w:tcBorders>
              <w:top w:val="single" w:sz="4" w:space="0" w:color="auto"/>
              <w:left w:val="nil"/>
            </w:tcBorders>
            <w:shd w:val="clear" w:color="auto" w:fill="FFFFFF" w:themeFill="background1"/>
          </w:tcPr>
          <w:p w14:paraId="0B5511B9" w14:textId="31F22F74" w:rsidR="007B26F1" w:rsidRPr="00643054" w:rsidRDefault="00270A6D" w:rsidP="00FA0820">
            <w:pPr>
              <w:spacing w:after="0" w:line="240" w:lineRule="auto"/>
              <w:jc w:val="both"/>
              <w:rPr>
                <w:rFonts w:ascii="Times New Roman" w:eastAsia="SimSun" w:hAnsi="Times New Roman" w:cs="Times New Roman"/>
                <w:sz w:val="18"/>
                <w:szCs w:val="18"/>
                <w:lang w:val="en-US" w:eastAsia="zh-CN"/>
              </w:rPr>
            </w:pPr>
            <w:r w:rsidRPr="00643054">
              <w:rPr>
                <w:rFonts w:ascii="Times New Roman" w:eastAsia="SimSun" w:hAnsi="Times New Roman" w:cs="Times New Roman"/>
                <w:b/>
                <w:bCs/>
                <w:sz w:val="18"/>
                <w:szCs w:val="18"/>
                <w:lang w:val="en-US" w:eastAsia="zh-CN"/>
              </w:rPr>
              <w:t>Note</w:t>
            </w:r>
            <w:r w:rsidR="00643054">
              <w:rPr>
                <w:rFonts w:ascii="Times New Roman" w:eastAsia="SimSun" w:hAnsi="Times New Roman" w:cs="Times New Roman"/>
                <w:b/>
                <w:bCs/>
                <w:sz w:val="18"/>
                <w:szCs w:val="18"/>
                <w:lang w:val="en-US" w:eastAsia="zh-CN"/>
              </w:rPr>
              <w:t>s</w:t>
            </w:r>
            <w:r w:rsidRPr="00643054">
              <w:rPr>
                <w:rFonts w:ascii="Times New Roman" w:eastAsia="SimSun" w:hAnsi="Times New Roman" w:cs="Times New Roman"/>
                <w:b/>
                <w:bCs/>
                <w:sz w:val="18"/>
                <w:szCs w:val="18"/>
                <w:lang w:val="en-US" w:eastAsia="zh-CN"/>
              </w:rPr>
              <w:t>:</w:t>
            </w:r>
            <w:r w:rsidRPr="00270A6D">
              <w:rPr>
                <w:rFonts w:ascii="Times New Roman" w:eastAsia="SimSun" w:hAnsi="Times New Roman" w:cs="Times New Roman"/>
                <w:sz w:val="18"/>
                <w:szCs w:val="18"/>
                <w:lang w:val="en-US" w:eastAsia="zh-CN"/>
              </w:rPr>
              <w:t xml:space="preserve"> Please see Table 2 for</w:t>
            </w:r>
            <w:r w:rsidR="00FA0820">
              <w:rPr>
                <w:rFonts w:ascii="Times New Roman" w:eastAsia="SimSun" w:hAnsi="Times New Roman" w:cs="Times New Roman"/>
                <w:sz w:val="18"/>
                <w:szCs w:val="18"/>
                <w:lang w:val="en-US" w:eastAsia="zh-CN"/>
              </w:rPr>
              <w:t xml:space="preserve"> full</w:t>
            </w:r>
            <w:r w:rsidRPr="00270A6D">
              <w:rPr>
                <w:rFonts w:ascii="Times New Roman" w:eastAsia="SimSun" w:hAnsi="Times New Roman" w:cs="Times New Roman"/>
                <w:sz w:val="18"/>
                <w:szCs w:val="18"/>
                <w:lang w:val="en-US" w:eastAsia="zh-CN"/>
              </w:rPr>
              <w:t xml:space="preserve"> variable definitions.</w:t>
            </w:r>
            <w:r w:rsidRPr="00270A6D">
              <w:rPr>
                <w:rFonts w:ascii="Times New Roman" w:eastAsia="SimSun" w:hAnsi="Times New Roman" w:cs="Times New Roman"/>
                <w:sz w:val="18"/>
                <w:szCs w:val="18"/>
                <w:lang w:eastAsia="zh-CN"/>
              </w:rPr>
              <w:t xml:space="preserve"> </w:t>
            </w:r>
            <w:r w:rsidR="00643054" w:rsidRPr="00351EA8">
              <w:rPr>
                <w:rFonts w:ascii="Times New Roman" w:eastAsia="SimSun" w:hAnsi="Times New Roman" w:cs="Times New Roman"/>
                <w:sz w:val="18"/>
                <w:szCs w:val="18"/>
                <w:lang w:val="en-US" w:eastAsia="zh-CN"/>
              </w:rPr>
              <w:t xml:space="preserve"> </w:t>
            </w:r>
            <w:r w:rsidR="00643054">
              <w:rPr>
                <w:rFonts w:ascii="Times New Roman" w:eastAsia="SimSun" w:hAnsi="Times New Roman" w:cs="Times New Roman"/>
                <w:sz w:val="18"/>
                <w:szCs w:val="18"/>
                <w:lang w:val="en-US" w:eastAsia="zh-CN"/>
              </w:rPr>
              <w:t xml:space="preserve">Pearson’s correlation </w:t>
            </w:r>
            <w:r w:rsidR="00643054" w:rsidRPr="00351EA8">
              <w:rPr>
                <w:rFonts w:ascii="Times New Roman" w:eastAsia="SimSun" w:hAnsi="Times New Roman" w:cs="Times New Roman"/>
                <w:sz w:val="18"/>
                <w:szCs w:val="18"/>
                <w:lang w:val="en-US" w:eastAsia="zh-CN"/>
              </w:rPr>
              <w:t xml:space="preserve">coefficients are reported in the lower left side of the </w:t>
            </w:r>
            <w:r w:rsidR="00403A77">
              <w:rPr>
                <w:rFonts w:ascii="Times New Roman" w:eastAsia="SimSun" w:hAnsi="Times New Roman" w:cs="Times New Roman"/>
                <w:sz w:val="18"/>
                <w:szCs w:val="18"/>
                <w:lang w:val="en-US" w:eastAsia="zh-CN"/>
              </w:rPr>
              <w:t>t</w:t>
            </w:r>
            <w:r w:rsidR="00643054" w:rsidRPr="00351EA8">
              <w:rPr>
                <w:rFonts w:ascii="Times New Roman" w:eastAsia="SimSun" w:hAnsi="Times New Roman" w:cs="Times New Roman"/>
                <w:sz w:val="18"/>
                <w:szCs w:val="18"/>
                <w:lang w:val="en-US" w:eastAsia="zh-CN"/>
              </w:rPr>
              <w:t xml:space="preserve">able, whereas </w:t>
            </w:r>
            <w:r w:rsidR="00643054">
              <w:rPr>
                <w:rFonts w:ascii="Times New Roman" w:eastAsia="SimSun" w:hAnsi="Times New Roman" w:cs="Times New Roman"/>
                <w:sz w:val="18"/>
                <w:szCs w:val="18"/>
                <w:lang w:val="en-US" w:eastAsia="zh-CN"/>
              </w:rPr>
              <w:t>Spearman’s correlation</w:t>
            </w:r>
            <w:r w:rsidR="00643054" w:rsidRPr="00351EA8">
              <w:rPr>
                <w:rFonts w:ascii="Times New Roman" w:eastAsia="SimSun" w:hAnsi="Times New Roman" w:cs="Times New Roman"/>
                <w:sz w:val="18"/>
                <w:szCs w:val="18"/>
                <w:lang w:val="en-US" w:eastAsia="zh-CN"/>
              </w:rPr>
              <w:t xml:space="preserve"> coefficients are presented in the top right side of the table.</w:t>
            </w:r>
            <w:r w:rsidR="00FA0820">
              <w:rPr>
                <w:rFonts w:ascii="Times New Roman" w:eastAsia="SimSun" w:hAnsi="Times New Roman" w:cs="Times New Roman"/>
                <w:sz w:val="18"/>
                <w:szCs w:val="18"/>
                <w:lang w:val="en-US" w:eastAsia="zh-CN"/>
              </w:rPr>
              <w:t xml:space="preserve"> </w:t>
            </w:r>
            <w:r w:rsidR="00FA0820" w:rsidRPr="00FA0820">
              <w:rPr>
                <w:rFonts w:ascii="Times New Roman" w:eastAsia="SimSun" w:hAnsi="Times New Roman" w:cs="Times New Roman"/>
                <w:sz w:val="18"/>
                <w:szCs w:val="18"/>
                <w:lang w:eastAsia="zh-CN"/>
              </w:rPr>
              <w:t>*** means significance at the 1% level (p&lt;0.01). ** means significance at the 5% level (p&lt;0.05). * means significance at the 10% level (p&lt;0.10).</w:t>
            </w:r>
          </w:p>
        </w:tc>
      </w:tr>
    </w:tbl>
    <w:p w14:paraId="15ABF8B8" w14:textId="0924117D" w:rsidR="00566D02" w:rsidRDefault="00566D02" w:rsidP="00566D02"/>
    <w:tbl>
      <w:tblPr>
        <w:tblpPr w:leftFromText="180" w:rightFromText="180" w:vertAnchor="page" w:horzAnchor="margin" w:tblpY="1081"/>
        <w:tblW w:w="15168" w:type="dxa"/>
        <w:tblLook w:val="04A0" w:firstRow="1" w:lastRow="0" w:firstColumn="1" w:lastColumn="0" w:noHBand="0" w:noVBand="1"/>
      </w:tblPr>
      <w:tblGrid>
        <w:gridCol w:w="1560"/>
        <w:gridCol w:w="1559"/>
        <w:gridCol w:w="1276"/>
        <w:gridCol w:w="1417"/>
        <w:gridCol w:w="1096"/>
        <w:gridCol w:w="1456"/>
        <w:gridCol w:w="1146"/>
        <w:gridCol w:w="1547"/>
        <w:gridCol w:w="1159"/>
        <w:gridCol w:w="1534"/>
        <w:gridCol w:w="1418"/>
      </w:tblGrid>
      <w:tr w:rsidR="007B26F1" w:rsidRPr="007B26F1" w14:paraId="30B3FE19" w14:textId="77777777" w:rsidTr="007B26F1">
        <w:tc>
          <w:tcPr>
            <w:tcW w:w="15168" w:type="dxa"/>
            <w:gridSpan w:val="11"/>
            <w:tcBorders>
              <w:left w:val="nil"/>
              <w:bottom w:val="single" w:sz="2" w:space="0" w:color="auto"/>
              <w:right w:val="nil"/>
            </w:tcBorders>
          </w:tcPr>
          <w:p w14:paraId="2DC66F99" w14:textId="77777777" w:rsidR="007B26F1" w:rsidRPr="007B26F1" w:rsidRDefault="007B26F1" w:rsidP="007B26F1">
            <w:pPr>
              <w:spacing w:after="0"/>
              <w:rPr>
                <w:rFonts w:ascii="Times New Roman" w:eastAsia="Calibri" w:hAnsi="Times New Roman" w:cs="Times New Roman"/>
                <w:sz w:val="17"/>
                <w:szCs w:val="17"/>
              </w:rPr>
            </w:pPr>
            <w:r w:rsidRPr="007B26F1">
              <w:rPr>
                <w:rFonts w:ascii="Times New Roman" w:eastAsia="Times New Roman" w:hAnsi="Times New Roman" w:cs="Times New Roman"/>
                <w:b/>
                <w:sz w:val="17"/>
                <w:szCs w:val="17"/>
                <w:lang w:val="en-US" w:eastAsia="zh-CN"/>
              </w:rPr>
              <w:lastRenderedPageBreak/>
              <w:t>Table 6.</w:t>
            </w:r>
            <w:r w:rsidRPr="007B26F1">
              <w:rPr>
                <w:rFonts w:ascii="Times New Roman" w:eastAsia="Times New Roman" w:hAnsi="Times New Roman" w:cs="Times New Roman"/>
                <w:sz w:val="17"/>
                <w:szCs w:val="17"/>
                <w:lang w:val="en-US" w:eastAsia="zh-CN"/>
              </w:rPr>
              <w:t xml:space="preserve"> Effects of governance mechanisms on HEGI.</w:t>
            </w:r>
          </w:p>
        </w:tc>
      </w:tr>
      <w:tr w:rsidR="007B26F1" w:rsidRPr="007B26F1" w14:paraId="24D1C7CE" w14:textId="77777777" w:rsidTr="007B26F1">
        <w:trPr>
          <w:trHeight w:val="303"/>
        </w:trPr>
        <w:tc>
          <w:tcPr>
            <w:tcW w:w="1560" w:type="dxa"/>
            <w:tcBorders>
              <w:top w:val="single" w:sz="18" w:space="0" w:color="auto"/>
              <w:left w:val="nil"/>
              <w:bottom w:val="single" w:sz="2" w:space="0" w:color="auto"/>
              <w:right w:val="nil"/>
            </w:tcBorders>
          </w:tcPr>
          <w:p w14:paraId="0427E3CC"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Dep. Variable</w:t>
            </w:r>
          </w:p>
          <w:p w14:paraId="095AAD01"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r w:rsidRPr="007B26F1">
              <w:rPr>
                <w:rFonts w:ascii="Times New Roman" w:eastAsia="Times New Roman" w:hAnsi="Times New Roman" w:cs="Times New Roman"/>
                <w:i/>
                <w:iCs/>
                <w:sz w:val="17"/>
                <w:szCs w:val="17"/>
              </w:rPr>
              <w:t>Model</w:t>
            </w:r>
            <w:r w:rsidRPr="007B26F1">
              <w:rPr>
                <w:rFonts w:ascii="Times New Roman" w:eastAsia="Times New Roman" w:hAnsi="Times New Roman" w:cs="Times New Roman"/>
                <w:sz w:val="17"/>
                <w:szCs w:val="17"/>
              </w:rPr>
              <w:t>)</w:t>
            </w:r>
          </w:p>
        </w:tc>
        <w:tc>
          <w:tcPr>
            <w:tcW w:w="1559" w:type="dxa"/>
            <w:tcBorders>
              <w:top w:val="single" w:sz="18" w:space="0" w:color="auto"/>
              <w:left w:val="nil"/>
              <w:bottom w:val="single" w:sz="2" w:space="0" w:color="auto"/>
              <w:right w:val="nil"/>
            </w:tcBorders>
          </w:tcPr>
          <w:p w14:paraId="76ABB310" w14:textId="77777777" w:rsidR="007B26F1" w:rsidRPr="007B26F1" w:rsidRDefault="007B26F1" w:rsidP="007B26F1">
            <w:pPr>
              <w:spacing w:after="0"/>
              <w:rPr>
                <w:rFonts w:ascii="Times New Roman" w:eastAsia="Times New Roman" w:hAnsi="Times New Roman" w:cs="Times New Roman"/>
                <w:sz w:val="17"/>
                <w:szCs w:val="17"/>
                <w:lang w:val="en-US" w:eastAsia="zh-CN"/>
              </w:rPr>
            </w:pPr>
            <w:r w:rsidRPr="007B26F1">
              <w:rPr>
                <w:rFonts w:ascii="Times New Roman" w:eastAsia="Times New Roman" w:hAnsi="Times New Roman" w:cs="Times New Roman"/>
                <w:sz w:val="17"/>
                <w:szCs w:val="17"/>
                <w:lang w:val="en-US" w:eastAsia="zh-CN"/>
              </w:rPr>
              <w:t>HEGI</w:t>
            </w:r>
          </w:p>
          <w:p w14:paraId="34015364"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lang w:val="en-US" w:eastAsia="zh-CN"/>
              </w:rPr>
              <w:t>(1)</w:t>
            </w:r>
          </w:p>
        </w:tc>
        <w:tc>
          <w:tcPr>
            <w:tcW w:w="1276" w:type="dxa"/>
            <w:tcBorders>
              <w:top w:val="single" w:sz="18" w:space="0" w:color="auto"/>
              <w:left w:val="nil"/>
              <w:bottom w:val="single" w:sz="2" w:space="0" w:color="auto"/>
              <w:right w:val="nil"/>
            </w:tcBorders>
          </w:tcPr>
          <w:p w14:paraId="31E8F06E" w14:textId="77777777" w:rsidR="007B26F1" w:rsidRPr="007B26F1" w:rsidRDefault="007B26F1" w:rsidP="007B26F1">
            <w:pPr>
              <w:spacing w:after="0"/>
              <w:rPr>
                <w:rFonts w:ascii="Times New Roman" w:eastAsia="Calibri" w:hAnsi="Times New Roman" w:cs="Times New Roman"/>
                <w:bCs/>
                <w:sz w:val="17"/>
                <w:szCs w:val="17"/>
              </w:rPr>
            </w:pPr>
            <w:r w:rsidRPr="007B26F1">
              <w:rPr>
                <w:rFonts w:ascii="Times New Roman" w:eastAsia="Calibri" w:hAnsi="Times New Roman" w:cs="Times New Roman"/>
                <w:bCs/>
                <w:sz w:val="17"/>
                <w:szCs w:val="17"/>
              </w:rPr>
              <w:t>VIF</w:t>
            </w:r>
          </w:p>
          <w:p w14:paraId="505C8247" w14:textId="77777777" w:rsidR="007B26F1" w:rsidRPr="007B26F1" w:rsidRDefault="007B26F1" w:rsidP="007B26F1">
            <w:pPr>
              <w:spacing w:after="0"/>
              <w:rPr>
                <w:rFonts w:ascii="Times New Roman" w:eastAsia="Calibri" w:hAnsi="Times New Roman" w:cs="Times New Roman"/>
                <w:bCs/>
                <w:sz w:val="17"/>
                <w:szCs w:val="17"/>
              </w:rPr>
            </w:pPr>
          </w:p>
        </w:tc>
        <w:tc>
          <w:tcPr>
            <w:tcW w:w="1417" w:type="dxa"/>
            <w:tcBorders>
              <w:top w:val="single" w:sz="18" w:space="0" w:color="auto"/>
              <w:left w:val="nil"/>
              <w:bottom w:val="single" w:sz="2" w:space="0" w:color="auto"/>
              <w:right w:val="nil"/>
            </w:tcBorders>
          </w:tcPr>
          <w:p w14:paraId="07FEC13A" w14:textId="77777777" w:rsidR="007B26F1" w:rsidRPr="007B26F1" w:rsidRDefault="007B26F1" w:rsidP="007B26F1">
            <w:pPr>
              <w:spacing w:after="0"/>
              <w:rPr>
                <w:rFonts w:ascii="Times New Roman" w:eastAsia="Times New Roman" w:hAnsi="Times New Roman" w:cs="Times New Roman"/>
                <w:sz w:val="17"/>
                <w:szCs w:val="17"/>
                <w:lang w:val="en-US" w:eastAsia="zh-CN"/>
              </w:rPr>
            </w:pPr>
            <w:r w:rsidRPr="007B26F1">
              <w:rPr>
                <w:rFonts w:ascii="Times New Roman" w:eastAsia="Calibri" w:hAnsi="Times New Roman" w:cs="Times New Roman"/>
                <w:bCs/>
                <w:sz w:val="17"/>
                <w:szCs w:val="17"/>
              </w:rPr>
              <w:t>GONB</w:t>
            </w:r>
          </w:p>
          <w:p w14:paraId="534782F8"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lang w:val="en-US" w:eastAsia="zh-CN"/>
              </w:rPr>
              <w:t>(2)</w:t>
            </w:r>
          </w:p>
        </w:tc>
        <w:tc>
          <w:tcPr>
            <w:tcW w:w="1096" w:type="dxa"/>
            <w:tcBorders>
              <w:top w:val="single" w:sz="18" w:space="0" w:color="auto"/>
              <w:left w:val="nil"/>
              <w:bottom w:val="single" w:sz="2" w:space="0" w:color="auto"/>
              <w:right w:val="nil"/>
            </w:tcBorders>
          </w:tcPr>
          <w:p w14:paraId="79784712" w14:textId="77777777" w:rsidR="007B26F1" w:rsidRPr="007B26F1" w:rsidRDefault="007B26F1" w:rsidP="007B26F1">
            <w:pPr>
              <w:spacing w:after="0"/>
              <w:rPr>
                <w:rFonts w:ascii="Times New Roman" w:eastAsia="Calibri" w:hAnsi="Times New Roman" w:cs="Times New Roman"/>
                <w:iCs/>
                <w:sz w:val="17"/>
                <w:szCs w:val="17"/>
              </w:rPr>
            </w:pPr>
            <w:r w:rsidRPr="007B26F1">
              <w:rPr>
                <w:rFonts w:ascii="Times New Roman" w:eastAsia="Calibri" w:hAnsi="Times New Roman" w:cs="Times New Roman"/>
                <w:iCs/>
                <w:sz w:val="17"/>
                <w:szCs w:val="17"/>
              </w:rPr>
              <w:t>VIF</w:t>
            </w:r>
          </w:p>
          <w:p w14:paraId="164B7BB9" w14:textId="77777777" w:rsidR="007B26F1" w:rsidRPr="007B26F1" w:rsidRDefault="007B26F1" w:rsidP="007B26F1">
            <w:pPr>
              <w:spacing w:after="0"/>
              <w:rPr>
                <w:rFonts w:ascii="Times New Roman" w:eastAsia="Calibri" w:hAnsi="Times New Roman" w:cs="Times New Roman"/>
                <w:iCs/>
                <w:sz w:val="17"/>
                <w:szCs w:val="17"/>
              </w:rPr>
            </w:pPr>
          </w:p>
        </w:tc>
        <w:tc>
          <w:tcPr>
            <w:tcW w:w="1456" w:type="dxa"/>
            <w:tcBorders>
              <w:top w:val="single" w:sz="18" w:space="0" w:color="auto"/>
              <w:left w:val="nil"/>
              <w:bottom w:val="single" w:sz="2" w:space="0" w:color="auto"/>
              <w:right w:val="nil"/>
            </w:tcBorders>
          </w:tcPr>
          <w:p w14:paraId="68D6172F" w14:textId="77777777" w:rsidR="007B26F1" w:rsidRPr="007B26F1" w:rsidRDefault="007B26F1" w:rsidP="007B26F1">
            <w:pPr>
              <w:spacing w:after="0"/>
              <w:rPr>
                <w:rFonts w:ascii="Times New Roman" w:eastAsia="Times New Roman" w:hAnsi="Times New Roman" w:cs="Times New Roman"/>
                <w:sz w:val="17"/>
                <w:szCs w:val="17"/>
                <w:lang w:val="en-US" w:eastAsia="zh-CN"/>
              </w:rPr>
            </w:pPr>
            <w:r w:rsidRPr="007B26F1">
              <w:rPr>
                <w:rFonts w:ascii="Times New Roman" w:eastAsia="Calibri" w:hAnsi="Times New Roman" w:cs="Times New Roman"/>
                <w:iCs/>
                <w:sz w:val="17"/>
                <w:szCs w:val="17"/>
              </w:rPr>
              <w:t>PROS</w:t>
            </w:r>
          </w:p>
          <w:p w14:paraId="78446201"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lang w:val="en-US" w:eastAsia="zh-CN"/>
              </w:rPr>
              <w:t>(3)</w:t>
            </w:r>
          </w:p>
        </w:tc>
        <w:tc>
          <w:tcPr>
            <w:tcW w:w="1146" w:type="dxa"/>
            <w:tcBorders>
              <w:top w:val="single" w:sz="18" w:space="0" w:color="auto"/>
              <w:left w:val="nil"/>
              <w:bottom w:val="single" w:sz="2" w:space="0" w:color="auto"/>
              <w:right w:val="nil"/>
            </w:tcBorders>
          </w:tcPr>
          <w:p w14:paraId="7270AAD5" w14:textId="77777777" w:rsidR="007B26F1" w:rsidRPr="007B26F1" w:rsidRDefault="007B26F1" w:rsidP="007B26F1">
            <w:pPr>
              <w:spacing w:after="0"/>
              <w:rPr>
                <w:rFonts w:ascii="Times New Roman" w:eastAsia="Calibri" w:hAnsi="Times New Roman" w:cs="Times New Roman"/>
                <w:sz w:val="17"/>
                <w:szCs w:val="17"/>
              </w:rPr>
            </w:pPr>
            <w:r w:rsidRPr="007B26F1">
              <w:rPr>
                <w:rFonts w:ascii="Times New Roman" w:eastAsia="Calibri" w:hAnsi="Times New Roman" w:cs="Times New Roman"/>
                <w:sz w:val="17"/>
                <w:szCs w:val="17"/>
              </w:rPr>
              <w:t>VIF</w:t>
            </w:r>
          </w:p>
          <w:p w14:paraId="6756B1ED" w14:textId="77777777" w:rsidR="007B26F1" w:rsidRPr="007B26F1" w:rsidRDefault="007B26F1" w:rsidP="007B26F1">
            <w:pPr>
              <w:spacing w:after="0"/>
              <w:rPr>
                <w:rFonts w:ascii="Times New Roman" w:eastAsia="Calibri" w:hAnsi="Times New Roman" w:cs="Times New Roman"/>
                <w:sz w:val="17"/>
                <w:szCs w:val="17"/>
              </w:rPr>
            </w:pPr>
          </w:p>
        </w:tc>
        <w:tc>
          <w:tcPr>
            <w:tcW w:w="1547" w:type="dxa"/>
            <w:tcBorders>
              <w:top w:val="single" w:sz="18" w:space="0" w:color="auto"/>
              <w:left w:val="nil"/>
              <w:bottom w:val="single" w:sz="2" w:space="0" w:color="auto"/>
              <w:right w:val="nil"/>
            </w:tcBorders>
          </w:tcPr>
          <w:p w14:paraId="03F4B761" w14:textId="77777777" w:rsidR="007B26F1" w:rsidRPr="007B26F1" w:rsidRDefault="007B26F1" w:rsidP="007B26F1">
            <w:pPr>
              <w:spacing w:after="0"/>
              <w:rPr>
                <w:rFonts w:ascii="Times New Roman" w:eastAsia="Times New Roman" w:hAnsi="Times New Roman" w:cs="Times New Roman"/>
                <w:sz w:val="17"/>
                <w:szCs w:val="17"/>
                <w:lang w:val="en-US" w:eastAsia="zh-CN"/>
              </w:rPr>
            </w:pPr>
            <w:r w:rsidRPr="007B26F1">
              <w:rPr>
                <w:rFonts w:ascii="Times New Roman" w:eastAsia="Calibri" w:hAnsi="Times New Roman" w:cs="Times New Roman"/>
                <w:sz w:val="17"/>
                <w:szCs w:val="17"/>
              </w:rPr>
              <w:t>PERW</w:t>
            </w:r>
          </w:p>
          <w:p w14:paraId="5E2BB564" w14:textId="77777777" w:rsidR="007B26F1" w:rsidRPr="007B26F1" w:rsidRDefault="007B26F1" w:rsidP="007B26F1">
            <w:pPr>
              <w:spacing w:after="0"/>
              <w:rPr>
                <w:rFonts w:ascii="Times New Roman" w:eastAsia="Times New Roman" w:hAnsi="Times New Roman" w:cs="Times New Roman"/>
                <w:sz w:val="17"/>
                <w:szCs w:val="17"/>
                <w:lang w:val="en-US" w:eastAsia="zh-CN"/>
              </w:rPr>
            </w:pPr>
            <w:r w:rsidRPr="007B26F1">
              <w:rPr>
                <w:rFonts w:ascii="Times New Roman" w:eastAsia="Times New Roman" w:hAnsi="Times New Roman" w:cs="Times New Roman"/>
                <w:sz w:val="17"/>
                <w:szCs w:val="17"/>
                <w:lang w:val="en-US" w:eastAsia="zh-CN"/>
              </w:rPr>
              <w:t>(4)</w:t>
            </w:r>
          </w:p>
        </w:tc>
        <w:tc>
          <w:tcPr>
            <w:tcW w:w="1159" w:type="dxa"/>
            <w:tcBorders>
              <w:top w:val="single" w:sz="18" w:space="0" w:color="auto"/>
              <w:left w:val="nil"/>
              <w:bottom w:val="single" w:sz="2" w:space="0" w:color="auto"/>
              <w:right w:val="nil"/>
            </w:tcBorders>
          </w:tcPr>
          <w:p w14:paraId="4DDA9D29" w14:textId="77777777" w:rsidR="007B26F1" w:rsidRPr="007B26F1" w:rsidRDefault="007B26F1" w:rsidP="007B26F1">
            <w:pPr>
              <w:spacing w:after="0"/>
              <w:rPr>
                <w:rFonts w:ascii="Times New Roman" w:eastAsia="Calibri" w:hAnsi="Times New Roman" w:cs="Times New Roman"/>
                <w:sz w:val="17"/>
                <w:szCs w:val="17"/>
              </w:rPr>
            </w:pPr>
            <w:r w:rsidRPr="007B26F1">
              <w:rPr>
                <w:rFonts w:ascii="Times New Roman" w:eastAsia="Calibri" w:hAnsi="Times New Roman" w:cs="Times New Roman"/>
                <w:sz w:val="17"/>
                <w:szCs w:val="17"/>
              </w:rPr>
              <w:t>VIF</w:t>
            </w:r>
          </w:p>
          <w:p w14:paraId="56CC13F2" w14:textId="77777777" w:rsidR="007B26F1" w:rsidRPr="007B26F1" w:rsidRDefault="007B26F1" w:rsidP="007B26F1">
            <w:pPr>
              <w:spacing w:after="0"/>
              <w:rPr>
                <w:rFonts w:ascii="Times New Roman" w:eastAsia="Calibri" w:hAnsi="Times New Roman" w:cs="Times New Roman"/>
                <w:sz w:val="17"/>
                <w:szCs w:val="17"/>
              </w:rPr>
            </w:pPr>
          </w:p>
        </w:tc>
        <w:tc>
          <w:tcPr>
            <w:tcW w:w="1534" w:type="dxa"/>
            <w:tcBorders>
              <w:top w:val="single" w:sz="18" w:space="0" w:color="auto"/>
              <w:left w:val="nil"/>
              <w:bottom w:val="single" w:sz="2" w:space="0" w:color="auto"/>
              <w:right w:val="nil"/>
            </w:tcBorders>
          </w:tcPr>
          <w:p w14:paraId="6E2613E3" w14:textId="77777777" w:rsidR="007B26F1" w:rsidRPr="007B26F1" w:rsidRDefault="007B26F1" w:rsidP="007B26F1">
            <w:pPr>
              <w:spacing w:after="0"/>
              <w:rPr>
                <w:rFonts w:ascii="Times New Roman" w:eastAsia="Times New Roman" w:hAnsi="Times New Roman" w:cs="Times New Roman"/>
                <w:sz w:val="17"/>
                <w:szCs w:val="17"/>
                <w:lang w:val="en-US" w:eastAsia="zh-CN"/>
              </w:rPr>
            </w:pPr>
            <w:r w:rsidRPr="007B26F1">
              <w:rPr>
                <w:rFonts w:ascii="Times New Roman" w:eastAsia="Calibri" w:hAnsi="Times New Roman" w:cs="Times New Roman"/>
                <w:sz w:val="17"/>
                <w:szCs w:val="17"/>
              </w:rPr>
              <w:t>ACNA</w:t>
            </w:r>
          </w:p>
          <w:p w14:paraId="45D5D7A9" w14:textId="77777777" w:rsidR="007B26F1" w:rsidRPr="007B26F1" w:rsidRDefault="007B26F1" w:rsidP="007B26F1">
            <w:pPr>
              <w:spacing w:after="0"/>
              <w:rPr>
                <w:rFonts w:ascii="Times New Roman" w:eastAsia="Times New Roman" w:hAnsi="Times New Roman" w:cs="Times New Roman"/>
                <w:sz w:val="17"/>
                <w:szCs w:val="17"/>
                <w:lang w:val="en-US" w:eastAsia="zh-CN"/>
              </w:rPr>
            </w:pPr>
            <w:r w:rsidRPr="007B26F1">
              <w:rPr>
                <w:rFonts w:ascii="Times New Roman" w:eastAsia="Times New Roman" w:hAnsi="Times New Roman" w:cs="Times New Roman"/>
                <w:sz w:val="17"/>
                <w:szCs w:val="17"/>
                <w:lang w:val="en-US" w:eastAsia="zh-CN"/>
              </w:rPr>
              <w:t>(5)</w:t>
            </w:r>
          </w:p>
        </w:tc>
        <w:tc>
          <w:tcPr>
            <w:tcW w:w="1418" w:type="dxa"/>
            <w:tcBorders>
              <w:top w:val="single" w:sz="18" w:space="0" w:color="auto"/>
              <w:left w:val="nil"/>
              <w:bottom w:val="single" w:sz="2" w:space="0" w:color="auto"/>
              <w:right w:val="nil"/>
            </w:tcBorders>
          </w:tcPr>
          <w:p w14:paraId="37BF5353" w14:textId="77777777" w:rsidR="007B26F1" w:rsidRPr="007B26F1" w:rsidRDefault="007B26F1" w:rsidP="007B26F1">
            <w:pPr>
              <w:spacing w:after="0"/>
              <w:rPr>
                <w:rFonts w:ascii="Times New Roman" w:eastAsia="Calibri" w:hAnsi="Times New Roman" w:cs="Times New Roman"/>
                <w:sz w:val="17"/>
                <w:szCs w:val="17"/>
              </w:rPr>
            </w:pPr>
            <w:r w:rsidRPr="007B26F1">
              <w:rPr>
                <w:rFonts w:ascii="Times New Roman" w:eastAsia="Calibri" w:hAnsi="Times New Roman" w:cs="Times New Roman"/>
                <w:sz w:val="17"/>
                <w:szCs w:val="17"/>
              </w:rPr>
              <w:t>VIF</w:t>
            </w:r>
          </w:p>
          <w:p w14:paraId="41EC6454" w14:textId="77777777" w:rsidR="007B26F1" w:rsidRPr="007B26F1" w:rsidRDefault="007B26F1" w:rsidP="007B26F1">
            <w:pPr>
              <w:spacing w:after="0"/>
              <w:rPr>
                <w:rFonts w:ascii="Times New Roman" w:eastAsia="Calibri" w:hAnsi="Times New Roman" w:cs="Times New Roman"/>
                <w:sz w:val="17"/>
                <w:szCs w:val="17"/>
              </w:rPr>
            </w:pPr>
          </w:p>
        </w:tc>
      </w:tr>
      <w:tr w:rsidR="007B26F1" w:rsidRPr="007B26F1" w14:paraId="340AEE4B" w14:textId="77777777" w:rsidTr="007B26F1">
        <w:trPr>
          <w:trHeight w:val="127"/>
        </w:trPr>
        <w:tc>
          <w:tcPr>
            <w:tcW w:w="15168" w:type="dxa"/>
            <w:gridSpan w:val="11"/>
            <w:tcBorders>
              <w:top w:val="nil"/>
              <w:left w:val="nil"/>
              <w:bottom w:val="nil"/>
              <w:right w:val="nil"/>
            </w:tcBorders>
          </w:tcPr>
          <w:p w14:paraId="1EEAE2C9"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i/>
                <w:iCs/>
                <w:sz w:val="17"/>
                <w:szCs w:val="17"/>
              </w:rPr>
              <w:t>Explanatory variables (governance mechanisms)</w:t>
            </w:r>
          </w:p>
        </w:tc>
      </w:tr>
      <w:tr w:rsidR="007B26F1" w:rsidRPr="007B26F1" w14:paraId="37E00C54" w14:textId="77777777" w:rsidTr="007B26F1">
        <w:trPr>
          <w:trHeight w:val="127"/>
        </w:trPr>
        <w:tc>
          <w:tcPr>
            <w:tcW w:w="1560" w:type="dxa"/>
            <w:tcBorders>
              <w:top w:val="nil"/>
              <w:left w:val="nil"/>
              <w:bottom w:val="nil"/>
              <w:right w:val="nil"/>
            </w:tcBorders>
          </w:tcPr>
          <w:p w14:paraId="226492B5" w14:textId="77777777" w:rsidR="007B26F1" w:rsidRPr="007B26F1" w:rsidRDefault="007B26F1" w:rsidP="007B26F1">
            <w:pPr>
              <w:spacing w:after="0" w:line="240" w:lineRule="auto"/>
              <w:rPr>
                <w:rFonts w:ascii="Times New Roman" w:eastAsia="Times New Roman" w:hAnsi="Times New Roman" w:cs="Times New Roman"/>
                <w:iCs/>
                <w:color w:val="000000"/>
                <w:sz w:val="17"/>
                <w:szCs w:val="17"/>
                <w:lang w:val="en-US"/>
              </w:rPr>
            </w:pPr>
            <w:r w:rsidRPr="007B26F1">
              <w:rPr>
                <w:rFonts w:ascii="Times New Roman" w:eastAsia="Times New Roman" w:hAnsi="Times New Roman" w:cs="Times New Roman"/>
                <w:iCs/>
                <w:color w:val="000000"/>
                <w:sz w:val="17"/>
                <w:szCs w:val="17"/>
                <w:lang w:val="en-US"/>
              </w:rPr>
              <w:t xml:space="preserve">    VCGEN</w:t>
            </w:r>
          </w:p>
        </w:tc>
        <w:tc>
          <w:tcPr>
            <w:tcW w:w="1559" w:type="dxa"/>
            <w:tcBorders>
              <w:top w:val="nil"/>
              <w:left w:val="nil"/>
              <w:bottom w:val="nil"/>
              <w:right w:val="nil"/>
            </w:tcBorders>
          </w:tcPr>
          <w:p w14:paraId="075CECF8"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-0.00(.81)</w:t>
            </w:r>
          </w:p>
        </w:tc>
        <w:tc>
          <w:tcPr>
            <w:tcW w:w="1276" w:type="dxa"/>
            <w:tcBorders>
              <w:top w:val="nil"/>
              <w:left w:val="nil"/>
              <w:bottom w:val="nil"/>
              <w:right w:val="nil"/>
            </w:tcBorders>
          </w:tcPr>
          <w:p w14:paraId="12FB96F3"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1.25</w:t>
            </w:r>
          </w:p>
        </w:tc>
        <w:tc>
          <w:tcPr>
            <w:tcW w:w="1417" w:type="dxa"/>
            <w:tcBorders>
              <w:top w:val="nil"/>
              <w:left w:val="nil"/>
              <w:bottom w:val="nil"/>
              <w:right w:val="nil"/>
            </w:tcBorders>
          </w:tcPr>
          <w:p w14:paraId="58DAAC3C"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0.00(.99)</w:t>
            </w:r>
          </w:p>
        </w:tc>
        <w:tc>
          <w:tcPr>
            <w:tcW w:w="1096" w:type="dxa"/>
            <w:tcBorders>
              <w:top w:val="nil"/>
              <w:left w:val="nil"/>
              <w:bottom w:val="nil"/>
              <w:right w:val="nil"/>
            </w:tcBorders>
          </w:tcPr>
          <w:p w14:paraId="580E7055"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1.25</w:t>
            </w:r>
          </w:p>
        </w:tc>
        <w:tc>
          <w:tcPr>
            <w:tcW w:w="1456" w:type="dxa"/>
            <w:tcBorders>
              <w:top w:val="nil"/>
              <w:left w:val="nil"/>
              <w:bottom w:val="nil"/>
              <w:right w:val="nil"/>
            </w:tcBorders>
          </w:tcPr>
          <w:p w14:paraId="3CF8545B"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0.02(.15)</w:t>
            </w:r>
          </w:p>
        </w:tc>
        <w:tc>
          <w:tcPr>
            <w:tcW w:w="1146" w:type="dxa"/>
            <w:tcBorders>
              <w:top w:val="nil"/>
              <w:left w:val="nil"/>
              <w:bottom w:val="nil"/>
              <w:right w:val="nil"/>
            </w:tcBorders>
          </w:tcPr>
          <w:p w14:paraId="1DC8FAFB"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1.25</w:t>
            </w:r>
          </w:p>
        </w:tc>
        <w:tc>
          <w:tcPr>
            <w:tcW w:w="1547" w:type="dxa"/>
            <w:tcBorders>
              <w:top w:val="nil"/>
              <w:left w:val="nil"/>
              <w:bottom w:val="nil"/>
              <w:right w:val="nil"/>
            </w:tcBorders>
          </w:tcPr>
          <w:p w14:paraId="42513372"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-0.05(.00)</w:t>
            </w:r>
            <w:r w:rsidRPr="007B26F1">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402F6219"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1.25</w:t>
            </w:r>
          </w:p>
        </w:tc>
        <w:tc>
          <w:tcPr>
            <w:tcW w:w="1534" w:type="dxa"/>
            <w:tcBorders>
              <w:top w:val="nil"/>
              <w:left w:val="nil"/>
              <w:bottom w:val="nil"/>
              <w:right w:val="nil"/>
            </w:tcBorders>
          </w:tcPr>
          <w:p w14:paraId="74D33012"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0.03(.05)</w:t>
            </w:r>
            <w:r w:rsidRPr="007B26F1">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64E81E52"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1.25</w:t>
            </w:r>
          </w:p>
        </w:tc>
      </w:tr>
      <w:tr w:rsidR="007B26F1" w:rsidRPr="007B26F1" w14:paraId="70CD175A" w14:textId="77777777" w:rsidTr="007B26F1">
        <w:trPr>
          <w:trHeight w:val="173"/>
        </w:trPr>
        <w:tc>
          <w:tcPr>
            <w:tcW w:w="1560" w:type="dxa"/>
            <w:tcBorders>
              <w:top w:val="nil"/>
              <w:left w:val="nil"/>
              <w:bottom w:val="nil"/>
              <w:right w:val="nil"/>
            </w:tcBorders>
          </w:tcPr>
          <w:p w14:paraId="2945B282" w14:textId="77777777" w:rsidR="007B26F1" w:rsidRPr="007B26F1" w:rsidRDefault="007B26F1" w:rsidP="007B26F1">
            <w:pPr>
              <w:spacing w:after="0" w:line="240" w:lineRule="auto"/>
              <w:rPr>
                <w:rFonts w:ascii="Times New Roman" w:eastAsia="Times New Roman" w:hAnsi="Times New Roman" w:cs="Times New Roman"/>
                <w:iCs/>
                <w:color w:val="000000"/>
                <w:sz w:val="17"/>
                <w:szCs w:val="17"/>
                <w:lang w:val="en-US"/>
              </w:rPr>
            </w:pPr>
            <w:r w:rsidRPr="007B26F1">
              <w:rPr>
                <w:rFonts w:ascii="Times New Roman" w:eastAsia="Times New Roman" w:hAnsi="Times New Roman" w:cs="Times New Roman"/>
                <w:iCs/>
                <w:color w:val="000000"/>
                <w:sz w:val="17"/>
                <w:szCs w:val="17"/>
                <w:lang w:val="en-US"/>
              </w:rPr>
              <w:t xml:space="preserve">    VCEDU</w:t>
            </w:r>
          </w:p>
        </w:tc>
        <w:tc>
          <w:tcPr>
            <w:tcW w:w="1559" w:type="dxa"/>
            <w:tcBorders>
              <w:top w:val="nil"/>
              <w:left w:val="nil"/>
              <w:bottom w:val="nil"/>
              <w:right w:val="nil"/>
            </w:tcBorders>
          </w:tcPr>
          <w:p w14:paraId="71DDDD58"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0.00(.93)</w:t>
            </w:r>
          </w:p>
        </w:tc>
        <w:tc>
          <w:tcPr>
            <w:tcW w:w="1276" w:type="dxa"/>
            <w:tcBorders>
              <w:top w:val="nil"/>
              <w:left w:val="nil"/>
              <w:bottom w:val="nil"/>
              <w:right w:val="nil"/>
            </w:tcBorders>
          </w:tcPr>
          <w:p w14:paraId="67817B0B"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1.21</w:t>
            </w:r>
          </w:p>
        </w:tc>
        <w:tc>
          <w:tcPr>
            <w:tcW w:w="1417" w:type="dxa"/>
            <w:tcBorders>
              <w:top w:val="nil"/>
              <w:left w:val="nil"/>
              <w:bottom w:val="nil"/>
              <w:right w:val="nil"/>
            </w:tcBorders>
          </w:tcPr>
          <w:p w14:paraId="6D5A3B6C"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0.00(.83)</w:t>
            </w:r>
          </w:p>
        </w:tc>
        <w:tc>
          <w:tcPr>
            <w:tcW w:w="1096" w:type="dxa"/>
            <w:tcBorders>
              <w:top w:val="nil"/>
              <w:left w:val="nil"/>
              <w:bottom w:val="nil"/>
              <w:right w:val="nil"/>
            </w:tcBorders>
          </w:tcPr>
          <w:p w14:paraId="39A683B0"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1.21</w:t>
            </w:r>
          </w:p>
        </w:tc>
        <w:tc>
          <w:tcPr>
            <w:tcW w:w="1456" w:type="dxa"/>
            <w:tcBorders>
              <w:top w:val="nil"/>
              <w:left w:val="nil"/>
              <w:bottom w:val="nil"/>
              <w:right w:val="nil"/>
            </w:tcBorders>
          </w:tcPr>
          <w:p w14:paraId="4416CEAE"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-0.01(.44)</w:t>
            </w:r>
          </w:p>
        </w:tc>
        <w:tc>
          <w:tcPr>
            <w:tcW w:w="1146" w:type="dxa"/>
            <w:tcBorders>
              <w:top w:val="nil"/>
              <w:left w:val="nil"/>
              <w:bottom w:val="nil"/>
              <w:right w:val="nil"/>
            </w:tcBorders>
          </w:tcPr>
          <w:p w14:paraId="3A03B796"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1.21</w:t>
            </w:r>
          </w:p>
        </w:tc>
        <w:tc>
          <w:tcPr>
            <w:tcW w:w="1547" w:type="dxa"/>
            <w:tcBorders>
              <w:top w:val="nil"/>
              <w:left w:val="nil"/>
              <w:bottom w:val="nil"/>
              <w:right w:val="nil"/>
            </w:tcBorders>
          </w:tcPr>
          <w:p w14:paraId="3BA6CF2F"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-0.00(.90)</w:t>
            </w:r>
          </w:p>
        </w:tc>
        <w:tc>
          <w:tcPr>
            <w:tcW w:w="1159" w:type="dxa"/>
            <w:tcBorders>
              <w:top w:val="nil"/>
              <w:left w:val="nil"/>
              <w:bottom w:val="nil"/>
              <w:right w:val="nil"/>
            </w:tcBorders>
          </w:tcPr>
          <w:p w14:paraId="096701D0"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1.21</w:t>
            </w:r>
          </w:p>
        </w:tc>
        <w:tc>
          <w:tcPr>
            <w:tcW w:w="1534" w:type="dxa"/>
            <w:tcBorders>
              <w:top w:val="nil"/>
              <w:left w:val="nil"/>
              <w:bottom w:val="nil"/>
              <w:right w:val="nil"/>
            </w:tcBorders>
          </w:tcPr>
          <w:p w14:paraId="4FBD43D5"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0.01(.48)</w:t>
            </w:r>
          </w:p>
        </w:tc>
        <w:tc>
          <w:tcPr>
            <w:tcW w:w="1418" w:type="dxa"/>
            <w:tcBorders>
              <w:top w:val="nil"/>
              <w:left w:val="nil"/>
              <w:bottom w:val="nil"/>
              <w:right w:val="nil"/>
            </w:tcBorders>
          </w:tcPr>
          <w:p w14:paraId="2AE00FDB"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1.21</w:t>
            </w:r>
          </w:p>
        </w:tc>
      </w:tr>
      <w:tr w:rsidR="007B26F1" w:rsidRPr="007B26F1" w14:paraId="038C47F5" w14:textId="77777777" w:rsidTr="007B26F1">
        <w:trPr>
          <w:trHeight w:val="173"/>
        </w:trPr>
        <w:tc>
          <w:tcPr>
            <w:tcW w:w="1560" w:type="dxa"/>
            <w:tcBorders>
              <w:top w:val="nil"/>
              <w:left w:val="nil"/>
              <w:bottom w:val="nil"/>
              <w:right w:val="nil"/>
            </w:tcBorders>
          </w:tcPr>
          <w:p w14:paraId="0705CCE3" w14:textId="77777777" w:rsidR="007B26F1" w:rsidRPr="007B26F1" w:rsidRDefault="007B26F1" w:rsidP="007B26F1">
            <w:pPr>
              <w:spacing w:after="0" w:line="240" w:lineRule="auto"/>
              <w:rPr>
                <w:rFonts w:ascii="Times New Roman" w:eastAsia="Times New Roman" w:hAnsi="Times New Roman" w:cs="Times New Roman"/>
                <w:iCs/>
                <w:color w:val="000000"/>
                <w:sz w:val="17"/>
                <w:szCs w:val="17"/>
                <w:lang w:val="en-US"/>
              </w:rPr>
            </w:pPr>
            <w:r w:rsidRPr="007B26F1">
              <w:rPr>
                <w:rFonts w:ascii="Times New Roman" w:eastAsia="Times New Roman" w:hAnsi="Times New Roman" w:cs="Times New Roman"/>
                <w:iCs/>
                <w:color w:val="000000"/>
                <w:sz w:val="17"/>
                <w:szCs w:val="17"/>
                <w:lang w:val="en-US"/>
              </w:rPr>
              <w:t xml:space="preserve">    VCAGE</w:t>
            </w:r>
          </w:p>
        </w:tc>
        <w:tc>
          <w:tcPr>
            <w:tcW w:w="1559" w:type="dxa"/>
            <w:tcBorders>
              <w:top w:val="nil"/>
              <w:left w:val="nil"/>
              <w:bottom w:val="nil"/>
              <w:right w:val="nil"/>
            </w:tcBorders>
          </w:tcPr>
          <w:p w14:paraId="0491D73E"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-0.09(.09)</w:t>
            </w:r>
            <w:r w:rsidRPr="007B26F1">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69FB1088"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1.41</w:t>
            </w:r>
          </w:p>
        </w:tc>
        <w:tc>
          <w:tcPr>
            <w:tcW w:w="1417" w:type="dxa"/>
            <w:tcBorders>
              <w:top w:val="nil"/>
              <w:left w:val="nil"/>
              <w:bottom w:val="nil"/>
              <w:right w:val="nil"/>
            </w:tcBorders>
          </w:tcPr>
          <w:p w14:paraId="5FB61549"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0.06(.37)</w:t>
            </w:r>
          </w:p>
        </w:tc>
        <w:tc>
          <w:tcPr>
            <w:tcW w:w="1096" w:type="dxa"/>
            <w:tcBorders>
              <w:top w:val="nil"/>
              <w:left w:val="nil"/>
              <w:bottom w:val="nil"/>
              <w:right w:val="nil"/>
            </w:tcBorders>
          </w:tcPr>
          <w:p w14:paraId="675B703A"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1.41</w:t>
            </w:r>
          </w:p>
        </w:tc>
        <w:tc>
          <w:tcPr>
            <w:tcW w:w="1456" w:type="dxa"/>
            <w:tcBorders>
              <w:top w:val="nil"/>
              <w:left w:val="nil"/>
              <w:bottom w:val="nil"/>
              <w:right w:val="nil"/>
            </w:tcBorders>
          </w:tcPr>
          <w:p w14:paraId="39ED51B0"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-0.19(.01)</w:t>
            </w:r>
            <w:r w:rsidRPr="007B26F1">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6063A700"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1.41</w:t>
            </w:r>
          </w:p>
        </w:tc>
        <w:tc>
          <w:tcPr>
            <w:tcW w:w="1547" w:type="dxa"/>
            <w:tcBorders>
              <w:top w:val="nil"/>
              <w:left w:val="nil"/>
              <w:bottom w:val="nil"/>
              <w:right w:val="nil"/>
            </w:tcBorders>
          </w:tcPr>
          <w:p w14:paraId="6A0A9193"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-0.18(.02)</w:t>
            </w:r>
            <w:r w:rsidRPr="007B26F1">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327FA7CB"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1.41</w:t>
            </w:r>
          </w:p>
        </w:tc>
        <w:tc>
          <w:tcPr>
            <w:tcW w:w="1534" w:type="dxa"/>
            <w:tcBorders>
              <w:top w:val="nil"/>
              <w:left w:val="nil"/>
              <w:bottom w:val="nil"/>
              <w:right w:val="nil"/>
            </w:tcBorders>
          </w:tcPr>
          <w:p w14:paraId="6654E618"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-0.10(.11)</w:t>
            </w:r>
          </w:p>
        </w:tc>
        <w:tc>
          <w:tcPr>
            <w:tcW w:w="1418" w:type="dxa"/>
            <w:tcBorders>
              <w:top w:val="nil"/>
              <w:left w:val="nil"/>
              <w:bottom w:val="nil"/>
              <w:right w:val="nil"/>
            </w:tcBorders>
          </w:tcPr>
          <w:p w14:paraId="620C0E45"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1.41</w:t>
            </w:r>
          </w:p>
        </w:tc>
      </w:tr>
      <w:tr w:rsidR="007B26F1" w:rsidRPr="007B26F1" w14:paraId="71337209" w14:textId="77777777" w:rsidTr="007B26F1">
        <w:trPr>
          <w:trHeight w:val="91"/>
        </w:trPr>
        <w:tc>
          <w:tcPr>
            <w:tcW w:w="1560" w:type="dxa"/>
            <w:tcBorders>
              <w:top w:val="nil"/>
              <w:left w:val="nil"/>
              <w:bottom w:val="nil"/>
              <w:right w:val="nil"/>
            </w:tcBorders>
          </w:tcPr>
          <w:p w14:paraId="37B14225" w14:textId="77777777" w:rsidR="007B26F1" w:rsidRPr="007B26F1" w:rsidRDefault="007B26F1" w:rsidP="007B26F1">
            <w:pPr>
              <w:spacing w:after="0" w:line="240" w:lineRule="auto"/>
              <w:rPr>
                <w:rFonts w:ascii="Times New Roman" w:eastAsia="Times New Roman" w:hAnsi="Times New Roman" w:cs="Times New Roman"/>
                <w:iCs/>
                <w:color w:val="000000"/>
                <w:sz w:val="17"/>
                <w:szCs w:val="17"/>
                <w:lang w:val="en-US"/>
              </w:rPr>
            </w:pPr>
            <w:r w:rsidRPr="007B26F1">
              <w:rPr>
                <w:rFonts w:ascii="Times New Roman" w:eastAsia="Times New Roman" w:hAnsi="Times New Roman" w:cs="Times New Roman"/>
                <w:iCs/>
                <w:color w:val="000000"/>
                <w:sz w:val="17"/>
                <w:szCs w:val="17"/>
                <w:lang w:val="en-US"/>
              </w:rPr>
              <w:t xml:space="preserve">    VCTEN</w:t>
            </w:r>
          </w:p>
        </w:tc>
        <w:tc>
          <w:tcPr>
            <w:tcW w:w="1559" w:type="dxa"/>
            <w:tcBorders>
              <w:top w:val="nil"/>
              <w:left w:val="nil"/>
              <w:bottom w:val="nil"/>
              <w:right w:val="nil"/>
            </w:tcBorders>
          </w:tcPr>
          <w:p w14:paraId="26434B80"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0.02(.00)</w:t>
            </w:r>
            <w:r w:rsidRPr="007B26F1">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7EB440F7"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1.30</w:t>
            </w:r>
          </w:p>
        </w:tc>
        <w:tc>
          <w:tcPr>
            <w:tcW w:w="1417" w:type="dxa"/>
            <w:tcBorders>
              <w:top w:val="nil"/>
              <w:left w:val="nil"/>
              <w:bottom w:val="nil"/>
              <w:right w:val="nil"/>
            </w:tcBorders>
          </w:tcPr>
          <w:p w14:paraId="642D5145"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0.01(.34)</w:t>
            </w:r>
          </w:p>
        </w:tc>
        <w:tc>
          <w:tcPr>
            <w:tcW w:w="1096" w:type="dxa"/>
            <w:tcBorders>
              <w:top w:val="nil"/>
              <w:left w:val="nil"/>
              <w:bottom w:val="nil"/>
              <w:right w:val="nil"/>
            </w:tcBorders>
          </w:tcPr>
          <w:p w14:paraId="3993A28D"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1.30</w:t>
            </w:r>
          </w:p>
        </w:tc>
        <w:tc>
          <w:tcPr>
            <w:tcW w:w="1456" w:type="dxa"/>
            <w:tcBorders>
              <w:top w:val="nil"/>
              <w:left w:val="nil"/>
              <w:bottom w:val="nil"/>
              <w:right w:val="nil"/>
            </w:tcBorders>
          </w:tcPr>
          <w:p w14:paraId="6FCFD6EF"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0.03(.00)</w:t>
            </w:r>
            <w:r w:rsidRPr="007B26F1">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13757541"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1.30</w:t>
            </w:r>
          </w:p>
        </w:tc>
        <w:tc>
          <w:tcPr>
            <w:tcW w:w="1547" w:type="dxa"/>
            <w:tcBorders>
              <w:top w:val="nil"/>
              <w:left w:val="nil"/>
              <w:bottom w:val="nil"/>
              <w:right w:val="nil"/>
            </w:tcBorders>
          </w:tcPr>
          <w:p w14:paraId="1C1FFDC8"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0.02(.11)</w:t>
            </w:r>
          </w:p>
        </w:tc>
        <w:tc>
          <w:tcPr>
            <w:tcW w:w="1159" w:type="dxa"/>
            <w:tcBorders>
              <w:top w:val="nil"/>
              <w:left w:val="nil"/>
              <w:bottom w:val="nil"/>
              <w:right w:val="nil"/>
            </w:tcBorders>
          </w:tcPr>
          <w:p w14:paraId="125799DB"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1.30</w:t>
            </w:r>
          </w:p>
        </w:tc>
        <w:tc>
          <w:tcPr>
            <w:tcW w:w="1534" w:type="dxa"/>
            <w:tcBorders>
              <w:top w:val="nil"/>
              <w:left w:val="nil"/>
              <w:bottom w:val="nil"/>
              <w:right w:val="nil"/>
            </w:tcBorders>
          </w:tcPr>
          <w:p w14:paraId="45B622E0"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0.03(.00)</w:t>
            </w:r>
            <w:r w:rsidRPr="007B26F1">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7764CDAE"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1.30</w:t>
            </w:r>
          </w:p>
        </w:tc>
      </w:tr>
      <w:tr w:rsidR="007B26F1" w:rsidRPr="007B26F1" w14:paraId="6FBB7F53" w14:textId="77777777" w:rsidTr="007B26F1">
        <w:trPr>
          <w:trHeight w:val="87"/>
        </w:trPr>
        <w:tc>
          <w:tcPr>
            <w:tcW w:w="1560" w:type="dxa"/>
            <w:tcBorders>
              <w:top w:val="nil"/>
              <w:left w:val="nil"/>
              <w:bottom w:val="nil"/>
              <w:right w:val="nil"/>
            </w:tcBorders>
          </w:tcPr>
          <w:p w14:paraId="5DAABDC7" w14:textId="77777777" w:rsidR="007B26F1" w:rsidRPr="007B26F1" w:rsidRDefault="007B26F1" w:rsidP="007B26F1">
            <w:pPr>
              <w:spacing w:after="0" w:line="240" w:lineRule="auto"/>
              <w:rPr>
                <w:rFonts w:ascii="Times New Roman" w:eastAsia="Times New Roman" w:hAnsi="Times New Roman" w:cs="Times New Roman"/>
                <w:iCs/>
                <w:sz w:val="17"/>
                <w:szCs w:val="17"/>
                <w:lang w:val="en-US"/>
              </w:rPr>
            </w:pPr>
            <w:r w:rsidRPr="007B26F1">
              <w:rPr>
                <w:rFonts w:ascii="Times New Roman" w:eastAsia="Times New Roman" w:hAnsi="Times New Roman" w:cs="Times New Roman"/>
                <w:iCs/>
                <w:sz w:val="17"/>
                <w:szCs w:val="17"/>
                <w:lang w:val="en-US"/>
              </w:rPr>
              <w:t xml:space="preserve">    EGC</w:t>
            </w:r>
          </w:p>
        </w:tc>
        <w:tc>
          <w:tcPr>
            <w:tcW w:w="1559" w:type="dxa"/>
            <w:tcBorders>
              <w:top w:val="nil"/>
              <w:left w:val="nil"/>
              <w:bottom w:val="nil"/>
              <w:right w:val="nil"/>
            </w:tcBorders>
          </w:tcPr>
          <w:p w14:paraId="7A3F5488"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0.04(.00)</w:t>
            </w:r>
            <w:r w:rsidRPr="007B26F1">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6A9ACC0E"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1.26</w:t>
            </w:r>
          </w:p>
        </w:tc>
        <w:tc>
          <w:tcPr>
            <w:tcW w:w="1417" w:type="dxa"/>
            <w:tcBorders>
              <w:top w:val="nil"/>
              <w:left w:val="nil"/>
              <w:bottom w:val="nil"/>
              <w:right w:val="nil"/>
            </w:tcBorders>
          </w:tcPr>
          <w:p w14:paraId="4F932F98"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0.03(.03)</w:t>
            </w:r>
            <w:r w:rsidRPr="007B26F1">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5C95B362"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1.26</w:t>
            </w:r>
          </w:p>
        </w:tc>
        <w:tc>
          <w:tcPr>
            <w:tcW w:w="1456" w:type="dxa"/>
            <w:tcBorders>
              <w:top w:val="nil"/>
              <w:left w:val="nil"/>
              <w:bottom w:val="nil"/>
              <w:right w:val="nil"/>
            </w:tcBorders>
          </w:tcPr>
          <w:p w14:paraId="760F9648"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0.04(.01)</w:t>
            </w:r>
            <w:r w:rsidRPr="007B26F1">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4F0546A2"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1.26</w:t>
            </w:r>
          </w:p>
        </w:tc>
        <w:tc>
          <w:tcPr>
            <w:tcW w:w="1547" w:type="dxa"/>
            <w:tcBorders>
              <w:top w:val="nil"/>
              <w:left w:val="nil"/>
              <w:bottom w:val="nil"/>
              <w:right w:val="nil"/>
            </w:tcBorders>
          </w:tcPr>
          <w:p w14:paraId="1873A612"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0.05(.00)</w:t>
            </w:r>
            <w:r w:rsidRPr="007B26F1">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27B6C5A0"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1.26</w:t>
            </w:r>
          </w:p>
        </w:tc>
        <w:tc>
          <w:tcPr>
            <w:tcW w:w="1534" w:type="dxa"/>
            <w:tcBorders>
              <w:top w:val="nil"/>
              <w:left w:val="nil"/>
              <w:bottom w:val="nil"/>
              <w:right w:val="nil"/>
            </w:tcBorders>
          </w:tcPr>
          <w:p w14:paraId="29C850BC"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0.03(.02)</w:t>
            </w:r>
            <w:r w:rsidRPr="007B26F1">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04CE0C53"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1.26</w:t>
            </w:r>
          </w:p>
        </w:tc>
      </w:tr>
      <w:tr w:rsidR="007B26F1" w:rsidRPr="007B26F1" w14:paraId="7B1B7B59" w14:textId="77777777" w:rsidTr="007B26F1">
        <w:trPr>
          <w:trHeight w:val="87"/>
        </w:trPr>
        <w:tc>
          <w:tcPr>
            <w:tcW w:w="1560" w:type="dxa"/>
            <w:tcBorders>
              <w:top w:val="nil"/>
              <w:left w:val="nil"/>
              <w:bottom w:val="nil"/>
              <w:right w:val="nil"/>
            </w:tcBorders>
          </w:tcPr>
          <w:p w14:paraId="071095AE" w14:textId="77777777" w:rsidR="007B26F1" w:rsidRPr="007B26F1" w:rsidRDefault="007B26F1" w:rsidP="007B26F1">
            <w:pPr>
              <w:spacing w:after="0" w:line="240" w:lineRule="auto"/>
              <w:rPr>
                <w:rFonts w:ascii="Times New Roman" w:eastAsia="Times New Roman" w:hAnsi="Times New Roman" w:cs="Times New Roman"/>
                <w:iCs/>
                <w:color w:val="000000"/>
                <w:sz w:val="17"/>
                <w:szCs w:val="17"/>
                <w:lang w:val="en-US"/>
              </w:rPr>
            </w:pPr>
            <w:r w:rsidRPr="007B26F1">
              <w:rPr>
                <w:rFonts w:ascii="Times New Roman" w:eastAsia="Times New Roman" w:hAnsi="Times New Roman" w:cs="Times New Roman"/>
                <w:iCs/>
                <w:color w:val="000000"/>
                <w:sz w:val="17"/>
                <w:szCs w:val="17"/>
                <w:lang w:val="en-US"/>
              </w:rPr>
              <w:t xml:space="preserve">    GBGED</w:t>
            </w:r>
          </w:p>
        </w:tc>
        <w:tc>
          <w:tcPr>
            <w:tcW w:w="1559" w:type="dxa"/>
            <w:tcBorders>
              <w:top w:val="nil"/>
              <w:left w:val="nil"/>
              <w:bottom w:val="nil"/>
              <w:right w:val="nil"/>
            </w:tcBorders>
          </w:tcPr>
          <w:p w14:paraId="224AF7E0"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-0.06(.04)</w:t>
            </w:r>
            <w:r w:rsidRPr="007B26F1">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311400AD"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1.09</w:t>
            </w:r>
          </w:p>
        </w:tc>
        <w:tc>
          <w:tcPr>
            <w:tcW w:w="1417" w:type="dxa"/>
            <w:tcBorders>
              <w:top w:val="nil"/>
              <w:left w:val="nil"/>
              <w:bottom w:val="nil"/>
              <w:right w:val="nil"/>
            </w:tcBorders>
          </w:tcPr>
          <w:p w14:paraId="676ABE71"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-0.08(.04)</w:t>
            </w:r>
            <w:r w:rsidRPr="007B26F1">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0518EDD7"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1.09</w:t>
            </w:r>
          </w:p>
        </w:tc>
        <w:tc>
          <w:tcPr>
            <w:tcW w:w="1456" w:type="dxa"/>
            <w:tcBorders>
              <w:top w:val="nil"/>
              <w:left w:val="nil"/>
              <w:bottom w:val="nil"/>
              <w:right w:val="nil"/>
            </w:tcBorders>
          </w:tcPr>
          <w:p w14:paraId="2868FD17"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-0.04(.35)</w:t>
            </w:r>
          </w:p>
        </w:tc>
        <w:tc>
          <w:tcPr>
            <w:tcW w:w="1146" w:type="dxa"/>
            <w:tcBorders>
              <w:top w:val="nil"/>
              <w:left w:val="nil"/>
              <w:bottom w:val="nil"/>
              <w:right w:val="nil"/>
            </w:tcBorders>
          </w:tcPr>
          <w:p w14:paraId="5EC226BB"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1.09</w:t>
            </w:r>
          </w:p>
        </w:tc>
        <w:tc>
          <w:tcPr>
            <w:tcW w:w="1547" w:type="dxa"/>
            <w:tcBorders>
              <w:top w:val="nil"/>
              <w:left w:val="nil"/>
              <w:bottom w:val="nil"/>
              <w:right w:val="nil"/>
            </w:tcBorders>
          </w:tcPr>
          <w:p w14:paraId="5954C9CB"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-0.16(.00)</w:t>
            </w:r>
            <w:r w:rsidRPr="007B26F1">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24CE663C"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1.09</w:t>
            </w:r>
          </w:p>
        </w:tc>
        <w:tc>
          <w:tcPr>
            <w:tcW w:w="1534" w:type="dxa"/>
            <w:tcBorders>
              <w:top w:val="nil"/>
              <w:left w:val="nil"/>
              <w:bottom w:val="nil"/>
              <w:right w:val="nil"/>
            </w:tcBorders>
          </w:tcPr>
          <w:p w14:paraId="1D34DE72"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-0.06(.12)</w:t>
            </w:r>
          </w:p>
        </w:tc>
        <w:tc>
          <w:tcPr>
            <w:tcW w:w="1418" w:type="dxa"/>
            <w:tcBorders>
              <w:top w:val="nil"/>
              <w:left w:val="nil"/>
              <w:bottom w:val="nil"/>
              <w:right w:val="nil"/>
            </w:tcBorders>
          </w:tcPr>
          <w:p w14:paraId="10467C4E"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1.09</w:t>
            </w:r>
          </w:p>
        </w:tc>
      </w:tr>
      <w:tr w:rsidR="007B26F1" w:rsidRPr="007B26F1" w14:paraId="6D116920" w14:textId="77777777" w:rsidTr="007B26F1">
        <w:trPr>
          <w:trHeight w:val="87"/>
        </w:trPr>
        <w:tc>
          <w:tcPr>
            <w:tcW w:w="1560" w:type="dxa"/>
            <w:tcBorders>
              <w:top w:val="nil"/>
              <w:left w:val="nil"/>
              <w:bottom w:val="nil"/>
              <w:right w:val="nil"/>
            </w:tcBorders>
          </w:tcPr>
          <w:p w14:paraId="6857FC51" w14:textId="77777777" w:rsidR="007B26F1" w:rsidRPr="007B26F1" w:rsidRDefault="007B26F1" w:rsidP="007B26F1">
            <w:pPr>
              <w:spacing w:after="0" w:line="240" w:lineRule="auto"/>
              <w:rPr>
                <w:rFonts w:ascii="Times New Roman" w:eastAsia="Times New Roman" w:hAnsi="Times New Roman" w:cs="Times New Roman"/>
                <w:iCs/>
                <w:color w:val="000000"/>
                <w:sz w:val="17"/>
                <w:szCs w:val="17"/>
                <w:lang w:val="en-US"/>
              </w:rPr>
            </w:pPr>
            <w:r w:rsidRPr="007B26F1">
              <w:rPr>
                <w:rFonts w:ascii="Times New Roman" w:eastAsia="Times New Roman" w:hAnsi="Times New Roman" w:cs="Times New Roman"/>
                <w:iCs/>
                <w:color w:val="000000"/>
                <w:sz w:val="17"/>
                <w:szCs w:val="17"/>
                <w:lang w:val="en-US"/>
              </w:rPr>
              <w:t xml:space="preserve">    GBIND</w:t>
            </w:r>
          </w:p>
        </w:tc>
        <w:tc>
          <w:tcPr>
            <w:tcW w:w="1559" w:type="dxa"/>
            <w:tcBorders>
              <w:top w:val="nil"/>
              <w:left w:val="nil"/>
              <w:bottom w:val="nil"/>
              <w:right w:val="nil"/>
            </w:tcBorders>
          </w:tcPr>
          <w:p w14:paraId="12779A5A"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0.14(.00)</w:t>
            </w:r>
            <w:r w:rsidRPr="007B26F1">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116929E4"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1.47</w:t>
            </w:r>
          </w:p>
        </w:tc>
        <w:tc>
          <w:tcPr>
            <w:tcW w:w="1417" w:type="dxa"/>
            <w:tcBorders>
              <w:top w:val="nil"/>
              <w:left w:val="nil"/>
              <w:bottom w:val="nil"/>
              <w:right w:val="nil"/>
            </w:tcBorders>
          </w:tcPr>
          <w:p w14:paraId="0A78D657"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0.18(.00)</w:t>
            </w:r>
            <w:r w:rsidRPr="007B26F1">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58C37828"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1.47</w:t>
            </w:r>
          </w:p>
        </w:tc>
        <w:tc>
          <w:tcPr>
            <w:tcW w:w="1456" w:type="dxa"/>
            <w:tcBorders>
              <w:top w:val="nil"/>
              <w:left w:val="nil"/>
              <w:bottom w:val="nil"/>
              <w:right w:val="nil"/>
            </w:tcBorders>
          </w:tcPr>
          <w:p w14:paraId="5DE58B58"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0.16(.00)</w:t>
            </w:r>
            <w:r w:rsidRPr="007B26F1">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4A1F8FA0"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1.47</w:t>
            </w:r>
          </w:p>
        </w:tc>
        <w:tc>
          <w:tcPr>
            <w:tcW w:w="1547" w:type="dxa"/>
            <w:tcBorders>
              <w:top w:val="nil"/>
              <w:left w:val="nil"/>
              <w:bottom w:val="nil"/>
              <w:right w:val="nil"/>
            </w:tcBorders>
          </w:tcPr>
          <w:p w14:paraId="37D5D31A"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0.16(.00)</w:t>
            </w:r>
            <w:r w:rsidRPr="007B26F1">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21106E74"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1.47</w:t>
            </w:r>
          </w:p>
        </w:tc>
        <w:tc>
          <w:tcPr>
            <w:tcW w:w="1534" w:type="dxa"/>
            <w:tcBorders>
              <w:top w:val="nil"/>
              <w:left w:val="nil"/>
              <w:bottom w:val="nil"/>
              <w:right w:val="nil"/>
            </w:tcBorders>
          </w:tcPr>
          <w:p w14:paraId="0E6A2219"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0.13(.00)</w:t>
            </w:r>
            <w:r w:rsidRPr="007B26F1">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18AAD746"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1.47</w:t>
            </w:r>
          </w:p>
        </w:tc>
      </w:tr>
      <w:tr w:rsidR="007B26F1" w:rsidRPr="007B26F1" w14:paraId="67CF1F78" w14:textId="77777777" w:rsidTr="007B26F1">
        <w:trPr>
          <w:trHeight w:val="87"/>
        </w:trPr>
        <w:tc>
          <w:tcPr>
            <w:tcW w:w="1560" w:type="dxa"/>
            <w:tcBorders>
              <w:top w:val="nil"/>
              <w:left w:val="nil"/>
              <w:bottom w:val="nil"/>
              <w:right w:val="nil"/>
            </w:tcBorders>
          </w:tcPr>
          <w:p w14:paraId="4FFAE284" w14:textId="77777777" w:rsidR="007B26F1" w:rsidRPr="007B26F1" w:rsidRDefault="007B26F1" w:rsidP="007B26F1">
            <w:pPr>
              <w:spacing w:after="0" w:line="240" w:lineRule="auto"/>
              <w:rPr>
                <w:rFonts w:ascii="Times New Roman" w:eastAsia="Times New Roman" w:hAnsi="Times New Roman" w:cs="Times New Roman"/>
                <w:color w:val="000000"/>
                <w:sz w:val="17"/>
                <w:szCs w:val="17"/>
                <w:lang w:val="en-US"/>
              </w:rPr>
            </w:pPr>
            <w:r w:rsidRPr="007B26F1">
              <w:rPr>
                <w:rFonts w:ascii="Times New Roman" w:eastAsia="Times New Roman" w:hAnsi="Times New Roman" w:cs="Times New Roman"/>
                <w:color w:val="000000"/>
                <w:sz w:val="17"/>
                <w:szCs w:val="17"/>
                <w:lang w:val="en-US"/>
              </w:rPr>
              <w:t xml:space="preserve">    GBMT</w:t>
            </w:r>
          </w:p>
        </w:tc>
        <w:tc>
          <w:tcPr>
            <w:tcW w:w="1559" w:type="dxa"/>
            <w:tcBorders>
              <w:top w:val="nil"/>
              <w:left w:val="nil"/>
              <w:bottom w:val="nil"/>
              <w:right w:val="nil"/>
            </w:tcBorders>
          </w:tcPr>
          <w:p w14:paraId="66D0BF63"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0.05(.00)</w:t>
            </w:r>
            <w:r w:rsidRPr="007B26F1">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714B2635"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1.16</w:t>
            </w:r>
          </w:p>
        </w:tc>
        <w:tc>
          <w:tcPr>
            <w:tcW w:w="1417" w:type="dxa"/>
            <w:tcBorders>
              <w:top w:val="nil"/>
              <w:left w:val="nil"/>
              <w:bottom w:val="nil"/>
              <w:right w:val="nil"/>
            </w:tcBorders>
          </w:tcPr>
          <w:p w14:paraId="6B05B903"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0.06(.00)</w:t>
            </w:r>
            <w:r w:rsidRPr="007B26F1">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5597885F"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1.16</w:t>
            </w:r>
          </w:p>
        </w:tc>
        <w:tc>
          <w:tcPr>
            <w:tcW w:w="1456" w:type="dxa"/>
            <w:tcBorders>
              <w:top w:val="nil"/>
              <w:left w:val="nil"/>
              <w:bottom w:val="nil"/>
              <w:right w:val="nil"/>
            </w:tcBorders>
          </w:tcPr>
          <w:p w14:paraId="31578E16"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0.03(.14)</w:t>
            </w:r>
          </w:p>
        </w:tc>
        <w:tc>
          <w:tcPr>
            <w:tcW w:w="1146" w:type="dxa"/>
            <w:tcBorders>
              <w:top w:val="nil"/>
              <w:left w:val="nil"/>
              <w:bottom w:val="nil"/>
              <w:right w:val="nil"/>
            </w:tcBorders>
          </w:tcPr>
          <w:p w14:paraId="06F2B936"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1.16</w:t>
            </w:r>
          </w:p>
        </w:tc>
        <w:tc>
          <w:tcPr>
            <w:tcW w:w="1547" w:type="dxa"/>
            <w:tcBorders>
              <w:top w:val="nil"/>
              <w:left w:val="nil"/>
              <w:bottom w:val="nil"/>
              <w:right w:val="nil"/>
            </w:tcBorders>
          </w:tcPr>
          <w:p w14:paraId="28B81094"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0.07(.00)</w:t>
            </w:r>
            <w:r w:rsidRPr="007B26F1">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3860CDF1"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1.16</w:t>
            </w:r>
          </w:p>
        </w:tc>
        <w:tc>
          <w:tcPr>
            <w:tcW w:w="1534" w:type="dxa"/>
            <w:tcBorders>
              <w:top w:val="nil"/>
              <w:left w:val="nil"/>
              <w:bottom w:val="nil"/>
              <w:right w:val="nil"/>
            </w:tcBorders>
          </w:tcPr>
          <w:p w14:paraId="74C957A9"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0.04(.03)</w:t>
            </w:r>
            <w:r w:rsidRPr="007B26F1">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6B34E8AD"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1.16</w:t>
            </w:r>
          </w:p>
        </w:tc>
      </w:tr>
      <w:tr w:rsidR="007B26F1" w:rsidRPr="007B26F1" w14:paraId="4CCE9C59" w14:textId="77777777" w:rsidTr="007B26F1">
        <w:trPr>
          <w:trHeight w:val="164"/>
        </w:trPr>
        <w:tc>
          <w:tcPr>
            <w:tcW w:w="15168" w:type="dxa"/>
            <w:gridSpan w:val="11"/>
            <w:tcBorders>
              <w:top w:val="nil"/>
              <w:left w:val="nil"/>
              <w:bottom w:val="nil"/>
              <w:right w:val="nil"/>
            </w:tcBorders>
          </w:tcPr>
          <w:p w14:paraId="0FF72AB8" w14:textId="77777777" w:rsidR="007B26F1" w:rsidRPr="007B26F1" w:rsidRDefault="007B26F1" w:rsidP="007B26F1">
            <w:pPr>
              <w:spacing w:after="0"/>
              <w:rPr>
                <w:rFonts w:ascii="Times New Roman" w:eastAsia="Times New Roman" w:hAnsi="Times New Roman" w:cs="Times New Roman"/>
                <w:i/>
                <w:iCs/>
                <w:sz w:val="4"/>
                <w:szCs w:val="4"/>
              </w:rPr>
            </w:pPr>
          </w:p>
          <w:p w14:paraId="182E8C71"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i/>
                <w:iCs/>
                <w:sz w:val="17"/>
                <w:szCs w:val="17"/>
              </w:rPr>
              <w:t>Controls</w:t>
            </w:r>
          </w:p>
        </w:tc>
      </w:tr>
      <w:tr w:rsidR="007B26F1" w:rsidRPr="007B26F1" w14:paraId="4BD2531B" w14:textId="77777777" w:rsidTr="007B26F1">
        <w:trPr>
          <w:trHeight w:val="164"/>
        </w:trPr>
        <w:tc>
          <w:tcPr>
            <w:tcW w:w="1560" w:type="dxa"/>
            <w:tcBorders>
              <w:top w:val="nil"/>
              <w:left w:val="nil"/>
              <w:bottom w:val="nil"/>
              <w:right w:val="nil"/>
            </w:tcBorders>
          </w:tcPr>
          <w:p w14:paraId="2D50DF3F" w14:textId="77777777" w:rsidR="007B26F1" w:rsidRPr="007B26F1" w:rsidRDefault="007B26F1" w:rsidP="007B26F1">
            <w:pPr>
              <w:spacing w:after="0" w:line="240" w:lineRule="auto"/>
              <w:rPr>
                <w:rFonts w:ascii="Times New Roman" w:eastAsia="Times New Roman" w:hAnsi="Times New Roman" w:cs="Times New Roman"/>
                <w:color w:val="000000"/>
                <w:sz w:val="17"/>
                <w:szCs w:val="17"/>
                <w:lang w:val="en-US"/>
              </w:rPr>
            </w:pPr>
            <w:r w:rsidRPr="007B26F1">
              <w:rPr>
                <w:rFonts w:ascii="Times New Roman" w:eastAsia="Times New Roman" w:hAnsi="Times New Roman" w:cs="Times New Roman"/>
                <w:iCs/>
                <w:color w:val="000000"/>
                <w:sz w:val="17"/>
                <w:szCs w:val="17"/>
                <w:lang w:val="en-US"/>
              </w:rPr>
              <w:t xml:space="preserve">    GBZE</w:t>
            </w:r>
          </w:p>
        </w:tc>
        <w:tc>
          <w:tcPr>
            <w:tcW w:w="1559" w:type="dxa"/>
            <w:tcBorders>
              <w:top w:val="nil"/>
              <w:left w:val="nil"/>
              <w:bottom w:val="nil"/>
              <w:right w:val="nil"/>
            </w:tcBorders>
          </w:tcPr>
          <w:p w14:paraId="1291305B"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-0.00(.84)</w:t>
            </w:r>
          </w:p>
        </w:tc>
        <w:tc>
          <w:tcPr>
            <w:tcW w:w="1276" w:type="dxa"/>
            <w:tcBorders>
              <w:top w:val="nil"/>
              <w:left w:val="nil"/>
              <w:bottom w:val="nil"/>
              <w:right w:val="nil"/>
            </w:tcBorders>
          </w:tcPr>
          <w:p w14:paraId="66F8DCF0"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1.27</w:t>
            </w:r>
          </w:p>
        </w:tc>
        <w:tc>
          <w:tcPr>
            <w:tcW w:w="1417" w:type="dxa"/>
            <w:tcBorders>
              <w:top w:val="nil"/>
              <w:left w:val="nil"/>
              <w:bottom w:val="nil"/>
              <w:right w:val="nil"/>
            </w:tcBorders>
          </w:tcPr>
          <w:p w14:paraId="7440C0C5"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-0.05(.03)</w:t>
            </w:r>
            <w:r w:rsidRPr="007B26F1">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733040BF"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1.27</w:t>
            </w:r>
          </w:p>
        </w:tc>
        <w:tc>
          <w:tcPr>
            <w:tcW w:w="1456" w:type="dxa"/>
            <w:tcBorders>
              <w:top w:val="nil"/>
              <w:left w:val="nil"/>
              <w:bottom w:val="nil"/>
              <w:right w:val="nil"/>
            </w:tcBorders>
          </w:tcPr>
          <w:p w14:paraId="1D30D0E8"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0.03(.25)</w:t>
            </w:r>
          </w:p>
        </w:tc>
        <w:tc>
          <w:tcPr>
            <w:tcW w:w="1146" w:type="dxa"/>
            <w:tcBorders>
              <w:top w:val="nil"/>
              <w:left w:val="nil"/>
              <w:bottom w:val="nil"/>
              <w:right w:val="nil"/>
            </w:tcBorders>
          </w:tcPr>
          <w:p w14:paraId="74CB0EF2"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1.27</w:t>
            </w:r>
          </w:p>
        </w:tc>
        <w:tc>
          <w:tcPr>
            <w:tcW w:w="1547" w:type="dxa"/>
            <w:tcBorders>
              <w:top w:val="nil"/>
              <w:left w:val="nil"/>
              <w:bottom w:val="nil"/>
              <w:right w:val="nil"/>
            </w:tcBorders>
          </w:tcPr>
          <w:p w14:paraId="2D0962BC"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0.09(.00)</w:t>
            </w:r>
            <w:r w:rsidRPr="007B26F1">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5C1D93D9"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1.27</w:t>
            </w:r>
          </w:p>
        </w:tc>
        <w:tc>
          <w:tcPr>
            <w:tcW w:w="1534" w:type="dxa"/>
            <w:tcBorders>
              <w:top w:val="nil"/>
              <w:left w:val="nil"/>
              <w:bottom w:val="nil"/>
              <w:right w:val="nil"/>
            </w:tcBorders>
          </w:tcPr>
          <w:p w14:paraId="75BDC598"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-0.05(.05)</w:t>
            </w:r>
            <w:r w:rsidRPr="007B26F1">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0C52494A"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1.27</w:t>
            </w:r>
          </w:p>
        </w:tc>
      </w:tr>
      <w:tr w:rsidR="007B26F1" w:rsidRPr="007B26F1" w14:paraId="0710DE6B" w14:textId="77777777" w:rsidTr="007B26F1">
        <w:trPr>
          <w:trHeight w:val="164"/>
        </w:trPr>
        <w:tc>
          <w:tcPr>
            <w:tcW w:w="1560" w:type="dxa"/>
            <w:tcBorders>
              <w:top w:val="nil"/>
              <w:left w:val="nil"/>
              <w:bottom w:val="nil"/>
              <w:right w:val="nil"/>
            </w:tcBorders>
          </w:tcPr>
          <w:p w14:paraId="5ECB07A0" w14:textId="77777777" w:rsidR="007B26F1" w:rsidRPr="007B26F1" w:rsidRDefault="007B26F1" w:rsidP="007B26F1">
            <w:pPr>
              <w:spacing w:after="0" w:line="240" w:lineRule="auto"/>
              <w:rPr>
                <w:rFonts w:ascii="Times New Roman" w:eastAsia="Times New Roman" w:hAnsi="Times New Roman" w:cs="Times New Roman"/>
                <w:color w:val="000000"/>
                <w:sz w:val="17"/>
                <w:szCs w:val="17"/>
                <w:lang w:val="en-US"/>
              </w:rPr>
            </w:pPr>
            <w:r w:rsidRPr="007B26F1">
              <w:rPr>
                <w:rFonts w:ascii="Times New Roman" w:eastAsia="Times New Roman" w:hAnsi="Times New Roman" w:cs="Times New Roman"/>
                <w:color w:val="000000"/>
                <w:sz w:val="17"/>
                <w:szCs w:val="17"/>
                <w:lang w:val="en-US"/>
              </w:rPr>
              <w:t xml:space="preserve">    AFZE</w:t>
            </w:r>
          </w:p>
        </w:tc>
        <w:tc>
          <w:tcPr>
            <w:tcW w:w="1559" w:type="dxa"/>
            <w:tcBorders>
              <w:top w:val="nil"/>
              <w:left w:val="nil"/>
              <w:bottom w:val="nil"/>
              <w:right w:val="nil"/>
            </w:tcBorders>
          </w:tcPr>
          <w:p w14:paraId="2DF076A5"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-0.03(.00)</w:t>
            </w:r>
            <w:r w:rsidRPr="007B26F1">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7D045288"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1.34</w:t>
            </w:r>
          </w:p>
        </w:tc>
        <w:tc>
          <w:tcPr>
            <w:tcW w:w="1417" w:type="dxa"/>
            <w:tcBorders>
              <w:top w:val="nil"/>
              <w:left w:val="nil"/>
              <w:bottom w:val="nil"/>
              <w:right w:val="nil"/>
            </w:tcBorders>
          </w:tcPr>
          <w:p w14:paraId="29DF2D42"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-0.03(.01)</w:t>
            </w:r>
            <w:r w:rsidRPr="007B26F1">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71D80E92"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1.34</w:t>
            </w:r>
          </w:p>
        </w:tc>
        <w:tc>
          <w:tcPr>
            <w:tcW w:w="1456" w:type="dxa"/>
            <w:tcBorders>
              <w:top w:val="nil"/>
              <w:left w:val="nil"/>
              <w:bottom w:val="nil"/>
              <w:right w:val="nil"/>
            </w:tcBorders>
          </w:tcPr>
          <w:p w14:paraId="08B3EFD4"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-0.04(.00)</w:t>
            </w:r>
            <w:r w:rsidRPr="007B26F1">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7A0443FF"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1.34</w:t>
            </w:r>
          </w:p>
        </w:tc>
        <w:tc>
          <w:tcPr>
            <w:tcW w:w="1547" w:type="dxa"/>
            <w:tcBorders>
              <w:top w:val="nil"/>
              <w:left w:val="nil"/>
              <w:bottom w:val="nil"/>
              <w:right w:val="nil"/>
            </w:tcBorders>
          </w:tcPr>
          <w:p w14:paraId="10B17F62"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-0.03(.09)</w:t>
            </w:r>
            <w:r w:rsidRPr="007B26F1">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04707BE4"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1.34</w:t>
            </w:r>
          </w:p>
        </w:tc>
        <w:tc>
          <w:tcPr>
            <w:tcW w:w="1534" w:type="dxa"/>
            <w:tcBorders>
              <w:top w:val="nil"/>
              <w:left w:val="nil"/>
              <w:bottom w:val="nil"/>
              <w:right w:val="nil"/>
            </w:tcBorders>
          </w:tcPr>
          <w:p w14:paraId="6A4D9086"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-0.02(.20)</w:t>
            </w:r>
          </w:p>
        </w:tc>
        <w:tc>
          <w:tcPr>
            <w:tcW w:w="1418" w:type="dxa"/>
            <w:tcBorders>
              <w:top w:val="nil"/>
              <w:left w:val="nil"/>
              <w:bottom w:val="nil"/>
              <w:right w:val="nil"/>
            </w:tcBorders>
          </w:tcPr>
          <w:p w14:paraId="3CAE5573"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1.34</w:t>
            </w:r>
          </w:p>
        </w:tc>
      </w:tr>
      <w:tr w:rsidR="007B26F1" w:rsidRPr="007B26F1" w14:paraId="37952440" w14:textId="77777777" w:rsidTr="007B26F1">
        <w:trPr>
          <w:trHeight w:val="164"/>
        </w:trPr>
        <w:tc>
          <w:tcPr>
            <w:tcW w:w="1560" w:type="dxa"/>
            <w:tcBorders>
              <w:top w:val="nil"/>
              <w:left w:val="nil"/>
              <w:bottom w:val="nil"/>
              <w:right w:val="nil"/>
            </w:tcBorders>
          </w:tcPr>
          <w:p w14:paraId="2D3166D8" w14:textId="77777777" w:rsidR="007B26F1" w:rsidRPr="007B26F1" w:rsidRDefault="007B26F1" w:rsidP="007B26F1">
            <w:pPr>
              <w:spacing w:after="0" w:line="240" w:lineRule="auto"/>
              <w:rPr>
                <w:rFonts w:ascii="Times New Roman" w:eastAsia="Times New Roman" w:hAnsi="Times New Roman" w:cs="Times New Roman"/>
                <w:color w:val="000000"/>
                <w:sz w:val="17"/>
                <w:szCs w:val="17"/>
                <w:lang w:val="en-US"/>
              </w:rPr>
            </w:pPr>
            <w:r w:rsidRPr="007B26F1">
              <w:rPr>
                <w:rFonts w:ascii="Times New Roman" w:eastAsia="Times New Roman" w:hAnsi="Times New Roman" w:cs="Times New Roman"/>
                <w:color w:val="000000"/>
                <w:sz w:val="17"/>
                <w:szCs w:val="17"/>
                <w:lang w:val="en-US"/>
              </w:rPr>
              <w:t xml:space="preserve">    HEIAGE</w:t>
            </w:r>
          </w:p>
        </w:tc>
        <w:tc>
          <w:tcPr>
            <w:tcW w:w="1559" w:type="dxa"/>
            <w:tcBorders>
              <w:top w:val="nil"/>
              <w:left w:val="nil"/>
              <w:bottom w:val="nil"/>
              <w:right w:val="nil"/>
            </w:tcBorders>
          </w:tcPr>
          <w:p w14:paraId="5B433A3E"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0.01(.01)</w:t>
            </w:r>
            <w:r w:rsidRPr="007B26F1">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3D1E4B31"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2.62</w:t>
            </w:r>
          </w:p>
        </w:tc>
        <w:tc>
          <w:tcPr>
            <w:tcW w:w="1417" w:type="dxa"/>
            <w:tcBorders>
              <w:top w:val="nil"/>
              <w:left w:val="nil"/>
              <w:bottom w:val="nil"/>
              <w:right w:val="nil"/>
            </w:tcBorders>
          </w:tcPr>
          <w:p w14:paraId="4E377B81"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0.01(.41)</w:t>
            </w:r>
          </w:p>
        </w:tc>
        <w:tc>
          <w:tcPr>
            <w:tcW w:w="1096" w:type="dxa"/>
            <w:tcBorders>
              <w:top w:val="nil"/>
              <w:left w:val="nil"/>
              <w:bottom w:val="nil"/>
              <w:right w:val="nil"/>
            </w:tcBorders>
          </w:tcPr>
          <w:p w14:paraId="4189E27F"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2.62</w:t>
            </w:r>
          </w:p>
        </w:tc>
        <w:tc>
          <w:tcPr>
            <w:tcW w:w="1456" w:type="dxa"/>
            <w:tcBorders>
              <w:top w:val="nil"/>
              <w:left w:val="nil"/>
              <w:bottom w:val="nil"/>
              <w:right w:val="nil"/>
            </w:tcBorders>
          </w:tcPr>
          <w:p w14:paraId="61C30BC9"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0.02(.00)</w:t>
            </w:r>
            <w:r w:rsidRPr="007B26F1">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12A7FC35"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2.62</w:t>
            </w:r>
          </w:p>
        </w:tc>
        <w:tc>
          <w:tcPr>
            <w:tcW w:w="1547" w:type="dxa"/>
            <w:tcBorders>
              <w:top w:val="nil"/>
              <w:left w:val="nil"/>
              <w:bottom w:val="nil"/>
              <w:right w:val="nil"/>
            </w:tcBorders>
          </w:tcPr>
          <w:p w14:paraId="51833D18"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0.00(.92)</w:t>
            </w:r>
          </w:p>
        </w:tc>
        <w:tc>
          <w:tcPr>
            <w:tcW w:w="1159" w:type="dxa"/>
            <w:tcBorders>
              <w:top w:val="nil"/>
              <w:left w:val="nil"/>
              <w:bottom w:val="nil"/>
              <w:right w:val="nil"/>
            </w:tcBorders>
          </w:tcPr>
          <w:p w14:paraId="32CB9245"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2.62</w:t>
            </w:r>
          </w:p>
        </w:tc>
        <w:tc>
          <w:tcPr>
            <w:tcW w:w="1534" w:type="dxa"/>
            <w:tcBorders>
              <w:top w:val="nil"/>
              <w:left w:val="nil"/>
              <w:bottom w:val="nil"/>
              <w:right w:val="nil"/>
            </w:tcBorders>
          </w:tcPr>
          <w:p w14:paraId="46B71EA8"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0.02(.00)</w:t>
            </w:r>
            <w:r w:rsidRPr="007B26F1">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7A1FF8B5"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2.62</w:t>
            </w:r>
          </w:p>
        </w:tc>
      </w:tr>
      <w:tr w:rsidR="007B26F1" w:rsidRPr="007B26F1" w14:paraId="4794C200" w14:textId="77777777" w:rsidTr="007B26F1">
        <w:trPr>
          <w:trHeight w:val="87"/>
        </w:trPr>
        <w:tc>
          <w:tcPr>
            <w:tcW w:w="1560" w:type="dxa"/>
            <w:tcBorders>
              <w:top w:val="nil"/>
              <w:left w:val="nil"/>
              <w:bottom w:val="nil"/>
              <w:right w:val="nil"/>
            </w:tcBorders>
          </w:tcPr>
          <w:p w14:paraId="6F9C85B0" w14:textId="77777777" w:rsidR="007B26F1" w:rsidRPr="007B26F1" w:rsidRDefault="007B26F1" w:rsidP="007B26F1">
            <w:pPr>
              <w:spacing w:after="0" w:line="240" w:lineRule="auto"/>
              <w:rPr>
                <w:rFonts w:ascii="Times New Roman" w:eastAsia="Times New Roman" w:hAnsi="Times New Roman" w:cs="Times New Roman"/>
                <w:color w:val="000000"/>
                <w:sz w:val="17"/>
                <w:szCs w:val="17"/>
                <w:lang w:val="en-US"/>
              </w:rPr>
            </w:pPr>
            <w:r w:rsidRPr="007B26F1">
              <w:rPr>
                <w:rFonts w:ascii="Times New Roman" w:eastAsia="Times New Roman" w:hAnsi="Times New Roman" w:cs="Times New Roman"/>
                <w:color w:val="000000"/>
                <w:sz w:val="17"/>
                <w:szCs w:val="17"/>
                <w:lang w:val="en-US"/>
              </w:rPr>
              <w:t xml:space="preserve">    HEIZE</w:t>
            </w:r>
          </w:p>
        </w:tc>
        <w:tc>
          <w:tcPr>
            <w:tcW w:w="1559" w:type="dxa"/>
            <w:tcBorders>
              <w:top w:val="nil"/>
              <w:left w:val="nil"/>
              <w:bottom w:val="nil"/>
              <w:right w:val="nil"/>
            </w:tcBorders>
          </w:tcPr>
          <w:p w14:paraId="62C193FE"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0.02(.00)</w:t>
            </w:r>
            <w:r w:rsidRPr="007B26F1">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37575635"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1.61</w:t>
            </w:r>
          </w:p>
        </w:tc>
        <w:tc>
          <w:tcPr>
            <w:tcW w:w="1417" w:type="dxa"/>
            <w:tcBorders>
              <w:top w:val="nil"/>
              <w:left w:val="nil"/>
              <w:bottom w:val="nil"/>
              <w:right w:val="nil"/>
            </w:tcBorders>
          </w:tcPr>
          <w:p w14:paraId="2C930E6A"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0.02(.00)</w:t>
            </w:r>
            <w:r w:rsidRPr="007B26F1">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209CC636"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1.61</w:t>
            </w:r>
          </w:p>
        </w:tc>
        <w:tc>
          <w:tcPr>
            <w:tcW w:w="1456" w:type="dxa"/>
            <w:tcBorders>
              <w:top w:val="nil"/>
              <w:left w:val="nil"/>
              <w:bottom w:val="nil"/>
              <w:right w:val="nil"/>
            </w:tcBorders>
          </w:tcPr>
          <w:p w14:paraId="396CC6F5"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0.02(.00)</w:t>
            </w:r>
            <w:r w:rsidRPr="007B26F1">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1D196778"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1.61</w:t>
            </w:r>
          </w:p>
        </w:tc>
        <w:tc>
          <w:tcPr>
            <w:tcW w:w="1547" w:type="dxa"/>
            <w:tcBorders>
              <w:top w:val="nil"/>
              <w:left w:val="nil"/>
              <w:bottom w:val="nil"/>
              <w:right w:val="nil"/>
            </w:tcBorders>
          </w:tcPr>
          <w:p w14:paraId="72A31E7D"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0.01(.05)</w:t>
            </w:r>
            <w:r w:rsidRPr="007B26F1">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76D58E94"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1.61</w:t>
            </w:r>
          </w:p>
        </w:tc>
        <w:tc>
          <w:tcPr>
            <w:tcW w:w="1534" w:type="dxa"/>
            <w:tcBorders>
              <w:top w:val="nil"/>
              <w:left w:val="nil"/>
              <w:bottom w:val="nil"/>
              <w:right w:val="nil"/>
            </w:tcBorders>
          </w:tcPr>
          <w:p w14:paraId="79CBB6A1"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0.02(.00)</w:t>
            </w:r>
            <w:r w:rsidRPr="007B26F1">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172A29DD"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1.61</w:t>
            </w:r>
          </w:p>
        </w:tc>
      </w:tr>
      <w:tr w:rsidR="007B26F1" w:rsidRPr="007B26F1" w14:paraId="298D3718" w14:textId="77777777" w:rsidTr="007B26F1">
        <w:trPr>
          <w:trHeight w:val="87"/>
        </w:trPr>
        <w:tc>
          <w:tcPr>
            <w:tcW w:w="1560" w:type="dxa"/>
            <w:tcBorders>
              <w:top w:val="nil"/>
              <w:left w:val="nil"/>
              <w:bottom w:val="nil"/>
              <w:right w:val="nil"/>
            </w:tcBorders>
          </w:tcPr>
          <w:p w14:paraId="30E3551D" w14:textId="77777777" w:rsidR="007B26F1" w:rsidRPr="007B26F1" w:rsidRDefault="007B26F1" w:rsidP="007B26F1">
            <w:pPr>
              <w:spacing w:after="0" w:line="240" w:lineRule="auto"/>
              <w:rPr>
                <w:rFonts w:ascii="Times New Roman" w:eastAsia="Times New Roman" w:hAnsi="Times New Roman" w:cs="Times New Roman"/>
                <w:color w:val="000000"/>
                <w:sz w:val="17"/>
                <w:szCs w:val="17"/>
                <w:lang w:val="en-US"/>
              </w:rPr>
            </w:pPr>
            <w:r w:rsidRPr="007B26F1">
              <w:rPr>
                <w:rFonts w:ascii="Times New Roman" w:eastAsia="Times New Roman" w:hAnsi="Times New Roman" w:cs="Times New Roman"/>
                <w:color w:val="000000"/>
                <w:sz w:val="17"/>
                <w:szCs w:val="17"/>
                <w:lang w:val="en-US"/>
              </w:rPr>
              <w:t xml:space="preserve">    CFUND</w:t>
            </w:r>
          </w:p>
        </w:tc>
        <w:tc>
          <w:tcPr>
            <w:tcW w:w="1559" w:type="dxa"/>
            <w:tcBorders>
              <w:top w:val="nil"/>
              <w:left w:val="nil"/>
              <w:bottom w:val="nil"/>
              <w:right w:val="nil"/>
            </w:tcBorders>
          </w:tcPr>
          <w:p w14:paraId="1C450E95"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0.12(.00)</w:t>
            </w:r>
            <w:r w:rsidRPr="007B26F1">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204D23D3"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1.52</w:t>
            </w:r>
          </w:p>
        </w:tc>
        <w:tc>
          <w:tcPr>
            <w:tcW w:w="1417" w:type="dxa"/>
            <w:tcBorders>
              <w:top w:val="nil"/>
              <w:left w:val="nil"/>
              <w:bottom w:val="nil"/>
              <w:right w:val="nil"/>
            </w:tcBorders>
          </w:tcPr>
          <w:p w14:paraId="4A642A3F"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0.09(.07)</w:t>
            </w:r>
            <w:r w:rsidRPr="007B26F1">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7FB58F7F"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1.52</w:t>
            </w:r>
          </w:p>
        </w:tc>
        <w:tc>
          <w:tcPr>
            <w:tcW w:w="1456" w:type="dxa"/>
            <w:tcBorders>
              <w:top w:val="nil"/>
              <w:left w:val="nil"/>
              <w:bottom w:val="nil"/>
              <w:right w:val="nil"/>
            </w:tcBorders>
          </w:tcPr>
          <w:p w14:paraId="734EE874"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0.20(.00)</w:t>
            </w:r>
            <w:r w:rsidRPr="007B26F1">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3538AAF1"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1.52</w:t>
            </w:r>
          </w:p>
        </w:tc>
        <w:tc>
          <w:tcPr>
            <w:tcW w:w="1547" w:type="dxa"/>
            <w:tcBorders>
              <w:top w:val="nil"/>
              <w:left w:val="nil"/>
              <w:bottom w:val="nil"/>
              <w:right w:val="nil"/>
            </w:tcBorders>
          </w:tcPr>
          <w:p w14:paraId="5A02C2AE"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0.18(.00)</w:t>
            </w:r>
            <w:r w:rsidRPr="007B26F1">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36F372F7"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1.52</w:t>
            </w:r>
          </w:p>
        </w:tc>
        <w:tc>
          <w:tcPr>
            <w:tcW w:w="1534" w:type="dxa"/>
            <w:tcBorders>
              <w:top w:val="nil"/>
              <w:left w:val="nil"/>
              <w:bottom w:val="nil"/>
              <w:right w:val="nil"/>
            </w:tcBorders>
          </w:tcPr>
          <w:p w14:paraId="348E3AD5"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0.21(.00)</w:t>
            </w:r>
            <w:r w:rsidRPr="007B26F1">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4F73D3B2"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1.52</w:t>
            </w:r>
          </w:p>
        </w:tc>
      </w:tr>
      <w:tr w:rsidR="007B26F1" w:rsidRPr="007B26F1" w14:paraId="22361F0D" w14:textId="77777777" w:rsidTr="007B26F1">
        <w:trPr>
          <w:trHeight w:val="87"/>
        </w:trPr>
        <w:tc>
          <w:tcPr>
            <w:tcW w:w="1560" w:type="dxa"/>
            <w:tcBorders>
              <w:top w:val="nil"/>
              <w:left w:val="nil"/>
              <w:bottom w:val="nil"/>
              <w:right w:val="nil"/>
            </w:tcBorders>
          </w:tcPr>
          <w:p w14:paraId="29876EFC" w14:textId="77777777" w:rsidR="007B26F1" w:rsidRPr="007B26F1" w:rsidRDefault="007B26F1" w:rsidP="007B26F1">
            <w:pPr>
              <w:spacing w:after="0" w:line="240" w:lineRule="auto"/>
              <w:rPr>
                <w:rFonts w:ascii="Times New Roman" w:eastAsia="Times New Roman" w:hAnsi="Times New Roman" w:cs="Times New Roman"/>
                <w:color w:val="000000"/>
                <w:sz w:val="17"/>
                <w:szCs w:val="17"/>
                <w:lang w:val="en-US"/>
              </w:rPr>
            </w:pPr>
            <w:r w:rsidRPr="007B26F1">
              <w:rPr>
                <w:rFonts w:ascii="Times New Roman" w:eastAsia="Times New Roman" w:hAnsi="Times New Roman" w:cs="Times New Roman"/>
                <w:color w:val="000000"/>
                <w:sz w:val="17"/>
                <w:szCs w:val="17"/>
                <w:lang w:val="en-US"/>
              </w:rPr>
              <w:t xml:space="preserve">    PST92</w:t>
            </w:r>
          </w:p>
        </w:tc>
        <w:tc>
          <w:tcPr>
            <w:tcW w:w="1559" w:type="dxa"/>
            <w:tcBorders>
              <w:top w:val="nil"/>
              <w:left w:val="nil"/>
              <w:bottom w:val="nil"/>
              <w:right w:val="nil"/>
            </w:tcBorders>
          </w:tcPr>
          <w:p w14:paraId="4BB9762A"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-0.01(.53)</w:t>
            </w:r>
          </w:p>
        </w:tc>
        <w:tc>
          <w:tcPr>
            <w:tcW w:w="1276" w:type="dxa"/>
            <w:tcBorders>
              <w:top w:val="nil"/>
              <w:left w:val="nil"/>
              <w:bottom w:val="nil"/>
              <w:right w:val="nil"/>
            </w:tcBorders>
          </w:tcPr>
          <w:p w14:paraId="24F70113"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2.48</w:t>
            </w:r>
          </w:p>
        </w:tc>
        <w:tc>
          <w:tcPr>
            <w:tcW w:w="1417" w:type="dxa"/>
            <w:tcBorders>
              <w:top w:val="nil"/>
              <w:left w:val="nil"/>
              <w:bottom w:val="nil"/>
              <w:right w:val="nil"/>
            </w:tcBorders>
          </w:tcPr>
          <w:p w14:paraId="32F10B3F"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-0.02(.19)</w:t>
            </w:r>
          </w:p>
        </w:tc>
        <w:tc>
          <w:tcPr>
            <w:tcW w:w="1096" w:type="dxa"/>
            <w:tcBorders>
              <w:top w:val="nil"/>
              <w:left w:val="nil"/>
              <w:bottom w:val="nil"/>
              <w:right w:val="nil"/>
            </w:tcBorders>
          </w:tcPr>
          <w:p w14:paraId="64494574"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2.48</w:t>
            </w:r>
          </w:p>
        </w:tc>
        <w:tc>
          <w:tcPr>
            <w:tcW w:w="1456" w:type="dxa"/>
            <w:tcBorders>
              <w:top w:val="nil"/>
              <w:left w:val="nil"/>
              <w:bottom w:val="nil"/>
              <w:right w:val="nil"/>
            </w:tcBorders>
          </w:tcPr>
          <w:p w14:paraId="69FA5D9D"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0.00(.88)</w:t>
            </w:r>
          </w:p>
        </w:tc>
        <w:tc>
          <w:tcPr>
            <w:tcW w:w="1146" w:type="dxa"/>
            <w:tcBorders>
              <w:top w:val="nil"/>
              <w:left w:val="nil"/>
              <w:bottom w:val="nil"/>
              <w:right w:val="nil"/>
            </w:tcBorders>
          </w:tcPr>
          <w:p w14:paraId="44E62E25"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2.48</w:t>
            </w:r>
          </w:p>
        </w:tc>
        <w:tc>
          <w:tcPr>
            <w:tcW w:w="1547" w:type="dxa"/>
            <w:tcBorders>
              <w:top w:val="nil"/>
              <w:left w:val="nil"/>
              <w:bottom w:val="nil"/>
              <w:right w:val="nil"/>
            </w:tcBorders>
          </w:tcPr>
          <w:p w14:paraId="4D8520AD"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-0.02(.37)</w:t>
            </w:r>
          </w:p>
        </w:tc>
        <w:tc>
          <w:tcPr>
            <w:tcW w:w="1159" w:type="dxa"/>
            <w:tcBorders>
              <w:top w:val="nil"/>
              <w:left w:val="nil"/>
              <w:bottom w:val="nil"/>
              <w:right w:val="nil"/>
            </w:tcBorders>
          </w:tcPr>
          <w:p w14:paraId="07436185"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2.48</w:t>
            </w:r>
          </w:p>
        </w:tc>
        <w:tc>
          <w:tcPr>
            <w:tcW w:w="1534" w:type="dxa"/>
            <w:tcBorders>
              <w:top w:val="nil"/>
              <w:left w:val="nil"/>
              <w:bottom w:val="nil"/>
              <w:right w:val="nil"/>
            </w:tcBorders>
          </w:tcPr>
          <w:p w14:paraId="3F00E889"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-0.03(.04)</w:t>
            </w:r>
            <w:r w:rsidRPr="007B26F1">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20E5929C"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2.48</w:t>
            </w:r>
          </w:p>
        </w:tc>
      </w:tr>
      <w:tr w:rsidR="007B26F1" w:rsidRPr="007B26F1" w14:paraId="42CC7A54" w14:textId="77777777" w:rsidTr="007B26F1">
        <w:trPr>
          <w:trHeight w:val="87"/>
        </w:trPr>
        <w:tc>
          <w:tcPr>
            <w:tcW w:w="1560" w:type="dxa"/>
            <w:tcBorders>
              <w:top w:val="nil"/>
              <w:left w:val="nil"/>
              <w:bottom w:val="nil"/>
              <w:right w:val="nil"/>
            </w:tcBorders>
          </w:tcPr>
          <w:p w14:paraId="1151E7EE" w14:textId="77777777" w:rsidR="007B26F1" w:rsidRPr="007B26F1" w:rsidRDefault="007B26F1" w:rsidP="007B26F1">
            <w:pPr>
              <w:spacing w:after="0" w:line="240" w:lineRule="auto"/>
              <w:rPr>
                <w:rFonts w:ascii="Times New Roman" w:eastAsia="Times New Roman" w:hAnsi="Times New Roman" w:cs="Times New Roman"/>
                <w:color w:val="000000"/>
                <w:sz w:val="17"/>
                <w:szCs w:val="17"/>
                <w:lang w:val="en-US"/>
              </w:rPr>
            </w:pPr>
            <w:r w:rsidRPr="007B26F1">
              <w:rPr>
                <w:rFonts w:ascii="Times New Roman" w:eastAsia="Times New Roman" w:hAnsi="Times New Roman" w:cs="Times New Roman"/>
                <w:color w:val="000000"/>
                <w:sz w:val="17"/>
                <w:szCs w:val="17"/>
                <w:lang w:val="en-US"/>
              </w:rPr>
              <w:t xml:space="preserve">    RUSG/UNI</w:t>
            </w:r>
          </w:p>
        </w:tc>
        <w:tc>
          <w:tcPr>
            <w:tcW w:w="1559" w:type="dxa"/>
            <w:tcBorders>
              <w:top w:val="nil"/>
              <w:left w:val="nil"/>
              <w:bottom w:val="nil"/>
              <w:right w:val="nil"/>
            </w:tcBorders>
          </w:tcPr>
          <w:p w14:paraId="0E3B3D67"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-0.04(.00)</w:t>
            </w:r>
            <w:r w:rsidRPr="007B26F1">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11AF44C7"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1.84</w:t>
            </w:r>
          </w:p>
        </w:tc>
        <w:tc>
          <w:tcPr>
            <w:tcW w:w="1417" w:type="dxa"/>
            <w:tcBorders>
              <w:top w:val="nil"/>
              <w:left w:val="nil"/>
              <w:bottom w:val="nil"/>
              <w:right w:val="nil"/>
            </w:tcBorders>
          </w:tcPr>
          <w:p w14:paraId="0BEE4E27"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-0.04(.00)</w:t>
            </w:r>
            <w:r w:rsidRPr="007B26F1">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5038E910"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1.84</w:t>
            </w:r>
          </w:p>
        </w:tc>
        <w:tc>
          <w:tcPr>
            <w:tcW w:w="1456" w:type="dxa"/>
            <w:tcBorders>
              <w:top w:val="nil"/>
              <w:left w:val="nil"/>
              <w:bottom w:val="nil"/>
              <w:right w:val="nil"/>
            </w:tcBorders>
          </w:tcPr>
          <w:p w14:paraId="3251DBD0"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-0.07(.00)</w:t>
            </w:r>
            <w:r w:rsidRPr="007B26F1">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096A7B9B"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1.84</w:t>
            </w:r>
          </w:p>
        </w:tc>
        <w:tc>
          <w:tcPr>
            <w:tcW w:w="1547" w:type="dxa"/>
            <w:tcBorders>
              <w:top w:val="nil"/>
              <w:left w:val="nil"/>
              <w:bottom w:val="nil"/>
              <w:right w:val="nil"/>
            </w:tcBorders>
          </w:tcPr>
          <w:p w14:paraId="55148FE5"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-0.02(.28)</w:t>
            </w:r>
          </w:p>
        </w:tc>
        <w:tc>
          <w:tcPr>
            <w:tcW w:w="1159" w:type="dxa"/>
            <w:tcBorders>
              <w:top w:val="nil"/>
              <w:left w:val="nil"/>
              <w:bottom w:val="nil"/>
              <w:right w:val="nil"/>
            </w:tcBorders>
          </w:tcPr>
          <w:p w14:paraId="10E132F0"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1.84</w:t>
            </w:r>
          </w:p>
        </w:tc>
        <w:tc>
          <w:tcPr>
            <w:tcW w:w="1534" w:type="dxa"/>
            <w:tcBorders>
              <w:top w:val="nil"/>
              <w:left w:val="nil"/>
              <w:bottom w:val="nil"/>
              <w:right w:val="nil"/>
            </w:tcBorders>
          </w:tcPr>
          <w:p w14:paraId="2A6BE67F"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-0.05(.00)</w:t>
            </w:r>
            <w:r w:rsidRPr="007B26F1">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087670A7"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1.84</w:t>
            </w:r>
          </w:p>
        </w:tc>
      </w:tr>
      <w:tr w:rsidR="007B26F1" w:rsidRPr="007B26F1" w14:paraId="73207CE6" w14:textId="77777777" w:rsidTr="007B26F1">
        <w:trPr>
          <w:trHeight w:val="87"/>
        </w:trPr>
        <w:tc>
          <w:tcPr>
            <w:tcW w:w="1560" w:type="dxa"/>
            <w:tcBorders>
              <w:top w:val="nil"/>
              <w:left w:val="nil"/>
              <w:bottom w:val="nil"/>
              <w:right w:val="nil"/>
            </w:tcBorders>
          </w:tcPr>
          <w:p w14:paraId="397DC32E" w14:textId="77777777" w:rsidR="007B26F1" w:rsidRPr="007B26F1" w:rsidRDefault="007B26F1" w:rsidP="007B26F1">
            <w:pPr>
              <w:spacing w:after="0" w:line="240" w:lineRule="auto"/>
              <w:rPr>
                <w:rFonts w:ascii="Times New Roman" w:eastAsia="Times New Roman" w:hAnsi="Times New Roman" w:cs="Times New Roman"/>
                <w:color w:val="000000"/>
                <w:sz w:val="17"/>
                <w:szCs w:val="17"/>
                <w:lang w:val="en-US"/>
              </w:rPr>
            </w:pPr>
            <w:r w:rsidRPr="007B26F1">
              <w:rPr>
                <w:rFonts w:ascii="Times New Roman" w:eastAsia="Times New Roman" w:hAnsi="Times New Roman" w:cs="Times New Roman"/>
                <w:color w:val="000000"/>
                <w:sz w:val="17"/>
                <w:szCs w:val="17"/>
                <w:lang w:val="en-US"/>
              </w:rPr>
              <w:t xml:space="preserve">    LQUD</w:t>
            </w:r>
          </w:p>
        </w:tc>
        <w:tc>
          <w:tcPr>
            <w:tcW w:w="1559" w:type="dxa"/>
            <w:tcBorders>
              <w:top w:val="nil"/>
              <w:left w:val="nil"/>
              <w:bottom w:val="nil"/>
              <w:right w:val="nil"/>
            </w:tcBorders>
          </w:tcPr>
          <w:p w14:paraId="28B58D4F"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0.07(.28)</w:t>
            </w:r>
          </w:p>
        </w:tc>
        <w:tc>
          <w:tcPr>
            <w:tcW w:w="1276" w:type="dxa"/>
            <w:tcBorders>
              <w:top w:val="nil"/>
              <w:left w:val="nil"/>
              <w:bottom w:val="nil"/>
              <w:right w:val="nil"/>
            </w:tcBorders>
          </w:tcPr>
          <w:p w14:paraId="57FAE21F"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1.03</w:t>
            </w:r>
          </w:p>
        </w:tc>
        <w:tc>
          <w:tcPr>
            <w:tcW w:w="1417" w:type="dxa"/>
            <w:tcBorders>
              <w:top w:val="nil"/>
              <w:left w:val="nil"/>
              <w:bottom w:val="nil"/>
              <w:right w:val="nil"/>
            </w:tcBorders>
          </w:tcPr>
          <w:p w14:paraId="4EC1919B"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-0.02(.84)</w:t>
            </w:r>
          </w:p>
        </w:tc>
        <w:tc>
          <w:tcPr>
            <w:tcW w:w="1096" w:type="dxa"/>
            <w:tcBorders>
              <w:top w:val="nil"/>
              <w:left w:val="nil"/>
              <w:bottom w:val="nil"/>
              <w:right w:val="nil"/>
            </w:tcBorders>
          </w:tcPr>
          <w:p w14:paraId="72FBD90C"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1.03</w:t>
            </w:r>
          </w:p>
        </w:tc>
        <w:tc>
          <w:tcPr>
            <w:tcW w:w="1456" w:type="dxa"/>
            <w:tcBorders>
              <w:top w:val="nil"/>
              <w:left w:val="nil"/>
              <w:bottom w:val="nil"/>
              <w:right w:val="nil"/>
            </w:tcBorders>
          </w:tcPr>
          <w:p w14:paraId="42C29739"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0.06(.51)</w:t>
            </w:r>
          </w:p>
        </w:tc>
        <w:tc>
          <w:tcPr>
            <w:tcW w:w="1146" w:type="dxa"/>
            <w:tcBorders>
              <w:top w:val="nil"/>
              <w:left w:val="nil"/>
              <w:bottom w:val="nil"/>
              <w:right w:val="nil"/>
            </w:tcBorders>
          </w:tcPr>
          <w:p w14:paraId="3E3034E8"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1.03</w:t>
            </w:r>
          </w:p>
        </w:tc>
        <w:tc>
          <w:tcPr>
            <w:tcW w:w="1547" w:type="dxa"/>
            <w:tcBorders>
              <w:top w:val="nil"/>
              <w:left w:val="nil"/>
              <w:bottom w:val="nil"/>
              <w:right w:val="nil"/>
            </w:tcBorders>
          </w:tcPr>
          <w:p w14:paraId="5A6A81E5"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0.10(.30)</w:t>
            </w:r>
          </w:p>
        </w:tc>
        <w:tc>
          <w:tcPr>
            <w:tcW w:w="1159" w:type="dxa"/>
            <w:tcBorders>
              <w:top w:val="nil"/>
              <w:left w:val="nil"/>
              <w:bottom w:val="nil"/>
              <w:right w:val="nil"/>
            </w:tcBorders>
          </w:tcPr>
          <w:p w14:paraId="43061152"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1.03</w:t>
            </w:r>
          </w:p>
        </w:tc>
        <w:tc>
          <w:tcPr>
            <w:tcW w:w="1534" w:type="dxa"/>
            <w:tcBorders>
              <w:top w:val="nil"/>
              <w:left w:val="nil"/>
              <w:bottom w:val="nil"/>
              <w:right w:val="nil"/>
            </w:tcBorders>
          </w:tcPr>
          <w:p w14:paraId="5AD35C8A"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0.06(.46)</w:t>
            </w:r>
          </w:p>
        </w:tc>
        <w:tc>
          <w:tcPr>
            <w:tcW w:w="1418" w:type="dxa"/>
            <w:tcBorders>
              <w:top w:val="nil"/>
              <w:left w:val="nil"/>
              <w:bottom w:val="nil"/>
              <w:right w:val="nil"/>
            </w:tcBorders>
          </w:tcPr>
          <w:p w14:paraId="79920D98"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1.03</w:t>
            </w:r>
          </w:p>
        </w:tc>
      </w:tr>
      <w:tr w:rsidR="007B26F1" w:rsidRPr="007B26F1" w14:paraId="3F4A8391" w14:textId="77777777" w:rsidTr="007B26F1">
        <w:trPr>
          <w:trHeight w:val="87"/>
        </w:trPr>
        <w:tc>
          <w:tcPr>
            <w:tcW w:w="1560" w:type="dxa"/>
            <w:tcBorders>
              <w:top w:val="nil"/>
              <w:left w:val="nil"/>
              <w:bottom w:val="nil"/>
              <w:right w:val="nil"/>
            </w:tcBorders>
          </w:tcPr>
          <w:p w14:paraId="406466FC" w14:textId="77777777" w:rsidR="007B26F1" w:rsidRPr="007B26F1" w:rsidRDefault="007B26F1" w:rsidP="007B26F1">
            <w:pPr>
              <w:spacing w:after="0" w:line="240" w:lineRule="auto"/>
              <w:rPr>
                <w:rFonts w:ascii="Times New Roman" w:eastAsia="Times New Roman" w:hAnsi="Times New Roman" w:cs="Times New Roman"/>
                <w:color w:val="000000"/>
                <w:sz w:val="17"/>
                <w:szCs w:val="17"/>
                <w:lang w:val="en-US"/>
              </w:rPr>
            </w:pPr>
            <w:r w:rsidRPr="007B26F1">
              <w:rPr>
                <w:rFonts w:ascii="Times New Roman" w:eastAsia="Times New Roman" w:hAnsi="Times New Roman" w:cs="Times New Roman"/>
                <w:color w:val="000000"/>
                <w:sz w:val="17"/>
                <w:szCs w:val="17"/>
                <w:lang w:val="en-US"/>
              </w:rPr>
              <w:t xml:space="preserve">    CPEX</w:t>
            </w:r>
          </w:p>
        </w:tc>
        <w:tc>
          <w:tcPr>
            <w:tcW w:w="1559" w:type="dxa"/>
            <w:tcBorders>
              <w:top w:val="nil"/>
              <w:left w:val="nil"/>
              <w:bottom w:val="nil"/>
              <w:right w:val="nil"/>
            </w:tcBorders>
          </w:tcPr>
          <w:p w14:paraId="66CFACE2"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-0.03(.11)</w:t>
            </w:r>
          </w:p>
        </w:tc>
        <w:tc>
          <w:tcPr>
            <w:tcW w:w="1276" w:type="dxa"/>
            <w:tcBorders>
              <w:top w:val="nil"/>
              <w:left w:val="nil"/>
              <w:bottom w:val="nil"/>
              <w:right w:val="nil"/>
            </w:tcBorders>
          </w:tcPr>
          <w:p w14:paraId="4828440D"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1.26</w:t>
            </w:r>
          </w:p>
        </w:tc>
        <w:tc>
          <w:tcPr>
            <w:tcW w:w="1417" w:type="dxa"/>
            <w:tcBorders>
              <w:top w:val="nil"/>
              <w:left w:val="nil"/>
              <w:bottom w:val="nil"/>
              <w:right w:val="nil"/>
            </w:tcBorders>
          </w:tcPr>
          <w:p w14:paraId="4BC77A6B"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-0.05(.04)</w:t>
            </w:r>
            <w:r w:rsidRPr="007B26F1">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3EB03097"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1.26</w:t>
            </w:r>
          </w:p>
        </w:tc>
        <w:tc>
          <w:tcPr>
            <w:tcW w:w="1456" w:type="dxa"/>
            <w:tcBorders>
              <w:top w:val="nil"/>
              <w:left w:val="nil"/>
              <w:bottom w:val="nil"/>
              <w:right w:val="nil"/>
            </w:tcBorders>
          </w:tcPr>
          <w:p w14:paraId="0844E2E8"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-0.01(.78)</w:t>
            </w:r>
          </w:p>
        </w:tc>
        <w:tc>
          <w:tcPr>
            <w:tcW w:w="1146" w:type="dxa"/>
            <w:tcBorders>
              <w:top w:val="nil"/>
              <w:left w:val="nil"/>
              <w:bottom w:val="nil"/>
              <w:right w:val="nil"/>
            </w:tcBorders>
          </w:tcPr>
          <w:p w14:paraId="55C18DC9"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1.26</w:t>
            </w:r>
          </w:p>
        </w:tc>
        <w:tc>
          <w:tcPr>
            <w:tcW w:w="1547" w:type="dxa"/>
            <w:tcBorders>
              <w:top w:val="nil"/>
              <w:left w:val="nil"/>
              <w:bottom w:val="nil"/>
              <w:right w:val="nil"/>
            </w:tcBorders>
          </w:tcPr>
          <w:p w14:paraId="7D693800"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-0.01(.78)</w:t>
            </w:r>
          </w:p>
        </w:tc>
        <w:tc>
          <w:tcPr>
            <w:tcW w:w="1159" w:type="dxa"/>
            <w:tcBorders>
              <w:top w:val="nil"/>
              <w:left w:val="nil"/>
              <w:bottom w:val="nil"/>
              <w:right w:val="nil"/>
            </w:tcBorders>
          </w:tcPr>
          <w:p w14:paraId="48964BFD"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1.26</w:t>
            </w:r>
          </w:p>
        </w:tc>
        <w:tc>
          <w:tcPr>
            <w:tcW w:w="1534" w:type="dxa"/>
            <w:tcBorders>
              <w:top w:val="nil"/>
              <w:left w:val="nil"/>
              <w:bottom w:val="nil"/>
              <w:right w:val="nil"/>
            </w:tcBorders>
          </w:tcPr>
          <w:p w14:paraId="48EE09A4"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-0.06(.03)</w:t>
            </w:r>
            <w:r w:rsidRPr="007B26F1">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6EF4C585"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1.26</w:t>
            </w:r>
          </w:p>
        </w:tc>
      </w:tr>
      <w:tr w:rsidR="007B26F1" w:rsidRPr="007B26F1" w14:paraId="5FC523F6" w14:textId="77777777" w:rsidTr="007B26F1">
        <w:trPr>
          <w:trHeight w:val="87"/>
        </w:trPr>
        <w:tc>
          <w:tcPr>
            <w:tcW w:w="1560" w:type="dxa"/>
            <w:tcBorders>
              <w:top w:val="nil"/>
              <w:left w:val="nil"/>
              <w:bottom w:val="nil"/>
              <w:right w:val="nil"/>
            </w:tcBorders>
          </w:tcPr>
          <w:p w14:paraId="28A61C15" w14:textId="77777777" w:rsidR="007B26F1" w:rsidRPr="007B26F1" w:rsidRDefault="007B26F1" w:rsidP="007B26F1">
            <w:pPr>
              <w:spacing w:after="0" w:line="240" w:lineRule="auto"/>
              <w:rPr>
                <w:rFonts w:ascii="Times New Roman" w:eastAsia="Times New Roman" w:hAnsi="Times New Roman" w:cs="Times New Roman"/>
                <w:color w:val="000000"/>
                <w:sz w:val="17"/>
                <w:szCs w:val="17"/>
                <w:lang w:val="en-US"/>
              </w:rPr>
            </w:pPr>
            <w:r w:rsidRPr="007B26F1">
              <w:rPr>
                <w:rFonts w:ascii="Times New Roman" w:eastAsia="Times New Roman" w:hAnsi="Times New Roman" w:cs="Times New Roman"/>
                <w:color w:val="000000"/>
                <w:sz w:val="17"/>
                <w:szCs w:val="17"/>
                <w:lang w:val="en-US"/>
              </w:rPr>
              <w:t xml:space="preserve">    LEVR</w:t>
            </w:r>
          </w:p>
        </w:tc>
        <w:tc>
          <w:tcPr>
            <w:tcW w:w="1559" w:type="dxa"/>
            <w:tcBorders>
              <w:top w:val="nil"/>
              <w:left w:val="nil"/>
              <w:bottom w:val="nil"/>
              <w:right w:val="nil"/>
            </w:tcBorders>
          </w:tcPr>
          <w:p w14:paraId="07901345"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-0.03(.45)</w:t>
            </w:r>
          </w:p>
        </w:tc>
        <w:tc>
          <w:tcPr>
            <w:tcW w:w="1276" w:type="dxa"/>
            <w:tcBorders>
              <w:top w:val="nil"/>
              <w:left w:val="nil"/>
              <w:bottom w:val="nil"/>
              <w:right w:val="nil"/>
            </w:tcBorders>
          </w:tcPr>
          <w:p w14:paraId="3D3FF60A"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1.21</w:t>
            </w:r>
          </w:p>
        </w:tc>
        <w:tc>
          <w:tcPr>
            <w:tcW w:w="1417" w:type="dxa"/>
            <w:tcBorders>
              <w:top w:val="nil"/>
              <w:left w:val="nil"/>
              <w:bottom w:val="nil"/>
              <w:right w:val="nil"/>
            </w:tcBorders>
          </w:tcPr>
          <w:p w14:paraId="59CEAB68"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0.03(.44)</w:t>
            </w:r>
          </w:p>
        </w:tc>
        <w:tc>
          <w:tcPr>
            <w:tcW w:w="1096" w:type="dxa"/>
            <w:tcBorders>
              <w:top w:val="nil"/>
              <w:left w:val="nil"/>
              <w:bottom w:val="nil"/>
              <w:right w:val="nil"/>
            </w:tcBorders>
          </w:tcPr>
          <w:p w14:paraId="6892A373"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1.21</w:t>
            </w:r>
          </w:p>
        </w:tc>
        <w:tc>
          <w:tcPr>
            <w:tcW w:w="1456" w:type="dxa"/>
            <w:tcBorders>
              <w:top w:val="nil"/>
              <w:left w:val="nil"/>
              <w:bottom w:val="nil"/>
              <w:right w:val="nil"/>
            </w:tcBorders>
          </w:tcPr>
          <w:p w14:paraId="5C95577B"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-0.02(.59)</w:t>
            </w:r>
          </w:p>
        </w:tc>
        <w:tc>
          <w:tcPr>
            <w:tcW w:w="1146" w:type="dxa"/>
            <w:tcBorders>
              <w:top w:val="nil"/>
              <w:left w:val="nil"/>
              <w:bottom w:val="nil"/>
              <w:right w:val="nil"/>
            </w:tcBorders>
          </w:tcPr>
          <w:p w14:paraId="6849E851"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1.21</w:t>
            </w:r>
          </w:p>
        </w:tc>
        <w:tc>
          <w:tcPr>
            <w:tcW w:w="1547" w:type="dxa"/>
            <w:tcBorders>
              <w:top w:val="nil"/>
              <w:left w:val="nil"/>
              <w:bottom w:val="nil"/>
              <w:right w:val="nil"/>
            </w:tcBorders>
          </w:tcPr>
          <w:p w14:paraId="76625512"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-012(.02)</w:t>
            </w:r>
            <w:r w:rsidRPr="007B26F1">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35669817"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1.21</w:t>
            </w:r>
          </w:p>
        </w:tc>
        <w:tc>
          <w:tcPr>
            <w:tcW w:w="1534" w:type="dxa"/>
            <w:tcBorders>
              <w:top w:val="nil"/>
              <w:left w:val="nil"/>
              <w:bottom w:val="nil"/>
              <w:right w:val="nil"/>
            </w:tcBorders>
          </w:tcPr>
          <w:p w14:paraId="3BE56A45"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-0.00(.93)</w:t>
            </w:r>
          </w:p>
        </w:tc>
        <w:tc>
          <w:tcPr>
            <w:tcW w:w="1418" w:type="dxa"/>
            <w:tcBorders>
              <w:top w:val="nil"/>
              <w:left w:val="nil"/>
              <w:bottom w:val="nil"/>
              <w:right w:val="nil"/>
            </w:tcBorders>
          </w:tcPr>
          <w:p w14:paraId="6B2AB095"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1.21</w:t>
            </w:r>
          </w:p>
        </w:tc>
      </w:tr>
      <w:tr w:rsidR="007B26F1" w:rsidRPr="007B26F1" w14:paraId="2DC5780B" w14:textId="77777777" w:rsidTr="007B26F1">
        <w:trPr>
          <w:trHeight w:val="87"/>
        </w:trPr>
        <w:tc>
          <w:tcPr>
            <w:tcW w:w="1560" w:type="dxa"/>
            <w:tcBorders>
              <w:top w:val="nil"/>
              <w:left w:val="nil"/>
              <w:bottom w:val="nil"/>
              <w:right w:val="nil"/>
            </w:tcBorders>
          </w:tcPr>
          <w:p w14:paraId="29017A7F" w14:textId="77777777" w:rsidR="007B26F1" w:rsidRPr="007B26F1" w:rsidRDefault="007B26F1" w:rsidP="007B26F1">
            <w:pPr>
              <w:spacing w:after="0" w:line="240" w:lineRule="auto"/>
              <w:rPr>
                <w:rFonts w:ascii="Times New Roman" w:eastAsia="Times New Roman" w:hAnsi="Times New Roman" w:cs="Times New Roman"/>
                <w:color w:val="000000"/>
                <w:sz w:val="17"/>
                <w:szCs w:val="17"/>
                <w:lang w:val="en-US"/>
              </w:rPr>
            </w:pPr>
            <w:r w:rsidRPr="007B26F1">
              <w:rPr>
                <w:rFonts w:ascii="Times New Roman" w:eastAsia="Times New Roman" w:hAnsi="Times New Roman" w:cs="Times New Roman"/>
                <w:color w:val="000000"/>
                <w:sz w:val="17"/>
                <w:szCs w:val="17"/>
                <w:lang w:val="en-US"/>
              </w:rPr>
              <w:t xml:space="preserve">    GRTH</w:t>
            </w:r>
          </w:p>
        </w:tc>
        <w:tc>
          <w:tcPr>
            <w:tcW w:w="1559" w:type="dxa"/>
            <w:tcBorders>
              <w:top w:val="nil"/>
              <w:left w:val="nil"/>
              <w:bottom w:val="nil"/>
              <w:right w:val="nil"/>
            </w:tcBorders>
          </w:tcPr>
          <w:p w14:paraId="38C523B8"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0.00(.96)</w:t>
            </w:r>
          </w:p>
        </w:tc>
        <w:tc>
          <w:tcPr>
            <w:tcW w:w="1276" w:type="dxa"/>
            <w:tcBorders>
              <w:top w:val="nil"/>
              <w:left w:val="nil"/>
              <w:bottom w:val="nil"/>
              <w:right w:val="nil"/>
            </w:tcBorders>
          </w:tcPr>
          <w:p w14:paraId="7DF80B8D"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1.04</w:t>
            </w:r>
          </w:p>
        </w:tc>
        <w:tc>
          <w:tcPr>
            <w:tcW w:w="1417" w:type="dxa"/>
            <w:tcBorders>
              <w:top w:val="nil"/>
              <w:left w:val="nil"/>
              <w:bottom w:val="nil"/>
              <w:right w:val="nil"/>
            </w:tcBorders>
          </w:tcPr>
          <w:p w14:paraId="2FE02BE4"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-0.07(.45)</w:t>
            </w:r>
          </w:p>
        </w:tc>
        <w:tc>
          <w:tcPr>
            <w:tcW w:w="1096" w:type="dxa"/>
            <w:tcBorders>
              <w:top w:val="nil"/>
              <w:left w:val="nil"/>
              <w:bottom w:val="nil"/>
              <w:right w:val="nil"/>
            </w:tcBorders>
          </w:tcPr>
          <w:p w14:paraId="4600937C"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1.04</w:t>
            </w:r>
          </w:p>
        </w:tc>
        <w:tc>
          <w:tcPr>
            <w:tcW w:w="1456" w:type="dxa"/>
            <w:tcBorders>
              <w:top w:val="nil"/>
              <w:left w:val="nil"/>
              <w:bottom w:val="nil"/>
              <w:right w:val="nil"/>
            </w:tcBorders>
          </w:tcPr>
          <w:p w14:paraId="1F26C4BB"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0.01(.96)</w:t>
            </w:r>
          </w:p>
        </w:tc>
        <w:tc>
          <w:tcPr>
            <w:tcW w:w="1146" w:type="dxa"/>
            <w:tcBorders>
              <w:top w:val="nil"/>
              <w:left w:val="nil"/>
              <w:bottom w:val="nil"/>
              <w:right w:val="nil"/>
            </w:tcBorders>
          </w:tcPr>
          <w:p w14:paraId="2D55F4C1"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1.04</w:t>
            </w:r>
          </w:p>
        </w:tc>
        <w:tc>
          <w:tcPr>
            <w:tcW w:w="1547" w:type="dxa"/>
            <w:tcBorders>
              <w:top w:val="nil"/>
              <w:left w:val="nil"/>
              <w:bottom w:val="nil"/>
              <w:right w:val="nil"/>
            </w:tcBorders>
          </w:tcPr>
          <w:p w14:paraId="559B5A24"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0.00(.98)</w:t>
            </w:r>
          </w:p>
        </w:tc>
        <w:tc>
          <w:tcPr>
            <w:tcW w:w="1159" w:type="dxa"/>
            <w:tcBorders>
              <w:top w:val="nil"/>
              <w:left w:val="nil"/>
              <w:bottom w:val="nil"/>
              <w:right w:val="nil"/>
            </w:tcBorders>
          </w:tcPr>
          <w:p w14:paraId="43DE029A"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1.04</w:t>
            </w:r>
          </w:p>
        </w:tc>
        <w:tc>
          <w:tcPr>
            <w:tcW w:w="1534" w:type="dxa"/>
            <w:tcBorders>
              <w:top w:val="nil"/>
              <w:left w:val="nil"/>
              <w:bottom w:val="nil"/>
              <w:right w:val="nil"/>
            </w:tcBorders>
          </w:tcPr>
          <w:p w14:paraId="37169A86"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-0.03(.77)</w:t>
            </w:r>
          </w:p>
        </w:tc>
        <w:tc>
          <w:tcPr>
            <w:tcW w:w="1418" w:type="dxa"/>
            <w:tcBorders>
              <w:top w:val="nil"/>
              <w:left w:val="nil"/>
              <w:bottom w:val="nil"/>
              <w:right w:val="nil"/>
            </w:tcBorders>
          </w:tcPr>
          <w:p w14:paraId="7932D294"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1.04</w:t>
            </w:r>
          </w:p>
        </w:tc>
      </w:tr>
      <w:tr w:rsidR="007B26F1" w:rsidRPr="007B26F1" w14:paraId="071FB235" w14:textId="77777777" w:rsidTr="007B26F1">
        <w:trPr>
          <w:trHeight w:val="87"/>
        </w:trPr>
        <w:tc>
          <w:tcPr>
            <w:tcW w:w="1560" w:type="dxa"/>
            <w:tcBorders>
              <w:top w:val="nil"/>
              <w:left w:val="nil"/>
              <w:bottom w:val="nil"/>
              <w:right w:val="nil"/>
            </w:tcBorders>
          </w:tcPr>
          <w:p w14:paraId="0B9B16A4" w14:textId="77777777" w:rsidR="007B26F1" w:rsidRPr="007B26F1" w:rsidRDefault="007B26F1" w:rsidP="007B26F1">
            <w:pPr>
              <w:spacing w:after="0" w:line="240" w:lineRule="auto"/>
              <w:rPr>
                <w:rFonts w:ascii="Times New Roman" w:eastAsia="Times New Roman" w:hAnsi="Times New Roman" w:cs="Times New Roman"/>
                <w:color w:val="000000"/>
                <w:sz w:val="17"/>
                <w:szCs w:val="17"/>
                <w:lang w:val="en-US"/>
              </w:rPr>
            </w:pPr>
            <w:r w:rsidRPr="007B26F1">
              <w:rPr>
                <w:rFonts w:ascii="Times New Roman" w:eastAsia="Times New Roman" w:hAnsi="Times New Roman" w:cs="Times New Roman"/>
                <w:color w:val="000000"/>
                <w:sz w:val="17"/>
                <w:szCs w:val="17"/>
                <w:lang w:val="en-US"/>
              </w:rPr>
              <w:t xml:space="preserve">    RISK</w:t>
            </w:r>
          </w:p>
        </w:tc>
        <w:tc>
          <w:tcPr>
            <w:tcW w:w="1559" w:type="dxa"/>
            <w:tcBorders>
              <w:top w:val="nil"/>
              <w:left w:val="nil"/>
              <w:bottom w:val="nil"/>
              <w:right w:val="nil"/>
            </w:tcBorders>
          </w:tcPr>
          <w:p w14:paraId="57C0407B"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0.02(.95)</w:t>
            </w:r>
          </w:p>
        </w:tc>
        <w:tc>
          <w:tcPr>
            <w:tcW w:w="1276" w:type="dxa"/>
            <w:tcBorders>
              <w:top w:val="nil"/>
              <w:left w:val="nil"/>
              <w:bottom w:val="nil"/>
              <w:right w:val="nil"/>
            </w:tcBorders>
          </w:tcPr>
          <w:p w14:paraId="0576A3A7"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1.10</w:t>
            </w:r>
          </w:p>
        </w:tc>
        <w:tc>
          <w:tcPr>
            <w:tcW w:w="1417" w:type="dxa"/>
            <w:tcBorders>
              <w:top w:val="nil"/>
              <w:left w:val="nil"/>
              <w:bottom w:val="nil"/>
              <w:right w:val="nil"/>
            </w:tcBorders>
          </w:tcPr>
          <w:p w14:paraId="3370DF89"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0.19(.58)</w:t>
            </w:r>
          </w:p>
        </w:tc>
        <w:tc>
          <w:tcPr>
            <w:tcW w:w="1096" w:type="dxa"/>
            <w:tcBorders>
              <w:top w:val="nil"/>
              <w:left w:val="nil"/>
              <w:bottom w:val="nil"/>
              <w:right w:val="nil"/>
            </w:tcBorders>
          </w:tcPr>
          <w:p w14:paraId="0C3C6882"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1.10</w:t>
            </w:r>
          </w:p>
        </w:tc>
        <w:tc>
          <w:tcPr>
            <w:tcW w:w="1456" w:type="dxa"/>
            <w:tcBorders>
              <w:top w:val="nil"/>
              <w:left w:val="nil"/>
              <w:bottom w:val="nil"/>
              <w:right w:val="nil"/>
            </w:tcBorders>
          </w:tcPr>
          <w:p w14:paraId="0481FF9F"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0.08(.84)</w:t>
            </w:r>
          </w:p>
        </w:tc>
        <w:tc>
          <w:tcPr>
            <w:tcW w:w="1146" w:type="dxa"/>
            <w:tcBorders>
              <w:top w:val="nil"/>
              <w:left w:val="nil"/>
              <w:bottom w:val="nil"/>
              <w:right w:val="nil"/>
            </w:tcBorders>
          </w:tcPr>
          <w:p w14:paraId="0A3839AD"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1.10</w:t>
            </w:r>
          </w:p>
        </w:tc>
        <w:tc>
          <w:tcPr>
            <w:tcW w:w="1547" w:type="dxa"/>
            <w:tcBorders>
              <w:top w:val="nil"/>
              <w:left w:val="nil"/>
              <w:bottom w:val="nil"/>
              <w:right w:val="nil"/>
            </w:tcBorders>
          </w:tcPr>
          <w:p w14:paraId="2A095D31"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0.13(.75)</w:t>
            </w:r>
          </w:p>
        </w:tc>
        <w:tc>
          <w:tcPr>
            <w:tcW w:w="1159" w:type="dxa"/>
            <w:tcBorders>
              <w:top w:val="nil"/>
              <w:left w:val="nil"/>
              <w:bottom w:val="nil"/>
              <w:right w:val="nil"/>
            </w:tcBorders>
          </w:tcPr>
          <w:p w14:paraId="4448F53F"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1.10</w:t>
            </w:r>
          </w:p>
        </w:tc>
        <w:tc>
          <w:tcPr>
            <w:tcW w:w="1534" w:type="dxa"/>
            <w:tcBorders>
              <w:top w:val="nil"/>
              <w:left w:val="nil"/>
              <w:bottom w:val="nil"/>
              <w:right w:val="nil"/>
            </w:tcBorders>
          </w:tcPr>
          <w:p w14:paraId="3DF54090"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-0.14(.69)</w:t>
            </w:r>
          </w:p>
        </w:tc>
        <w:tc>
          <w:tcPr>
            <w:tcW w:w="1418" w:type="dxa"/>
            <w:tcBorders>
              <w:top w:val="nil"/>
              <w:left w:val="nil"/>
              <w:bottom w:val="nil"/>
              <w:right w:val="nil"/>
            </w:tcBorders>
          </w:tcPr>
          <w:p w14:paraId="04BAA384"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1.10</w:t>
            </w:r>
          </w:p>
        </w:tc>
      </w:tr>
      <w:tr w:rsidR="007B26F1" w:rsidRPr="007B26F1" w14:paraId="017388E1" w14:textId="77777777" w:rsidTr="007B26F1">
        <w:trPr>
          <w:trHeight w:val="109"/>
        </w:trPr>
        <w:tc>
          <w:tcPr>
            <w:tcW w:w="1560" w:type="dxa"/>
            <w:tcBorders>
              <w:top w:val="nil"/>
              <w:left w:val="nil"/>
              <w:bottom w:val="nil"/>
              <w:right w:val="nil"/>
            </w:tcBorders>
          </w:tcPr>
          <w:p w14:paraId="66045805" w14:textId="77777777" w:rsidR="007B26F1" w:rsidRPr="007B26F1" w:rsidRDefault="007B26F1" w:rsidP="007B26F1">
            <w:pPr>
              <w:spacing w:after="0" w:line="240" w:lineRule="auto"/>
              <w:rPr>
                <w:rFonts w:ascii="Times New Roman" w:eastAsia="Times New Roman" w:hAnsi="Times New Roman" w:cs="Times New Roman"/>
                <w:color w:val="000000"/>
                <w:sz w:val="17"/>
                <w:szCs w:val="17"/>
                <w:lang w:val="en-US"/>
              </w:rPr>
            </w:pPr>
            <w:r w:rsidRPr="007B26F1">
              <w:rPr>
                <w:rFonts w:ascii="Times New Roman" w:eastAsia="Times New Roman" w:hAnsi="Times New Roman" w:cs="Times New Roman"/>
                <w:color w:val="000000"/>
                <w:sz w:val="17"/>
                <w:szCs w:val="17"/>
                <w:lang w:val="en-US"/>
              </w:rPr>
              <w:t xml:space="preserve">    CNTRYD</w:t>
            </w:r>
          </w:p>
        </w:tc>
        <w:tc>
          <w:tcPr>
            <w:tcW w:w="1559" w:type="dxa"/>
            <w:tcBorders>
              <w:top w:val="nil"/>
              <w:left w:val="nil"/>
              <w:bottom w:val="nil"/>
              <w:right w:val="nil"/>
            </w:tcBorders>
          </w:tcPr>
          <w:p w14:paraId="4FB19D92"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276" w:type="dxa"/>
            <w:tcBorders>
              <w:top w:val="nil"/>
              <w:left w:val="nil"/>
              <w:bottom w:val="nil"/>
              <w:right w:val="nil"/>
            </w:tcBorders>
          </w:tcPr>
          <w:p w14:paraId="6BF6B723"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417" w:type="dxa"/>
            <w:tcBorders>
              <w:top w:val="nil"/>
              <w:left w:val="nil"/>
              <w:bottom w:val="nil"/>
              <w:right w:val="nil"/>
            </w:tcBorders>
          </w:tcPr>
          <w:p w14:paraId="72DCB665"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096" w:type="dxa"/>
            <w:tcBorders>
              <w:top w:val="nil"/>
              <w:left w:val="nil"/>
              <w:bottom w:val="nil"/>
              <w:right w:val="nil"/>
            </w:tcBorders>
          </w:tcPr>
          <w:p w14:paraId="184E2420"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456" w:type="dxa"/>
            <w:tcBorders>
              <w:top w:val="nil"/>
              <w:left w:val="nil"/>
              <w:bottom w:val="nil"/>
              <w:right w:val="nil"/>
            </w:tcBorders>
          </w:tcPr>
          <w:p w14:paraId="08CC949A"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146" w:type="dxa"/>
            <w:tcBorders>
              <w:top w:val="nil"/>
              <w:left w:val="nil"/>
              <w:bottom w:val="nil"/>
              <w:right w:val="nil"/>
            </w:tcBorders>
          </w:tcPr>
          <w:p w14:paraId="2B6D9B88"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547" w:type="dxa"/>
            <w:tcBorders>
              <w:top w:val="nil"/>
              <w:left w:val="nil"/>
              <w:bottom w:val="nil"/>
              <w:right w:val="nil"/>
            </w:tcBorders>
          </w:tcPr>
          <w:p w14:paraId="26F4841A"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159" w:type="dxa"/>
            <w:tcBorders>
              <w:top w:val="nil"/>
              <w:left w:val="nil"/>
              <w:bottom w:val="nil"/>
              <w:right w:val="nil"/>
            </w:tcBorders>
          </w:tcPr>
          <w:p w14:paraId="0D7CAF2B"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534" w:type="dxa"/>
            <w:tcBorders>
              <w:top w:val="nil"/>
              <w:left w:val="nil"/>
              <w:bottom w:val="nil"/>
              <w:right w:val="nil"/>
            </w:tcBorders>
          </w:tcPr>
          <w:p w14:paraId="0358B04F"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418" w:type="dxa"/>
            <w:tcBorders>
              <w:top w:val="nil"/>
              <w:left w:val="nil"/>
              <w:bottom w:val="nil"/>
              <w:right w:val="nil"/>
            </w:tcBorders>
          </w:tcPr>
          <w:p w14:paraId="7C707633"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r>
      <w:tr w:rsidR="007B26F1" w:rsidRPr="007B26F1" w14:paraId="314C819F" w14:textId="77777777" w:rsidTr="007B26F1">
        <w:tc>
          <w:tcPr>
            <w:tcW w:w="1560" w:type="dxa"/>
            <w:tcBorders>
              <w:top w:val="nil"/>
              <w:left w:val="nil"/>
              <w:bottom w:val="nil"/>
              <w:right w:val="nil"/>
            </w:tcBorders>
          </w:tcPr>
          <w:p w14:paraId="4856C713" w14:textId="77777777" w:rsidR="007B26F1" w:rsidRPr="007B26F1" w:rsidRDefault="007B26F1" w:rsidP="007B26F1">
            <w:pPr>
              <w:spacing w:after="0"/>
              <w:rPr>
                <w:rFonts w:ascii="Times New Roman" w:eastAsia="SimSun" w:hAnsi="Times New Roman" w:cs="Times New Roman"/>
                <w:color w:val="000000"/>
                <w:sz w:val="17"/>
                <w:szCs w:val="17"/>
                <w:lang w:val="en-US"/>
              </w:rPr>
            </w:pPr>
            <w:r w:rsidRPr="007B26F1">
              <w:rPr>
                <w:rFonts w:ascii="Times New Roman" w:eastAsia="SimSun" w:hAnsi="Times New Roman" w:cs="Times New Roman"/>
                <w:color w:val="000000"/>
                <w:sz w:val="17"/>
                <w:szCs w:val="17"/>
                <w:lang w:val="en-US"/>
              </w:rPr>
              <w:t>Constant</w:t>
            </w:r>
          </w:p>
        </w:tc>
        <w:tc>
          <w:tcPr>
            <w:tcW w:w="1559" w:type="dxa"/>
            <w:tcBorders>
              <w:top w:val="nil"/>
              <w:left w:val="nil"/>
              <w:bottom w:val="nil"/>
              <w:right w:val="nil"/>
            </w:tcBorders>
          </w:tcPr>
          <w:p w14:paraId="44200B9B"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0.38</w:t>
            </w:r>
          </w:p>
        </w:tc>
        <w:tc>
          <w:tcPr>
            <w:tcW w:w="1276" w:type="dxa"/>
            <w:tcBorders>
              <w:top w:val="nil"/>
              <w:left w:val="nil"/>
              <w:bottom w:val="nil"/>
              <w:right w:val="nil"/>
            </w:tcBorders>
          </w:tcPr>
          <w:p w14:paraId="1C6A073D"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417" w:type="dxa"/>
            <w:tcBorders>
              <w:top w:val="nil"/>
              <w:left w:val="nil"/>
              <w:bottom w:val="nil"/>
              <w:right w:val="nil"/>
            </w:tcBorders>
          </w:tcPr>
          <w:p w14:paraId="2AA45F0A"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0.09</w:t>
            </w:r>
          </w:p>
        </w:tc>
        <w:tc>
          <w:tcPr>
            <w:tcW w:w="1096" w:type="dxa"/>
            <w:tcBorders>
              <w:top w:val="nil"/>
              <w:left w:val="nil"/>
              <w:bottom w:val="nil"/>
              <w:right w:val="nil"/>
            </w:tcBorders>
          </w:tcPr>
          <w:p w14:paraId="7EDEDF17"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456" w:type="dxa"/>
            <w:tcBorders>
              <w:top w:val="nil"/>
              <w:left w:val="nil"/>
              <w:bottom w:val="nil"/>
              <w:right w:val="nil"/>
            </w:tcBorders>
          </w:tcPr>
          <w:p w14:paraId="47217B1A"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0.42</w:t>
            </w:r>
          </w:p>
        </w:tc>
        <w:tc>
          <w:tcPr>
            <w:tcW w:w="1146" w:type="dxa"/>
            <w:tcBorders>
              <w:top w:val="nil"/>
              <w:left w:val="nil"/>
              <w:bottom w:val="nil"/>
              <w:right w:val="nil"/>
            </w:tcBorders>
          </w:tcPr>
          <w:p w14:paraId="6A7C7720"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547" w:type="dxa"/>
            <w:tcBorders>
              <w:top w:val="nil"/>
              <w:left w:val="nil"/>
              <w:bottom w:val="nil"/>
              <w:right w:val="nil"/>
            </w:tcBorders>
          </w:tcPr>
          <w:p w14:paraId="43F2E8EE"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0.42</w:t>
            </w:r>
          </w:p>
        </w:tc>
        <w:tc>
          <w:tcPr>
            <w:tcW w:w="1159" w:type="dxa"/>
            <w:tcBorders>
              <w:top w:val="nil"/>
              <w:left w:val="nil"/>
              <w:bottom w:val="nil"/>
              <w:right w:val="nil"/>
            </w:tcBorders>
          </w:tcPr>
          <w:p w14:paraId="58DED84A"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534" w:type="dxa"/>
            <w:tcBorders>
              <w:top w:val="nil"/>
              <w:left w:val="nil"/>
              <w:bottom w:val="nil"/>
              <w:right w:val="nil"/>
            </w:tcBorders>
          </w:tcPr>
          <w:p w14:paraId="781C62F3"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0.54</w:t>
            </w:r>
            <w:r w:rsidRPr="007B26F1">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740CFCD6"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r>
      <w:tr w:rsidR="007B26F1" w:rsidRPr="007B26F1" w14:paraId="3103C0F4" w14:textId="77777777" w:rsidTr="007B26F1">
        <w:tc>
          <w:tcPr>
            <w:tcW w:w="1560" w:type="dxa"/>
            <w:tcBorders>
              <w:top w:val="nil"/>
              <w:left w:val="nil"/>
              <w:bottom w:val="nil"/>
              <w:right w:val="nil"/>
            </w:tcBorders>
          </w:tcPr>
          <w:p w14:paraId="5F158F8B" w14:textId="77777777" w:rsidR="007B26F1" w:rsidRPr="007B26F1" w:rsidRDefault="007B26F1" w:rsidP="007B26F1">
            <w:pPr>
              <w:spacing w:after="0"/>
              <w:rPr>
                <w:rFonts w:ascii="Times New Roman" w:eastAsia="SimSun" w:hAnsi="Times New Roman" w:cs="Times New Roman"/>
                <w:color w:val="000000"/>
                <w:sz w:val="17"/>
                <w:szCs w:val="17"/>
                <w:lang w:val="en-US"/>
              </w:rPr>
            </w:pPr>
            <w:r w:rsidRPr="007B26F1">
              <w:rPr>
                <w:rFonts w:ascii="Times New Roman" w:eastAsia="SimSun" w:hAnsi="Times New Roman" w:cs="Times New Roman"/>
                <w:color w:val="000000"/>
                <w:sz w:val="17"/>
                <w:szCs w:val="17"/>
                <w:lang w:val="en-US"/>
              </w:rPr>
              <w:t>Dur-Wat.</w:t>
            </w:r>
          </w:p>
        </w:tc>
        <w:tc>
          <w:tcPr>
            <w:tcW w:w="1559" w:type="dxa"/>
            <w:tcBorders>
              <w:top w:val="nil"/>
              <w:left w:val="nil"/>
              <w:bottom w:val="nil"/>
              <w:right w:val="nil"/>
            </w:tcBorders>
          </w:tcPr>
          <w:p w14:paraId="5930BF15"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1.75</w:t>
            </w:r>
          </w:p>
        </w:tc>
        <w:tc>
          <w:tcPr>
            <w:tcW w:w="1276" w:type="dxa"/>
            <w:tcBorders>
              <w:top w:val="nil"/>
              <w:left w:val="nil"/>
              <w:bottom w:val="nil"/>
              <w:right w:val="nil"/>
            </w:tcBorders>
          </w:tcPr>
          <w:p w14:paraId="3E1F5E92"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417" w:type="dxa"/>
            <w:tcBorders>
              <w:top w:val="nil"/>
              <w:left w:val="nil"/>
              <w:bottom w:val="nil"/>
              <w:right w:val="nil"/>
            </w:tcBorders>
          </w:tcPr>
          <w:p w14:paraId="547BEDFD"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1.78</w:t>
            </w:r>
          </w:p>
        </w:tc>
        <w:tc>
          <w:tcPr>
            <w:tcW w:w="1096" w:type="dxa"/>
            <w:tcBorders>
              <w:top w:val="nil"/>
              <w:left w:val="nil"/>
              <w:bottom w:val="nil"/>
              <w:right w:val="nil"/>
            </w:tcBorders>
          </w:tcPr>
          <w:p w14:paraId="3165F2C8"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456" w:type="dxa"/>
            <w:tcBorders>
              <w:top w:val="nil"/>
              <w:left w:val="nil"/>
              <w:bottom w:val="nil"/>
              <w:right w:val="nil"/>
            </w:tcBorders>
          </w:tcPr>
          <w:p w14:paraId="2F1F9D67"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1.76</w:t>
            </w:r>
          </w:p>
        </w:tc>
        <w:tc>
          <w:tcPr>
            <w:tcW w:w="1146" w:type="dxa"/>
            <w:tcBorders>
              <w:top w:val="nil"/>
              <w:left w:val="nil"/>
              <w:bottom w:val="nil"/>
              <w:right w:val="nil"/>
            </w:tcBorders>
          </w:tcPr>
          <w:p w14:paraId="6AE63B7A"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547" w:type="dxa"/>
            <w:tcBorders>
              <w:top w:val="nil"/>
              <w:left w:val="nil"/>
              <w:bottom w:val="nil"/>
              <w:right w:val="nil"/>
            </w:tcBorders>
          </w:tcPr>
          <w:p w14:paraId="1D84A6F7"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1.79</w:t>
            </w:r>
          </w:p>
        </w:tc>
        <w:tc>
          <w:tcPr>
            <w:tcW w:w="1159" w:type="dxa"/>
            <w:tcBorders>
              <w:top w:val="nil"/>
              <w:left w:val="nil"/>
              <w:bottom w:val="nil"/>
              <w:right w:val="nil"/>
            </w:tcBorders>
          </w:tcPr>
          <w:p w14:paraId="05061E16"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534" w:type="dxa"/>
            <w:tcBorders>
              <w:top w:val="nil"/>
              <w:left w:val="nil"/>
              <w:bottom w:val="nil"/>
              <w:right w:val="nil"/>
            </w:tcBorders>
          </w:tcPr>
          <w:p w14:paraId="56BCE8FD"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1.90</w:t>
            </w:r>
          </w:p>
        </w:tc>
        <w:tc>
          <w:tcPr>
            <w:tcW w:w="1418" w:type="dxa"/>
            <w:tcBorders>
              <w:top w:val="nil"/>
              <w:left w:val="nil"/>
              <w:bottom w:val="nil"/>
              <w:right w:val="nil"/>
            </w:tcBorders>
          </w:tcPr>
          <w:p w14:paraId="28431830"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r>
      <w:tr w:rsidR="007B26F1" w:rsidRPr="007B26F1" w14:paraId="7BB9E8AC" w14:textId="77777777" w:rsidTr="007B26F1">
        <w:tc>
          <w:tcPr>
            <w:tcW w:w="1560" w:type="dxa"/>
            <w:tcBorders>
              <w:top w:val="nil"/>
              <w:left w:val="nil"/>
              <w:bottom w:val="nil"/>
              <w:right w:val="nil"/>
            </w:tcBorders>
          </w:tcPr>
          <w:p w14:paraId="780E3079" w14:textId="77777777" w:rsidR="007B26F1" w:rsidRPr="007B26F1" w:rsidRDefault="007B26F1" w:rsidP="007B26F1">
            <w:pPr>
              <w:spacing w:after="0"/>
              <w:rPr>
                <w:rFonts w:ascii="Times New Roman" w:eastAsia="SimSun" w:hAnsi="Times New Roman" w:cs="Times New Roman"/>
                <w:i/>
                <w:iCs/>
                <w:color w:val="000000"/>
                <w:sz w:val="17"/>
                <w:szCs w:val="17"/>
                <w:lang w:val="en-US"/>
              </w:rPr>
            </w:pPr>
            <w:r w:rsidRPr="007B26F1">
              <w:rPr>
                <w:rFonts w:ascii="Times New Roman" w:eastAsia="SimSun" w:hAnsi="Times New Roman" w:cs="Times New Roman"/>
                <w:i/>
                <w:iCs/>
                <w:color w:val="000000"/>
                <w:sz w:val="17"/>
                <w:szCs w:val="17"/>
                <w:lang w:val="en-US"/>
              </w:rPr>
              <w:t>F</w:t>
            </w:r>
            <w:r w:rsidRPr="007B26F1">
              <w:rPr>
                <w:rFonts w:ascii="Times New Roman" w:eastAsia="SimSun" w:hAnsi="Times New Roman" w:cs="Times New Roman"/>
                <w:color w:val="000000"/>
                <w:sz w:val="17"/>
                <w:szCs w:val="17"/>
                <w:lang w:val="en-US"/>
              </w:rPr>
              <w:t>- value</w:t>
            </w:r>
          </w:p>
        </w:tc>
        <w:tc>
          <w:tcPr>
            <w:tcW w:w="1559" w:type="dxa"/>
            <w:tcBorders>
              <w:top w:val="nil"/>
              <w:left w:val="nil"/>
              <w:bottom w:val="nil"/>
              <w:right w:val="nil"/>
            </w:tcBorders>
          </w:tcPr>
          <w:p w14:paraId="53667802"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6.03</w:t>
            </w:r>
            <w:r w:rsidRPr="007B26F1">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1D16CDDA"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417" w:type="dxa"/>
            <w:tcBorders>
              <w:top w:val="nil"/>
              <w:left w:val="nil"/>
              <w:bottom w:val="nil"/>
              <w:right w:val="nil"/>
            </w:tcBorders>
          </w:tcPr>
          <w:p w14:paraId="0EE3F7F8"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4.69</w:t>
            </w:r>
            <w:r w:rsidRPr="007B26F1">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5AAC9B6A"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456" w:type="dxa"/>
            <w:tcBorders>
              <w:top w:val="nil"/>
              <w:left w:val="nil"/>
              <w:bottom w:val="nil"/>
              <w:right w:val="nil"/>
            </w:tcBorders>
          </w:tcPr>
          <w:p w14:paraId="2AD325CC"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5.33</w:t>
            </w:r>
            <w:r w:rsidRPr="007B26F1">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015DD95B"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547" w:type="dxa"/>
            <w:tcBorders>
              <w:top w:val="nil"/>
              <w:left w:val="nil"/>
              <w:bottom w:val="nil"/>
              <w:right w:val="nil"/>
            </w:tcBorders>
          </w:tcPr>
          <w:p w14:paraId="08682E29"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5.62</w:t>
            </w:r>
            <w:r w:rsidRPr="007B26F1">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1FBF93EB"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534" w:type="dxa"/>
            <w:tcBorders>
              <w:top w:val="nil"/>
              <w:left w:val="nil"/>
              <w:bottom w:val="nil"/>
              <w:right w:val="nil"/>
            </w:tcBorders>
          </w:tcPr>
          <w:p w14:paraId="139A661E" w14:textId="77777777" w:rsidR="007B26F1" w:rsidRPr="007B26F1" w:rsidRDefault="007B26F1" w:rsidP="007B26F1">
            <w:pPr>
              <w:spacing w:after="0"/>
              <w:rPr>
                <w:rFonts w:ascii="Times New Roman" w:eastAsia="Times New Roman" w:hAnsi="Times New Roman" w:cs="Times New Roman"/>
                <w:sz w:val="17"/>
                <w:szCs w:val="17"/>
                <w:vertAlign w:val="superscript"/>
              </w:rPr>
            </w:pPr>
            <w:r w:rsidRPr="007B26F1">
              <w:rPr>
                <w:rFonts w:ascii="Times New Roman" w:eastAsia="Times New Roman" w:hAnsi="Times New Roman" w:cs="Times New Roman"/>
                <w:sz w:val="17"/>
                <w:szCs w:val="17"/>
              </w:rPr>
              <w:t>5.31</w:t>
            </w:r>
            <w:r w:rsidRPr="007B26F1">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254C5086"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r>
      <w:tr w:rsidR="007B26F1" w:rsidRPr="007B26F1" w14:paraId="30E1B395" w14:textId="77777777" w:rsidTr="007B26F1">
        <w:tc>
          <w:tcPr>
            <w:tcW w:w="1560" w:type="dxa"/>
            <w:tcBorders>
              <w:top w:val="nil"/>
              <w:left w:val="nil"/>
              <w:right w:val="nil"/>
            </w:tcBorders>
          </w:tcPr>
          <w:p w14:paraId="26201BB0" w14:textId="77777777" w:rsidR="007B26F1" w:rsidRPr="007B26F1" w:rsidRDefault="007B26F1" w:rsidP="007B26F1">
            <w:pPr>
              <w:spacing w:after="0"/>
              <w:rPr>
                <w:rFonts w:ascii="Times New Roman" w:eastAsia="SimSun" w:hAnsi="Times New Roman" w:cs="Times New Roman"/>
                <w:color w:val="000000"/>
                <w:sz w:val="17"/>
                <w:szCs w:val="17"/>
                <w:lang w:val="en-US"/>
              </w:rPr>
            </w:pPr>
            <w:r w:rsidRPr="007B26F1">
              <w:rPr>
                <w:rFonts w:ascii="Times New Roman" w:eastAsia="SimSun" w:hAnsi="Times New Roman" w:cs="Times New Roman"/>
                <w:color w:val="000000"/>
                <w:sz w:val="17"/>
                <w:szCs w:val="17"/>
                <w:lang w:val="en-US"/>
              </w:rPr>
              <w:t xml:space="preserve">Adj. </w:t>
            </w:r>
            <w:r w:rsidRPr="007B26F1">
              <w:rPr>
                <w:rFonts w:ascii="Times New Roman" w:eastAsia="SimSun" w:hAnsi="Times New Roman" w:cs="Times New Roman"/>
                <w:i/>
                <w:sz w:val="17"/>
                <w:szCs w:val="17"/>
                <w:lang w:val="en-US"/>
              </w:rPr>
              <w:t>R</w:t>
            </w:r>
            <w:r w:rsidRPr="007B26F1">
              <w:rPr>
                <w:rFonts w:ascii="Times New Roman" w:eastAsia="SimSun" w:hAnsi="Times New Roman" w:cs="Times New Roman"/>
                <w:i/>
                <w:sz w:val="17"/>
                <w:szCs w:val="17"/>
                <w:vertAlign w:val="superscript"/>
                <w:lang w:val="en-US"/>
              </w:rPr>
              <w:t>2</w:t>
            </w:r>
          </w:p>
        </w:tc>
        <w:tc>
          <w:tcPr>
            <w:tcW w:w="1559" w:type="dxa"/>
            <w:tcBorders>
              <w:top w:val="nil"/>
              <w:left w:val="nil"/>
              <w:right w:val="nil"/>
            </w:tcBorders>
          </w:tcPr>
          <w:p w14:paraId="38D30149"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0.16</w:t>
            </w:r>
          </w:p>
        </w:tc>
        <w:tc>
          <w:tcPr>
            <w:tcW w:w="1276" w:type="dxa"/>
            <w:tcBorders>
              <w:top w:val="nil"/>
              <w:left w:val="nil"/>
              <w:right w:val="nil"/>
            </w:tcBorders>
          </w:tcPr>
          <w:p w14:paraId="11E518E7"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417" w:type="dxa"/>
            <w:tcBorders>
              <w:top w:val="nil"/>
              <w:left w:val="nil"/>
              <w:right w:val="nil"/>
            </w:tcBorders>
          </w:tcPr>
          <w:p w14:paraId="1CF8FF0E"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0.13</w:t>
            </w:r>
          </w:p>
        </w:tc>
        <w:tc>
          <w:tcPr>
            <w:tcW w:w="1096" w:type="dxa"/>
            <w:tcBorders>
              <w:top w:val="nil"/>
              <w:left w:val="nil"/>
              <w:right w:val="nil"/>
            </w:tcBorders>
          </w:tcPr>
          <w:p w14:paraId="175D8B37"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456" w:type="dxa"/>
            <w:tcBorders>
              <w:top w:val="nil"/>
              <w:left w:val="nil"/>
              <w:right w:val="nil"/>
            </w:tcBorders>
          </w:tcPr>
          <w:p w14:paraId="7AB26943"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0.15</w:t>
            </w:r>
          </w:p>
        </w:tc>
        <w:tc>
          <w:tcPr>
            <w:tcW w:w="1146" w:type="dxa"/>
            <w:tcBorders>
              <w:top w:val="nil"/>
              <w:left w:val="nil"/>
              <w:right w:val="nil"/>
            </w:tcBorders>
          </w:tcPr>
          <w:p w14:paraId="297D1698"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547" w:type="dxa"/>
            <w:tcBorders>
              <w:top w:val="nil"/>
              <w:left w:val="nil"/>
              <w:right w:val="nil"/>
            </w:tcBorders>
          </w:tcPr>
          <w:p w14:paraId="3ED88462"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0.15</w:t>
            </w:r>
          </w:p>
        </w:tc>
        <w:tc>
          <w:tcPr>
            <w:tcW w:w="1159" w:type="dxa"/>
            <w:tcBorders>
              <w:top w:val="nil"/>
              <w:left w:val="nil"/>
              <w:right w:val="nil"/>
            </w:tcBorders>
          </w:tcPr>
          <w:p w14:paraId="135B822A"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534" w:type="dxa"/>
            <w:tcBorders>
              <w:top w:val="nil"/>
              <w:left w:val="nil"/>
              <w:right w:val="nil"/>
            </w:tcBorders>
          </w:tcPr>
          <w:p w14:paraId="389D4193"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0.14</w:t>
            </w:r>
          </w:p>
        </w:tc>
        <w:tc>
          <w:tcPr>
            <w:tcW w:w="1418" w:type="dxa"/>
            <w:tcBorders>
              <w:top w:val="nil"/>
              <w:left w:val="nil"/>
              <w:right w:val="nil"/>
            </w:tcBorders>
          </w:tcPr>
          <w:p w14:paraId="03E986B6"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r>
      <w:tr w:rsidR="007B26F1" w:rsidRPr="007B26F1" w14:paraId="4FF52E13" w14:textId="77777777" w:rsidTr="007B26F1">
        <w:tc>
          <w:tcPr>
            <w:tcW w:w="1560" w:type="dxa"/>
            <w:tcBorders>
              <w:top w:val="nil"/>
              <w:left w:val="nil"/>
              <w:bottom w:val="single" w:sz="4" w:space="0" w:color="auto"/>
              <w:right w:val="nil"/>
            </w:tcBorders>
          </w:tcPr>
          <w:p w14:paraId="5DB32F32" w14:textId="77777777" w:rsidR="007B26F1" w:rsidRPr="007B26F1" w:rsidRDefault="007B26F1" w:rsidP="007B26F1">
            <w:pPr>
              <w:spacing w:after="0"/>
              <w:rPr>
                <w:rFonts w:ascii="Times New Roman" w:eastAsia="SimSun" w:hAnsi="Times New Roman" w:cs="Times New Roman"/>
                <w:color w:val="000000"/>
                <w:sz w:val="17"/>
                <w:szCs w:val="17"/>
                <w:lang w:val="en-US"/>
              </w:rPr>
            </w:pPr>
            <w:r w:rsidRPr="007B26F1">
              <w:rPr>
                <w:rFonts w:ascii="Times New Roman" w:eastAsia="SimSun" w:hAnsi="Times New Roman" w:cs="Times New Roman"/>
                <w:color w:val="000000"/>
                <w:sz w:val="17"/>
                <w:szCs w:val="17"/>
                <w:lang w:val="en-US"/>
              </w:rPr>
              <w:t xml:space="preserve">No. </w:t>
            </w:r>
          </w:p>
        </w:tc>
        <w:tc>
          <w:tcPr>
            <w:tcW w:w="1559" w:type="dxa"/>
            <w:tcBorders>
              <w:top w:val="nil"/>
              <w:left w:val="nil"/>
              <w:bottom w:val="single" w:sz="4" w:space="0" w:color="auto"/>
              <w:right w:val="nil"/>
            </w:tcBorders>
          </w:tcPr>
          <w:p w14:paraId="3E2689B9"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702</w:t>
            </w:r>
          </w:p>
        </w:tc>
        <w:tc>
          <w:tcPr>
            <w:tcW w:w="1276" w:type="dxa"/>
            <w:tcBorders>
              <w:top w:val="nil"/>
              <w:left w:val="nil"/>
              <w:bottom w:val="single" w:sz="4" w:space="0" w:color="auto"/>
              <w:right w:val="nil"/>
            </w:tcBorders>
          </w:tcPr>
          <w:p w14:paraId="677E6202"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417" w:type="dxa"/>
            <w:tcBorders>
              <w:top w:val="nil"/>
              <w:left w:val="nil"/>
              <w:bottom w:val="single" w:sz="4" w:space="0" w:color="auto"/>
              <w:right w:val="nil"/>
            </w:tcBorders>
          </w:tcPr>
          <w:p w14:paraId="7682E4D4"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702</w:t>
            </w:r>
          </w:p>
        </w:tc>
        <w:tc>
          <w:tcPr>
            <w:tcW w:w="1096" w:type="dxa"/>
            <w:tcBorders>
              <w:top w:val="nil"/>
              <w:left w:val="nil"/>
              <w:bottom w:val="single" w:sz="4" w:space="0" w:color="auto"/>
              <w:right w:val="nil"/>
            </w:tcBorders>
          </w:tcPr>
          <w:p w14:paraId="16918DC2"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456" w:type="dxa"/>
            <w:tcBorders>
              <w:top w:val="nil"/>
              <w:left w:val="nil"/>
              <w:bottom w:val="single" w:sz="4" w:space="0" w:color="auto"/>
              <w:right w:val="nil"/>
            </w:tcBorders>
          </w:tcPr>
          <w:p w14:paraId="68F7FEF3"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702</w:t>
            </w:r>
          </w:p>
        </w:tc>
        <w:tc>
          <w:tcPr>
            <w:tcW w:w="1146" w:type="dxa"/>
            <w:tcBorders>
              <w:top w:val="nil"/>
              <w:left w:val="nil"/>
              <w:bottom w:val="single" w:sz="4" w:space="0" w:color="auto"/>
              <w:right w:val="nil"/>
            </w:tcBorders>
          </w:tcPr>
          <w:p w14:paraId="0CFCA851"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547" w:type="dxa"/>
            <w:tcBorders>
              <w:top w:val="nil"/>
              <w:left w:val="nil"/>
              <w:bottom w:val="single" w:sz="4" w:space="0" w:color="auto"/>
              <w:right w:val="nil"/>
            </w:tcBorders>
          </w:tcPr>
          <w:p w14:paraId="53D1DE73"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702</w:t>
            </w:r>
          </w:p>
        </w:tc>
        <w:tc>
          <w:tcPr>
            <w:tcW w:w="1159" w:type="dxa"/>
            <w:tcBorders>
              <w:top w:val="nil"/>
              <w:left w:val="nil"/>
              <w:bottom w:val="single" w:sz="4" w:space="0" w:color="auto"/>
              <w:right w:val="nil"/>
            </w:tcBorders>
          </w:tcPr>
          <w:p w14:paraId="354FD65E"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c>
          <w:tcPr>
            <w:tcW w:w="1534" w:type="dxa"/>
            <w:tcBorders>
              <w:top w:val="nil"/>
              <w:left w:val="nil"/>
              <w:bottom w:val="single" w:sz="4" w:space="0" w:color="auto"/>
              <w:right w:val="nil"/>
            </w:tcBorders>
          </w:tcPr>
          <w:p w14:paraId="52DF9FE6"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702</w:t>
            </w:r>
          </w:p>
        </w:tc>
        <w:tc>
          <w:tcPr>
            <w:tcW w:w="1418" w:type="dxa"/>
            <w:tcBorders>
              <w:top w:val="nil"/>
              <w:left w:val="nil"/>
              <w:bottom w:val="single" w:sz="4" w:space="0" w:color="auto"/>
              <w:right w:val="nil"/>
            </w:tcBorders>
          </w:tcPr>
          <w:p w14:paraId="68062CE5" w14:textId="77777777" w:rsidR="007B26F1" w:rsidRPr="007B26F1" w:rsidRDefault="007B26F1" w:rsidP="007B26F1">
            <w:pPr>
              <w:spacing w:after="0"/>
              <w:rPr>
                <w:rFonts w:ascii="Times New Roman" w:eastAsia="Times New Roman" w:hAnsi="Times New Roman" w:cs="Times New Roman"/>
                <w:sz w:val="17"/>
                <w:szCs w:val="17"/>
              </w:rPr>
            </w:pPr>
            <w:r w:rsidRPr="007B26F1">
              <w:rPr>
                <w:rFonts w:ascii="Times New Roman" w:eastAsia="Times New Roman" w:hAnsi="Times New Roman" w:cs="Times New Roman"/>
                <w:sz w:val="17"/>
                <w:szCs w:val="17"/>
              </w:rPr>
              <w:t>-</w:t>
            </w:r>
          </w:p>
        </w:tc>
      </w:tr>
      <w:tr w:rsidR="007B26F1" w:rsidRPr="007B26F1" w14:paraId="10F7889F" w14:textId="77777777" w:rsidTr="00643054">
        <w:trPr>
          <w:trHeight w:val="1144"/>
        </w:trPr>
        <w:tc>
          <w:tcPr>
            <w:tcW w:w="15168" w:type="dxa"/>
            <w:gridSpan w:val="11"/>
            <w:tcBorders>
              <w:top w:val="single" w:sz="4" w:space="0" w:color="auto"/>
              <w:left w:val="nil"/>
              <w:right w:val="nil"/>
            </w:tcBorders>
          </w:tcPr>
          <w:p w14:paraId="1E3C78EB" w14:textId="51D7CECA" w:rsidR="007B26F1" w:rsidRPr="007B26F1" w:rsidRDefault="00643054" w:rsidP="007B26F1">
            <w:pPr>
              <w:spacing w:after="0"/>
              <w:jc w:val="both"/>
              <w:rPr>
                <w:rFonts w:ascii="Times New Roman" w:eastAsia="Times New Roman" w:hAnsi="Times New Roman" w:cs="Times New Roman"/>
                <w:sz w:val="17"/>
                <w:szCs w:val="17"/>
              </w:rPr>
            </w:pPr>
            <w:r w:rsidRPr="00643054">
              <w:rPr>
                <w:rFonts w:ascii="Times New Roman" w:eastAsia="Times New Roman" w:hAnsi="Times New Roman" w:cs="Times New Roman"/>
                <w:b/>
                <w:bCs/>
                <w:sz w:val="17"/>
                <w:szCs w:val="17"/>
              </w:rPr>
              <w:t>Notes:</w:t>
            </w:r>
            <w:r w:rsidRPr="00643054">
              <w:rPr>
                <w:rFonts w:ascii="Times New Roman" w:eastAsia="Times New Roman" w:hAnsi="Times New Roman" w:cs="Times New Roman"/>
                <w:sz w:val="17"/>
                <w:szCs w:val="17"/>
              </w:rPr>
              <w:t xml:space="preserve"> </w:t>
            </w:r>
            <w:r w:rsidR="007B26F1" w:rsidRPr="00643054">
              <w:rPr>
                <w:rFonts w:ascii="Times New Roman" w:eastAsia="Times New Roman" w:hAnsi="Times New Roman" w:cs="Times New Roman"/>
                <w:sz w:val="17"/>
                <w:szCs w:val="17"/>
              </w:rPr>
              <w:t xml:space="preserve">Model 1 seeks to test for the influence of the five explanatory variables on the overall governance disclosure index (HEGI). </w:t>
            </w:r>
            <w:r w:rsidR="007B26F1" w:rsidRPr="00643054">
              <w:rPr>
                <w:rFonts w:ascii="Times New Roman" w:eastAsia="SimSun" w:hAnsi="Times New Roman" w:cs="Times New Roman"/>
                <w:sz w:val="17"/>
                <w:szCs w:val="17"/>
                <w:lang w:val="en-US" w:eastAsia="zh-CN"/>
              </w:rPr>
              <w:t xml:space="preserve">Models 2-6 reveal the results relating to the effect of </w:t>
            </w:r>
            <w:r w:rsidR="007B26F1" w:rsidRPr="00643054">
              <w:rPr>
                <w:rFonts w:ascii="Times New Roman" w:eastAsia="Times New Roman" w:hAnsi="Times New Roman" w:cs="Times New Roman"/>
                <w:sz w:val="17"/>
                <w:szCs w:val="17"/>
              </w:rPr>
              <w:t xml:space="preserve">the five explanatory variables on </w:t>
            </w:r>
            <w:r w:rsidR="007B26F1" w:rsidRPr="00643054">
              <w:rPr>
                <w:rFonts w:ascii="Times New Roman" w:eastAsia="SimSun" w:hAnsi="Times New Roman" w:cs="Times New Roman"/>
                <w:sz w:val="17"/>
                <w:szCs w:val="17"/>
                <w:lang w:val="en-US" w:eastAsia="zh-CN"/>
              </w:rPr>
              <w:t>each sub-indices (</w:t>
            </w:r>
            <w:r w:rsidR="007B26F1" w:rsidRPr="00643054">
              <w:rPr>
                <w:rFonts w:ascii="Times New Roman" w:eastAsia="Times New Roman" w:hAnsi="Times New Roman" w:cs="Times New Roman"/>
                <w:sz w:val="17"/>
                <w:szCs w:val="17"/>
              </w:rPr>
              <w:t>governing board, procedures &amp; structures, rewards, pay and evaluation of performance, auditing and accountability, stakeholder dialogue, respectively)</w:t>
            </w:r>
            <w:r w:rsidR="007B26F1" w:rsidRPr="00643054">
              <w:rPr>
                <w:rFonts w:ascii="Times New Roman" w:eastAsia="SimSun" w:hAnsi="Times New Roman" w:cs="Times New Roman"/>
                <w:sz w:val="17"/>
                <w:szCs w:val="17"/>
                <w:lang w:val="en-US" w:eastAsia="zh-CN"/>
              </w:rPr>
              <w:t>. Model 7 reveals the results relating to the weighted HEGI (WHEGI). In Model 8, the total number of staff is used as an alternative measure for HEIs size. In Model 9 RG dummy variables is replaced with university and non-university dummy. Model 10 includes a dummy variable for the UK four countries (</w:t>
            </w:r>
            <w:r w:rsidR="007B26F1" w:rsidRPr="00643054">
              <w:rPr>
                <w:rFonts w:ascii="Times New Roman" w:eastAsia="SimSun" w:hAnsi="Times New Roman" w:cs="Times New Roman"/>
                <w:i/>
                <w:iCs/>
                <w:sz w:val="17"/>
                <w:szCs w:val="17"/>
                <w:lang w:val="en-US" w:eastAsia="zh-CN"/>
              </w:rPr>
              <w:t>CNTRYD</w:t>
            </w:r>
            <w:r w:rsidR="007B26F1" w:rsidRPr="00643054">
              <w:rPr>
                <w:rFonts w:ascii="Times New Roman" w:eastAsia="SimSun" w:hAnsi="Times New Roman" w:cs="Times New Roman"/>
                <w:sz w:val="17"/>
                <w:szCs w:val="17"/>
                <w:lang w:val="en-US" w:eastAsia="zh-CN"/>
              </w:rPr>
              <w:t xml:space="preserve">), namely, Scotland, Wales, Northern Ireland and England. </w:t>
            </w:r>
            <w:r w:rsidRPr="00643054">
              <w:rPr>
                <w:rFonts w:ascii="Times New Roman" w:eastAsia="SimSun" w:hAnsi="Times New Roman" w:cs="Times New Roman"/>
                <w:b/>
                <w:bCs/>
                <w:sz w:val="17"/>
                <w:szCs w:val="17"/>
                <w:lang w:val="en-US" w:eastAsia="zh-CN"/>
              </w:rPr>
              <w:t xml:space="preserve"> </w:t>
            </w:r>
            <w:r w:rsidRPr="00643054">
              <w:rPr>
                <w:rFonts w:ascii="Times New Roman" w:hAnsi="Times New Roman" w:cs="Times New Roman"/>
                <w:sz w:val="17"/>
                <w:szCs w:val="17"/>
                <w:lang w:val="en-US"/>
              </w:rPr>
              <w:t xml:space="preserve">Please see Table 2 for </w:t>
            </w:r>
            <w:r w:rsidR="00FA0820">
              <w:rPr>
                <w:rFonts w:ascii="Times New Roman" w:hAnsi="Times New Roman" w:cs="Times New Roman"/>
                <w:sz w:val="17"/>
                <w:szCs w:val="17"/>
                <w:lang w:val="en-US"/>
              </w:rPr>
              <w:t xml:space="preserve">full </w:t>
            </w:r>
            <w:r w:rsidRPr="00643054">
              <w:rPr>
                <w:rFonts w:ascii="Times New Roman" w:hAnsi="Times New Roman" w:cs="Times New Roman"/>
                <w:sz w:val="17"/>
                <w:szCs w:val="17"/>
                <w:lang w:val="en-US"/>
              </w:rPr>
              <w:t>variable definitions.</w:t>
            </w:r>
            <w:r w:rsidRPr="00643054">
              <w:rPr>
                <w:rFonts w:ascii="Times New Roman" w:eastAsiaTheme="minorEastAsia" w:hAnsi="Times New Roman" w:cs="Times New Roman"/>
                <w:sz w:val="17"/>
                <w:szCs w:val="17"/>
                <w:lang w:eastAsia="en-GB"/>
              </w:rPr>
              <w:t xml:space="preserve"> </w:t>
            </w:r>
            <w:r w:rsidR="00FA0820" w:rsidRPr="00FA0820">
              <w:rPr>
                <w:rFonts w:ascii="Times New Roman" w:hAnsi="Times New Roman" w:cs="Times New Roman"/>
                <w:sz w:val="17"/>
                <w:szCs w:val="17"/>
              </w:rPr>
              <w:t>*** means significance at the 1% level (p&lt;0.01). ** means significance at the 5% level (p&lt;0.05). * means significance at the 10% level (p&lt;0.10).</w:t>
            </w:r>
          </w:p>
        </w:tc>
      </w:tr>
    </w:tbl>
    <w:p w14:paraId="7B5F8B9C" w14:textId="77777777" w:rsidR="007B26F1" w:rsidRDefault="007B26F1" w:rsidP="00566D02">
      <w:pPr>
        <w:sectPr w:rsidR="007B26F1" w:rsidSect="00FA1E8E">
          <w:pgSz w:w="16838" w:h="11906" w:orient="landscape"/>
          <w:pgMar w:top="1440" w:right="1135" w:bottom="1440" w:left="1440" w:header="708" w:footer="708" w:gutter="0"/>
          <w:cols w:space="708"/>
          <w:docGrid w:linePitch="360"/>
        </w:sectPr>
      </w:pPr>
    </w:p>
    <w:tbl>
      <w:tblPr>
        <w:tblpPr w:leftFromText="180" w:rightFromText="180" w:vertAnchor="page" w:horzAnchor="margin" w:tblpY="1117"/>
        <w:tblW w:w="15168" w:type="dxa"/>
        <w:tblLook w:val="04A0" w:firstRow="1" w:lastRow="0" w:firstColumn="1" w:lastColumn="0" w:noHBand="0" w:noVBand="1"/>
      </w:tblPr>
      <w:tblGrid>
        <w:gridCol w:w="1560"/>
        <w:gridCol w:w="1559"/>
        <w:gridCol w:w="1276"/>
        <w:gridCol w:w="1417"/>
        <w:gridCol w:w="1096"/>
        <w:gridCol w:w="1456"/>
        <w:gridCol w:w="1146"/>
        <w:gridCol w:w="1547"/>
        <w:gridCol w:w="1159"/>
        <w:gridCol w:w="1534"/>
        <w:gridCol w:w="1418"/>
      </w:tblGrid>
      <w:tr w:rsidR="007B26F1" w:rsidRPr="00264E52" w14:paraId="697DB80B" w14:textId="77777777" w:rsidTr="007B26F1">
        <w:tc>
          <w:tcPr>
            <w:tcW w:w="15168" w:type="dxa"/>
            <w:gridSpan w:val="11"/>
            <w:tcBorders>
              <w:left w:val="nil"/>
              <w:bottom w:val="single" w:sz="2" w:space="0" w:color="auto"/>
              <w:right w:val="nil"/>
            </w:tcBorders>
          </w:tcPr>
          <w:p w14:paraId="4AB6FFBC" w14:textId="77777777" w:rsidR="007B26F1" w:rsidRPr="00264E52" w:rsidRDefault="007B26F1" w:rsidP="007B26F1">
            <w:pPr>
              <w:spacing w:after="0"/>
              <w:rPr>
                <w:rFonts w:ascii="Times New Roman" w:hAnsi="Times New Roman" w:cs="Times New Roman"/>
                <w:sz w:val="17"/>
                <w:szCs w:val="17"/>
              </w:rPr>
            </w:pPr>
            <w:r w:rsidRPr="00264E52">
              <w:rPr>
                <w:rFonts w:ascii="Times New Roman" w:eastAsia="Times New Roman" w:hAnsi="Times New Roman" w:cs="Times New Roman"/>
                <w:b/>
                <w:sz w:val="17"/>
                <w:szCs w:val="17"/>
                <w:lang w:val="en-US" w:eastAsia="zh-CN"/>
              </w:rPr>
              <w:lastRenderedPageBreak/>
              <w:t>Table 6 (Continued).</w:t>
            </w:r>
            <w:r w:rsidRPr="00264E52">
              <w:rPr>
                <w:rFonts w:ascii="Times New Roman" w:eastAsia="Times New Roman" w:hAnsi="Times New Roman" w:cs="Times New Roman"/>
                <w:sz w:val="17"/>
                <w:szCs w:val="17"/>
                <w:lang w:val="en-US" w:eastAsia="zh-CN"/>
              </w:rPr>
              <w:t xml:space="preserve"> Effects of governance mechanisms on HEGI.</w:t>
            </w:r>
          </w:p>
        </w:tc>
      </w:tr>
      <w:tr w:rsidR="007B26F1" w:rsidRPr="00264E52" w14:paraId="2036EBCC" w14:textId="77777777" w:rsidTr="007B26F1">
        <w:trPr>
          <w:trHeight w:val="430"/>
        </w:trPr>
        <w:tc>
          <w:tcPr>
            <w:tcW w:w="1560" w:type="dxa"/>
            <w:tcBorders>
              <w:top w:val="single" w:sz="18" w:space="0" w:color="auto"/>
              <w:left w:val="nil"/>
              <w:bottom w:val="single" w:sz="2" w:space="0" w:color="auto"/>
              <w:right w:val="nil"/>
            </w:tcBorders>
          </w:tcPr>
          <w:p w14:paraId="170A7BA7"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Dep. Variable</w:t>
            </w:r>
          </w:p>
          <w:p w14:paraId="0836809A"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r w:rsidRPr="00264E52">
              <w:rPr>
                <w:rFonts w:ascii="Times New Roman" w:eastAsia="Times New Roman" w:hAnsi="Times New Roman" w:cs="Times New Roman"/>
                <w:i/>
                <w:iCs/>
                <w:sz w:val="17"/>
                <w:szCs w:val="17"/>
              </w:rPr>
              <w:t>Model</w:t>
            </w:r>
            <w:r w:rsidRPr="00264E52">
              <w:rPr>
                <w:rFonts w:ascii="Times New Roman" w:eastAsia="Times New Roman" w:hAnsi="Times New Roman" w:cs="Times New Roman"/>
                <w:sz w:val="17"/>
                <w:szCs w:val="17"/>
              </w:rPr>
              <w:t>)</w:t>
            </w:r>
          </w:p>
        </w:tc>
        <w:tc>
          <w:tcPr>
            <w:tcW w:w="1559" w:type="dxa"/>
            <w:tcBorders>
              <w:top w:val="single" w:sz="18" w:space="0" w:color="auto"/>
              <w:left w:val="nil"/>
              <w:bottom w:val="single" w:sz="2" w:space="0" w:color="auto"/>
              <w:right w:val="nil"/>
            </w:tcBorders>
          </w:tcPr>
          <w:p w14:paraId="2DF039A3" w14:textId="77777777" w:rsidR="007B26F1" w:rsidRPr="00264E52" w:rsidRDefault="007B26F1" w:rsidP="007B26F1">
            <w:pPr>
              <w:spacing w:after="0"/>
              <w:rPr>
                <w:rFonts w:ascii="Times New Roman" w:hAnsi="Times New Roman" w:cs="Times New Roman"/>
                <w:sz w:val="17"/>
                <w:szCs w:val="17"/>
              </w:rPr>
            </w:pPr>
            <w:r w:rsidRPr="00264E52">
              <w:rPr>
                <w:rFonts w:ascii="Times New Roman" w:hAnsi="Times New Roman" w:cs="Times New Roman"/>
                <w:sz w:val="17"/>
                <w:szCs w:val="17"/>
              </w:rPr>
              <w:t>STKD</w:t>
            </w:r>
          </w:p>
          <w:p w14:paraId="73DFE3B3" w14:textId="77777777" w:rsidR="007B26F1" w:rsidRPr="00264E52" w:rsidRDefault="007B26F1" w:rsidP="007B26F1">
            <w:pPr>
              <w:spacing w:after="0"/>
              <w:rPr>
                <w:rFonts w:ascii="Times New Roman" w:hAnsi="Times New Roman" w:cs="Times New Roman"/>
                <w:sz w:val="17"/>
                <w:szCs w:val="17"/>
              </w:rPr>
            </w:pPr>
            <w:r w:rsidRPr="00264E52">
              <w:rPr>
                <w:rFonts w:ascii="Times New Roman" w:hAnsi="Times New Roman" w:cs="Times New Roman"/>
                <w:sz w:val="17"/>
                <w:szCs w:val="17"/>
              </w:rPr>
              <w:t>(6)</w:t>
            </w:r>
          </w:p>
        </w:tc>
        <w:tc>
          <w:tcPr>
            <w:tcW w:w="1276" w:type="dxa"/>
            <w:tcBorders>
              <w:top w:val="single" w:sz="18" w:space="0" w:color="auto"/>
              <w:left w:val="nil"/>
              <w:bottom w:val="single" w:sz="2" w:space="0" w:color="auto"/>
              <w:right w:val="nil"/>
            </w:tcBorders>
          </w:tcPr>
          <w:p w14:paraId="6F2F40C9" w14:textId="77777777" w:rsidR="007B26F1" w:rsidRPr="00264E52" w:rsidRDefault="007B26F1" w:rsidP="007B26F1">
            <w:pPr>
              <w:spacing w:after="0"/>
              <w:rPr>
                <w:rFonts w:ascii="Times New Roman" w:hAnsi="Times New Roman" w:cs="Times New Roman"/>
                <w:sz w:val="17"/>
                <w:szCs w:val="17"/>
              </w:rPr>
            </w:pPr>
            <w:r w:rsidRPr="00264E52">
              <w:rPr>
                <w:rFonts w:ascii="Times New Roman" w:hAnsi="Times New Roman" w:cs="Times New Roman"/>
                <w:sz w:val="17"/>
                <w:szCs w:val="17"/>
              </w:rPr>
              <w:t>VIF</w:t>
            </w:r>
          </w:p>
        </w:tc>
        <w:tc>
          <w:tcPr>
            <w:tcW w:w="1417" w:type="dxa"/>
            <w:tcBorders>
              <w:top w:val="single" w:sz="18" w:space="0" w:color="auto"/>
              <w:left w:val="nil"/>
              <w:bottom w:val="single" w:sz="2" w:space="0" w:color="auto"/>
              <w:right w:val="nil"/>
            </w:tcBorders>
          </w:tcPr>
          <w:p w14:paraId="02D55B7B" w14:textId="77777777" w:rsidR="007B26F1" w:rsidRPr="00264E52" w:rsidRDefault="007B26F1" w:rsidP="007B26F1">
            <w:pPr>
              <w:spacing w:after="0"/>
              <w:rPr>
                <w:rFonts w:ascii="Times New Roman" w:hAnsi="Times New Roman" w:cs="Times New Roman"/>
                <w:sz w:val="17"/>
                <w:szCs w:val="17"/>
              </w:rPr>
            </w:pPr>
            <w:r w:rsidRPr="00264E52">
              <w:rPr>
                <w:rFonts w:ascii="Times New Roman" w:hAnsi="Times New Roman" w:cs="Times New Roman"/>
                <w:sz w:val="17"/>
                <w:szCs w:val="17"/>
              </w:rPr>
              <w:t>WHEGI</w:t>
            </w:r>
          </w:p>
          <w:p w14:paraId="4E2325EB" w14:textId="77777777" w:rsidR="007B26F1" w:rsidRPr="00264E52" w:rsidRDefault="007B26F1" w:rsidP="007B26F1">
            <w:pPr>
              <w:spacing w:after="0"/>
              <w:rPr>
                <w:rFonts w:ascii="Times New Roman" w:hAnsi="Times New Roman" w:cs="Times New Roman"/>
                <w:sz w:val="17"/>
                <w:szCs w:val="17"/>
              </w:rPr>
            </w:pPr>
            <w:r w:rsidRPr="00264E52">
              <w:rPr>
                <w:rFonts w:ascii="Times New Roman" w:hAnsi="Times New Roman" w:cs="Times New Roman"/>
                <w:sz w:val="17"/>
                <w:szCs w:val="17"/>
              </w:rPr>
              <w:t>(7)</w:t>
            </w:r>
          </w:p>
        </w:tc>
        <w:tc>
          <w:tcPr>
            <w:tcW w:w="1096" w:type="dxa"/>
            <w:tcBorders>
              <w:top w:val="single" w:sz="18" w:space="0" w:color="auto"/>
              <w:left w:val="nil"/>
              <w:bottom w:val="single" w:sz="2" w:space="0" w:color="auto"/>
              <w:right w:val="nil"/>
            </w:tcBorders>
          </w:tcPr>
          <w:p w14:paraId="357296F8" w14:textId="77777777" w:rsidR="007B26F1" w:rsidRPr="00264E52" w:rsidRDefault="007B26F1" w:rsidP="007B26F1">
            <w:pPr>
              <w:spacing w:after="0"/>
              <w:rPr>
                <w:rFonts w:ascii="Times New Roman" w:hAnsi="Times New Roman" w:cs="Times New Roman"/>
                <w:sz w:val="17"/>
                <w:szCs w:val="17"/>
              </w:rPr>
            </w:pPr>
            <w:r w:rsidRPr="00264E52">
              <w:rPr>
                <w:rFonts w:ascii="Times New Roman" w:hAnsi="Times New Roman" w:cs="Times New Roman"/>
                <w:sz w:val="17"/>
                <w:szCs w:val="17"/>
              </w:rPr>
              <w:t>VIF</w:t>
            </w:r>
          </w:p>
        </w:tc>
        <w:tc>
          <w:tcPr>
            <w:tcW w:w="1456" w:type="dxa"/>
            <w:tcBorders>
              <w:top w:val="single" w:sz="18" w:space="0" w:color="auto"/>
              <w:left w:val="nil"/>
              <w:bottom w:val="single" w:sz="2" w:space="0" w:color="auto"/>
              <w:right w:val="nil"/>
            </w:tcBorders>
          </w:tcPr>
          <w:p w14:paraId="08167679" w14:textId="77777777" w:rsidR="007B26F1" w:rsidRPr="00264E52" w:rsidRDefault="007B26F1" w:rsidP="007B26F1">
            <w:pPr>
              <w:spacing w:after="0"/>
              <w:rPr>
                <w:rFonts w:ascii="Times New Roman" w:hAnsi="Times New Roman" w:cs="Times New Roman"/>
                <w:sz w:val="17"/>
                <w:szCs w:val="17"/>
              </w:rPr>
            </w:pPr>
            <w:r w:rsidRPr="00264E52">
              <w:rPr>
                <w:rFonts w:ascii="Times New Roman" w:hAnsi="Times New Roman" w:cs="Times New Roman"/>
                <w:sz w:val="17"/>
                <w:szCs w:val="17"/>
              </w:rPr>
              <w:t>HEGI</w:t>
            </w:r>
          </w:p>
          <w:p w14:paraId="60CBB348" w14:textId="77777777" w:rsidR="007B26F1" w:rsidRPr="00264E52" w:rsidRDefault="007B26F1" w:rsidP="007B26F1">
            <w:pPr>
              <w:spacing w:after="0"/>
              <w:rPr>
                <w:rFonts w:ascii="Times New Roman" w:hAnsi="Times New Roman" w:cs="Times New Roman"/>
                <w:sz w:val="17"/>
                <w:szCs w:val="17"/>
              </w:rPr>
            </w:pPr>
            <w:r w:rsidRPr="00264E52">
              <w:rPr>
                <w:rFonts w:ascii="Times New Roman" w:hAnsi="Times New Roman" w:cs="Times New Roman"/>
                <w:sz w:val="17"/>
                <w:szCs w:val="17"/>
              </w:rPr>
              <w:t>(8)</w:t>
            </w:r>
          </w:p>
        </w:tc>
        <w:tc>
          <w:tcPr>
            <w:tcW w:w="1146" w:type="dxa"/>
            <w:tcBorders>
              <w:top w:val="single" w:sz="18" w:space="0" w:color="auto"/>
              <w:left w:val="nil"/>
              <w:bottom w:val="single" w:sz="2" w:space="0" w:color="auto"/>
              <w:right w:val="nil"/>
            </w:tcBorders>
          </w:tcPr>
          <w:p w14:paraId="01A9BB42" w14:textId="77777777" w:rsidR="007B26F1" w:rsidRPr="00264E52" w:rsidRDefault="007B26F1" w:rsidP="007B26F1">
            <w:pPr>
              <w:spacing w:after="0"/>
              <w:rPr>
                <w:rFonts w:ascii="Times New Roman" w:hAnsi="Times New Roman" w:cs="Times New Roman"/>
                <w:sz w:val="17"/>
                <w:szCs w:val="17"/>
              </w:rPr>
            </w:pPr>
            <w:r w:rsidRPr="00264E52">
              <w:rPr>
                <w:rFonts w:ascii="Times New Roman" w:hAnsi="Times New Roman" w:cs="Times New Roman"/>
                <w:sz w:val="17"/>
                <w:szCs w:val="17"/>
              </w:rPr>
              <w:t>VIF</w:t>
            </w:r>
          </w:p>
        </w:tc>
        <w:tc>
          <w:tcPr>
            <w:tcW w:w="1547" w:type="dxa"/>
            <w:tcBorders>
              <w:top w:val="single" w:sz="18" w:space="0" w:color="auto"/>
              <w:left w:val="nil"/>
              <w:bottom w:val="single" w:sz="2" w:space="0" w:color="auto"/>
              <w:right w:val="nil"/>
            </w:tcBorders>
          </w:tcPr>
          <w:p w14:paraId="67818E3E" w14:textId="77777777" w:rsidR="007B26F1" w:rsidRPr="00264E52" w:rsidRDefault="007B26F1" w:rsidP="007B26F1">
            <w:pPr>
              <w:spacing w:after="0"/>
              <w:rPr>
                <w:rFonts w:ascii="Times New Roman" w:hAnsi="Times New Roman" w:cs="Times New Roman"/>
                <w:sz w:val="17"/>
                <w:szCs w:val="17"/>
              </w:rPr>
            </w:pPr>
            <w:r w:rsidRPr="00264E52">
              <w:rPr>
                <w:rFonts w:ascii="Times New Roman" w:hAnsi="Times New Roman" w:cs="Times New Roman"/>
                <w:sz w:val="17"/>
                <w:szCs w:val="17"/>
              </w:rPr>
              <w:t>HEGI</w:t>
            </w:r>
          </w:p>
          <w:p w14:paraId="703AD45C" w14:textId="77777777" w:rsidR="007B26F1" w:rsidRPr="00264E52" w:rsidRDefault="007B26F1" w:rsidP="007B26F1">
            <w:pPr>
              <w:spacing w:after="0"/>
              <w:rPr>
                <w:rFonts w:ascii="Times New Roman" w:eastAsia="Times New Roman" w:hAnsi="Times New Roman" w:cs="Times New Roman"/>
                <w:sz w:val="17"/>
                <w:szCs w:val="17"/>
                <w:lang w:val="en-US" w:eastAsia="zh-CN"/>
              </w:rPr>
            </w:pPr>
            <w:r w:rsidRPr="00264E52">
              <w:rPr>
                <w:rFonts w:ascii="Times New Roman" w:hAnsi="Times New Roman" w:cs="Times New Roman"/>
                <w:sz w:val="17"/>
                <w:szCs w:val="17"/>
              </w:rPr>
              <w:t>(9)</w:t>
            </w:r>
          </w:p>
        </w:tc>
        <w:tc>
          <w:tcPr>
            <w:tcW w:w="1159" w:type="dxa"/>
            <w:tcBorders>
              <w:top w:val="single" w:sz="18" w:space="0" w:color="auto"/>
              <w:left w:val="nil"/>
              <w:bottom w:val="single" w:sz="2" w:space="0" w:color="auto"/>
              <w:right w:val="nil"/>
            </w:tcBorders>
          </w:tcPr>
          <w:p w14:paraId="1BF1D20C" w14:textId="77777777" w:rsidR="007B26F1" w:rsidRPr="00264E52" w:rsidRDefault="007B26F1" w:rsidP="007B26F1">
            <w:pPr>
              <w:spacing w:after="0"/>
              <w:rPr>
                <w:rFonts w:ascii="Times New Roman" w:hAnsi="Times New Roman" w:cs="Times New Roman"/>
                <w:sz w:val="17"/>
                <w:szCs w:val="17"/>
              </w:rPr>
            </w:pPr>
            <w:r w:rsidRPr="00264E52">
              <w:rPr>
                <w:rFonts w:ascii="Times New Roman" w:hAnsi="Times New Roman" w:cs="Times New Roman"/>
                <w:sz w:val="17"/>
                <w:szCs w:val="17"/>
              </w:rPr>
              <w:t>VIF</w:t>
            </w:r>
          </w:p>
          <w:p w14:paraId="2713DD51" w14:textId="77777777" w:rsidR="007B26F1" w:rsidRPr="00264E52" w:rsidRDefault="007B26F1" w:rsidP="007B26F1">
            <w:pPr>
              <w:spacing w:after="0"/>
              <w:rPr>
                <w:rFonts w:ascii="Times New Roman" w:hAnsi="Times New Roman" w:cs="Times New Roman"/>
                <w:sz w:val="17"/>
                <w:szCs w:val="17"/>
              </w:rPr>
            </w:pPr>
          </w:p>
        </w:tc>
        <w:tc>
          <w:tcPr>
            <w:tcW w:w="1534" w:type="dxa"/>
            <w:tcBorders>
              <w:top w:val="single" w:sz="18" w:space="0" w:color="auto"/>
              <w:left w:val="nil"/>
              <w:bottom w:val="single" w:sz="2" w:space="0" w:color="auto"/>
              <w:right w:val="nil"/>
            </w:tcBorders>
          </w:tcPr>
          <w:p w14:paraId="401E46CA" w14:textId="77777777" w:rsidR="007B26F1" w:rsidRPr="00264E52" w:rsidRDefault="007B26F1" w:rsidP="007B26F1">
            <w:pPr>
              <w:spacing w:after="0"/>
              <w:rPr>
                <w:rFonts w:ascii="Times New Roman" w:hAnsi="Times New Roman" w:cs="Times New Roman"/>
                <w:sz w:val="17"/>
                <w:szCs w:val="17"/>
              </w:rPr>
            </w:pPr>
            <w:r w:rsidRPr="00264E52">
              <w:rPr>
                <w:rFonts w:ascii="Times New Roman" w:hAnsi="Times New Roman" w:cs="Times New Roman"/>
                <w:sz w:val="17"/>
                <w:szCs w:val="17"/>
              </w:rPr>
              <w:t>HEGI</w:t>
            </w:r>
          </w:p>
          <w:p w14:paraId="648E8F78" w14:textId="77777777" w:rsidR="007B26F1" w:rsidRPr="00264E52" w:rsidRDefault="007B26F1" w:rsidP="007B26F1">
            <w:pPr>
              <w:spacing w:after="0"/>
              <w:rPr>
                <w:rFonts w:ascii="Times New Roman" w:eastAsia="Times New Roman" w:hAnsi="Times New Roman" w:cs="Times New Roman"/>
                <w:sz w:val="17"/>
                <w:szCs w:val="17"/>
                <w:lang w:val="en-US" w:eastAsia="zh-CN"/>
              </w:rPr>
            </w:pPr>
            <w:r w:rsidRPr="00264E52">
              <w:rPr>
                <w:rFonts w:ascii="Times New Roman" w:hAnsi="Times New Roman" w:cs="Times New Roman"/>
                <w:sz w:val="17"/>
                <w:szCs w:val="17"/>
              </w:rPr>
              <w:t>(10)</w:t>
            </w:r>
          </w:p>
        </w:tc>
        <w:tc>
          <w:tcPr>
            <w:tcW w:w="1418" w:type="dxa"/>
            <w:tcBorders>
              <w:top w:val="single" w:sz="18" w:space="0" w:color="auto"/>
              <w:left w:val="nil"/>
              <w:bottom w:val="single" w:sz="2" w:space="0" w:color="auto"/>
              <w:right w:val="nil"/>
            </w:tcBorders>
          </w:tcPr>
          <w:p w14:paraId="4C22D180" w14:textId="77777777" w:rsidR="007B26F1" w:rsidRPr="00264E52" w:rsidRDefault="007B26F1" w:rsidP="007B26F1">
            <w:pPr>
              <w:spacing w:after="0"/>
              <w:rPr>
                <w:rFonts w:ascii="Times New Roman" w:hAnsi="Times New Roman" w:cs="Times New Roman"/>
                <w:sz w:val="17"/>
                <w:szCs w:val="17"/>
              </w:rPr>
            </w:pPr>
            <w:r w:rsidRPr="00264E52">
              <w:rPr>
                <w:rFonts w:ascii="Times New Roman" w:hAnsi="Times New Roman" w:cs="Times New Roman"/>
                <w:sz w:val="17"/>
                <w:szCs w:val="17"/>
              </w:rPr>
              <w:t>VIF</w:t>
            </w:r>
          </w:p>
          <w:p w14:paraId="6ECBEC58" w14:textId="77777777" w:rsidR="007B26F1" w:rsidRPr="00264E52" w:rsidRDefault="007B26F1" w:rsidP="007B26F1">
            <w:pPr>
              <w:spacing w:after="0"/>
              <w:rPr>
                <w:rFonts w:ascii="Times New Roman" w:hAnsi="Times New Roman" w:cs="Times New Roman"/>
                <w:sz w:val="17"/>
                <w:szCs w:val="17"/>
              </w:rPr>
            </w:pPr>
          </w:p>
        </w:tc>
      </w:tr>
      <w:tr w:rsidR="007B26F1" w:rsidRPr="00264E52" w14:paraId="16CA25B6" w14:textId="77777777" w:rsidTr="007B26F1">
        <w:trPr>
          <w:trHeight w:val="127"/>
        </w:trPr>
        <w:tc>
          <w:tcPr>
            <w:tcW w:w="15168" w:type="dxa"/>
            <w:gridSpan w:val="11"/>
            <w:tcBorders>
              <w:top w:val="nil"/>
              <w:left w:val="nil"/>
              <w:bottom w:val="nil"/>
              <w:right w:val="nil"/>
            </w:tcBorders>
          </w:tcPr>
          <w:p w14:paraId="7600C673"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i/>
                <w:iCs/>
                <w:sz w:val="17"/>
                <w:szCs w:val="17"/>
              </w:rPr>
              <w:t>Explanatory variables (governance mechanisms)</w:t>
            </w:r>
          </w:p>
        </w:tc>
      </w:tr>
      <w:tr w:rsidR="007B26F1" w:rsidRPr="00264E52" w14:paraId="14A89449" w14:textId="77777777" w:rsidTr="007B26F1">
        <w:trPr>
          <w:trHeight w:val="127"/>
        </w:trPr>
        <w:tc>
          <w:tcPr>
            <w:tcW w:w="1560" w:type="dxa"/>
            <w:tcBorders>
              <w:top w:val="nil"/>
              <w:left w:val="nil"/>
              <w:bottom w:val="nil"/>
              <w:right w:val="nil"/>
            </w:tcBorders>
          </w:tcPr>
          <w:p w14:paraId="64157B60" w14:textId="77777777" w:rsidR="007B26F1" w:rsidRPr="00264E52" w:rsidRDefault="007B26F1" w:rsidP="007B26F1">
            <w:pPr>
              <w:spacing w:after="0" w:line="240" w:lineRule="auto"/>
              <w:rPr>
                <w:rFonts w:ascii="Times New Roman" w:eastAsia="Times New Roman" w:hAnsi="Times New Roman" w:cs="Times New Roman"/>
                <w:iCs/>
                <w:color w:val="000000"/>
                <w:sz w:val="17"/>
                <w:szCs w:val="17"/>
                <w:lang w:val="en-US"/>
              </w:rPr>
            </w:pPr>
            <w:r w:rsidRPr="00264E52">
              <w:rPr>
                <w:rFonts w:ascii="Times New Roman" w:eastAsia="Times New Roman" w:hAnsi="Times New Roman" w:cs="Times New Roman"/>
                <w:iCs/>
                <w:color w:val="000000"/>
                <w:sz w:val="17"/>
                <w:szCs w:val="17"/>
                <w:lang w:val="en-US"/>
              </w:rPr>
              <w:t xml:space="preserve">    VCGEN</w:t>
            </w:r>
          </w:p>
        </w:tc>
        <w:tc>
          <w:tcPr>
            <w:tcW w:w="1559" w:type="dxa"/>
            <w:tcBorders>
              <w:top w:val="nil"/>
              <w:left w:val="nil"/>
              <w:bottom w:val="nil"/>
              <w:right w:val="nil"/>
            </w:tcBorders>
          </w:tcPr>
          <w:p w14:paraId="272AFDEC"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-0.03(.23)</w:t>
            </w:r>
          </w:p>
        </w:tc>
        <w:tc>
          <w:tcPr>
            <w:tcW w:w="1276" w:type="dxa"/>
            <w:tcBorders>
              <w:top w:val="nil"/>
              <w:left w:val="nil"/>
              <w:bottom w:val="nil"/>
              <w:right w:val="nil"/>
            </w:tcBorders>
          </w:tcPr>
          <w:p w14:paraId="375C1DBA"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1.25</w:t>
            </w:r>
          </w:p>
        </w:tc>
        <w:tc>
          <w:tcPr>
            <w:tcW w:w="1417" w:type="dxa"/>
            <w:tcBorders>
              <w:top w:val="nil"/>
              <w:left w:val="nil"/>
              <w:bottom w:val="nil"/>
              <w:right w:val="nil"/>
            </w:tcBorders>
          </w:tcPr>
          <w:p w14:paraId="63ED3DFD"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-0.01(.56)</w:t>
            </w:r>
          </w:p>
        </w:tc>
        <w:tc>
          <w:tcPr>
            <w:tcW w:w="1096" w:type="dxa"/>
            <w:tcBorders>
              <w:top w:val="nil"/>
              <w:left w:val="nil"/>
              <w:bottom w:val="nil"/>
              <w:right w:val="nil"/>
            </w:tcBorders>
          </w:tcPr>
          <w:p w14:paraId="1F6FEF73"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1.24</w:t>
            </w:r>
          </w:p>
        </w:tc>
        <w:tc>
          <w:tcPr>
            <w:tcW w:w="1456" w:type="dxa"/>
            <w:tcBorders>
              <w:top w:val="nil"/>
              <w:left w:val="nil"/>
              <w:bottom w:val="nil"/>
              <w:right w:val="nil"/>
            </w:tcBorders>
          </w:tcPr>
          <w:p w14:paraId="2441CEC5"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-0.00(.76)</w:t>
            </w:r>
          </w:p>
        </w:tc>
        <w:tc>
          <w:tcPr>
            <w:tcW w:w="1146" w:type="dxa"/>
            <w:tcBorders>
              <w:top w:val="nil"/>
              <w:left w:val="nil"/>
              <w:bottom w:val="nil"/>
              <w:right w:val="nil"/>
            </w:tcBorders>
          </w:tcPr>
          <w:p w14:paraId="0BA613B1"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1.24</w:t>
            </w:r>
          </w:p>
        </w:tc>
        <w:tc>
          <w:tcPr>
            <w:tcW w:w="1547" w:type="dxa"/>
            <w:tcBorders>
              <w:top w:val="nil"/>
              <w:left w:val="nil"/>
              <w:bottom w:val="nil"/>
              <w:right w:val="nil"/>
            </w:tcBorders>
          </w:tcPr>
          <w:p w14:paraId="7D4E22A5"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-0.01(58)</w:t>
            </w:r>
          </w:p>
        </w:tc>
        <w:tc>
          <w:tcPr>
            <w:tcW w:w="1159" w:type="dxa"/>
            <w:tcBorders>
              <w:top w:val="nil"/>
              <w:left w:val="nil"/>
              <w:bottom w:val="nil"/>
              <w:right w:val="nil"/>
            </w:tcBorders>
          </w:tcPr>
          <w:p w14:paraId="399420BB"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1.23</w:t>
            </w:r>
          </w:p>
        </w:tc>
        <w:tc>
          <w:tcPr>
            <w:tcW w:w="1534" w:type="dxa"/>
            <w:tcBorders>
              <w:top w:val="nil"/>
              <w:left w:val="nil"/>
              <w:bottom w:val="nil"/>
              <w:right w:val="nil"/>
            </w:tcBorders>
          </w:tcPr>
          <w:p w14:paraId="02B88B77"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-0.00(.71)</w:t>
            </w:r>
          </w:p>
        </w:tc>
        <w:tc>
          <w:tcPr>
            <w:tcW w:w="1418" w:type="dxa"/>
            <w:tcBorders>
              <w:top w:val="nil"/>
              <w:left w:val="nil"/>
              <w:bottom w:val="nil"/>
              <w:right w:val="nil"/>
            </w:tcBorders>
          </w:tcPr>
          <w:p w14:paraId="7CCB0C6C"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1.29</w:t>
            </w:r>
          </w:p>
        </w:tc>
      </w:tr>
      <w:tr w:rsidR="007B26F1" w:rsidRPr="00264E52" w14:paraId="61A55F2C" w14:textId="77777777" w:rsidTr="007B26F1">
        <w:trPr>
          <w:trHeight w:val="173"/>
        </w:trPr>
        <w:tc>
          <w:tcPr>
            <w:tcW w:w="1560" w:type="dxa"/>
            <w:tcBorders>
              <w:top w:val="nil"/>
              <w:left w:val="nil"/>
              <w:bottom w:val="nil"/>
              <w:right w:val="nil"/>
            </w:tcBorders>
          </w:tcPr>
          <w:p w14:paraId="224D611B" w14:textId="77777777" w:rsidR="007B26F1" w:rsidRPr="00264E52" w:rsidRDefault="007B26F1" w:rsidP="007B26F1">
            <w:pPr>
              <w:spacing w:after="0" w:line="240" w:lineRule="auto"/>
              <w:rPr>
                <w:rFonts w:ascii="Times New Roman" w:eastAsia="Times New Roman" w:hAnsi="Times New Roman" w:cs="Times New Roman"/>
                <w:iCs/>
                <w:color w:val="000000"/>
                <w:sz w:val="17"/>
                <w:szCs w:val="17"/>
                <w:lang w:val="en-US"/>
              </w:rPr>
            </w:pPr>
            <w:r w:rsidRPr="00264E52">
              <w:rPr>
                <w:rFonts w:ascii="Times New Roman" w:eastAsia="Times New Roman" w:hAnsi="Times New Roman" w:cs="Times New Roman"/>
                <w:iCs/>
                <w:color w:val="000000"/>
                <w:sz w:val="17"/>
                <w:szCs w:val="17"/>
                <w:lang w:val="en-US"/>
              </w:rPr>
              <w:t xml:space="preserve">    VCEDU</w:t>
            </w:r>
          </w:p>
        </w:tc>
        <w:tc>
          <w:tcPr>
            <w:tcW w:w="1559" w:type="dxa"/>
            <w:tcBorders>
              <w:top w:val="nil"/>
              <w:left w:val="nil"/>
              <w:bottom w:val="nil"/>
              <w:right w:val="nil"/>
            </w:tcBorders>
          </w:tcPr>
          <w:p w14:paraId="0D92FF36"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0.01(.41)</w:t>
            </w:r>
          </w:p>
        </w:tc>
        <w:tc>
          <w:tcPr>
            <w:tcW w:w="1276" w:type="dxa"/>
            <w:tcBorders>
              <w:top w:val="nil"/>
              <w:left w:val="nil"/>
              <w:bottom w:val="nil"/>
              <w:right w:val="nil"/>
            </w:tcBorders>
          </w:tcPr>
          <w:p w14:paraId="5B556925"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1.21</w:t>
            </w:r>
          </w:p>
        </w:tc>
        <w:tc>
          <w:tcPr>
            <w:tcW w:w="1417" w:type="dxa"/>
            <w:tcBorders>
              <w:top w:val="nil"/>
              <w:left w:val="nil"/>
              <w:bottom w:val="nil"/>
              <w:right w:val="nil"/>
            </w:tcBorders>
          </w:tcPr>
          <w:p w14:paraId="76AFA8EC"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0.00(.71)</w:t>
            </w:r>
          </w:p>
        </w:tc>
        <w:tc>
          <w:tcPr>
            <w:tcW w:w="1096" w:type="dxa"/>
            <w:tcBorders>
              <w:top w:val="nil"/>
              <w:left w:val="nil"/>
              <w:bottom w:val="nil"/>
              <w:right w:val="nil"/>
            </w:tcBorders>
          </w:tcPr>
          <w:p w14:paraId="4BF068EF"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1.21</w:t>
            </w:r>
          </w:p>
        </w:tc>
        <w:tc>
          <w:tcPr>
            <w:tcW w:w="1456" w:type="dxa"/>
            <w:tcBorders>
              <w:top w:val="nil"/>
              <w:left w:val="nil"/>
              <w:bottom w:val="nil"/>
              <w:right w:val="nil"/>
            </w:tcBorders>
          </w:tcPr>
          <w:p w14:paraId="60F674C2"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0.00(.89)</w:t>
            </w:r>
          </w:p>
        </w:tc>
        <w:tc>
          <w:tcPr>
            <w:tcW w:w="1146" w:type="dxa"/>
            <w:tcBorders>
              <w:top w:val="nil"/>
              <w:left w:val="nil"/>
              <w:bottom w:val="nil"/>
              <w:right w:val="nil"/>
            </w:tcBorders>
          </w:tcPr>
          <w:p w14:paraId="69EA31CE"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1.22</w:t>
            </w:r>
          </w:p>
        </w:tc>
        <w:tc>
          <w:tcPr>
            <w:tcW w:w="1547" w:type="dxa"/>
            <w:tcBorders>
              <w:top w:val="nil"/>
              <w:left w:val="nil"/>
              <w:bottom w:val="nil"/>
              <w:right w:val="nil"/>
            </w:tcBorders>
          </w:tcPr>
          <w:p w14:paraId="5885AB4A"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-0.00(.72)</w:t>
            </w:r>
          </w:p>
        </w:tc>
        <w:tc>
          <w:tcPr>
            <w:tcW w:w="1159" w:type="dxa"/>
            <w:tcBorders>
              <w:top w:val="nil"/>
              <w:left w:val="nil"/>
              <w:bottom w:val="nil"/>
              <w:right w:val="nil"/>
            </w:tcBorders>
          </w:tcPr>
          <w:p w14:paraId="1B090E9A"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1.28</w:t>
            </w:r>
          </w:p>
        </w:tc>
        <w:tc>
          <w:tcPr>
            <w:tcW w:w="1534" w:type="dxa"/>
            <w:tcBorders>
              <w:top w:val="nil"/>
              <w:left w:val="nil"/>
              <w:bottom w:val="nil"/>
              <w:right w:val="nil"/>
            </w:tcBorders>
          </w:tcPr>
          <w:p w14:paraId="4581DFD2"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0.00(.66)</w:t>
            </w:r>
          </w:p>
        </w:tc>
        <w:tc>
          <w:tcPr>
            <w:tcW w:w="1418" w:type="dxa"/>
            <w:tcBorders>
              <w:top w:val="nil"/>
              <w:left w:val="nil"/>
              <w:bottom w:val="nil"/>
              <w:right w:val="nil"/>
            </w:tcBorders>
          </w:tcPr>
          <w:p w14:paraId="227445C5"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1.25</w:t>
            </w:r>
          </w:p>
        </w:tc>
      </w:tr>
      <w:tr w:rsidR="007B26F1" w:rsidRPr="00264E52" w14:paraId="2FA9D157" w14:textId="77777777" w:rsidTr="007B26F1">
        <w:trPr>
          <w:trHeight w:val="173"/>
        </w:trPr>
        <w:tc>
          <w:tcPr>
            <w:tcW w:w="1560" w:type="dxa"/>
            <w:tcBorders>
              <w:top w:val="nil"/>
              <w:left w:val="nil"/>
              <w:bottom w:val="nil"/>
              <w:right w:val="nil"/>
            </w:tcBorders>
          </w:tcPr>
          <w:p w14:paraId="2040F533" w14:textId="77777777" w:rsidR="007B26F1" w:rsidRPr="00264E52" w:rsidRDefault="007B26F1" w:rsidP="007B26F1">
            <w:pPr>
              <w:spacing w:after="0" w:line="240" w:lineRule="auto"/>
              <w:rPr>
                <w:rFonts w:ascii="Times New Roman" w:eastAsia="Times New Roman" w:hAnsi="Times New Roman" w:cs="Times New Roman"/>
                <w:iCs/>
                <w:color w:val="000000"/>
                <w:sz w:val="17"/>
                <w:szCs w:val="17"/>
                <w:lang w:val="en-US"/>
              </w:rPr>
            </w:pPr>
            <w:r w:rsidRPr="00264E52">
              <w:rPr>
                <w:rFonts w:ascii="Times New Roman" w:eastAsia="Times New Roman" w:hAnsi="Times New Roman" w:cs="Times New Roman"/>
                <w:iCs/>
                <w:color w:val="000000"/>
                <w:sz w:val="17"/>
                <w:szCs w:val="17"/>
                <w:lang w:val="en-US"/>
              </w:rPr>
              <w:t xml:space="preserve">    VCAGE</w:t>
            </w:r>
          </w:p>
        </w:tc>
        <w:tc>
          <w:tcPr>
            <w:tcW w:w="1559" w:type="dxa"/>
            <w:tcBorders>
              <w:top w:val="nil"/>
              <w:left w:val="nil"/>
              <w:bottom w:val="nil"/>
              <w:right w:val="nil"/>
            </w:tcBorders>
          </w:tcPr>
          <w:p w14:paraId="770B73AD"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0.09(.44)</w:t>
            </w:r>
          </w:p>
        </w:tc>
        <w:tc>
          <w:tcPr>
            <w:tcW w:w="1276" w:type="dxa"/>
            <w:tcBorders>
              <w:top w:val="nil"/>
              <w:left w:val="nil"/>
              <w:bottom w:val="nil"/>
              <w:right w:val="nil"/>
            </w:tcBorders>
          </w:tcPr>
          <w:p w14:paraId="0D619F00"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1.41</w:t>
            </w:r>
          </w:p>
        </w:tc>
        <w:tc>
          <w:tcPr>
            <w:tcW w:w="1417" w:type="dxa"/>
            <w:tcBorders>
              <w:top w:val="nil"/>
              <w:left w:val="nil"/>
              <w:bottom w:val="nil"/>
              <w:right w:val="nil"/>
            </w:tcBorders>
          </w:tcPr>
          <w:p w14:paraId="751D6CE2"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-0.07(.21)</w:t>
            </w:r>
          </w:p>
        </w:tc>
        <w:tc>
          <w:tcPr>
            <w:tcW w:w="1096" w:type="dxa"/>
            <w:tcBorders>
              <w:top w:val="nil"/>
              <w:left w:val="nil"/>
              <w:bottom w:val="nil"/>
              <w:right w:val="nil"/>
            </w:tcBorders>
          </w:tcPr>
          <w:p w14:paraId="04E7088D"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1.41</w:t>
            </w:r>
          </w:p>
        </w:tc>
        <w:tc>
          <w:tcPr>
            <w:tcW w:w="1456" w:type="dxa"/>
            <w:tcBorders>
              <w:top w:val="nil"/>
              <w:left w:val="nil"/>
              <w:bottom w:val="nil"/>
              <w:right w:val="nil"/>
            </w:tcBorders>
          </w:tcPr>
          <w:p w14:paraId="2E3FB2CF"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-0.08(.11)</w:t>
            </w:r>
          </w:p>
        </w:tc>
        <w:tc>
          <w:tcPr>
            <w:tcW w:w="1146" w:type="dxa"/>
            <w:tcBorders>
              <w:top w:val="nil"/>
              <w:left w:val="nil"/>
              <w:bottom w:val="nil"/>
              <w:right w:val="nil"/>
            </w:tcBorders>
          </w:tcPr>
          <w:p w14:paraId="5CBB81C5"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1.42</w:t>
            </w:r>
          </w:p>
        </w:tc>
        <w:tc>
          <w:tcPr>
            <w:tcW w:w="1547" w:type="dxa"/>
            <w:tcBorders>
              <w:top w:val="nil"/>
              <w:left w:val="nil"/>
              <w:bottom w:val="nil"/>
              <w:right w:val="nil"/>
            </w:tcBorders>
          </w:tcPr>
          <w:p w14:paraId="206E42DA"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-0.11(.02)</w:t>
            </w:r>
            <w:r w:rsidRPr="00264E52">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41076855"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1.35</w:t>
            </w:r>
          </w:p>
        </w:tc>
        <w:tc>
          <w:tcPr>
            <w:tcW w:w="1534" w:type="dxa"/>
            <w:tcBorders>
              <w:top w:val="nil"/>
              <w:left w:val="nil"/>
              <w:bottom w:val="nil"/>
              <w:right w:val="nil"/>
            </w:tcBorders>
          </w:tcPr>
          <w:p w14:paraId="543A5520"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-0.18(.00)</w:t>
            </w:r>
            <w:r w:rsidRPr="00264E52">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5CE09B11"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1.47</w:t>
            </w:r>
          </w:p>
        </w:tc>
      </w:tr>
      <w:tr w:rsidR="007B26F1" w:rsidRPr="00264E52" w14:paraId="54816E53" w14:textId="77777777" w:rsidTr="007B26F1">
        <w:trPr>
          <w:trHeight w:val="91"/>
        </w:trPr>
        <w:tc>
          <w:tcPr>
            <w:tcW w:w="1560" w:type="dxa"/>
            <w:tcBorders>
              <w:top w:val="nil"/>
              <w:left w:val="nil"/>
              <w:bottom w:val="nil"/>
              <w:right w:val="nil"/>
            </w:tcBorders>
          </w:tcPr>
          <w:p w14:paraId="20D0BB3E" w14:textId="77777777" w:rsidR="007B26F1" w:rsidRPr="00264E52" w:rsidRDefault="007B26F1" w:rsidP="007B26F1">
            <w:pPr>
              <w:spacing w:after="0" w:line="240" w:lineRule="auto"/>
              <w:rPr>
                <w:rFonts w:ascii="Times New Roman" w:eastAsia="Times New Roman" w:hAnsi="Times New Roman" w:cs="Times New Roman"/>
                <w:iCs/>
                <w:color w:val="000000"/>
                <w:sz w:val="17"/>
                <w:szCs w:val="17"/>
                <w:lang w:val="en-US"/>
              </w:rPr>
            </w:pPr>
            <w:r w:rsidRPr="00264E52">
              <w:rPr>
                <w:rFonts w:ascii="Times New Roman" w:eastAsia="Times New Roman" w:hAnsi="Times New Roman" w:cs="Times New Roman"/>
                <w:iCs/>
                <w:color w:val="000000"/>
                <w:sz w:val="17"/>
                <w:szCs w:val="17"/>
                <w:lang w:val="en-US"/>
              </w:rPr>
              <w:t xml:space="preserve">    VCTEN</w:t>
            </w:r>
          </w:p>
        </w:tc>
        <w:tc>
          <w:tcPr>
            <w:tcW w:w="1559" w:type="dxa"/>
            <w:tcBorders>
              <w:top w:val="nil"/>
              <w:left w:val="nil"/>
              <w:bottom w:val="nil"/>
              <w:right w:val="nil"/>
            </w:tcBorders>
          </w:tcPr>
          <w:p w14:paraId="02ABFBB0"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0.05(.01)</w:t>
            </w:r>
            <w:r w:rsidRPr="00264E52">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1AE35154"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1.30</w:t>
            </w:r>
          </w:p>
        </w:tc>
        <w:tc>
          <w:tcPr>
            <w:tcW w:w="1417" w:type="dxa"/>
            <w:tcBorders>
              <w:top w:val="nil"/>
              <w:left w:val="nil"/>
              <w:bottom w:val="nil"/>
              <w:right w:val="nil"/>
            </w:tcBorders>
          </w:tcPr>
          <w:p w14:paraId="1DB3B473"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0.03(.00)</w:t>
            </w:r>
            <w:r w:rsidRPr="00264E52">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121E5B59"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1.30</w:t>
            </w:r>
          </w:p>
        </w:tc>
        <w:tc>
          <w:tcPr>
            <w:tcW w:w="1456" w:type="dxa"/>
            <w:tcBorders>
              <w:top w:val="nil"/>
              <w:left w:val="nil"/>
              <w:bottom w:val="nil"/>
              <w:right w:val="nil"/>
            </w:tcBorders>
          </w:tcPr>
          <w:p w14:paraId="31A32852"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0.03(.00)</w:t>
            </w:r>
            <w:r w:rsidRPr="00264E52">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5B4E9419"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1.30</w:t>
            </w:r>
          </w:p>
        </w:tc>
        <w:tc>
          <w:tcPr>
            <w:tcW w:w="1547" w:type="dxa"/>
            <w:tcBorders>
              <w:top w:val="nil"/>
              <w:left w:val="nil"/>
              <w:bottom w:val="nil"/>
              <w:right w:val="nil"/>
            </w:tcBorders>
          </w:tcPr>
          <w:p w14:paraId="709479C4"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0.03(.00)</w:t>
            </w:r>
            <w:r w:rsidRPr="00264E52">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0B10499F"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1.28</w:t>
            </w:r>
          </w:p>
        </w:tc>
        <w:tc>
          <w:tcPr>
            <w:tcW w:w="1534" w:type="dxa"/>
            <w:tcBorders>
              <w:top w:val="nil"/>
              <w:left w:val="nil"/>
              <w:bottom w:val="nil"/>
              <w:right w:val="nil"/>
            </w:tcBorders>
          </w:tcPr>
          <w:p w14:paraId="0AE4FE28"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0.04(.00)</w:t>
            </w:r>
            <w:r w:rsidRPr="00264E52">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0DF6EA26"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1.34</w:t>
            </w:r>
          </w:p>
        </w:tc>
      </w:tr>
      <w:tr w:rsidR="007B26F1" w:rsidRPr="00264E52" w14:paraId="6F330FBC" w14:textId="77777777" w:rsidTr="007B26F1">
        <w:trPr>
          <w:trHeight w:val="87"/>
        </w:trPr>
        <w:tc>
          <w:tcPr>
            <w:tcW w:w="1560" w:type="dxa"/>
            <w:tcBorders>
              <w:top w:val="nil"/>
              <w:left w:val="nil"/>
              <w:bottom w:val="nil"/>
              <w:right w:val="nil"/>
            </w:tcBorders>
          </w:tcPr>
          <w:p w14:paraId="04723AAD" w14:textId="77777777" w:rsidR="007B26F1" w:rsidRPr="00264E52" w:rsidRDefault="007B26F1" w:rsidP="007B26F1">
            <w:pPr>
              <w:spacing w:after="0" w:line="240" w:lineRule="auto"/>
              <w:rPr>
                <w:rFonts w:ascii="Times New Roman" w:eastAsia="Times New Roman" w:hAnsi="Times New Roman" w:cs="Times New Roman"/>
                <w:iCs/>
                <w:sz w:val="17"/>
                <w:szCs w:val="17"/>
                <w:lang w:val="en-US"/>
              </w:rPr>
            </w:pPr>
            <w:r w:rsidRPr="00264E52">
              <w:rPr>
                <w:rFonts w:ascii="Times New Roman" w:eastAsia="Times New Roman" w:hAnsi="Times New Roman" w:cs="Times New Roman"/>
                <w:iCs/>
                <w:sz w:val="17"/>
                <w:szCs w:val="17"/>
                <w:lang w:val="en-US"/>
              </w:rPr>
              <w:t xml:space="preserve">    EGC</w:t>
            </w:r>
          </w:p>
        </w:tc>
        <w:tc>
          <w:tcPr>
            <w:tcW w:w="1559" w:type="dxa"/>
            <w:tcBorders>
              <w:top w:val="nil"/>
              <w:left w:val="nil"/>
              <w:bottom w:val="nil"/>
              <w:right w:val="nil"/>
            </w:tcBorders>
          </w:tcPr>
          <w:p w14:paraId="2D41AE21"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0.06(.02)</w:t>
            </w:r>
            <w:r w:rsidRPr="00264E52">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4BC1F311"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1.26</w:t>
            </w:r>
          </w:p>
        </w:tc>
        <w:tc>
          <w:tcPr>
            <w:tcW w:w="1417" w:type="dxa"/>
            <w:tcBorders>
              <w:top w:val="nil"/>
              <w:left w:val="nil"/>
              <w:bottom w:val="nil"/>
              <w:right w:val="nil"/>
            </w:tcBorders>
          </w:tcPr>
          <w:p w14:paraId="6A96AD2A"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0.04(.00)</w:t>
            </w:r>
            <w:r w:rsidRPr="00264E52">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317E03DE"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1.26</w:t>
            </w:r>
          </w:p>
        </w:tc>
        <w:tc>
          <w:tcPr>
            <w:tcW w:w="1456" w:type="dxa"/>
            <w:tcBorders>
              <w:top w:val="nil"/>
              <w:left w:val="nil"/>
              <w:bottom w:val="nil"/>
              <w:right w:val="nil"/>
            </w:tcBorders>
          </w:tcPr>
          <w:p w14:paraId="4A672CCC"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0.04(.00)</w:t>
            </w:r>
            <w:r w:rsidRPr="00264E52">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732E5D15"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1.25</w:t>
            </w:r>
          </w:p>
        </w:tc>
        <w:tc>
          <w:tcPr>
            <w:tcW w:w="1547" w:type="dxa"/>
            <w:tcBorders>
              <w:top w:val="nil"/>
              <w:left w:val="nil"/>
              <w:bottom w:val="nil"/>
              <w:right w:val="nil"/>
            </w:tcBorders>
          </w:tcPr>
          <w:p w14:paraId="54B5D9B3"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0.04(.00)</w:t>
            </w:r>
            <w:r w:rsidRPr="00264E52">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5F6D9798"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1.27</w:t>
            </w:r>
          </w:p>
        </w:tc>
        <w:tc>
          <w:tcPr>
            <w:tcW w:w="1534" w:type="dxa"/>
            <w:tcBorders>
              <w:top w:val="nil"/>
              <w:left w:val="nil"/>
              <w:bottom w:val="nil"/>
              <w:right w:val="nil"/>
            </w:tcBorders>
          </w:tcPr>
          <w:p w14:paraId="0A5D8DD2"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0.04(.00)</w:t>
            </w:r>
            <w:r w:rsidRPr="00264E52">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42165E79"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1.30</w:t>
            </w:r>
          </w:p>
        </w:tc>
      </w:tr>
      <w:tr w:rsidR="007B26F1" w:rsidRPr="00264E52" w14:paraId="55888561" w14:textId="77777777" w:rsidTr="007B26F1">
        <w:trPr>
          <w:trHeight w:val="87"/>
        </w:trPr>
        <w:tc>
          <w:tcPr>
            <w:tcW w:w="1560" w:type="dxa"/>
            <w:tcBorders>
              <w:top w:val="nil"/>
              <w:left w:val="nil"/>
              <w:bottom w:val="nil"/>
              <w:right w:val="nil"/>
            </w:tcBorders>
          </w:tcPr>
          <w:p w14:paraId="14EF9FF4" w14:textId="77777777" w:rsidR="007B26F1" w:rsidRPr="00264E52" w:rsidRDefault="007B26F1" w:rsidP="007B26F1">
            <w:pPr>
              <w:spacing w:after="0" w:line="240" w:lineRule="auto"/>
              <w:rPr>
                <w:rFonts w:ascii="Times New Roman" w:eastAsia="Times New Roman" w:hAnsi="Times New Roman" w:cs="Times New Roman"/>
                <w:iCs/>
                <w:color w:val="000000"/>
                <w:sz w:val="17"/>
                <w:szCs w:val="17"/>
                <w:lang w:val="en-US"/>
              </w:rPr>
            </w:pPr>
            <w:r w:rsidRPr="00264E52">
              <w:rPr>
                <w:rFonts w:ascii="Times New Roman" w:eastAsia="Times New Roman" w:hAnsi="Times New Roman" w:cs="Times New Roman"/>
                <w:iCs/>
                <w:color w:val="000000"/>
                <w:sz w:val="17"/>
                <w:szCs w:val="17"/>
                <w:lang w:val="en-US"/>
              </w:rPr>
              <w:t xml:space="preserve">    GBGED</w:t>
            </w:r>
          </w:p>
        </w:tc>
        <w:tc>
          <w:tcPr>
            <w:tcW w:w="1559" w:type="dxa"/>
            <w:tcBorders>
              <w:top w:val="nil"/>
              <w:left w:val="nil"/>
              <w:bottom w:val="nil"/>
              <w:right w:val="nil"/>
            </w:tcBorders>
          </w:tcPr>
          <w:p w14:paraId="47D80278"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-0.23(.00)</w:t>
            </w:r>
            <w:r w:rsidRPr="00264E52">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44E3A397"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1.09</w:t>
            </w:r>
          </w:p>
        </w:tc>
        <w:tc>
          <w:tcPr>
            <w:tcW w:w="1417" w:type="dxa"/>
            <w:tcBorders>
              <w:top w:val="nil"/>
              <w:left w:val="nil"/>
              <w:bottom w:val="nil"/>
              <w:right w:val="nil"/>
            </w:tcBorders>
          </w:tcPr>
          <w:p w14:paraId="6C07A434"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-0.02(.48)</w:t>
            </w:r>
          </w:p>
        </w:tc>
        <w:tc>
          <w:tcPr>
            <w:tcW w:w="1096" w:type="dxa"/>
            <w:tcBorders>
              <w:top w:val="nil"/>
              <w:left w:val="nil"/>
              <w:bottom w:val="nil"/>
              <w:right w:val="nil"/>
            </w:tcBorders>
          </w:tcPr>
          <w:p w14:paraId="7C33629C"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1.09</w:t>
            </w:r>
          </w:p>
        </w:tc>
        <w:tc>
          <w:tcPr>
            <w:tcW w:w="1456" w:type="dxa"/>
            <w:tcBorders>
              <w:top w:val="nil"/>
              <w:left w:val="nil"/>
              <w:bottom w:val="nil"/>
              <w:right w:val="nil"/>
            </w:tcBorders>
          </w:tcPr>
          <w:p w14:paraId="5A5B0776"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-0.07(.04)</w:t>
            </w:r>
            <w:r w:rsidRPr="00264E52">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713A1F64"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1.10</w:t>
            </w:r>
          </w:p>
        </w:tc>
        <w:tc>
          <w:tcPr>
            <w:tcW w:w="1547" w:type="dxa"/>
            <w:tcBorders>
              <w:top w:val="nil"/>
              <w:left w:val="nil"/>
              <w:bottom w:val="nil"/>
              <w:right w:val="nil"/>
            </w:tcBorders>
          </w:tcPr>
          <w:p w14:paraId="5DD34440"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-0.07(.04)</w:t>
            </w:r>
            <w:r w:rsidRPr="00264E52">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0CEE2E15"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1.11</w:t>
            </w:r>
          </w:p>
        </w:tc>
        <w:tc>
          <w:tcPr>
            <w:tcW w:w="1534" w:type="dxa"/>
            <w:tcBorders>
              <w:top w:val="nil"/>
              <w:left w:val="nil"/>
              <w:bottom w:val="nil"/>
              <w:right w:val="nil"/>
            </w:tcBorders>
          </w:tcPr>
          <w:p w14:paraId="286AA583"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-0.02(.54)</w:t>
            </w:r>
          </w:p>
        </w:tc>
        <w:tc>
          <w:tcPr>
            <w:tcW w:w="1418" w:type="dxa"/>
            <w:tcBorders>
              <w:top w:val="nil"/>
              <w:left w:val="nil"/>
              <w:bottom w:val="nil"/>
              <w:right w:val="nil"/>
            </w:tcBorders>
          </w:tcPr>
          <w:p w14:paraId="1E5C49D0"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1.12</w:t>
            </w:r>
          </w:p>
        </w:tc>
      </w:tr>
      <w:tr w:rsidR="007B26F1" w:rsidRPr="00264E52" w14:paraId="51250F73" w14:textId="77777777" w:rsidTr="007B26F1">
        <w:trPr>
          <w:trHeight w:val="87"/>
        </w:trPr>
        <w:tc>
          <w:tcPr>
            <w:tcW w:w="1560" w:type="dxa"/>
            <w:tcBorders>
              <w:top w:val="nil"/>
              <w:left w:val="nil"/>
              <w:bottom w:val="nil"/>
              <w:right w:val="nil"/>
            </w:tcBorders>
          </w:tcPr>
          <w:p w14:paraId="7171CBC0" w14:textId="77777777" w:rsidR="007B26F1" w:rsidRPr="00264E52" w:rsidRDefault="007B26F1" w:rsidP="007B26F1">
            <w:pPr>
              <w:spacing w:after="0" w:line="240" w:lineRule="auto"/>
              <w:rPr>
                <w:rFonts w:ascii="Times New Roman" w:eastAsia="Times New Roman" w:hAnsi="Times New Roman" w:cs="Times New Roman"/>
                <w:iCs/>
                <w:color w:val="000000"/>
                <w:sz w:val="17"/>
                <w:szCs w:val="17"/>
                <w:lang w:val="en-US"/>
              </w:rPr>
            </w:pPr>
            <w:r w:rsidRPr="00264E52">
              <w:rPr>
                <w:rFonts w:ascii="Times New Roman" w:eastAsia="Times New Roman" w:hAnsi="Times New Roman" w:cs="Times New Roman"/>
                <w:iCs/>
                <w:color w:val="000000"/>
                <w:sz w:val="17"/>
                <w:szCs w:val="17"/>
                <w:lang w:val="en-US"/>
              </w:rPr>
              <w:t xml:space="preserve">    GBIND</w:t>
            </w:r>
          </w:p>
        </w:tc>
        <w:tc>
          <w:tcPr>
            <w:tcW w:w="1559" w:type="dxa"/>
            <w:tcBorders>
              <w:top w:val="nil"/>
              <w:left w:val="nil"/>
              <w:bottom w:val="nil"/>
              <w:right w:val="nil"/>
            </w:tcBorders>
          </w:tcPr>
          <w:p w14:paraId="35A28C12"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-0.11(.13)</w:t>
            </w:r>
          </w:p>
        </w:tc>
        <w:tc>
          <w:tcPr>
            <w:tcW w:w="1276" w:type="dxa"/>
            <w:tcBorders>
              <w:top w:val="nil"/>
              <w:left w:val="nil"/>
              <w:bottom w:val="nil"/>
              <w:right w:val="nil"/>
            </w:tcBorders>
          </w:tcPr>
          <w:p w14:paraId="37E46A2D"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1.47</w:t>
            </w:r>
          </w:p>
        </w:tc>
        <w:tc>
          <w:tcPr>
            <w:tcW w:w="1417" w:type="dxa"/>
            <w:tcBorders>
              <w:top w:val="nil"/>
              <w:left w:val="nil"/>
              <w:bottom w:val="nil"/>
              <w:right w:val="nil"/>
            </w:tcBorders>
          </w:tcPr>
          <w:p w14:paraId="50CA1FCE"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0.10(.00)</w:t>
            </w:r>
            <w:r w:rsidRPr="00264E52">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75330B68"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1.47</w:t>
            </w:r>
          </w:p>
        </w:tc>
        <w:tc>
          <w:tcPr>
            <w:tcW w:w="1456" w:type="dxa"/>
            <w:tcBorders>
              <w:top w:val="nil"/>
              <w:left w:val="nil"/>
              <w:bottom w:val="nil"/>
              <w:right w:val="nil"/>
            </w:tcBorders>
          </w:tcPr>
          <w:p w14:paraId="4249925C"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0.14(.00)</w:t>
            </w:r>
            <w:r w:rsidRPr="00264E52">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1B80BDBF"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1.51</w:t>
            </w:r>
          </w:p>
        </w:tc>
        <w:tc>
          <w:tcPr>
            <w:tcW w:w="1547" w:type="dxa"/>
            <w:tcBorders>
              <w:top w:val="nil"/>
              <w:left w:val="nil"/>
              <w:bottom w:val="nil"/>
              <w:right w:val="nil"/>
            </w:tcBorders>
          </w:tcPr>
          <w:p w14:paraId="34FC1890"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0.14(.00)</w:t>
            </w:r>
            <w:r w:rsidRPr="00264E52">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46470D6D"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1.48</w:t>
            </w:r>
          </w:p>
        </w:tc>
        <w:tc>
          <w:tcPr>
            <w:tcW w:w="1534" w:type="dxa"/>
            <w:tcBorders>
              <w:top w:val="nil"/>
              <w:left w:val="nil"/>
              <w:bottom w:val="nil"/>
              <w:right w:val="nil"/>
            </w:tcBorders>
          </w:tcPr>
          <w:p w14:paraId="2EDAE285"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0.10(.00)</w:t>
            </w:r>
            <w:r w:rsidRPr="00264E52">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1E30CC94"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1.51</w:t>
            </w:r>
          </w:p>
        </w:tc>
      </w:tr>
      <w:tr w:rsidR="007B26F1" w:rsidRPr="00264E52" w14:paraId="418A915F" w14:textId="77777777" w:rsidTr="007B26F1">
        <w:trPr>
          <w:trHeight w:val="87"/>
        </w:trPr>
        <w:tc>
          <w:tcPr>
            <w:tcW w:w="1560" w:type="dxa"/>
            <w:tcBorders>
              <w:top w:val="nil"/>
              <w:left w:val="nil"/>
              <w:bottom w:val="nil"/>
              <w:right w:val="nil"/>
            </w:tcBorders>
          </w:tcPr>
          <w:p w14:paraId="15CE85C6" w14:textId="77777777" w:rsidR="007B26F1" w:rsidRPr="00264E52" w:rsidRDefault="007B26F1" w:rsidP="007B26F1">
            <w:pPr>
              <w:spacing w:after="0" w:line="240" w:lineRule="auto"/>
              <w:rPr>
                <w:rFonts w:ascii="Times New Roman" w:eastAsia="Times New Roman" w:hAnsi="Times New Roman" w:cs="Times New Roman"/>
                <w:color w:val="000000"/>
                <w:sz w:val="17"/>
                <w:szCs w:val="17"/>
                <w:lang w:val="en-US"/>
              </w:rPr>
            </w:pPr>
            <w:r w:rsidRPr="00264E52">
              <w:rPr>
                <w:rFonts w:ascii="Times New Roman" w:eastAsia="Times New Roman" w:hAnsi="Times New Roman" w:cs="Times New Roman"/>
                <w:color w:val="000000"/>
                <w:sz w:val="17"/>
                <w:szCs w:val="17"/>
                <w:lang w:val="en-US"/>
              </w:rPr>
              <w:t xml:space="preserve">    GBMT</w:t>
            </w:r>
          </w:p>
        </w:tc>
        <w:tc>
          <w:tcPr>
            <w:tcW w:w="1559" w:type="dxa"/>
            <w:tcBorders>
              <w:top w:val="nil"/>
              <w:left w:val="nil"/>
              <w:bottom w:val="nil"/>
              <w:right w:val="nil"/>
            </w:tcBorders>
          </w:tcPr>
          <w:p w14:paraId="2EEEABFC"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0.05(.18)</w:t>
            </w:r>
          </w:p>
        </w:tc>
        <w:tc>
          <w:tcPr>
            <w:tcW w:w="1276" w:type="dxa"/>
            <w:tcBorders>
              <w:top w:val="nil"/>
              <w:left w:val="nil"/>
              <w:bottom w:val="nil"/>
              <w:right w:val="nil"/>
            </w:tcBorders>
          </w:tcPr>
          <w:p w14:paraId="1548BF16"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1.16</w:t>
            </w:r>
          </w:p>
        </w:tc>
        <w:tc>
          <w:tcPr>
            <w:tcW w:w="1417" w:type="dxa"/>
            <w:tcBorders>
              <w:top w:val="nil"/>
              <w:left w:val="nil"/>
              <w:bottom w:val="nil"/>
              <w:right w:val="nil"/>
            </w:tcBorders>
          </w:tcPr>
          <w:p w14:paraId="22D76EFC"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0.05(.00)</w:t>
            </w:r>
            <w:r w:rsidRPr="00264E52">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3DC971AB"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1.16</w:t>
            </w:r>
          </w:p>
        </w:tc>
        <w:tc>
          <w:tcPr>
            <w:tcW w:w="1456" w:type="dxa"/>
            <w:tcBorders>
              <w:top w:val="nil"/>
              <w:left w:val="nil"/>
              <w:bottom w:val="nil"/>
              <w:right w:val="nil"/>
            </w:tcBorders>
          </w:tcPr>
          <w:p w14:paraId="741A88D5"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0.04(.00)</w:t>
            </w:r>
            <w:r w:rsidRPr="00264E52">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390039CE"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1.17</w:t>
            </w:r>
          </w:p>
        </w:tc>
        <w:tc>
          <w:tcPr>
            <w:tcW w:w="1547" w:type="dxa"/>
            <w:tcBorders>
              <w:top w:val="nil"/>
              <w:left w:val="nil"/>
              <w:bottom w:val="nil"/>
              <w:right w:val="nil"/>
            </w:tcBorders>
          </w:tcPr>
          <w:p w14:paraId="58B6795D"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0.04(.00)</w:t>
            </w:r>
            <w:r w:rsidRPr="00264E52">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6B5AC358"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1.13</w:t>
            </w:r>
          </w:p>
        </w:tc>
        <w:tc>
          <w:tcPr>
            <w:tcW w:w="1534" w:type="dxa"/>
            <w:tcBorders>
              <w:top w:val="nil"/>
              <w:left w:val="nil"/>
              <w:bottom w:val="nil"/>
              <w:right w:val="nil"/>
            </w:tcBorders>
          </w:tcPr>
          <w:p w14:paraId="1404E9A7"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0.01(.34)</w:t>
            </w:r>
          </w:p>
        </w:tc>
        <w:tc>
          <w:tcPr>
            <w:tcW w:w="1418" w:type="dxa"/>
            <w:tcBorders>
              <w:top w:val="nil"/>
              <w:left w:val="nil"/>
              <w:bottom w:val="nil"/>
              <w:right w:val="nil"/>
            </w:tcBorders>
          </w:tcPr>
          <w:p w14:paraId="1B8467B0"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1.21</w:t>
            </w:r>
          </w:p>
        </w:tc>
      </w:tr>
      <w:tr w:rsidR="007B26F1" w:rsidRPr="00264E52" w14:paraId="3C6DC71F" w14:textId="77777777" w:rsidTr="007B26F1">
        <w:trPr>
          <w:trHeight w:val="164"/>
        </w:trPr>
        <w:tc>
          <w:tcPr>
            <w:tcW w:w="15168" w:type="dxa"/>
            <w:gridSpan w:val="11"/>
            <w:tcBorders>
              <w:top w:val="nil"/>
              <w:left w:val="nil"/>
              <w:bottom w:val="nil"/>
              <w:right w:val="nil"/>
            </w:tcBorders>
          </w:tcPr>
          <w:p w14:paraId="7BF7B975" w14:textId="77777777" w:rsidR="007B26F1" w:rsidRPr="00264E52" w:rsidRDefault="007B26F1" w:rsidP="007B26F1">
            <w:pPr>
              <w:spacing w:after="0"/>
              <w:rPr>
                <w:rFonts w:ascii="Times New Roman" w:eastAsia="Times New Roman" w:hAnsi="Times New Roman" w:cs="Times New Roman"/>
                <w:sz w:val="4"/>
                <w:szCs w:val="4"/>
              </w:rPr>
            </w:pPr>
          </w:p>
          <w:p w14:paraId="6992B670"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Controls</w:t>
            </w:r>
          </w:p>
        </w:tc>
      </w:tr>
      <w:tr w:rsidR="007B26F1" w:rsidRPr="00264E52" w14:paraId="43192FE5" w14:textId="77777777" w:rsidTr="007B26F1">
        <w:trPr>
          <w:trHeight w:val="164"/>
        </w:trPr>
        <w:tc>
          <w:tcPr>
            <w:tcW w:w="1560" w:type="dxa"/>
            <w:tcBorders>
              <w:top w:val="nil"/>
              <w:left w:val="nil"/>
              <w:bottom w:val="nil"/>
              <w:right w:val="nil"/>
            </w:tcBorders>
          </w:tcPr>
          <w:p w14:paraId="5A7CC155" w14:textId="77777777" w:rsidR="007B26F1" w:rsidRPr="00264E52" w:rsidRDefault="007B26F1" w:rsidP="007B26F1">
            <w:pPr>
              <w:spacing w:after="0" w:line="240" w:lineRule="auto"/>
              <w:rPr>
                <w:rFonts w:ascii="Times New Roman" w:eastAsia="Times New Roman" w:hAnsi="Times New Roman" w:cs="Times New Roman"/>
                <w:color w:val="000000"/>
                <w:sz w:val="17"/>
                <w:szCs w:val="17"/>
                <w:lang w:val="en-US"/>
              </w:rPr>
            </w:pPr>
            <w:r w:rsidRPr="00264E52">
              <w:rPr>
                <w:rFonts w:ascii="Times New Roman" w:eastAsia="Times New Roman" w:hAnsi="Times New Roman" w:cs="Times New Roman"/>
                <w:iCs/>
                <w:color w:val="000000"/>
                <w:sz w:val="17"/>
                <w:szCs w:val="17"/>
                <w:lang w:val="en-US"/>
              </w:rPr>
              <w:t xml:space="preserve">    GBZE</w:t>
            </w:r>
          </w:p>
        </w:tc>
        <w:tc>
          <w:tcPr>
            <w:tcW w:w="1559" w:type="dxa"/>
            <w:tcBorders>
              <w:top w:val="nil"/>
              <w:left w:val="nil"/>
              <w:bottom w:val="nil"/>
              <w:right w:val="nil"/>
            </w:tcBorders>
          </w:tcPr>
          <w:p w14:paraId="7F11C83F"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-0.12(.01)</w:t>
            </w:r>
            <w:r w:rsidRPr="00264E52">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683C0814"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1.27</w:t>
            </w:r>
          </w:p>
        </w:tc>
        <w:tc>
          <w:tcPr>
            <w:tcW w:w="1417" w:type="dxa"/>
            <w:tcBorders>
              <w:top w:val="nil"/>
              <w:left w:val="nil"/>
              <w:bottom w:val="nil"/>
              <w:right w:val="nil"/>
            </w:tcBorders>
          </w:tcPr>
          <w:p w14:paraId="620ED662"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-0.02(.35)</w:t>
            </w:r>
          </w:p>
        </w:tc>
        <w:tc>
          <w:tcPr>
            <w:tcW w:w="1096" w:type="dxa"/>
            <w:tcBorders>
              <w:top w:val="nil"/>
              <w:left w:val="nil"/>
              <w:bottom w:val="nil"/>
              <w:right w:val="nil"/>
            </w:tcBorders>
          </w:tcPr>
          <w:p w14:paraId="6E4355C0"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1.27</w:t>
            </w:r>
          </w:p>
        </w:tc>
        <w:tc>
          <w:tcPr>
            <w:tcW w:w="1456" w:type="dxa"/>
            <w:tcBorders>
              <w:top w:val="nil"/>
              <w:left w:val="nil"/>
              <w:bottom w:val="nil"/>
              <w:right w:val="nil"/>
            </w:tcBorders>
          </w:tcPr>
          <w:p w14:paraId="283D9306"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-0.00(.80)</w:t>
            </w:r>
          </w:p>
        </w:tc>
        <w:tc>
          <w:tcPr>
            <w:tcW w:w="1146" w:type="dxa"/>
            <w:tcBorders>
              <w:top w:val="nil"/>
              <w:left w:val="nil"/>
              <w:bottom w:val="nil"/>
              <w:right w:val="nil"/>
            </w:tcBorders>
          </w:tcPr>
          <w:p w14:paraId="5D3E12C9"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1.26</w:t>
            </w:r>
          </w:p>
        </w:tc>
        <w:tc>
          <w:tcPr>
            <w:tcW w:w="1547" w:type="dxa"/>
            <w:tcBorders>
              <w:top w:val="nil"/>
              <w:left w:val="nil"/>
              <w:bottom w:val="nil"/>
              <w:right w:val="nil"/>
            </w:tcBorders>
          </w:tcPr>
          <w:p w14:paraId="31639F68"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-0.01(.50)</w:t>
            </w:r>
          </w:p>
        </w:tc>
        <w:tc>
          <w:tcPr>
            <w:tcW w:w="1159" w:type="dxa"/>
            <w:tcBorders>
              <w:top w:val="nil"/>
              <w:left w:val="nil"/>
              <w:bottom w:val="nil"/>
              <w:right w:val="nil"/>
            </w:tcBorders>
          </w:tcPr>
          <w:p w14:paraId="55E73252"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1.23</w:t>
            </w:r>
          </w:p>
        </w:tc>
        <w:tc>
          <w:tcPr>
            <w:tcW w:w="1534" w:type="dxa"/>
            <w:tcBorders>
              <w:top w:val="nil"/>
              <w:left w:val="nil"/>
              <w:bottom w:val="nil"/>
              <w:right w:val="nil"/>
            </w:tcBorders>
          </w:tcPr>
          <w:p w14:paraId="21824FF4"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-0.02(.33)</w:t>
            </w:r>
          </w:p>
        </w:tc>
        <w:tc>
          <w:tcPr>
            <w:tcW w:w="1418" w:type="dxa"/>
            <w:tcBorders>
              <w:top w:val="nil"/>
              <w:left w:val="nil"/>
              <w:bottom w:val="nil"/>
              <w:right w:val="nil"/>
            </w:tcBorders>
          </w:tcPr>
          <w:p w14:paraId="1F420727"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1.32</w:t>
            </w:r>
          </w:p>
        </w:tc>
      </w:tr>
      <w:tr w:rsidR="007B26F1" w:rsidRPr="00264E52" w14:paraId="73056851" w14:textId="77777777" w:rsidTr="007B26F1">
        <w:trPr>
          <w:trHeight w:val="164"/>
        </w:trPr>
        <w:tc>
          <w:tcPr>
            <w:tcW w:w="1560" w:type="dxa"/>
            <w:tcBorders>
              <w:top w:val="nil"/>
              <w:left w:val="nil"/>
              <w:bottom w:val="nil"/>
              <w:right w:val="nil"/>
            </w:tcBorders>
          </w:tcPr>
          <w:p w14:paraId="384F3E08" w14:textId="77777777" w:rsidR="007B26F1" w:rsidRPr="00264E52" w:rsidRDefault="007B26F1" w:rsidP="007B26F1">
            <w:pPr>
              <w:spacing w:after="0" w:line="240" w:lineRule="auto"/>
              <w:rPr>
                <w:rFonts w:ascii="Times New Roman" w:eastAsia="Times New Roman" w:hAnsi="Times New Roman" w:cs="Times New Roman"/>
                <w:color w:val="000000"/>
                <w:sz w:val="17"/>
                <w:szCs w:val="17"/>
                <w:lang w:val="en-US"/>
              </w:rPr>
            </w:pPr>
            <w:r w:rsidRPr="00264E52">
              <w:rPr>
                <w:rFonts w:ascii="Times New Roman" w:eastAsia="Times New Roman" w:hAnsi="Times New Roman" w:cs="Times New Roman"/>
                <w:color w:val="000000"/>
                <w:sz w:val="17"/>
                <w:szCs w:val="17"/>
                <w:lang w:val="en-US"/>
              </w:rPr>
              <w:t xml:space="preserve">    AFZE</w:t>
            </w:r>
          </w:p>
        </w:tc>
        <w:tc>
          <w:tcPr>
            <w:tcW w:w="1559" w:type="dxa"/>
            <w:tcBorders>
              <w:top w:val="nil"/>
              <w:left w:val="nil"/>
              <w:bottom w:val="nil"/>
              <w:right w:val="nil"/>
            </w:tcBorders>
          </w:tcPr>
          <w:p w14:paraId="530B8A94"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-0.06(.01)</w:t>
            </w:r>
            <w:r w:rsidRPr="00264E52">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7CD02927"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1.34</w:t>
            </w:r>
          </w:p>
        </w:tc>
        <w:tc>
          <w:tcPr>
            <w:tcW w:w="1417" w:type="dxa"/>
            <w:tcBorders>
              <w:top w:val="nil"/>
              <w:left w:val="nil"/>
              <w:bottom w:val="nil"/>
              <w:right w:val="nil"/>
            </w:tcBorders>
          </w:tcPr>
          <w:p w14:paraId="58C7B1C1"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-0.04(.00)</w:t>
            </w:r>
            <w:r w:rsidRPr="00264E52">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7FFB2B3A"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1.34</w:t>
            </w:r>
          </w:p>
        </w:tc>
        <w:tc>
          <w:tcPr>
            <w:tcW w:w="1456" w:type="dxa"/>
            <w:tcBorders>
              <w:top w:val="nil"/>
              <w:left w:val="nil"/>
              <w:bottom w:val="nil"/>
              <w:right w:val="nil"/>
            </w:tcBorders>
          </w:tcPr>
          <w:p w14:paraId="61B64269"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-0.03(.00)</w:t>
            </w:r>
            <w:r w:rsidRPr="00264E52">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281E972E"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1.41</w:t>
            </w:r>
          </w:p>
        </w:tc>
        <w:tc>
          <w:tcPr>
            <w:tcW w:w="1547" w:type="dxa"/>
            <w:tcBorders>
              <w:top w:val="nil"/>
              <w:left w:val="nil"/>
              <w:bottom w:val="nil"/>
              <w:right w:val="nil"/>
            </w:tcBorders>
          </w:tcPr>
          <w:p w14:paraId="389A7BCE"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-0.03(.00)</w:t>
            </w:r>
            <w:r w:rsidRPr="00264E52">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198C5B3D"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1.39</w:t>
            </w:r>
          </w:p>
        </w:tc>
        <w:tc>
          <w:tcPr>
            <w:tcW w:w="1534" w:type="dxa"/>
            <w:tcBorders>
              <w:top w:val="nil"/>
              <w:left w:val="nil"/>
              <w:bottom w:val="nil"/>
              <w:right w:val="nil"/>
            </w:tcBorders>
          </w:tcPr>
          <w:p w14:paraId="3894FEFD"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-0.02(.00)</w:t>
            </w:r>
            <w:r w:rsidRPr="00264E52">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470702DB"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1.37</w:t>
            </w:r>
          </w:p>
        </w:tc>
      </w:tr>
      <w:tr w:rsidR="007B26F1" w:rsidRPr="00264E52" w14:paraId="58C3868E" w14:textId="77777777" w:rsidTr="007B26F1">
        <w:trPr>
          <w:trHeight w:val="164"/>
        </w:trPr>
        <w:tc>
          <w:tcPr>
            <w:tcW w:w="1560" w:type="dxa"/>
            <w:tcBorders>
              <w:top w:val="nil"/>
              <w:left w:val="nil"/>
              <w:bottom w:val="nil"/>
              <w:right w:val="nil"/>
            </w:tcBorders>
          </w:tcPr>
          <w:p w14:paraId="317FE6AF" w14:textId="77777777" w:rsidR="007B26F1" w:rsidRPr="00264E52" w:rsidRDefault="007B26F1" w:rsidP="007B26F1">
            <w:pPr>
              <w:spacing w:after="0" w:line="240" w:lineRule="auto"/>
              <w:rPr>
                <w:rFonts w:ascii="Times New Roman" w:eastAsia="Times New Roman" w:hAnsi="Times New Roman" w:cs="Times New Roman"/>
                <w:color w:val="000000"/>
                <w:sz w:val="17"/>
                <w:szCs w:val="17"/>
                <w:lang w:val="en-US"/>
              </w:rPr>
            </w:pPr>
            <w:r w:rsidRPr="00264E52">
              <w:rPr>
                <w:rFonts w:ascii="Times New Roman" w:eastAsia="Times New Roman" w:hAnsi="Times New Roman" w:cs="Times New Roman"/>
                <w:color w:val="000000"/>
                <w:sz w:val="17"/>
                <w:szCs w:val="17"/>
                <w:lang w:val="en-US"/>
              </w:rPr>
              <w:t xml:space="preserve">    HEIAGE</w:t>
            </w:r>
          </w:p>
        </w:tc>
        <w:tc>
          <w:tcPr>
            <w:tcW w:w="1559" w:type="dxa"/>
            <w:tcBorders>
              <w:top w:val="nil"/>
              <w:left w:val="nil"/>
              <w:bottom w:val="nil"/>
              <w:right w:val="nil"/>
            </w:tcBorders>
          </w:tcPr>
          <w:p w14:paraId="12C199C6"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0.03(.02)</w:t>
            </w:r>
            <w:r w:rsidRPr="00264E52">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2834FE5F"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2.62</w:t>
            </w:r>
          </w:p>
        </w:tc>
        <w:tc>
          <w:tcPr>
            <w:tcW w:w="1417" w:type="dxa"/>
            <w:tcBorders>
              <w:top w:val="nil"/>
              <w:left w:val="nil"/>
              <w:bottom w:val="nil"/>
              <w:right w:val="nil"/>
            </w:tcBorders>
          </w:tcPr>
          <w:p w14:paraId="140F5A41"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0.01(.00)</w:t>
            </w:r>
            <w:r w:rsidRPr="00264E52">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2C063DFD"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2.63</w:t>
            </w:r>
          </w:p>
        </w:tc>
        <w:tc>
          <w:tcPr>
            <w:tcW w:w="1456" w:type="dxa"/>
            <w:tcBorders>
              <w:top w:val="nil"/>
              <w:left w:val="nil"/>
              <w:bottom w:val="nil"/>
              <w:right w:val="nil"/>
            </w:tcBorders>
          </w:tcPr>
          <w:p w14:paraId="0684EC9A"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0.01(.02)</w:t>
            </w:r>
            <w:r w:rsidRPr="00264E52">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347593AE"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2.67</w:t>
            </w:r>
          </w:p>
        </w:tc>
        <w:tc>
          <w:tcPr>
            <w:tcW w:w="1547" w:type="dxa"/>
            <w:tcBorders>
              <w:top w:val="nil"/>
              <w:left w:val="nil"/>
              <w:bottom w:val="nil"/>
              <w:right w:val="nil"/>
            </w:tcBorders>
          </w:tcPr>
          <w:p w14:paraId="1DAF5BD8"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0.01(.04)</w:t>
            </w:r>
            <w:r w:rsidRPr="00264E52">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6B633AF1"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2.64</w:t>
            </w:r>
          </w:p>
        </w:tc>
        <w:tc>
          <w:tcPr>
            <w:tcW w:w="1534" w:type="dxa"/>
            <w:tcBorders>
              <w:top w:val="nil"/>
              <w:left w:val="nil"/>
              <w:bottom w:val="nil"/>
              <w:right w:val="nil"/>
            </w:tcBorders>
          </w:tcPr>
          <w:p w14:paraId="58D928B5"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0.01(.21)</w:t>
            </w:r>
          </w:p>
        </w:tc>
        <w:tc>
          <w:tcPr>
            <w:tcW w:w="1418" w:type="dxa"/>
            <w:tcBorders>
              <w:top w:val="nil"/>
              <w:left w:val="nil"/>
              <w:bottom w:val="nil"/>
              <w:right w:val="nil"/>
            </w:tcBorders>
          </w:tcPr>
          <w:p w14:paraId="1DFB9D05"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2.80</w:t>
            </w:r>
          </w:p>
        </w:tc>
      </w:tr>
      <w:tr w:rsidR="007B26F1" w:rsidRPr="00264E52" w14:paraId="4F0F9686" w14:textId="77777777" w:rsidTr="007B26F1">
        <w:trPr>
          <w:trHeight w:val="87"/>
        </w:trPr>
        <w:tc>
          <w:tcPr>
            <w:tcW w:w="1560" w:type="dxa"/>
            <w:tcBorders>
              <w:top w:val="nil"/>
              <w:left w:val="nil"/>
              <w:bottom w:val="nil"/>
              <w:right w:val="nil"/>
            </w:tcBorders>
          </w:tcPr>
          <w:p w14:paraId="600DE933" w14:textId="77777777" w:rsidR="007B26F1" w:rsidRPr="00264E52" w:rsidRDefault="007B26F1" w:rsidP="007B26F1">
            <w:pPr>
              <w:spacing w:after="0" w:line="240" w:lineRule="auto"/>
              <w:rPr>
                <w:rFonts w:ascii="Times New Roman" w:eastAsia="Times New Roman" w:hAnsi="Times New Roman" w:cs="Times New Roman"/>
                <w:color w:val="000000"/>
                <w:sz w:val="17"/>
                <w:szCs w:val="17"/>
                <w:lang w:val="en-US"/>
              </w:rPr>
            </w:pPr>
            <w:r w:rsidRPr="00264E52">
              <w:rPr>
                <w:rFonts w:ascii="Times New Roman" w:eastAsia="Times New Roman" w:hAnsi="Times New Roman" w:cs="Times New Roman"/>
                <w:color w:val="000000"/>
                <w:sz w:val="17"/>
                <w:szCs w:val="17"/>
                <w:lang w:val="en-US"/>
              </w:rPr>
              <w:t xml:space="preserve">    HEIZE</w:t>
            </w:r>
          </w:p>
        </w:tc>
        <w:tc>
          <w:tcPr>
            <w:tcW w:w="1559" w:type="dxa"/>
            <w:tcBorders>
              <w:top w:val="nil"/>
              <w:left w:val="nil"/>
              <w:bottom w:val="nil"/>
              <w:right w:val="nil"/>
            </w:tcBorders>
          </w:tcPr>
          <w:p w14:paraId="10B82DC9"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0.04(.00)</w:t>
            </w:r>
            <w:r w:rsidRPr="00264E52">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04C12CD9"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1.61</w:t>
            </w:r>
          </w:p>
        </w:tc>
        <w:tc>
          <w:tcPr>
            <w:tcW w:w="1417" w:type="dxa"/>
            <w:tcBorders>
              <w:top w:val="nil"/>
              <w:left w:val="nil"/>
              <w:bottom w:val="nil"/>
              <w:right w:val="nil"/>
            </w:tcBorders>
          </w:tcPr>
          <w:p w14:paraId="01E2367C"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0.01(.17)</w:t>
            </w:r>
          </w:p>
        </w:tc>
        <w:tc>
          <w:tcPr>
            <w:tcW w:w="1096" w:type="dxa"/>
            <w:tcBorders>
              <w:top w:val="nil"/>
              <w:left w:val="nil"/>
              <w:bottom w:val="nil"/>
              <w:right w:val="nil"/>
            </w:tcBorders>
          </w:tcPr>
          <w:p w14:paraId="5E50E89E"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1.61</w:t>
            </w:r>
          </w:p>
        </w:tc>
        <w:tc>
          <w:tcPr>
            <w:tcW w:w="1456" w:type="dxa"/>
            <w:tcBorders>
              <w:top w:val="nil"/>
              <w:left w:val="nil"/>
              <w:bottom w:val="nil"/>
              <w:right w:val="nil"/>
            </w:tcBorders>
          </w:tcPr>
          <w:p w14:paraId="60F8F0BB"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0.01(.11)</w:t>
            </w:r>
          </w:p>
        </w:tc>
        <w:tc>
          <w:tcPr>
            <w:tcW w:w="1146" w:type="dxa"/>
            <w:tcBorders>
              <w:top w:val="nil"/>
              <w:left w:val="nil"/>
              <w:bottom w:val="nil"/>
              <w:right w:val="nil"/>
            </w:tcBorders>
          </w:tcPr>
          <w:p w14:paraId="49382607"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2.30</w:t>
            </w:r>
          </w:p>
        </w:tc>
        <w:tc>
          <w:tcPr>
            <w:tcW w:w="1547" w:type="dxa"/>
            <w:tcBorders>
              <w:top w:val="nil"/>
              <w:left w:val="nil"/>
              <w:bottom w:val="nil"/>
              <w:right w:val="nil"/>
            </w:tcBorders>
          </w:tcPr>
          <w:p w14:paraId="0A17AA32"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0.01(.05)</w:t>
            </w:r>
            <w:r w:rsidRPr="00264E52">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48E8F6DD"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1.51</w:t>
            </w:r>
          </w:p>
        </w:tc>
        <w:tc>
          <w:tcPr>
            <w:tcW w:w="1534" w:type="dxa"/>
            <w:tcBorders>
              <w:top w:val="nil"/>
              <w:left w:val="nil"/>
              <w:bottom w:val="nil"/>
              <w:right w:val="nil"/>
            </w:tcBorders>
          </w:tcPr>
          <w:p w14:paraId="2C5346B1"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0.01(.02)</w:t>
            </w:r>
            <w:r w:rsidRPr="00264E52">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11CBB5F1"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1.63</w:t>
            </w:r>
          </w:p>
        </w:tc>
      </w:tr>
      <w:tr w:rsidR="007B26F1" w:rsidRPr="00264E52" w14:paraId="0C2B0B04" w14:textId="77777777" w:rsidTr="007B26F1">
        <w:trPr>
          <w:trHeight w:val="87"/>
        </w:trPr>
        <w:tc>
          <w:tcPr>
            <w:tcW w:w="1560" w:type="dxa"/>
            <w:tcBorders>
              <w:top w:val="nil"/>
              <w:left w:val="nil"/>
              <w:bottom w:val="nil"/>
              <w:right w:val="nil"/>
            </w:tcBorders>
          </w:tcPr>
          <w:p w14:paraId="240E6075" w14:textId="77777777" w:rsidR="007B26F1" w:rsidRPr="00264E52" w:rsidRDefault="007B26F1" w:rsidP="007B26F1">
            <w:pPr>
              <w:spacing w:after="0" w:line="240" w:lineRule="auto"/>
              <w:rPr>
                <w:rFonts w:ascii="Times New Roman" w:eastAsia="Times New Roman" w:hAnsi="Times New Roman" w:cs="Times New Roman"/>
                <w:color w:val="000000"/>
                <w:sz w:val="17"/>
                <w:szCs w:val="17"/>
                <w:lang w:val="en-US"/>
              </w:rPr>
            </w:pPr>
            <w:r w:rsidRPr="00264E52">
              <w:rPr>
                <w:rFonts w:ascii="Times New Roman" w:eastAsia="Times New Roman" w:hAnsi="Times New Roman" w:cs="Times New Roman"/>
                <w:color w:val="000000"/>
                <w:sz w:val="17"/>
                <w:szCs w:val="17"/>
                <w:lang w:val="en-US"/>
              </w:rPr>
              <w:t xml:space="preserve">    CFUND</w:t>
            </w:r>
          </w:p>
        </w:tc>
        <w:tc>
          <w:tcPr>
            <w:tcW w:w="1559" w:type="dxa"/>
            <w:tcBorders>
              <w:top w:val="nil"/>
              <w:left w:val="nil"/>
              <w:bottom w:val="nil"/>
              <w:right w:val="nil"/>
            </w:tcBorders>
          </w:tcPr>
          <w:p w14:paraId="569730CF"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-0.46(.00)</w:t>
            </w:r>
            <w:r w:rsidRPr="00264E52">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013859E8"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1.52</w:t>
            </w:r>
          </w:p>
        </w:tc>
        <w:tc>
          <w:tcPr>
            <w:tcW w:w="1417" w:type="dxa"/>
            <w:tcBorders>
              <w:top w:val="nil"/>
              <w:left w:val="nil"/>
              <w:bottom w:val="nil"/>
              <w:right w:val="nil"/>
            </w:tcBorders>
          </w:tcPr>
          <w:p w14:paraId="69DDD18D"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0.04(.27)</w:t>
            </w:r>
          </w:p>
        </w:tc>
        <w:tc>
          <w:tcPr>
            <w:tcW w:w="1096" w:type="dxa"/>
            <w:tcBorders>
              <w:top w:val="nil"/>
              <w:left w:val="nil"/>
              <w:bottom w:val="nil"/>
              <w:right w:val="nil"/>
            </w:tcBorders>
          </w:tcPr>
          <w:p w14:paraId="7DBCF7DF"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1.52</w:t>
            </w:r>
          </w:p>
        </w:tc>
        <w:tc>
          <w:tcPr>
            <w:tcW w:w="1456" w:type="dxa"/>
            <w:tcBorders>
              <w:top w:val="nil"/>
              <w:left w:val="nil"/>
              <w:bottom w:val="nil"/>
              <w:right w:val="nil"/>
            </w:tcBorders>
          </w:tcPr>
          <w:p w14:paraId="557E0FA9"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0.11(.00)</w:t>
            </w:r>
            <w:r w:rsidRPr="00264E52">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602BA4BA"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1.53</w:t>
            </w:r>
          </w:p>
        </w:tc>
        <w:tc>
          <w:tcPr>
            <w:tcW w:w="1547" w:type="dxa"/>
            <w:tcBorders>
              <w:top w:val="nil"/>
              <w:left w:val="nil"/>
              <w:bottom w:val="nil"/>
              <w:right w:val="nil"/>
            </w:tcBorders>
          </w:tcPr>
          <w:p w14:paraId="055B67B7"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0.12(.00)</w:t>
            </w:r>
            <w:r w:rsidRPr="00264E52">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1EA6796D"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1.54</w:t>
            </w:r>
          </w:p>
        </w:tc>
        <w:tc>
          <w:tcPr>
            <w:tcW w:w="1534" w:type="dxa"/>
            <w:tcBorders>
              <w:top w:val="nil"/>
              <w:left w:val="nil"/>
              <w:bottom w:val="nil"/>
              <w:right w:val="nil"/>
            </w:tcBorders>
          </w:tcPr>
          <w:p w14:paraId="738D08EF"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-0.03(.36)</w:t>
            </w:r>
          </w:p>
        </w:tc>
        <w:tc>
          <w:tcPr>
            <w:tcW w:w="1418" w:type="dxa"/>
            <w:tcBorders>
              <w:top w:val="nil"/>
              <w:left w:val="nil"/>
              <w:bottom w:val="nil"/>
              <w:right w:val="nil"/>
            </w:tcBorders>
          </w:tcPr>
          <w:p w14:paraId="049CBDD3"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1.91</w:t>
            </w:r>
          </w:p>
        </w:tc>
      </w:tr>
      <w:tr w:rsidR="007B26F1" w:rsidRPr="00264E52" w14:paraId="3A704DA8" w14:textId="77777777" w:rsidTr="007B26F1">
        <w:trPr>
          <w:trHeight w:val="87"/>
        </w:trPr>
        <w:tc>
          <w:tcPr>
            <w:tcW w:w="1560" w:type="dxa"/>
            <w:tcBorders>
              <w:top w:val="nil"/>
              <w:left w:val="nil"/>
              <w:bottom w:val="nil"/>
              <w:right w:val="nil"/>
            </w:tcBorders>
          </w:tcPr>
          <w:p w14:paraId="6A52573E" w14:textId="77777777" w:rsidR="007B26F1" w:rsidRPr="00264E52" w:rsidRDefault="007B26F1" w:rsidP="007B26F1">
            <w:pPr>
              <w:spacing w:after="0" w:line="240" w:lineRule="auto"/>
              <w:rPr>
                <w:rFonts w:ascii="Times New Roman" w:eastAsia="Times New Roman" w:hAnsi="Times New Roman" w:cs="Times New Roman"/>
                <w:color w:val="000000"/>
                <w:sz w:val="17"/>
                <w:szCs w:val="17"/>
                <w:lang w:val="en-US"/>
              </w:rPr>
            </w:pPr>
            <w:r w:rsidRPr="00264E52">
              <w:rPr>
                <w:rFonts w:ascii="Times New Roman" w:eastAsia="Times New Roman" w:hAnsi="Times New Roman" w:cs="Times New Roman"/>
                <w:color w:val="000000"/>
                <w:sz w:val="17"/>
                <w:szCs w:val="17"/>
                <w:lang w:val="en-US"/>
              </w:rPr>
              <w:t xml:space="preserve">    PST92</w:t>
            </w:r>
          </w:p>
        </w:tc>
        <w:tc>
          <w:tcPr>
            <w:tcW w:w="1559" w:type="dxa"/>
            <w:tcBorders>
              <w:top w:val="nil"/>
              <w:left w:val="nil"/>
              <w:bottom w:val="nil"/>
              <w:right w:val="nil"/>
            </w:tcBorders>
          </w:tcPr>
          <w:p w14:paraId="73E9C79A"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0.09(.00)</w:t>
            </w:r>
            <w:r w:rsidRPr="00264E52">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6A9B563B"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2.48</w:t>
            </w:r>
          </w:p>
        </w:tc>
        <w:tc>
          <w:tcPr>
            <w:tcW w:w="1417" w:type="dxa"/>
            <w:tcBorders>
              <w:top w:val="nil"/>
              <w:left w:val="nil"/>
              <w:bottom w:val="nil"/>
              <w:right w:val="nil"/>
            </w:tcBorders>
          </w:tcPr>
          <w:p w14:paraId="6447F5DD"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0.01(.62)</w:t>
            </w:r>
          </w:p>
        </w:tc>
        <w:tc>
          <w:tcPr>
            <w:tcW w:w="1096" w:type="dxa"/>
            <w:tcBorders>
              <w:top w:val="nil"/>
              <w:left w:val="nil"/>
              <w:bottom w:val="nil"/>
              <w:right w:val="nil"/>
            </w:tcBorders>
          </w:tcPr>
          <w:p w14:paraId="37B016B9"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2.49</w:t>
            </w:r>
          </w:p>
        </w:tc>
        <w:tc>
          <w:tcPr>
            <w:tcW w:w="1456" w:type="dxa"/>
            <w:tcBorders>
              <w:top w:val="nil"/>
              <w:left w:val="nil"/>
              <w:bottom w:val="nil"/>
              <w:right w:val="nil"/>
            </w:tcBorders>
          </w:tcPr>
          <w:p w14:paraId="79647F36"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-0.01(.42)</w:t>
            </w:r>
          </w:p>
        </w:tc>
        <w:tc>
          <w:tcPr>
            <w:tcW w:w="1146" w:type="dxa"/>
            <w:tcBorders>
              <w:top w:val="nil"/>
              <w:left w:val="nil"/>
              <w:bottom w:val="nil"/>
              <w:right w:val="nil"/>
            </w:tcBorders>
          </w:tcPr>
          <w:p w14:paraId="1F7129D0"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2.57</w:t>
            </w:r>
          </w:p>
        </w:tc>
        <w:tc>
          <w:tcPr>
            <w:tcW w:w="1547" w:type="dxa"/>
            <w:tcBorders>
              <w:top w:val="nil"/>
              <w:left w:val="nil"/>
              <w:bottom w:val="nil"/>
              <w:right w:val="nil"/>
            </w:tcBorders>
          </w:tcPr>
          <w:p w14:paraId="535DD951"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0.00(.99)</w:t>
            </w:r>
          </w:p>
        </w:tc>
        <w:tc>
          <w:tcPr>
            <w:tcW w:w="1159" w:type="dxa"/>
            <w:tcBorders>
              <w:top w:val="nil"/>
              <w:left w:val="nil"/>
              <w:bottom w:val="nil"/>
              <w:right w:val="nil"/>
            </w:tcBorders>
          </w:tcPr>
          <w:p w14:paraId="5266E093"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2.48</w:t>
            </w:r>
          </w:p>
        </w:tc>
        <w:tc>
          <w:tcPr>
            <w:tcW w:w="1534" w:type="dxa"/>
            <w:tcBorders>
              <w:top w:val="nil"/>
              <w:left w:val="nil"/>
              <w:bottom w:val="nil"/>
              <w:right w:val="nil"/>
            </w:tcBorders>
          </w:tcPr>
          <w:p w14:paraId="4FC253AC"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-0.01(.42)</w:t>
            </w:r>
          </w:p>
        </w:tc>
        <w:tc>
          <w:tcPr>
            <w:tcW w:w="1418" w:type="dxa"/>
            <w:tcBorders>
              <w:top w:val="nil"/>
              <w:left w:val="nil"/>
              <w:bottom w:val="nil"/>
              <w:right w:val="nil"/>
            </w:tcBorders>
          </w:tcPr>
          <w:p w14:paraId="6D10D961"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2.56</w:t>
            </w:r>
          </w:p>
        </w:tc>
      </w:tr>
      <w:tr w:rsidR="007B26F1" w:rsidRPr="00264E52" w14:paraId="3B483DD5" w14:textId="77777777" w:rsidTr="007B26F1">
        <w:trPr>
          <w:trHeight w:val="87"/>
        </w:trPr>
        <w:tc>
          <w:tcPr>
            <w:tcW w:w="1560" w:type="dxa"/>
            <w:tcBorders>
              <w:top w:val="nil"/>
              <w:left w:val="nil"/>
              <w:bottom w:val="nil"/>
              <w:right w:val="nil"/>
            </w:tcBorders>
          </w:tcPr>
          <w:p w14:paraId="016003C5" w14:textId="77777777" w:rsidR="007B26F1" w:rsidRPr="00264E52" w:rsidRDefault="007B26F1" w:rsidP="007B26F1">
            <w:pPr>
              <w:spacing w:after="0" w:line="240" w:lineRule="auto"/>
              <w:rPr>
                <w:rFonts w:ascii="Times New Roman" w:eastAsia="Times New Roman" w:hAnsi="Times New Roman" w:cs="Times New Roman"/>
                <w:color w:val="000000"/>
                <w:sz w:val="17"/>
                <w:szCs w:val="17"/>
                <w:lang w:val="en-US"/>
              </w:rPr>
            </w:pPr>
            <w:r w:rsidRPr="00264E52">
              <w:rPr>
                <w:rFonts w:ascii="Times New Roman" w:eastAsia="Times New Roman" w:hAnsi="Times New Roman" w:cs="Times New Roman"/>
                <w:color w:val="000000"/>
                <w:sz w:val="17"/>
                <w:szCs w:val="17"/>
                <w:lang w:val="en-US"/>
              </w:rPr>
              <w:t xml:space="preserve">    RUSG/UNI</w:t>
            </w:r>
          </w:p>
        </w:tc>
        <w:tc>
          <w:tcPr>
            <w:tcW w:w="1559" w:type="dxa"/>
            <w:tcBorders>
              <w:top w:val="nil"/>
              <w:left w:val="nil"/>
              <w:bottom w:val="nil"/>
              <w:right w:val="nil"/>
            </w:tcBorders>
          </w:tcPr>
          <w:p w14:paraId="5B7D58F5"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0.05(.07)</w:t>
            </w:r>
            <w:r w:rsidRPr="00264E52">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72CA9847"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1.84</w:t>
            </w:r>
          </w:p>
        </w:tc>
        <w:tc>
          <w:tcPr>
            <w:tcW w:w="1417" w:type="dxa"/>
            <w:tcBorders>
              <w:top w:val="nil"/>
              <w:left w:val="nil"/>
              <w:bottom w:val="nil"/>
              <w:right w:val="nil"/>
            </w:tcBorders>
          </w:tcPr>
          <w:p w14:paraId="6140C8F6"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-0.02(.04)</w:t>
            </w:r>
            <w:r w:rsidRPr="00264E52">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0D6A783C"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1.84</w:t>
            </w:r>
          </w:p>
        </w:tc>
        <w:tc>
          <w:tcPr>
            <w:tcW w:w="1456" w:type="dxa"/>
            <w:tcBorders>
              <w:top w:val="nil"/>
              <w:left w:val="nil"/>
              <w:bottom w:val="nil"/>
              <w:right w:val="nil"/>
            </w:tcBorders>
          </w:tcPr>
          <w:p w14:paraId="48935ABB"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-0.03(.01)</w:t>
            </w:r>
            <w:r w:rsidRPr="00264E52">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580C95F8"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2.17</w:t>
            </w:r>
          </w:p>
        </w:tc>
        <w:tc>
          <w:tcPr>
            <w:tcW w:w="1547" w:type="dxa"/>
            <w:tcBorders>
              <w:top w:val="nil"/>
              <w:left w:val="nil"/>
              <w:bottom w:val="nil"/>
              <w:right w:val="nil"/>
            </w:tcBorders>
          </w:tcPr>
          <w:p w14:paraId="75E2235B"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0.01(.63)</w:t>
            </w:r>
          </w:p>
        </w:tc>
        <w:tc>
          <w:tcPr>
            <w:tcW w:w="1159" w:type="dxa"/>
            <w:tcBorders>
              <w:top w:val="nil"/>
              <w:left w:val="nil"/>
              <w:bottom w:val="nil"/>
              <w:right w:val="nil"/>
            </w:tcBorders>
          </w:tcPr>
          <w:p w14:paraId="7F735935"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1.52</w:t>
            </w:r>
          </w:p>
        </w:tc>
        <w:tc>
          <w:tcPr>
            <w:tcW w:w="1534" w:type="dxa"/>
            <w:tcBorders>
              <w:top w:val="nil"/>
              <w:left w:val="nil"/>
              <w:bottom w:val="nil"/>
              <w:right w:val="nil"/>
            </w:tcBorders>
          </w:tcPr>
          <w:p w14:paraId="07324FE7"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-0.02(.02)</w:t>
            </w:r>
            <w:r w:rsidRPr="00264E52">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302FF7F5"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1.85</w:t>
            </w:r>
          </w:p>
        </w:tc>
      </w:tr>
      <w:tr w:rsidR="007B26F1" w:rsidRPr="00264E52" w14:paraId="7D51E03B" w14:textId="77777777" w:rsidTr="007B26F1">
        <w:trPr>
          <w:trHeight w:val="87"/>
        </w:trPr>
        <w:tc>
          <w:tcPr>
            <w:tcW w:w="1560" w:type="dxa"/>
            <w:tcBorders>
              <w:top w:val="nil"/>
              <w:left w:val="nil"/>
              <w:bottom w:val="nil"/>
              <w:right w:val="nil"/>
            </w:tcBorders>
          </w:tcPr>
          <w:p w14:paraId="5D78E753" w14:textId="77777777" w:rsidR="007B26F1" w:rsidRPr="00264E52" w:rsidRDefault="007B26F1" w:rsidP="007B26F1">
            <w:pPr>
              <w:spacing w:after="0" w:line="240" w:lineRule="auto"/>
              <w:rPr>
                <w:rFonts w:ascii="Times New Roman" w:eastAsia="Times New Roman" w:hAnsi="Times New Roman" w:cs="Times New Roman"/>
                <w:color w:val="000000"/>
                <w:sz w:val="17"/>
                <w:szCs w:val="17"/>
                <w:lang w:val="en-US"/>
              </w:rPr>
            </w:pPr>
            <w:r w:rsidRPr="00264E52">
              <w:rPr>
                <w:rFonts w:ascii="Times New Roman" w:eastAsia="Times New Roman" w:hAnsi="Times New Roman" w:cs="Times New Roman"/>
                <w:color w:val="000000"/>
                <w:sz w:val="17"/>
                <w:szCs w:val="17"/>
                <w:lang w:val="en-US"/>
              </w:rPr>
              <w:t xml:space="preserve">    LQUD</w:t>
            </w:r>
          </w:p>
        </w:tc>
        <w:tc>
          <w:tcPr>
            <w:tcW w:w="1559" w:type="dxa"/>
            <w:tcBorders>
              <w:top w:val="nil"/>
              <w:left w:val="nil"/>
              <w:bottom w:val="nil"/>
              <w:right w:val="nil"/>
            </w:tcBorders>
          </w:tcPr>
          <w:p w14:paraId="024F37EB"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0.36(.02)</w:t>
            </w:r>
            <w:r w:rsidRPr="00264E52">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3420E0E7"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1.03</w:t>
            </w:r>
          </w:p>
        </w:tc>
        <w:tc>
          <w:tcPr>
            <w:tcW w:w="1417" w:type="dxa"/>
            <w:tcBorders>
              <w:top w:val="nil"/>
              <w:left w:val="nil"/>
              <w:bottom w:val="nil"/>
              <w:right w:val="nil"/>
            </w:tcBorders>
          </w:tcPr>
          <w:p w14:paraId="6C60D00A"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0.11(.09)</w:t>
            </w:r>
            <w:r w:rsidRPr="00264E52">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591A0379"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1.03</w:t>
            </w:r>
          </w:p>
        </w:tc>
        <w:tc>
          <w:tcPr>
            <w:tcW w:w="1456" w:type="dxa"/>
            <w:tcBorders>
              <w:top w:val="nil"/>
              <w:left w:val="nil"/>
              <w:bottom w:val="nil"/>
              <w:right w:val="nil"/>
            </w:tcBorders>
          </w:tcPr>
          <w:p w14:paraId="56040BE7"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0.07(.25)</w:t>
            </w:r>
          </w:p>
        </w:tc>
        <w:tc>
          <w:tcPr>
            <w:tcW w:w="1146" w:type="dxa"/>
            <w:tcBorders>
              <w:top w:val="nil"/>
              <w:left w:val="nil"/>
              <w:bottom w:val="nil"/>
              <w:right w:val="nil"/>
            </w:tcBorders>
          </w:tcPr>
          <w:p w14:paraId="744979AD"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1.03</w:t>
            </w:r>
          </w:p>
        </w:tc>
        <w:tc>
          <w:tcPr>
            <w:tcW w:w="1547" w:type="dxa"/>
            <w:tcBorders>
              <w:top w:val="nil"/>
              <w:left w:val="nil"/>
              <w:bottom w:val="nil"/>
              <w:right w:val="nil"/>
            </w:tcBorders>
          </w:tcPr>
          <w:p w14:paraId="41CDDD1B"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0.06(.34)</w:t>
            </w:r>
          </w:p>
        </w:tc>
        <w:tc>
          <w:tcPr>
            <w:tcW w:w="1159" w:type="dxa"/>
            <w:tcBorders>
              <w:top w:val="nil"/>
              <w:left w:val="nil"/>
              <w:bottom w:val="nil"/>
              <w:right w:val="nil"/>
            </w:tcBorders>
          </w:tcPr>
          <w:p w14:paraId="11A82702"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1.03</w:t>
            </w:r>
          </w:p>
        </w:tc>
        <w:tc>
          <w:tcPr>
            <w:tcW w:w="1534" w:type="dxa"/>
            <w:tcBorders>
              <w:top w:val="nil"/>
              <w:left w:val="nil"/>
              <w:bottom w:val="nil"/>
              <w:right w:val="nil"/>
            </w:tcBorders>
          </w:tcPr>
          <w:p w14:paraId="7AED352A"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0.01(.90)</w:t>
            </w:r>
          </w:p>
        </w:tc>
        <w:tc>
          <w:tcPr>
            <w:tcW w:w="1418" w:type="dxa"/>
            <w:tcBorders>
              <w:top w:val="nil"/>
              <w:left w:val="nil"/>
              <w:bottom w:val="nil"/>
              <w:right w:val="nil"/>
            </w:tcBorders>
          </w:tcPr>
          <w:p w14:paraId="791D8A5C"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1.03</w:t>
            </w:r>
          </w:p>
        </w:tc>
      </w:tr>
      <w:tr w:rsidR="007B26F1" w:rsidRPr="00264E52" w14:paraId="34261053" w14:textId="77777777" w:rsidTr="007B26F1">
        <w:trPr>
          <w:trHeight w:val="87"/>
        </w:trPr>
        <w:tc>
          <w:tcPr>
            <w:tcW w:w="1560" w:type="dxa"/>
            <w:tcBorders>
              <w:top w:val="nil"/>
              <w:left w:val="nil"/>
              <w:bottom w:val="nil"/>
              <w:right w:val="nil"/>
            </w:tcBorders>
          </w:tcPr>
          <w:p w14:paraId="49143E87" w14:textId="77777777" w:rsidR="007B26F1" w:rsidRPr="00264E52" w:rsidRDefault="007B26F1" w:rsidP="007B26F1">
            <w:pPr>
              <w:spacing w:after="0" w:line="240" w:lineRule="auto"/>
              <w:rPr>
                <w:rFonts w:ascii="Times New Roman" w:eastAsia="Times New Roman" w:hAnsi="Times New Roman" w:cs="Times New Roman"/>
                <w:color w:val="000000"/>
                <w:sz w:val="17"/>
                <w:szCs w:val="17"/>
                <w:lang w:val="en-US"/>
              </w:rPr>
            </w:pPr>
            <w:r w:rsidRPr="00264E52">
              <w:rPr>
                <w:rFonts w:ascii="Times New Roman" w:eastAsia="Times New Roman" w:hAnsi="Times New Roman" w:cs="Times New Roman"/>
                <w:color w:val="000000"/>
                <w:sz w:val="17"/>
                <w:szCs w:val="17"/>
                <w:lang w:val="en-US"/>
              </w:rPr>
              <w:t xml:space="preserve">    CPEX</w:t>
            </w:r>
          </w:p>
        </w:tc>
        <w:tc>
          <w:tcPr>
            <w:tcW w:w="1559" w:type="dxa"/>
            <w:tcBorders>
              <w:top w:val="nil"/>
              <w:left w:val="nil"/>
              <w:bottom w:val="nil"/>
              <w:right w:val="nil"/>
            </w:tcBorders>
          </w:tcPr>
          <w:p w14:paraId="28AFAE11"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-0.05(.29)</w:t>
            </w:r>
          </w:p>
        </w:tc>
        <w:tc>
          <w:tcPr>
            <w:tcW w:w="1276" w:type="dxa"/>
            <w:tcBorders>
              <w:top w:val="nil"/>
              <w:left w:val="nil"/>
              <w:bottom w:val="nil"/>
              <w:right w:val="nil"/>
            </w:tcBorders>
          </w:tcPr>
          <w:p w14:paraId="76B580AA"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1.26</w:t>
            </w:r>
          </w:p>
        </w:tc>
        <w:tc>
          <w:tcPr>
            <w:tcW w:w="1417" w:type="dxa"/>
            <w:tcBorders>
              <w:top w:val="nil"/>
              <w:left w:val="nil"/>
              <w:bottom w:val="nil"/>
              <w:right w:val="nil"/>
            </w:tcBorders>
          </w:tcPr>
          <w:p w14:paraId="2C15E655"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-0.04(.09)</w:t>
            </w:r>
            <w:r w:rsidRPr="00264E52">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5F3205FF"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1.25</w:t>
            </w:r>
          </w:p>
        </w:tc>
        <w:tc>
          <w:tcPr>
            <w:tcW w:w="1456" w:type="dxa"/>
            <w:tcBorders>
              <w:top w:val="nil"/>
              <w:left w:val="nil"/>
              <w:bottom w:val="nil"/>
              <w:right w:val="nil"/>
            </w:tcBorders>
          </w:tcPr>
          <w:p w14:paraId="1D1CED8B"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-0.04(.04)</w:t>
            </w:r>
            <w:r w:rsidRPr="00264E52">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79D1A22B"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1.28</w:t>
            </w:r>
          </w:p>
        </w:tc>
        <w:tc>
          <w:tcPr>
            <w:tcW w:w="1547" w:type="dxa"/>
            <w:tcBorders>
              <w:top w:val="nil"/>
              <w:left w:val="nil"/>
              <w:bottom w:val="nil"/>
              <w:right w:val="nil"/>
            </w:tcBorders>
          </w:tcPr>
          <w:p w14:paraId="7A47400E"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-0.02(.26)</w:t>
            </w:r>
          </w:p>
        </w:tc>
        <w:tc>
          <w:tcPr>
            <w:tcW w:w="1159" w:type="dxa"/>
            <w:tcBorders>
              <w:top w:val="nil"/>
              <w:left w:val="nil"/>
              <w:bottom w:val="nil"/>
              <w:right w:val="nil"/>
            </w:tcBorders>
          </w:tcPr>
          <w:p w14:paraId="1A7163C8"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1.30</w:t>
            </w:r>
          </w:p>
        </w:tc>
        <w:tc>
          <w:tcPr>
            <w:tcW w:w="1534" w:type="dxa"/>
            <w:tcBorders>
              <w:top w:val="nil"/>
              <w:left w:val="nil"/>
              <w:bottom w:val="nil"/>
              <w:right w:val="nil"/>
            </w:tcBorders>
          </w:tcPr>
          <w:p w14:paraId="0B0DAB87"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-0.01(.45)</w:t>
            </w:r>
          </w:p>
        </w:tc>
        <w:tc>
          <w:tcPr>
            <w:tcW w:w="1418" w:type="dxa"/>
            <w:tcBorders>
              <w:top w:val="nil"/>
              <w:left w:val="nil"/>
              <w:bottom w:val="nil"/>
              <w:right w:val="nil"/>
            </w:tcBorders>
          </w:tcPr>
          <w:p w14:paraId="267A128A"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1.29</w:t>
            </w:r>
          </w:p>
        </w:tc>
      </w:tr>
      <w:tr w:rsidR="007B26F1" w:rsidRPr="00264E52" w14:paraId="46EDD21D" w14:textId="77777777" w:rsidTr="007B26F1">
        <w:trPr>
          <w:trHeight w:val="87"/>
        </w:trPr>
        <w:tc>
          <w:tcPr>
            <w:tcW w:w="1560" w:type="dxa"/>
            <w:tcBorders>
              <w:top w:val="nil"/>
              <w:left w:val="nil"/>
              <w:bottom w:val="nil"/>
              <w:right w:val="nil"/>
            </w:tcBorders>
          </w:tcPr>
          <w:p w14:paraId="334D11FA" w14:textId="77777777" w:rsidR="007B26F1" w:rsidRPr="00264E52" w:rsidRDefault="007B26F1" w:rsidP="007B26F1">
            <w:pPr>
              <w:spacing w:after="0" w:line="240" w:lineRule="auto"/>
              <w:rPr>
                <w:rFonts w:ascii="Times New Roman" w:eastAsia="Times New Roman" w:hAnsi="Times New Roman" w:cs="Times New Roman"/>
                <w:color w:val="000000"/>
                <w:sz w:val="17"/>
                <w:szCs w:val="17"/>
                <w:lang w:val="en-US"/>
              </w:rPr>
            </w:pPr>
            <w:r w:rsidRPr="00264E52">
              <w:rPr>
                <w:rFonts w:ascii="Times New Roman" w:eastAsia="Times New Roman" w:hAnsi="Times New Roman" w:cs="Times New Roman"/>
                <w:color w:val="000000"/>
                <w:sz w:val="17"/>
                <w:szCs w:val="17"/>
                <w:lang w:val="en-US"/>
              </w:rPr>
              <w:t xml:space="preserve">    LEVR</w:t>
            </w:r>
          </w:p>
        </w:tc>
        <w:tc>
          <w:tcPr>
            <w:tcW w:w="1559" w:type="dxa"/>
            <w:tcBorders>
              <w:top w:val="nil"/>
              <w:left w:val="nil"/>
              <w:bottom w:val="nil"/>
              <w:right w:val="nil"/>
            </w:tcBorders>
          </w:tcPr>
          <w:p w14:paraId="2EB764C9"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-0.02(.78)</w:t>
            </w:r>
          </w:p>
        </w:tc>
        <w:tc>
          <w:tcPr>
            <w:tcW w:w="1276" w:type="dxa"/>
            <w:tcBorders>
              <w:top w:val="nil"/>
              <w:left w:val="nil"/>
              <w:bottom w:val="nil"/>
              <w:right w:val="nil"/>
            </w:tcBorders>
          </w:tcPr>
          <w:p w14:paraId="4CA23901"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1.21</w:t>
            </w:r>
          </w:p>
        </w:tc>
        <w:tc>
          <w:tcPr>
            <w:tcW w:w="1417" w:type="dxa"/>
            <w:tcBorders>
              <w:top w:val="nil"/>
              <w:left w:val="nil"/>
              <w:bottom w:val="nil"/>
              <w:right w:val="nil"/>
            </w:tcBorders>
          </w:tcPr>
          <w:p w14:paraId="0671A7DE"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-0.03(.43)</w:t>
            </w:r>
          </w:p>
        </w:tc>
        <w:tc>
          <w:tcPr>
            <w:tcW w:w="1096" w:type="dxa"/>
            <w:tcBorders>
              <w:top w:val="nil"/>
              <w:left w:val="nil"/>
              <w:bottom w:val="nil"/>
              <w:right w:val="nil"/>
            </w:tcBorders>
          </w:tcPr>
          <w:p w14:paraId="5141B495"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1.21</w:t>
            </w:r>
          </w:p>
        </w:tc>
        <w:tc>
          <w:tcPr>
            <w:tcW w:w="1456" w:type="dxa"/>
            <w:tcBorders>
              <w:top w:val="nil"/>
              <w:left w:val="nil"/>
              <w:bottom w:val="nil"/>
              <w:right w:val="nil"/>
            </w:tcBorders>
          </w:tcPr>
          <w:p w14:paraId="60B9962A"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-0.02(.53)</w:t>
            </w:r>
          </w:p>
        </w:tc>
        <w:tc>
          <w:tcPr>
            <w:tcW w:w="1146" w:type="dxa"/>
            <w:tcBorders>
              <w:top w:val="nil"/>
              <w:left w:val="nil"/>
              <w:bottom w:val="nil"/>
              <w:right w:val="nil"/>
            </w:tcBorders>
          </w:tcPr>
          <w:p w14:paraId="4AC2A186"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1.21</w:t>
            </w:r>
          </w:p>
        </w:tc>
        <w:tc>
          <w:tcPr>
            <w:tcW w:w="1547" w:type="dxa"/>
            <w:tcBorders>
              <w:top w:val="nil"/>
              <w:left w:val="nil"/>
              <w:bottom w:val="nil"/>
              <w:right w:val="nil"/>
            </w:tcBorders>
          </w:tcPr>
          <w:p w14:paraId="27BB6A79"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-0.02(.60)</w:t>
            </w:r>
          </w:p>
        </w:tc>
        <w:tc>
          <w:tcPr>
            <w:tcW w:w="1159" w:type="dxa"/>
            <w:tcBorders>
              <w:top w:val="nil"/>
              <w:left w:val="nil"/>
              <w:bottom w:val="nil"/>
              <w:right w:val="nil"/>
            </w:tcBorders>
          </w:tcPr>
          <w:p w14:paraId="5BF060CC"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1.26</w:t>
            </w:r>
          </w:p>
        </w:tc>
        <w:tc>
          <w:tcPr>
            <w:tcW w:w="1534" w:type="dxa"/>
            <w:tcBorders>
              <w:top w:val="nil"/>
              <w:left w:val="nil"/>
              <w:bottom w:val="nil"/>
              <w:right w:val="nil"/>
            </w:tcBorders>
          </w:tcPr>
          <w:p w14:paraId="2FBE5ED5"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-0.06(.03)</w:t>
            </w:r>
            <w:r w:rsidRPr="00264E52">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3548DA5C"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1.24</w:t>
            </w:r>
          </w:p>
        </w:tc>
      </w:tr>
      <w:tr w:rsidR="007B26F1" w:rsidRPr="00264E52" w14:paraId="2800B386" w14:textId="77777777" w:rsidTr="007B26F1">
        <w:trPr>
          <w:trHeight w:val="87"/>
        </w:trPr>
        <w:tc>
          <w:tcPr>
            <w:tcW w:w="1560" w:type="dxa"/>
            <w:tcBorders>
              <w:top w:val="nil"/>
              <w:left w:val="nil"/>
              <w:bottom w:val="nil"/>
              <w:right w:val="nil"/>
            </w:tcBorders>
          </w:tcPr>
          <w:p w14:paraId="2CA28272" w14:textId="77777777" w:rsidR="007B26F1" w:rsidRPr="00264E52" w:rsidRDefault="007B26F1" w:rsidP="007B26F1">
            <w:pPr>
              <w:spacing w:after="0" w:line="240" w:lineRule="auto"/>
              <w:rPr>
                <w:rFonts w:ascii="Times New Roman" w:eastAsia="Times New Roman" w:hAnsi="Times New Roman" w:cs="Times New Roman"/>
                <w:color w:val="000000"/>
                <w:sz w:val="17"/>
                <w:szCs w:val="17"/>
                <w:lang w:val="en-US"/>
              </w:rPr>
            </w:pPr>
            <w:r w:rsidRPr="00264E52">
              <w:rPr>
                <w:rFonts w:ascii="Times New Roman" w:eastAsia="Times New Roman" w:hAnsi="Times New Roman" w:cs="Times New Roman"/>
                <w:color w:val="000000"/>
                <w:sz w:val="17"/>
                <w:szCs w:val="17"/>
                <w:lang w:val="en-US"/>
              </w:rPr>
              <w:t xml:space="preserve">    GRTH</w:t>
            </w:r>
          </w:p>
        </w:tc>
        <w:tc>
          <w:tcPr>
            <w:tcW w:w="1559" w:type="dxa"/>
            <w:tcBorders>
              <w:top w:val="nil"/>
              <w:left w:val="nil"/>
              <w:bottom w:val="nil"/>
              <w:right w:val="nil"/>
            </w:tcBorders>
          </w:tcPr>
          <w:p w14:paraId="71731612"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0.35(.04)</w:t>
            </w:r>
            <w:r w:rsidRPr="00264E52">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67229564"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1.04</w:t>
            </w:r>
          </w:p>
        </w:tc>
        <w:tc>
          <w:tcPr>
            <w:tcW w:w="1417" w:type="dxa"/>
            <w:tcBorders>
              <w:top w:val="nil"/>
              <w:left w:val="nil"/>
              <w:bottom w:val="nil"/>
              <w:right w:val="nil"/>
            </w:tcBorders>
          </w:tcPr>
          <w:p w14:paraId="34CA0A0D"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0.05(.47)</w:t>
            </w:r>
          </w:p>
        </w:tc>
        <w:tc>
          <w:tcPr>
            <w:tcW w:w="1096" w:type="dxa"/>
            <w:tcBorders>
              <w:top w:val="nil"/>
              <w:left w:val="nil"/>
              <w:bottom w:val="nil"/>
              <w:right w:val="nil"/>
            </w:tcBorders>
          </w:tcPr>
          <w:p w14:paraId="45F05DB4"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1.04</w:t>
            </w:r>
          </w:p>
        </w:tc>
        <w:tc>
          <w:tcPr>
            <w:tcW w:w="1456" w:type="dxa"/>
            <w:tcBorders>
              <w:top w:val="nil"/>
              <w:left w:val="nil"/>
              <w:bottom w:val="nil"/>
              <w:right w:val="nil"/>
            </w:tcBorders>
          </w:tcPr>
          <w:p w14:paraId="31479915"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0.00(.99)</w:t>
            </w:r>
          </w:p>
        </w:tc>
        <w:tc>
          <w:tcPr>
            <w:tcW w:w="1146" w:type="dxa"/>
            <w:tcBorders>
              <w:top w:val="nil"/>
              <w:left w:val="nil"/>
              <w:bottom w:val="nil"/>
              <w:right w:val="nil"/>
            </w:tcBorders>
          </w:tcPr>
          <w:p w14:paraId="22C89A8A"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1.04</w:t>
            </w:r>
          </w:p>
        </w:tc>
        <w:tc>
          <w:tcPr>
            <w:tcW w:w="1547" w:type="dxa"/>
            <w:tcBorders>
              <w:top w:val="nil"/>
              <w:left w:val="nil"/>
              <w:bottom w:val="nil"/>
              <w:right w:val="nil"/>
            </w:tcBorders>
          </w:tcPr>
          <w:p w14:paraId="04DD66CB"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-0.00(.96)</w:t>
            </w:r>
          </w:p>
        </w:tc>
        <w:tc>
          <w:tcPr>
            <w:tcW w:w="1159" w:type="dxa"/>
            <w:tcBorders>
              <w:top w:val="nil"/>
              <w:left w:val="nil"/>
              <w:bottom w:val="nil"/>
              <w:right w:val="nil"/>
            </w:tcBorders>
          </w:tcPr>
          <w:p w14:paraId="3CBD383D"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1.05</w:t>
            </w:r>
          </w:p>
        </w:tc>
        <w:tc>
          <w:tcPr>
            <w:tcW w:w="1534" w:type="dxa"/>
            <w:tcBorders>
              <w:top w:val="nil"/>
              <w:left w:val="nil"/>
              <w:bottom w:val="nil"/>
              <w:right w:val="nil"/>
            </w:tcBorders>
          </w:tcPr>
          <w:p w14:paraId="4223425E"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0.01(.90)</w:t>
            </w:r>
          </w:p>
        </w:tc>
        <w:tc>
          <w:tcPr>
            <w:tcW w:w="1418" w:type="dxa"/>
            <w:tcBorders>
              <w:top w:val="nil"/>
              <w:left w:val="nil"/>
              <w:bottom w:val="nil"/>
              <w:right w:val="nil"/>
            </w:tcBorders>
          </w:tcPr>
          <w:p w14:paraId="5DB5F18E"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1.05</w:t>
            </w:r>
          </w:p>
        </w:tc>
      </w:tr>
      <w:tr w:rsidR="007B26F1" w:rsidRPr="00264E52" w14:paraId="7BFB43C0" w14:textId="77777777" w:rsidTr="007B26F1">
        <w:trPr>
          <w:trHeight w:val="87"/>
        </w:trPr>
        <w:tc>
          <w:tcPr>
            <w:tcW w:w="1560" w:type="dxa"/>
            <w:tcBorders>
              <w:top w:val="nil"/>
              <w:left w:val="nil"/>
              <w:bottom w:val="nil"/>
              <w:right w:val="nil"/>
            </w:tcBorders>
          </w:tcPr>
          <w:p w14:paraId="3DF3D47A" w14:textId="77777777" w:rsidR="007B26F1" w:rsidRPr="00264E52" w:rsidRDefault="007B26F1" w:rsidP="007B26F1">
            <w:pPr>
              <w:spacing w:after="0" w:line="240" w:lineRule="auto"/>
              <w:rPr>
                <w:rFonts w:ascii="Times New Roman" w:eastAsia="Times New Roman" w:hAnsi="Times New Roman" w:cs="Times New Roman"/>
                <w:color w:val="000000"/>
                <w:sz w:val="17"/>
                <w:szCs w:val="17"/>
                <w:lang w:val="en-US"/>
              </w:rPr>
            </w:pPr>
            <w:r w:rsidRPr="00264E52">
              <w:rPr>
                <w:rFonts w:ascii="Times New Roman" w:eastAsia="Times New Roman" w:hAnsi="Times New Roman" w:cs="Times New Roman"/>
                <w:color w:val="000000"/>
                <w:sz w:val="17"/>
                <w:szCs w:val="17"/>
                <w:lang w:val="en-US"/>
              </w:rPr>
              <w:t xml:space="preserve">    RISK</w:t>
            </w:r>
          </w:p>
        </w:tc>
        <w:tc>
          <w:tcPr>
            <w:tcW w:w="1559" w:type="dxa"/>
            <w:tcBorders>
              <w:top w:val="nil"/>
              <w:left w:val="nil"/>
              <w:bottom w:val="nil"/>
              <w:right w:val="nil"/>
            </w:tcBorders>
          </w:tcPr>
          <w:p w14:paraId="4E2B1A05"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-0.73(.28)</w:t>
            </w:r>
          </w:p>
        </w:tc>
        <w:tc>
          <w:tcPr>
            <w:tcW w:w="1276" w:type="dxa"/>
            <w:tcBorders>
              <w:top w:val="nil"/>
              <w:left w:val="nil"/>
              <w:bottom w:val="nil"/>
              <w:right w:val="nil"/>
            </w:tcBorders>
          </w:tcPr>
          <w:p w14:paraId="66921984"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1.10</w:t>
            </w:r>
          </w:p>
        </w:tc>
        <w:tc>
          <w:tcPr>
            <w:tcW w:w="1417" w:type="dxa"/>
            <w:tcBorders>
              <w:top w:val="nil"/>
              <w:left w:val="nil"/>
              <w:bottom w:val="nil"/>
              <w:right w:val="nil"/>
            </w:tcBorders>
          </w:tcPr>
          <w:p w14:paraId="0DE9C5C8"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-0.10(.74)</w:t>
            </w:r>
          </w:p>
        </w:tc>
        <w:tc>
          <w:tcPr>
            <w:tcW w:w="1096" w:type="dxa"/>
            <w:tcBorders>
              <w:top w:val="nil"/>
              <w:left w:val="nil"/>
              <w:bottom w:val="nil"/>
              <w:right w:val="nil"/>
            </w:tcBorders>
          </w:tcPr>
          <w:p w14:paraId="5C55418D"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1.10</w:t>
            </w:r>
          </w:p>
        </w:tc>
        <w:tc>
          <w:tcPr>
            <w:tcW w:w="1456" w:type="dxa"/>
            <w:tcBorders>
              <w:top w:val="nil"/>
              <w:left w:val="nil"/>
              <w:bottom w:val="nil"/>
              <w:right w:val="nil"/>
            </w:tcBorders>
          </w:tcPr>
          <w:p w14:paraId="4DC0AB65"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0.02(.93)</w:t>
            </w:r>
          </w:p>
        </w:tc>
        <w:tc>
          <w:tcPr>
            <w:tcW w:w="1146" w:type="dxa"/>
            <w:tcBorders>
              <w:top w:val="nil"/>
              <w:left w:val="nil"/>
              <w:bottom w:val="nil"/>
              <w:right w:val="nil"/>
            </w:tcBorders>
          </w:tcPr>
          <w:p w14:paraId="737C0E1E"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1.10</w:t>
            </w:r>
          </w:p>
        </w:tc>
        <w:tc>
          <w:tcPr>
            <w:tcW w:w="1547" w:type="dxa"/>
            <w:tcBorders>
              <w:top w:val="nil"/>
              <w:left w:val="nil"/>
              <w:bottom w:val="nil"/>
              <w:right w:val="nil"/>
            </w:tcBorders>
          </w:tcPr>
          <w:p w14:paraId="79367939"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0.09(.74)</w:t>
            </w:r>
          </w:p>
        </w:tc>
        <w:tc>
          <w:tcPr>
            <w:tcW w:w="1159" w:type="dxa"/>
            <w:tcBorders>
              <w:top w:val="nil"/>
              <w:left w:val="nil"/>
              <w:bottom w:val="nil"/>
              <w:right w:val="nil"/>
            </w:tcBorders>
          </w:tcPr>
          <w:p w14:paraId="39D5884D"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1.10</w:t>
            </w:r>
          </w:p>
        </w:tc>
        <w:tc>
          <w:tcPr>
            <w:tcW w:w="1534" w:type="dxa"/>
            <w:tcBorders>
              <w:top w:val="nil"/>
              <w:left w:val="nil"/>
              <w:bottom w:val="nil"/>
              <w:right w:val="nil"/>
            </w:tcBorders>
          </w:tcPr>
          <w:p w14:paraId="4FDAD0E8"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0.19(.41)</w:t>
            </w:r>
          </w:p>
        </w:tc>
        <w:tc>
          <w:tcPr>
            <w:tcW w:w="1418" w:type="dxa"/>
            <w:tcBorders>
              <w:top w:val="nil"/>
              <w:left w:val="nil"/>
              <w:bottom w:val="nil"/>
              <w:right w:val="nil"/>
            </w:tcBorders>
          </w:tcPr>
          <w:p w14:paraId="188D3371"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1.12</w:t>
            </w:r>
          </w:p>
        </w:tc>
      </w:tr>
      <w:tr w:rsidR="007B26F1" w:rsidRPr="00264E52" w14:paraId="75E3386C" w14:textId="77777777" w:rsidTr="007B26F1">
        <w:trPr>
          <w:trHeight w:val="87"/>
        </w:trPr>
        <w:tc>
          <w:tcPr>
            <w:tcW w:w="1560" w:type="dxa"/>
            <w:tcBorders>
              <w:top w:val="nil"/>
              <w:left w:val="nil"/>
              <w:bottom w:val="nil"/>
              <w:right w:val="nil"/>
            </w:tcBorders>
          </w:tcPr>
          <w:p w14:paraId="71630473" w14:textId="77777777" w:rsidR="007B26F1" w:rsidRPr="00264E52" w:rsidRDefault="007B26F1" w:rsidP="007B26F1">
            <w:pPr>
              <w:spacing w:after="0" w:line="240" w:lineRule="auto"/>
              <w:rPr>
                <w:rFonts w:ascii="Times New Roman" w:eastAsia="Times New Roman" w:hAnsi="Times New Roman" w:cs="Times New Roman"/>
                <w:color w:val="000000"/>
                <w:sz w:val="17"/>
                <w:szCs w:val="17"/>
                <w:lang w:val="en-US"/>
              </w:rPr>
            </w:pPr>
            <w:r w:rsidRPr="00264E52">
              <w:rPr>
                <w:rFonts w:ascii="Times New Roman" w:eastAsia="Times New Roman" w:hAnsi="Times New Roman" w:cs="Times New Roman"/>
                <w:color w:val="000000"/>
                <w:sz w:val="17"/>
                <w:szCs w:val="17"/>
                <w:lang w:val="en-US"/>
              </w:rPr>
              <w:t xml:space="preserve">    CNTRYD</w:t>
            </w:r>
          </w:p>
        </w:tc>
        <w:tc>
          <w:tcPr>
            <w:tcW w:w="1559" w:type="dxa"/>
            <w:tcBorders>
              <w:top w:val="nil"/>
              <w:left w:val="nil"/>
              <w:bottom w:val="nil"/>
              <w:right w:val="nil"/>
            </w:tcBorders>
          </w:tcPr>
          <w:p w14:paraId="7EAE9899"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276" w:type="dxa"/>
            <w:tcBorders>
              <w:top w:val="nil"/>
              <w:left w:val="nil"/>
              <w:bottom w:val="nil"/>
              <w:right w:val="nil"/>
            </w:tcBorders>
          </w:tcPr>
          <w:p w14:paraId="0B212A49"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417" w:type="dxa"/>
            <w:tcBorders>
              <w:top w:val="nil"/>
              <w:left w:val="nil"/>
              <w:bottom w:val="nil"/>
              <w:right w:val="nil"/>
            </w:tcBorders>
          </w:tcPr>
          <w:p w14:paraId="125FDA03"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096" w:type="dxa"/>
            <w:tcBorders>
              <w:top w:val="nil"/>
              <w:left w:val="nil"/>
              <w:bottom w:val="nil"/>
              <w:right w:val="nil"/>
            </w:tcBorders>
          </w:tcPr>
          <w:p w14:paraId="023B4E01"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456" w:type="dxa"/>
            <w:tcBorders>
              <w:top w:val="nil"/>
              <w:left w:val="nil"/>
              <w:bottom w:val="nil"/>
              <w:right w:val="nil"/>
            </w:tcBorders>
          </w:tcPr>
          <w:p w14:paraId="382C3695"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146" w:type="dxa"/>
            <w:tcBorders>
              <w:top w:val="nil"/>
              <w:left w:val="nil"/>
              <w:bottom w:val="nil"/>
              <w:right w:val="nil"/>
            </w:tcBorders>
          </w:tcPr>
          <w:p w14:paraId="1336D125"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547" w:type="dxa"/>
            <w:tcBorders>
              <w:top w:val="nil"/>
              <w:left w:val="nil"/>
              <w:bottom w:val="nil"/>
              <w:right w:val="nil"/>
            </w:tcBorders>
          </w:tcPr>
          <w:p w14:paraId="390228D9"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159" w:type="dxa"/>
            <w:tcBorders>
              <w:top w:val="nil"/>
              <w:left w:val="nil"/>
              <w:bottom w:val="nil"/>
              <w:right w:val="nil"/>
            </w:tcBorders>
          </w:tcPr>
          <w:p w14:paraId="22E5CD59"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534" w:type="dxa"/>
            <w:tcBorders>
              <w:top w:val="nil"/>
              <w:left w:val="nil"/>
              <w:bottom w:val="nil"/>
              <w:right w:val="nil"/>
            </w:tcBorders>
          </w:tcPr>
          <w:p w14:paraId="650391DE"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Included</w:t>
            </w:r>
          </w:p>
        </w:tc>
        <w:tc>
          <w:tcPr>
            <w:tcW w:w="1418" w:type="dxa"/>
            <w:tcBorders>
              <w:top w:val="nil"/>
              <w:left w:val="nil"/>
              <w:bottom w:val="nil"/>
              <w:right w:val="nil"/>
            </w:tcBorders>
          </w:tcPr>
          <w:p w14:paraId="54FFD6E0"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r>
      <w:tr w:rsidR="007B26F1" w:rsidRPr="00264E52" w14:paraId="29774A57" w14:textId="77777777" w:rsidTr="007B26F1">
        <w:tc>
          <w:tcPr>
            <w:tcW w:w="1560" w:type="dxa"/>
            <w:tcBorders>
              <w:top w:val="nil"/>
              <w:left w:val="nil"/>
              <w:bottom w:val="nil"/>
              <w:right w:val="nil"/>
            </w:tcBorders>
          </w:tcPr>
          <w:p w14:paraId="28F87A67" w14:textId="77777777" w:rsidR="007B26F1" w:rsidRPr="00264E52" w:rsidRDefault="007B26F1" w:rsidP="007B26F1">
            <w:pPr>
              <w:spacing w:after="0"/>
              <w:rPr>
                <w:rFonts w:ascii="Times New Roman" w:eastAsia="SimSun" w:hAnsi="Times New Roman" w:cs="Times New Roman"/>
                <w:color w:val="000000"/>
                <w:sz w:val="17"/>
                <w:szCs w:val="17"/>
                <w:lang w:val="en-US"/>
              </w:rPr>
            </w:pPr>
            <w:r w:rsidRPr="00264E52">
              <w:rPr>
                <w:rFonts w:ascii="Times New Roman" w:eastAsia="SimSun" w:hAnsi="Times New Roman" w:cs="Times New Roman"/>
                <w:color w:val="000000"/>
                <w:sz w:val="17"/>
                <w:szCs w:val="17"/>
                <w:lang w:val="en-US"/>
              </w:rPr>
              <w:t>Constant</w:t>
            </w:r>
          </w:p>
        </w:tc>
        <w:tc>
          <w:tcPr>
            <w:tcW w:w="1559" w:type="dxa"/>
            <w:tcBorders>
              <w:top w:val="nil"/>
              <w:left w:val="nil"/>
              <w:bottom w:val="nil"/>
              <w:right w:val="nil"/>
            </w:tcBorders>
          </w:tcPr>
          <w:p w14:paraId="5F7C7BEF"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0.80</w:t>
            </w:r>
          </w:p>
        </w:tc>
        <w:tc>
          <w:tcPr>
            <w:tcW w:w="1276" w:type="dxa"/>
            <w:tcBorders>
              <w:top w:val="nil"/>
              <w:left w:val="nil"/>
              <w:bottom w:val="nil"/>
              <w:right w:val="nil"/>
            </w:tcBorders>
          </w:tcPr>
          <w:p w14:paraId="45AB7AB5"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417" w:type="dxa"/>
            <w:tcBorders>
              <w:top w:val="nil"/>
              <w:left w:val="nil"/>
              <w:bottom w:val="nil"/>
              <w:right w:val="nil"/>
            </w:tcBorders>
          </w:tcPr>
          <w:p w14:paraId="5E8F4765"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0.45</w:t>
            </w:r>
            <w:r w:rsidRPr="00264E52">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39B2DF22"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456" w:type="dxa"/>
            <w:tcBorders>
              <w:top w:val="nil"/>
              <w:left w:val="nil"/>
              <w:bottom w:val="nil"/>
              <w:right w:val="nil"/>
            </w:tcBorders>
          </w:tcPr>
          <w:p w14:paraId="1E26F558"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0.49</w:t>
            </w:r>
            <w:r w:rsidRPr="00264E52">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579EEA36"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547" w:type="dxa"/>
            <w:tcBorders>
              <w:top w:val="nil"/>
              <w:left w:val="nil"/>
              <w:bottom w:val="nil"/>
              <w:right w:val="nil"/>
            </w:tcBorders>
          </w:tcPr>
          <w:p w14:paraId="068C1122"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0.60</w:t>
            </w:r>
            <w:r w:rsidRPr="00264E52">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4679EDF6"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534" w:type="dxa"/>
            <w:tcBorders>
              <w:top w:val="nil"/>
              <w:left w:val="nil"/>
              <w:bottom w:val="nil"/>
              <w:right w:val="nil"/>
            </w:tcBorders>
          </w:tcPr>
          <w:p w14:paraId="4EAAE170"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1.07</w:t>
            </w:r>
            <w:r w:rsidRPr="00264E52">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0C97752F"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r>
      <w:tr w:rsidR="007B26F1" w:rsidRPr="00264E52" w14:paraId="3F161068" w14:textId="77777777" w:rsidTr="007B26F1">
        <w:tc>
          <w:tcPr>
            <w:tcW w:w="1560" w:type="dxa"/>
            <w:tcBorders>
              <w:top w:val="nil"/>
              <w:left w:val="nil"/>
              <w:bottom w:val="nil"/>
              <w:right w:val="nil"/>
            </w:tcBorders>
          </w:tcPr>
          <w:p w14:paraId="606BC345" w14:textId="77777777" w:rsidR="007B26F1" w:rsidRPr="00264E52" w:rsidRDefault="007B26F1" w:rsidP="007B26F1">
            <w:pPr>
              <w:spacing w:after="0"/>
              <w:rPr>
                <w:rFonts w:ascii="Times New Roman" w:eastAsia="SimSun" w:hAnsi="Times New Roman" w:cs="Times New Roman"/>
                <w:color w:val="000000"/>
                <w:sz w:val="17"/>
                <w:szCs w:val="17"/>
                <w:lang w:val="en-US"/>
              </w:rPr>
            </w:pPr>
            <w:r w:rsidRPr="00264E52">
              <w:rPr>
                <w:rFonts w:ascii="Times New Roman" w:eastAsia="SimSun" w:hAnsi="Times New Roman" w:cs="Times New Roman"/>
                <w:color w:val="000000"/>
                <w:sz w:val="17"/>
                <w:szCs w:val="17"/>
                <w:lang w:val="en-US"/>
              </w:rPr>
              <w:t>Dur-Wat.</w:t>
            </w:r>
          </w:p>
        </w:tc>
        <w:tc>
          <w:tcPr>
            <w:tcW w:w="1559" w:type="dxa"/>
            <w:tcBorders>
              <w:top w:val="nil"/>
              <w:left w:val="nil"/>
              <w:bottom w:val="nil"/>
              <w:right w:val="nil"/>
            </w:tcBorders>
          </w:tcPr>
          <w:p w14:paraId="212F1BD7"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2.05</w:t>
            </w:r>
          </w:p>
        </w:tc>
        <w:tc>
          <w:tcPr>
            <w:tcW w:w="1276" w:type="dxa"/>
            <w:tcBorders>
              <w:top w:val="nil"/>
              <w:left w:val="nil"/>
              <w:bottom w:val="nil"/>
              <w:right w:val="nil"/>
            </w:tcBorders>
          </w:tcPr>
          <w:p w14:paraId="274BBE8E"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417" w:type="dxa"/>
            <w:tcBorders>
              <w:top w:val="nil"/>
              <w:left w:val="nil"/>
              <w:bottom w:val="nil"/>
              <w:right w:val="nil"/>
            </w:tcBorders>
          </w:tcPr>
          <w:p w14:paraId="1FDA10F3"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1.68</w:t>
            </w:r>
          </w:p>
        </w:tc>
        <w:tc>
          <w:tcPr>
            <w:tcW w:w="1096" w:type="dxa"/>
            <w:tcBorders>
              <w:top w:val="nil"/>
              <w:left w:val="nil"/>
              <w:bottom w:val="nil"/>
              <w:right w:val="nil"/>
            </w:tcBorders>
          </w:tcPr>
          <w:p w14:paraId="0BC8F912"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456" w:type="dxa"/>
            <w:tcBorders>
              <w:top w:val="nil"/>
              <w:left w:val="nil"/>
              <w:bottom w:val="nil"/>
              <w:right w:val="nil"/>
            </w:tcBorders>
          </w:tcPr>
          <w:p w14:paraId="3807E342"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1.74</w:t>
            </w:r>
          </w:p>
        </w:tc>
        <w:tc>
          <w:tcPr>
            <w:tcW w:w="1146" w:type="dxa"/>
            <w:tcBorders>
              <w:top w:val="nil"/>
              <w:left w:val="nil"/>
              <w:bottom w:val="nil"/>
              <w:right w:val="nil"/>
            </w:tcBorders>
          </w:tcPr>
          <w:p w14:paraId="21A62BE7"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547" w:type="dxa"/>
            <w:tcBorders>
              <w:top w:val="nil"/>
              <w:left w:val="nil"/>
              <w:bottom w:val="nil"/>
              <w:right w:val="nil"/>
            </w:tcBorders>
          </w:tcPr>
          <w:p w14:paraId="7EEEF6FC"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1.79</w:t>
            </w:r>
          </w:p>
        </w:tc>
        <w:tc>
          <w:tcPr>
            <w:tcW w:w="1159" w:type="dxa"/>
            <w:tcBorders>
              <w:top w:val="nil"/>
              <w:left w:val="nil"/>
              <w:bottom w:val="nil"/>
              <w:right w:val="nil"/>
            </w:tcBorders>
          </w:tcPr>
          <w:p w14:paraId="308618FC"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534" w:type="dxa"/>
            <w:tcBorders>
              <w:top w:val="nil"/>
              <w:left w:val="nil"/>
              <w:bottom w:val="nil"/>
              <w:right w:val="nil"/>
            </w:tcBorders>
          </w:tcPr>
          <w:p w14:paraId="237943B4"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1.86</w:t>
            </w:r>
          </w:p>
        </w:tc>
        <w:tc>
          <w:tcPr>
            <w:tcW w:w="1418" w:type="dxa"/>
            <w:tcBorders>
              <w:top w:val="nil"/>
              <w:left w:val="nil"/>
              <w:bottom w:val="nil"/>
              <w:right w:val="nil"/>
            </w:tcBorders>
          </w:tcPr>
          <w:p w14:paraId="7E272727"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r>
      <w:tr w:rsidR="007B26F1" w:rsidRPr="00264E52" w14:paraId="04827239" w14:textId="77777777" w:rsidTr="007B26F1">
        <w:tc>
          <w:tcPr>
            <w:tcW w:w="1560" w:type="dxa"/>
            <w:tcBorders>
              <w:top w:val="nil"/>
              <w:left w:val="nil"/>
              <w:bottom w:val="nil"/>
              <w:right w:val="nil"/>
            </w:tcBorders>
          </w:tcPr>
          <w:p w14:paraId="4C804EC1" w14:textId="77777777" w:rsidR="007B26F1" w:rsidRPr="00264E52" w:rsidRDefault="007B26F1" w:rsidP="007B26F1">
            <w:pPr>
              <w:spacing w:after="0"/>
              <w:rPr>
                <w:rFonts w:ascii="Times New Roman" w:eastAsia="SimSun" w:hAnsi="Times New Roman" w:cs="Times New Roman"/>
                <w:i/>
                <w:iCs/>
                <w:color w:val="000000"/>
                <w:sz w:val="17"/>
                <w:szCs w:val="17"/>
                <w:lang w:val="en-US"/>
              </w:rPr>
            </w:pPr>
            <w:r w:rsidRPr="00264E52">
              <w:rPr>
                <w:rFonts w:ascii="Times New Roman" w:eastAsia="SimSun" w:hAnsi="Times New Roman" w:cs="Times New Roman"/>
                <w:i/>
                <w:iCs/>
                <w:color w:val="000000"/>
                <w:sz w:val="17"/>
                <w:szCs w:val="17"/>
                <w:lang w:val="en-US"/>
              </w:rPr>
              <w:t>F</w:t>
            </w:r>
            <w:r w:rsidRPr="00264E52">
              <w:rPr>
                <w:rFonts w:ascii="Times New Roman" w:eastAsia="SimSun" w:hAnsi="Times New Roman" w:cs="Times New Roman"/>
                <w:color w:val="000000"/>
                <w:sz w:val="17"/>
                <w:szCs w:val="17"/>
                <w:lang w:val="en-US"/>
              </w:rPr>
              <w:t>- value</w:t>
            </w:r>
          </w:p>
        </w:tc>
        <w:tc>
          <w:tcPr>
            <w:tcW w:w="1559" w:type="dxa"/>
            <w:tcBorders>
              <w:top w:val="nil"/>
              <w:left w:val="nil"/>
              <w:bottom w:val="nil"/>
              <w:right w:val="nil"/>
            </w:tcBorders>
          </w:tcPr>
          <w:p w14:paraId="715A2E4F"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6.54</w:t>
            </w:r>
            <w:r w:rsidRPr="00264E52">
              <w:rPr>
                <w:rFonts w:ascii="Times New Roman" w:eastAsia="Times New Roman" w:hAnsi="Times New Roman" w:cs="Times New Roman"/>
                <w:sz w:val="17"/>
                <w:szCs w:val="17"/>
                <w:vertAlign w:val="superscript"/>
              </w:rPr>
              <w:t>***</w:t>
            </w:r>
          </w:p>
        </w:tc>
        <w:tc>
          <w:tcPr>
            <w:tcW w:w="1276" w:type="dxa"/>
            <w:tcBorders>
              <w:top w:val="nil"/>
              <w:left w:val="nil"/>
              <w:bottom w:val="nil"/>
              <w:right w:val="nil"/>
            </w:tcBorders>
          </w:tcPr>
          <w:p w14:paraId="2BAF71A1"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417" w:type="dxa"/>
            <w:tcBorders>
              <w:top w:val="nil"/>
              <w:left w:val="nil"/>
              <w:bottom w:val="nil"/>
              <w:right w:val="nil"/>
            </w:tcBorders>
          </w:tcPr>
          <w:p w14:paraId="04A6FABE"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4.97</w:t>
            </w:r>
            <w:r w:rsidRPr="00264E52">
              <w:rPr>
                <w:rFonts w:ascii="Times New Roman" w:eastAsia="Times New Roman" w:hAnsi="Times New Roman" w:cs="Times New Roman"/>
                <w:sz w:val="17"/>
                <w:szCs w:val="17"/>
                <w:vertAlign w:val="superscript"/>
              </w:rPr>
              <w:t>***</w:t>
            </w:r>
          </w:p>
        </w:tc>
        <w:tc>
          <w:tcPr>
            <w:tcW w:w="1096" w:type="dxa"/>
            <w:tcBorders>
              <w:top w:val="nil"/>
              <w:left w:val="nil"/>
              <w:bottom w:val="nil"/>
              <w:right w:val="nil"/>
            </w:tcBorders>
          </w:tcPr>
          <w:p w14:paraId="14EE08EB"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456" w:type="dxa"/>
            <w:tcBorders>
              <w:top w:val="nil"/>
              <w:left w:val="nil"/>
              <w:bottom w:val="nil"/>
              <w:right w:val="nil"/>
            </w:tcBorders>
          </w:tcPr>
          <w:p w14:paraId="0AD8D433"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5.63</w:t>
            </w:r>
            <w:r w:rsidRPr="00264E52">
              <w:rPr>
                <w:rFonts w:ascii="Times New Roman" w:eastAsia="Times New Roman" w:hAnsi="Times New Roman" w:cs="Times New Roman"/>
                <w:sz w:val="17"/>
                <w:szCs w:val="17"/>
                <w:vertAlign w:val="superscript"/>
              </w:rPr>
              <w:t>***</w:t>
            </w:r>
          </w:p>
        </w:tc>
        <w:tc>
          <w:tcPr>
            <w:tcW w:w="1146" w:type="dxa"/>
            <w:tcBorders>
              <w:top w:val="nil"/>
              <w:left w:val="nil"/>
              <w:bottom w:val="nil"/>
              <w:right w:val="nil"/>
            </w:tcBorders>
          </w:tcPr>
          <w:p w14:paraId="3B515E2D"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547" w:type="dxa"/>
            <w:tcBorders>
              <w:top w:val="nil"/>
              <w:left w:val="nil"/>
              <w:bottom w:val="nil"/>
              <w:right w:val="nil"/>
            </w:tcBorders>
          </w:tcPr>
          <w:p w14:paraId="3B96C049"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5.45</w:t>
            </w:r>
            <w:r w:rsidRPr="00264E52">
              <w:rPr>
                <w:rFonts w:ascii="Times New Roman" w:eastAsia="Times New Roman" w:hAnsi="Times New Roman" w:cs="Times New Roman"/>
                <w:sz w:val="17"/>
                <w:szCs w:val="17"/>
                <w:vertAlign w:val="superscript"/>
              </w:rPr>
              <w:t>***</w:t>
            </w:r>
          </w:p>
        </w:tc>
        <w:tc>
          <w:tcPr>
            <w:tcW w:w="1159" w:type="dxa"/>
            <w:tcBorders>
              <w:top w:val="nil"/>
              <w:left w:val="nil"/>
              <w:bottom w:val="nil"/>
              <w:right w:val="nil"/>
            </w:tcBorders>
          </w:tcPr>
          <w:p w14:paraId="215B857E"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534" w:type="dxa"/>
            <w:tcBorders>
              <w:top w:val="nil"/>
              <w:left w:val="nil"/>
              <w:bottom w:val="nil"/>
              <w:right w:val="nil"/>
            </w:tcBorders>
          </w:tcPr>
          <w:p w14:paraId="4F1CE580" w14:textId="77777777" w:rsidR="007B26F1" w:rsidRPr="00264E52" w:rsidRDefault="007B26F1" w:rsidP="007B26F1">
            <w:pPr>
              <w:spacing w:after="0"/>
              <w:rPr>
                <w:rFonts w:ascii="Times New Roman" w:eastAsia="Times New Roman" w:hAnsi="Times New Roman" w:cs="Times New Roman"/>
                <w:sz w:val="17"/>
                <w:szCs w:val="17"/>
                <w:vertAlign w:val="superscript"/>
              </w:rPr>
            </w:pPr>
            <w:r w:rsidRPr="00264E52">
              <w:rPr>
                <w:rFonts w:ascii="Times New Roman" w:eastAsia="Times New Roman" w:hAnsi="Times New Roman" w:cs="Times New Roman"/>
                <w:sz w:val="17"/>
                <w:szCs w:val="17"/>
              </w:rPr>
              <w:t>15.96</w:t>
            </w:r>
            <w:r w:rsidRPr="00264E52">
              <w:rPr>
                <w:rFonts w:ascii="Times New Roman" w:eastAsia="Times New Roman" w:hAnsi="Times New Roman" w:cs="Times New Roman"/>
                <w:sz w:val="17"/>
                <w:szCs w:val="17"/>
                <w:vertAlign w:val="superscript"/>
              </w:rPr>
              <w:t>***</w:t>
            </w:r>
          </w:p>
        </w:tc>
        <w:tc>
          <w:tcPr>
            <w:tcW w:w="1418" w:type="dxa"/>
            <w:tcBorders>
              <w:top w:val="nil"/>
              <w:left w:val="nil"/>
              <w:bottom w:val="nil"/>
              <w:right w:val="nil"/>
            </w:tcBorders>
          </w:tcPr>
          <w:p w14:paraId="229D3838"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r>
      <w:tr w:rsidR="007B26F1" w:rsidRPr="00264E52" w14:paraId="7040511A" w14:textId="77777777" w:rsidTr="007B26F1">
        <w:tc>
          <w:tcPr>
            <w:tcW w:w="1560" w:type="dxa"/>
            <w:tcBorders>
              <w:top w:val="nil"/>
              <w:left w:val="nil"/>
              <w:right w:val="nil"/>
            </w:tcBorders>
          </w:tcPr>
          <w:p w14:paraId="1B6498D3" w14:textId="77777777" w:rsidR="007B26F1" w:rsidRPr="00264E52" w:rsidRDefault="007B26F1" w:rsidP="007B26F1">
            <w:pPr>
              <w:spacing w:after="0"/>
              <w:rPr>
                <w:rFonts w:ascii="Times New Roman" w:eastAsia="SimSun" w:hAnsi="Times New Roman" w:cs="Times New Roman"/>
                <w:color w:val="000000"/>
                <w:sz w:val="17"/>
                <w:szCs w:val="17"/>
                <w:lang w:val="en-US"/>
              </w:rPr>
            </w:pPr>
            <w:r w:rsidRPr="00264E52">
              <w:rPr>
                <w:rFonts w:ascii="Times New Roman" w:eastAsia="SimSun" w:hAnsi="Times New Roman" w:cs="Times New Roman"/>
                <w:color w:val="000000"/>
                <w:sz w:val="17"/>
                <w:szCs w:val="17"/>
                <w:lang w:val="en-US"/>
              </w:rPr>
              <w:t xml:space="preserve">Adj. </w:t>
            </w:r>
            <w:r w:rsidRPr="00264E52">
              <w:rPr>
                <w:rFonts w:ascii="Times New Roman" w:eastAsia="SimSun" w:hAnsi="Times New Roman" w:cs="Times New Roman"/>
                <w:i/>
                <w:sz w:val="17"/>
                <w:szCs w:val="17"/>
                <w:lang w:val="en-US"/>
              </w:rPr>
              <w:t>R</w:t>
            </w:r>
            <w:r w:rsidRPr="00264E52">
              <w:rPr>
                <w:rFonts w:ascii="Times New Roman" w:eastAsia="SimSun" w:hAnsi="Times New Roman" w:cs="Times New Roman"/>
                <w:i/>
                <w:sz w:val="17"/>
                <w:szCs w:val="17"/>
                <w:vertAlign w:val="superscript"/>
                <w:lang w:val="en-US"/>
              </w:rPr>
              <w:t>2</w:t>
            </w:r>
          </w:p>
        </w:tc>
        <w:tc>
          <w:tcPr>
            <w:tcW w:w="1559" w:type="dxa"/>
            <w:tcBorders>
              <w:top w:val="nil"/>
              <w:left w:val="nil"/>
              <w:right w:val="nil"/>
            </w:tcBorders>
          </w:tcPr>
          <w:p w14:paraId="7D479F41"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0.18</w:t>
            </w:r>
          </w:p>
        </w:tc>
        <w:tc>
          <w:tcPr>
            <w:tcW w:w="1276" w:type="dxa"/>
            <w:tcBorders>
              <w:top w:val="nil"/>
              <w:left w:val="nil"/>
              <w:right w:val="nil"/>
            </w:tcBorders>
          </w:tcPr>
          <w:p w14:paraId="3FB58131"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417" w:type="dxa"/>
            <w:tcBorders>
              <w:top w:val="nil"/>
              <w:left w:val="nil"/>
              <w:right w:val="nil"/>
            </w:tcBorders>
          </w:tcPr>
          <w:p w14:paraId="312A02F4"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0.13</w:t>
            </w:r>
          </w:p>
        </w:tc>
        <w:tc>
          <w:tcPr>
            <w:tcW w:w="1096" w:type="dxa"/>
            <w:tcBorders>
              <w:top w:val="nil"/>
              <w:left w:val="nil"/>
              <w:right w:val="nil"/>
            </w:tcBorders>
          </w:tcPr>
          <w:p w14:paraId="33C00F6D"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456" w:type="dxa"/>
            <w:tcBorders>
              <w:top w:val="nil"/>
              <w:left w:val="nil"/>
              <w:right w:val="nil"/>
            </w:tcBorders>
          </w:tcPr>
          <w:p w14:paraId="6A1C98B2"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0.15</w:t>
            </w:r>
          </w:p>
        </w:tc>
        <w:tc>
          <w:tcPr>
            <w:tcW w:w="1146" w:type="dxa"/>
            <w:tcBorders>
              <w:top w:val="nil"/>
              <w:left w:val="nil"/>
              <w:right w:val="nil"/>
            </w:tcBorders>
          </w:tcPr>
          <w:p w14:paraId="661AC52B"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547" w:type="dxa"/>
            <w:tcBorders>
              <w:top w:val="nil"/>
              <w:left w:val="nil"/>
              <w:right w:val="nil"/>
            </w:tcBorders>
          </w:tcPr>
          <w:p w14:paraId="2C0B0107"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0.15</w:t>
            </w:r>
          </w:p>
        </w:tc>
        <w:tc>
          <w:tcPr>
            <w:tcW w:w="1159" w:type="dxa"/>
            <w:tcBorders>
              <w:top w:val="nil"/>
              <w:left w:val="nil"/>
              <w:right w:val="nil"/>
            </w:tcBorders>
          </w:tcPr>
          <w:p w14:paraId="3D332D6E"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534" w:type="dxa"/>
            <w:tcBorders>
              <w:top w:val="nil"/>
              <w:left w:val="nil"/>
              <w:right w:val="nil"/>
            </w:tcBorders>
          </w:tcPr>
          <w:p w14:paraId="6F629E2A"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0.40</w:t>
            </w:r>
          </w:p>
        </w:tc>
        <w:tc>
          <w:tcPr>
            <w:tcW w:w="1418" w:type="dxa"/>
            <w:tcBorders>
              <w:top w:val="nil"/>
              <w:left w:val="nil"/>
              <w:right w:val="nil"/>
            </w:tcBorders>
          </w:tcPr>
          <w:p w14:paraId="355A9CDB"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r>
      <w:tr w:rsidR="007B26F1" w:rsidRPr="00264E52" w14:paraId="10049E5F" w14:textId="77777777" w:rsidTr="007B26F1">
        <w:tc>
          <w:tcPr>
            <w:tcW w:w="1560" w:type="dxa"/>
            <w:tcBorders>
              <w:top w:val="nil"/>
              <w:left w:val="nil"/>
              <w:bottom w:val="single" w:sz="4" w:space="0" w:color="auto"/>
              <w:right w:val="nil"/>
            </w:tcBorders>
          </w:tcPr>
          <w:p w14:paraId="6E744096" w14:textId="77777777" w:rsidR="007B26F1" w:rsidRPr="00264E52" w:rsidRDefault="007B26F1" w:rsidP="007B26F1">
            <w:pPr>
              <w:spacing w:after="0"/>
              <w:rPr>
                <w:rFonts w:ascii="Times New Roman" w:eastAsia="SimSun" w:hAnsi="Times New Roman" w:cs="Times New Roman"/>
                <w:color w:val="000000"/>
                <w:sz w:val="17"/>
                <w:szCs w:val="17"/>
                <w:lang w:val="en-US"/>
              </w:rPr>
            </w:pPr>
            <w:r w:rsidRPr="00264E52">
              <w:rPr>
                <w:rFonts w:ascii="Times New Roman" w:eastAsia="SimSun" w:hAnsi="Times New Roman" w:cs="Times New Roman"/>
                <w:color w:val="000000"/>
                <w:sz w:val="17"/>
                <w:szCs w:val="17"/>
                <w:lang w:val="en-US"/>
              </w:rPr>
              <w:t xml:space="preserve">No. </w:t>
            </w:r>
          </w:p>
        </w:tc>
        <w:tc>
          <w:tcPr>
            <w:tcW w:w="1559" w:type="dxa"/>
            <w:tcBorders>
              <w:top w:val="nil"/>
              <w:left w:val="nil"/>
              <w:bottom w:val="single" w:sz="4" w:space="0" w:color="auto"/>
              <w:right w:val="nil"/>
            </w:tcBorders>
          </w:tcPr>
          <w:p w14:paraId="7CDEBB4A"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702</w:t>
            </w:r>
          </w:p>
        </w:tc>
        <w:tc>
          <w:tcPr>
            <w:tcW w:w="1276" w:type="dxa"/>
            <w:tcBorders>
              <w:top w:val="nil"/>
              <w:left w:val="nil"/>
              <w:bottom w:val="single" w:sz="4" w:space="0" w:color="auto"/>
              <w:right w:val="nil"/>
            </w:tcBorders>
          </w:tcPr>
          <w:p w14:paraId="07C40F61"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417" w:type="dxa"/>
            <w:tcBorders>
              <w:top w:val="nil"/>
              <w:left w:val="nil"/>
              <w:bottom w:val="single" w:sz="4" w:space="0" w:color="auto"/>
              <w:right w:val="nil"/>
            </w:tcBorders>
          </w:tcPr>
          <w:p w14:paraId="078EBBB5"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702</w:t>
            </w:r>
          </w:p>
        </w:tc>
        <w:tc>
          <w:tcPr>
            <w:tcW w:w="1096" w:type="dxa"/>
            <w:tcBorders>
              <w:top w:val="nil"/>
              <w:left w:val="nil"/>
              <w:bottom w:val="single" w:sz="4" w:space="0" w:color="auto"/>
              <w:right w:val="nil"/>
            </w:tcBorders>
          </w:tcPr>
          <w:p w14:paraId="09C3BC77"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456" w:type="dxa"/>
            <w:tcBorders>
              <w:top w:val="nil"/>
              <w:left w:val="nil"/>
              <w:bottom w:val="single" w:sz="4" w:space="0" w:color="auto"/>
              <w:right w:val="nil"/>
            </w:tcBorders>
          </w:tcPr>
          <w:p w14:paraId="3521CD11"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702</w:t>
            </w:r>
          </w:p>
        </w:tc>
        <w:tc>
          <w:tcPr>
            <w:tcW w:w="1146" w:type="dxa"/>
            <w:tcBorders>
              <w:top w:val="nil"/>
              <w:left w:val="nil"/>
              <w:bottom w:val="single" w:sz="4" w:space="0" w:color="auto"/>
              <w:right w:val="nil"/>
            </w:tcBorders>
          </w:tcPr>
          <w:p w14:paraId="6CC4C29D"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547" w:type="dxa"/>
            <w:tcBorders>
              <w:top w:val="nil"/>
              <w:left w:val="nil"/>
              <w:bottom w:val="single" w:sz="4" w:space="0" w:color="auto"/>
              <w:right w:val="nil"/>
            </w:tcBorders>
          </w:tcPr>
          <w:p w14:paraId="536AFF23"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702</w:t>
            </w:r>
          </w:p>
        </w:tc>
        <w:tc>
          <w:tcPr>
            <w:tcW w:w="1159" w:type="dxa"/>
            <w:tcBorders>
              <w:top w:val="nil"/>
              <w:left w:val="nil"/>
              <w:bottom w:val="single" w:sz="4" w:space="0" w:color="auto"/>
              <w:right w:val="nil"/>
            </w:tcBorders>
          </w:tcPr>
          <w:p w14:paraId="4ACAD687"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c>
          <w:tcPr>
            <w:tcW w:w="1534" w:type="dxa"/>
            <w:tcBorders>
              <w:top w:val="nil"/>
              <w:left w:val="nil"/>
              <w:bottom w:val="single" w:sz="4" w:space="0" w:color="auto"/>
              <w:right w:val="nil"/>
            </w:tcBorders>
          </w:tcPr>
          <w:p w14:paraId="6294D9B3"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702</w:t>
            </w:r>
          </w:p>
        </w:tc>
        <w:tc>
          <w:tcPr>
            <w:tcW w:w="1418" w:type="dxa"/>
            <w:tcBorders>
              <w:top w:val="nil"/>
              <w:left w:val="nil"/>
              <w:bottom w:val="single" w:sz="4" w:space="0" w:color="auto"/>
              <w:right w:val="nil"/>
            </w:tcBorders>
          </w:tcPr>
          <w:p w14:paraId="03708E02" w14:textId="77777777" w:rsidR="007B26F1" w:rsidRPr="00264E52" w:rsidRDefault="007B26F1" w:rsidP="007B26F1">
            <w:pPr>
              <w:spacing w:after="0"/>
              <w:rPr>
                <w:rFonts w:ascii="Times New Roman" w:eastAsia="Times New Roman" w:hAnsi="Times New Roman" w:cs="Times New Roman"/>
                <w:sz w:val="17"/>
                <w:szCs w:val="17"/>
              </w:rPr>
            </w:pPr>
            <w:r w:rsidRPr="00264E52">
              <w:rPr>
                <w:rFonts w:ascii="Times New Roman" w:eastAsia="Times New Roman" w:hAnsi="Times New Roman" w:cs="Times New Roman"/>
                <w:sz w:val="17"/>
                <w:szCs w:val="17"/>
              </w:rPr>
              <w:t>-</w:t>
            </w:r>
          </w:p>
        </w:tc>
      </w:tr>
      <w:tr w:rsidR="007B26F1" w:rsidRPr="00264E52" w14:paraId="2ECBAFF3" w14:textId="77777777" w:rsidTr="007B26F1">
        <w:tc>
          <w:tcPr>
            <w:tcW w:w="15168" w:type="dxa"/>
            <w:gridSpan w:val="11"/>
            <w:tcBorders>
              <w:top w:val="single" w:sz="4" w:space="0" w:color="auto"/>
              <w:left w:val="nil"/>
              <w:right w:val="nil"/>
            </w:tcBorders>
          </w:tcPr>
          <w:p w14:paraId="1F7D8E60" w14:textId="5F24FE96" w:rsidR="007B26F1" w:rsidRPr="00264E52" w:rsidRDefault="00643054" w:rsidP="007B26F1">
            <w:pPr>
              <w:spacing w:after="0"/>
              <w:jc w:val="both"/>
              <w:rPr>
                <w:rFonts w:ascii="Times New Roman" w:eastAsia="Times New Roman" w:hAnsi="Times New Roman" w:cs="Times New Roman"/>
                <w:sz w:val="17"/>
                <w:szCs w:val="17"/>
              </w:rPr>
            </w:pPr>
            <w:r w:rsidRPr="00643054">
              <w:rPr>
                <w:rFonts w:ascii="Times New Roman" w:eastAsia="Times New Roman" w:hAnsi="Times New Roman" w:cs="Times New Roman"/>
                <w:b/>
                <w:bCs/>
                <w:sz w:val="17"/>
                <w:szCs w:val="17"/>
              </w:rPr>
              <w:t>Notes:</w:t>
            </w:r>
            <w:r>
              <w:rPr>
                <w:rFonts w:ascii="Times New Roman" w:eastAsia="Times New Roman" w:hAnsi="Times New Roman" w:cs="Times New Roman"/>
                <w:sz w:val="17"/>
                <w:szCs w:val="17"/>
              </w:rPr>
              <w:t xml:space="preserve"> </w:t>
            </w:r>
            <w:r w:rsidR="007B26F1" w:rsidRPr="00264E52">
              <w:rPr>
                <w:rFonts w:ascii="Times New Roman" w:eastAsia="Times New Roman" w:hAnsi="Times New Roman" w:cs="Times New Roman"/>
                <w:sz w:val="17"/>
                <w:szCs w:val="17"/>
              </w:rPr>
              <w:t xml:space="preserve">Model 1 seeks to test for the influence of the five explanatory variables on the overall governance disclosure index (HEGI). </w:t>
            </w:r>
            <w:r w:rsidR="007B26F1" w:rsidRPr="00264E52">
              <w:rPr>
                <w:rFonts w:ascii="Times New Roman" w:eastAsia="SimSun" w:hAnsi="Times New Roman" w:cs="Times New Roman"/>
                <w:sz w:val="17"/>
                <w:szCs w:val="17"/>
                <w:lang w:val="en-US" w:eastAsia="zh-CN"/>
              </w:rPr>
              <w:t xml:space="preserve">Models 2-6 reveal the results relating to the effect of </w:t>
            </w:r>
            <w:r w:rsidR="007B26F1" w:rsidRPr="00264E52">
              <w:rPr>
                <w:rFonts w:ascii="Times New Roman" w:eastAsia="Times New Roman" w:hAnsi="Times New Roman" w:cs="Times New Roman"/>
                <w:sz w:val="17"/>
                <w:szCs w:val="17"/>
              </w:rPr>
              <w:t xml:space="preserve">the five explanatory variables on </w:t>
            </w:r>
            <w:r w:rsidR="007B26F1" w:rsidRPr="00264E52">
              <w:rPr>
                <w:rFonts w:ascii="Times New Roman" w:eastAsia="SimSun" w:hAnsi="Times New Roman" w:cs="Times New Roman"/>
                <w:sz w:val="17"/>
                <w:szCs w:val="17"/>
                <w:lang w:val="en-US" w:eastAsia="zh-CN"/>
              </w:rPr>
              <w:t>each sub-indices (</w:t>
            </w:r>
            <w:r w:rsidR="007B26F1" w:rsidRPr="00264E52">
              <w:rPr>
                <w:rFonts w:ascii="Times New Roman" w:eastAsia="Times New Roman" w:hAnsi="Times New Roman" w:cs="Times New Roman"/>
                <w:sz w:val="17"/>
                <w:szCs w:val="17"/>
              </w:rPr>
              <w:t>governing board, procedures &amp; structures, rewards, pay and evaluation of performance, auditing and accountability, stakeholder dialogue, respectively)</w:t>
            </w:r>
            <w:r w:rsidR="007B26F1" w:rsidRPr="00264E52">
              <w:rPr>
                <w:rFonts w:ascii="Times New Roman" w:eastAsia="SimSun" w:hAnsi="Times New Roman" w:cs="Times New Roman"/>
                <w:sz w:val="17"/>
                <w:szCs w:val="17"/>
                <w:lang w:val="en-US" w:eastAsia="zh-CN"/>
              </w:rPr>
              <w:t>. Model 7 reveals the results relating to the weighted HEGI (WHEGI). In Model 8, the total number of staff is used as an alternative measure for HEIs size. In Model 9 RG dummy variables is replaced with university and non-university dummy. Model 10 includes a dummy variable for the UK four countries (</w:t>
            </w:r>
            <w:r w:rsidR="007B26F1" w:rsidRPr="00264E52">
              <w:rPr>
                <w:rFonts w:ascii="Times New Roman" w:eastAsia="SimSun" w:hAnsi="Times New Roman" w:cs="Times New Roman"/>
                <w:i/>
                <w:iCs/>
                <w:sz w:val="17"/>
                <w:szCs w:val="17"/>
                <w:lang w:val="en-US" w:eastAsia="zh-CN"/>
              </w:rPr>
              <w:t>CNTRYD</w:t>
            </w:r>
            <w:r w:rsidR="007B26F1" w:rsidRPr="00264E52">
              <w:rPr>
                <w:rFonts w:ascii="Times New Roman" w:eastAsia="SimSun" w:hAnsi="Times New Roman" w:cs="Times New Roman"/>
                <w:sz w:val="17"/>
                <w:szCs w:val="17"/>
                <w:lang w:val="en-US" w:eastAsia="zh-CN"/>
              </w:rPr>
              <w:t xml:space="preserve">), namely, Scotland, Wales, Northern Ireland and England. </w:t>
            </w:r>
            <w:r w:rsidRPr="00643054">
              <w:rPr>
                <w:rFonts w:ascii="Times New Roman" w:hAnsi="Times New Roman" w:cs="Times New Roman"/>
                <w:sz w:val="17"/>
                <w:szCs w:val="17"/>
                <w:lang w:val="en-US"/>
              </w:rPr>
              <w:t xml:space="preserve"> </w:t>
            </w:r>
            <w:bookmarkStart w:id="3" w:name="_Hlk61386519"/>
            <w:r w:rsidRPr="00643054">
              <w:rPr>
                <w:rFonts w:ascii="Times New Roman" w:hAnsi="Times New Roman" w:cs="Times New Roman"/>
                <w:sz w:val="17"/>
                <w:szCs w:val="17"/>
                <w:lang w:val="en-US"/>
              </w:rPr>
              <w:t xml:space="preserve">Please see Table 2 for </w:t>
            </w:r>
            <w:r w:rsidR="00FA0820">
              <w:rPr>
                <w:rFonts w:ascii="Times New Roman" w:hAnsi="Times New Roman" w:cs="Times New Roman"/>
                <w:sz w:val="17"/>
                <w:szCs w:val="17"/>
                <w:lang w:val="en-US"/>
              </w:rPr>
              <w:t xml:space="preserve">full </w:t>
            </w:r>
            <w:r w:rsidRPr="00643054">
              <w:rPr>
                <w:rFonts w:ascii="Times New Roman" w:hAnsi="Times New Roman" w:cs="Times New Roman"/>
                <w:sz w:val="17"/>
                <w:szCs w:val="17"/>
                <w:lang w:val="en-US"/>
              </w:rPr>
              <w:t>variable definitions</w:t>
            </w:r>
            <w:bookmarkEnd w:id="3"/>
            <w:r w:rsidRPr="00643054">
              <w:rPr>
                <w:rFonts w:ascii="Times New Roman" w:hAnsi="Times New Roman" w:cs="Times New Roman"/>
                <w:sz w:val="17"/>
                <w:szCs w:val="17"/>
                <w:lang w:val="en-US"/>
              </w:rPr>
              <w:t>.</w:t>
            </w:r>
            <w:r w:rsidRPr="00643054">
              <w:rPr>
                <w:rFonts w:ascii="Times New Roman" w:eastAsiaTheme="minorEastAsia" w:hAnsi="Times New Roman" w:cs="Times New Roman"/>
                <w:sz w:val="17"/>
                <w:szCs w:val="17"/>
                <w:lang w:eastAsia="en-GB"/>
              </w:rPr>
              <w:t xml:space="preserve"> </w:t>
            </w:r>
            <w:r w:rsidR="00FA0820" w:rsidRPr="00FA0820">
              <w:rPr>
                <w:rFonts w:ascii="Times New Roman" w:hAnsi="Times New Roman" w:cs="Times New Roman"/>
                <w:sz w:val="17"/>
                <w:szCs w:val="17"/>
              </w:rPr>
              <w:t>*** means significance at the 1% level (p&lt;0.01). ** means significance at the 5% level (p&lt;0.05). * means significance at the 10% level (p&lt;0.10).</w:t>
            </w:r>
          </w:p>
        </w:tc>
      </w:tr>
    </w:tbl>
    <w:p w14:paraId="06FEDBFE" w14:textId="555A1189" w:rsidR="00FA1E8E" w:rsidRDefault="00FA1E8E" w:rsidP="00566D02">
      <w:pPr>
        <w:sectPr w:rsidR="00FA1E8E" w:rsidSect="00FA1E8E">
          <w:pgSz w:w="16838" w:h="11906" w:orient="landscape"/>
          <w:pgMar w:top="1440" w:right="1135" w:bottom="1440" w:left="1440" w:header="708" w:footer="708" w:gutter="0"/>
          <w:cols w:space="708"/>
          <w:docGrid w:linePitch="360"/>
        </w:sectPr>
      </w:pPr>
    </w:p>
    <w:tbl>
      <w:tblPr>
        <w:tblW w:w="8790" w:type="dxa"/>
        <w:tblInd w:w="142" w:type="dxa"/>
        <w:tblLook w:val="04A0" w:firstRow="1" w:lastRow="0" w:firstColumn="1" w:lastColumn="0" w:noHBand="0" w:noVBand="1"/>
      </w:tblPr>
      <w:tblGrid>
        <w:gridCol w:w="2268"/>
        <w:gridCol w:w="1985"/>
        <w:gridCol w:w="2126"/>
        <w:gridCol w:w="2411"/>
      </w:tblGrid>
      <w:tr w:rsidR="00DD02FB" w:rsidRPr="00DD02FB" w14:paraId="1670D119" w14:textId="77777777" w:rsidTr="00C36E29">
        <w:tc>
          <w:tcPr>
            <w:tcW w:w="8790" w:type="dxa"/>
            <w:gridSpan w:val="4"/>
            <w:tcBorders>
              <w:top w:val="nil"/>
              <w:left w:val="nil"/>
              <w:bottom w:val="single" w:sz="18" w:space="0" w:color="auto"/>
              <w:right w:val="nil"/>
            </w:tcBorders>
          </w:tcPr>
          <w:p w14:paraId="07F67EF2" w14:textId="5EBD293D" w:rsidR="00DD02FB" w:rsidRPr="001A0E89" w:rsidRDefault="00DD02FB" w:rsidP="00D258D5">
            <w:pPr>
              <w:spacing w:after="0"/>
              <w:rPr>
                <w:rFonts w:ascii="Times New Roman" w:eastAsia="Times New Roman" w:hAnsi="Times New Roman" w:cs="Times New Roman"/>
                <w:b/>
                <w:bCs/>
                <w:lang w:val="en-US" w:eastAsia="zh-CN"/>
              </w:rPr>
            </w:pPr>
            <w:r>
              <w:rPr>
                <w:rFonts w:ascii="Times New Roman" w:eastAsia="Times New Roman" w:hAnsi="Times New Roman" w:cs="Times New Roman"/>
                <w:b/>
                <w:bCs/>
                <w:lang w:val="en-US" w:eastAsia="zh-CN"/>
              </w:rPr>
              <w:lastRenderedPageBreak/>
              <w:t xml:space="preserve">Table </w:t>
            </w:r>
            <w:r w:rsidR="00D258D5">
              <w:rPr>
                <w:rFonts w:ascii="Times New Roman" w:eastAsia="Times New Roman" w:hAnsi="Times New Roman" w:cs="Times New Roman"/>
                <w:b/>
                <w:bCs/>
                <w:lang w:val="en-US" w:eastAsia="zh-CN"/>
              </w:rPr>
              <w:t>7</w:t>
            </w:r>
            <w:r w:rsidR="001A0E89">
              <w:rPr>
                <w:rFonts w:ascii="Times New Roman" w:eastAsia="Times New Roman" w:hAnsi="Times New Roman" w:cs="Times New Roman"/>
                <w:b/>
                <w:bCs/>
                <w:lang w:val="en-US" w:eastAsia="zh-CN"/>
              </w:rPr>
              <w:t xml:space="preserve">. </w:t>
            </w:r>
            <w:r w:rsidR="00D857EB">
              <w:rPr>
                <w:rFonts w:ascii="Times New Roman" w:eastAsia="SimSun" w:hAnsi="Times New Roman" w:cs="Times New Roman"/>
                <w:lang w:val="en-US" w:eastAsia="zh-CN"/>
              </w:rPr>
              <w:t>Additional</w:t>
            </w:r>
            <w:r w:rsidR="00D857EB" w:rsidRPr="00DD02FB">
              <w:rPr>
                <w:rFonts w:ascii="Times New Roman" w:eastAsia="SimSun" w:hAnsi="Times New Roman" w:cs="Times New Roman"/>
                <w:lang w:val="en-US" w:eastAsia="zh-CN"/>
              </w:rPr>
              <w:t xml:space="preserve"> </w:t>
            </w:r>
            <w:r w:rsidR="00C86C12">
              <w:rPr>
                <w:rFonts w:ascii="Times New Roman" w:eastAsia="SimSun" w:hAnsi="Times New Roman" w:cs="Times New Roman"/>
                <w:lang w:val="en-US" w:eastAsia="zh-CN"/>
              </w:rPr>
              <w:t>a</w:t>
            </w:r>
            <w:r w:rsidRPr="00DD02FB">
              <w:rPr>
                <w:rFonts w:ascii="Times New Roman" w:eastAsia="SimSun" w:hAnsi="Times New Roman" w:cs="Times New Roman"/>
                <w:lang w:val="en-US" w:eastAsia="zh-CN"/>
              </w:rPr>
              <w:t>nalys</w:t>
            </w:r>
            <w:r w:rsidR="00D857EB">
              <w:rPr>
                <w:rFonts w:ascii="Times New Roman" w:eastAsia="SimSun" w:hAnsi="Times New Roman" w:cs="Times New Roman"/>
                <w:lang w:val="en-US" w:eastAsia="zh-CN"/>
              </w:rPr>
              <w:t>es</w:t>
            </w:r>
            <w:r w:rsidR="00DB30A9">
              <w:rPr>
                <w:rFonts w:ascii="Times New Roman" w:eastAsia="SimSun" w:hAnsi="Times New Roman" w:cs="Times New Roman"/>
                <w:lang w:val="en-US" w:eastAsia="zh-CN"/>
              </w:rPr>
              <w:t>.</w:t>
            </w:r>
          </w:p>
        </w:tc>
      </w:tr>
      <w:tr w:rsidR="00DD02FB" w:rsidRPr="00DD02FB" w14:paraId="101DA61E" w14:textId="77777777" w:rsidTr="00C36E29">
        <w:tc>
          <w:tcPr>
            <w:tcW w:w="2268" w:type="dxa"/>
            <w:tcBorders>
              <w:top w:val="single" w:sz="18" w:space="0" w:color="auto"/>
              <w:left w:val="nil"/>
              <w:bottom w:val="single" w:sz="2" w:space="0" w:color="auto"/>
              <w:right w:val="nil"/>
            </w:tcBorders>
          </w:tcPr>
          <w:p w14:paraId="011274FE" w14:textId="77777777" w:rsidR="00DD02FB" w:rsidRPr="00DD02FB" w:rsidRDefault="00DD02FB" w:rsidP="00601FCB">
            <w:pPr>
              <w:spacing w:after="0"/>
              <w:rPr>
                <w:rFonts w:ascii="Times New Roman" w:eastAsia="Times New Roman" w:hAnsi="Times New Roman" w:cs="Times New Roman"/>
              </w:rPr>
            </w:pPr>
            <w:r w:rsidRPr="00DD02FB">
              <w:rPr>
                <w:rFonts w:ascii="Times New Roman" w:eastAsia="Times New Roman" w:hAnsi="Times New Roman" w:cs="Times New Roman"/>
              </w:rPr>
              <w:t>Dep. Variable</w:t>
            </w:r>
          </w:p>
          <w:p w14:paraId="3C1EDDA2" w14:textId="77777777" w:rsidR="00DD02FB" w:rsidRPr="00DD02FB" w:rsidRDefault="00DD02FB" w:rsidP="00601FCB">
            <w:pPr>
              <w:spacing w:after="0"/>
              <w:rPr>
                <w:rFonts w:ascii="Times New Roman" w:eastAsia="Times New Roman" w:hAnsi="Times New Roman" w:cs="Times New Roman"/>
              </w:rPr>
            </w:pPr>
            <w:r w:rsidRPr="00DD02FB">
              <w:rPr>
                <w:rFonts w:ascii="Times New Roman" w:eastAsia="Times New Roman" w:hAnsi="Times New Roman" w:cs="Times New Roman"/>
              </w:rPr>
              <w:t>(</w:t>
            </w:r>
            <w:r w:rsidRPr="00DD02FB">
              <w:rPr>
                <w:rFonts w:ascii="Times New Roman" w:eastAsia="Times New Roman" w:hAnsi="Times New Roman" w:cs="Times New Roman"/>
                <w:i/>
                <w:iCs/>
              </w:rPr>
              <w:t>Model</w:t>
            </w:r>
            <w:r w:rsidRPr="00DD02FB">
              <w:rPr>
                <w:rFonts w:ascii="Times New Roman" w:eastAsia="Times New Roman" w:hAnsi="Times New Roman" w:cs="Times New Roman"/>
              </w:rPr>
              <w:t>)</w:t>
            </w:r>
          </w:p>
        </w:tc>
        <w:tc>
          <w:tcPr>
            <w:tcW w:w="1985" w:type="dxa"/>
            <w:tcBorders>
              <w:top w:val="single" w:sz="18" w:space="0" w:color="auto"/>
              <w:left w:val="nil"/>
              <w:bottom w:val="single" w:sz="2" w:space="0" w:color="auto"/>
              <w:right w:val="nil"/>
            </w:tcBorders>
          </w:tcPr>
          <w:p w14:paraId="072973E3" w14:textId="77777777" w:rsidR="00DD02FB" w:rsidRPr="00DD02FB" w:rsidRDefault="00DD02FB" w:rsidP="00C36E29">
            <w:pPr>
              <w:spacing w:after="0"/>
              <w:rPr>
                <w:rFonts w:ascii="Times New Roman" w:eastAsia="Times New Roman" w:hAnsi="Times New Roman" w:cs="Times New Roman"/>
                <w:lang w:val="en-US" w:eastAsia="zh-CN"/>
              </w:rPr>
            </w:pPr>
            <w:r w:rsidRPr="00DD02FB">
              <w:rPr>
                <w:rFonts w:ascii="Times New Roman" w:hAnsi="Times New Roman" w:cs="Times New Roman"/>
              </w:rPr>
              <w:t>Lagged-effects</w:t>
            </w:r>
          </w:p>
          <w:p w14:paraId="5C4F76D9" w14:textId="77777777" w:rsidR="00DD02FB" w:rsidRPr="00DD02FB" w:rsidRDefault="00DD02FB" w:rsidP="00C36E29">
            <w:pPr>
              <w:spacing w:after="0"/>
              <w:rPr>
                <w:rFonts w:ascii="Times New Roman" w:eastAsia="Times New Roman" w:hAnsi="Times New Roman" w:cs="Times New Roman"/>
                <w:lang w:val="en-US" w:eastAsia="zh-CN"/>
              </w:rPr>
            </w:pPr>
            <w:r w:rsidRPr="00DD02FB">
              <w:rPr>
                <w:rFonts w:ascii="Times New Roman" w:eastAsia="Times New Roman" w:hAnsi="Times New Roman" w:cs="Times New Roman"/>
                <w:lang w:val="en-US" w:eastAsia="zh-CN"/>
              </w:rPr>
              <w:t>(1)</w:t>
            </w:r>
          </w:p>
        </w:tc>
        <w:tc>
          <w:tcPr>
            <w:tcW w:w="2126" w:type="dxa"/>
            <w:tcBorders>
              <w:top w:val="single" w:sz="18" w:space="0" w:color="auto"/>
              <w:left w:val="nil"/>
              <w:bottom w:val="single" w:sz="2" w:space="0" w:color="auto"/>
              <w:right w:val="nil"/>
            </w:tcBorders>
          </w:tcPr>
          <w:p w14:paraId="6F8F4330" w14:textId="77777777" w:rsidR="00DD02FB" w:rsidRPr="00DD02FB" w:rsidRDefault="00DD02FB" w:rsidP="00C36E29">
            <w:pPr>
              <w:spacing w:after="0"/>
              <w:rPr>
                <w:rFonts w:ascii="Times New Roman" w:eastAsia="Times New Roman" w:hAnsi="Times New Roman" w:cs="Times New Roman"/>
                <w:lang w:val="en-US" w:eastAsia="zh-CN"/>
              </w:rPr>
            </w:pPr>
            <w:r w:rsidRPr="00DD02FB">
              <w:rPr>
                <w:rFonts w:ascii="Times New Roman" w:eastAsia="Times New Roman" w:hAnsi="Times New Roman" w:cs="Times New Roman"/>
                <w:lang w:val="en-US" w:eastAsia="zh-CN"/>
              </w:rPr>
              <w:t>Fixed-effects</w:t>
            </w:r>
          </w:p>
          <w:p w14:paraId="661178E7" w14:textId="77777777" w:rsidR="00DD02FB" w:rsidRPr="00DD02FB" w:rsidRDefault="00DD02FB" w:rsidP="00C36E29">
            <w:pPr>
              <w:spacing w:after="0"/>
              <w:rPr>
                <w:rFonts w:ascii="Times New Roman" w:eastAsia="Times New Roman" w:hAnsi="Times New Roman" w:cs="Times New Roman"/>
                <w:lang w:val="en-US" w:eastAsia="zh-CN"/>
              </w:rPr>
            </w:pPr>
            <w:r w:rsidRPr="00DD02FB">
              <w:rPr>
                <w:rFonts w:ascii="Times New Roman" w:eastAsia="Times New Roman" w:hAnsi="Times New Roman" w:cs="Times New Roman"/>
                <w:lang w:val="en-US" w:eastAsia="zh-CN"/>
              </w:rPr>
              <w:t>(2)</w:t>
            </w:r>
          </w:p>
        </w:tc>
        <w:tc>
          <w:tcPr>
            <w:tcW w:w="2409" w:type="dxa"/>
            <w:tcBorders>
              <w:top w:val="single" w:sz="18" w:space="0" w:color="auto"/>
              <w:left w:val="nil"/>
              <w:bottom w:val="single" w:sz="2" w:space="0" w:color="auto"/>
              <w:right w:val="nil"/>
            </w:tcBorders>
          </w:tcPr>
          <w:p w14:paraId="4758287C" w14:textId="5B8ABE6F" w:rsidR="00DD02FB" w:rsidRPr="00DD02FB" w:rsidRDefault="001355CB" w:rsidP="00C36E29">
            <w:pPr>
              <w:spacing w:after="0"/>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System-</w:t>
            </w:r>
            <w:r w:rsidR="00DD02FB" w:rsidRPr="00DD02FB">
              <w:rPr>
                <w:rFonts w:ascii="Times New Roman" w:eastAsia="Times New Roman" w:hAnsi="Times New Roman" w:cs="Times New Roman"/>
                <w:lang w:val="en-US" w:eastAsia="zh-CN"/>
              </w:rPr>
              <w:t>GMM</w:t>
            </w:r>
          </w:p>
          <w:p w14:paraId="1C15EC79" w14:textId="77777777" w:rsidR="00DD02FB" w:rsidRPr="00DD02FB" w:rsidRDefault="00DD02FB" w:rsidP="00C36E29">
            <w:pPr>
              <w:spacing w:after="0"/>
              <w:rPr>
                <w:rFonts w:ascii="Times New Roman" w:eastAsia="Times New Roman" w:hAnsi="Times New Roman" w:cs="Times New Roman"/>
                <w:lang w:val="en-US" w:eastAsia="zh-CN"/>
              </w:rPr>
            </w:pPr>
            <w:r w:rsidRPr="00DD02FB">
              <w:rPr>
                <w:rFonts w:ascii="Times New Roman" w:eastAsia="Times New Roman" w:hAnsi="Times New Roman" w:cs="Times New Roman"/>
                <w:lang w:val="en-US" w:eastAsia="zh-CN"/>
              </w:rPr>
              <w:t>(3)</w:t>
            </w:r>
          </w:p>
        </w:tc>
      </w:tr>
      <w:tr w:rsidR="00DD02FB" w:rsidRPr="00DD02FB" w14:paraId="612342BB" w14:textId="77777777" w:rsidTr="00C36E29">
        <w:trPr>
          <w:trHeight w:val="127"/>
        </w:trPr>
        <w:tc>
          <w:tcPr>
            <w:tcW w:w="8790" w:type="dxa"/>
            <w:gridSpan w:val="4"/>
            <w:tcBorders>
              <w:top w:val="single" w:sz="2" w:space="0" w:color="auto"/>
              <w:left w:val="nil"/>
              <w:bottom w:val="nil"/>
              <w:right w:val="nil"/>
            </w:tcBorders>
          </w:tcPr>
          <w:p w14:paraId="6225D9D9" w14:textId="5194D44C" w:rsidR="00DD02FB" w:rsidRPr="00DD02FB" w:rsidRDefault="00D857EB" w:rsidP="00AB1E33">
            <w:pPr>
              <w:spacing w:after="0"/>
              <w:rPr>
                <w:rFonts w:ascii="Times New Roman" w:eastAsia="Times New Roman" w:hAnsi="Times New Roman" w:cs="Times New Roman"/>
              </w:rPr>
            </w:pPr>
            <w:r>
              <w:rPr>
                <w:rFonts w:ascii="Times New Roman" w:eastAsia="Times New Roman" w:hAnsi="Times New Roman" w:cs="Times New Roman"/>
                <w:i/>
                <w:iCs/>
              </w:rPr>
              <w:t>Explanatory</w:t>
            </w:r>
            <w:r w:rsidRPr="00DD02FB">
              <w:rPr>
                <w:rFonts w:ascii="Times New Roman" w:eastAsia="Times New Roman" w:hAnsi="Times New Roman" w:cs="Times New Roman"/>
                <w:i/>
                <w:iCs/>
              </w:rPr>
              <w:t xml:space="preserve"> </w:t>
            </w:r>
            <w:r w:rsidR="00DD02FB" w:rsidRPr="00DD02FB">
              <w:rPr>
                <w:rFonts w:ascii="Times New Roman" w:eastAsia="Times New Roman" w:hAnsi="Times New Roman" w:cs="Times New Roman"/>
                <w:i/>
                <w:iCs/>
              </w:rPr>
              <w:t>variables (internal governance mechanisms)</w:t>
            </w:r>
          </w:p>
        </w:tc>
      </w:tr>
      <w:tr w:rsidR="00DD02FB" w:rsidRPr="00DD02FB" w14:paraId="4817A36F" w14:textId="77777777" w:rsidTr="00C36E29">
        <w:trPr>
          <w:trHeight w:val="127"/>
        </w:trPr>
        <w:tc>
          <w:tcPr>
            <w:tcW w:w="2268" w:type="dxa"/>
            <w:tcBorders>
              <w:top w:val="nil"/>
              <w:left w:val="nil"/>
              <w:bottom w:val="nil"/>
              <w:right w:val="nil"/>
            </w:tcBorders>
          </w:tcPr>
          <w:p w14:paraId="20C3E52A" w14:textId="1DCF650D" w:rsidR="00DD02FB" w:rsidRPr="00DD02FB" w:rsidRDefault="00DD02FB" w:rsidP="00601FCB">
            <w:pPr>
              <w:spacing w:after="0" w:line="240" w:lineRule="auto"/>
              <w:rPr>
                <w:rFonts w:ascii="Times New Roman" w:eastAsia="Times New Roman" w:hAnsi="Times New Roman" w:cs="Times New Roman"/>
                <w:iCs/>
                <w:color w:val="000000"/>
                <w:lang w:val="en-US"/>
              </w:rPr>
            </w:pPr>
            <w:r w:rsidRPr="00DD02FB">
              <w:rPr>
                <w:rFonts w:ascii="Times New Roman" w:eastAsia="Times New Roman" w:hAnsi="Times New Roman" w:cs="Times New Roman"/>
                <w:iCs/>
                <w:color w:val="000000"/>
                <w:lang w:val="en-US"/>
              </w:rPr>
              <w:t xml:space="preserve">    V</w:t>
            </w:r>
            <w:r w:rsidR="009E4383">
              <w:rPr>
                <w:rFonts w:ascii="Times New Roman" w:eastAsia="Times New Roman" w:hAnsi="Times New Roman" w:cs="Times New Roman"/>
                <w:iCs/>
                <w:color w:val="000000"/>
                <w:lang w:val="en-US"/>
              </w:rPr>
              <w:t>C</w:t>
            </w:r>
            <w:r w:rsidRPr="00DD02FB">
              <w:rPr>
                <w:rFonts w:ascii="Times New Roman" w:eastAsia="Times New Roman" w:hAnsi="Times New Roman" w:cs="Times New Roman"/>
                <w:iCs/>
                <w:color w:val="000000"/>
                <w:lang w:val="en-US"/>
              </w:rPr>
              <w:t>G</w:t>
            </w:r>
            <w:r w:rsidR="009E4383">
              <w:rPr>
                <w:rFonts w:ascii="Times New Roman" w:eastAsia="Times New Roman" w:hAnsi="Times New Roman" w:cs="Times New Roman"/>
                <w:iCs/>
                <w:color w:val="000000"/>
                <w:lang w:val="en-US"/>
              </w:rPr>
              <w:t>EN</w:t>
            </w:r>
          </w:p>
        </w:tc>
        <w:tc>
          <w:tcPr>
            <w:tcW w:w="1985" w:type="dxa"/>
            <w:tcBorders>
              <w:top w:val="nil"/>
              <w:left w:val="nil"/>
              <w:bottom w:val="nil"/>
              <w:right w:val="nil"/>
            </w:tcBorders>
          </w:tcPr>
          <w:p w14:paraId="163B3EF2" w14:textId="560BF65E"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-0.01(.44</w:t>
            </w:r>
            <w:r w:rsidR="00DD02FB" w:rsidRPr="00DD02FB">
              <w:rPr>
                <w:rFonts w:ascii="Times New Roman" w:eastAsia="Times New Roman" w:hAnsi="Times New Roman" w:cs="Times New Roman"/>
              </w:rPr>
              <w:t>)</w:t>
            </w:r>
          </w:p>
        </w:tc>
        <w:tc>
          <w:tcPr>
            <w:tcW w:w="2126" w:type="dxa"/>
            <w:tcBorders>
              <w:top w:val="nil"/>
              <w:left w:val="nil"/>
              <w:bottom w:val="nil"/>
              <w:right w:val="nil"/>
            </w:tcBorders>
          </w:tcPr>
          <w:p w14:paraId="79EA96B6" w14:textId="2C9FE479" w:rsidR="00DD02FB" w:rsidRPr="00DD02FB" w:rsidRDefault="00646003" w:rsidP="00C36E29">
            <w:pPr>
              <w:spacing w:after="0"/>
              <w:rPr>
                <w:rFonts w:ascii="Times New Roman" w:eastAsia="Times New Roman" w:hAnsi="Times New Roman" w:cs="Times New Roman"/>
              </w:rPr>
            </w:pPr>
            <w:r>
              <w:rPr>
                <w:rFonts w:ascii="Times New Roman" w:eastAsia="Times New Roman" w:hAnsi="Times New Roman" w:cs="Times New Roman"/>
              </w:rPr>
              <w:t>0.02(.11</w:t>
            </w:r>
            <w:r w:rsidR="00DD02FB" w:rsidRPr="00DD02FB">
              <w:rPr>
                <w:rFonts w:ascii="Times New Roman" w:eastAsia="Times New Roman" w:hAnsi="Times New Roman" w:cs="Times New Roman"/>
              </w:rPr>
              <w:t>)</w:t>
            </w:r>
          </w:p>
        </w:tc>
        <w:tc>
          <w:tcPr>
            <w:tcW w:w="2409" w:type="dxa"/>
            <w:tcBorders>
              <w:top w:val="nil"/>
              <w:left w:val="nil"/>
              <w:bottom w:val="nil"/>
              <w:right w:val="nil"/>
            </w:tcBorders>
          </w:tcPr>
          <w:p w14:paraId="37A4CB4A" w14:textId="21B48590"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-0.04(.00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 xml:space="preserve"> ***</w:t>
            </w:r>
          </w:p>
        </w:tc>
      </w:tr>
      <w:tr w:rsidR="00DD02FB" w:rsidRPr="00DD02FB" w14:paraId="0790B042" w14:textId="77777777" w:rsidTr="00C36E29">
        <w:trPr>
          <w:trHeight w:val="173"/>
        </w:trPr>
        <w:tc>
          <w:tcPr>
            <w:tcW w:w="2268" w:type="dxa"/>
            <w:tcBorders>
              <w:top w:val="nil"/>
              <w:left w:val="nil"/>
              <w:bottom w:val="nil"/>
              <w:right w:val="nil"/>
            </w:tcBorders>
          </w:tcPr>
          <w:p w14:paraId="4DE5B316" w14:textId="16B859BE" w:rsidR="00DD02FB" w:rsidRPr="00DD02FB" w:rsidRDefault="00DD02FB" w:rsidP="00601FCB">
            <w:pPr>
              <w:spacing w:after="0" w:line="240" w:lineRule="auto"/>
              <w:rPr>
                <w:rFonts w:ascii="Times New Roman" w:eastAsia="Times New Roman" w:hAnsi="Times New Roman" w:cs="Times New Roman"/>
                <w:iCs/>
                <w:color w:val="000000"/>
                <w:lang w:val="en-US"/>
              </w:rPr>
            </w:pPr>
            <w:r w:rsidRPr="00DD02FB">
              <w:rPr>
                <w:rFonts w:ascii="Times New Roman" w:eastAsia="Times New Roman" w:hAnsi="Times New Roman" w:cs="Times New Roman"/>
                <w:iCs/>
                <w:color w:val="000000"/>
                <w:lang w:val="en-US"/>
              </w:rPr>
              <w:t xml:space="preserve">    V</w:t>
            </w:r>
            <w:r w:rsidR="009E4383">
              <w:rPr>
                <w:rFonts w:ascii="Times New Roman" w:eastAsia="Times New Roman" w:hAnsi="Times New Roman" w:cs="Times New Roman"/>
                <w:iCs/>
                <w:color w:val="000000"/>
                <w:lang w:val="en-US"/>
              </w:rPr>
              <w:t>CE</w:t>
            </w:r>
            <w:r w:rsidRPr="00DD02FB">
              <w:rPr>
                <w:rFonts w:ascii="Times New Roman" w:eastAsia="Times New Roman" w:hAnsi="Times New Roman" w:cs="Times New Roman"/>
                <w:iCs/>
                <w:color w:val="000000"/>
                <w:lang w:val="en-US"/>
              </w:rPr>
              <w:t>D</w:t>
            </w:r>
            <w:r w:rsidR="009E4383">
              <w:rPr>
                <w:rFonts w:ascii="Times New Roman" w:eastAsia="Times New Roman" w:hAnsi="Times New Roman" w:cs="Times New Roman"/>
                <w:iCs/>
                <w:color w:val="000000"/>
                <w:lang w:val="en-US"/>
              </w:rPr>
              <w:t>U</w:t>
            </w:r>
          </w:p>
        </w:tc>
        <w:tc>
          <w:tcPr>
            <w:tcW w:w="1985" w:type="dxa"/>
            <w:tcBorders>
              <w:top w:val="nil"/>
              <w:left w:val="nil"/>
              <w:bottom w:val="nil"/>
              <w:right w:val="nil"/>
            </w:tcBorders>
          </w:tcPr>
          <w:p w14:paraId="00144410" w14:textId="7077C557"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0.01(.49</w:t>
            </w:r>
            <w:r w:rsidR="00DD02FB" w:rsidRPr="00DD02FB">
              <w:rPr>
                <w:rFonts w:ascii="Times New Roman" w:eastAsia="Times New Roman" w:hAnsi="Times New Roman" w:cs="Times New Roman"/>
              </w:rPr>
              <w:t>)</w:t>
            </w:r>
          </w:p>
        </w:tc>
        <w:tc>
          <w:tcPr>
            <w:tcW w:w="2126" w:type="dxa"/>
            <w:tcBorders>
              <w:top w:val="nil"/>
              <w:left w:val="nil"/>
              <w:bottom w:val="nil"/>
              <w:right w:val="nil"/>
            </w:tcBorders>
          </w:tcPr>
          <w:p w14:paraId="2483D0F6" w14:textId="6615BE00"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0.02(.01</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409" w:type="dxa"/>
            <w:tcBorders>
              <w:top w:val="nil"/>
              <w:left w:val="nil"/>
              <w:bottom w:val="nil"/>
              <w:right w:val="nil"/>
            </w:tcBorders>
          </w:tcPr>
          <w:p w14:paraId="6FF43B37" w14:textId="0AF6A0FA"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0.01(.20</w:t>
            </w:r>
            <w:r w:rsidR="00DD02FB" w:rsidRPr="00DD02FB">
              <w:rPr>
                <w:rFonts w:ascii="Times New Roman" w:eastAsia="Times New Roman" w:hAnsi="Times New Roman" w:cs="Times New Roman"/>
              </w:rPr>
              <w:t>)</w:t>
            </w:r>
          </w:p>
        </w:tc>
      </w:tr>
      <w:tr w:rsidR="00DD02FB" w:rsidRPr="00DD02FB" w14:paraId="5ACD84AE" w14:textId="77777777" w:rsidTr="00C36E29">
        <w:trPr>
          <w:trHeight w:val="173"/>
        </w:trPr>
        <w:tc>
          <w:tcPr>
            <w:tcW w:w="2268" w:type="dxa"/>
            <w:tcBorders>
              <w:top w:val="nil"/>
              <w:left w:val="nil"/>
              <w:bottom w:val="nil"/>
              <w:right w:val="nil"/>
            </w:tcBorders>
          </w:tcPr>
          <w:p w14:paraId="54C69071" w14:textId="78C5BC7A" w:rsidR="00DD02FB" w:rsidRPr="00DD02FB" w:rsidRDefault="00DD02FB" w:rsidP="00601FCB">
            <w:pPr>
              <w:spacing w:after="0" w:line="240" w:lineRule="auto"/>
              <w:rPr>
                <w:rFonts w:ascii="Times New Roman" w:eastAsia="Times New Roman" w:hAnsi="Times New Roman" w:cs="Times New Roman"/>
                <w:iCs/>
                <w:color w:val="000000"/>
                <w:lang w:val="en-US"/>
              </w:rPr>
            </w:pPr>
            <w:r w:rsidRPr="00DD02FB">
              <w:rPr>
                <w:rFonts w:ascii="Times New Roman" w:eastAsia="Times New Roman" w:hAnsi="Times New Roman" w:cs="Times New Roman"/>
                <w:iCs/>
                <w:color w:val="000000"/>
                <w:lang w:val="en-US"/>
              </w:rPr>
              <w:t xml:space="preserve">    V</w:t>
            </w:r>
            <w:r w:rsidR="009E4383">
              <w:rPr>
                <w:rFonts w:ascii="Times New Roman" w:eastAsia="Times New Roman" w:hAnsi="Times New Roman" w:cs="Times New Roman"/>
                <w:iCs/>
                <w:color w:val="000000"/>
                <w:lang w:val="en-US"/>
              </w:rPr>
              <w:t>C</w:t>
            </w:r>
            <w:r w:rsidRPr="00DD02FB">
              <w:rPr>
                <w:rFonts w:ascii="Times New Roman" w:eastAsia="Times New Roman" w:hAnsi="Times New Roman" w:cs="Times New Roman"/>
                <w:iCs/>
                <w:color w:val="000000"/>
                <w:lang w:val="en-US"/>
              </w:rPr>
              <w:t>A</w:t>
            </w:r>
            <w:r w:rsidR="009E4383">
              <w:rPr>
                <w:rFonts w:ascii="Times New Roman" w:eastAsia="Times New Roman" w:hAnsi="Times New Roman" w:cs="Times New Roman"/>
                <w:iCs/>
                <w:color w:val="000000"/>
                <w:lang w:val="en-US"/>
              </w:rPr>
              <w:t>GE</w:t>
            </w:r>
          </w:p>
        </w:tc>
        <w:tc>
          <w:tcPr>
            <w:tcW w:w="1985" w:type="dxa"/>
            <w:tcBorders>
              <w:top w:val="nil"/>
              <w:left w:val="nil"/>
              <w:bottom w:val="nil"/>
              <w:right w:val="nil"/>
            </w:tcBorders>
          </w:tcPr>
          <w:p w14:paraId="60A02F4B" w14:textId="268BF293"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-0.09(.08</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126" w:type="dxa"/>
            <w:tcBorders>
              <w:top w:val="nil"/>
              <w:left w:val="nil"/>
              <w:bottom w:val="nil"/>
              <w:right w:val="nil"/>
            </w:tcBorders>
          </w:tcPr>
          <w:p w14:paraId="7C432DD4" w14:textId="2BCB6D40"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-0.11(.03</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409" w:type="dxa"/>
            <w:tcBorders>
              <w:top w:val="nil"/>
              <w:left w:val="nil"/>
              <w:bottom w:val="nil"/>
              <w:right w:val="nil"/>
            </w:tcBorders>
          </w:tcPr>
          <w:p w14:paraId="38421933" w14:textId="6B580132"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-0.10(.00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 xml:space="preserve"> ***</w:t>
            </w:r>
          </w:p>
        </w:tc>
      </w:tr>
      <w:tr w:rsidR="00DD02FB" w:rsidRPr="00DD02FB" w14:paraId="7F7F315D" w14:textId="77777777" w:rsidTr="00C36E29">
        <w:trPr>
          <w:trHeight w:val="91"/>
        </w:trPr>
        <w:tc>
          <w:tcPr>
            <w:tcW w:w="2268" w:type="dxa"/>
            <w:tcBorders>
              <w:top w:val="nil"/>
              <w:left w:val="nil"/>
              <w:bottom w:val="nil"/>
              <w:right w:val="nil"/>
            </w:tcBorders>
          </w:tcPr>
          <w:p w14:paraId="1967E82C" w14:textId="3C63ECD0" w:rsidR="00DD02FB" w:rsidRPr="00DD02FB" w:rsidRDefault="00DD02FB" w:rsidP="00601FCB">
            <w:pPr>
              <w:spacing w:after="0" w:line="240" w:lineRule="auto"/>
              <w:rPr>
                <w:rFonts w:ascii="Times New Roman" w:eastAsia="Times New Roman" w:hAnsi="Times New Roman" w:cs="Times New Roman"/>
                <w:iCs/>
                <w:color w:val="000000"/>
                <w:lang w:val="en-US"/>
              </w:rPr>
            </w:pPr>
            <w:r w:rsidRPr="00DD02FB">
              <w:rPr>
                <w:rFonts w:ascii="Times New Roman" w:eastAsia="Times New Roman" w:hAnsi="Times New Roman" w:cs="Times New Roman"/>
                <w:iCs/>
                <w:color w:val="000000"/>
                <w:lang w:val="en-US"/>
              </w:rPr>
              <w:t xml:space="preserve">    V</w:t>
            </w:r>
            <w:r w:rsidR="009E4383">
              <w:rPr>
                <w:rFonts w:ascii="Times New Roman" w:eastAsia="Times New Roman" w:hAnsi="Times New Roman" w:cs="Times New Roman"/>
                <w:iCs/>
                <w:color w:val="000000"/>
                <w:lang w:val="en-US"/>
              </w:rPr>
              <w:t>C</w:t>
            </w:r>
            <w:r w:rsidRPr="00DD02FB">
              <w:rPr>
                <w:rFonts w:ascii="Times New Roman" w:eastAsia="Times New Roman" w:hAnsi="Times New Roman" w:cs="Times New Roman"/>
                <w:iCs/>
                <w:color w:val="000000"/>
                <w:lang w:val="en-US"/>
              </w:rPr>
              <w:t>T</w:t>
            </w:r>
            <w:r w:rsidR="009E4383">
              <w:rPr>
                <w:rFonts w:ascii="Times New Roman" w:eastAsia="Times New Roman" w:hAnsi="Times New Roman" w:cs="Times New Roman"/>
                <w:iCs/>
                <w:color w:val="000000"/>
                <w:lang w:val="en-US"/>
              </w:rPr>
              <w:t>EN</w:t>
            </w:r>
          </w:p>
        </w:tc>
        <w:tc>
          <w:tcPr>
            <w:tcW w:w="1985" w:type="dxa"/>
            <w:tcBorders>
              <w:top w:val="nil"/>
              <w:left w:val="nil"/>
              <w:bottom w:val="nil"/>
              <w:right w:val="nil"/>
            </w:tcBorders>
          </w:tcPr>
          <w:p w14:paraId="4242951C" w14:textId="47E947BB"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0.02(.00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126" w:type="dxa"/>
            <w:tcBorders>
              <w:top w:val="nil"/>
              <w:left w:val="nil"/>
              <w:bottom w:val="nil"/>
              <w:right w:val="nil"/>
            </w:tcBorders>
          </w:tcPr>
          <w:p w14:paraId="0F5F24B2" w14:textId="0E44FCE0"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0.04(.00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409" w:type="dxa"/>
            <w:tcBorders>
              <w:top w:val="nil"/>
              <w:left w:val="nil"/>
              <w:bottom w:val="nil"/>
              <w:right w:val="nil"/>
            </w:tcBorders>
          </w:tcPr>
          <w:p w14:paraId="500F8C1E" w14:textId="5F2163E2"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0.01(.19</w:t>
            </w:r>
            <w:r w:rsidR="00DD02FB" w:rsidRPr="00DD02FB">
              <w:rPr>
                <w:rFonts w:ascii="Times New Roman" w:eastAsia="Times New Roman" w:hAnsi="Times New Roman" w:cs="Times New Roman"/>
              </w:rPr>
              <w:t>)</w:t>
            </w:r>
          </w:p>
        </w:tc>
      </w:tr>
      <w:tr w:rsidR="00DD02FB" w:rsidRPr="00DD02FB" w14:paraId="6FA33864" w14:textId="77777777" w:rsidTr="00C36E29">
        <w:trPr>
          <w:trHeight w:val="87"/>
        </w:trPr>
        <w:tc>
          <w:tcPr>
            <w:tcW w:w="2268" w:type="dxa"/>
            <w:tcBorders>
              <w:top w:val="nil"/>
              <w:left w:val="nil"/>
              <w:bottom w:val="nil"/>
              <w:right w:val="nil"/>
            </w:tcBorders>
          </w:tcPr>
          <w:p w14:paraId="4D95AE27" w14:textId="516E1C9F" w:rsidR="00DD02FB" w:rsidRPr="00DD02FB" w:rsidRDefault="00DD02FB" w:rsidP="009E4383">
            <w:pPr>
              <w:spacing w:after="0" w:line="240" w:lineRule="auto"/>
              <w:rPr>
                <w:rFonts w:ascii="Times New Roman" w:eastAsia="Times New Roman" w:hAnsi="Times New Roman" w:cs="Times New Roman"/>
                <w:iCs/>
                <w:lang w:val="en-US"/>
              </w:rPr>
            </w:pPr>
            <w:r w:rsidRPr="00DD02FB">
              <w:rPr>
                <w:rFonts w:ascii="Times New Roman" w:eastAsia="Times New Roman" w:hAnsi="Times New Roman" w:cs="Times New Roman"/>
                <w:iCs/>
                <w:lang w:val="en-US"/>
              </w:rPr>
              <w:t xml:space="preserve">    </w:t>
            </w:r>
            <w:r w:rsidR="009E4383">
              <w:rPr>
                <w:rFonts w:ascii="Times New Roman" w:eastAsia="Times New Roman" w:hAnsi="Times New Roman" w:cs="Times New Roman"/>
                <w:iCs/>
                <w:lang w:val="en-US"/>
              </w:rPr>
              <w:t>EGC</w:t>
            </w:r>
          </w:p>
        </w:tc>
        <w:tc>
          <w:tcPr>
            <w:tcW w:w="1985" w:type="dxa"/>
            <w:tcBorders>
              <w:top w:val="nil"/>
              <w:left w:val="nil"/>
              <w:bottom w:val="nil"/>
              <w:right w:val="nil"/>
            </w:tcBorders>
          </w:tcPr>
          <w:p w14:paraId="0246E144" w14:textId="69E2DDEE"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0.03(.00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126" w:type="dxa"/>
            <w:tcBorders>
              <w:top w:val="nil"/>
              <w:left w:val="nil"/>
              <w:bottom w:val="nil"/>
              <w:right w:val="nil"/>
            </w:tcBorders>
          </w:tcPr>
          <w:p w14:paraId="743CB209" w14:textId="360424C3"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0.03</w:t>
            </w:r>
            <w:r w:rsidR="00E20982">
              <w:rPr>
                <w:rFonts w:ascii="Times New Roman" w:eastAsia="Times New Roman" w:hAnsi="Times New Roman" w:cs="Times New Roman"/>
              </w:rPr>
              <w:t>(.02</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409" w:type="dxa"/>
            <w:tcBorders>
              <w:top w:val="nil"/>
              <w:left w:val="nil"/>
              <w:bottom w:val="nil"/>
              <w:right w:val="nil"/>
            </w:tcBorders>
          </w:tcPr>
          <w:p w14:paraId="5786F649" w14:textId="4295173C"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0.06(.00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 xml:space="preserve"> ***</w:t>
            </w:r>
          </w:p>
        </w:tc>
      </w:tr>
      <w:tr w:rsidR="00DD02FB" w:rsidRPr="00DD02FB" w14:paraId="056A93E4" w14:textId="77777777" w:rsidTr="00C36E29">
        <w:trPr>
          <w:trHeight w:val="87"/>
        </w:trPr>
        <w:tc>
          <w:tcPr>
            <w:tcW w:w="2268" w:type="dxa"/>
            <w:tcBorders>
              <w:top w:val="nil"/>
              <w:left w:val="nil"/>
              <w:bottom w:val="nil"/>
              <w:right w:val="nil"/>
            </w:tcBorders>
          </w:tcPr>
          <w:p w14:paraId="4EB15A48" w14:textId="51D1DA58" w:rsidR="00DD02FB" w:rsidRPr="00DD02FB" w:rsidRDefault="00DD02FB" w:rsidP="00601FCB">
            <w:pPr>
              <w:spacing w:after="0" w:line="240" w:lineRule="auto"/>
              <w:rPr>
                <w:rFonts w:ascii="Times New Roman" w:eastAsia="Times New Roman" w:hAnsi="Times New Roman" w:cs="Times New Roman"/>
                <w:iCs/>
                <w:color w:val="000000"/>
                <w:lang w:val="en-US"/>
              </w:rPr>
            </w:pPr>
            <w:r w:rsidRPr="00DD02FB">
              <w:rPr>
                <w:rFonts w:ascii="Times New Roman" w:eastAsia="Times New Roman" w:hAnsi="Times New Roman" w:cs="Times New Roman"/>
                <w:iCs/>
                <w:color w:val="000000"/>
                <w:lang w:val="en-US"/>
              </w:rPr>
              <w:t xml:space="preserve">    G</w:t>
            </w:r>
            <w:r w:rsidR="009E4383">
              <w:rPr>
                <w:rFonts w:ascii="Times New Roman" w:eastAsia="Times New Roman" w:hAnsi="Times New Roman" w:cs="Times New Roman"/>
                <w:iCs/>
                <w:color w:val="000000"/>
                <w:lang w:val="en-US"/>
              </w:rPr>
              <w:t>BGE</w:t>
            </w:r>
            <w:r w:rsidRPr="00DD02FB">
              <w:rPr>
                <w:rFonts w:ascii="Times New Roman" w:eastAsia="Times New Roman" w:hAnsi="Times New Roman" w:cs="Times New Roman"/>
                <w:iCs/>
                <w:color w:val="000000"/>
                <w:lang w:val="en-US"/>
              </w:rPr>
              <w:t>D</w:t>
            </w:r>
          </w:p>
        </w:tc>
        <w:tc>
          <w:tcPr>
            <w:tcW w:w="1985" w:type="dxa"/>
            <w:tcBorders>
              <w:top w:val="nil"/>
              <w:left w:val="nil"/>
              <w:bottom w:val="nil"/>
              <w:right w:val="nil"/>
            </w:tcBorders>
          </w:tcPr>
          <w:p w14:paraId="04E16E80" w14:textId="44E54CE4"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-0.05(.19</w:t>
            </w:r>
            <w:r w:rsidR="00DD02FB" w:rsidRPr="00DD02FB">
              <w:rPr>
                <w:rFonts w:ascii="Times New Roman" w:eastAsia="Times New Roman" w:hAnsi="Times New Roman" w:cs="Times New Roman"/>
              </w:rPr>
              <w:t>)</w:t>
            </w:r>
          </w:p>
        </w:tc>
        <w:tc>
          <w:tcPr>
            <w:tcW w:w="2126" w:type="dxa"/>
            <w:tcBorders>
              <w:top w:val="nil"/>
              <w:left w:val="nil"/>
              <w:bottom w:val="nil"/>
              <w:right w:val="nil"/>
            </w:tcBorders>
          </w:tcPr>
          <w:p w14:paraId="5758DF05" w14:textId="57ACEA2B"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-0.06</w:t>
            </w:r>
            <w:r w:rsidR="00E20982">
              <w:rPr>
                <w:rFonts w:ascii="Times New Roman" w:eastAsia="Times New Roman" w:hAnsi="Times New Roman" w:cs="Times New Roman"/>
              </w:rPr>
              <w:t>(.00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409" w:type="dxa"/>
            <w:tcBorders>
              <w:top w:val="nil"/>
              <w:left w:val="nil"/>
              <w:bottom w:val="nil"/>
              <w:right w:val="nil"/>
            </w:tcBorders>
          </w:tcPr>
          <w:p w14:paraId="07709757" w14:textId="7D805FB0"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-0.05(.00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 xml:space="preserve"> ***</w:t>
            </w:r>
          </w:p>
        </w:tc>
      </w:tr>
      <w:tr w:rsidR="00DD02FB" w:rsidRPr="00DD02FB" w14:paraId="05A189B0" w14:textId="77777777" w:rsidTr="00C36E29">
        <w:trPr>
          <w:trHeight w:val="87"/>
        </w:trPr>
        <w:tc>
          <w:tcPr>
            <w:tcW w:w="2268" w:type="dxa"/>
            <w:tcBorders>
              <w:top w:val="nil"/>
              <w:left w:val="nil"/>
              <w:bottom w:val="nil"/>
              <w:right w:val="nil"/>
            </w:tcBorders>
          </w:tcPr>
          <w:p w14:paraId="64B8368B" w14:textId="3A01BAF1" w:rsidR="00DD02FB" w:rsidRPr="00DD02FB" w:rsidRDefault="00DD02FB" w:rsidP="009E4383">
            <w:pPr>
              <w:spacing w:after="0" w:line="240" w:lineRule="auto"/>
              <w:rPr>
                <w:rFonts w:ascii="Times New Roman" w:eastAsia="Times New Roman" w:hAnsi="Times New Roman" w:cs="Times New Roman"/>
                <w:iCs/>
                <w:color w:val="000000"/>
                <w:lang w:val="en-US"/>
              </w:rPr>
            </w:pPr>
            <w:r w:rsidRPr="00DD02FB">
              <w:rPr>
                <w:rFonts w:ascii="Times New Roman" w:eastAsia="Times New Roman" w:hAnsi="Times New Roman" w:cs="Times New Roman"/>
                <w:iCs/>
                <w:color w:val="000000"/>
                <w:lang w:val="en-US"/>
              </w:rPr>
              <w:t xml:space="preserve">    </w:t>
            </w:r>
            <w:r w:rsidR="009E4383">
              <w:rPr>
                <w:rFonts w:ascii="Times New Roman" w:eastAsia="Times New Roman" w:hAnsi="Times New Roman" w:cs="Times New Roman"/>
                <w:iCs/>
                <w:color w:val="000000"/>
                <w:lang w:val="en-US"/>
              </w:rPr>
              <w:t>GBIND</w:t>
            </w:r>
          </w:p>
        </w:tc>
        <w:tc>
          <w:tcPr>
            <w:tcW w:w="1985" w:type="dxa"/>
            <w:tcBorders>
              <w:top w:val="nil"/>
              <w:left w:val="nil"/>
              <w:bottom w:val="nil"/>
              <w:right w:val="nil"/>
            </w:tcBorders>
          </w:tcPr>
          <w:p w14:paraId="0A114C7D" w14:textId="7EF4EDB6"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0.13(.00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126" w:type="dxa"/>
            <w:tcBorders>
              <w:top w:val="nil"/>
              <w:left w:val="nil"/>
              <w:bottom w:val="nil"/>
              <w:right w:val="nil"/>
            </w:tcBorders>
          </w:tcPr>
          <w:p w14:paraId="54B010A8" w14:textId="31435D4C"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0.07</w:t>
            </w:r>
            <w:r w:rsidR="00E20982">
              <w:rPr>
                <w:rFonts w:ascii="Times New Roman" w:eastAsia="Times New Roman" w:hAnsi="Times New Roman" w:cs="Times New Roman"/>
              </w:rPr>
              <w:t>(.00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409" w:type="dxa"/>
            <w:tcBorders>
              <w:top w:val="nil"/>
              <w:left w:val="nil"/>
              <w:bottom w:val="nil"/>
              <w:right w:val="nil"/>
            </w:tcBorders>
          </w:tcPr>
          <w:p w14:paraId="017BCE2F" w14:textId="08A1E1AF"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0.03(.08</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 xml:space="preserve"> *</w:t>
            </w:r>
          </w:p>
        </w:tc>
      </w:tr>
      <w:tr w:rsidR="00DD02FB" w:rsidRPr="00DD02FB" w14:paraId="3D544054" w14:textId="77777777" w:rsidTr="00C36E29">
        <w:trPr>
          <w:trHeight w:val="87"/>
        </w:trPr>
        <w:tc>
          <w:tcPr>
            <w:tcW w:w="2268" w:type="dxa"/>
            <w:tcBorders>
              <w:top w:val="nil"/>
              <w:left w:val="nil"/>
              <w:bottom w:val="nil"/>
              <w:right w:val="nil"/>
            </w:tcBorders>
          </w:tcPr>
          <w:p w14:paraId="212BE9A6" w14:textId="7FCE3FC4" w:rsidR="00DD02FB" w:rsidRPr="00DD02FB" w:rsidRDefault="00DD02FB" w:rsidP="00601FCB">
            <w:pPr>
              <w:spacing w:after="0" w:line="240" w:lineRule="auto"/>
              <w:rPr>
                <w:rFonts w:ascii="Times New Roman" w:eastAsia="Times New Roman" w:hAnsi="Times New Roman" w:cs="Times New Roman"/>
                <w:color w:val="000000"/>
                <w:lang w:val="en-US"/>
              </w:rPr>
            </w:pPr>
            <w:r w:rsidRPr="00DD02FB">
              <w:rPr>
                <w:rFonts w:ascii="Times New Roman" w:eastAsia="Times New Roman" w:hAnsi="Times New Roman" w:cs="Times New Roman"/>
                <w:color w:val="000000"/>
                <w:lang w:val="en-US"/>
              </w:rPr>
              <w:t xml:space="preserve">    G</w:t>
            </w:r>
            <w:r w:rsidR="009E4383">
              <w:rPr>
                <w:rFonts w:ascii="Times New Roman" w:eastAsia="Times New Roman" w:hAnsi="Times New Roman" w:cs="Times New Roman"/>
                <w:color w:val="000000"/>
                <w:lang w:val="en-US"/>
              </w:rPr>
              <w:t>B</w:t>
            </w:r>
            <w:r w:rsidRPr="00DD02FB">
              <w:rPr>
                <w:rFonts w:ascii="Times New Roman" w:eastAsia="Times New Roman" w:hAnsi="Times New Roman" w:cs="Times New Roman"/>
                <w:color w:val="000000"/>
                <w:lang w:val="en-US"/>
              </w:rPr>
              <w:t>M</w:t>
            </w:r>
            <w:r w:rsidR="009E4383">
              <w:rPr>
                <w:rFonts w:ascii="Times New Roman" w:eastAsia="Times New Roman" w:hAnsi="Times New Roman" w:cs="Times New Roman"/>
                <w:color w:val="000000"/>
                <w:lang w:val="en-US"/>
              </w:rPr>
              <w:t>T</w:t>
            </w:r>
          </w:p>
        </w:tc>
        <w:tc>
          <w:tcPr>
            <w:tcW w:w="1985" w:type="dxa"/>
            <w:tcBorders>
              <w:top w:val="nil"/>
              <w:left w:val="nil"/>
              <w:bottom w:val="nil"/>
              <w:right w:val="nil"/>
            </w:tcBorders>
          </w:tcPr>
          <w:p w14:paraId="2CAF59EF" w14:textId="180A56A0"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0.05(.00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126" w:type="dxa"/>
            <w:tcBorders>
              <w:top w:val="nil"/>
              <w:left w:val="nil"/>
              <w:bottom w:val="nil"/>
              <w:right w:val="nil"/>
            </w:tcBorders>
          </w:tcPr>
          <w:p w14:paraId="5E19EB18" w14:textId="122BD8AE"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0.02</w:t>
            </w:r>
            <w:r w:rsidR="00E20982">
              <w:rPr>
                <w:rFonts w:ascii="Times New Roman" w:eastAsia="Times New Roman" w:hAnsi="Times New Roman" w:cs="Times New Roman"/>
              </w:rPr>
              <w:t>(.00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409" w:type="dxa"/>
            <w:tcBorders>
              <w:top w:val="nil"/>
              <w:left w:val="nil"/>
              <w:bottom w:val="nil"/>
              <w:right w:val="nil"/>
            </w:tcBorders>
          </w:tcPr>
          <w:p w14:paraId="235CE1EF" w14:textId="633AC419"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0.01(.26</w:t>
            </w:r>
            <w:r w:rsidR="00DD02FB" w:rsidRPr="00DD02FB">
              <w:rPr>
                <w:rFonts w:ascii="Times New Roman" w:eastAsia="Times New Roman" w:hAnsi="Times New Roman" w:cs="Times New Roman"/>
              </w:rPr>
              <w:t>)</w:t>
            </w:r>
          </w:p>
        </w:tc>
      </w:tr>
      <w:tr w:rsidR="00DD02FB" w:rsidRPr="00DD02FB" w14:paraId="612E227A" w14:textId="77777777" w:rsidTr="00C36E29">
        <w:trPr>
          <w:trHeight w:val="87"/>
        </w:trPr>
        <w:tc>
          <w:tcPr>
            <w:tcW w:w="8790" w:type="dxa"/>
            <w:gridSpan w:val="4"/>
            <w:tcBorders>
              <w:top w:val="nil"/>
              <w:left w:val="nil"/>
              <w:bottom w:val="nil"/>
              <w:right w:val="nil"/>
            </w:tcBorders>
          </w:tcPr>
          <w:p w14:paraId="270F36C2" w14:textId="77777777" w:rsidR="00DD02FB" w:rsidRPr="00DD02FB" w:rsidRDefault="00DD02FB" w:rsidP="00C36E29">
            <w:pPr>
              <w:spacing w:after="0"/>
              <w:rPr>
                <w:rFonts w:ascii="Times New Roman" w:eastAsia="Times New Roman" w:hAnsi="Times New Roman" w:cs="Times New Roman"/>
                <w:i/>
                <w:iCs/>
              </w:rPr>
            </w:pPr>
          </w:p>
          <w:p w14:paraId="0DB483BA" w14:textId="3399AE85" w:rsidR="00DD02FB" w:rsidRPr="00DD02FB" w:rsidRDefault="00DD02FB" w:rsidP="00C36E29">
            <w:pPr>
              <w:spacing w:after="0"/>
              <w:rPr>
                <w:rFonts w:ascii="Times New Roman" w:eastAsia="Times New Roman" w:hAnsi="Times New Roman" w:cs="Times New Roman"/>
              </w:rPr>
            </w:pPr>
            <w:r w:rsidRPr="00DD02FB">
              <w:rPr>
                <w:rFonts w:ascii="Times New Roman" w:eastAsia="Times New Roman" w:hAnsi="Times New Roman" w:cs="Times New Roman"/>
                <w:i/>
                <w:iCs/>
              </w:rPr>
              <w:t>Controls</w:t>
            </w:r>
          </w:p>
        </w:tc>
      </w:tr>
      <w:tr w:rsidR="00FD07E4" w:rsidRPr="00DD02FB" w14:paraId="20A746E2" w14:textId="77777777" w:rsidTr="00C36E29">
        <w:trPr>
          <w:trHeight w:val="87"/>
        </w:trPr>
        <w:tc>
          <w:tcPr>
            <w:tcW w:w="2268" w:type="dxa"/>
            <w:tcBorders>
              <w:top w:val="nil"/>
              <w:left w:val="nil"/>
              <w:bottom w:val="nil"/>
              <w:right w:val="nil"/>
            </w:tcBorders>
          </w:tcPr>
          <w:p w14:paraId="530B855A" w14:textId="3B0570ED" w:rsidR="00FD07E4" w:rsidRPr="00DD02FB" w:rsidRDefault="00FD07E4" w:rsidP="00462406">
            <w:pPr>
              <w:spacing w:after="0" w:line="240" w:lineRule="auto"/>
              <w:rPr>
                <w:rFonts w:ascii="Times New Roman" w:eastAsia="Times New Roman" w:hAnsi="Times New Roman" w:cs="Times New Roman"/>
                <w:iCs/>
                <w:color w:val="000000"/>
                <w:lang w:val="en-US"/>
              </w:rPr>
            </w:pPr>
            <w:r w:rsidRPr="00DD02FB">
              <w:rPr>
                <w:rFonts w:ascii="Times New Roman" w:eastAsia="Times New Roman" w:hAnsi="Times New Roman" w:cs="Times New Roman"/>
                <w:iCs/>
                <w:color w:val="000000"/>
                <w:lang w:val="en-US"/>
              </w:rPr>
              <w:t xml:space="preserve">    G</w:t>
            </w:r>
            <w:r w:rsidR="009E4383">
              <w:rPr>
                <w:rFonts w:ascii="Times New Roman" w:eastAsia="Times New Roman" w:hAnsi="Times New Roman" w:cs="Times New Roman"/>
                <w:iCs/>
                <w:color w:val="000000"/>
                <w:lang w:val="en-US"/>
              </w:rPr>
              <w:t>B</w:t>
            </w:r>
            <w:r w:rsidRPr="00DD02FB">
              <w:rPr>
                <w:rFonts w:ascii="Times New Roman" w:eastAsia="Times New Roman" w:hAnsi="Times New Roman" w:cs="Times New Roman"/>
                <w:iCs/>
                <w:color w:val="000000"/>
                <w:lang w:val="en-US"/>
              </w:rPr>
              <w:t>Z</w:t>
            </w:r>
            <w:r w:rsidR="009E4383">
              <w:rPr>
                <w:rFonts w:ascii="Times New Roman" w:eastAsia="Times New Roman" w:hAnsi="Times New Roman" w:cs="Times New Roman"/>
                <w:iCs/>
                <w:color w:val="000000"/>
                <w:lang w:val="en-US"/>
              </w:rPr>
              <w:t>E</w:t>
            </w:r>
          </w:p>
        </w:tc>
        <w:tc>
          <w:tcPr>
            <w:tcW w:w="1985" w:type="dxa"/>
            <w:tcBorders>
              <w:top w:val="nil"/>
              <w:left w:val="nil"/>
              <w:bottom w:val="nil"/>
              <w:right w:val="nil"/>
            </w:tcBorders>
          </w:tcPr>
          <w:p w14:paraId="7C07B278" w14:textId="1C4AE287" w:rsidR="00FD07E4"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-0.01(.77</w:t>
            </w:r>
            <w:r w:rsidR="00FD07E4" w:rsidRPr="00DD02FB">
              <w:rPr>
                <w:rFonts w:ascii="Times New Roman" w:eastAsia="Times New Roman" w:hAnsi="Times New Roman" w:cs="Times New Roman"/>
              </w:rPr>
              <w:t>)</w:t>
            </w:r>
          </w:p>
        </w:tc>
        <w:tc>
          <w:tcPr>
            <w:tcW w:w="2126" w:type="dxa"/>
            <w:tcBorders>
              <w:top w:val="nil"/>
              <w:left w:val="nil"/>
              <w:bottom w:val="nil"/>
              <w:right w:val="nil"/>
            </w:tcBorders>
          </w:tcPr>
          <w:p w14:paraId="4E56B18F" w14:textId="38473980" w:rsidR="00FD07E4" w:rsidRPr="00DD02FB" w:rsidRDefault="00E20982" w:rsidP="00E20982">
            <w:pPr>
              <w:spacing w:after="0"/>
              <w:rPr>
                <w:rFonts w:ascii="Times New Roman" w:eastAsia="Times New Roman" w:hAnsi="Times New Roman" w:cs="Times New Roman"/>
                <w:vertAlign w:val="superscript"/>
              </w:rPr>
            </w:pPr>
            <w:r>
              <w:rPr>
                <w:rFonts w:ascii="Times New Roman" w:eastAsia="Times New Roman" w:hAnsi="Times New Roman" w:cs="Times New Roman"/>
              </w:rPr>
              <w:t>-0.02(.34</w:t>
            </w:r>
            <w:r w:rsidR="00FD07E4" w:rsidRPr="00DD02FB">
              <w:rPr>
                <w:rFonts w:ascii="Times New Roman" w:eastAsia="Times New Roman" w:hAnsi="Times New Roman" w:cs="Times New Roman"/>
              </w:rPr>
              <w:t>)</w:t>
            </w:r>
            <w:r w:rsidR="00FD07E4" w:rsidRPr="00DD02FB">
              <w:rPr>
                <w:rFonts w:ascii="Times New Roman" w:eastAsia="Times New Roman" w:hAnsi="Times New Roman" w:cs="Times New Roman"/>
                <w:vertAlign w:val="superscript"/>
              </w:rPr>
              <w:t>**</w:t>
            </w:r>
          </w:p>
        </w:tc>
        <w:tc>
          <w:tcPr>
            <w:tcW w:w="2409" w:type="dxa"/>
            <w:tcBorders>
              <w:top w:val="nil"/>
              <w:left w:val="nil"/>
              <w:bottom w:val="nil"/>
              <w:right w:val="nil"/>
            </w:tcBorders>
          </w:tcPr>
          <w:p w14:paraId="6EE6A079" w14:textId="180C083C" w:rsidR="00FD07E4" w:rsidRPr="00DD02FB" w:rsidRDefault="00FD07E4" w:rsidP="00C36E29">
            <w:pPr>
              <w:spacing w:after="0"/>
              <w:rPr>
                <w:rFonts w:ascii="Times New Roman" w:eastAsia="Times New Roman" w:hAnsi="Times New Roman" w:cs="Times New Roman"/>
              </w:rPr>
            </w:pPr>
            <w:r w:rsidRPr="00DD02FB">
              <w:rPr>
                <w:rFonts w:ascii="Times New Roman" w:eastAsia="Times New Roman" w:hAnsi="Times New Roman" w:cs="Times New Roman"/>
              </w:rPr>
              <w:t>0</w:t>
            </w:r>
            <w:r w:rsidR="00E20982">
              <w:rPr>
                <w:rFonts w:ascii="Times New Roman" w:eastAsia="Times New Roman" w:hAnsi="Times New Roman" w:cs="Times New Roman"/>
              </w:rPr>
              <w:t>.01(.11</w:t>
            </w:r>
            <w:r w:rsidRPr="00DD02FB">
              <w:rPr>
                <w:rFonts w:ascii="Times New Roman" w:eastAsia="Times New Roman" w:hAnsi="Times New Roman" w:cs="Times New Roman"/>
              </w:rPr>
              <w:t>)</w:t>
            </w:r>
          </w:p>
        </w:tc>
      </w:tr>
      <w:tr w:rsidR="00FD07E4" w:rsidRPr="00DD02FB" w14:paraId="00A26C2A" w14:textId="77777777" w:rsidTr="00C36E29">
        <w:trPr>
          <w:trHeight w:val="87"/>
        </w:trPr>
        <w:tc>
          <w:tcPr>
            <w:tcW w:w="2268" w:type="dxa"/>
            <w:tcBorders>
              <w:top w:val="nil"/>
              <w:left w:val="nil"/>
              <w:bottom w:val="nil"/>
              <w:right w:val="nil"/>
            </w:tcBorders>
          </w:tcPr>
          <w:p w14:paraId="359DFC09" w14:textId="42790C69" w:rsidR="00FD07E4" w:rsidRPr="00DD02FB" w:rsidRDefault="00FD07E4" w:rsidP="00462406">
            <w:pPr>
              <w:spacing w:after="0" w:line="240" w:lineRule="auto"/>
              <w:rPr>
                <w:rFonts w:ascii="Times New Roman" w:eastAsia="Times New Roman" w:hAnsi="Times New Roman" w:cs="Times New Roman"/>
                <w:color w:val="000000"/>
                <w:lang w:val="en-US"/>
              </w:rPr>
            </w:pPr>
            <w:r w:rsidRPr="00DD02FB">
              <w:rPr>
                <w:rFonts w:ascii="Times New Roman" w:eastAsia="Times New Roman" w:hAnsi="Times New Roman" w:cs="Times New Roman"/>
                <w:color w:val="000000"/>
                <w:lang w:val="en-US"/>
              </w:rPr>
              <w:t xml:space="preserve">    A</w:t>
            </w:r>
            <w:r w:rsidR="009E4383">
              <w:rPr>
                <w:rFonts w:ascii="Times New Roman" w:eastAsia="Times New Roman" w:hAnsi="Times New Roman" w:cs="Times New Roman"/>
                <w:color w:val="000000"/>
                <w:lang w:val="en-US"/>
              </w:rPr>
              <w:t>F</w:t>
            </w:r>
            <w:r w:rsidRPr="00DD02FB">
              <w:rPr>
                <w:rFonts w:ascii="Times New Roman" w:eastAsia="Times New Roman" w:hAnsi="Times New Roman" w:cs="Times New Roman"/>
                <w:color w:val="000000"/>
                <w:lang w:val="en-US"/>
              </w:rPr>
              <w:t>Z</w:t>
            </w:r>
            <w:r w:rsidR="009E4383">
              <w:rPr>
                <w:rFonts w:ascii="Times New Roman" w:eastAsia="Times New Roman" w:hAnsi="Times New Roman" w:cs="Times New Roman"/>
                <w:color w:val="000000"/>
                <w:lang w:val="en-US"/>
              </w:rPr>
              <w:t>E</w:t>
            </w:r>
          </w:p>
        </w:tc>
        <w:tc>
          <w:tcPr>
            <w:tcW w:w="1985" w:type="dxa"/>
            <w:tcBorders>
              <w:top w:val="nil"/>
              <w:left w:val="nil"/>
              <w:bottom w:val="nil"/>
              <w:right w:val="nil"/>
            </w:tcBorders>
          </w:tcPr>
          <w:p w14:paraId="08DAAF3A" w14:textId="55321212" w:rsidR="00FD07E4"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-0.04(.00</w:t>
            </w:r>
            <w:r w:rsidR="00FD07E4" w:rsidRPr="00DD02FB">
              <w:rPr>
                <w:rFonts w:ascii="Times New Roman" w:eastAsia="Times New Roman" w:hAnsi="Times New Roman" w:cs="Times New Roman"/>
              </w:rPr>
              <w:t>)</w:t>
            </w:r>
            <w:r w:rsidR="00FD07E4" w:rsidRPr="00DD02FB">
              <w:rPr>
                <w:rFonts w:ascii="Times New Roman" w:eastAsia="Times New Roman" w:hAnsi="Times New Roman" w:cs="Times New Roman"/>
                <w:vertAlign w:val="superscript"/>
              </w:rPr>
              <w:t>***</w:t>
            </w:r>
          </w:p>
        </w:tc>
        <w:tc>
          <w:tcPr>
            <w:tcW w:w="2126" w:type="dxa"/>
            <w:tcBorders>
              <w:top w:val="nil"/>
              <w:left w:val="nil"/>
              <w:bottom w:val="nil"/>
              <w:right w:val="nil"/>
            </w:tcBorders>
          </w:tcPr>
          <w:p w14:paraId="48810243" w14:textId="0AA1A24E" w:rsidR="00FD07E4" w:rsidRPr="00DD02FB" w:rsidRDefault="00E20982"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-0.08(.00</w:t>
            </w:r>
            <w:r w:rsidR="00FD07E4" w:rsidRPr="00DD02FB">
              <w:rPr>
                <w:rFonts w:ascii="Times New Roman" w:eastAsia="Times New Roman" w:hAnsi="Times New Roman" w:cs="Times New Roman"/>
              </w:rPr>
              <w:t>)</w:t>
            </w:r>
            <w:r w:rsidR="00FD07E4" w:rsidRPr="00DD02FB">
              <w:rPr>
                <w:rFonts w:ascii="Times New Roman" w:eastAsia="Times New Roman" w:hAnsi="Times New Roman" w:cs="Times New Roman"/>
                <w:vertAlign w:val="superscript"/>
              </w:rPr>
              <w:t>***</w:t>
            </w:r>
          </w:p>
        </w:tc>
        <w:tc>
          <w:tcPr>
            <w:tcW w:w="2409" w:type="dxa"/>
            <w:tcBorders>
              <w:top w:val="nil"/>
              <w:left w:val="nil"/>
              <w:bottom w:val="nil"/>
              <w:right w:val="nil"/>
            </w:tcBorders>
          </w:tcPr>
          <w:p w14:paraId="1840950A" w14:textId="16E7739F" w:rsidR="00FD07E4"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-0.02(.02</w:t>
            </w:r>
            <w:r w:rsidR="00FD07E4" w:rsidRPr="00DD02FB">
              <w:rPr>
                <w:rFonts w:ascii="Times New Roman" w:eastAsia="Times New Roman" w:hAnsi="Times New Roman" w:cs="Times New Roman"/>
              </w:rPr>
              <w:t>)</w:t>
            </w:r>
            <w:r w:rsidR="00FD07E4" w:rsidRPr="00DD02FB">
              <w:rPr>
                <w:rFonts w:ascii="Times New Roman" w:eastAsia="Times New Roman" w:hAnsi="Times New Roman" w:cs="Times New Roman"/>
                <w:vertAlign w:val="superscript"/>
              </w:rPr>
              <w:t xml:space="preserve"> **</w:t>
            </w:r>
          </w:p>
        </w:tc>
      </w:tr>
      <w:tr w:rsidR="00DD02FB" w:rsidRPr="00DD02FB" w14:paraId="4BC94C90" w14:textId="77777777" w:rsidTr="00C36E29">
        <w:trPr>
          <w:trHeight w:val="87"/>
        </w:trPr>
        <w:tc>
          <w:tcPr>
            <w:tcW w:w="2268" w:type="dxa"/>
            <w:tcBorders>
              <w:top w:val="nil"/>
              <w:left w:val="nil"/>
              <w:bottom w:val="nil"/>
              <w:right w:val="nil"/>
            </w:tcBorders>
          </w:tcPr>
          <w:p w14:paraId="41ED8D18" w14:textId="449B47DA" w:rsidR="00DD02FB" w:rsidRPr="00DD02FB" w:rsidRDefault="00DD02FB" w:rsidP="009E4383">
            <w:pPr>
              <w:spacing w:after="0" w:line="240" w:lineRule="auto"/>
              <w:rPr>
                <w:rFonts w:ascii="Times New Roman" w:eastAsia="Times New Roman" w:hAnsi="Times New Roman" w:cs="Times New Roman"/>
                <w:color w:val="000000"/>
                <w:lang w:val="en-US"/>
              </w:rPr>
            </w:pPr>
            <w:r w:rsidRPr="00DD02FB">
              <w:rPr>
                <w:rFonts w:ascii="Times New Roman" w:eastAsia="Times New Roman" w:hAnsi="Times New Roman" w:cs="Times New Roman"/>
                <w:color w:val="000000"/>
                <w:lang w:val="en-US"/>
              </w:rPr>
              <w:t xml:space="preserve">    </w:t>
            </w:r>
            <w:r w:rsidR="009E4383">
              <w:rPr>
                <w:rFonts w:ascii="Times New Roman" w:eastAsia="Times New Roman" w:hAnsi="Times New Roman" w:cs="Times New Roman"/>
                <w:color w:val="000000"/>
                <w:lang w:val="en-US"/>
              </w:rPr>
              <w:t>HEIAGE</w:t>
            </w:r>
          </w:p>
        </w:tc>
        <w:tc>
          <w:tcPr>
            <w:tcW w:w="1985" w:type="dxa"/>
            <w:tcBorders>
              <w:top w:val="nil"/>
              <w:left w:val="nil"/>
              <w:bottom w:val="nil"/>
              <w:right w:val="nil"/>
            </w:tcBorders>
          </w:tcPr>
          <w:p w14:paraId="514AA557" w14:textId="66EB8550"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0.01(.04</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126" w:type="dxa"/>
            <w:tcBorders>
              <w:top w:val="nil"/>
              <w:left w:val="nil"/>
              <w:bottom w:val="nil"/>
              <w:right w:val="nil"/>
            </w:tcBorders>
          </w:tcPr>
          <w:p w14:paraId="37B5C95B" w14:textId="00369311" w:rsidR="00DD02FB" w:rsidRPr="00DD02FB" w:rsidRDefault="00E20982"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0.04(.00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409" w:type="dxa"/>
            <w:tcBorders>
              <w:top w:val="nil"/>
              <w:left w:val="nil"/>
              <w:bottom w:val="nil"/>
              <w:right w:val="nil"/>
            </w:tcBorders>
          </w:tcPr>
          <w:p w14:paraId="53FA7E3A" w14:textId="6FE9DF7C"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0.00(.77</w:t>
            </w:r>
            <w:r w:rsidR="00DD02FB" w:rsidRPr="00DD02FB">
              <w:rPr>
                <w:rFonts w:ascii="Times New Roman" w:eastAsia="Times New Roman" w:hAnsi="Times New Roman" w:cs="Times New Roman"/>
              </w:rPr>
              <w:t>)</w:t>
            </w:r>
          </w:p>
        </w:tc>
      </w:tr>
      <w:tr w:rsidR="00DD02FB" w:rsidRPr="00DD02FB" w14:paraId="1E59D037" w14:textId="77777777" w:rsidTr="00C36E29">
        <w:trPr>
          <w:trHeight w:val="87"/>
        </w:trPr>
        <w:tc>
          <w:tcPr>
            <w:tcW w:w="2268" w:type="dxa"/>
            <w:tcBorders>
              <w:top w:val="nil"/>
              <w:left w:val="nil"/>
              <w:bottom w:val="nil"/>
              <w:right w:val="nil"/>
            </w:tcBorders>
          </w:tcPr>
          <w:p w14:paraId="048B13D2" w14:textId="68FE6829" w:rsidR="00DD02FB" w:rsidRPr="00DD02FB" w:rsidRDefault="00DD02FB" w:rsidP="009E4383">
            <w:pPr>
              <w:spacing w:after="0" w:line="240" w:lineRule="auto"/>
              <w:rPr>
                <w:rFonts w:ascii="Times New Roman" w:eastAsia="Times New Roman" w:hAnsi="Times New Roman" w:cs="Times New Roman"/>
                <w:color w:val="000000"/>
                <w:lang w:val="en-US"/>
              </w:rPr>
            </w:pPr>
            <w:r w:rsidRPr="00DD02FB">
              <w:rPr>
                <w:rFonts w:ascii="Times New Roman" w:eastAsia="Times New Roman" w:hAnsi="Times New Roman" w:cs="Times New Roman"/>
                <w:color w:val="000000"/>
                <w:lang w:val="en-US"/>
              </w:rPr>
              <w:t xml:space="preserve">    </w:t>
            </w:r>
            <w:r w:rsidR="009E4383">
              <w:rPr>
                <w:rFonts w:ascii="Times New Roman" w:eastAsia="Times New Roman" w:hAnsi="Times New Roman" w:cs="Times New Roman"/>
                <w:color w:val="000000"/>
                <w:lang w:val="en-US"/>
              </w:rPr>
              <w:t>HEIZE</w:t>
            </w:r>
          </w:p>
        </w:tc>
        <w:tc>
          <w:tcPr>
            <w:tcW w:w="1985" w:type="dxa"/>
            <w:tcBorders>
              <w:top w:val="nil"/>
              <w:left w:val="nil"/>
              <w:bottom w:val="nil"/>
              <w:right w:val="nil"/>
            </w:tcBorders>
          </w:tcPr>
          <w:p w14:paraId="66841B28" w14:textId="50948F8C" w:rsidR="00DD02FB" w:rsidRPr="00DD02FB" w:rsidRDefault="00DD02FB" w:rsidP="00C36E29">
            <w:pPr>
              <w:spacing w:after="0"/>
              <w:rPr>
                <w:rFonts w:ascii="Times New Roman" w:eastAsia="Times New Roman" w:hAnsi="Times New Roman" w:cs="Times New Roman"/>
                <w:vertAlign w:val="superscript"/>
              </w:rPr>
            </w:pPr>
            <w:r w:rsidRPr="00DD02FB">
              <w:rPr>
                <w:rFonts w:ascii="Times New Roman" w:eastAsia="Times New Roman" w:hAnsi="Times New Roman" w:cs="Times New Roman"/>
              </w:rPr>
              <w:t>0.01</w:t>
            </w:r>
            <w:r w:rsidR="00646003">
              <w:rPr>
                <w:rFonts w:ascii="Times New Roman" w:eastAsia="Times New Roman" w:hAnsi="Times New Roman" w:cs="Times New Roman"/>
              </w:rPr>
              <w:t>(.00</w:t>
            </w:r>
            <w:r w:rsidRPr="00DD02FB">
              <w:rPr>
                <w:rFonts w:ascii="Times New Roman" w:eastAsia="Times New Roman" w:hAnsi="Times New Roman" w:cs="Times New Roman"/>
              </w:rPr>
              <w:t>)</w:t>
            </w:r>
            <w:r w:rsidRPr="00DD02FB">
              <w:rPr>
                <w:rFonts w:ascii="Times New Roman" w:eastAsia="Times New Roman" w:hAnsi="Times New Roman" w:cs="Times New Roman"/>
                <w:vertAlign w:val="superscript"/>
              </w:rPr>
              <w:t>****</w:t>
            </w:r>
          </w:p>
        </w:tc>
        <w:tc>
          <w:tcPr>
            <w:tcW w:w="2126" w:type="dxa"/>
            <w:tcBorders>
              <w:top w:val="nil"/>
              <w:left w:val="nil"/>
              <w:bottom w:val="nil"/>
              <w:right w:val="nil"/>
            </w:tcBorders>
          </w:tcPr>
          <w:p w14:paraId="7512AC63" w14:textId="3DE57A1C" w:rsidR="00DD02FB" w:rsidRPr="00DD02FB" w:rsidRDefault="00E20982"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0.05(.00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409" w:type="dxa"/>
            <w:tcBorders>
              <w:top w:val="nil"/>
              <w:left w:val="nil"/>
              <w:bottom w:val="nil"/>
              <w:right w:val="nil"/>
            </w:tcBorders>
          </w:tcPr>
          <w:p w14:paraId="686C5084" w14:textId="047EFFE3"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0.01(.01</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 xml:space="preserve"> **</w:t>
            </w:r>
          </w:p>
        </w:tc>
      </w:tr>
      <w:tr w:rsidR="00DD02FB" w:rsidRPr="00DD02FB" w14:paraId="786527D7" w14:textId="77777777" w:rsidTr="00C36E29">
        <w:trPr>
          <w:trHeight w:val="87"/>
        </w:trPr>
        <w:tc>
          <w:tcPr>
            <w:tcW w:w="2268" w:type="dxa"/>
            <w:tcBorders>
              <w:top w:val="nil"/>
              <w:left w:val="nil"/>
              <w:bottom w:val="nil"/>
              <w:right w:val="nil"/>
            </w:tcBorders>
          </w:tcPr>
          <w:p w14:paraId="769595E9" w14:textId="520579BD" w:rsidR="00DD02FB" w:rsidRPr="00DD02FB" w:rsidRDefault="00DD02FB" w:rsidP="009E4383">
            <w:pPr>
              <w:spacing w:after="0" w:line="240" w:lineRule="auto"/>
              <w:rPr>
                <w:rFonts w:ascii="Times New Roman" w:eastAsia="Times New Roman" w:hAnsi="Times New Roman" w:cs="Times New Roman"/>
                <w:color w:val="000000"/>
                <w:lang w:val="en-US"/>
              </w:rPr>
            </w:pPr>
            <w:r w:rsidRPr="00DD02FB">
              <w:rPr>
                <w:rFonts w:ascii="Times New Roman" w:eastAsia="Times New Roman" w:hAnsi="Times New Roman" w:cs="Times New Roman"/>
                <w:color w:val="000000"/>
                <w:lang w:val="en-US"/>
              </w:rPr>
              <w:t xml:space="preserve">    </w:t>
            </w:r>
            <w:r w:rsidR="009E4383">
              <w:rPr>
                <w:rFonts w:ascii="Times New Roman" w:eastAsia="Times New Roman" w:hAnsi="Times New Roman" w:cs="Times New Roman"/>
                <w:color w:val="000000"/>
                <w:lang w:val="en-US"/>
              </w:rPr>
              <w:t>CFUND</w:t>
            </w:r>
          </w:p>
        </w:tc>
        <w:tc>
          <w:tcPr>
            <w:tcW w:w="1985" w:type="dxa"/>
            <w:tcBorders>
              <w:top w:val="nil"/>
              <w:left w:val="nil"/>
              <w:bottom w:val="nil"/>
              <w:right w:val="nil"/>
            </w:tcBorders>
          </w:tcPr>
          <w:p w14:paraId="63A4F3DE" w14:textId="07C24E79"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0.13(.00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126" w:type="dxa"/>
            <w:tcBorders>
              <w:top w:val="nil"/>
              <w:left w:val="nil"/>
              <w:bottom w:val="nil"/>
              <w:right w:val="nil"/>
            </w:tcBorders>
          </w:tcPr>
          <w:p w14:paraId="4A2C7EF6" w14:textId="563A992B" w:rsidR="00DD02FB" w:rsidRPr="00DD02FB" w:rsidRDefault="00E20982"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0.11(.00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409" w:type="dxa"/>
            <w:tcBorders>
              <w:top w:val="nil"/>
              <w:left w:val="nil"/>
              <w:bottom w:val="nil"/>
              <w:right w:val="nil"/>
            </w:tcBorders>
          </w:tcPr>
          <w:p w14:paraId="280F921D" w14:textId="313AFF34"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-0.05(.00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 xml:space="preserve"> ***</w:t>
            </w:r>
          </w:p>
        </w:tc>
      </w:tr>
      <w:tr w:rsidR="00DD02FB" w:rsidRPr="00DD02FB" w14:paraId="173D7D43" w14:textId="77777777" w:rsidTr="00C36E29">
        <w:trPr>
          <w:trHeight w:val="87"/>
        </w:trPr>
        <w:tc>
          <w:tcPr>
            <w:tcW w:w="2268" w:type="dxa"/>
            <w:tcBorders>
              <w:top w:val="nil"/>
              <w:left w:val="nil"/>
              <w:bottom w:val="nil"/>
              <w:right w:val="nil"/>
            </w:tcBorders>
          </w:tcPr>
          <w:p w14:paraId="5BB663FB" w14:textId="204EEFFA" w:rsidR="00DD02FB" w:rsidRPr="00DD02FB" w:rsidRDefault="00DD02FB" w:rsidP="00601FCB">
            <w:pPr>
              <w:spacing w:after="0" w:line="240" w:lineRule="auto"/>
              <w:rPr>
                <w:rFonts w:ascii="Times New Roman" w:eastAsia="Times New Roman" w:hAnsi="Times New Roman" w:cs="Times New Roman"/>
                <w:color w:val="000000"/>
                <w:lang w:val="en-US"/>
              </w:rPr>
            </w:pPr>
            <w:r w:rsidRPr="00DD02FB">
              <w:rPr>
                <w:rFonts w:ascii="Times New Roman" w:eastAsia="Times New Roman" w:hAnsi="Times New Roman" w:cs="Times New Roman"/>
                <w:color w:val="000000"/>
                <w:lang w:val="en-US"/>
              </w:rPr>
              <w:t xml:space="preserve">    P</w:t>
            </w:r>
            <w:r w:rsidR="009E4383">
              <w:rPr>
                <w:rFonts w:ascii="Times New Roman" w:eastAsia="Times New Roman" w:hAnsi="Times New Roman" w:cs="Times New Roman"/>
                <w:color w:val="000000"/>
                <w:lang w:val="en-US"/>
              </w:rPr>
              <w:t>ST</w:t>
            </w:r>
            <w:r w:rsidRPr="00DD02FB">
              <w:rPr>
                <w:rFonts w:ascii="Times New Roman" w:eastAsia="Times New Roman" w:hAnsi="Times New Roman" w:cs="Times New Roman"/>
                <w:color w:val="000000"/>
                <w:lang w:val="en-US"/>
              </w:rPr>
              <w:t>92</w:t>
            </w:r>
          </w:p>
        </w:tc>
        <w:tc>
          <w:tcPr>
            <w:tcW w:w="1985" w:type="dxa"/>
            <w:tcBorders>
              <w:top w:val="nil"/>
              <w:left w:val="nil"/>
              <w:bottom w:val="nil"/>
              <w:right w:val="nil"/>
            </w:tcBorders>
          </w:tcPr>
          <w:p w14:paraId="7F267E34" w14:textId="4DB17B6A"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-0.01(.50</w:t>
            </w:r>
            <w:r w:rsidR="00DD02FB" w:rsidRPr="00DD02FB">
              <w:rPr>
                <w:rFonts w:ascii="Times New Roman" w:eastAsia="Times New Roman" w:hAnsi="Times New Roman" w:cs="Times New Roman"/>
              </w:rPr>
              <w:t>)</w:t>
            </w:r>
          </w:p>
        </w:tc>
        <w:tc>
          <w:tcPr>
            <w:tcW w:w="2126" w:type="dxa"/>
            <w:tcBorders>
              <w:top w:val="nil"/>
              <w:left w:val="nil"/>
              <w:bottom w:val="nil"/>
              <w:right w:val="nil"/>
            </w:tcBorders>
          </w:tcPr>
          <w:p w14:paraId="02C491EC" w14:textId="461A920C" w:rsidR="00DD02FB" w:rsidRPr="00DD02FB" w:rsidRDefault="00E20982"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-0.02(.07</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409" w:type="dxa"/>
            <w:tcBorders>
              <w:top w:val="nil"/>
              <w:left w:val="nil"/>
              <w:bottom w:val="nil"/>
              <w:right w:val="nil"/>
            </w:tcBorders>
          </w:tcPr>
          <w:p w14:paraId="4A1EB61E" w14:textId="332F379F"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-0.03(.00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 xml:space="preserve"> ***</w:t>
            </w:r>
          </w:p>
        </w:tc>
      </w:tr>
      <w:tr w:rsidR="00DD02FB" w:rsidRPr="00DD02FB" w14:paraId="438EB11F" w14:textId="77777777" w:rsidTr="00C36E29">
        <w:trPr>
          <w:trHeight w:val="87"/>
        </w:trPr>
        <w:tc>
          <w:tcPr>
            <w:tcW w:w="2268" w:type="dxa"/>
            <w:tcBorders>
              <w:top w:val="nil"/>
              <w:left w:val="nil"/>
              <w:bottom w:val="nil"/>
              <w:right w:val="nil"/>
            </w:tcBorders>
          </w:tcPr>
          <w:p w14:paraId="2CFB2E16" w14:textId="0821C387" w:rsidR="00DD02FB" w:rsidRPr="00DD02FB" w:rsidRDefault="00DD02FB" w:rsidP="00601FCB">
            <w:pPr>
              <w:spacing w:after="0" w:line="240" w:lineRule="auto"/>
              <w:rPr>
                <w:rFonts w:ascii="Times New Roman" w:eastAsia="Times New Roman" w:hAnsi="Times New Roman" w:cs="Times New Roman"/>
                <w:color w:val="000000"/>
                <w:lang w:val="en-US"/>
              </w:rPr>
            </w:pPr>
            <w:r w:rsidRPr="00DD02FB">
              <w:rPr>
                <w:rFonts w:ascii="Times New Roman" w:eastAsia="Times New Roman" w:hAnsi="Times New Roman" w:cs="Times New Roman"/>
                <w:color w:val="000000"/>
                <w:lang w:val="en-US"/>
              </w:rPr>
              <w:t xml:space="preserve">    R</w:t>
            </w:r>
            <w:r w:rsidR="009E4383">
              <w:rPr>
                <w:rFonts w:ascii="Times New Roman" w:eastAsia="Times New Roman" w:hAnsi="Times New Roman" w:cs="Times New Roman"/>
                <w:color w:val="000000"/>
                <w:lang w:val="en-US"/>
              </w:rPr>
              <w:t>US</w:t>
            </w:r>
            <w:r w:rsidRPr="00DD02FB">
              <w:rPr>
                <w:rFonts w:ascii="Times New Roman" w:eastAsia="Times New Roman" w:hAnsi="Times New Roman" w:cs="Times New Roman"/>
                <w:color w:val="000000"/>
                <w:lang w:val="en-US"/>
              </w:rPr>
              <w:t>G</w:t>
            </w:r>
          </w:p>
        </w:tc>
        <w:tc>
          <w:tcPr>
            <w:tcW w:w="1985" w:type="dxa"/>
            <w:tcBorders>
              <w:top w:val="nil"/>
              <w:left w:val="nil"/>
              <w:bottom w:val="nil"/>
              <w:right w:val="nil"/>
            </w:tcBorders>
          </w:tcPr>
          <w:p w14:paraId="3B23C50E" w14:textId="220B3DA0"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-0.03(.00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126" w:type="dxa"/>
            <w:tcBorders>
              <w:top w:val="nil"/>
              <w:left w:val="nil"/>
              <w:bottom w:val="nil"/>
              <w:right w:val="nil"/>
            </w:tcBorders>
          </w:tcPr>
          <w:p w14:paraId="664B735D" w14:textId="71610E2D" w:rsidR="00DD02FB" w:rsidRPr="00DD02FB" w:rsidRDefault="00E20982"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-0.10(.00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409" w:type="dxa"/>
            <w:tcBorders>
              <w:top w:val="nil"/>
              <w:left w:val="nil"/>
              <w:bottom w:val="nil"/>
              <w:right w:val="nil"/>
            </w:tcBorders>
          </w:tcPr>
          <w:p w14:paraId="7795A959" w14:textId="0EEE5DA6"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0.01(.61</w:t>
            </w:r>
            <w:r w:rsidR="00DD02FB" w:rsidRPr="00DD02FB">
              <w:rPr>
                <w:rFonts w:ascii="Times New Roman" w:eastAsia="Times New Roman" w:hAnsi="Times New Roman" w:cs="Times New Roman"/>
              </w:rPr>
              <w:t>)</w:t>
            </w:r>
          </w:p>
        </w:tc>
      </w:tr>
      <w:tr w:rsidR="00DD02FB" w:rsidRPr="00DD02FB" w14:paraId="2AD2BAB7" w14:textId="77777777" w:rsidTr="00C36E29">
        <w:trPr>
          <w:trHeight w:val="87"/>
        </w:trPr>
        <w:tc>
          <w:tcPr>
            <w:tcW w:w="2268" w:type="dxa"/>
            <w:tcBorders>
              <w:top w:val="nil"/>
              <w:left w:val="nil"/>
              <w:bottom w:val="nil"/>
              <w:right w:val="nil"/>
            </w:tcBorders>
          </w:tcPr>
          <w:p w14:paraId="542DBA6B" w14:textId="4BF7523A" w:rsidR="00DD02FB" w:rsidRPr="00DD02FB" w:rsidRDefault="00DD02FB" w:rsidP="00601FCB">
            <w:pPr>
              <w:spacing w:after="0" w:line="240" w:lineRule="auto"/>
              <w:rPr>
                <w:rFonts w:ascii="Times New Roman" w:eastAsia="Times New Roman" w:hAnsi="Times New Roman" w:cs="Times New Roman"/>
                <w:color w:val="000000"/>
                <w:lang w:val="en-US"/>
              </w:rPr>
            </w:pPr>
            <w:r w:rsidRPr="00DD02FB">
              <w:rPr>
                <w:rFonts w:ascii="Times New Roman" w:eastAsia="Times New Roman" w:hAnsi="Times New Roman" w:cs="Times New Roman"/>
                <w:color w:val="000000"/>
                <w:lang w:val="en-US"/>
              </w:rPr>
              <w:t xml:space="preserve">    LQ</w:t>
            </w:r>
            <w:r w:rsidR="009E4383">
              <w:rPr>
                <w:rFonts w:ascii="Times New Roman" w:eastAsia="Times New Roman" w:hAnsi="Times New Roman" w:cs="Times New Roman"/>
                <w:color w:val="000000"/>
                <w:lang w:val="en-US"/>
              </w:rPr>
              <w:t>UD</w:t>
            </w:r>
          </w:p>
        </w:tc>
        <w:tc>
          <w:tcPr>
            <w:tcW w:w="1985" w:type="dxa"/>
            <w:tcBorders>
              <w:top w:val="nil"/>
              <w:left w:val="nil"/>
              <w:bottom w:val="nil"/>
              <w:right w:val="nil"/>
            </w:tcBorders>
          </w:tcPr>
          <w:p w14:paraId="795571A3" w14:textId="56C97B4E" w:rsidR="00DD02FB" w:rsidRPr="00DD02FB" w:rsidRDefault="00646003" w:rsidP="00C36E29">
            <w:pPr>
              <w:spacing w:after="0"/>
              <w:rPr>
                <w:rFonts w:ascii="Times New Roman" w:eastAsia="Times New Roman" w:hAnsi="Times New Roman" w:cs="Times New Roman"/>
              </w:rPr>
            </w:pPr>
            <w:r>
              <w:rPr>
                <w:rFonts w:ascii="Times New Roman" w:eastAsia="Times New Roman" w:hAnsi="Times New Roman" w:cs="Times New Roman"/>
              </w:rPr>
              <w:t>0.03(.64</w:t>
            </w:r>
            <w:r w:rsidR="00DD02FB" w:rsidRPr="00DD02FB">
              <w:rPr>
                <w:rFonts w:ascii="Times New Roman" w:eastAsia="Times New Roman" w:hAnsi="Times New Roman" w:cs="Times New Roman"/>
              </w:rPr>
              <w:t>)</w:t>
            </w:r>
          </w:p>
        </w:tc>
        <w:tc>
          <w:tcPr>
            <w:tcW w:w="2126" w:type="dxa"/>
            <w:tcBorders>
              <w:top w:val="nil"/>
              <w:left w:val="nil"/>
              <w:bottom w:val="nil"/>
              <w:right w:val="nil"/>
            </w:tcBorders>
          </w:tcPr>
          <w:p w14:paraId="5DF56117" w14:textId="6B768451" w:rsidR="00DD02FB" w:rsidRPr="00DD02FB" w:rsidRDefault="00E20982"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0.04(.36</w:t>
            </w:r>
            <w:r w:rsidR="00DD02FB" w:rsidRPr="00DD02FB">
              <w:rPr>
                <w:rFonts w:ascii="Times New Roman" w:eastAsia="Times New Roman" w:hAnsi="Times New Roman" w:cs="Times New Roman"/>
              </w:rPr>
              <w:t>)</w:t>
            </w:r>
          </w:p>
        </w:tc>
        <w:tc>
          <w:tcPr>
            <w:tcW w:w="2409" w:type="dxa"/>
            <w:tcBorders>
              <w:top w:val="nil"/>
              <w:left w:val="nil"/>
              <w:bottom w:val="nil"/>
              <w:right w:val="nil"/>
            </w:tcBorders>
          </w:tcPr>
          <w:p w14:paraId="299A9855" w14:textId="781CDC6A"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0.16(.00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 xml:space="preserve"> ***</w:t>
            </w:r>
          </w:p>
        </w:tc>
      </w:tr>
      <w:tr w:rsidR="00DD02FB" w:rsidRPr="00DD02FB" w14:paraId="65498142" w14:textId="77777777" w:rsidTr="00C36E29">
        <w:trPr>
          <w:trHeight w:val="87"/>
        </w:trPr>
        <w:tc>
          <w:tcPr>
            <w:tcW w:w="2268" w:type="dxa"/>
            <w:tcBorders>
              <w:top w:val="nil"/>
              <w:left w:val="nil"/>
              <w:bottom w:val="nil"/>
              <w:right w:val="nil"/>
            </w:tcBorders>
          </w:tcPr>
          <w:p w14:paraId="7151BD0B" w14:textId="322A2067" w:rsidR="00DD02FB" w:rsidRPr="00DD02FB" w:rsidRDefault="00DD02FB" w:rsidP="00601FCB">
            <w:pPr>
              <w:spacing w:after="0" w:line="240" w:lineRule="auto"/>
              <w:rPr>
                <w:rFonts w:ascii="Times New Roman" w:eastAsia="Times New Roman" w:hAnsi="Times New Roman" w:cs="Times New Roman"/>
                <w:color w:val="000000"/>
                <w:lang w:val="en-US"/>
              </w:rPr>
            </w:pPr>
            <w:r w:rsidRPr="00DD02FB">
              <w:rPr>
                <w:rFonts w:ascii="Times New Roman" w:eastAsia="Times New Roman" w:hAnsi="Times New Roman" w:cs="Times New Roman"/>
                <w:color w:val="000000"/>
                <w:lang w:val="en-US"/>
              </w:rPr>
              <w:t xml:space="preserve">    C</w:t>
            </w:r>
            <w:r w:rsidR="009E4383">
              <w:rPr>
                <w:rFonts w:ascii="Times New Roman" w:eastAsia="Times New Roman" w:hAnsi="Times New Roman" w:cs="Times New Roman"/>
                <w:color w:val="000000"/>
                <w:lang w:val="en-US"/>
              </w:rPr>
              <w:t>PE</w:t>
            </w:r>
            <w:r w:rsidRPr="00DD02FB">
              <w:rPr>
                <w:rFonts w:ascii="Times New Roman" w:eastAsia="Times New Roman" w:hAnsi="Times New Roman" w:cs="Times New Roman"/>
                <w:color w:val="000000"/>
                <w:lang w:val="en-US"/>
              </w:rPr>
              <w:t>X</w:t>
            </w:r>
          </w:p>
        </w:tc>
        <w:tc>
          <w:tcPr>
            <w:tcW w:w="1985" w:type="dxa"/>
            <w:tcBorders>
              <w:top w:val="nil"/>
              <w:left w:val="nil"/>
              <w:bottom w:val="nil"/>
              <w:right w:val="nil"/>
            </w:tcBorders>
          </w:tcPr>
          <w:p w14:paraId="67CE4289" w14:textId="57D20D12"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-0.04(.10</w:t>
            </w:r>
            <w:r w:rsidR="00DD02FB" w:rsidRPr="00DD02FB">
              <w:rPr>
                <w:rFonts w:ascii="Times New Roman" w:eastAsia="Times New Roman" w:hAnsi="Times New Roman" w:cs="Times New Roman"/>
              </w:rPr>
              <w:t>)</w:t>
            </w:r>
          </w:p>
        </w:tc>
        <w:tc>
          <w:tcPr>
            <w:tcW w:w="2126" w:type="dxa"/>
            <w:tcBorders>
              <w:top w:val="nil"/>
              <w:left w:val="nil"/>
              <w:bottom w:val="nil"/>
              <w:right w:val="nil"/>
            </w:tcBorders>
          </w:tcPr>
          <w:p w14:paraId="6EDB5F34" w14:textId="308DF231" w:rsidR="00DD02FB" w:rsidRPr="00DD02FB" w:rsidRDefault="00E20982"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-0.05(.0.04</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w:t>
            </w:r>
          </w:p>
        </w:tc>
        <w:tc>
          <w:tcPr>
            <w:tcW w:w="2409" w:type="dxa"/>
            <w:tcBorders>
              <w:top w:val="nil"/>
              <w:left w:val="nil"/>
              <w:bottom w:val="nil"/>
              <w:right w:val="nil"/>
            </w:tcBorders>
          </w:tcPr>
          <w:p w14:paraId="70E03B22" w14:textId="63A7ECFB"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-0.05(.00</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 xml:space="preserve"> ***</w:t>
            </w:r>
          </w:p>
        </w:tc>
      </w:tr>
      <w:tr w:rsidR="00DD02FB" w:rsidRPr="00DD02FB" w14:paraId="17919EB2" w14:textId="77777777" w:rsidTr="00C36E29">
        <w:trPr>
          <w:trHeight w:val="87"/>
        </w:trPr>
        <w:tc>
          <w:tcPr>
            <w:tcW w:w="2268" w:type="dxa"/>
            <w:tcBorders>
              <w:top w:val="nil"/>
              <w:left w:val="nil"/>
              <w:bottom w:val="nil"/>
              <w:right w:val="nil"/>
            </w:tcBorders>
          </w:tcPr>
          <w:p w14:paraId="4FF0AF32" w14:textId="78C6D033" w:rsidR="00DD02FB" w:rsidRPr="00DD02FB" w:rsidRDefault="00DD02FB" w:rsidP="00601FCB">
            <w:pPr>
              <w:spacing w:after="0" w:line="240" w:lineRule="auto"/>
              <w:rPr>
                <w:rFonts w:ascii="Times New Roman" w:eastAsia="Times New Roman" w:hAnsi="Times New Roman" w:cs="Times New Roman"/>
                <w:color w:val="000000"/>
                <w:lang w:val="en-US"/>
              </w:rPr>
            </w:pPr>
            <w:r w:rsidRPr="00DD02FB">
              <w:rPr>
                <w:rFonts w:ascii="Times New Roman" w:eastAsia="Times New Roman" w:hAnsi="Times New Roman" w:cs="Times New Roman"/>
                <w:color w:val="000000"/>
                <w:lang w:val="en-US"/>
              </w:rPr>
              <w:t xml:space="preserve">    L</w:t>
            </w:r>
            <w:r w:rsidR="009E4383">
              <w:rPr>
                <w:rFonts w:ascii="Times New Roman" w:eastAsia="Times New Roman" w:hAnsi="Times New Roman" w:cs="Times New Roman"/>
                <w:color w:val="000000"/>
                <w:lang w:val="en-US"/>
              </w:rPr>
              <w:t>E</w:t>
            </w:r>
            <w:r w:rsidRPr="00DD02FB">
              <w:rPr>
                <w:rFonts w:ascii="Times New Roman" w:eastAsia="Times New Roman" w:hAnsi="Times New Roman" w:cs="Times New Roman"/>
                <w:color w:val="000000"/>
                <w:lang w:val="en-US"/>
              </w:rPr>
              <w:t>V</w:t>
            </w:r>
            <w:r w:rsidR="009E4383">
              <w:rPr>
                <w:rFonts w:ascii="Times New Roman" w:eastAsia="Times New Roman" w:hAnsi="Times New Roman" w:cs="Times New Roman"/>
                <w:color w:val="000000"/>
                <w:lang w:val="en-US"/>
              </w:rPr>
              <w:t>R</w:t>
            </w:r>
          </w:p>
        </w:tc>
        <w:tc>
          <w:tcPr>
            <w:tcW w:w="1985" w:type="dxa"/>
            <w:tcBorders>
              <w:top w:val="nil"/>
              <w:left w:val="nil"/>
              <w:bottom w:val="nil"/>
              <w:right w:val="nil"/>
            </w:tcBorders>
          </w:tcPr>
          <w:p w14:paraId="5F7DF26B" w14:textId="6FEFB84B"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-0.04(.25</w:t>
            </w:r>
            <w:r w:rsidR="00DD02FB" w:rsidRPr="00DD02FB">
              <w:rPr>
                <w:rFonts w:ascii="Times New Roman" w:eastAsia="Times New Roman" w:hAnsi="Times New Roman" w:cs="Times New Roman"/>
              </w:rPr>
              <w:t>)</w:t>
            </w:r>
          </w:p>
        </w:tc>
        <w:tc>
          <w:tcPr>
            <w:tcW w:w="2126" w:type="dxa"/>
            <w:tcBorders>
              <w:top w:val="nil"/>
              <w:left w:val="nil"/>
              <w:bottom w:val="nil"/>
              <w:right w:val="nil"/>
            </w:tcBorders>
          </w:tcPr>
          <w:p w14:paraId="7DC9EA3A" w14:textId="277A2201"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-0.03(.27</w:t>
            </w:r>
            <w:r w:rsidR="00DD02FB" w:rsidRPr="00DD02FB">
              <w:rPr>
                <w:rFonts w:ascii="Times New Roman" w:eastAsia="Times New Roman" w:hAnsi="Times New Roman" w:cs="Times New Roman"/>
              </w:rPr>
              <w:t>)</w:t>
            </w:r>
          </w:p>
        </w:tc>
        <w:tc>
          <w:tcPr>
            <w:tcW w:w="2409" w:type="dxa"/>
            <w:tcBorders>
              <w:top w:val="nil"/>
              <w:left w:val="nil"/>
              <w:bottom w:val="nil"/>
              <w:right w:val="nil"/>
            </w:tcBorders>
          </w:tcPr>
          <w:p w14:paraId="462BC0D6" w14:textId="0DBB339B"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0.00(.95</w:t>
            </w:r>
            <w:r w:rsidR="00DD02FB" w:rsidRPr="00DD02FB">
              <w:rPr>
                <w:rFonts w:ascii="Times New Roman" w:eastAsia="Times New Roman" w:hAnsi="Times New Roman" w:cs="Times New Roman"/>
              </w:rPr>
              <w:t>)</w:t>
            </w:r>
          </w:p>
        </w:tc>
      </w:tr>
      <w:tr w:rsidR="00DD02FB" w:rsidRPr="00DD02FB" w14:paraId="78CA4609" w14:textId="77777777" w:rsidTr="00C36E29">
        <w:trPr>
          <w:trHeight w:val="87"/>
        </w:trPr>
        <w:tc>
          <w:tcPr>
            <w:tcW w:w="2268" w:type="dxa"/>
            <w:tcBorders>
              <w:top w:val="nil"/>
              <w:left w:val="nil"/>
              <w:bottom w:val="nil"/>
              <w:right w:val="nil"/>
            </w:tcBorders>
          </w:tcPr>
          <w:p w14:paraId="4881DB0B" w14:textId="0D45E1B0" w:rsidR="00DD02FB" w:rsidRPr="00DD02FB" w:rsidRDefault="00DD02FB" w:rsidP="00601FCB">
            <w:pPr>
              <w:spacing w:after="0" w:line="240" w:lineRule="auto"/>
              <w:rPr>
                <w:rFonts w:ascii="Times New Roman" w:eastAsia="Times New Roman" w:hAnsi="Times New Roman" w:cs="Times New Roman"/>
                <w:color w:val="000000"/>
                <w:lang w:val="en-US"/>
              </w:rPr>
            </w:pPr>
            <w:r w:rsidRPr="00DD02FB">
              <w:rPr>
                <w:rFonts w:ascii="Times New Roman" w:eastAsia="Times New Roman" w:hAnsi="Times New Roman" w:cs="Times New Roman"/>
                <w:color w:val="000000"/>
                <w:lang w:val="en-US"/>
              </w:rPr>
              <w:t xml:space="preserve">    GR</w:t>
            </w:r>
            <w:r w:rsidR="009E4383">
              <w:rPr>
                <w:rFonts w:ascii="Times New Roman" w:eastAsia="Times New Roman" w:hAnsi="Times New Roman" w:cs="Times New Roman"/>
                <w:color w:val="000000"/>
                <w:lang w:val="en-US"/>
              </w:rPr>
              <w:t>TH</w:t>
            </w:r>
          </w:p>
        </w:tc>
        <w:tc>
          <w:tcPr>
            <w:tcW w:w="1985" w:type="dxa"/>
            <w:tcBorders>
              <w:top w:val="nil"/>
              <w:left w:val="nil"/>
              <w:bottom w:val="nil"/>
              <w:right w:val="nil"/>
            </w:tcBorders>
          </w:tcPr>
          <w:p w14:paraId="38BD20AB" w14:textId="4FF6D21A" w:rsidR="00DD02FB" w:rsidRPr="00DD02FB" w:rsidRDefault="00646003" w:rsidP="00C36E29">
            <w:pPr>
              <w:spacing w:after="0"/>
              <w:rPr>
                <w:rFonts w:ascii="Times New Roman" w:eastAsia="Times New Roman" w:hAnsi="Times New Roman" w:cs="Times New Roman"/>
              </w:rPr>
            </w:pPr>
            <w:r>
              <w:rPr>
                <w:rFonts w:ascii="Times New Roman" w:eastAsia="Times New Roman" w:hAnsi="Times New Roman" w:cs="Times New Roman"/>
              </w:rPr>
              <w:t>0.01(.90</w:t>
            </w:r>
            <w:r w:rsidR="00DD02FB" w:rsidRPr="00DD02FB">
              <w:rPr>
                <w:rFonts w:ascii="Times New Roman" w:eastAsia="Times New Roman" w:hAnsi="Times New Roman" w:cs="Times New Roman"/>
              </w:rPr>
              <w:t>)</w:t>
            </w:r>
          </w:p>
        </w:tc>
        <w:tc>
          <w:tcPr>
            <w:tcW w:w="2126" w:type="dxa"/>
            <w:tcBorders>
              <w:top w:val="nil"/>
              <w:left w:val="nil"/>
              <w:bottom w:val="nil"/>
              <w:right w:val="nil"/>
            </w:tcBorders>
          </w:tcPr>
          <w:p w14:paraId="4A9B1AA2" w14:textId="490E1CF3" w:rsidR="00DD02FB" w:rsidRPr="00DD02FB" w:rsidRDefault="00E20982"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0.05(.20</w:t>
            </w:r>
            <w:r w:rsidR="00DD02FB" w:rsidRPr="00DD02FB">
              <w:rPr>
                <w:rFonts w:ascii="Times New Roman" w:eastAsia="Times New Roman" w:hAnsi="Times New Roman" w:cs="Times New Roman"/>
              </w:rPr>
              <w:t>)</w:t>
            </w:r>
          </w:p>
        </w:tc>
        <w:tc>
          <w:tcPr>
            <w:tcW w:w="2409" w:type="dxa"/>
            <w:tcBorders>
              <w:top w:val="nil"/>
              <w:left w:val="nil"/>
              <w:bottom w:val="nil"/>
              <w:right w:val="nil"/>
            </w:tcBorders>
          </w:tcPr>
          <w:p w14:paraId="3B59A2E0" w14:textId="47F88C43"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-0.01(.62</w:t>
            </w:r>
            <w:r w:rsidR="00DD02FB" w:rsidRPr="00DD02FB">
              <w:rPr>
                <w:rFonts w:ascii="Times New Roman" w:eastAsia="Times New Roman" w:hAnsi="Times New Roman" w:cs="Times New Roman"/>
              </w:rPr>
              <w:t>)</w:t>
            </w:r>
          </w:p>
        </w:tc>
      </w:tr>
      <w:tr w:rsidR="00DD02FB" w:rsidRPr="00DD02FB" w14:paraId="60FAF556" w14:textId="77777777" w:rsidTr="00C36E29">
        <w:trPr>
          <w:trHeight w:val="87"/>
        </w:trPr>
        <w:tc>
          <w:tcPr>
            <w:tcW w:w="2268" w:type="dxa"/>
            <w:tcBorders>
              <w:top w:val="nil"/>
              <w:left w:val="nil"/>
              <w:bottom w:val="nil"/>
              <w:right w:val="nil"/>
            </w:tcBorders>
          </w:tcPr>
          <w:p w14:paraId="02EDBF3C" w14:textId="77FCBA18" w:rsidR="00DD02FB" w:rsidRPr="00DD02FB" w:rsidRDefault="00DD02FB" w:rsidP="00601FCB">
            <w:pPr>
              <w:spacing w:after="0" w:line="240" w:lineRule="auto"/>
              <w:rPr>
                <w:rFonts w:ascii="Times New Roman" w:eastAsia="Times New Roman" w:hAnsi="Times New Roman" w:cs="Times New Roman"/>
                <w:color w:val="000000"/>
                <w:lang w:val="en-US"/>
              </w:rPr>
            </w:pPr>
            <w:r w:rsidRPr="00DD02FB">
              <w:rPr>
                <w:rFonts w:ascii="Times New Roman" w:eastAsia="Times New Roman" w:hAnsi="Times New Roman" w:cs="Times New Roman"/>
                <w:color w:val="000000"/>
                <w:lang w:val="en-US"/>
              </w:rPr>
              <w:t xml:space="preserve">    R</w:t>
            </w:r>
            <w:r w:rsidR="009E4383">
              <w:rPr>
                <w:rFonts w:ascii="Times New Roman" w:eastAsia="Times New Roman" w:hAnsi="Times New Roman" w:cs="Times New Roman"/>
                <w:color w:val="000000"/>
                <w:lang w:val="en-US"/>
              </w:rPr>
              <w:t>IS</w:t>
            </w:r>
            <w:r w:rsidRPr="00DD02FB">
              <w:rPr>
                <w:rFonts w:ascii="Times New Roman" w:eastAsia="Times New Roman" w:hAnsi="Times New Roman" w:cs="Times New Roman"/>
                <w:color w:val="000000"/>
                <w:lang w:val="en-US"/>
              </w:rPr>
              <w:t>K</w:t>
            </w:r>
          </w:p>
        </w:tc>
        <w:tc>
          <w:tcPr>
            <w:tcW w:w="1985" w:type="dxa"/>
            <w:tcBorders>
              <w:top w:val="nil"/>
              <w:left w:val="nil"/>
              <w:bottom w:val="nil"/>
              <w:right w:val="nil"/>
            </w:tcBorders>
          </w:tcPr>
          <w:p w14:paraId="75CE0CED" w14:textId="11FFE459" w:rsidR="00DD02FB" w:rsidRPr="00DD02FB" w:rsidRDefault="00646003" w:rsidP="00C36E29">
            <w:pPr>
              <w:spacing w:after="0"/>
              <w:rPr>
                <w:rFonts w:ascii="Times New Roman" w:eastAsia="Times New Roman" w:hAnsi="Times New Roman" w:cs="Times New Roman"/>
              </w:rPr>
            </w:pPr>
            <w:r>
              <w:rPr>
                <w:rFonts w:ascii="Times New Roman" w:eastAsia="Times New Roman" w:hAnsi="Times New Roman" w:cs="Times New Roman"/>
              </w:rPr>
              <w:t>0.40(.18</w:t>
            </w:r>
            <w:r w:rsidR="00DD02FB" w:rsidRPr="00DD02FB">
              <w:rPr>
                <w:rFonts w:ascii="Times New Roman" w:eastAsia="Times New Roman" w:hAnsi="Times New Roman" w:cs="Times New Roman"/>
              </w:rPr>
              <w:t>)</w:t>
            </w:r>
          </w:p>
        </w:tc>
        <w:tc>
          <w:tcPr>
            <w:tcW w:w="2126" w:type="dxa"/>
            <w:tcBorders>
              <w:top w:val="nil"/>
              <w:left w:val="nil"/>
              <w:bottom w:val="nil"/>
              <w:right w:val="nil"/>
            </w:tcBorders>
          </w:tcPr>
          <w:p w14:paraId="7CD2DFC6" w14:textId="2ECB5915"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0.15(.34</w:t>
            </w:r>
            <w:r w:rsidR="00DD02FB" w:rsidRPr="00DD02FB">
              <w:rPr>
                <w:rFonts w:ascii="Times New Roman" w:eastAsia="Times New Roman" w:hAnsi="Times New Roman" w:cs="Times New Roman"/>
              </w:rPr>
              <w:t>)</w:t>
            </w:r>
          </w:p>
        </w:tc>
        <w:tc>
          <w:tcPr>
            <w:tcW w:w="2409" w:type="dxa"/>
            <w:tcBorders>
              <w:top w:val="nil"/>
              <w:left w:val="nil"/>
              <w:bottom w:val="nil"/>
              <w:right w:val="nil"/>
            </w:tcBorders>
          </w:tcPr>
          <w:p w14:paraId="40DFB3A1" w14:textId="73942C60"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0.15(.30</w:t>
            </w:r>
            <w:r w:rsidR="00DD02FB" w:rsidRPr="00DD02FB">
              <w:rPr>
                <w:rFonts w:ascii="Times New Roman" w:eastAsia="Times New Roman" w:hAnsi="Times New Roman" w:cs="Times New Roman"/>
              </w:rPr>
              <w:t>)</w:t>
            </w:r>
          </w:p>
        </w:tc>
      </w:tr>
      <w:tr w:rsidR="00DD02FB" w:rsidRPr="00DD02FB" w14:paraId="75E41A33" w14:textId="77777777" w:rsidTr="00C36E29">
        <w:trPr>
          <w:trHeight w:val="87"/>
        </w:trPr>
        <w:tc>
          <w:tcPr>
            <w:tcW w:w="2268" w:type="dxa"/>
            <w:tcBorders>
              <w:top w:val="nil"/>
              <w:left w:val="nil"/>
              <w:bottom w:val="nil"/>
              <w:right w:val="nil"/>
            </w:tcBorders>
          </w:tcPr>
          <w:p w14:paraId="16A2D9E2" w14:textId="77777777" w:rsidR="00DD02FB" w:rsidRPr="00DD02FB" w:rsidRDefault="00DD02FB" w:rsidP="00601FCB">
            <w:pPr>
              <w:spacing w:after="0" w:line="240" w:lineRule="auto"/>
              <w:rPr>
                <w:rFonts w:ascii="Times New Roman" w:eastAsia="Times New Roman" w:hAnsi="Times New Roman" w:cs="Times New Roman"/>
                <w:color w:val="000000"/>
                <w:lang w:val="en-US"/>
              </w:rPr>
            </w:pPr>
            <w:r w:rsidRPr="00DD02FB">
              <w:rPr>
                <w:rFonts w:ascii="Times New Roman" w:eastAsia="Times New Roman" w:hAnsi="Times New Roman" w:cs="Times New Roman"/>
                <w:color w:val="000000"/>
                <w:lang w:val="en-US"/>
              </w:rPr>
              <w:t>Lagged-HEGI</w:t>
            </w:r>
          </w:p>
        </w:tc>
        <w:tc>
          <w:tcPr>
            <w:tcW w:w="1985" w:type="dxa"/>
            <w:tcBorders>
              <w:top w:val="nil"/>
              <w:left w:val="nil"/>
              <w:bottom w:val="nil"/>
              <w:right w:val="nil"/>
            </w:tcBorders>
          </w:tcPr>
          <w:p w14:paraId="008D6D53" w14:textId="6595788E" w:rsidR="00DD02FB" w:rsidRPr="00DD02FB" w:rsidRDefault="00C36E29" w:rsidP="00C36E29">
            <w:pPr>
              <w:spacing w:after="0"/>
              <w:rPr>
                <w:rFonts w:ascii="Times New Roman" w:eastAsia="Times New Roman" w:hAnsi="Times New Roman" w:cs="Times New Roman"/>
              </w:rPr>
            </w:pPr>
            <w:r>
              <w:rPr>
                <w:rFonts w:ascii="Times New Roman" w:eastAsia="Times New Roman" w:hAnsi="Times New Roman" w:cs="Times New Roman"/>
              </w:rPr>
              <w:t>-</w:t>
            </w:r>
          </w:p>
        </w:tc>
        <w:tc>
          <w:tcPr>
            <w:tcW w:w="2126" w:type="dxa"/>
            <w:tcBorders>
              <w:top w:val="nil"/>
              <w:left w:val="nil"/>
              <w:bottom w:val="nil"/>
              <w:right w:val="nil"/>
            </w:tcBorders>
          </w:tcPr>
          <w:p w14:paraId="4CA7C1CC" w14:textId="056941A7" w:rsidR="00DD02FB" w:rsidRPr="00DD02FB" w:rsidRDefault="00C36E29" w:rsidP="00C36E29">
            <w:pPr>
              <w:spacing w:after="0"/>
              <w:rPr>
                <w:rFonts w:ascii="Times New Roman" w:eastAsia="Times New Roman" w:hAnsi="Times New Roman" w:cs="Times New Roman"/>
              </w:rPr>
            </w:pPr>
            <w:r>
              <w:rPr>
                <w:rFonts w:ascii="Times New Roman" w:eastAsia="Times New Roman" w:hAnsi="Times New Roman" w:cs="Times New Roman"/>
              </w:rPr>
              <w:t>-</w:t>
            </w:r>
          </w:p>
        </w:tc>
        <w:tc>
          <w:tcPr>
            <w:tcW w:w="2409" w:type="dxa"/>
            <w:tcBorders>
              <w:top w:val="nil"/>
              <w:left w:val="nil"/>
              <w:bottom w:val="nil"/>
              <w:right w:val="nil"/>
            </w:tcBorders>
          </w:tcPr>
          <w:p w14:paraId="5AC2953D" w14:textId="2AC14753"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0.73(.00</w:t>
            </w:r>
            <w:r w:rsidR="00DD02FB" w:rsidRPr="00DD02FB">
              <w:rPr>
                <w:rFonts w:ascii="Times New Roman" w:eastAsia="Times New Roman" w:hAnsi="Times New Roman" w:cs="Times New Roman"/>
              </w:rPr>
              <w:t>)</w:t>
            </w:r>
            <w:r w:rsidR="00DD02FB" w:rsidRPr="00DD02FB">
              <w:t xml:space="preserve"> </w:t>
            </w:r>
            <w:r w:rsidR="00DD02FB" w:rsidRPr="00DD02FB">
              <w:rPr>
                <w:rFonts w:ascii="Times New Roman" w:eastAsia="Times New Roman" w:hAnsi="Times New Roman" w:cs="Times New Roman"/>
                <w:vertAlign w:val="superscript"/>
              </w:rPr>
              <w:t>***</w:t>
            </w:r>
          </w:p>
        </w:tc>
      </w:tr>
      <w:tr w:rsidR="00DD02FB" w:rsidRPr="00DD02FB" w14:paraId="07588E67" w14:textId="77777777" w:rsidTr="00C36E29">
        <w:tc>
          <w:tcPr>
            <w:tcW w:w="2268" w:type="dxa"/>
            <w:tcBorders>
              <w:top w:val="nil"/>
              <w:left w:val="nil"/>
              <w:bottom w:val="nil"/>
              <w:right w:val="nil"/>
            </w:tcBorders>
          </w:tcPr>
          <w:p w14:paraId="4ACE1CF3" w14:textId="77777777" w:rsidR="00DD02FB" w:rsidRPr="00DD02FB" w:rsidRDefault="00DD02FB" w:rsidP="00601FCB">
            <w:pPr>
              <w:spacing w:after="0"/>
              <w:rPr>
                <w:rFonts w:ascii="Times New Roman" w:eastAsia="SimSun" w:hAnsi="Times New Roman" w:cs="Times New Roman"/>
                <w:color w:val="000000"/>
                <w:lang w:val="en-US"/>
              </w:rPr>
            </w:pPr>
            <w:r w:rsidRPr="00DD02FB">
              <w:rPr>
                <w:rFonts w:ascii="Times New Roman" w:eastAsia="SimSun" w:hAnsi="Times New Roman" w:cs="Times New Roman"/>
                <w:color w:val="000000"/>
                <w:lang w:val="en-US"/>
              </w:rPr>
              <w:t>Constant</w:t>
            </w:r>
          </w:p>
        </w:tc>
        <w:tc>
          <w:tcPr>
            <w:tcW w:w="1985" w:type="dxa"/>
            <w:tcBorders>
              <w:top w:val="nil"/>
              <w:left w:val="nil"/>
              <w:bottom w:val="nil"/>
              <w:right w:val="nil"/>
            </w:tcBorders>
          </w:tcPr>
          <w:p w14:paraId="60396B05" w14:textId="0CA1B90C"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0.44</w:t>
            </w:r>
            <w:r w:rsidR="00DD02FB" w:rsidRPr="00DD02FB">
              <w:rPr>
                <w:rFonts w:ascii="Times New Roman" w:eastAsia="Times New Roman" w:hAnsi="Times New Roman" w:cs="Times New Roman"/>
                <w:vertAlign w:val="superscript"/>
              </w:rPr>
              <w:t>*</w:t>
            </w:r>
          </w:p>
        </w:tc>
        <w:tc>
          <w:tcPr>
            <w:tcW w:w="2126" w:type="dxa"/>
            <w:tcBorders>
              <w:top w:val="nil"/>
              <w:left w:val="nil"/>
              <w:bottom w:val="nil"/>
              <w:right w:val="nil"/>
            </w:tcBorders>
          </w:tcPr>
          <w:p w14:paraId="15CB895E" w14:textId="28B9A9D0"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-0.08</w:t>
            </w:r>
          </w:p>
        </w:tc>
        <w:tc>
          <w:tcPr>
            <w:tcW w:w="2409" w:type="dxa"/>
            <w:tcBorders>
              <w:top w:val="nil"/>
              <w:left w:val="nil"/>
              <w:bottom w:val="nil"/>
              <w:right w:val="nil"/>
            </w:tcBorders>
          </w:tcPr>
          <w:p w14:paraId="3C6199DD" w14:textId="49E8553F"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0.30(.04</w:t>
            </w:r>
            <w:r w:rsidR="00DD02FB" w:rsidRPr="00DD02FB">
              <w:rPr>
                <w:rFonts w:ascii="Times New Roman" w:eastAsia="Times New Roman" w:hAnsi="Times New Roman" w:cs="Times New Roman"/>
              </w:rPr>
              <w:t>)</w:t>
            </w:r>
            <w:r w:rsidR="00DD02FB" w:rsidRPr="00DD02FB">
              <w:rPr>
                <w:rFonts w:ascii="Times New Roman" w:eastAsia="Times New Roman" w:hAnsi="Times New Roman" w:cs="Times New Roman"/>
                <w:vertAlign w:val="superscript"/>
              </w:rPr>
              <w:t xml:space="preserve"> **</w:t>
            </w:r>
          </w:p>
        </w:tc>
      </w:tr>
      <w:tr w:rsidR="00DD02FB" w:rsidRPr="00DD02FB" w14:paraId="691160D1" w14:textId="77777777" w:rsidTr="00C36E29">
        <w:tc>
          <w:tcPr>
            <w:tcW w:w="2268" w:type="dxa"/>
            <w:tcBorders>
              <w:top w:val="nil"/>
              <w:left w:val="nil"/>
              <w:bottom w:val="nil"/>
              <w:right w:val="nil"/>
            </w:tcBorders>
          </w:tcPr>
          <w:p w14:paraId="6B5BB419" w14:textId="26DE3C6B" w:rsidR="00DD02FB" w:rsidRPr="00DD02FB" w:rsidRDefault="00DD02FB" w:rsidP="00D857EB">
            <w:pPr>
              <w:spacing w:after="0"/>
              <w:rPr>
                <w:rFonts w:ascii="Times New Roman" w:eastAsia="SimSun" w:hAnsi="Times New Roman" w:cs="Times New Roman"/>
                <w:color w:val="000000"/>
                <w:lang w:val="en-US"/>
              </w:rPr>
            </w:pPr>
            <w:r w:rsidRPr="00DD02FB">
              <w:rPr>
                <w:rFonts w:ascii="Times New Roman" w:eastAsia="SimSun" w:hAnsi="Times New Roman" w:cs="Times New Roman"/>
                <w:color w:val="000000"/>
                <w:lang w:val="en-US"/>
              </w:rPr>
              <w:t>Dur-W</w:t>
            </w:r>
            <w:r w:rsidR="00D857EB">
              <w:rPr>
                <w:rFonts w:ascii="Times New Roman" w:eastAsia="SimSun" w:hAnsi="Times New Roman" w:cs="Times New Roman"/>
                <w:color w:val="000000"/>
                <w:lang w:val="en-US"/>
              </w:rPr>
              <w:t>at</w:t>
            </w:r>
            <w:r w:rsidRPr="00DD02FB">
              <w:rPr>
                <w:rFonts w:ascii="Times New Roman" w:eastAsia="SimSun" w:hAnsi="Times New Roman" w:cs="Times New Roman"/>
                <w:color w:val="000000"/>
                <w:lang w:val="en-US"/>
              </w:rPr>
              <w:t>.</w:t>
            </w:r>
          </w:p>
        </w:tc>
        <w:tc>
          <w:tcPr>
            <w:tcW w:w="1985" w:type="dxa"/>
            <w:tcBorders>
              <w:top w:val="nil"/>
              <w:left w:val="nil"/>
              <w:bottom w:val="nil"/>
              <w:right w:val="nil"/>
            </w:tcBorders>
          </w:tcPr>
          <w:p w14:paraId="38190324" w14:textId="376CD4A4" w:rsidR="00DD02FB" w:rsidRPr="00DD02FB" w:rsidRDefault="00646003" w:rsidP="00C36E29">
            <w:pPr>
              <w:spacing w:after="0"/>
              <w:rPr>
                <w:rFonts w:ascii="Times New Roman" w:eastAsia="Times New Roman" w:hAnsi="Times New Roman" w:cs="Times New Roman"/>
              </w:rPr>
            </w:pPr>
            <w:r>
              <w:rPr>
                <w:rFonts w:ascii="Times New Roman" w:eastAsia="Times New Roman" w:hAnsi="Times New Roman" w:cs="Times New Roman"/>
              </w:rPr>
              <w:t>1.92</w:t>
            </w:r>
          </w:p>
        </w:tc>
        <w:tc>
          <w:tcPr>
            <w:tcW w:w="2126" w:type="dxa"/>
            <w:tcBorders>
              <w:top w:val="nil"/>
              <w:left w:val="nil"/>
              <w:bottom w:val="nil"/>
              <w:right w:val="nil"/>
            </w:tcBorders>
          </w:tcPr>
          <w:p w14:paraId="329A50D3" w14:textId="32DE5783" w:rsidR="00DD02FB" w:rsidRPr="00DD02FB" w:rsidRDefault="00ED0F0E" w:rsidP="00C36E29">
            <w:pPr>
              <w:spacing w:after="0"/>
              <w:rPr>
                <w:rFonts w:ascii="Times New Roman" w:eastAsia="Times New Roman" w:hAnsi="Times New Roman" w:cs="Times New Roman"/>
              </w:rPr>
            </w:pPr>
            <w:r>
              <w:rPr>
                <w:rFonts w:ascii="Times New Roman" w:eastAsia="Times New Roman" w:hAnsi="Times New Roman" w:cs="Times New Roman"/>
              </w:rPr>
              <w:t xml:space="preserve">  </w:t>
            </w:r>
            <w:r w:rsidR="00E20982">
              <w:rPr>
                <w:rFonts w:ascii="Times New Roman" w:eastAsia="Times New Roman" w:hAnsi="Times New Roman" w:cs="Times New Roman"/>
              </w:rPr>
              <w:t>1.85</w:t>
            </w:r>
          </w:p>
        </w:tc>
        <w:tc>
          <w:tcPr>
            <w:tcW w:w="2409" w:type="dxa"/>
            <w:tcBorders>
              <w:top w:val="nil"/>
              <w:left w:val="nil"/>
              <w:bottom w:val="nil"/>
              <w:right w:val="nil"/>
            </w:tcBorders>
          </w:tcPr>
          <w:p w14:paraId="651B72D6" w14:textId="064DBEA5" w:rsidR="00DD02FB" w:rsidRPr="00DD02FB" w:rsidRDefault="00C36E29" w:rsidP="00C36E29">
            <w:pPr>
              <w:spacing w:after="0"/>
              <w:rPr>
                <w:rFonts w:ascii="Times New Roman" w:eastAsia="Times New Roman" w:hAnsi="Times New Roman" w:cs="Times New Roman"/>
              </w:rPr>
            </w:pPr>
            <w:r>
              <w:rPr>
                <w:rFonts w:ascii="Times New Roman" w:eastAsia="Times New Roman" w:hAnsi="Times New Roman" w:cs="Times New Roman"/>
              </w:rPr>
              <w:t>-</w:t>
            </w:r>
          </w:p>
        </w:tc>
      </w:tr>
      <w:tr w:rsidR="00DD02FB" w:rsidRPr="00DD02FB" w14:paraId="4972DB60" w14:textId="77777777" w:rsidTr="00C36E29">
        <w:tc>
          <w:tcPr>
            <w:tcW w:w="2268" w:type="dxa"/>
            <w:tcBorders>
              <w:top w:val="nil"/>
              <w:left w:val="nil"/>
              <w:bottom w:val="nil"/>
              <w:right w:val="nil"/>
            </w:tcBorders>
          </w:tcPr>
          <w:p w14:paraId="5ABC3367" w14:textId="77777777" w:rsidR="00DD02FB" w:rsidRPr="00DD02FB" w:rsidRDefault="00DD02FB" w:rsidP="00601FCB">
            <w:pPr>
              <w:spacing w:after="0"/>
              <w:rPr>
                <w:rFonts w:ascii="Times New Roman" w:eastAsia="SimSun" w:hAnsi="Times New Roman" w:cs="Times New Roman"/>
                <w:i/>
                <w:iCs/>
                <w:color w:val="000000"/>
                <w:lang w:val="en-US"/>
              </w:rPr>
            </w:pPr>
            <w:r w:rsidRPr="00DD02FB">
              <w:rPr>
                <w:rFonts w:ascii="Times New Roman" w:eastAsia="SimSun" w:hAnsi="Times New Roman" w:cs="Times New Roman"/>
                <w:i/>
                <w:iCs/>
                <w:color w:val="000000"/>
                <w:lang w:val="en-US"/>
              </w:rPr>
              <w:t>F</w:t>
            </w:r>
            <w:r w:rsidRPr="00DD02FB">
              <w:rPr>
                <w:rFonts w:ascii="Times New Roman" w:eastAsia="SimSun" w:hAnsi="Times New Roman" w:cs="Times New Roman"/>
                <w:color w:val="000000"/>
                <w:lang w:val="en-US"/>
              </w:rPr>
              <w:t>- value</w:t>
            </w:r>
          </w:p>
        </w:tc>
        <w:tc>
          <w:tcPr>
            <w:tcW w:w="1985" w:type="dxa"/>
            <w:tcBorders>
              <w:top w:val="nil"/>
              <w:left w:val="nil"/>
              <w:bottom w:val="nil"/>
              <w:right w:val="nil"/>
            </w:tcBorders>
          </w:tcPr>
          <w:p w14:paraId="010CCB77" w14:textId="58604A12" w:rsidR="00DD02FB" w:rsidRPr="00DD02FB" w:rsidRDefault="00646003"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5.36</w:t>
            </w:r>
            <w:r w:rsidR="00DD02FB" w:rsidRPr="00DD02FB">
              <w:rPr>
                <w:rFonts w:ascii="Times New Roman" w:eastAsia="Times New Roman" w:hAnsi="Times New Roman" w:cs="Times New Roman"/>
                <w:vertAlign w:val="superscript"/>
              </w:rPr>
              <w:t>***</w:t>
            </w:r>
          </w:p>
        </w:tc>
        <w:tc>
          <w:tcPr>
            <w:tcW w:w="2126" w:type="dxa"/>
            <w:tcBorders>
              <w:top w:val="nil"/>
              <w:left w:val="nil"/>
              <w:bottom w:val="nil"/>
              <w:right w:val="nil"/>
            </w:tcBorders>
          </w:tcPr>
          <w:p w14:paraId="62E64DEC" w14:textId="39529CA7" w:rsidR="00DD02FB" w:rsidRPr="00DD02FB" w:rsidRDefault="00E20982" w:rsidP="00C36E29">
            <w:pPr>
              <w:spacing w:after="0"/>
              <w:rPr>
                <w:rFonts w:ascii="Times New Roman" w:eastAsia="Times New Roman" w:hAnsi="Times New Roman" w:cs="Times New Roman"/>
                <w:vertAlign w:val="superscript"/>
              </w:rPr>
            </w:pPr>
            <w:r>
              <w:rPr>
                <w:rFonts w:ascii="Times New Roman" w:eastAsia="Times New Roman" w:hAnsi="Times New Roman" w:cs="Times New Roman"/>
              </w:rPr>
              <w:t>17.81</w:t>
            </w:r>
            <w:r w:rsidR="00DD02FB" w:rsidRPr="00DD02FB">
              <w:rPr>
                <w:rFonts w:ascii="Times New Roman" w:eastAsia="Times New Roman" w:hAnsi="Times New Roman" w:cs="Times New Roman"/>
                <w:vertAlign w:val="superscript"/>
              </w:rPr>
              <w:t>***</w:t>
            </w:r>
          </w:p>
        </w:tc>
        <w:tc>
          <w:tcPr>
            <w:tcW w:w="2409" w:type="dxa"/>
            <w:tcBorders>
              <w:top w:val="nil"/>
              <w:left w:val="nil"/>
              <w:bottom w:val="nil"/>
              <w:right w:val="nil"/>
            </w:tcBorders>
          </w:tcPr>
          <w:p w14:paraId="384851B2" w14:textId="2F210CE6" w:rsidR="00DD02FB" w:rsidRPr="00DD02FB" w:rsidRDefault="00DD02FB" w:rsidP="00C36E29">
            <w:pPr>
              <w:spacing w:after="0"/>
              <w:rPr>
                <w:rFonts w:ascii="Times New Roman" w:eastAsia="Times New Roman" w:hAnsi="Times New Roman" w:cs="Times New Roman"/>
              </w:rPr>
            </w:pPr>
            <w:r w:rsidRPr="00DD02FB">
              <w:rPr>
                <w:rFonts w:ascii="Times New Roman" w:eastAsia="Times New Roman" w:hAnsi="Times New Roman" w:cs="Times New Roman"/>
              </w:rPr>
              <w:t>90.45</w:t>
            </w:r>
            <w:r w:rsidRPr="00DD02FB">
              <w:rPr>
                <w:rFonts w:ascii="Times New Roman" w:eastAsia="Times New Roman" w:hAnsi="Times New Roman" w:cs="Times New Roman"/>
                <w:vertAlign w:val="superscript"/>
              </w:rPr>
              <w:t>***</w:t>
            </w:r>
          </w:p>
        </w:tc>
      </w:tr>
      <w:tr w:rsidR="00DD02FB" w:rsidRPr="00DD02FB" w14:paraId="79A7F78E" w14:textId="77777777" w:rsidTr="00C36E29">
        <w:tc>
          <w:tcPr>
            <w:tcW w:w="2268" w:type="dxa"/>
            <w:tcBorders>
              <w:top w:val="nil"/>
              <w:left w:val="nil"/>
              <w:bottom w:val="nil"/>
              <w:right w:val="nil"/>
            </w:tcBorders>
          </w:tcPr>
          <w:p w14:paraId="5656D72D" w14:textId="77777777" w:rsidR="00DD02FB" w:rsidRPr="00DD02FB" w:rsidRDefault="00DD02FB" w:rsidP="00601FCB">
            <w:pPr>
              <w:spacing w:after="0"/>
              <w:rPr>
                <w:rFonts w:ascii="Times New Roman" w:eastAsia="SimSun" w:hAnsi="Times New Roman" w:cs="Times New Roman"/>
                <w:color w:val="000000"/>
                <w:lang w:val="en-US"/>
              </w:rPr>
            </w:pPr>
            <w:r w:rsidRPr="00DD02FB">
              <w:rPr>
                <w:rFonts w:ascii="Times New Roman" w:eastAsia="SimSun" w:hAnsi="Times New Roman" w:cs="Times New Roman"/>
                <w:color w:val="000000"/>
                <w:lang w:val="en-US"/>
              </w:rPr>
              <w:t xml:space="preserve">Adj. </w:t>
            </w:r>
            <w:r w:rsidRPr="00DD02FB">
              <w:rPr>
                <w:rFonts w:ascii="Times New Roman" w:eastAsia="SimSun" w:hAnsi="Times New Roman" w:cs="Times New Roman"/>
                <w:i/>
                <w:lang w:val="en-US"/>
              </w:rPr>
              <w:t>R</w:t>
            </w:r>
            <w:r w:rsidRPr="00DD02FB">
              <w:rPr>
                <w:rFonts w:ascii="Times New Roman" w:eastAsia="SimSun" w:hAnsi="Times New Roman" w:cs="Times New Roman"/>
                <w:i/>
                <w:vertAlign w:val="superscript"/>
                <w:lang w:val="en-US"/>
              </w:rPr>
              <w:t>2</w:t>
            </w:r>
          </w:p>
        </w:tc>
        <w:tc>
          <w:tcPr>
            <w:tcW w:w="1985" w:type="dxa"/>
            <w:tcBorders>
              <w:top w:val="nil"/>
              <w:left w:val="nil"/>
              <w:bottom w:val="nil"/>
              <w:right w:val="nil"/>
            </w:tcBorders>
          </w:tcPr>
          <w:p w14:paraId="5C89C95D" w14:textId="13C4605C" w:rsidR="00DD02FB" w:rsidRPr="00DD02FB" w:rsidRDefault="00646003" w:rsidP="00C36E29">
            <w:pPr>
              <w:spacing w:after="0"/>
              <w:rPr>
                <w:rFonts w:ascii="Times New Roman" w:eastAsia="Times New Roman" w:hAnsi="Times New Roman" w:cs="Times New Roman"/>
              </w:rPr>
            </w:pPr>
            <w:r>
              <w:rPr>
                <w:rFonts w:ascii="Times New Roman" w:eastAsia="Times New Roman" w:hAnsi="Times New Roman" w:cs="Times New Roman"/>
              </w:rPr>
              <w:t>0.16</w:t>
            </w:r>
          </w:p>
        </w:tc>
        <w:tc>
          <w:tcPr>
            <w:tcW w:w="2126" w:type="dxa"/>
            <w:tcBorders>
              <w:top w:val="nil"/>
              <w:left w:val="nil"/>
              <w:bottom w:val="nil"/>
              <w:right w:val="nil"/>
            </w:tcBorders>
          </w:tcPr>
          <w:p w14:paraId="2CFEE3D5" w14:textId="562F2BEE"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0.75</w:t>
            </w:r>
          </w:p>
        </w:tc>
        <w:tc>
          <w:tcPr>
            <w:tcW w:w="2409" w:type="dxa"/>
            <w:tcBorders>
              <w:top w:val="nil"/>
              <w:left w:val="nil"/>
              <w:bottom w:val="nil"/>
              <w:right w:val="nil"/>
            </w:tcBorders>
          </w:tcPr>
          <w:p w14:paraId="49771D33" w14:textId="6502E7E9" w:rsidR="00DD02FB" w:rsidRPr="00DD02FB" w:rsidRDefault="00C36E29" w:rsidP="00C36E29">
            <w:pPr>
              <w:spacing w:after="0"/>
              <w:rPr>
                <w:rFonts w:ascii="Times New Roman" w:eastAsia="Times New Roman" w:hAnsi="Times New Roman" w:cs="Times New Roman"/>
              </w:rPr>
            </w:pPr>
            <w:r>
              <w:rPr>
                <w:rFonts w:ascii="Times New Roman" w:eastAsia="Times New Roman" w:hAnsi="Times New Roman" w:cs="Times New Roman"/>
              </w:rPr>
              <w:t>-</w:t>
            </w:r>
          </w:p>
        </w:tc>
      </w:tr>
      <w:tr w:rsidR="00DD02FB" w:rsidRPr="00DD02FB" w14:paraId="1A3AF9F9" w14:textId="77777777" w:rsidTr="00C36E29">
        <w:tc>
          <w:tcPr>
            <w:tcW w:w="2268" w:type="dxa"/>
            <w:tcBorders>
              <w:top w:val="nil"/>
              <w:left w:val="nil"/>
              <w:right w:val="nil"/>
            </w:tcBorders>
          </w:tcPr>
          <w:p w14:paraId="3BD0EE1C" w14:textId="77777777" w:rsidR="00DD02FB" w:rsidRPr="00DD02FB" w:rsidRDefault="00DD02FB" w:rsidP="00601FCB">
            <w:pPr>
              <w:spacing w:after="0"/>
              <w:rPr>
                <w:rFonts w:ascii="Times New Roman" w:eastAsia="SimSun" w:hAnsi="Times New Roman" w:cs="Times New Roman"/>
                <w:color w:val="000000"/>
                <w:lang w:val="en-US"/>
              </w:rPr>
            </w:pPr>
            <w:r w:rsidRPr="00DD02FB">
              <w:rPr>
                <w:rFonts w:ascii="Times New Roman" w:eastAsia="SimSun" w:hAnsi="Times New Roman" w:cs="Times New Roman"/>
                <w:color w:val="000000"/>
                <w:lang w:val="en-US"/>
              </w:rPr>
              <w:t xml:space="preserve">AR (1) test </w:t>
            </w:r>
          </w:p>
        </w:tc>
        <w:tc>
          <w:tcPr>
            <w:tcW w:w="1985" w:type="dxa"/>
            <w:tcBorders>
              <w:top w:val="nil"/>
              <w:left w:val="nil"/>
              <w:right w:val="nil"/>
            </w:tcBorders>
          </w:tcPr>
          <w:p w14:paraId="594B74D3" w14:textId="77777777" w:rsidR="00DD02FB" w:rsidRPr="00DD02FB" w:rsidRDefault="00DD02FB" w:rsidP="00C36E29">
            <w:pPr>
              <w:spacing w:after="0"/>
              <w:rPr>
                <w:rFonts w:ascii="Times New Roman" w:eastAsia="Times New Roman" w:hAnsi="Times New Roman" w:cs="Times New Roman"/>
              </w:rPr>
            </w:pPr>
            <w:r w:rsidRPr="00DD02FB">
              <w:rPr>
                <w:rFonts w:ascii="Times New Roman" w:eastAsia="Times New Roman" w:hAnsi="Times New Roman" w:cs="Times New Roman"/>
              </w:rPr>
              <w:t>-</w:t>
            </w:r>
          </w:p>
        </w:tc>
        <w:tc>
          <w:tcPr>
            <w:tcW w:w="2126" w:type="dxa"/>
            <w:tcBorders>
              <w:top w:val="nil"/>
              <w:left w:val="nil"/>
              <w:right w:val="nil"/>
            </w:tcBorders>
          </w:tcPr>
          <w:p w14:paraId="3ECD9586" w14:textId="77777777" w:rsidR="00DD02FB" w:rsidRPr="00DD02FB" w:rsidRDefault="00DD02FB" w:rsidP="00C36E29">
            <w:pPr>
              <w:spacing w:after="0"/>
              <w:rPr>
                <w:rFonts w:ascii="Times New Roman" w:eastAsia="Times New Roman" w:hAnsi="Times New Roman" w:cs="Times New Roman"/>
              </w:rPr>
            </w:pPr>
            <w:r w:rsidRPr="00DD02FB">
              <w:rPr>
                <w:rFonts w:ascii="Times New Roman" w:eastAsia="Times New Roman" w:hAnsi="Times New Roman" w:cs="Times New Roman"/>
              </w:rPr>
              <w:t>-</w:t>
            </w:r>
          </w:p>
        </w:tc>
        <w:tc>
          <w:tcPr>
            <w:tcW w:w="2409" w:type="dxa"/>
            <w:tcBorders>
              <w:top w:val="nil"/>
              <w:left w:val="nil"/>
              <w:right w:val="nil"/>
            </w:tcBorders>
          </w:tcPr>
          <w:p w14:paraId="6FEE0B78" w14:textId="4453C4F3"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0.00</w:t>
            </w:r>
          </w:p>
        </w:tc>
      </w:tr>
      <w:tr w:rsidR="00DD02FB" w:rsidRPr="00DD02FB" w14:paraId="1C6713E5" w14:textId="77777777" w:rsidTr="00C36E29">
        <w:tc>
          <w:tcPr>
            <w:tcW w:w="2268" w:type="dxa"/>
            <w:tcBorders>
              <w:top w:val="nil"/>
              <w:left w:val="nil"/>
              <w:right w:val="nil"/>
            </w:tcBorders>
          </w:tcPr>
          <w:p w14:paraId="63949734" w14:textId="77777777" w:rsidR="00DD02FB" w:rsidRPr="00DD02FB" w:rsidRDefault="00DD02FB" w:rsidP="00601FCB">
            <w:pPr>
              <w:spacing w:after="0"/>
              <w:rPr>
                <w:rFonts w:ascii="Times New Roman" w:eastAsia="SimSun" w:hAnsi="Times New Roman" w:cs="Times New Roman"/>
                <w:color w:val="000000"/>
                <w:lang w:val="en-US"/>
              </w:rPr>
            </w:pPr>
            <w:r w:rsidRPr="00DD02FB">
              <w:rPr>
                <w:rFonts w:ascii="Times New Roman" w:eastAsia="SimSun" w:hAnsi="Times New Roman" w:cs="Times New Roman"/>
                <w:color w:val="000000"/>
                <w:lang w:val="en-US"/>
              </w:rPr>
              <w:t>AR (2) test</w:t>
            </w:r>
          </w:p>
        </w:tc>
        <w:tc>
          <w:tcPr>
            <w:tcW w:w="1985" w:type="dxa"/>
            <w:tcBorders>
              <w:top w:val="nil"/>
              <w:left w:val="nil"/>
              <w:right w:val="nil"/>
            </w:tcBorders>
          </w:tcPr>
          <w:p w14:paraId="5679863F" w14:textId="77777777" w:rsidR="00DD02FB" w:rsidRPr="00DD02FB" w:rsidRDefault="00DD02FB" w:rsidP="00C36E29">
            <w:pPr>
              <w:spacing w:after="0"/>
              <w:rPr>
                <w:rFonts w:ascii="Times New Roman" w:eastAsia="Times New Roman" w:hAnsi="Times New Roman" w:cs="Times New Roman"/>
              </w:rPr>
            </w:pPr>
            <w:r w:rsidRPr="00DD02FB">
              <w:rPr>
                <w:rFonts w:ascii="Times New Roman" w:eastAsia="Times New Roman" w:hAnsi="Times New Roman" w:cs="Times New Roman"/>
              </w:rPr>
              <w:t>-</w:t>
            </w:r>
          </w:p>
        </w:tc>
        <w:tc>
          <w:tcPr>
            <w:tcW w:w="2126" w:type="dxa"/>
            <w:tcBorders>
              <w:top w:val="nil"/>
              <w:left w:val="nil"/>
              <w:right w:val="nil"/>
            </w:tcBorders>
          </w:tcPr>
          <w:p w14:paraId="0F200F5B" w14:textId="77777777" w:rsidR="00DD02FB" w:rsidRPr="00DD02FB" w:rsidRDefault="00DD02FB" w:rsidP="00C36E29">
            <w:pPr>
              <w:spacing w:after="0"/>
              <w:rPr>
                <w:rFonts w:ascii="Times New Roman" w:eastAsia="Times New Roman" w:hAnsi="Times New Roman" w:cs="Times New Roman"/>
              </w:rPr>
            </w:pPr>
            <w:r w:rsidRPr="00DD02FB">
              <w:rPr>
                <w:rFonts w:ascii="Times New Roman" w:eastAsia="Times New Roman" w:hAnsi="Times New Roman" w:cs="Times New Roman"/>
              </w:rPr>
              <w:t>-</w:t>
            </w:r>
          </w:p>
        </w:tc>
        <w:tc>
          <w:tcPr>
            <w:tcW w:w="2409" w:type="dxa"/>
            <w:tcBorders>
              <w:top w:val="nil"/>
              <w:left w:val="nil"/>
              <w:right w:val="nil"/>
            </w:tcBorders>
          </w:tcPr>
          <w:p w14:paraId="5BF9E22F" w14:textId="6E1A2827"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0.16</w:t>
            </w:r>
          </w:p>
        </w:tc>
      </w:tr>
      <w:tr w:rsidR="00DD02FB" w:rsidRPr="00DD02FB" w14:paraId="28CEF971" w14:textId="77777777" w:rsidTr="00C36E29">
        <w:tc>
          <w:tcPr>
            <w:tcW w:w="2268" w:type="dxa"/>
            <w:tcBorders>
              <w:top w:val="nil"/>
              <w:left w:val="nil"/>
              <w:right w:val="nil"/>
            </w:tcBorders>
          </w:tcPr>
          <w:p w14:paraId="39730478" w14:textId="77777777" w:rsidR="00DD02FB" w:rsidRPr="00DD02FB" w:rsidRDefault="00DD02FB" w:rsidP="00601FCB">
            <w:pPr>
              <w:spacing w:after="0"/>
              <w:rPr>
                <w:rFonts w:ascii="Times New Roman" w:eastAsia="SimSun" w:hAnsi="Times New Roman" w:cs="Times New Roman"/>
                <w:i/>
                <w:iCs/>
                <w:color w:val="000000"/>
                <w:lang w:val="en-US"/>
              </w:rPr>
            </w:pPr>
            <w:r w:rsidRPr="00DD02FB">
              <w:rPr>
                <w:rFonts w:ascii="Times New Roman" w:eastAsia="SimSun" w:hAnsi="Times New Roman" w:cs="Times New Roman"/>
                <w:color w:val="000000"/>
                <w:lang w:val="en-US"/>
              </w:rPr>
              <w:t xml:space="preserve">Hansen </w:t>
            </w:r>
            <w:r w:rsidRPr="00DD02FB">
              <w:rPr>
                <w:rFonts w:ascii="Times New Roman" w:eastAsia="SimSun" w:hAnsi="Times New Roman" w:cs="Times New Roman"/>
                <w:i/>
                <w:iCs/>
                <w:color w:val="000000"/>
                <w:lang w:val="en-US"/>
              </w:rPr>
              <w:t>P</w:t>
            </w:r>
            <w:r w:rsidRPr="00DD02FB">
              <w:rPr>
                <w:rFonts w:ascii="Times New Roman" w:eastAsia="SimSun" w:hAnsi="Times New Roman" w:cs="Times New Roman"/>
                <w:color w:val="000000"/>
                <w:lang w:val="en-US"/>
              </w:rPr>
              <w:t>-value</w:t>
            </w:r>
          </w:p>
        </w:tc>
        <w:tc>
          <w:tcPr>
            <w:tcW w:w="1985" w:type="dxa"/>
            <w:tcBorders>
              <w:top w:val="nil"/>
              <w:left w:val="nil"/>
              <w:right w:val="nil"/>
            </w:tcBorders>
          </w:tcPr>
          <w:p w14:paraId="0C7F45FD" w14:textId="77777777" w:rsidR="00DD02FB" w:rsidRPr="00DD02FB" w:rsidRDefault="00DD02FB" w:rsidP="00C36E29">
            <w:pPr>
              <w:spacing w:after="0"/>
              <w:rPr>
                <w:rFonts w:ascii="Times New Roman" w:eastAsia="Times New Roman" w:hAnsi="Times New Roman" w:cs="Times New Roman"/>
              </w:rPr>
            </w:pPr>
            <w:r w:rsidRPr="00DD02FB">
              <w:rPr>
                <w:rFonts w:ascii="Times New Roman" w:eastAsia="Times New Roman" w:hAnsi="Times New Roman" w:cs="Times New Roman"/>
              </w:rPr>
              <w:t>-</w:t>
            </w:r>
          </w:p>
        </w:tc>
        <w:tc>
          <w:tcPr>
            <w:tcW w:w="2126" w:type="dxa"/>
            <w:tcBorders>
              <w:top w:val="nil"/>
              <w:left w:val="nil"/>
              <w:right w:val="nil"/>
            </w:tcBorders>
          </w:tcPr>
          <w:p w14:paraId="09ACBEF3" w14:textId="77777777" w:rsidR="00DD02FB" w:rsidRPr="00DD02FB" w:rsidRDefault="00DD02FB" w:rsidP="00C36E29">
            <w:pPr>
              <w:spacing w:after="0"/>
              <w:rPr>
                <w:rFonts w:ascii="Times New Roman" w:eastAsia="Times New Roman" w:hAnsi="Times New Roman" w:cs="Times New Roman"/>
              </w:rPr>
            </w:pPr>
            <w:r w:rsidRPr="00DD02FB">
              <w:rPr>
                <w:rFonts w:ascii="Times New Roman" w:eastAsia="Times New Roman" w:hAnsi="Times New Roman" w:cs="Times New Roman"/>
              </w:rPr>
              <w:t>-</w:t>
            </w:r>
          </w:p>
        </w:tc>
        <w:tc>
          <w:tcPr>
            <w:tcW w:w="2409" w:type="dxa"/>
            <w:tcBorders>
              <w:top w:val="nil"/>
              <w:left w:val="nil"/>
              <w:right w:val="nil"/>
            </w:tcBorders>
          </w:tcPr>
          <w:p w14:paraId="4326210E" w14:textId="25A2FB95" w:rsidR="00DD02FB" w:rsidRPr="00DD02FB" w:rsidRDefault="00E20982" w:rsidP="00C36E29">
            <w:pPr>
              <w:spacing w:after="0"/>
              <w:rPr>
                <w:rFonts w:ascii="Times New Roman" w:eastAsia="Times New Roman" w:hAnsi="Times New Roman" w:cs="Times New Roman"/>
              </w:rPr>
            </w:pPr>
            <w:r>
              <w:rPr>
                <w:rFonts w:ascii="Times New Roman" w:eastAsia="Times New Roman" w:hAnsi="Times New Roman" w:cs="Times New Roman"/>
              </w:rPr>
              <w:t>0.50</w:t>
            </w:r>
          </w:p>
        </w:tc>
      </w:tr>
      <w:tr w:rsidR="00DD02FB" w:rsidRPr="00DD02FB" w14:paraId="47F63067" w14:textId="77777777" w:rsidTr="00C36E29">
        <w:tc>
          <w:tcPr>
            <w:tcW w:w="2268" w:type="dxa"/>
            <w:tcBorders>
              <w:top w:val="nil"/>
              <w:left w:val="nil"/>
              <w:right w:val="nil"/>
            </w:tcBorders>
          </w:tcPr>
          <w:p w14:paraId="27443859" w14:textId="77777777" w:rsidR="00DD02FB" w:rsidRPr="00DD02FB" w:rsidRDefault="00DD02FB" w:rsidP="00601FCB">
            <w:pPr>
              <w:spacing w:after="0"/>
              <w:rPr>
                <w:rFonts w:ascii="Times New Roman" w:eastAsia="SimSun" w:hAnsi="Times New Roman" w:cs="Times New Roman"/>
                <w:color w:val="000000"/>
                <w:lang w:val="en-US"/>
              </w:rPr>
            </w:pPr>
            <w:r w:rsidRPr="00DD02FB">
              <w:rPr>
                <w:rFonts w:ascii="Times New Roman" w:eastAsia="SimSun" w:hAnsi="Times New Roman" w:cs="Times New Roman"/>
                <w:color w:val="000000"/>
                <w:lang w:val="en-US"/>
              </w:rPr>
              <w:t xml:space="preserve">Hansen (Diff) </w:t>
            </w:r>
            <w:r w:rsidRPr="00DD02FB">
              <w:rPr>
                <w:rFonts w:ascii="Times New Roman" w:eastAsia="SimSun" w:hAnsi="Times New Roman" w:cs="Times New Roman"/>
                <w:i/>
                <w:iCs/>
                <w:color w:val="000000"/>
                <w:lang w:val="en-US"/>
              </w:rPr>
              <w:t>P</w:t>
            </w:r>
            <w:r w:rsidRPr="00DD02FB">
              <w:rPr>
                <w:rFonts w:ascii="Times New Roman" w:eastAsia="SimSun" w:hAnsi="Times New Roman" w:cs="Times New Roman"/>
                <w:color w:val="000000"/>
                <w:lang w:val="en-US"/>
              </w:rPr>
              <w:t>-value</w:t>
            </w:r>
          </w:p>
        </w:tc>
        <w:tc>
          <w:tcPr>
            <w:tcW w:w="1985" w:type="dxa"/>
            <w:tcBorders>
              <w:top w:val="nil"/>
              <w:left w:val="nil"/>
              <w:right w:val="nil"/>
            </w:tcBorders>
          </w:tcPr>
          <w:p w14:paraId="7F326F11" w14:textId="77777777" w:rsidR="00DD02FB" w:rsidRPr="00DD02FB" w:rsidRDefault="00DD02FB" w:rsidP="00C36E29">
            <w:pPr>
              <w:spacing w:after="0"/>
              <w:rPr>
                <w:rFonts w:ascii="Times New Roman" w:eastAsia="Times New Roman" w:hAnsi="Times New Roman" w:cs="Times New Roman"/>
              </w:rPr>
            </w:pPr>
            <w:r w:rsidRPr="00DD02FB">
              <w:rPr>
                <w:rFonts w:ascii="Times New Roman" w:eastAsia="Times New Roman" w:hAnsi="Times New Roman" w:cs="Times New Roman"/>
              </w:rPr>
              <w:t>-</w:t>
            </w:r>
          </w:p>
        </w:tc>
        <w:tc>
          <w:tcPr>
            <w:tcW w:w="2126" w:type="dxa"/>
            <w:tcBorders>
              <w:top w:val="nil"/>
              <w:left w:val="nil"/>
              <w:right w:val="nil"/>
            </w:tcBorders>
          </w:tcPr>
          <w:p w14:paraId="4CDBDCFB" w14:textId="77777777" w:rsidR="00DD02FB" w:rsidRPr="00DD02FB" w:rsidRDefault="00DD02FB" w:rsidP="00C36E29">
            <w:pPr>
              <w:spacing w:after="0"/>
              <w:rPr>
                <w:rFonts w:ascii="Times New Roman" w:eastAsia="Times New Roman" w:hAnsi="Times New Roman" w:cs="Times New Roman"/>
              </w:rPr>
            </w:pPr>
            <w:r w:rsidRPr="00DD02FB">
              <w:rPr>
                <w:rFonts w:ascii="Times New Roman" w:eastAsia="Times New Roman" w:hAnsi="Times New Roman" w:cs="Times New Roman"/>
              </w:rPr>
              <w:t>-</w:t>
            </w:r>
          </w:p>
        </w:tc>
        <w:tc>
          <w:tcPr>
            <w:tcW w:w="2409" w:type="dxa"/>
            <w:tcBorders>
              <w:top w:val="nil"/>
              <w:left w:val="nil"/>
              <w:right w:val="nil"/>
            </w:tcBorders>
          </w:tcPr>
          <w:p w14:paraId="29B96220" w14:textId="27B8A27E" w:rsidR="00DD02FB" w:rsidRPr="00DD02FB" w:rsidRDefault="00255BAE" w:rsidP="00C36E29">
            <w:pPr>
              <w:spacing w:after="0"/>
              <w:rPr>
                <w:rFonts w:ascii="Times New Roman" w:eastAsia="Times New Roman" w:hAnsi="Times New Roman" w:cs="Times New Roman"/>
              </w:rPr>
            </w:pPr>
            <w:r>
              <w:rPr>
                <w:rFonts w:ascii="Times New Roman" w:eastAsia="Times New Roman" w:hAnsi="Times New Roman" w:cs="Times New Roman"/>
              </w:rPr>
              <w:t>0.63</w:t>
            </w:r>
          </w:p>
        </w:tc>
      </w:tr>
      <w:tr w:rsidR="00DD02FB" w:rsidRPr="00DD02FB" w14:paraId="54879220" w14:textId="77777777" w:rsidTr="00C36E29">
        <w:tc>
          <w:tcPr>
            <w:tcW w:w="2268" w:type="dxa"/>
            <w:tcBorders>
              <w:top w:val="nil"/>
              <w:left w:val="nil"/>
              <w:bottom w:val="single" w:sz="4" w:space="0" w:color="auto"/>
              <w:right w:val="nil"/>
            </w:tcBorders>
          </w:tcPr>
          <w:p w14:paraId="4AABC3E5" w14:textId="3B34BE8A" w:rsidR="00DD02FB" w:rsidRPr="00DD02FB" w:rsidRDefault="00474CE8" w:rsidP="00601FCB">
            <w:pPr>
              <w:spacing w:after="0"/>
              <w:rPr>
                <w:rFonts w:ascii="Times New Roman" w:eastAsia="SimSun" w:hAnsi="Times New Roman" w:cs="Times New Roman"/>
                <w:color w:val="000000"/>
                <w:lang w:val="en-US"/>
              </w:rPr>
            </w:pPr>
            <w:r>
              <w:rPr>
                <w:rFonts w:ascii="Times New Roman" w:eastAsia="SimSun" w:hAnsi="Times New Roman" w:cs="Times New Roman"/>
                <w:color w:val="000000"/>
                <w:lang w:val="en-US"/>
              </w:rPr>
              <w:t>Obs.</w:t>
            </w:r>
            <w:r w:rsidR="00DD02FB" w:rsidRPr="00DD02FB">
              <w:rPr>
                <w:rFonts w:ascii="Times New Roman" w:eastAsia="SimSun" w:hAnsi="Times New Roman" w:cs="Times New Roman"/>
                <w:color w:val="000000"/>
                <w:lang w:val="en-US"/>
              </w:rPr>
              <w:t xml:space="preserve"> </w:t>
            </w:r>
          </w:p>
        </w:tc>
        <w:tc>
          <w:tcPr>
            <w:tcW w:w="1985" w:type="dxa"/>
            <w:tcBorders>
              <w:top w:val="nil"/>
              <w:left w:val="nil"/>
              <w:bottom w:val="single" w:sz="4" w:space="0" w:color="auto"/>
              <w:right w:val="nil"/>
            </w:tcBorders>
          </w:tcPr>
          <w:p w14:paraId="3A871849" w14:textId="1E032224" w:rsidR="00DD02FB" w:rsidRPr="00DD02FB" w:rsidRDefault="00C10E71" w:rsidP="00C36E29">
            <w:pPr>
              <w:spacing w:after="0"/>
              <w:rPr>
                <w:rFonts w:ascii="Times New Roman" w:eastAsia="Times New Roman" w:hAnsi="Times New Roman" w:cs="Times New Roman"/>
              </w:rPr>
            </w:pPr>
            <w:r>
              <w:rPr>
                <w:rFonts w:ascii="Times New Roman" w:eastAsia="Times New Roman" w:hAnsi="Times New Roman" w:cs="Times New Roman"/>
              </w:rPr>
              <w:t>585</w:t>
            </w:r>
          </w:p>
        </w:tc>
        <w:tc>
          <w:tcPr>
            <w:tcW w:w="2126" w:type="dxa"/>
            <w:tcBorders>
              <w:top w:val="nil"/>
              <w:left w:val="nil"/>
              <w:bottom w:val="single" w:sz="4" w:space="0" w:color="auto"/>
              <w:right w:val="nil"/>
            </w:tcBorders>
          </w:tcPr>
          <w:p w14:paraId="6BBB782A" w14:textId="7FB391D5" w:rsidR="00DD02FB" w:rsidRPr="00DD02FB" w:rsidRDefault="00C10E71" w:rsidP="00C36E29">
            <w:pPr>
              <w:spacing w:after="0"/>
              <w:rPr>
                <w:rFonts w:ascii="Times New Roman" w:eastAsia="Times New Roman" w:hAnsi="Times New Roman" w:cs="Times New Roman"/>
              </w:rPr>
            </w:pPr>
            <w:r>
              <w:rPr>
                <w:rFonts w:ascii="Times New Roman" w:eastAsia="Times New Roman" w:hAnsi="Times New Roman" w:cs="Times New Roman"/>
              </w:rPr>
              <w:t>702</w:t>
            </w:r>
          </w:p>
        </w:tc>
        <w:tc>
          <w:tcPr>
            <w:tcW w:w="2409" w:type="dxa"/>
            <w:tcBorders>
              <w:top w:val="nil"/>
              <w:left w:val="nil"/>
              <w:bottom w:val="single" w:sz="4" w:space="0" w:color="auto"/>
              <w:right w:val="nil"/>
            </w:tcBorders>
          </w:tcPr>
          <w:p w14:paraId="11FDE6AF" w14:textId="21F8AF1F" w:rsidR="00DD02FB" w:rsidRPr="00DD02FB" w:rsidRDefault="00C10E71" w:rsidP="00C36E29">
            <w:pPr>
              <w:spacing w:after="0"/>
              <w:rPr>
                <w:rFonts w:ascii="Times New Roman" w:eastAsia="Times New Roman" w:hAnsi="Times New Roman" w:cs="Times New Roman"/>
              </w:rPr>
            </w:pPr>
            <w:r>
              <w:rPr>
                <w:rFonts w:ascii="Times New Roman" w:eastAsia="Times New Roman" w:hAnsi="Times New Roman" w:cs="Times New Roman"/>
              </w:rPr>
              <w:t>702</w:t>
            </w:r>
          </w:p>
        </w:tc>
      </w:tr>
      <w:tr w:rsidR="00DD02FB" w:rsidRPr="00DD02FB" w14:paraId="76772967" w14:textId="77777777" w:rsidTr="00C36E29">
        <w:tc>
          <w:tcPr>
            <w:tcW w:w="8790" w:type="dxa"/>
            <w:gridSpan w:val="4"/>
            <w:tcBorders>
              <w:top w:val="single" w:sz="4" w:space="0" w:color="auto"/>
              <w:left w:val="nil"/>
              <w:right w:val="nil"/>
            </w:tcBorders>
          </w:tcPr>
          <w:p w14:paraId="6FFDCB8F" w14:textId="3FDB4C4C" w:rsidR="00DD02FB" w:rsidRPr="00BD58B9" w:rsidRDefault="004745F7" w:rsidP="00BD58B9">
            <w:pPr>
              <w:spacing w:after="0" w:line="276" w:lineRule="auto"/>
              <w:jc w:val="both"/>
              <w:rPr>
                <w:rFonts w:ascii="Times New Roman" w:hAnsi="Times New Roman" w:cs="Times New Roman"/>
                <w:lang w:val="en-US"/>
              </w:rPr>
            </w:pPr>
            <w:r w:rsidRPr="004745F7">
              <w:rPr>
                <w:rFonts w:ascii="Times New Roman" w:eastAsia="SimSun" w:hAnsi="Times New Roman" w:cs="Times New Roman"/>
                <w:b/>
                <w:bCs/>
                <w:lang w:val="en-US" w:eastAsia="zh-CN"/>
              </w:rPr>
              <w:t>Notes:</w:t>
            </w:r>
            <w:r>
              <w:rPr>
                <w:rFonts w:ascii="Times New Roman" w:eastAsia="SimSun" w:hAnsi="Times New Roman" w:cs="Times New Roman"/>
                <w:lang w:val="en-US" w:eastAsia="zh-CN"/>
              </w:rPr>
              <w:t xml:space="preserve"> </w:t>
            </w:r>
            <w:r w:rsidRPr="004745F7">
              <w:rPr>
                <w:rFonts w:ascii="Times New Roman" w:eastAsia="SimSun" w:hAnsi="Times New Roman" w:cs="Times New Roman"/>
                <w:lang w:val="en-US" w:eastAsia="zh-CN"/>
              </w:rPr>
              <w:t xml:space="preserve">Please see Table 2 for </w:t>
            </w:r>
            <w:r w:rsidR="00FA0820">
              <w:rPr>
                <w:rFonts w:ascii="Times New Roman" w:eastAsia="SimSun" w:hAnsi="Times New Roman" w:cs="Times New Roman"/>
                <w:lang w:val="en-US" w:eastAsia="zh-CN"/>
              </w:rPr>
              <w:t xml:space="preserve">full </w:t>
            </w:r>
            <w:r w:rsidRPr="004745F7">
              <w:rPr>
                <w:rFonts w:ascii="Times New Roman" w:eastAsia="SimSun" w:hAnsi="Times New Roman" w:cs="Times New Roman"/>
                <w:lang w:val="en-US" w:eastAsia="zh-CN"/>
              </w:rPr>
              <w:t>variable definitions.</w:t>
            </w:r>
            <w:r w:rsidRPr="004745F7">
              <w:rPr>
                <w:rFonts w:ascii="Times New Roman" w:eastAsia="SimSun" w:hAnsi="Times New Roman" w:cs="Times New Roman"/>
                <w:lang w:eastAsia="zh-CN"/>
              </w:rPr>
              <w:t xml:space="preserve"> </w:t>
            </w:r>
            <w:r w:rsidR="00FA0820" w:rsidRPr="00FA0820">
              <w:rPr>
                <w:rFonts w:ascii="Times New Roman" w:eastAsia="SimSun" w:hAnsi="Times New Roman" w:cs="Times New Roman"/>
                <w:lang w:eastAsia="zh-CN"/>
              </w:rPr>
              <w:t>*** means significance at the 1% level (p&lt;0.01). ** means significance at the 5% level (p&lt;0.05). * means significance at the 10% level (p&lt;0.10).</w:t>
            </w:r>
          </w:p>
        </w:tc>
      </w:tr>
    </w:tbl>
    <w:p w14:paraId="547C4961" w14:textId="5CB18932" w:rsidR="00566D02" w:rsidRDefault="00566D02" w:rsidP="001937E7"/>
    <w:p w14:paraId="689A274B" w14:textId="77777777" w:rsidR="00E25DDA" w:rsidRDefault="00E25DDA" w:rsidP="001937E7">
      <w:pPr>
        <w:sectPr w:rsidR="00E25DDA" w:rsidSect="001937E7">
          <w:pgSz w:w="11906" w:h="16838"/>
          <w:pgMar w:top="1135" w:right="1440" w:bottom="1440" w:left="1440" w:header="708" w:footer="708" w:gutter="0"/>
          <w:cols w:space="708"/>
          <w:docGrid w:linePitch="360"/>
        </w:sectPr>
      </w:pPr>
    </w:p>
    <w:tbl>
      <w:tblPr>
        <w:tblW w:w="9928" w:type="dxa"/>
        <w:tblInd w:w="-289" w:type="dxa"/>
        <w:tblBorders>
          <w:bottom w:val="single" w:sz="12" w:space="0" w:color="auto"/>
        </w:tblBorders>
        <w:tblLook w:val="01E0" w:firstRow="1" w:lastRow="1" w:firstColumn="1" w:lastColumn="1" w:noHBand="0" w:noVBand="0"/>
      </w:tblPr>
      <w:tblGrid>
        <w:gridCol w:w="2552"/>
        <w:gridCol w:w="6384"/>
        <w:gridCol w:w="992"/>
      </w:tblGrid>
      <w:tr w:rsidR="00E25DDA" w:rsidRPr="00B859B8" w14:paraId="1249F26C" w14:textId="77777777" w:rsidTr="00E25DDA">
        <w:tc>
          <w:tcPr>
            <w:tcW w:w="9924" w:type="dxa"/>
            <w:gridSpan w:val="3"/>
            <w:tcBorders>
              <w:bottom w:val="single" w:sz="12" w:space="0" w:color="auto"/>
            </w:tcBorders>
            <w:shd w:val="clear" w:color="auto" w:fill="auto"/>
          </w:tcPr>
          <w:p w14:paraId="7CE257A9" w14:textId="77777777" w:rsidR="00E25DDA" w:rsidRPr="00B859B8" w:rsidRDefault="00E25DDA" w:rsidP="00E25DDA">
            <w:pPr>
              <w:spacing w:after="0"/>
              <w:jc w:val="both"/>
              <w:rPr>
                <w:rFonts w:asciiTheme="majorBidi" w:hAnsiTheme="majorBidi" w:cstheme="majorBidi"/>
                <w:bCs/>
                <w:sz w:val="20"/>
                <w:szCs w:val="20"/>
              </w:rPr>
            </w:pPr>
            <w:r w:rsidRPr="00B859B8">
              <w:rPr>
                <w:rFonts w:asciiTheme="majorBidi" w:hAnsiTheme="majorBidi" w:cstheme="majorBidi"/>
                <w:b/>
                <w:sz w:val="20"/>
                <w:szCs w:val="20"/>
              </w:rPr>
              <w:lastRenderedPageBreak/>
              <w:t>Appendix.</w:t>
            </w:r>
            <w:r w:rsidRPr="00B859B8">
              <w:rPr>
                <w:rFonts w:asciiTheme="majorBidi" w:hAnsiTheme="majorBidi" w:cstheme="majorBidi"/>
                <w:bCs/>
                <w:sz w:val="20"/>
                <w:szCs w:val="20"/>
              </w:rPr>
              <w:t xml:space="preserve"> Higher Education Institution Governance Index (HEGI)</w:t>
            </w:r>
          </w:p>
        </w:tc>
      </w:tr>
      <w:tr w:rsidR="00E25DDA" w:rsidRPr="00B859B8" w14:paraId="1DF330D6" w14:textId="77777777" w:rsidTr="00E25DDA">
        <w:tc>
          <w:tcPr>
            <w:tcW w:w="2552" w:type="dxa"/>
            <w:tcBorders>
              <w:bottom w:val="single" w:sz="2" w:space="0" w:color="auto"/>
            </w:tcBorders>
            <w:shd w:val="clear" w:color="auto" w:fill="auto"/>
          </w:tcPr>
          <w:p w14:paraId="39E5CECF" w14:textId="77777777" w:rsidR="00E25DDA" w:rsidRPr="00B859B8" w:rsidRDefault="00E25DDA" w:rsidP="00E25DDA">
            <w:pPr>
              <w:spacing w:after="0"/>
              <w:jc w:val="both"/>
              <w:rPr>
                <w:rFonts w:asciiTheme="majorBidi" w:hAnsiTheme="majorBidi" w:cstheme="majorBidi"/>
                <w:bCs/>
                <w:sz w:val="20"/>
                <w:szCs w:val="20"/>
              </w:rPr>
            </w:pPr>
            <w:r w:rsidRPr="00B859B8">
              <w:rPr>
                <w:rFonts w:asciiTheme="majorBidi" w:hAnsiTheme="majorBidi" w:cstheme="majorBidi"/>
                <w:bCs/>
                <w:sz w:val="20"/>
                <w:szCs w:val="20"/>
              </w:rPr>
              <w:t>HEGI theme</w:t>
            </w:r>
          </w:p>
        </w:tc>
        <w:tc>
          <w:tcPr>
            <w:tcW w:w="6384" w:type="dxa"/>
            <w:tcBorders>
              <w:bottom w:val="single" w:sz="2" w:space="0" w:color="auto"/>
            </w:tcBorders>
            <w:shd w:val="clear" w:color="auto" w:fill="auto"/>
          </w:tcPr>
          <w:p w14:paraId="403BB02B" w14:textId="77777777" w:rsidR="00E25DDA" w:rsidRPr="00B859B8" w:rsidRDefault="00E25DDA" w:rsidP="00E25DDA">
            <w:pPr>
              <w:spacing w:after="0"/>
              <w:jc w:val="both"/>
              <w:rPr>
                <w:rFonts w:asciiTheme="majorBidi" w:hAnsiTheme="majorBidi" w:cstheme="majorBidi"/>
                <w:bCs/>
                <w:sz w:val="20"/>
                <w:szCs w:val="20"/>
              </w:rPr>
            </w:pPr>
            <w:r w:rsidRPr="00B859B8">
              <w:rPr>
                <w:rFonts w:asciiTheme="majorBidi" w:hAnsiTheme="majorBidi" w:cstheme="majorBidi"/>
                <w:bCs/>
                <w:sz w:val="20"/>
                <w:szCs w:val="20"/>
              </w:rPr>
              <w:t>HEGI items: information on/ reference to</w:t>
            </w:r>
          </w:p>
        </w:tc>
        <w:tc>
          <w:tcPr>
            <w:tcW w:w="992" w:type="dxa"/>
            <w:tcBorders>
              <w:bottom w:val="single" w:sz="2" w:space="0" w:color="auto"/>
            </w:tcBorders>
            <w:shd w:val="clear" w:color="auto" w:fill="auto"/>
          </w:tcPr>
          <w:p w14:paraId="4CE23AB6" w14:textId="77777777" w:rsidR="00E25DDA" w:rsidRPr="00B859B8" w:rsidRDefault="00E25DDA" w:rsidP="00E25DDA">
            <w:pPr>
              <w:spacing w:after="0"/>
              <w:jc w:val="both"/>
              <w:rPr>
                <w:rFonts w:asciiTheme="majorBidi" w:hAnsiTheme="majorBidi" w:cstheme="majorBidi"/>
                <w:bCs/>
                <w:sz w:val="20"/>
                <w:szCs w:val="20"/>
              </w:rPr>
            </w:pPr>
            <w:r w:rsidRPr="00B859B8">
              <w:rPr>
                <w:rFonts w:asciiTheme="majorBidi" w:hAnsiTheme="majorBidi" w:cstheme="majorBidi"/>
                <w:bCs/>
                <w:sz w:val="20"/>
                <w:szCs w:val="20"/>
              </w:rPr>
              <w:t xml:space="preserve">Scoring </w:t>
            </w:r>
          </w:p>
        </w:tc>
      </w:tr>
      <w:tr w:rsidR="00E25DDA" w:rsidRPr="00B859B8" w14:paraId="3AAD0C42" w14:textId="77777777" w:rsidTr="00E25DDA">
        <w:tc>
          <w:tcPr>
            <w:tcW w:w="2552" w:type="dxa"/>
            <w:vMerge w:val="restart"/>
            <w:tcBorders>
              <w:top w:val="single" w:sz="2" w:space="0" w:color="auto"/>
            </w:tcBorders>
            <w:shd w:val="clear" w:color="auto" w:fill="auto"/>
          </w:tcPr>
          <w:p w14:paraId="15A5379E" w14:textId="77777777" w:rsidR="00E25DDA" w:rsidRPr="00B859B8" w:rsidRDefault="00E25DDA" w:rsidP="00E25DDA">
            <w:pPr>
              <w:spacing w:after="0"/>
              <w:jc w:val="both"/>
              <w:rPr>
                <w:rFonts w:asciiTheme="majorBidi" w:hAnsiTheme="majorBidi" w:cstheme="majorBidi"/>
                <w:b/>
                <w:bCs/>
                <w:i/>
                <w:iCs/>
                <w:sz w:val="20"/>
                <w:szCs w:val="20"/>
              </w:rPr>
            </w:pPr>
            <w:r w:rsidRPr="00B859B8">
              <w:rPr>
                <w:rFonts w:asciiTheme="majorBidi" w:hAnsiTheme="majorBidi" w:cstheme="majorBidi"/>
                <w:b/>
                <w:bCs/>
                <w:i/>
                <w:iCs/>
                <w:sz w:val="20"/>
                <w:szCs w:val="20"/>
              </w:rPr>
              <w:t>Board Governance Sub-Index</w:t>
            </w:r>
          </w:p>
        </w:tc>
        <w:tc>
          <w:tcPr>
            <w:tcW w:w="6384" w:type="dxa"/>
            <w:tcBorders>
              <w:top w:val="single" w:sz="2" w:space="0" w:color="auto"/>
            </w:tcBorders>
            <w:shd w:val="clear" w:color="auto" w:fill="auto"/>
          </w:tcPr>
          <w:p w14:paraId="7E5372E0"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1. Frequency of governing board meetings</w:t>
            </w:r>
            <w:r>
              <w:rPr>
                <w:rFonts w:asciiTheme="majorBidi" w:hAnsiTheme="majorBidi" w:cstheme="majorBidi"/>
                <w:sz w:val="20"/>
                <w:szCs w:val="20"/>
              </w:rPr>
              <w:t>.</w:t>
            </w:r>
          </w:p>
        </w:tc>
        <w:tc>
          <w:tcPr>
            <w:tcW w:w="992" w:type="dxa"/>
            <w:tcBorders>
              <w:top w:val="single" w:sz="2" w:space="0" w:color="auto"/>
            </w:tcBorders>
            <w:shd w:val="clear" w:color="auto" w:fill="auto"/>
          </w:tcPr>
          <w:p w14:paraId="626AEA58"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188047E9" w14:textId="77777777" w:rsidTr="00E25DDA">
        <w:trPr>
          <w:trHeight w:val="443"/>
        </w:trPr>
        <w:tc>
          <w:tcPr>
            <w:tcW w:w="2552" w:type="dxa"/>
            <w:vMerge/>
            <w:shd w:val="clear" w:color="auto" w:fill="auto"/>
          </w:tcPr>
          <w:p w14:paraId="1BBC1519"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198220BF"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2. Statement of governing board primary roles, plans, strategic appointments and mission</w:t>
            </w:r>
            <w:r>
              <w:rPr>
                <w:rFonts w:asciiTheme="majorBidi" w:hAnsiTheme="majorBidi" w:cstheme="majorBidi"/>
                <w:sz w:val="20"/>
                <w:szCs w:val="20"/>
              </w:rPr>
              <w:t>.</w:t>
            </w:r>
            <w:r w:rsidRPr="00B859B8">
              <w:rPr>
                <w:rFonts w:asciiTheme="majorBidi" w:hAnsiTheme="majorBidi" w:cstheme="majorBidi"/>
                <w:sz w:val="20"/>
                <w:szCs w:val="20"/>
              </w:rPr>
              <w:t xml:space="preserve"> </w:t>
            </w:r>
          </w:p>
        </w:tc>
        <w:tc>
          <w:tcPr>
            <w:tcW w:w="992" w:type="dxa"/>
            <w:shd w:val="clear" w:color="auto" w:fill="auto"/>
          </w:tcPr>
          <w:p w14:paraId="302F0FDC"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14FA3C8C" w14:textId="77777777" w:rsidTr="00E25DDA">
        <w:tc>
          <w:tcPr>
            <w:tcW w:w="2552" w:type="dxa"/>
            <w:vMerge/>
            <w:shd w:val="clear" w:color="auto" w:fill="auto"/>
          </w:tcPr>
          <w:p w14:paraId="0C537915"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7958E062"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3. Independence of governing board chairperson</w:t>
            </w:r>
            <w:r>
              <w:rPr>
                <w:rFonts w:asciiTheme="majorBidi" w:hAnsiTheme="majorBidi" w:cstheme="majorBidi"/>
                <w:sz w:val="20"/>
                <w:szCs w:val="20"/>
              </w:rPr>
              <w:t>.</w:t>
            </w:r>
          </w:p>
        </w:tc>
        <w:tc>
          <w:tcPr>
            <w:tcW w:w="992" w:type="dxa"/>
            <w:shd w:val="clear" w:color="auto" w:fill="auto"/>
          </w:tcPr>
          <w:p w14:paraId="61A513EC"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2204ED4F" w14:textId="77777777" w:rsidTr="00E25DDA">
        <w:tc>
          <w:tcPr>
            <w:tcW w:w="2552" w:type="dxa"/>
            <w:vMerge/>
            <w:shd w:val="clear" w:color="auto" w:fill="auto"/>
          </w:tcPr>
          <w:p w14:paraId="5EF18B58"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737B898E"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4. Governing board members are sensitive to the views of others (inside and outside board meetings), debate constructively, question intelligently and make fair decisions for the best of their intuitions.</w:t>
            </w:r>
          </w:p>
        </w:tc>
        <w:tc>
          <w:tcPr>
            <w:tcW w:w="992" w:type="dxa"/>
            <w:shd w:val="clear" w:color="auto" w:fill="auto"/>
          </w:tcPr>
          <w:p w14:paraId="6558FD93"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28661602" w14:textId="77777777" w:rsidTr="00E25DDA">
        <w:tc>
          <w:tcPr>
            <w:tcW w:w="2552" w:type="dxa"/>
            <w:vMerge/>
            <w:shd w:val="clear" w:color="auto" w:fill="auto"/>
          </w:tcPr>
          <w:p w14:paraId="3210C1AC"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47E2B262"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5. Compliance with best governance practices, including committee of university chairs governance code</w:t>
            </w:r>
            <w:r>
              <w:rPr>
                <w:rFonts w:asciiTheme="majorBidi" w:hAnsiTheme="majorBidi" w:cstheme="majorBidi"/>
                <w:sz w:val="20"/>
                <w:szCs w:val="20"/>
              </w:rPr>
              <w:t>.</w:t>
            </w:r>
          </w:p>
        </w:tc>
        <w:tc>
          <w:tcPr>
            <w:tcW w:w="992" w:type="dxa"/>
            <w:shd w:val="clear" w:color="auto" w:fill="auto"/>
          </w:tcPr>
          <w:p w14:paraId="5EE23DB4"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4BCC1D55" w14:textId="77777777" w:rsidTr="00E25DDA">
        <w:trPr>
          <w:trHeight w:val="404"/>
        </w:trPr>
        <w:tc>
          <w:tcPr>
            <w:tcW w:w="2552" w:type="dxa"/>
            <w:vMerge/>
            <w:shd w:val="clear" w:color="auto" w:fill="auto"/>
          </w:tcPr>
          <w:p w14:paraId="6F67089D"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5EC27096"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6. Classification of governing board members into independent (lay) and non-independent (non-lay) governors</w:t>
            </w:r>
            <w:r>
              <w:rPr>
                <w:rFonts w:asciiTheme="majorBidi" w:hAnsiTheme="majorBidi" w:cstheme="majorBidi"/>
                <w:sz w:val="20"/>
                <w:szCs w:val="20"/>
              </w:rPr>
              <w:t>.</w:t>
            </w:r>
          </w:p>
        </w:tc>
        <w:tc>
          <w:tcPr>
            <w:tcW w:w="992" w:type="dxa"/>
            <w:shd w:val="clear" w:color="auto" w:fill="auto"/>
          </w:tcPr>
          <w:p w14:paraId="64660694"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p w14:paraId="39173EAC" w14:textId="77777777" w:rsidR="00E25DDA" w:rsidRPr="00B859B8" w:rsidRDefault="00E25DDA" w:rsidP="00E25DDA">
            <w:pPr>
              <w:spacing w:after="0"/>
              <w:rPr>
                <w:rFonts w:asciiTheme="majorBidi" w:hAnsiTheme="majorBidi" w:cstheme="majorBidi"/>
                <w:sz w:val="20"/>
                <w:szCs w:val="20"/>
              </w:rPr>
            </w:pPr>
          </w:p>
        </w:tc>
      </w:tr>
      <w:tr w:rsidR="00E25DDA" w:rsidRPr="00B859B8" w14:paraId="45E8E90D" w14:textId="77777777" w:rsidTr="00E25DDA">
        <w:tc>
          <w:tcPr>
            <w:tcW w:w="2552" w:type="dxa"/>
            <w:vMerge/>
            <w:shd w:val="clear" w:color="auto" w:fill="auto"/>
          </w:tcPr>
          <w:p w14:paraId="708E1F57"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1755482A"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7. Governing board diversity (i.e., gender diversity)</w:t>
            </w:r>
            <w:r>
              <w:rPr>
                <w:rFonts w:asciiTheme="majorBidi" w:hAnsiTheme="majorBidi" w:cstheme="majorBidi"/>
                <w:sz w:val="20"/>
                <w:szCs w:val="20"/>
              </w:rPr>
              <w:t>.</w:t>
            </w:r>
          </w:p>
        </w:tc>
        <w:tc>
          <w:tcPr>
            <w:tcW w:w="992" w:type="dxa"/>
            <w:shd w:val="clear" w:color="auto" w:fill="auto"/>
          </w:tcPr>
          <w:p w14:paraId="3DBE3AF7"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167A71CB" w14:textId="77777777" w:rsidTr="00E25DDA">
        <w:tc>
          <w:tcPr>
            <w:tcW w:w="2552" w:type="dxa"/>
            <w:vMerge/>
            <w:shd w:val="clear" w:color="auto" w:fill="auto"/>
          </w:tcPr>
          <w:p w14:paraId="134170F7"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50977405"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8. Diversity of governing board to avoid groupthink along legal and moral expectation</w:t>
            </w:r>
            <w:r>
              <w:rPr>
                <w:rFonts w:asciiTheme="majorBidi" w:hAnsiTheme="majorBidi" w:cstheme="majorBidi"/>
                <w:sz w:val="20"/>
                <w:szCs w:val="20"/>
              </w:rPr>
              <w:t>.</w:t>
            </w:r>
          </w:p>
        </w:tc>
        <w:tc>
          <w:tcPr>
            <w:tcW w:w="992" w:type="dxa"/>
            <w:shd w:val="clear" w:color="auto" w:fill="auto"/>
          </w:tcPr>
          <w:p w14:paraId="5D4AB7CF"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1FE24694" w14:textId="77777777" w:rsidTr="00E25DDA">
        <w:tc>
          <w:tcPr>
            <w:tcW w:w="2552" w:type="dxa"/>
            <w:vMerge/>
            <w:shd w:val="clear" w:color="auto" w:fill="auto"/>
          </w:tcPr>
          <w:p w14:paraId="726C3A4E"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3D05C011"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9. Frequency of participation of staff and student members</w:t>
            </w:r>
            <w:r>
              <w:rPr>
                <w:rFonts w:asciiTheme="majorBidi" w:hAnsiTheme="majorBidi" w:cstheme="majorBidi"/>
                <w:sz w:val="20"/>
                <w:szCs w:val="20"/>
              </w:rPr>
              <w:t>.</w:t>
            </w:r>
          </w:p>
        </w:tc>
        <w:tc>
          <w:tcPr>
            <w:tcW w:w="992" w:type="dxa"/>
            <w:shd w:val="clear" w:color="auto" w:fill="auto"/>
          </w:tcPr>
          <w:p w14:paraId="20A61E39"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0C44E884" w14:textId="77777777" w:rsidTr="00E25DDA">
        <w:tc>
          <w:tcPr>
            <w:tcW w:w="2552" w:type="dxa"/>
            <w:vMerge/>
            <w:shd w:val="clear" w:color="auto" w:fill="auto"/>
          </w:tcPr>
          <w:p w14:paraId="46BA5563"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756A8496"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10. Role duality of the VC and chairperson</w:t>
            </w:r>
            <w:r>
              <w:rPr>
                <w:rFonts w:asciiTheme="majorBidi" w:hAnsiTheme="majorBidi" w:cstheme="majorBidi"/>
                <w:sz w:val="20"/>
                <w:szCs w:val="20"/>
              </w:rPr>
              <w:t>.</w:t>
            </w:r>
          </w:p>
        </w:tc>
        <w:tc>
          <w:tcPr>
            <w:tcW w:w="992" w:type="dxa"/>
            <w:shd w:val="clear" w:color="auto" w:fill="auto"/>
          </w:tcPr>
          <w:p w14:paraId="126D7597"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44530A8E" w14:textId="77777777" w:rsidTr="00E25DDA">
        <w:tc>
          <w:tcPr>
            <w:tcW w:w="2552" w:type="dxa"/>
            <w:vMerge/>
            <w:shd w:val="clear" w:color="auto" w:fill="auto"/>
          </w:tcPr>
          <w:p w14:paraId="4A98CE71"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6334B19F"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11. Governing board of not more than 25 members</w:t>
            </w:r>
            <w:r>
              <w:rPr>
                <w:rFonts w:asciiTheme="majorBidi" w:hAnsiTheme="majorBidi" w:cstheme="majorBidi"/>
                <w:sz w:val="20"/>
                <w:szCs w:val="20"/>
              </w:rPr>
              <w:t>.</w:t>
            </w:r>
          </w:p>
        </w:tc>
        <w:tc>
          <w:tcPr>
            <w:tcW w:w="992" w:type="dxa"/>
            <w:shd w:val="clear" w:color="auto" w:fill="auto"/>
          </w:tcPr>
          <w:p w14:paraId="778F022A"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0F13C368" w14:textId="77777777" w:rsidTr="00E25DDA">
        <w:tc>
          <w:tcPr>
            <w:tcW w:w="2552" w:type="dxa"/>
            <w:vMerge/>
            <w:shd w:val="clear" w:color="auto" w:fill="auto"/>
          </w:tcPr>
          <w:p w14:paraId="40C8C8D2"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71CCF4F5"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12. Majority of governing board members are independent</w:t>
            </w:r>
            <w:r>
              <w:rPr>
                <w:rFonts w:asciiTheme="majorBidi" w:hAnsiTheme="majorBidi" w:cstheme="majorBidi"/>
                <w:sz w:val="20"/>
                <w:szCs w:val="20"/>
              </w:rPr>
              <w:t>.</w:t>
            </w:r>
          </w:p>
        </w:tc>
        <w:tc>
          <w:tcPr>
            <w:tcW w:w="992" w:type="dxa"/>
            <w:shd w:val="clear" w:color="auto" w:fill="auto"/>
          </w:tcPr>
          <w:p w14:paraId="5EDE3E95"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6D40522D" w14:textId="77777777" w:rsidTr="00E25DDA">
        <w:tc>
          <w:tcPr>
            <w:tcW w:w="2552" w:type="dxa"/>
            <w:vMerge/>
            <w:shd w:val="clear" w:color="auto" w:fill="auto"/>
          </w:tcPr>
          <w:p w14:paraId="043C2821"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12DC2813"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13. Governing board membership is disclosed</w:t>
            </w:r>
            <w:r>
              <w:rPr>
                <w:rFonts w:asciiTheme="majorBidi" w:hAnsiTheme="majorBidi" w:cstheme="majorBidi"/>
                <w:sz w:val="20"/>
                <w:szCs w:val="20"/>
              </w:rPr>
              <w:t>.</w:t>
            </w:r>
            <w:r w:rsidRPr="00B859B8">
              <w:rPr>
                <w:rFonts w:asciiTheme="majorBidi" w:hAnsiTheme="majorBidi" w:cstheme="majorBidi"/>
                <w:sz w:val="20"/>
                <w:szCs w:val="20"/>
              </w:rPr>
              <w:t xml:space="preserve"> </w:t>
            </w:r>
          </w:p>
        </w:tc>
        <w:tc>
          <w:tcPr>
            <w:tcW w:w="992" w:type="dxa"/>
            <w:shd w:val="clear" w:color="auto" w:fill="auto"/>
          </w:tcPr>
          <w:p w14:paraId="22FA0937"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3D411DBF" w14:textId="77777777" w:rsidTr="00E25DDA">
        <w:tc>
          <w:tcPr>
            <w:tcW w:w="2552" w:type="dxa"/>
            <w:vMerge/>
            <w:shd w:val="clear" w:color="auto" w:fill="auto"/>
          </w:tcPr>
          <w:p w14:paraId="579D8853"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5183BB48"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14. Governing board members’ attendance of meetings is disclosed</w:t>
            </w:r>
            <w:r>
              <w:rPr>
                <w:rFonts w:asciiTheme="majorBidi" w:hAnsiTheme="majorBidi" w:cstheme="majorBidi"/>
                <w:sz w:val="20"/>
                <w:szCs w:val="20"/>
              </w:rPr>
              <w:t>.</w:t>
            </w:r>
            <w:r w:rsidRPr="00B859B8">
              <w:rPr>
                <w:rFonts w:asciiTheme="majorBidi" w:hAnsiTheme="majorBidi" w:cstheme="majorBidi"/>
                <w:sz w:val="20"/>
                <w:szCs w:val="20"/>
              </w:rPr>
              <w:t xml:space="preserve"> </w:t>
            </w:r>
          </w:p>
        </w:tc>
        <w:tc>
          <w:tcPr>
            <w:tcW w:w="992" w:type="dxa"/>
            <w:shd w:val="clear" w:color="auto" w:fill="auto"/>
          </w:tcPr>
          <w:p w14:paraId="45B49EE9"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2150DD5B" w14:textId="77777777" w:rsidTr="00E25DDA">
        <w:tc>
          <w:tcPr>
            <w:tcW w:w="2552" w:type="dxa"/>
            <w:vMerge/>
            <w:shd w:val="clear" w:color="auto" w:fill="auto"/>
          </w:tcPr>
          <w:p w14:paraId="061EFEB5"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6E1E22D1"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15. Quorum requirements is disclosed</w:t>
            </w:r>
            <w:r>
              <w:rPr>
                <w:rFonts w:asciiTheme="majorBidi" w:hAnsiTheme="majorBidi" w:cstheme="majorBidi"/>
                <w:sz w:val="20"/>
                <w:szCs w:val="20"/>
              </w:rPr>
              <w:t>.</w:t>
            </w:r>
            <w:r w:rsidRPr="00B859B8">
              <w:rPr>
                <w:rFonts w:asciiTheme="majorBidi" w:hAnsiTheme="majorBidi" w:cstheme="majorBidi"/>
                <w:sz w:val="20"/>
                <w:szCs w:val="20"/>
              </w:rPr>
              <w:t xml:space="preserve"> </w:t>
            </w:r>
          </w:p>
        </w:tc>
        <w:tc>
          <w:tcPr>
            <w:tcW w:w="992" w:type="dxa"/>
            <w:shd w:val="clear" w:color="auto" w:fill="auto"/>
          </w:tcPr>
          <w:p w14:paraId="152AAD8E"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188C3185" w14:textId="77777777" w:rsidTr="00E25DDA">
        <w:tc>
          <w:tcPr>
            <w:tcW w:w="2552" w:type="dxa"/>
            <w:vMerge/>
            <w:shd w:val="clear" w:color="auto" w:fill="auto"/>
          </w:tcPr>
          <w:p w14:paraId="3648AB73"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1CE627E2"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16. Non-quoration meeting procedure is disclosed</w:t>
            </w:r>
            <w:r>
              <w:rPr>
                <w:rFonts w:asciiTheme="majorBidi" w:hAnsiTheme="majorBidi" w:cstheme="majorBidi"/>
                <w:sz w:val="20"/>
                <w:szCs w:val="20"/>
              </w:rPr>
              <w:t>.</w:t>
            </w:r>
            <w:r w:rsidRPr="00B859B8">
              <w:rPr>
                <w:rFonts w:asciiTheme="majorBidi" w:hAnsiTheme="majorBidi" w:cstheme="majorBidi"/>
                <w:sz w:val="20"/>
                <w:szCs w:val="20"/>
              </w:rPr>
              <w:t xml:space="preserve"> </w:t>
            </w:r>
          </w:p>
        </w:tc>
        <w:tc>
          <w:tcPr>
            <w:tcW w:w="992" w:type="dxa"/>
            <w:shd w:val="clear" w:color="auto" w:fill="auto"/>
          </w:tcPr>
          <w:p w14:paraId="4494B90E"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0B5CF16C" w14:textId="77777777" w:rsidTr="00E25DDA">
        <w:tc>
          <w:tcPr>
            <w:tcW w:w="2552" w:type="dxa"/>
            <w:vMerge/>
            <w:shd w:val="clear" w:color="auto" w:fill="auto"/>
          </w:tcPr>
          <w:p w14:paraId="55547037"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2361D0F6"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17. Governing board members share the accountability/responsibility for the success of their institutions</w:t>
            </w:r>
            <w:r>
              <w:rPr>
                <w:rFonts w:asciiTheme="majorBidi" w:hAnsiTheme="majorBidi" w:cstheme="majorBidi"/>
                <w:sz w:val="20"/>
                <w:szCs w:val="20"/>
              </w:rPr>
              <w:t>.</w:t>
            </w:r>
          </w:p>
        </w:tc>
        <w:tc>
          <w:tcPr>
            <w:tcW w:w="992" w:type="dxa"/>
            <w:shd w:val="clear" w:color="auto" w:fill="auto"/>
          </w:tcPr>
          <w:p w14:paraId="7A9A452E"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66040ECC" w14:textId="77777777" w:rsidTr="00E25DDA">
        <w:tc>
          <w:tcPr>
            <w:tcW w:w="2552" w:type="dxa"/>
            <w:vMerge/>
            <w:shd w:val="clear" w:color="auto" w:fill="auto"/>
          </w:tcPr>
          <w:p w14:paraId="07A66B85"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16777209"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18. Governing board members share the accountability/responsibility for risk management, internal control and the governance of their institutions</w:t>
            </w:r>
            <w:r>
              <w:rPr>
                <w:rFonts w:asciiTheme="majorBidi" w:hAnsiTheme="majorBidi" w:cstheme="majorBidi"/>
                <w:sz w:val="20"/>
                <w:szCs w:val="20"/>
              </w:rPr>
              <w:t>.</w:t>
            </w:r>
            <w:r w:rsidRPr="00B859B8">
              <w:rPr>
                <w:rFonts w:asciiTheme="majorBidi" w:hAnsiTheme="majorBidi" w:cstheme="majorBidi"/>
                <w:sz w:val="20"/>
                <w:szCs w:val="20"/>
              </w:rPr>
              <w:t xml:space="preserve"> </w:t>
            </w:r>
          </w:p>
        </w:tc>
        <w:tc>
          <w:tcPr>
            <w:tcW w:w="992" w:type="dxa"/>
            <w:shd w:val="clear" w:color="auto" w:fill="auto"/>
          </w:tcPr>
          <w:p w14:paraId="7F5E76E4"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6CA2ADB7" w14:textId="77777777" w:rsidTr="00E25DDA">
        <w:tc>
          <w:tcPr>
            <w:tcW w:w="2552" w:type="dxa"/>
            <w:vMerge/>
            <w:shd w:val="clear" w:color="auto" w:fill="auto"/>
          </w:tcPr>
          <w:p w14:paraId="44B89F9F"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79D065BC"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19. Governing board frequently review the delegated authority to the accountable officer</w:t>
            </w:r>
            <w:r>
              <w:rPr>
                <w:rFonts w:asciiTheme="majorBidi" w:hAnsiTheme="majorBidi" w:cstheme="majorBidi"/>
                <w:sz w:val="20"/>
                <w:szCs w:val="20"/>
              </w:rPr>
              <w:t>.</w:t>
            </w:r>
          </w:p>
        </w:tc>
        <w:tc>
          <w:tcPr>
            <w:tcW w:w="992" w:type="dxa"/>
            <w:shd w:val="clear" w:color="auto" w:fill="auto"/>
          </w:tcPr>
          <w:p w14:paraId="4ADBC85E"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748D2868" w14:textId="77777777" w:rsidTr="00E25DDA">
        <w:tc>
          <w:tcPr>
            <w:tcW w:w="2552" w:type="dxa"/>
            <w:vMerge/>
            <w:shd w:val="clear" w:color="auto" w:fill="auto"/>
          </w:tcPr>
          <w:p w14:paraId="37EF3114"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6E3A9FCF"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20. Approval and disclosure of ethical policy</w:t>
            </w:r>
            <w:r>
              <w:rPr>
                <w:rFonts w:asciiTheme="majorBidi" w:hAnsiTheme="majorBidi" w:cstheme="majorBidi"/>
                <w:sz w:val="20"/>
                <w:szCs w:val="20"/>
              </w:rPr>
              <w:t>.</w:t>
            </w:r>
            <w:r w:rsidRPr="00B859B8">
              <w:rPr>
                <w:rFonts w:asciiTheme="majorBidi" w:hAnsiTheme="majorBidi" w:cstheme="majorBidi"/>
                <w:sz w:val="20"/>
                <w:szCs w:val="20"/>
              </w:rPr>
              <w:t xml:space="preserve"> </w:t>
            </w:r>
          </w:p>
        </w:tc>
        <w:tc>
          <w:tcPr>
            <w:tcW w:w="992" w:type="dxa"/>
            <w:shd w:val="clear" w:color="auto" w:fill="auto"/>
          </w:tcPr>
          <w:p w14:paraId="5A11B658"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6D89A66D" w14:textId="77777777" w:rsidTr="00E25DDA">
        <w:tc>
          <w:tcPr>
            <w:tcW w:w="2552" w:type="dxa"/>
            <w:vMerge/>
            <w:shd w:val="clear" w:color="auto" w:fill="auto"/>
          </w:tcPr>
          <w:p w14:paraId="665400D6"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3FB0F0AD"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21. Disclosure of information relating to whistleblowing policy</w:t>
            </w:r>
            <w:r>
              <w:rPr>
                <w:rFonts w:asciiTheme="majorBidi" w:hAnsiTheme="majorBidi" w:cstheme="majorBidi"/>
                <w:sz w:val="20"/>
                <w:szCs w:val="20"/>
              </w:rPr>
              <w:t>.</w:t>
            </w:r>
          </w:p>
        </w:tc>
        <w:tc>
          <w:tcPr>
            <w:tcW w:w="992" w:type="dxa"/>
            <w:shd w:val="clear" w:color="auto" w:fill="auto"/>
          </w:tcPr>
          <w:p w14:paraId="020DFC03"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22268AA0" w14:textId="77777777" w:rsidTr="00E25DDA">
        <w:tc>
          <w:tcPr>
            <w:tcW w:w="2552" w:type="dxa"/>
            <w:vMerge/>
            <w:shd w:val="clear" w:color="auto" w:fill="auto"/>
          </w:tcPr>
          <w:p w14:paraId="54C28B4D"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4666E283"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22. Benchmarking of institutional practices/polic</w:t>
            </w:r>
            <w:r>
              <w:rPr>
                <w:rFonts w:asciiTheme="majorBidi" w:hAnsiTheme="majorBidi" w:cstheme="majorBidi"/>
                <w:sz w:val="20"/>
                <w:szCs w:val="20"/>
              </w:rPr>
              <w:t>i</w:t>
            </w:r>
            <w:r w:rsidRPr="00B859B8">
              <w:rPr>
                <w:rFonts w:asciiTheme="majorBidi" w:hAnsiTheme="majorBidi" w:cstheme="majorBidi"/>
                <w:sz w:val="20"/>
                <w:szCs w:val="20"/>
              </w:rPr>
              <w:t>es against sector practices and/or external requirement</w:t>
            </w:r>
            <w:r>
              <w:rPr>
                <w:rFonts w:asciiTheme="majorBidi" w:hAnsiTheme="majorBidi" w:cstheme="majorBidi"/>
                <w:sz w:val="20"/>
                <w:szCs w:val="20"/>
              </w:rPr>
              <w:t>.</w:t>
            </w:r>
          </w:p>
        </w:tc>
        <w:tc>
          <w:tcPr>
            <w:tcW w:w="992" w:type="dxa"/>
            <w:shd w:val="clear" w:color="auto" w:fill="auto"/>
          </w:tcPr>
          <w:p w14:paraId="740C97C0"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51317E24" w14:textId="77777777" w:rsidTr="00E25DDA">
        <w:tc>
          <w:tcPr>
            <w:tcW w:w="2552" w:type="dxa"/>
            <w:vMerge/>
            <w:shd w:val="clear" w:color="auto" w:fill="auto"/>
          </w:tcPr>
          <w:p w14:paraId="3BA0E8ED"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2714ACE8"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23. Disclosure of information relating to institution’s strategic plan</w:t>
            </w:r>
            <w:r>
              <w:rPr>
                <w:rFonts w:asciiTheme="majorBidi" w:hAnsiTheme="majorBidi" w:cstheme="majorBidi"/>
                <w:sz w:val="20"/>
                <w:szCs w:val="20"/>
              </w:rPr>
              <w:t>.</w:t>
            </w:r>
          </w:p>
        </w:tc>
        <w:tc>
          <w:tcPr>
            <w:tcW w:w="992" w:type="dxa"/>
            <w:shd w:val="clear" w:color="auto" w:fill="auto"/>
          </w:tcPr>
          <w:p w14:paraId="5F3A0DD5"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6FE40B1F" w14:textId="77777777" w:rsidTr="00E25DDA">
        <w:tc>
          <w:tcPr>
            <w:tcW w:w="2552" w:type="dxa"/>
            <w:vMerge/>
            <w:shd w:val="clear" w:color="auto" w:fill="auto"/>
          </w:tcPr>
          <w:p w14:paraId="72C11C24"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756194F3"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24. Accessing institutions sustainability (i.e., key performance indicators on financial sustainability) by the governing board</w:t>
            </w:r>
            <w:r>
              <w:rPr>
                <w:rFonts w:asciiTheme="majorBidi" w:hAnsiTheme="majorBidi" w:cstheme="majorBidi"/>
                <w:sz w:val="20"/>
                <w:szCs w:val="20"/>
              </w:rPr>
              <w:t>.</w:t>
            </w:r>
          </w:p>
        </w:tc>
        <w:tc>
          <w:tcPr>
            <w:tcW w:w="992" w:type="dxa"/>
            <w:shd w:val="clear" w:color="auto" w:fill="auto"/>
          </w:tcPr>
          <w:p w14:paraId="3B9C227E"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34F32B25" w14:textId="77777777" w:rsidTr="00E25DDA">
        <w:tc>
          <w:tcPr>
            <w:tcW w:w="2552" w:type="dxa"/>
            <w:vMerge/>
            <w:shd w:val="clear" w:color="auto" w:fill="auto"/>
          </w:tcPr>
          <w:p w14:paraId="1A8B8BD1"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767F8599"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25. Respecting and understanding the principle of academic freedom by the governing board</w:t>
            </w:r>
            <w:r>
              <w:rPr>
                <w:rFonts w:asciiTheme="majorBidi" w:hAnsiTheme="majorBidi" w:cstheme="majorBidi"/>
                <w:sz w:val="20"/>
                <w:szCs w:val="20"/>
              </w:rPr>
              <w:t>.</w:t>
            </w:r>
          </w:p>
        </w:tc>
        <w:tc>
          <w:tcPr>
            <w:tcW w:w="992" w:type="dxa"/>
            <w:shd w:val="clear" w:color="auto" w:fill="auto"/>
          </w:tcPr>
          <w:p w14:paraId="15353306"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75EE3762" w14:textId="77777777" w:rsidTr="00E25DDA">
        <w:tc>
          <w:tcPr>
            <w:tcW w:w="2552" w:type="dxa"/>
            <w:vMerge/>
            <w:shd w:val="clear" w:color="auto" w:fill="auto"/>
          </w:tcPr>
          <w:p w14:paraId="6FCB0C98"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5BAF2179"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26. Disclosure of information relating to equality and diversity legislation</w:t>
            </w:r>
            <w:r>
              <w:rPr>
                <w:rFonts w:asciiTheme="majorBidi" w:hAnsiTheme="majorBidi" w:cstheme="majorBidi"/>
                <w:sz w:val="20"/>
                <w:szCs w:val="20"/>
              </w:rPr>
              <w:t>.</w:t>
            </w:r>
          </w:p>
        </w:tc>
        <w:tc>
          <w:tcPr>
            <w:tcW w:w="992" w:type="dxa"/>
            <w:shd w:val="clear" w:color="auto" w:fill="auto"/>
          </w:tcPr>
          <w:p w14:paraId="68A3FB57"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1A626694" w14:textId="77777777" w:rsidTr="00E25DDA">
        <w:tc>
          <w:tcPr>
            <w:tcW w:w="2552" w:type="dxa"/>
            <w:vMerge/>
            <w:tcBorders>
              <w:bottom w:val="nil"/>
            </w:tcBorders>
            <w:shd w:val="clear" w:color="auto" w:fill="auto"/>
          </w:tcPr>
          <w:p w14:paraId="4ECF9154" w14:textId="77777777" w:rsidR="00E25DDA" w:rsidRPr="00B859B8" w:rsidRDefault="00E25DDA" w:rsidP="00E25DDA">
            <w:pPr>
              <w:spacing w:after="0"/>
              <w:rPr>
                <w:rFonts w:asciiTheme="majorBidi" w:hAnsiTheme="majorBidi" w:cstheme="majorBidi"/>
                <w:sz w:val="20"/>
                <w:szCs w:val="20"/>
              </w:rPr>
            </w:pPr>
          </w:p>
        </w:tc>
        <w:tc>
          <w:tcPr>
            <w:tcW w:w="6384" w:type="dxa"/>
            <w:tcBorders>
              <w:bottom w:val="nil"/>
            </w:tcBorders>
            <w:shd w:val="clear" w:color="auto" w:fill="auto"/>
          </w:tcPr>
          <w:p w14:paraId="0C071E8F"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27. Disclosure of information relating to governing board members’ biographical details, responsibilities and experience</w:t>
            </w:r>
            <w:r>
              <w:rPr>
                <w:rFonts w:asciiTheme="majorBidi" w:hAnsiTheme="majorBidi" w:cstheme="majorBidi"/>
                <w:sz w:val="20"/>
                <w:szCs w:val="20"/>
              </w:rPr>
              <w:t>.</w:t>
            </w:r>
          </w:p>
        </w:tc>
        <w:tc>
          <w:tcPr>
            <w:tcW w:w="992" w:type="dxa"/>
            <w:tcBorders>
              <w:bottom w:val="nil"/>
            </w:tcBorders>
            <w:shd w:val="clear" w:color="auto" w:fill="auto"/>
          </w:tcPr>
          <w:p w14:paraId="082BFBAA"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15F1D89B" w14:textId="77777777" w:rsidTr="00E25DDA">
        <w:tc>
          <w:tcPr>
            <w:tcW w:w="2552" w:type="dxa"/>
            <w:vMerge w:val="restart"/>
            <w:tcBorders>
              <w:bottom w:val="single" w:sz="12" w:space="0" w:color="auto"/>
            </w:tcBorders>
            <w:shd w:val="clear" w:color="auto" w:fill="auto"/>
          </w:tcPr>
          <w:p w14:paraId="4C05E99F" w14:textId="77777777" w:rsidR="00E25DDA" w:rsidRPr="00B859B8" w:rsidRDefault="00E25DDA" w:rsidP="00E25DDA">
            <w:pPr>
              <w:spacing w:after="0"/>
              <w:rPr>
                <w:rFonts w:asciiTheme="majorBidi" w:hAnsiTheme="majorBidi" w:cstheme="majorBidi"/>
                <w:b/>
                <w:bCs/>
                <w:i/>
                <w:iCs/>
                <w:sz w:val="20"/>
                <w:szCs w:val="20"/>
              </w:rPr>
            </w:pPr>
            <w:r w:rsidRPr="00B859B8">
              <w:rPr>
                <w:rFonts w:asciiTheme="majorBidi" w:hAnsiTheme="majorBidi" w:cstheme="majorBidi"/>
                <w:b/>
                <w:bCs/>
                <w:i/>
                <w:iCs/>
                <w:sz w:val="20"/>
                <w:szCs w:val="20"/>
              </w:rPr>
              <w:t>Structure and Procedure Sub-Index</w:t>
            </w:r>
          </w:p>
        </w:tc>
        <w:tc>
          <w:tcPr>
            <w:tcW w:w="6384" w:type="dxa"/>
            <w:tcBorders>
              <w:bottom w:val="nil"/>
            </w:tcBorders>
            <w:shd w:val="clear" w:color="auto" w:fill="auto"/>
          </w:tcPr>
          <w:p w14:paraId="19E058E6"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28. Reviewing compliance with regulations/laws</w:t>
            </w:r>
            <w:r>
              <w:rPr>
                <w:rFonts w:asciiTheme="majorBidi" w:hAnsiTheme="majorBidi" w:cstheme="majorBidi"/>
                <w:sz w:val="20"/>
                <w:szCs w:val="20"/>
              </w:rPr>
              <w:t>.</w:t>
            </w:r>
            <w:r w:rsidRPr="00B859B8">
              <w:rPr>
                <w:rFonts w:asciiTheme="majorBidi" w:hAnsiTheme="majorBidi" w:cstheme="majorBidi"/>
                <w:sz w:val="20"/>
                <w:szCs w:val="20"/>
              </w:rPr>
              <w:t xml:space="preserve"> </w:t>
            </w:r>
          </w:p>
        </w:tc>
        <w:tc>
          <w:tcPr>
            <w:tcW w:w="992" w:type="dxa"/>
            <w:tcBorders>
              <w:bottom w:val="nil"/>
            </w:tcBorders>
            <w:shd w:val="clear" w:color="auto" w:fill="auto"/>
          </w:tcPr>
          <w:p w14:paraId="4EBF24C1"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7AAC2620" w14:textId="77777777" w:rsidTr="00E25DDA">
        <w:tc>
          <w:tcPr>
            <w:tcW w:w="2552" w:type="dxa"/>
            <w:vMerge/>
            <w:tcBorders>
              <w:bottom w:val="single" w:sz="12" w:space="0" w:color="auto"/>
            </w:tcBorders>
            <w:shd w:val="clear" w:color="auto" w:fill="auto"/>
          </w:tcPr>
          <w:p w14:paraId="7A0F79A3" w14:textId="77777777" w:rsidR="00E25DDA" w:rsidRPr="00B859B8" w:rsidRDefault="00E25DDA" w:rsidP="00E25DDA">
            <w:pPr>
              <w:spacing w:after="0"/>
              <w:rPr>
                <w:rFonts w:asciiTheme="majorBidi" w:hAnsiTheme="majorBidi" w:cstheme="majorBidi"/>
                <w:sz w:val="20"/>
                <w:szCs w:val="20"/>
              </w:rPr>
            </w:pPr>
          </w:p>
        </w:tc>
        <w:tc>
          <w:tcPr>
            <w:tcW w:w="6384" w:type="dxa"/>
            <w:tcBorders>
              <w:bottom w:val="nil"/>
            </w:tcBorders>
            <w:shd w:val="clear" w:color="auto" w:fill="auto"/>
          </w:tcPr>
          <w:p w14:paraId="3EBA5F6C"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29. Reviewing the utilisation of public fund</w:t>
            </w:r>
            <w:r>
              <w:rPr>
                <w:rFonts w:asciiTheme="majorBidi" w:hAnsiTheme="majorBidi" w:cstheme="majorBidi"/>
                <w:sz w:val="20"/>
                <w:szCs w:val="20"/>
              </w:rPr>
              <w:t>.</w:t>
            </w:r>
            <w:r w:rsidRPr="00B859B8">
              <w:rPr>
                <w:rFonts w:asciiTheme="majorBidi" w:hAnsiTheme="majorBidi" w:cstheme="majorBidi"/>
                <w:sz w:val="20"/>
                <w:szCs w:val="20"/>
              </w:rPr>
              <w:t xml:space="preserve"> </w:t>
            </w:r>
          </w:p>
        </w:tc>
        <w:tc>
          <w:tcPr>
            <w:tcW w:w="992" w:type="dxa"/>
            <w:tcBorders>
              <w:bottom w:val="nil"/>
            </w:tcBorders>
            <w:shd w:val="clear" w:color="auto" w:fill="auto"/>
          </w:tcPr>
          <w:p w14:paraId="0EEB79CB"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1D033B51" w14:textId="77777777" w:rsidTr="00E25DDA">
        <w:tc>
          <w:tcPr>
            <w:tcW w:w="2552" w:type="dxa"/>
            <w:vMerge/>
            <w:tcBorders>
              <w:top w:val="single" w:sz="2" w:space="0" w:color="auto"/>
              <w:bottom w:val="single" w:sz="12" w:space="0" w:color="auto"/>
            </w:tcBorders>
            <w:shd w:val="clear" w:color="auto" w:fill="auto"/>
          </w:tcPr>
          <w:p w14:paraId="393FA179" w14:textId="77777777" w:rsidR="00E25DDA" w:rsidRPr="00B859B8" w:rsidRDefault="00E25DDA" w:rsidP="00E25DDA">
            <w:pPr>
              <w:spacing w:after="0"/>
              <w:rPr>
                <w:rFonts w:asciiTheme="majorBidi" w:hAnsiTheme="majorBidi" w:cstheme="majorBidi"/>
                <w:sz w:val="20"/>
                <w:szCs w:val="20"/>
              </w:rPr>
            </w:pPr>
          </w:p>
        </w:tc>
        <w:tc>
          <w:tcPr>
            <w:tcW w:w="6384" w:type="dxa"/>
            <w:tcBorders>
              <w:top w:val="nil"/>
              <w:bottom w:val="nil"/>
            </w:tcBorders>
            <w:shd w:val="clear" w:color="auto" w:fill="auto"/>
          </w:tcPr>
          <w:p w14:paraId="59225E92"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30. Reviewing procedures to oversee conflicts of interest and ensure high standard behavio</w:t>
            </w:r>
            <w:r>
              <w:rPr>
                <w:rFonts w:asciiTheme="majorBidi" w:hAnsiTheme="majorBidi" w:cstheme="majorBidi"/>
                <w:sz w:val="20"/>
                <w:szCs w:val="20"/>
              </w:rPr>
              <w:t>u</w:t>
            </w:r>
            <w:r w:rsidRPr="00B859B8">
              <w:rPr>
                <w:rFonts w:asciiTheme="majorBidi" w:hAnsiTheme="majorBidi" w:cstheme="majorBidi"/>
                <w:sz w:val="20"/>
                <w:szCs w:val="20"/>
              </w:rPr>
              <w:t>r among board members</w:t>
            </w:r>
            <w:r>
              <w:rPr>
                <w:rFonts w:asciiTheme="majorBidi" w:hAnsiTheme="majorBidi" w:cstheme="majorBidi"/>
                <w:sz w:val="20"/>
                <w:szCs w:val="20"/>
              </w:rPr>
              <w:t>.</w:t>
            </w:r>
            <w:r w:rsidRPr="00B859B8">
              <w:rPr>
                <w:rFonts w:asciiTheme="majorBidi" w:hAnsiTheme="majorBidi" w:cstheme="majorBidi"/>
                <w:sz w:val="20"/>
                <w:szCs w:val="20"/>
              </w:rPr>
              <w:t xml:space="preserve"> </w:t>
            </w:r>
          </w:p>
        </w:tc>
        <w:tc>
          <w:tcPr>
            <w:tcW w:w="992" w:type="dxa"/>
            <w:tcBorders>
              <w:top w:val="nil"/>
              <w:bottom w:val="nil"/>
            </w:tcBorders>
            <w:shd w:val="clear" w:color="auto" w:fill="auto"/>
          </w:tcPr>
          <w:p w14:paraId="1692E90C"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6DF3DE1B" w14:textId="77777777" w:rsidTr="00E25DDA">
        <w:tc>
          <w:tcPr>
            <w:tcW w:w="2552" w:type="dxa"/>
            <w:vMerge/>
            <w:tcBorders>
              <w:bottom w:val="single" w:sz="12" w:space="0" w:color="auto"/>
            </w:tcBorders>
            <w:shd w:val="clear" w:color="auto" w:fill="auto"/>
          </w:tcPr>
          <w:p w14:paraId="2007509E" w14:textId="77777777" w:rsidR="00E25DDA" w:rsidRPr="00B859B8" w:rsidRDefault="00E25DDA" w:rsidP="00E25DDA">
            <w:pPr>
              <w:spacing w:after="0"/>
              <w:rPr>
                <w:rFonts w:asciiTheme="majorBidi" w:hAnsiTheme="majorBidi" w:cstheme="majorBidi"/>
                <w:sz w:val="20"/>
                <w:szCs w:val="20"/>
              </w:rPr>
            </w:pPr>
          </w:p>
        </w:tc>
        <w:tc>
          <w:tcPr>
            <w:tcW w:w="6384" w:type="dxa"/>
            <w:tcBorders>
              <w:top w:val="nil"/>
            </w:tcBorders>
            <w:shd w:val="clear" w:color="auto" w:fill="auto"/>
          </w:tcPr>
          <w:p w14:paraId="53AC8E18"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 xml:space="preserve">31. </w:t>
            </w:r>
            <w:r>
              <w:rPr>
                <w:rFonts w:asciiTheme="majorBidi" w:hAnsiTheme="majorBidi" w:cstheme="majorBidi"/>
                <w:sz w:val="20"/>
                <w:szCs w:val="20"/>
              </w:rPr>
              <w:t>W</w:t>
            </w:r>
            <w:r w:rsidRPr="00B859B8">
              <w:rPr>
                <w:rFonts w:asciiTheme="majorBidi" w:hAnsiTheme="majorBidi" w:cstheme="majorBidi"/>
                <w:sz w:val="20"/>
                <w:szCs w:val="20"/>
              </w:rPr>
              <w:t>hether the plans for the orderly succession of governors is disclosed</w:t>
            </w:r>
            <w:r>
              <w:rPr>
                <w:rFonts w:asciiTheme="majorBidi" w:hAnsiTheme="majorBidi" w:cstheme="majorBidi"/>
                <w:sz w:val="20"/>
                <w:szCs w:val="20"/>
              </w:rPr>
              <w:t>.</w:t>
            </w:r>
            <w:r w:rsidRPr="00B859B8">
              <w:rPr>
                <w:rFonts w:asciiTheme="majorBidi" w:hAnsiTheme="majorBidi" w:cstheme="majorBidi"/>
                <w:sz w:val="20"/>
                <w:szCs w:val="20"/>
              </w:rPr>
              <w:t xml:space="preserve"> </w:t>
            </w:r>
          </w:p>
        </w:tc>
        <w:tc>
          <w:tcPr>
            <w:tcW w:w="992" w:type="dxa"/>
            <w:tcBorders>
              <w:top w:val="nil"/>
            </w:tcBorders>
            <w:shd w:val="clear" w:color="auto" w:fill="auto"/>
          </w:tcPr>
          <w:p w14:paraId="1DD4209D"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75E99E49" w14:textId="77777777" w:rsidTr="00E25DDA">
        <w:tc>
          <w:tcPr>
            <w:tcW w:w="2552" w:type="dxa"/>
            <w:vMerge/>
            <w:tcBorders>
              <w:bottom w:val="single" w:sz="12" w:space="0" w:color="auto"/>
            </w:tcBorders>
            <w:shd w:val="clear" w:color="auto" w:fill="auto"/>
          </w:tcPr>
          <w:p w14:paraId="3F9C9F0E"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768EAFA1"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32. Governors’ re-elections are held based on satisfactory performance</w:t>
            </w:r>
            <w:r>
              <w:rPr>
                <w:rFonts w:asciiTheme="majorBidi" w:hAnsiTheme="majorBidi" w:cstheme="majorBidi"/>
                <w:sz w:val="20"/>
                <w:szCs w:val="20"/>
              </w:rPr>
              <w:t>.</w:t>
            </w:r>
          </w:p>
        </w:tc>
        <w:tc>
          <w:tcPr>
            <w:tcW w:w="992" w:type="dxa"/>
            <w:shd w:val="clear" w:color="auto" w:fill="auto"/>
          </w:tcPr>
          <w:p w14:paraId="5AF4A1A2"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1AB3D216" w14:textId="77777777" w:rsidTr="00E25DDA">
        <w:tc>
          <w:tcPr>
            <w:tcW w:w="2552" w:type="dxa"/>
            <w:vMerge/>
            <w:tcBorders>
              <w:bottom w:val="single" w:sz="12" w:space="0" w:color="auto"/>
            </w:tcBorders>
            <w:shd w:val="clear" w:color="auto" w:fill="auto"/>
          </w:tcPr>
          <w:p w14:paraId="1E6A5FF1"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71EF591E"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33. Whether governors’ terms of office is disclosed</w:t>
            </w:r>
            <w:r>
              <w:rPr>
                <w:rFonts w:asciiTheme="majorBidi" w:hAnsiTheme="majorBidi" w:cstheme="majorBidi"/>
                <w:sz w:val="20"/>
                <w:szCs w:val="20"/>
              </w:rPr>
              <w:t>.</w:t>
            </w:r>
          </w:p>
        </w:tc>
        <w:tc>
          <w:tcPr>
            <w:tcW w:w="992" w:type="dxa"/>
            <w:shd w:val="clear" w:color="auto" w:fill="auto"/>
          </w:tcPr>
          <w:p w14:paraId="063AD96D"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3AE2860B" w14:textId="77777777" w:rsidTr="00E25DDA">
        <w:tc>
          <w:tcPr>
            <w:tcW w:w="2552" w:type="dxa"/>
            <w:vMerge/>
            <w:tcBorders>
              <w:bottom w:val="single" w:sz="12" w:space="0" w:color="auto"/>
            </w:tcBorders>
            <w:shd w:val="clear" w:color="auto" w:fill="auto"/>
          </w:tcPr>
          <w:p w14:paraId="7F8F6543"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3B2CC249"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34. Whether the remuneration packages of senior officers, including VCs, are disclosed</w:t>
            </w:r>
            <w:r>
              <w:rPr>
                <w:rFonts w:asciiTheme="majorBidi" w:hAnsiTheme="majorBidi" w:cstheme="majorBidi"/>
                <w:sz w:val="20"/>
                <w:szCs w:val="20"/>
              </w:rPr>
              <w:t>.</w:t>
            </w:r>
            <w:r w:rsidRPr="00B859B8">
              <w:rPr>
                <w:rFonts w:asciiTheme="majorBidi" w:hAnsiTheme="majorBidi" w:cstheme="majorBidi"/>
                <w:sz w:val="20"/>
                <w:szCs w:val="20"/>
              </w:rPr>
              <w:t xml:space="preserve"> </w:t>
            </w:r>
          </w:p>
        </w:tc>
        <w:tc>
          <w:tcPr>
            <w:tcW w:w="992" w:type="dxa"/>
            <w:shd w:val="clear" w:color="auto" w:fill="auto"/>
          </w:tcPr>
          <w:p w14:paraId="3F26499B"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0C7B19A1" w14:textId="77777777" w:rsidTr="00E25DDA">
        <w:tc>
          <w:tcPr>
            <w:tcW w:w="2552" w:type="dxa"/>
            <w:vMerge/>
            <w:tcBorders>
              <w:bottom w:val="single" w:sz="12" w:space="0" w:color="auto"/>
            </w:tcBorders>
            <w:shd w:val="clear" w:color="auto" w:fill="auto"/>
          </w:tcPr>
          <w:p w14:paraId="1F3D1975"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06065F98"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35. Reviewing procedures to ensure supplying timely and appropriate information to the governing board/committee</w:t>
            </w:r>
            <w:r>
              <w:rPr>
                <w:rFonts w:asciiTheme="majorBidi" w:hAnsiTheme="majorBidi" w:cstheme="majorBidi"/>
                <w:sz w:val="20"/>
                <w:szCs w:val="20"/>
              </w:rPr>
              <w:t>.</w:t>
            </w:r>
          </w:p>
        </w:tc>
        <w:tc>
          <w:tcPr>
            <w:tcW w:w="992" w:type="dxa"/>
            <w:shd w:val="clear" w:color="auto" w:fill="auto"/>
          </w:tcPr>
          <w:p w14:paraId="3D8E05A3"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3B723EE1" w14:textId="77777777" w:rsidTr="00E25DDA">
        <w:tc>
          <w:tcPr>
            <w:tcW w:w="2552" w:type="dxa"/>
            <w:vMerge/>
            <w:tcBorders>
              <w:bottom w:val="single" w:sz="12" w:space="0" w:color="auto"/>
            </w:tcBorders>
            <w:shd w:val="clear" w:color="auto" w:fill="auto"/>
          </w:tcPr>
          <w:p w14:paraId="6993000A" w14:textId="77777777" w:rsidR="00E25DDA" w:rsidRPr="00B859B8" w:rsidRDefault="00E25DDA" w:rsidP="00E25DDA">
            <w:pPr>
              <w:spacing w:after="0"/>
              <w:rPr>
                <w:rFonts w:asciiTheme="majorBidi" w:hAnsiTheme="majorBidi" w:cstheme="majorBidi"/>
                <w:sz w:val="20"/>
                <w:szCs w:val="20"/>
              </w:rPr>
            </w:pPr>
          </w:p>
        </w:tc>
        <w:tc>
          <w:tcPr>
            <w:tcW w:w="6384" w:type="dxa"/>
            <w:tcBorders>
              <w:bottom w:val="single" w:sz="12" w:space="0" w:color="auto"/>
            </w:tcBorders>
            <w:shd w:val="clear" w:color="auto" w:fill="auto"/>
          </w:tcPr>
          <w:p w14:paraId="04E387CC" w14:textId="77777777" w:rsidR="00E25DDA"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36. Reviewing procedures to ensure providing appropriate training to governing board members, including induction for new members</w:t>
            </w:r>
            <w:r>
              <w:rPr>
                <w:rFonts w:asciiTheme="majorBidi" w:hAnsiTheme="majorBidi" w:cstheme="majorBidi"/>
                <w:sz w:val="20"/>
                <w:szCs w:val="20"/>
              </w:rPr>
              <w:t>.</w:t>
            </w:r>
          </w:p>
          <w:p w14:paraId="47757592" w14:textId="305696CA" w:rsidR="00E25DDA" w:rsidRPr="00B859B8" w:rsidRDefault="00E25DDA" w:rsidP="00E25DDA">
            <w:pPr>
              <w:spacing w:after="0"/>
              <w:rPr>
                <w:rFonts w:asciiTheme="majorBidi" w:hAnsiTheme="majorBidi" w:cstheme="majorBidi"/>
                <w:sz w:val="20"/>
                <w:szCs w:val="20"/>
              </w:rPr>
            </w:pPr>
          </w:p>
        </w:tc>
        <w:tc>
          <w:tcPr>
            <w:tcW w:w="992" w:type="dxa"/>
            <w:tcBorders>
              <w:bottom w:val="single" w:sz="12" w:space="0" w:color="auto"/>
            </w:tcBorders>
            <w:shd w:val="clear" w:color="auto" w:fill="auto"/>
          </w:tcPr>
          <w:p w14:paraId="002C3823"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670CF9FD" w14:textId="77777777" w:rsidTr="00E25DDA">
        <w:tc>
          <w:tcPr>
            <w:tcW w:w="2552" w:type="dxa"/>
            <w:vMerge/>
            <w:tcBorders>
              <w:top w:val="single" w:sz="12" w:space="0" w:color="auto"/>
              <w:bottom w:val="single" w:sz="12" w:space="0" w:color="auto"/>
            </w:tcBorders>
            <w:shd w:val="clear" w:color="auto" w:fill="auto"/>
          </w:tcPr>
          <w:p w14:paraId="28E2FF01" w14:textId="77777777" w:rsidR="00E25DDA" w:rsidRPr="00B859B8" w:rsidRDefault="00E25DDA" w:rsidP="00E25DDA">
            <w:pPr>
              <w:spacing w:after="0"/>
              <w:rPr>
                <w:rFonts w:asciiTheme="majorBidi" w:hAnsiTheme="majorBidi" w:cstheme="majorBidi"/>
                <w:sz w:val="20"/>
                <w:szCs w:val="20"/>
              </w:rPr>
            </w:pPr>
          </w:p>
        </w:tc>
        <w:tc>
          <w:tcPr>
            <w:tcW w:w="6384" w:type="dxa"/>
            <w:tcBorders>
              <w:top w:val="single" w:sz="12" w:space="0" w:color="auto"/>
              <w:bottom w:val="nil"/>
            </w:tcBorders>
            <w:shd w:val="clear" w:color="auto" w:fill="auto"/>
          </w:tcPr>
          <w:p w14:paraId="275D933F"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37. Governors’ access to independent professional advice</w:t>
            </w:r>
            <w:r>
              <w:rPr>
                <w:rFonts w:asciiTheme="majorBidi" w:hAnsiTheme="majorBidi" w:cstheme="majorBidi"/>
                <w:sz w:val="20"/>
                <w:szCs w:val="20"/>
              </w:rPr>
              <w:t>.</w:t>
            </w:r>
          </w:p>
        </w:tc>
        <w:tc>
          <w:tcPr>
            <w:tcW w:w="992" w:type="dxa"/>
            <w:tcBorders>
              <w:top w:val="single" w:sz="12" w:space="0" w:color="auto"/>
              <w:bottom w:val="nil"/>
            </w:tcBorders>
            <w:shd w:val="clear" w:color="auto" w:fill="auto"/>
          </w:tcPr>
          <w:p w14:paraId="4BE68F1C"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6A58172A" w14:textId="77777777" w:rsidTr="00E25DDA">
        <w:tc>
          <w:tcPr>
            <w:tcW w:w="2552" w:type="dxa"/>
            <w:vMerge/>
            <w:tcBorders>
              <w:bottom w:val="single" w:sz="12" w:space="0" w:color="auto"/>
            </w:tcBorders>
            <w:shd w:val="clear" w:color="auto" w:fill="auto"/>
          </w:tcPr>
          <w:p w14:paraId="77DF506C" w14:textId="77777777" w:rsidR="00E25DDA" w:rsidRPr="00B859B8" w:rsidRDefault="00E25DDA" w:rsidP="00E25DDA">
            <w:pPr>
              <w:spacing w:after="0"/>
              <w:rPr>
                <w:rFonts w:asciiTheme="majorBidi" w:hAnsiTheme="majorBidi" w:cstheme="majorBidi"/>
                <w:sz w:val="20"/>
                <w:szCs w:val="20"/>
              </w:rPr>
            </w:pPr>
          </w:p>
        </w:tc>
        <w:tc>
          <w:tcPr>
            <w:tcW w:w="6384" w:type="dxa"/>
            <w:tcBorders>
              <w:bottom w:val="nil"/>
            </w:tcBorders>
            <w:shd w:val="clear" w:color="auto" w:fill="auto"/>
          </w:tcPr>
          <w:p w14:paraId="4D1D468E" w14:textId="77777777" w:rsidR="00E25DDA" w:rsidRPr="00B859B8" w:rsidRDefault="00E25DDA" w:rsidP="00E25DDA">
            <w:pPr>
              <w:spacing w:after="0"/>
              <w:rPr>
                <w:rFonts w:asciiTheme="majorBidi" w:hAnsiTheme="majorBidi" w:cstheme="majorBidi"/>
                <w:sz w:val="20"/>
                <w:szCs w:val="20"/>
              </w:rPr>
            </w:pPr>
            <w:r w:rsidRPr="00B859B8">
              <w:rPr>
                <w:rFonts w:asciiTheme="majorBidi" w:eastAsia="Times New Roman" w:hAnsiTheme="majorBidi" w:cstheme="majorBidi"/>
                <w:sz w:val="20"/>
                <w:szCs w:val="20"/>
              </w:rPr>
              <w:t xml:space="preserve">38. The existence of the </w:t>
            </w:r>
            <w:r>
              <w:rPr>
                <w:rFonts w:asciiTheme="majorBidi" w:eastAsia="Times New Roman" w:hAnsiTheme="majorBidi" w:cstheme="majorBidi"/>
                <w:sz w:val="20"/>
                <w:szCs w:val="20"/>
              </w:rPr>
              <w:t>HEI</w:t>
            </w:r>
            <w:r w:rsidRPr="00B859B8">
              <w:rPr>
                <w:rFonts w:asciiTheme="majorBidi" w:eastAsia="Times New Roman" w:hAnsiTheme="majorBidi" w:cstheme="majorBidi"/>
                <w:sz w:val="20"/>
                <w:szCs w:val="20"/>
              </w:rPr>
              <w:t xml:space="preserve"> secretary’s office</w:t>
            </w:r>
            <w:r>
              <w:rPr>
                <w:rFonts w:asciiTheme="majorBidi" w:eastAsia="Times New Roman" w:hAnsiTheme="majorBidi" w:cstheme="majorBidi"/>
                <w:sz w:val="20"/>
                <w:szCs w:val="20"/>
              </w:rPr>
              <w:t>.</w:t>
            </w:r>
          </w:p>
        </w:tc>
        <w:tc>
          <w:tcPr>
            <w:tcW w:w="992" w:type="dxa"/>
            <w:tcBorders>
              <w:bottom w:val="nil"/>
            </w:tcBorders>
            <w:shd w:val="clear" w:color="auto" w:fill="auto"/>
          </w:tcPr>
          <w:p w14:paraId="77289138"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7081AF26" w14:textId="77777777" w:rsidTr="00E25DDA">
        <w:tc>
          <w:tcPr>
            <w:tcW w:w="2552" w:type="dxa"/>
            <w:vMerge/>
            <w:tcBorders>
              <w:top w:val="single" w:sz="12" w:space="0" w:color="auto"/>
              <w:bottom w:val="single" w:sz="12" w:space="0" w:color="auto"/>
            </w:tcBorders>
            <w:shd w:val="clear" w:color="auto" w:fill="auto"/>
          </w:tcPr>
          <w:p w14:paraId="507D8FFB" w14:textId="77777777" w:rsidR="00E25DDA" w:rsidRPr="00B859B8" w:rsidRDefault="00E25DDA" w:rsidP="00E25DDA">
            <w:pPr>
              <w:spacing w:after="0"/>
              <w:rPr>
                <w:rFonts w:asciiTheme="majorBidi" w:hAnsiTheme="majorBidi" w:cstheme="majorBidi"/>
                <w:sz w:val="20"/>
                <w:szCs w:val="20"/>
              </w:rPr>
            </w:pPr>
          </w:p>
        </w:tc>
        <w:tc>
          <w:tcPr>
            <w:tcW w:w="6384" w:type="dxa"/>
            <w:tcBorders>
              <w:top w:val="nil"/>
              <w:bottom w:val="nil"/>
            </w:tcBorders>
            <w:shd w:val="clear" w:color="auto" w:fill="auto"/>
          </w:tcPr>
          <w:p w14:paraId="7C097555"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39. Procedures to ensure the operation of the student unions/associations in a financially sustainable, accountable and democratic environment</w:t>
            </w:r>
            <w:r>
              <w:rPr>
                <w:rFonts w:asciiTheme="majorBidi" w:hAnsiTheme="majorBidi" w:cstheme="majorBidi"/>
                <w:sz w:val="20"/>
                <w:szCs w:val="20"/>
              </w:rPr>
              <w:t>.</w:t>
            </w:r>
          </w:p>
        </w:tc>
        <w:tc>
          <w:tcPr>
            <w:tcW w:w="992" w:type="dxa"/>
            <w:tcBorders>
              <w:top w:val="nil"/>
              <w:bottom w:val="nil"/>
            </w:tcBorders>
            <w:shd w:val="clear" w:color="auto" w:fill="auto"/>
          </w:tcPr>
          <w:p w14:paraId="11E74654"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6BDF7185" w14:textId="77777777" w:rsidTr="00E25DDA">
        <w:tc>
          <w:tcPr>
            <w:tcW w:w="2552" w:type="dxa"/>
            <w:vMerge/>
            <w:tcBorders>
              <w:bottom w:val="single" w:sz="12" w:space="0" w:color="auto"/>
            </w:tcBorders>
            <w:shd w:val="clear" w:color="auto" w:fill="auto"/>
          </w:tcPr>
          <w:p w14:paraId="3A292C35" w14:textId="77777777" w:rsidR="00E25DDA" w:rsidRPr="00B859B8" w:rsidRDefault="00E25DDA" w:rsidP="00E25DDA">
            <w:pPr>
              <w:spacing w:after="0"/>
              <w:rPr>
                <w:rFonts w:asciiTheme="majorBidi" w:hAnsiTheme="majorBidi" w:cstheme="majorBidi"/>
                <w:sz w:val="20"/>
                <w:szCs w:val="20"/>
              </w:rPr>
            </w:pPr>
          </w:p>
        </w:tc>
        <w:tc>
          <w:tcPr>
            <w:tcW w:w="6384" w:type="dxa"/>
            <w:tcBorders>
              <w:top w:val="nil"/>
            </w:tcBorders>
            <w:shd w:val="clear" w:color="auto" w:fill="auto"/>
          </w:tcPr>
          <w:p w14:paraId="5891BA34"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40. The existence of sustainable arrangements for the continuation of business in the absence of the chair</w:t>
            </w:r>
            <w:r>
              <w:rPr>
                <w:rFonts w:asciiTheme="majorBidi" w:hAnsiTheme="majorBidi" w:cstheme="majorBidi"/>
                <w:sz w:val="20"/>
                <w:szCs w:val="20"/>
              </w:rPr>
              <w:t>.</w:t>
            </w:r>
            <w:r w:rsidRPr="00B859B8">
              <w:rPr>
                <w:rFonts w:asciiTheme="majorBidi" w:hAnsiTheme="majorBidi" w:cstheme="majorBidi"/>
                <w:sz w:val="20"/>
                <w:szCs w:val="20"/>
              </w:rPr>
              <w:t xml:space="preserve"> </w:t>
            </w:r>
          </w:p>
        </w:tc>
        <w:tc>
          <w:tcPr>
            <w:tcW w:w="992" w:type="dxa"/>
            <w:tcBorders>
              <w:top w:val="nil"/>
            </w:tcBorders>
            <w:shd w:val="clear" w:color="auto" w:fill="auto"/>
          </w:tcPr>
          <w:p w14:paraId="69A14BA2"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215CBEE5" w14:textId="77777777" w:rsidTr="00E25DDA">
        <w:tc>
          <w:tcPr>
            <w:tcW w:w="2552" w:type="dxa"/>
            <w:vMerge/>
            <w:tcBorders>
              <w:bottom w:val="single" w:sz="12" w:space="0" w:color="auto"/>
            </w:tcBorders>
            <w:shd w:val="clear" w:color="auto" w:fill="auto"/>
          </w:tcPr>
          <w:p w14:paraId="7612FC31"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5161CDD3"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41. Students have integral role in enhancing teaching</w:t>
            </w:r>
            <w:r>
              <w:rPr>
                <w:rFonts w:asciiTheme="majorBidi" w:hAnsiTheme="majorBidi" w:cstheme="majorBidi"/>
                <w:sz w:val="20"/>
                <w:szCs w:val="20"/>
              </w:rPr>
              <w:t>.</w:t>
            </w:r>
          </w:p>
        </w:tc>
        <w:tc>
          <w:tcPr>
            <w:tcW w:w="992" w:type="dxa"/>
            <w:shd w:val="clear" w:color="auto" w:fill="auto"/>
          </w:tcPr>
          <w:p w14:paraId="3021F264"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60903187" w14:textId="77777777" w:rsidTr="00E25DDA">
        <w:tc>
          <w:tcPr>
            <w:tcW w:w="2552" w:type="dxa"/>
            <w:vMerge/>
            <w:tcBorders>
              <w:bottom w:val="single" w:sz="12" w:space="0" w:color="auto"/>
            </w:tcBorders>
            <w:shd w:val="clear" w:color="auto" w:fill="auto"/>
          </w:tcPr>
          <w:p w14:paraId="7E14257D"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65EF257E"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42. Responsibilities/roles of governing board members are disclosed</w:t>
            </w:r>
            <w:r>
              <w:rPr>
                <w:rFonts w:asciiTheme="majorBidi" w:hAnsiTheme="majorBidi" w:cstheme="majorBidi"/>
                <w:sz w:val="20"/>
                <w:szCs w:val="20"/>
              </w:rPr>
              <w:t>.</w:t>
            </w:r>
          </w:p>
        </w:tc>
        <w:tc>
          <w:tcPr>
            <w:tcW w:w="992" w:type="dxa"/>
            <w:shd w:val="clear" w:color="auto" w:fill="auto"/>
          </w:tcPr>
          <w:p w14:paraId="227E40FF"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114BA4E8" w14:textId="77777777" w:rsidTr="00E25DDA">
        <w:tc>
          <w:tcPr>
            <w:tcW w:w="2552" w:type="dxa"/>
            <w:vMerge/>
            <w:tcBorders>
              <w:bottom w:val="single" w:sz="12" w:space="0" w:color="auto"/>
            </w:tcBorders>
            <w:shd w:val="clear" w:color="auto" w:fill="auto"/>
          </w:tcPr>
          <w:p w14:paraId="16C8FF68"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37FAF9D2"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43. The existence of a nomination committee</w:t>
            </w:r>
            <w:r>
              <w:rPr>
                <w:rFonts w:asciiTheme="majorBidi" w:hAnsiTheme="majorBidi" w:cstheme="majorBidi"/>
                <w:sz w:val="20"/>
                <w:szCs w:val="20"/>
              </w:rPr>
              <w:t>.</w:t>
            </w:r>
          </w:p>
        </w:tc>
        <w:tc>
          <w:tcPr>
            <w:tcW w:w="992" w:type="dxa"/>
            <w:shd w:val="clear" w:color="auto" w:fill="auto"/>
          </w:tcPr>
          <w:p w14:paraId="324EBA3E"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5F3F96A5" w14:textId="77777777" w:rsidTr="00E25DDA">
        <w:tc>
          <w:tcPr>
            <w:tcW w:w="2552" w:type="dxa"/>
            <w:vMerge/>
            <w:tcBorders>
              <w:bottom w:val="single" w:sz="12" w:space="0" w:color="auto"/>
            </w:tcBorders>
            <w:shd w:val="clear" w:color="auto" w:fill="auto"/>
          </w:tcPr>
          <w:p w14:paraId="1E021D98"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5236045E"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44. Composition of a nomination committee (governing board’s chair, at least 3 independent governors, the head of institution, and a senior academic)</w:t>
            </w:r>
            <w:r>
              <w:rPr>
                <w:rFonts w:asciiTheme="majorBidi" w:hAnsiTheme="majorBidi" w:cstheme="majorBidi"/>
                <w:sz w:val="20"/>
                <w:szCs w:val="20"/>
              </w:rPr>
              <w:t>.</w:t>
            </w:r>
          </w:p>
        </w:tc>
        <w:tc>
          <w:tcPr>
            <w:tcW w:w="992" w:type="dxa"/>
            <w:shd w:val="clear" w:color="auto" w:fill="auto"/>
          </w:tcPr>
          <w:p w14:paraId="7D52742B"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33E7666D" w14:textId="77777777" w:rsidTr="00E25DDA">
        <w:tc>
          <w:tcPr>
            <w:tcW w:w="2552" w:type="dxa"/>
            <w:vMerge/>
            <w:tcBorders>
              <w:bottom w:val="single" w:sz="12" w:space="0" w:color="auto"/>
            </w:tcBorders>
            <w:shd w:val="clear" w:color="auto" w:fill="auto"/>
          </w:tcPr>
          <w:p w14:paraId="2583300E"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34D74315"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 xml:space="preserve">45. The chair of the governing board </w:t>
            </w:r>
            <w:r>
              <w:rPr>
                <w:rFonts w:asciiTheme="majorBidi" w:hAnsiTheme="majorBidi" w:cstheme="majorBidi"/>
                <w:sz w:val="20"/>
                <w:szCs w:val="20"/>
              </w:rPr>
              <w:t>also</w:t>
            </w:r>
            <w:r w:rsidRPr="00B859B8">
              <w:rPr>
                <w:rFonts w:asciiTheme="majorBidi" w:hAnsiTheme="majorBidi" w:cstheme="majorBidi"/>
                <w:sz w:val="20"/>
                <w:szCs w:val="20"/>
              </w:rPr>
              <w:t xml:space="preserve"> chair</w:t>
            </w:r>
            <w:r>
              <w:rPr>
                <w:rFonts w:asciiTheme="majorBidi" w:hAnsiTheme="majorBidi" w:cstheme="majorBidi"/>
                <w:sz w:val="20"/>
                <w:szCs w:val="20"/>
              </w:rPr>
              <w:t>s</w:t>
            </w:r>
            <w:r w:rsidRPr="00B859B8">
              <w:rPr>
                <w:rFonts w:asciiTheme="majorBidi" w:hAnsiTheme="majorBidi" w:cstheme="majorBidi"/>
                <w:sz w:val="20"/>
                <w:szCs w:val="20"/>
              </w:rPr>
              <w:t xml:space="preserve"> the nomination committee</w:t>
            </w:r>
            <w:r>
              <w:rPr>
                <w:rFonts w:asciiTheme="majorBidi" w:hAnsiTheme="majorBidi" w:cstheme="majorBidi"/>
                <w:sz w:val="20"/>
                <w:szCs w:val="20"/>
              </w:rPr>
              <w:t>.</w:t>
            </w:r>
          </w:p>
        </w:tc>
        <w:tc>
          <w:tcPr>
            <w:tcW w:w="992" w:type="dxa"/>
            <w:shd w:val="clear" w:color="auto" w:fill="auto"/>
          </w:tcPr>
          <w:p w14:paraId="413546BC"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40EA3FD2" w14:textId="77777777" w:rsidTr="00E25DDA">
        <w:tc>
          <w:tcPr>
            <w:tcW w:w="2552" w:type="dxa"/>
            <w:vMerge/>
            <w:tcBorders>
              <w:bottom w:val="single" w:sz="12" w:space="0" w:color="auto"/>
            </w:tcBorders>
            <w:shd w:val="clear" w:color="auto" w:fill="auto"/>
          </w:tcPr>
          <w:p w14:paraId="4F512C0D"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7813E15C"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46. Nomination committee membership is disclosed</w:t>
            </w:r>
            <w:r>
              <w:rPr>
                <w:rFonts w:asciiTheme="majorBidi" w:hAnsiTheme="majorBidi" w:cstheme="majorBidi"/>
                <w:sz w:val="20"/>
                <w:szCs w:val="20"/>
              </w:rPr>
              <w:t>.</w:t>
            </w:r>
          </w:p>
        </w:tc>
        <w:tc>
          <w:tcPr>
            <w:tcW w:w="992" w:type="dxa"/>
            <w:shd w:val="clear" w:color="auto" w:fill="auto"/>
          </w:tcPr>
          <w:p w14:paraId="2DB9832E"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15FEC8C0" w14:textId="77777777" w:rsidTr="00E25DDA">
        <w:tc>
          <w:tcPr>
            <w:tcW w:w="2552" w:type="dxa"/>
            <w:vMerge/>
            <w:tcBorders>
              <w:bottom w:val="single" w:sz="12" w:space="0" w:color="auto"/>
            </w:tcBorders>
            <w:shd w:val="clear" w:color="auto" w:fill="auto"/>
          </w:tcPr>
          <w:p w14:paraId="759F3965"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7869DD49"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47. Nomination committee members attendance of the meetings is disclosed</w:t>
            </w:r>
            <w:r>
              <w:rPr>
                <w:rFonts w:asciiTheme="majorBidi" w:hAnsiTheme="majorBidi" w:cstheme="majorBidi"/>
                <w:sz w:val="20"/>
                <w:szCs w:val="20"/>
              </w:rPr>
              <w:t>.</w:t>
            </w:r>
          </w:p>
        </w:tc>
        <w:tc>
          <w:tcPr>
            <w:tcW w:w="992" w:type="dxa"/>
            <w:shd w:val="clear" w:color="auto" w:fill="auto"/>
          </w:tcPr>
          <w:p w14:paraId="105B34A1"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00695302" w14:textId="77777777" w:rsidTr="00E25DDA">
        <w:tc>
          <w:tcPr>
            <w:tcW w:w="2552" w:type="dxa"/>
            <w:vMerge/>
            <w:tcBorders>
              <w:bottom w:val="single" w:sz="12" w:space="0" w:color="auto"/>
            </w:tcBorders>
            <w:shd w:val="clear" w:color="auto" w:fill="auto"/>
          </w:tcPr>
          <w:p w14:paraId="6A68336E"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3A8A0051"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48. Nomination committee’s terms of reference is disclosed</w:t>
            </w:r>
            <w:r>
              <w:rPr>
                <w:rFonts w:asciiTheme="majorBidi" w:hAnsiTheme="majorBidi" w:cstheme="majorBidi"/>
                <w:sz w:val="20"/>
                <w:szCs w:val="20"/>
              </w:rPr>
              <w:t>.</w:t>
            </w:r>
          </w:p>
        </w:tc>
        <w:tc>
          <w:tcPr>
            <w:tcW w:w="992" w:type="dxa"/>
            <w:shd w:val="clear" w:color="auto" w:fill="auto"/>
          </w:tcPr>
          <w:p w14:paraId="5B3AF8D8"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5FC4D8A5" w14:textId="77777777" w:rsidTr="00E25DDA">
        <w:tc>
          <w:tcPr>
            <w:tcW w:w="2552" w:type="dxa"/>
            <w:vMerge/>
            <w:tcBorders>
              <w:bottom w:val="single" w:sz="12" w:space="0" w:color="auto"/>
            </w:tcBorders>
            <w:shd w:val="clear" w:color="auto" w:fill="auto"/>
          </w:tcPr>
          <w:p w14:paraId="63A233B7"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60A6D1F7"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49. Reviewing the performance/effectiveness of nomination committee</w:t>
            </w:r>
            <w:r>
              <w:rPr>
                <w:rFonts w:asciiTheme="majorBidi" w:hAnsiTheme="majorBidi" w:cstheme="majorBidi"/>
                <w:sz w:val="20"/>
                <w:szCs w:val="20"/>
              </w:rPr>
              <w:t>.</w:t>
            </w:r>
          </w:p>
        </w:tc>
        <w:tc>
          <w:tcPr>
            <w:tcW w:w="992" w:type="dxa"/>
            <w:shd w:val="clear" w:color="auto" w:fill="auto"/>
          </w:tcPr>
          <w:p w14:paraId="7AD1DAD3"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458EBD12" w14:textId="77777777" w:rsidTr="00E25DDA">
        <w:tc>
          <w:tcPr>
            <w:tcW w:w="2552" w:type="dxa"/>
            <w:vMerge/>
            <w:tcBorders>
              <w:bottom w:val="single" w:sz="12" w:space="0" w:color="auto"/>
            </w:tcBorders>
            <w:shd w:val="clear" w:color="auto" w:fill="auto"/>
          </w:tcPr>
          <w:p w14:paraId="1DB825DC" w14:textId="77777777" w:rsidR="00E25DDA" w:rsidRPr="00B859B8" w:rsidRDefault="00E25DDA" w:rsidP="00E25DDA">
            <w:pPr>
              <w:spacing w:after="0"/>
              <w:rPr>
                <w:rFonts w:asciiTheme="majorBidi" w:hAnsiTheme="majorBidi" w:cstheme="majorBidi"/>
                <w:sz w:val="20"/>
                <w:szCs w:val="20"/>
              </w:rPr>
            </w:pPr>
          </w:p>
        </w:tc>
        <w:tc>
          <w:tcPr>
            <w:tcW w:w="6384" w:type="dxa"/>
            <w:shd w:val="clear" w:color="auto" w:fill="auto"/>
          </w:tcPr>
          <w:p w14:paraId="3C911C53"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50. Nomination committee meetings (at least 4 times in a year)</w:t>
            </w:r>
            <w:r>
              <w:rPr>
                <w:rFonts w:asciiTheme="majorBidi" w:hAnsiTheme="majorBidi" w:cstheme="majorBidi"/>
                <w:sz w:val="20"/>
                <w:szCs w:val="20"/>
              </w:rPr>
              <w:t>.</w:t>
            </w:r>
          </w:p>
        </w:tc>
        <w:tc>
          <w:tcPr>
            <w:tcW w:w="992" w:type="dxa"/>
            <w:shd w:val="clear" w:color="auto" w:fill="auto"/>
          </w:tcPr>
          <w:p w14:paraId="25F866DC"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B859B8" w14:paraId="0AFAEE0E" w14:textId="77777777" w:rsidTr="00E25DDA">
        <w:tc>
          <w:tcPr>
            <w:tcW w:w="2552" w:type="dxa"/>
            <w:vMerge/>
            <w:tcBorders>
              <w:bottom w:val="nil"/>
            </w:tcBorders>
            <w:shd w:val="clear" w:color="auto" w:fill="auto"/>
          </w:tcPr>
          <w:p w14:paraId="0FF82965" w14:textId="77777777" w:rsidR="00E25DDA" w:rsidRPr="00B859B8" w:rsidRDefault="00E25DDA" w:rsidP="00E25DDA">
            <w:pPr>
              <w:spacing w:after="0"/>
              <w:rPr>
                <w:rFonts w:asciiTheme="majorBidi" w:hAnsiTheme="majorBidi" w:cstheme="majorBidi"/>
                <w:sz w:val="20"/>
                <w:szCs w:val="20"/>
              </w:rPr>
            </w:pPr>
          </w:p>
        </w:tc>
        <w:tc>
          <w:tcPr>
            <w:tcW w:w="6384" w:type="dxa"/>
            <w:tcBorders>
              <w:bottom w:val="nil"/>
            </w:tcBorders>
            <w:shd w:val="clear" w:color="auto" w:fill="auto"/>
          </w:tcPr>
          <w:p w14:paraId="3E58B09A" w14:textId="77777777" w:rsidR="00E25DDA" w:rsidRPr="00B859B8" w:rsidRDefault="00E25DDA" w:rsidP="00E25DDA">
            <w:pPr>
              <w:spacing w:after="0"/>
              <w:rPr>
                <w:rFonts w:asciiTheme="majorBidi" w:hAnsiTheme="majorBidi" w:cstheme="majorBidi"/>
                <w:sz w:val="20"/>
                <w:szCs w:val="20"/>
              </w:rPr>
            </w:pPr>
            <w:r w:rsidRPr="00B859B8">
              <w:rPr>
                <w:rFonts w:asciiTheme="majorBidi" w:hAnsiTheme="majorBidi" w:cstheme="majorBidi"/>
                <w:sz w:val="20"/>
                <w:szCs w:val="20"/>
              </w:rPr>
              <w:t>51. The participation of staffs/students in selecting the principle, chair and the lay committee members</w:t>
            </w:r>
            <w:r>
              <w:rPr>
                <w:rFonts w:asciiTheme="majorBidi" w:hAnsiTheme="majorBidi" w:cstheme="majorBidi"/>
                <w:sz w:val="20"/>
                <w:szCs w:val="20"/>
              </w:rPr>
              <w:t>.</w:t>
            </w:r>
          </w:p>
        </w:tc>
        <w:tc>
          <w:tcPr>
            <w:tcW w:w="992" w:type="dxa"/>
            <w:tcBorders>
              <w:bottom w:val="nil"/>
            </w:tcBorders>
            <w:shd w:val="clear" w:color="auto" w:fill="auto"/>
          </w:tcPr>
          <w:p w14:paraId="6B7BE487" w14:textId="77777777" w:rsidR="00E25DDA" w:rsidRPr="00B859B8" w:rsidRDefault="00E25DDA" w:rsidP="00E25DDA">
            <w:pPr>
              <w:spacing w:after="0"/>
              <w:jc w:val="center"/>
              <w:rPr>
                <w:rFonts w:asciiTheme="majorBidi" w:hAnsiTheme="majorBidi" w:cstheme="majorBidi"/>
                <w:sz w:val="20"/>
                <w:szCs w:val="20"/>
              </w:rPr>
            </w:pPr>
            <w:r w:rsidRPr="00B859B8">
              <w:rPr>
                <w:rFonts w:asciiTheme="majorBidi" w:hAnsiTheme="majorBidi" w:cstheme="majorBidi"/>
                <w:sz w:val="20"/>
                <w:szCs w:val="20"/>
              </w:rPr>
              <w:t>0-1</w:t>
            </w:r>
          </w:p>
        </w:tc>
      </w:tr>
      <w:tr w:rsidR="00E25DDA" w:rsidRPr="000322B5" w14:paraId="117969AB" w14:textId="77777777" w:rsidTr="00E25DDA">
        <w:trPr>
          <w:trHeight w:val="478"/>
        </w:trPr>
        <w:tc>
          <w:tcPr>
            <w:tcW w:w="2552" w:type="dxa"/>
            <w:vMerge w:val="restart"/>
            <w:tcBorders>
              <w:top w:val="nil"/>
              <w:bottom w:val="nil"/>
            </w:tcBorders>
            <w:shd w:val="clear" w:color="auto" w:fill="auto"/>
          </w:tcPr>
          <w:p w14:paraId="578B4ED9" w14:textId="77777777" w:rsidR="00E25DDA" w:rsidRPr="000322B5" w:rsidRDefault="00E25DDA" w:rsidP="00E25DDA">
            <w:pPr>
              <w:spacing w:after="0"/>
              <w:rPr>
                <w:rFonts w:asciiTheme="majorBidi" w:hAnsiTheme="majorBidi" w:cstheme="majorBidi"/>
                <w:b/>
                <w:bCs/>
                <w:sz w:val="20"/>
                <w:szCs w:val="20"/>
              </w:rPr>
            </w:pPr>
            <w:r w:rsidRPr="00B859B8">
              <w:rPr>
                <w:rFonts w:asciiTheme="majorBidi" w:hAnsiTheme="majorBidi" w:cstheme="majorBidi"/>
                <w:b/>
                <w:bCs/>
                <w:sz w:val="20"/>
                <w:szCs w:val="20"/>
              </w:rPr>
              <w:t>Rewards, Pay &amp; Evaluation of Performance</w:t>
            </w:r>
            <w:r w:rsidRPr="000322B5">
              <w:rPr>
                <w:rFonts w:asciiTheme="majorBidi" w:hAnsiTheme="majorBidi" w:cstheme="majorBidi"/>
                <w:b/>
                <w:bCs/>
                <w:sz w:val="20"/>
                <w:szCs w:val="20"/>
              </w:rPr>
              <w:t xml:space="preserve"> Sub-Index</w:t>
            </w:r>
          </w:p>
        </w:tc>
        <w:tc>
          <w:tcPr>
            <w:tcW w:w="6384" w:type="dxa"/>
            <w:tcBorders>
              <w:bottom w:val="nil"/>
            </w:tcBorders>
            <w:shd w:val="clear" w:color="auto" w:fill="auto"/>
          </w:tcPr>
          <w:p w14:paraId="165CCAC7" w14:textId="77777777" w:rsidR="00E25DDA" w:rsidRPr="000322B5" w:rsidRDefault="00E25DDA" w:rsidP="00E25DDA">
            <w:pPr>
              <w:spacing w:after="0"/>
              <w:rPr>
                <w:rFonts w:asciiTheme="majorBidi" w:hAnsiTheme="majorBidi" w:cstheme="majorBidi"/>
                <w:sz w:val="20"/>
                <w:szCs w:val="20"/>
              </w:rPr>
            </w:pPr>
            <w:r>
              <w:rPr>
                <w:rFonts w:asciiTheme="majorBidi" w:hAnsiTheme="majorBidi" w:cstheme="majorBidi"/>
                <w:sz w:val="20"/>
                <w:szCs w:val="20"/>
              </w:rPr>
              <w:t>52. Eva</w:t>
            </w:r>
            <w:r w:rsidRPr="000322B5">
              <w:rPr>
                <w:rFonts w:asciiTheme="majorBidi" w:hAnsiTheme="majorBidi" w:cstheme="majorBidi"/>
                <w:sz w:val="20"/>
                <w:szCs w:val="20"/>
              </w:rPr>
              <w:t>luation of CEO’s (vice-chancellor, principal, provost, etc) performance</w:t>
            </w:r>
            <w:r>
              <w:rPr>
                <w:rFonts w:asciiTheme="majorBidi" w:hAnsiTheme="majorBidi" w:cstheme="majorBidi"/>
                <w:sz w:val="20"/>
                <w:szCs w:val="20"/>
              </w:rPr>
              <w:t>.</w:t>
            </w:r>
          </w:p>
        </w:tc>
        <w:tc>
          <w:tcPr>
            <w:tcW w:w="992" w:type="dxa"/>
            <w:tcBorders>
              <w:bottom w:val="nil"/>
            </w:tcBorders>
            <w:shd w:val="clear" w:color="auto" w:fill="auto"/>
          </w:tcPr>
          <w:p w14:paraId="00DBF602"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0F2BC8C3" w14:textId="77777777" w:rsidTr="00E25DDA">
        <w:tc>
          <w:tcPr>
            <w:tcW w:w="2552" w:type="dxa"/>
            <w:vMerge/>
            <w:tcBorders>
              <w:bottom w:val="nil"/>
            </w:tcBorders>
            <w:shd w:val="clear" w:color="auto" w:fill="auto"/>
          </w:tcPr>
          <w:p w14:paraId="79D78EC6" w14:textId="77777777" w:rsidR="00E25DDA" w:rsidRPr="000322B5" w:rsidRDefault="00E25DDA" w:rsidP="00E25DDA">
            <w:pPr>
              <w:spacing w:after="0"/>
              <w:rPr>
                <w:rFonts w:asciiTheme="majorBidi" w:hAnsiTheme="majorBidi" w:cstheme="majorBidi"/>
                <w:sz w:val="20"/>
                <w:szCs w:val="20"/>
              </w:rPr>
            </w:pPr>
          </w:p>
        </w:tc>
        <w:tc>
          <w:tcPr>
            <w:tcW w:w="6384" w:type="dxa"/>
            <w:tcBorders>
              <w:bottom w:val="nil"/>
            </w:tcBorders>
            <w:shd w:val="clear" w:color="auto" w:fill="auto"/>
          </w:tcPr>
          <w:p w14:paraId="5D8D3C79"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53. Evaluation of governing board chair’s performance</w:t>
            </w:r>
            <w:r>
              <w:rPr>
                <w:rFonts w:asciiTheme="majorBidi" w:hAnsiTheme="majorBidi" w:cstheme="majorBidi"/>
                <w:sz w:val="20"/>
                <w:szCs w:val="20"/>
              </w:rPr>
              <w:t>.</w:t>
            </w:r>
          </w:p>
        </w:tc>
        <w:tc>
          <w:tcPr>
            <w:tcW w:w="992" w:type="dxa"/>
            <w:tcBorders>
              <w:bottom w:val="nil"/>
            </w:tcBorders>
            <w:shd w:val="clear" w:color="auto" w:fill="auto"/>
          </w:tcPr>
          <w:p w14:paraId="0E55DDD4"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5F98935B" w14:textId="77777777" w:rsidTr="00E25DDA">
        <w:tc>
          <w:tcPr>
            <w:tcW w:w="2552" w:type="dxa"/>
            <w:vMerge/>
            <w:tcBorders>
              <w:bottom w:val="nil"/>
            </w:tcBorders>
            <w:shd w:val="clear" w:color="auto" w:fill="auto"/>
          </w:tcPr>
          <w:p w14:paraId="1DC1A3E7" w14:textId="77777777" w:rsidR="00E25DDA" w:rsidRPr="000322B5" w:rsidRDefault="00E25DDA" w:rsidP="00E25DDA">
            <w:pPr>
              <w:spacing w:after="0"/>
              <w:rPr>
                <w:rFonts w:asciiTheme="majorBidi" w:hAnsiTheme="majorBidi" w:cstheme="majorBidi"/>
                <w:sz w:val="20"/>
                <w:szCs w:val="20"/>
              </w:rPr>
            </w:pPr>
          </w:p>
        </w:tc>
        <w:tc>
          <w:tcPr>
            <w:tcW w:w="6384" w:type="dxa"/>
            <w:tcBorders>
              <w:bottom w:val="nil"/>
            </w:tcBorders>
            <w:shd w:val="clear" w:color="auto" w:fill="auto"/>
          </w:tcPr>
          <w:p w14:paraId="28B99E33"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54. Evaluation of the governing board/governors’ performance</w:t>
            </w:r>
            <w:r>
              <w:rPr>
                <w:rFonts w:asciiTheme="majorBidi" w:hAnsiTheme="majorBidi" w:cstheme="majorBidi"/>
                <w:sz w:val="20"/>
                <w:szCs w:val="20"/>
              </w:rPr>
              <w:t>.</w:t>
            </w:r>
          </w:p>
        </w:tc>
        <w:tc>
          <w:tcPr>
            <w:tcW w:w="992" w:type="dxa"/>
            <w:tcBorders>
              <w:bottom w:val="nil"/>
            </w:tcBorders>
            <w:shd w:val="clear" w:color="auto" w:fill="auto"/>
          </w:tcPr>
          <w:p w14:paraId="73F6D6BA"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25D896CD" w14:textId="77777777" w:rsidTr="00E25DDA">
        <w:tc>
          <w:tcPr>
            <w:tcW w:w="2552" w:type="dxa"/>
            <w:vMerge/>
            <w:tcBorders>
              <w:bottom w:val="nil"/>
            </w:tcBorders>
            <w:shd w:val="clear" w:color="auto" w:fill="auto"/>
          </w:tcPr>
          <w:p w14:paraId="7B59F893" w14:textId="77777777" w:rsidR="00E25DDA" w:rsidRPr="000322B5" w:rsidRDefault="00E25DDA" w:rsidP="00E25DDA">
            <w:pPr>
              <w:spacing w:after="0"/>
              <w:rPr>
                <w:rFonts w:asciiTheme="majorBidi" w:hAnsiTheme="majorBidi" w:cstheme="majorBidi"/>
                <w:sz w:val="20"/>
                <w:szCs w:val="20"/>
              </w:rPr>
            </w:pPr>
          </w:p>
        </w:tc>
        <w:tc>
          <w:tcPr>
            <w:tcW w:w="6384" w:type="dxa"/>
            <w:tcBorders>
              <w:bottom w:val="nil"/>
            </w:tcBorders>
            <w:shd w:val="clear" w:color="auto" w:fill="auto"/>
          </w:tcPr>
          <w:p w14:paraId="45A21C88"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55. Evaluation of governing board’s committees</w:t>
            </w:r>
            <w:r>
              <w:rPr>
                <w:rFonts w:asciiTheme="majorBidi" w:hAnsiTheme="majorBidi" w:cstheme="majorBidi"/>
                <w:sz w:val="20"/>
                <w:szCs w:val="20"/>
              </w:rPr>
              <w:t>’</w:t>
            </w:r>
            <w:r w:rsidRPr="000322B5">
              <w:rPr>
                <w:rFonts w:asciiTheme="majorBidi" w:hAnsiTheme="majorBidi" w:cstheme="majorBidi"/>
                <w:sz w:val="20"/>
                <w:szCs w:val="20"/>
              </w:rPr>
              <w:t xml:space="preserve"> performance</w:t>
            </w:r>
            <w:r>
              <w:rPr>
                <w:rFonts w:asciiTheme="majorBidi" w:hAnsiTheme="majorBidi" w:cstheme="majorBidi"/>
                <w:sz w:val="20"/>
                <w:szCs w:val="20"/>
              </w:rPr>
              <w:t>.</w:t>
            </w:r>
          </w:p>
        </w:tc>
        <w:tc>
          <w:tcPr>
            <w:tcW w:w="992" w:type="dxa"/>
            <w:tcBorders>
              <w:bottom w:val="nil"/>
            </w:tcBorders>
            <w:shd w:val="clear" w:color="auto" w:fill="auto"/>
          </w:tcPr>
          <w:p w14:paraId="772D746E"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02EF79E3" w14:textId="77777777" w:rsidTr="00E25DDA">
        <w:tc>
          <w:tcPr>
            <w:tcW w:w="2552" w:type="dxa"/>
            <w:vMerge/>
            <w:tcBorders>
              <w:bottom w:val="nil"/>
            </w:tcBorders>
            <w:shd w:val="clear" w:color="auto" w:fill="auto"/>
          </w:tcPr>
          <w:p w14:paraId="011DED40" w14:textId="77777777" w:rsidR="00E25DDA" w:rsidRPr="000322B5" w:rsidRDefault="00E25DDA" w:rsidP="00E25DDA">
            <w:pPr>
              <w:spacing w:after="0"/>
              <w:rPr>
                <w:rFonts w:asciiTheme="majorBidi" w:hAnsiTheme="majorBidi" w:cstheme="majorBidi"/>
                <w:sz w:val="20"/>
                <w:szCs w:val="20"/>
              </w:rPr>
            </w:pPr>
          </w:p>
        </w:tc>
        <w:tc>
          <w:tcPr>
            <w:tcW w:w="6384" w:type="dxa"/>
            <w:tcBorders>
              <w:bottom w:val="nil"/>
            </w:tcBorders>
            <w:shd w:val="clear" w:color="auto" w:fill="auto"/>
          </w:tcPr>
          <w:p w14:paraId="74235B42"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56. Review of effectiveness (regular, full, robust) against the HE code and the statutory responsibility</w:t>
            </w:r>
            <w:r>
              <w:rPr>
                <w:rFonts w:asciiTheme="majorBidi" w:hAnsiTheme="majorBidi" w:cstheme="majorBidi"/>
                <w:sz w:val="20"/>
                <w:szCs w:val="20"/>
              </w:rPr>
              <w:t>.</w:t>
            </w:r>
          </w:p>
        </w:tc>
        <w:tc>
          <w:tcPr>
            <w:tcW w:w="992" w:type="dxa"/>
            <w:tcBorders>
              <w:bottom w:val="nil"/>
            </w:tcBorders>
            <w:shd w:val="clear" w:color="auto" w:fill="auto"/>
          </w:tcPr>
          <w:p w14:paraId="0B70D6DC"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7E9CF272" w14:textId="77777777" w:rsidTr="00E25DDA">
        <w:tc>
          <w:tcPr>
            <w:tcW w:w="2552" w:type="dxa"/>
            <w:vMerge/>
            <w:tcBorders>
              <w:bottom w:val="nil"/>
            </w:tcBorders>
            <w:shd w:val="clear" w:color="auto" w:fill="auto"/>
          </w:tcPr>
          <w:p w14:paraId="3823A347" w14:textId="77777777" w:rsidR="00E25DDA" w:rsidRPr="000322B5" w:rsidRDefault="00E25DDA" w:rsidP="00E25DDA">
            <w:pPr>
              <w:spacing w:after="0"/>
              <w:rPr>
                <w:rFonts w:asciiTheme="majorBidi" w:hAnsiTheme="majorBidi" w:cstheme="majorBidi"/>
                <w:sz w:val="20"/>
                <w:szCs w:val="20"/>
              </w:rPr>
            </w:pPr>
          </w:p>
        </w:tc>
        <w:tc>
          <w:tcPr>
            <w:tcW w:w="6384" w:type="dxa"/>
            <w:tcBorders>
              <w:bottom w:val="nil"/>
            </w:tcBorders>
            <w:shd w:val="clear" w:color="auto" w:fill="auto"/>
          </w:tcPr>
          <w:p w14:paraId="4A3B9BE8"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57. Annual review of the governance structure along institutions key performance indicators</w:t>
            </w:r>
            <w:r>
              <w:rPr>
                <w:rFonts w:asciiTheme="majorBidi" w:hAnsiTheme="majorBidi" w:cstheme="majorBidi"/>
                <w:sz w:val="20"/>
                <w:szCs w:val="20"/>
              </w:rPr>
              <w:t>.</w:t>
            </w:r>
          </w:p>
        </w:tc>
        <w:tc>
          <w:tcPr>
            <w:tcW w:w="992" w:type="dxa"/>
            <w:tcBorders>
              <w:bottom w:val="nil"/>
            </w:tcBorders>
            <w:shd w:val="clear" w:color="auto" w:fill="auto"/>
          </w:tcPr>
          <w:p w14:paraId="6BD8FE34"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7D56DFAA" w14:textId="77777777" w:rsidTr="00E25DDA">
        <w:tc>
          <w:tcPr>
            <w:tcW w:w="2552" w:type="dxa"/>
            <w:vMerge/>
            <w:tcBorders>
              <w:bottom w:val="nil"/>
            </w:tcBorders>
            <w:shd w:val="clear" w:color="auto" w:fill="auto"/>
          </w:tcPr>
          <w:p w14:paraId="660DEC6F" w14:textId="77777777" w:rsidR="00E25DDA" w:rsidRPr="000322B5" w:rsidRDefault="00E25DDA" w:rsidP="00E25DDA">
            <w:pPr>
              <w:spacing w:after="0"/>
              <w:rPr>
                <w:rFonts w:asciiTheme="majorBidi" w:hAnsiTheme="majorBidi" w:cstheme="majorBidi"/>
                <w:sz w:val="20"/>
                <w:szCs w:val="20"/>
              </w:rPr>
            </w:pPr>
          </w:p>
        </w:tc>
        <w:tc>
          <w:tcPr>
            <w:tcW w:w="6384" w:type="dxa"/>
            <w:tcBorders>
              <w:bottom w:val="nil"/>
            </w:tcBorders>
            <w:shd w:val="clear" w:color="auto" w:fill="auto"/>
          </w:tcPr>
          <w:p w14:paraId="3F344341"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58. Externally facilitated evaluations (at least every five years)</w:t>
            </w:r>
            <w:r>
              <w:rPr>
                <w:rFonts w:asciiTheme="majorBidi" w:hAnsiTheme="majorBidi" w:cstheme="majorBidi"/>
                <w:sz w:val="20"/>
                <w:szCs w:val="20"/>
              </w:rPr>
              <w:t>.</w:t>
            </w:r>
          </w:p>
        </w:tc>
        <w:tc>
          <w:tcPr>
            <w:tcW w:w="992" w:type="dxa"/>
            <w:tcBorders>
              <w:bottom w:val="nil"/>
            </w:tcBorders>
            <w:shd w:val="clear" w:color="auto" w:fill="auto"/>
          </w:tcPr>
          <w:p w14:paraId="5304E1CA"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135FBB36" w14:textId="77777777" w:rsidTr="00E25DDA">
        <w:tc>
          <w:tcPr>
            <w:tcW w:w="2552" w:type="dxa"/>
            <w:vMerge/>
            <w:tcBorders>
              <w:bottom w:val="nil"/>
            </w:tcBorders>
            <w:shd w:val="clear" w:color="auto" w:fill="auto"/>
          </w:tcPr>
          <w:p w14:paraId="08CF826F" w14:textId="77777777" w:rsidR="00E25DDA" w:rsidRPr="000322B5" w:rsidRDefault="00E25DDA" w:rsidP="00E25DDA">
            <w:pPr>
              <w:spacing w:after="0"/>
              <w:rPr>
                <w:rFonts w:asciiTheme="majorBidi" w:hAnsiTheme="majorBidi" w:cstheme="majorBidi"/>
                <w:sz w:val="20"/>
                <w:szCs w:val="20"/>
              </w:rPr>
            </w:pPr>
          </w:p>
        </w:tc>
        <w:tc>
          <w:tcPr>
            <w:tcW w:w="6384" w:type="dxa"/>
            <w:tcBorders>
              <w:bottom w:val="nil"/>
            </w:tcBorders>
            <w:shd w:val="clear" w:color="auto" w:fill="auto"/>
          </w:tcPr>
          <w:p w14:paraId="1BCB919A"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59. The existence of a remuneration committee</w:t>
            </w:r>
            <w:r>
              <w:rPr>
                <w:rFonts w:asciiTheme="majorBidi" w:hAnsiTheme="majorBidi" w:cstheme="majorBidi"/>
                <w:sz w:val="20"/>
                <w:szCs w:val="20"/>
              </w:rPr>
              <w:t>.</w:t>
            </w:r>
          </w:p>
        </w:tc>
        <w:tc>
          <w:tcPr>
            <w:tcW w:w="992" w:type="dxa"/>
            <w:tcBorders>
              <w:bottom w:val="nil"/>
            </w:tcBorders>
            <w:shd w:val="clear" w:color="auto" w:fill="auto"/>
          </w:tcPr>
          <w:p w14:paraId="6B9D7A0A"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6649F73F" w14:textId="77777777" w:rsidTr="00E25DDA">
        <w:tc>
          <w:tcPr>
            <w:tcW w:w="2552" w:type="dxa"/>
            <w:vMerge/>
            <w:tcBorders>
              <w:bottom w:val="nil"/>
            </w:tcBorders>
            <w:shd w:val="clear" w:color="auto" w:fill="auto"/>
          </w:tcPr>
          <w:p w14:paraId="5A9DB78B" w14:textId="77777777" w:rsidR="00E25DDA" w:rsidRPr="000322B5" w:rsidRDefault="00E25DDA" w:rsidP="00E25DDA">
            <w:pPr>
              <w:spacing w:after="0"/>
              <w:rPr>
                <w:rFonts w:asciiTheme="majorBidi" w:hAnsiTheme="majorBidi" w:cstheme="majorBidi"/>
                <w:sz w:val="20"/>
                <w:szCs w:val="20"/>
              </w:rPr>
            </w:pPr>
          </w:p>
        </w:tc>
        <w:tc>
          <w:tcPr>
            <w:tcW w:w="6384" w:type="dxa"/>
            <w:tcBorders>
              <w:bottom w:val="nil"/>
            </w:tcBorders>
            <w:shd w:val="clear" w:color="auto" w:fill="auto"/>
          </w:tcPr>
          <w:p w14:paraId="6F9740C9"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60. Composition of a remuneration committee (governing board’s chair, at least 3 independent governors and the independent treasurer)</w:t>
            </w:r>
            <w:r>
              <w:rPr>
                <w:rFonts w:asciiTheme="majorBidi" w:hAnsiTheme="majorBidi" w:cstheme="majorBidi"/>
                <w:sz w:val="20"/>
                <w:szCs w:val="20"/>
              </w:rPr>
              <w:t>.</w:t>
            </w:r>
          </w:p>
        </w:tc>
        <w:tc>
          <w:tcPr>
            <w:tcW w:w="992" w:type="dxa"/>
            <w:tcBorders>
              <w:bottom w:val="nil"/>
            </w:tcBorders>
            <w:shd w:val="clear" w:color="auto" w:fill="auto"/>
          </w:tcPr>
          <w:p w14:paraId="189D5170"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67D9B95B" w14:textId="77777777" w:rsidTr="00E25DDA">
        <w:tc>
          <w:tcPr>
            <w:tcW w:w="2552" w:type="dxa"/>
            <w:vMerge/>
            <w:tcBorders>
              <w:top w:val="single" w:sz="2" w:space="0" w:color="auto"/>
              <w:bottom w:val="nil"/>
            </w:tcBorders>
            <w:shd w:val="clear" w:color="auto" w:fill="auto"/>
          </w:tcPr>
          <w:p w14:paraId="3E9F299E" w14:textId="77777777" w:rsidR="00E25DDA" w:rsidRPr="000322B5" w:rsidRDefault="00E25DDA" w:rsidP="00E25DDA">
            <w:pPr>
              <w:spacing w:after="0"/>
              <w:rPr>
                <w:rFonts w:asciiTheme="majorBidi" w:hAnsiTheme="majorBidi" w:cstheme="majorBidi"/>
                <w:sz w:val="20"/>
                <w:szCs w:val="20"/>
              </w:rPr>
            </w:pPr>
          </w:p>
        </w:tc>
        <w:tc>
          <w:tcPr>
            <w:tcW w:w="6384" w:type="dxa"/>
            <w:tcBorders>
              <w:top w:val="nil"/>
            </w:tcBorders>
            <w:shd w:val="clear" w:color="auto" w:fill="auto"/>
          </w:tcPr>
          <w:p w14:paraId="7B0C644B"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61. Independence of the remuneration committee’s chairperson</w:t>
            </w:r>
            <w:r>
              <w:rPr>
                <w:rFonts w:asciiTheme="majorBidi" w:hAnsiTheme="majorBidi" w:cstheme="majorBidi"/>
                <w:sz w:val="20"/>
                <w:szCs w:val="20"/>
              </w:rPr>
              <w:t>.</w:t>
            </w:r>
          </w:p>
        </w:tc>
        <w:tc>
          <w:tcPr>
            <w:tcW w:w="992" w:type="dxa"/>
            <w:tcBorders>
              <w:top w:val="nil"/>
            </w:tcBorders>
            <w:shd w:val="clear" w:color="auto" w:fill="auto"/>
          </w:tcPr>
          <w:p w14:paraId="25707F8B"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291499D5" w14:textId="77777777" w:rsidTr="00E25DDA">
        <w:tc>
          <w:tcPr>
            <w:tcW w:w="2552" w:type="dxa"/>
            <w:vMerge/>
            <w:tcBorders>
              <w:bottom w:val="nil"/>
            </w:tcBorders>
            <w:shd w:val="clear" w:color="auto" w:fill="auto"/>
          </w:tcPr>
          <w:p w14:paraId="26A8CB4D" w14:textId="77777777" w:rsidR="00E25DDA" w:rsidRPr="000322B5" w:rsidRDefault="00E25DDA" w:rsidP="00E25DDA">
            <w:pPr>
              <w:spacing w:after="0"/>
              <w:rPr>
                <w:rFonts w:asciiTheme="majorBidi" w:hAnsiTheme="majorBidi" w:cstheme="majorBidi"/>
                <w:sz w:val="20"/>
                <w:szCs w:val="20"/>
              </w:rPr>
            </w:pPr>
          </w:p>
        </w:tc>
        <w:tc>
          <w:tcPr>
            <w:tcW w:w="6384" w:type="dxa"/>
            <w:shd w:val="clear" w:color="auto" w:fill="auto"/>
          </w:tcPr>
          <w:p w14:paraId="348C0A63"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62. Remuneration committee membership is disclosed</w:t>
            </w:r>
            <w:r>
              <w:rPr>
                <w:rFonts w:asciiTheme="majorBidi" w:hAnsiTheme="majorBidi" w:cstheme="majorBidi"/>
                <w:sz w:val="20"/>
                <w:szCs w:val="20"/>
              </w:rPr>
              <w:t>.</w:t>
            </w:r>
          </w:p>
        </w:tc>
        <w:tc>
          <w:tcPr>
            <w:tcW w:w="992" w:type="dxa"/>
            <w:shd w:val="clear" w:color="auto" w:fill="auto"/>
          </w:tcPr>
          <w:p w14:paraId="7B774164"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46BB0C68" w14:textId="77777777" w:rsidTr="00E25DDA">
        <w:tc>
          <w:tcPr>
            <w:tcW w:w="2552" w:type="dxa"/>
            <w:vMerge/>
            <w:tcBorders>
              <w:bottom w:val="nil"/>
            </w:tcBorders>
            <w:shd w:val="clear" w:color="auto" w:fill="auto"/>
          </w:tcPr>
          <w:p w14:paraId="165E47A3" w14:textId="77777777" w:rsidR="00E25DDA" w:rsidRPr="000322B5" w:rsidRDefault="00E25DDA" w:rsidP="00E25DDA">
            <w:pPr>
              <w:spacing w:after="0"/>
              <w:rPr>
                <w:rFonts w:asciiTheme="majorBidi" w:hAnsiTheme="majorBidi" w:cstheme="majorBidi"/>
                <w:sz w:val="20"/>
                <w:szCs w:val="20"/>
              </w:rPr>
            </w:pPr>
          </w:p>
        </w:tc>
        <w:tc>
          <w:tcPr>
            <w:tcW w:w="6384" w:type="dxa"/>
            <w:shd w:val="clear" w:color="auto" w:fill="auto"/>
          </w:tcPr>
          <w:p w14:paraId="39EF0817"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63. Remuneration committee members attendance of the meetings is disclosed</w:t>
            </w:r>
            <w:r>
              <w:rPr>
                <w:rFonts w:asciiTheme="majorBidi" w:hAnsiTheme="majorBidi" w:cstheme="majorBidi"/>
                <w:sz w:val="20"/>
                <w:szCs w:val="20"/>
              </w:rPr>
              <w:t>.</w:t>
            </w:r>
          </w:p>
        </w:tc>
        <w:tc>
          <w:tcPr>
            <w:tcW w:w="992" w:type="dxa"/>
            <w:shd w:val="clear" w:color="auto" w:fill="auto"/>
          </w:tcPr>
          <w:p w14:paraId="221625F6"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2A555712" w14:textId="77777777" w:rsidTr="00E25DDA">
        <w:tc>
          <w:tcPr>
            <w:tcW w:w="2552" w:type="dxa"/>
            <w:vMerge/>
            <w:tcBorders>
              <w:bottom w:val="nil"/>
            </w:tcBorders>
            <w:shd w:val="clear" w:color="auto" w:fill="auto"/>
          </w:tcPr>
          <w:p w14:paraId="10D7DAE9" w14:textId="77777777" w:rsidR="00E25DDA" w:rsidRPr="000322B5" w:rsidRDefault="00E25DDA" w:rsidP="00E25DDA">
            <w:pPr>
              <w:spacing w:after="0"/>
              <w:rPr>
                <w:rFonts w:asciiTheme="majorBidi" w:hAnsiTheme="majorBidi" w:cstheme="majorBidi"/>
                <w:sz w:val="20"/>
                <w:szCs w:val="20"/>
              </w:rPr>
            </w:pPr>
          </w:p>
        </w:tc>
        <w:tc>
          <w:tcPr>
            <w:tcW w:w="6384" w:type="dxa"/>
            <w:shd w:val="clear" w:color="auto" w:fill="auto"/>
          </w:tcPr>
          <w:p w14:paraId="43F5CA0D"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64. Remuneration committee’s terms of reference is disclosed</w:t>
            </w:r>
            <w:r>
              <w:rPr>
                <w:rFonts w:asciiTheme="majorBidi" w:hAnsiTheme="majorBidi" w:cstheme="majorBidi"/>
                <w:sz w:val="20"/>
                <w:szCs w:val="20"/>
              </w:rPr>
              <w:t>.</w:t>
            </w:r>
          </w:p>
        </w:tc>
        <w:tc>
          <w:tcPr>
            <w:tcW w:w="992" w:type="dxa"/>
            <w:shd w:val="clear" w:color="auto" w:fill="auto"/>
          </w:tcPr>
          <w:p w14:paraId="47553169"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6A77BEC2" w14:textId="77777777" w:rsidTr="00E25DDA">
        <w:tc>
          <w:tcPr>
            <w:tcW w:w="2552" w:type="dxa"/>
            <w:vMerge/>
            <w:tcBorders>
              <w:bottom w:val="nil"/>
            </w:tcBorders>
            <w:shd w:val="clear" w:color="auto" w:fill="auto"/>
          </w:tcPr>
          <w:p w14:paraId="26FA23C9" w14:textId="77777777" w:rsidR="00E25DDA" w:rsidRPr="000322B5" w:rsidRDefault="00E25DDA" w:rsidP="00E25DDA">
            <w:pPr>
              <w:spacing w:after="0"/>
              <w:rPr>
                <w:rFonts w:asciiTheme="majorBidi" w:hAnsiTheme="majorBidi" w:cstheme="majorBidi"/>
                <w:sz w:val="20"/>
                <w:szCs w:val="20"/>
              </w:rPr>
            </w:pPr>
          </w:p>
        </w:tc>
        <w:tc>
          <w:tcPr>
            <w:tcW w:w="6384" w:type="dxa"/>
            <w:shd w:val="clear" w:color="auto" w:fill="auto"/>
          </w:tcPr>
          <w:p w14:paraId="653B8C1E"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65. Remuneration committee meetings (at least 4 times in a year)</w:t>
            </w:r>
            <w:r>
              <w:rPr>
                <w:rFonts w:asciiTheme="majorBidi" w:hAnsiTheme="majorBidi" w:cstheme="majorBidi"/>
                <w:sz w:val="20"/>
                <w:szCs w:val="20"/>
              </w:rPr>
              <w:t>.</w:t>
            </w:r>
          </w:p>
        </w:tc>
        <w:tc>
          <w:tcPr>
            <w:tcW w:w="992" w:type="dxa"/>
            <w:shd w:val="clear" w:color="auto" w:fill="auto"/>
          </w:tcPr>
          <w:p w14:paraId="387B3A48"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652BEB20" w14:textId="77777777" w:rsidTr="00E25DDA">
        <w:tc>
          <w:tcPr>
            <w:tcW w:w="2552" w:type="dxa"/>
            <w:vMerge/>
            <w:tcBorders>
              <w:bottom w:val="nil"/>
            </w:tcBorders>
            <w:shd w:val="clear" w:color="auto" w:fill="auto"/>
          </w:tcPr>
          <w:p w14:paraId="0EDE1A2E" w14:textId="77777777" w:rsidR="00E25DDA" w:rsidRPr="000322B5" w:rsidRDefault="00E25DDA" w:rsidP="00E25DDA">
            <w:pPr>
              <w:spacing w:after="0"/>
              <w:rPr>
                <w:rFonts w:asciiTheme="majorBidi" w:hAnsiTheme="majorBidi" w:cstheme="majorBidi"/>
                <w:sz w:val="20"/>
                <w:szCs w:val="20"/>
              </w:rPr>
            </w:pPr>
          </w:p>
        </w:tc>
        <w:tc>
          <w:tcPr>
            <w:tcW w:w="6384" w:type="dxa"/>
            <w:shd w:val="clear" w:color="auto" w:fill="auto"/>
          </w:tcPr>
          <w:p w14:paraId="799F1A4B"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66. Reviewing the performance/effectiveness of remuneration committee</w:t>
            </w:r>
            <w:r>
              <w:rPr>
                <w:rFonts w:asciiTheme="majorBidi" w:hAnsiTheme="majorBidi" w:cstheme="majorBidi"/>
                <w:sz w:val="20"/>
                <w:szCs w:val="20"/>
              </w:rPr>
              <w:t>.</w:t>
            </w:r>
          </w:p>
        </w:tc>
        <w:tc>
          <w:tcPr>
            <w:tcW w:w="992" w:type="dxa"/>
            <w:shd w:val="clear" w:color="auto" w:fill="auto"/>
          </w:tcPr>
          <w:p w14:paraId="67C0A94D"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34A03F83" w14:textId="77777777" w:rsidTr="00E25DDA">
        <w:tc>
          <w:tcPr>
            <w:tcW w:w="2552" w:type="dxa"/>
            <w:vMerge/>
            <w:tcBorders>
              <w:bottom w:val="nil"/>
            </w:tcBorders>
            <w:shd w:val="clear" w:color="auto" w:fill="auto"/>
          </w:tcPr>
          <w:p w14:paraId="60E82A00" w14:textId="77777777" w:rsidR="00E25DDA" w:rsidRPr="000322B5" w:rsidRDefault="00E25DDA" w:rsidP="00E25DDA">
            <w:pPr>
              <w:spacing w:after="0"/>
              <w:rPr>
                <w:rFonts w:asciiTheme="majorBidi" w:hAnsiTheme="majorBidi" w:cstheme="majorBidi"/>
                <w:sz w:val="20"/>
                <w:szCs w:val="20"/>
              </w:rPr>
            </w:pPr>
          </w:p>
        </w:tc>
        <w:tc>
          <w:tcPr>
            <w:tcW w:w="6384" w:type="dxa"/>
            <w:shd w:val="clear" w:color="auto" w:fill="auto"/>
          </w:tcPr>
          <w:p w14:paraId="45A03A1C"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67. Reviewing the capability of remuneration committee’s members</w:t>
            </w:r>
            <w:r>
              <w:rPr>
                <w:rFonts w:asciiTheme="majorBidi" w:hAnsiTheme="majorBidi" w:cstheme="majorBidi"/>
                <w:sz w:val="20"/>
                <w:szCs w:val="20"/>
              </w:rPr>
              <w:t>.</w:t>
            </w:r>
          </w:p>
        </w:tc>
        <w:tc>
          <w:tcPr>
            <w:tcW w:w="992" w:type="dxa"/>
            <w:shd w:val="clear" w:color="auto" w:fill="auto"/>
          </w:tcPr>
          <w:p w14:paraId="2EE22488"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1686C5A6" w14:textId="77777777" w:rsidTr="00E25DDA">
        <w:tc>
          <w:tcPr>
            <w:tcW w:w="2552" w:type="dxa"/>
            <w:vMerge/>
            <w:tcBorders>
              <w:bottom w:val="nil"/>
            </w:tcBorders>
            <w:shd w:val="clear" w:color="auto" w:fill="auto"/>
          </w:tcPr>
          <w:p w14:paraId="02B150B9" w14:textId="77777777" w:rsidR="00E25DDA" w:rsidRPr="000322B5" w:rsidRDefault="00E25DDA" w:rsidP="00E25DDA">
            <w:pPr>
              <w:spacing w:after="0"/>
              <w:rPr>
                <w:rFonts w:asciiTheme="majorBidi" w:hAnsiTheme="majorBidi" w:cstheme="majorBidi"/>
                <w:sz w:val="20"/>
                <w:szCs w:val="20"/>
              </w:rPr>
            </w:pPr>
          </w:p>
        </w:tc>
        <w:tc>
          <w:tcPr>
            <w:tcW w:w="6384" w:type="dxa"/>
            <w:shd w:val="clear" w:color="auto" w:fill="auto"/>
          </w:tcPr>
          <w:p w14:paraId="67726B4C"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68. Reviewing remuneration committee’s procedures relating to determining senior officers’ pay</w:t>
            </w:r>
            <w:r>
              <w:rPr>
                <w:rFonts w:asciiTheme="majorBidi" w:hAnsiTheme="majorBidi" w:cstheme="majorBidi"/>
                <w:sz w:val="20"/>
                <w:szCs w:val="20"/>
              </w:rPr>
              <w:t>.</w:t>
            </w:r>
          </w:p>
        </w:tc>
        <w:tc>
          <w:tcPr>
            <w:tcW w:w="992" w:type="dxa"/>
            <w:shd w:val="clear" w:color="auto" w:fill="auto"/>
          </w:tcPr>
          <w:p w14:paraId="2B8B3541"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6E4E87C8" w14:textId="77777777" w:rsidTr="00E25DDA">
        <w:tc>
          <w:tcPr>
            <w:tcW w:w="2552" w:type="dxa"/>
            <w:vMerge/>
            <w:tcBorders>
              <w:bottom w:val="nil"/>
            </w:tcBorders>
            <w:shd w:val="clear" w:color="auto" w:fill="auto"/>
          </w:tcPr>
          <w:p w14:paraId="4B592C46" w14:textId="77777777" w:rsidR="00E25DDA" w:rsidRPr="000322B5" w:rsidRDefault="00E25DDA" w:rsidP="00E25DDA">
            <w:pPr>
              <w:spacing w:after="0"/>
              <w:rPr>
                <w:rFonts w:asciiTheme="majorBidi" w:hAnsiTheme="majorBidi" w:cstheme="majorBidi"/>
                <w:sz w:val="20"/>
                <w:szCs w:val="20"/>
              </w:rPr>
            </w:pPr>
          </w:p>
        </w:tc>
        <w:tc>
          <w:tcPr>
            <w:tcW w:w="6384" w:type="dxa"/>
            <w:shd w:val="clear" w:color="auto" w:fill="auto"/>
          </w:tcPr>
          <w:p w14:paraId="37045165"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69. Review procedures to ensure appropriate pay packages</w:t>
            </w:r>
            <w:r>
              <w:rPr>
                <w:rFonts w:asciiTheme="majorBidi" w:hAnsiTheme="majorBidi" w:cstheme="majorBidi"/>
                <w:sz w:val="20"/>
                <w:szCs w:val="20"/>
              </w:rPr>
              <w:t>.</w:t>
            </w:r>
          </w:p>
        </w:tc>
        <w:tc>
          <w:tcPr>
            <w:tcW w:w="992" w:type="dxa"/>
            <w:shd w:val="clear" w:color="auto" w:fill="auto"/>
          </w:tcPr>
          <w:p w14:paraId="3BB372F9"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36FFE004" w14:textId="77777777" w:rsidTr="00E25DDA">
        <w:tc>
          <w:tcPr>
            <w:tcW w:w="2552" w:type="dxa"/>
            <w:vMerge/>
            <w:tcBorders>
              <w:bottom w:val="nil"/>
            </w:tcBorders>
            <w:shd w:val="clear" w:color="auto" w:fill="auto"/>
          </w:tcPr>
          <w:p w14:paraId="55BBEEE1" w14:textId="77777777" w:rsidR="00E25DDA" w:rsidRPr="000322B5" w:rsidRDefault="00E25DDA" w:rsidP="00E25DDA">
            <w:pPr>
              <w:spacing w:after="0"/>
              <w:rPr>
                <w:rFonts w:asciiTheme="majorBidi" w:hAnsiTheme="majorBidi" w:cstheme="majorBidi"/>
                <w:sz w:val="20"/>
                <w:szCs w:val="20"/>
              </w:rPr>
            </w:pPr>
          </w:p>
        </w:tc>
        <w:tc>
          <w:tcPr>
            <w:tcW w:w="6384" w:type="dxa"/>
            <w:shd w:val="clear" w:color="auto" w:fill="auto"/>
          </w:tcPr>
          <w:p w14:paraId="25C804E2"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70. Procedures to ensure that public interest is considered and aligned with the institutional interest</w:t>
            </w:r>
            <w:r>
              <w:rPr>
                <w:rFonts w:asciiTheme="majorBidi" w:hAnsiTheme="majorBidi" w:cstheme="majorBidi"/>
                <w:sz w:val="20"/>
                <w:szCs w:val="20"/>
              </w:rPr>
              <w:t>.</w:t>
            </w:r>
          </w:p>
        </w:tc>
        <w:tc>
          <w:tcPr>
            <w:tcW w:w="992" w:type="dxa"/>
            <w:shd w:val="clear" w:color="auto" w:fill="auto"/>
          </w:tcPr>
          <w:p w14:paraId="05700F19"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737D0023" w14:textId="77777777" w:rsidTr="00E25DDA">
        <w:tc>
          <w:tcPr>
            <w:tcW w:w="2552" w:type="dxa"/>
            <w:vMerge/>
            <w:tcBorders>
              <w:bottom w:val="nil"/>
            </w:tcBorders>
            <w:shd w:val="clear" w:color="auto" w:fill="auto"/>
          </w:tcPr>
          <w:p w14:paraId="1141BA32" w14:textId="77777777" w:rsidR="00E25DDA" w:rsidRPr="000322B5" w:rsidRDefault="00E25DDA" w:rsidP="00E25DDA">
            <w:pPr>
              <w:spacing w:after="0"/>
              <w:rPr>
                <w:rFonts w:asciiTheme="majorBidi" w:hAnsiTheme="majorBidi" w:cstheme="majorBidi"/>
                <w:sz w:val="20"/>
                <w:szCs w:val="20"/>
              </w:rPr>
            </w:pPr>
          </w:p>
        </w:tc>
        <w:tc>
          <w:tcPr>
            <w:tcW w:w="6384" w:type="dxa"/>
            <w:shd w:val="clear" w:color="auto" w:fill="auto"/>
          </w:tcPr>
          <w:p w14:paraId="2190C13F"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71. Explicit pay policy framework is set based on funding bodies’ guidance</w:t>
            </w:r>
            <w:r>
              <w:rPr>
                <w:rFonts w:asciiTheme="majorBidi" w:hAnsiTheme="majorBidi" w:cstheme="majorBidi"/>
                <w:sz w:val="20"/>
                <w:szCs w:val="20"/>
              </w:rPr>
              <w:t>.</w:t>
            </w:r>
          </w:p>
        </w:tc>
        <w:tc>
          <w:tcPr>
            <w:tcW w:w="992" w:type="dxa"/>
            <w:shd w:val="clear" w:color="auto" w:fill="auto"/>
          </w:tcPr>
          <w:p w14:paraId="49524063"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03875E53" w14:textId="77777777" w:rsidTr="00E25DDA">
        <w:tc>
          <w:tcPr>
            <w:tcW w:w="2552" w:type="dxa"/>
            <w:vMerge/>
            <w:tcBorders>
              <w:bottom w:val="nil"/>
            </w:tcBorders>
            <w:shd w:val="clear" w:color="auto" w:fill="auto"/>
          </w:tcPr>
          <w:p w14:paraId="1D7B2751" w14:textId="77777777" w:rsidR="00E25DDA" w:rsidRPr="000322B5" w:rsidRDefault="00E25DDA" w:rsidP="00E25DDA">
            <w:pPr>
              <w:spacing w:after="0"/>
              <w:rPr>
                <w:rFonts w:asciiTheme="majorBidi" w:hAnsiTheme="majorBidi" w:cstheme="majorBidi"/>
                <w:sz w:val="20"/>
                <w:szCs w:val="20"/>
              </w:rPr>
            </w:pPr>
          </w:p>
        </w:tc>
        <w:tc>
          <w:tcPr>
            <w:tcW w:w="6384" w:type="dxa"/>
            <w:shd w:val="clear" w:color="auto" w:fill="auto"/>
          </w:tcPr>
          <w:p w14:paraId="18A017C9"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72. Annual evaluation of a HEI’s performance by the governing board to ensure that both short-term and long-term strategic objectives are achieved</w:t>
            </w:r>
            <w:r>
              <w:rPr>
                <w:rFonts w:asciiTheme="majorBidi" w:hAnsiTheme="majorBidi" w:cstheme="majorBidi"/>
                <w:sz w:val="20"/>
                <w:szCs w:val="20"/>
              </w:rPr>
              <w:t>.</w:t>
            </w:r>
          </w:p>
        </w:tc>
        <w:tc>
          <w:tcPr>
            <w:tcW w:w="992" w:type="dxa"/>
            <w:shd w:val="clear" w:color="auto" w:fill="auto"/>
          </w:tcPr>
          <w:p w14:paraId="50BD26D3"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13E37CA9" w14:textId="77777777" w:rsidTr="00E25DDA">
        <w:tc>
          <w:tcPr>
            <w:tcW w:w="2552" w:type="dxa"/>
            <w:vMerge/>
            <w:tcBorders>
              <w:bottom w:val="single" w:sz="12" w:space="0" w:color="auto"/>
            </w:tcBorders>
            <w:shd w:val="clear" w:color="auto" w:fill="auto"/>
          </w:tcPr>
          <w:p w14:paraId="7B3A3851" w14:textId="77777777" w:rsidR="00E25DDA" w:rsidRPr="000322B5" w:rsidRDefault="00E25DDA" w:rsidP="00E25DDA">
            <w:pPr>
              <w:spacing w:after="0"/>
              <w:rPr>
                <w:rFonts w:asciiTheme="majorBidi" w:hAnsiTheme="majorBidi" w:cstheme="majorBidi"/>
                <w:sz w:val="20"/>
                <w:szCs w:val="20"/>
              </w:rPr>
            </w:pPr>
          </w:p>
        </w:tc>
        <w:tc>
          <w:tcPr>
            <w:tcW w:w="6384" w:type="dxa"/>
            <w:tcBorders>
              <w:bottom w:val="single" w:sz="12" w:space="0" w:color="auto"/>
            </w:tcBorders>
            <w:shd w:val="clear" w:color="auto" w:fill="auto"/>
          </w:tcPr>
          <w:p w14:paraId="038F750A" w14:textId="77777777" w:rsidR="00E25DDA" w:rsidRDefault="00E25DDA" w:rsidP="00E25DDA">
            <w:pPr>
              <w:autoSpaceDE w:val="0"/>
              <w:autoSpaceDN w:val="0"/>
              <w:adjustRightInd w:val="0"/>
              <w:spacing w:after="0"/>
              <w:rPr>
                <w:rFonts w:asciiTheme="majorBidi" w:eastAsia="Times New Roman" w:hAnsiTheme="majorBidi" w:cstheme="majorBidi"/>
                <w:sz w:val="20"/>
                <w:szCs w:val="20"/>
              </w:rPr>
            </w:pPr>
            <w:r w:rsidRPr="000322B5">
              <w:rPr>
                <w:rFonts w:asciiTheme="majorBidi" w:eastAsia="Times New Roman" w:hAnsiTheme="majorBidi" w:cstheme="majorBidi"/>
                <w:sz w:val="20"/>
                <w:szCs w:val="20"/>
              </w:rPr>
              <w:t>73. Disclosure of the remuneration philosophy relating to senior management team</w:t>
            </w:r>
            <w:r>
              <w:rPr>
                <w:rFonts w:asciiTheme="majorBidi" w:eastAsia="Times New Roman" w:hAnsiTheme="majorBidi" w:cstheme="majorBidi"/>
                <w:sz w:val="20"/>
                <w:szCs w:val="20"/>
              </w:rPr>
              <w:t>.</w:t>
            </w:r>
            <w:r w:rsidRPr="000322B5">
              <w:rPr>
                <w:rFonts w:asciiTheme="majorBidi" w:eastAsia="Times New Roman" w:hAnsiTheme="majorBidi" w:cstheme="majorBidi"/>
                <w:sz w:val="20"/>
                <w:szCs w:val="20"/>
              </w:rPr>
              <w:t xml:space="preserve"> </w:t>
            </w:r>
          </w:p>
          <w:p w14:paraId="3189AC9E" w14:textId="77777777" w:rsidR="00E25DDA" w:rsidRDefault="00E25DDA" w:rsidP="00E25DDA">
            <w:pPr>
              <w:autoSpaceDE w:val="0"/>
              <w:autoSpaceDN w:val="0"/>
              <w:adjustRightInd w:val="0"/>
              <w:spacing w:after="0"/>
              <w:rPr>
                <w:rFonts w:asciiTheme="majorBidi" w:eastAsia="Times New Roman" w:hAnsiTheme="majorBidi" w:cstheme="majorBidi"/>
                <w:sz w:val="20"/>
                <w:szCs w:val="20"/>
              </w:rPr>
            </w:pPr>
          </w:p>
          <w:p w14:paraId="09AFF4C8" w14:textId="77777777" w:rsidR="00E25DDA" w:rsidRDefault="00E25DDA" w:rsidP="00E25DDA">
            <w:pPr>
              <w:autoSpaceDE w:val="0"/>
              <w:autoSpaceDN w:val="0"/>
              <w:adjustRightInd w:val="0"/>
              <w:spacing w:after="0"/>
              <w:rPr>
                <w:rFonts w:asciiTheme="majorBidi" w:eastAsia="Times New Roman" w:hAnsiTheme="majorBidi" w:cstheme="majorBidi"/>
                <w:sz w:val="20"/>
                <w:szCs w:val="20"/>
              </w:rPr>
            </w:pPr>
          </w:p>
          <w:p w14:paraId="6F7AC6E5" w14:textId="77777777" w:rsidR="00E25DDA" w:rsidRDefault="00E25DDA" w:rsidP="00E25DDA">
            <w:pPr>
              <w:autoSpaceDE w:val="0"/>
              <w:autoSpaceDN w:val="0"/>
              <w:adjustRightInd w:val="0"/>
              <w:spacing w:after="0"/>
              <w:rPr>
                <w:rFonts w:asciiTheme="majorBidi" w:hAnsiTheme="majorBidi" w:cstheme="majorBidi"/>
                <w:sz w:val="20"/>
                <w:szCs w:val="20"/>
              </w:rPr>
            </w:pPr>
          </w:p>
          <w:p w14:paraId="3E4E45CB" w14:textId="27DD4A5E" w:rsidR="00E25DDA" w:rsidRPr="000322B5" w:rsidRDefault="00E25DDA" w:rsidP="00E25DDA">
            <w:pPr>
              <w:autoSpaceDE w:val="0"/>
              <w:autoSpaceDN w:val="0"/>
              <w:adjustRightInd w:val="0"/>
              <w:spacing w:after="0"/>
              <w:rPr>
                <w:rFonts w:asciiTheme="majorBidi" w:hAnsiTheme="majorBidi" w:cstheme="majorBidi"/>
                <w:sz w:val="20"/>
                <w:szCs w:val="20"/>
              </w:rPr>
            </w:pPr>
          </w:p>
        </w:tc>
        <w:tc>
          <w:tcPr>
            <w:tcW w:w="992" w:type="dxa"/>
            <w:tcBorders>
              <w:bottom w:val="single" w:sz="12" w:space="0" w:color="auto"/>
            </w:tcBorders>
            <w:shd w:val="clear" w:color="auto" w:fill="auto"/>
          </w:tcPr>
          <w:p w14:paraId="5BD84BDE"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08A5F9B6" w14:textId="77777777" w:rsidTr="00E25DDA">
        <w:tc>
          <w:tcPr>
            <w:tcW w:w="2552" w:type="dxa"/>
            <w:vMerge w:val="restart"/>
            <w:tcBorders>
              <w:top w:val="single" w:sz="12" w:space="0" w:color="auto"/>
              <w:bottom w:val="nil"/>
            </w:tcBorders>
            <w:shd w:val="clear" w:color="auto" w:fill="auto"/>
          </w:tcPr>
          <w:p w14:paraId="19322049" w14:textId="77777777" w:rsidR="00E25DDA" w:rsidRPr="000322B5" w:rsidRDefault="00E25DDA" w:rsidP="00E25DDA">
            <w:pPr>
              <w:spacing w:after="0"/>
              <w:rPr>
                <w:rFonts w:asciiTheme="majorBidi" w:hAnsiTheme="majorBidi" w:cstheme="majorBidi"/>
                <w:b/>
                <w:bCs/>
                <w:sz w:val="20"/>
                <w:szCs w:val="20"/>
              </w:rPr>
            </w:pPr>
            <w:r w:rsidRPr="00B859B8">
              <w:rPr>
                <w:rFonts w:asciiTheme="majorBidi" w:hAnsiTheme="majorBidi" w:cstheme="majorBidi"/>
                <w:b/>
                <w:bCs/>
                <w:sz w:val="20"/>
                <w:szCs w:val="20"/>
              </w:rPr>
              <w:lastRenderedPageBreak/>
              <w:t>Accountability &amp; Auditing Sub-Index</w:t>
            </w:r>
          </w:p>
          <w:p w14:paraId="330D4F89" w14:textId="77777777" w:rsidR="00E25DDA" w:rsidRPr="000322B5" w:rsidRDefault="00E25DDA" w:rsidP="00E25DDA">
            <w:pPr>
              <w:spacing w:after="0"/>
              <w:rPr>
                <w:rFonts w:asciiTheme="majorBidi" w:hAnsiTheme="majorBidi" w:cstheme="majorBidi"/>
                <w:sz w:val="20"/>
                <w:szCs w:val="20"/>
              </w:rPr>
            </w:pPr>
          </w:p>
          <w:p w14:paraId="20B10B65" w14:textId="77777777" w:rsidR="00E25DDA" w:rsidRPr="000322B5" w:rsidRDefault="00E25DDA" w:rsidP="00E25DDA">
            <w:pPr>
              <w:spacing w:after="0"/>
              <w:rPr>
                <w:rFonts w:asciiTheme="majorBidi" w:hAnsiTheme="majorBidi" w:cstheme="majorBidi"/>
                <w:sz w:val="20"/>
                <w:szCs w:val="20"/>
              </w:rPr>
            </w:pPr>
          </w:p>
        </w:tc>
        <w:tc>
          <w:tcPr>
            <w:tcW w:w="6384" w:type="dxa"/>
            <w:tcBorders>
              <w:top w:val="single" w:sz="12" w:space="0" w:color="auto"/>
              <w:bottom w:val="nil"/>
            </w:tcBorders>
            <w:shd w:val="clear" w:color="auto" w:fill="auto"/>
          </w:tcPr>
          <w:p w14:paraId="430EE640"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74. The existence</w:t>
            </w:r>
            <w:r>
              <w:rPr>
                <w:rFonts w:asciiTheme="majorBidi" w:hAnsiTheme="majorBidi" w:cstheme="majorBidi"/>
                <w:sz w:val="20"/>
                <w:szCs w:val="20"/>
              </w:rPr>
              <w:t xml:space="preserve"> of an audit committee.</w:t>
            </w:r>
          </w:p>
        </w:tc>
        <w:tc>
          <w:tcPr>
            <w:tcW w:w="992" w:type="dxa"/>
            <w:tcBorders>
              <w:top w:val="single" w:sz="12" w:space="0" w:color="auto"/>
              <w:bottom w:val="nil"/>
            </w:tcBorders>
            <w:shd w:val="clear" w:color="auto" w:fill="auto"/>
          </w:tcPr>
          <w:p w14:paraId="2DA406CF"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674AECA9" w14:textId="77777777" w:rsidTr="00E25DDA">
        <w:tc>
          <w:tcPr>
            <w:tcW w:w="2552" w:type="dxa"/>
            <w:vMerge/>
            <w:tcBorders>
              <w:bottom w:val="nil"/>
            </w:tcBorders>
            <w:shd w:val="clear" w:color="auto" w:fill="auto"/>
          </w:tcPr>
          <w:p w14:paraId="62696BAB" w14:textId="77777777" w:rsidR="00E25DDA" w:rsidRPr="000322B5" w:rsidRDefault="00E25DDA" w:rsidP="00E25DDA">
            <w:pPr>
              <w:spacing w:after="0"/>
              <w:rPr>
                <w:rFonts w:asciiTheme="majorBidi" w:hAnsiTheme="majorBidi" w:cstheme="majorBidi"/>
                <w:sz w:val="20"/>
                <w:szCs w:val="20"/>
              </w:rPr>
            </w:pPr>
          </w:p>
        </w:tc>
        <w:tc>
          <w:tcPr>
            <w:tcW w:w="6384" w:type="dxa"/>
            <w:tcBorders>
              <w:bottom w:val="nil"/>
            </w:tcBorders>
            <w:shd w:val="clear" w:color="auto" w:fill="auto"/>
          </w:tcPr>
          <w:p w14:paraId="015473F0"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75. Composition of an audit committee (at least 3 independent governors and co-opted members with relevant expertise or interest who are not members of the governing board)</w:t>
            </w:r>
            <w:r>
              <w:rPr>
                <w:rFonts w:asciiTheme="majorBidi" w:hAnsiTheme="majorBidi" w:cstheme="majorBidi"/>
                <w:sz w:val="20"/>
                <w:szCs w:val="20"/>
              </w:rPr>
              <w:t>.</w:t>
            </w:r>
          </w:p>
        </w:tc>
        <w:tc>
          <w:tcPr>
            <w:tcW w:w="992" w:type="dxa"/>
            <w:tcBorders>
              <w:bottom w:val="nil"/>
            </w:tcBorders>
            <w:shd w:val="clear" w:color="auto" w:fill="auto"/>
          </w:tcPr>
          <w:p w14:paraId="1FF0787C"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2D72B20E" w14:textId="77777777" w:rsidTr="00E25DDA">
        <w:tc>
          <w:tcPr>
            <w:tcW w:w="2552" w:type="dxa"/>
            <w:vMerge/>
            <w:tcBorders>
              <w:bottom w:val="single" w:sz="12" w:space="0" w:color="auto"/>
            </w:tcBorders>
            <w:shd w:val="clear" w:color="auto" w:fill="auto"/>
          </w:tcPr>
          <w:p w14:paraId="4065FCE7" w14:textId="77777777" w:rsidR="00E25DDA" w:rsidRPr="000322B5" w:rsidRDefault="00E25DDA" w:rsidP="00E25DDA">
            <w:pPr>
              <w:spacing w:after="0"/>
              <w:rPr>
                <w:rFonts w:asciiTheme="majorBidi" w:hAnsiTheme="majorBidi" w:cstheme="majorBidi"/>
                <w:sz w:val="20"/>
                <w:szCs w:val="20"/>
              </w:rPr>
            </w:pPr>
          </w:p>
        </w:tc>
        <w:tc>
          <w:tcPr>
            <w:tcW w:w="6384" w:type="dxa"/>
            <w:tcBorders>
              <w:bottom w:val="nil"/>
            </w:tcBorders>
            <w:shd w:val="clear" w:color="auto" w:fill="auto"/>
          </w:tcPr>
          <w:p w14:paraId="23A4027C"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76. Independence of the audit committee’s chairperson</w:t>
            </w:r>
            <w:r>
              <w:rPr>
                <w:rFonts w:asciiTheme="majorBidi" w:hAnsiTheme="majorBidi" w:cstheme="majorBidi"/>
                <w:sz w:val="20"/>
                <w:szCs w:val="20"/>
              </w:rPr>
              <w:t>.</w:t>
            </w:r>
          </w:p>
        </w:tc>
        <w:tc>
          <w:tcPr>
            <w:tcW w:w="992" w:type="dxa"/>
            <w:tcBorders>
              <w:bottom w:val="nil"/>
            </w:tcBorders>
            <w:shd w:val="clear" w:color="auto" w:fill="auto"/>
          </w:tcPr>
          <w:p w14:paraId="66001D58"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494E4391" w14:textId="77777777" w:rsidTr="00E25DDA">
        <w:tc>
          <w:tcPr>
            <w:tcW w:w="2552" w:type="dxa"/>
            <w:vMerge/>
            <w:tcBorders>
              <w:top w:val="single" w:sz="12" w:space="0" w:color="auto"/>
              <w:bottom w:val="nil"/>
            </w:tcBorders>
            <w:shd w:val="clear" w:color="auto" w:fill="auto"/>
          </w:tcPr>
          <w:p w14:paraId="24258AF2" w14:textId="77777777" w:rsidR="00E25DDA" w:rsidRPr="000322B5" w:rsidRDefault="00E25DDA" w:rsidP="00E25DDA">
            <w:pPr>
              <w:spacing w:after="0"/>
              <w:rPr>
                <w:rFonts w:asciiTheme="majorBidi" w:hAnsiTheme="majorBidi" w:cstheme="majorBidi"/>
                <w:sz w:val="20"/>
                <w:szCs w:val="20"/>
              </w:rPr>
            </w:pPr>
          </w:p>
        </w:tc>
        <w:tc>
          <w:tcPr>
            <w:tcW w:w="6384" w:type="dxa"/>
            <w:tcBorders>
              <w:top w:val="nil"/>
              <w:bottom w:val="nil"/>
            </w:tcBorders>
            <w:shd w:val="clear" w:color="auto" w:fill="auto"/>
          </w:tcPr>
          <w:p w14:paraId="4F5020CF"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77. Audit committee membership is disclosed</w:t>
            </w:r>
            <w:r>
              <w:rPr>
                <w:rFonts w:asciiTheme="majorBidi" w:hAnsiTheme="majorBidi" w:cstheme="majorBidi"/>
                <w:sz w:val="20"/>
                <w:szCs w:val="20"/>
              </w:rPr>
              <w:t>.</w:t>
            </w:r>
          </w:p>
        </w:tc>
        <w:tc>
          <w:tcPr>
            <w:tcW w:w="992" w:type="dxa"/>
            <w:tcBorders>
              <w:top w:val="nil"/>
              <w:bottom w:val="nil"/>
            </w:tcBorders>
            <w:shd w:val="clear" w:color="auto" w:fill="auto"/>
          </w:tcPr>
          <w:p w14:paraId="50077632"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7941124D" w14:textId="77777777" w:rsidTr="00E25DDA">
        <w:tc>
          <w:tcPr>
            <w:tcW w:w="2552" w:type="dxa"/>
            <w:vMerge/>
            <w:tcBorders>
              <w:bottom w:val="nil"/>
            </w:tcBorders>
            <w:shd w:val="clear" w:color="auto" w:fill="auto"/>
          </w:tcPr>
          <w:p w14:paraId="5A82DEA0" w14:textId="77777777" w:rsidR="00E25DDA" w:rsidRPr="000322B5" w:rsidRDefault="00E25DDA" w:rsidP="00E25DDA">
            <w:pPr>
              <w:spacing w:after="0"/>
              <w:rPr>
                <w:rFonts w:asciiTheme="majorBidi" w:hAnsiTheme="majorBidi" w:cstheme="majorBidi"/>
                <w:sz w:val="20"/>
                <w:szCs w:val="20"/>
              </w:rPr>
            </w:pPr>
          </w:p>
        </w:tc>
        <w:tc>
          <w:tcPr>
            <w:tcW w:w="6384" w:type="dxa"/>
            <w:tcBorders>
              <w:bottom w:val="nil"/>
            </w:tcBorders>
            <w:shd w:val="clear" w:color="auto" w:fill="auto"/>
          </w:tcPr>
          <w:p w14:paraId="69A38EDE"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78. Audit committee members attendance of the meetings is disclosed</w:t>
            </w:r>
            <w:r>
              <w:rPr>
                <w:rFonts w:asciiTheme="majorBidi" w:hAnsiTheme="majorBidi" w:cstheme="majorBidi"/>
                <w:sz w:val="20"/>
                <w:szCs w:val="20"/>
              </w:rPr>
              <w:t>.</w:t>
            </w:r>
          </w:p>
        </w:tc>
        <w:tc>
          <w:tcPr>
            <w:tcW w:w="992" w:type="dxa"/>
            <w:tcBorders>
              <w:bottom w:val="nil"/>
            </w:tcBorders>
            <w:shd w:val="clear" w:color="auto" w:fill="auto"/>
          </w:tcPr>
          <w:p w14:paraId="42ACC652"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1319765B" w14:textId="77777777" w:rsidTr="00E25DDA">
        <w:tc>
          <w:tcPr>
            <w:tcW w:w="2552" w:type="dxa"/>
            <w:vMerge/>
            <w:tcBorders>
              <w:bottom w:val="single" w:sz="12" w:space="0" w:color="auto"/>
            </w:tcBorders>
            <w:shd w:val="clear" w:color="auto" w:fill="auto"/>
          </w:tcPr>
          <w:p w14:paraId="5067FDFF" w14:textId="77777777" w:rsidR="00E25DDA" w:rsidRPr="000322B5" w:rsidRDefault="00E25DDA" w:rsidP="00E25DDA">
            <w:pPr>
              <w:spacing w:after="0"/>
              <w:rPr>
                <w:rFonts w:asciiTheme="majorBidi" w:hAnsiTheme="majorBidi" w:cstheme="majorBidi"/>
                <w:sz w:val="20"/>
                <w:szCs w:val="20"/>
              </w:rPr>
            </w:pPr>
          </w:p>
        </w:tc>
        <w:tc>
          <w:tcPr>
            <w:tcW w:w="6384" w:type="dxa"/>
            <w:tcBorders>
              <w:bottom w:val="nil"/>
            </w:tcBorders>
            <w:shd w:val="clear" w:color="auto" w:fill="auto"/>
          </w:tcPr>
          <w:p w14:paraId="4087FA60"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79. Audit committee’s terms of reference is disclosed</w:t>
            </w:r>
            <w:r>
              <w:rPr>
                <w:rFonts w:asciiTheme="majorBidi" w:hAnsiTheme="majorBidi" w:cstheme="majorBidi"/>
                <w:sz w:val="20"/>
                <w:szCs w:val="20"/>
              </w:rPr>
              <w:t>.</w:t>
            </w:r>
          </w:p>
        </w:tc>
        <w:tc>
          <w:tcPr>
            <w:tcW w:w="992" w:type="dxa"/>
            <w:tcBorders>
              <w:bottom w:val="nil"/>
            </w:tcBorders>
            <w:shd w:val="clear" w:color="auto" w:fill="auto"/>
          </w:tcPr>
          <w:p w14:paraId="3B9D0D71"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0D288704" w14:textId="77777777" w:rsidTr="00E25DDA">
        <w:tc>
          <w:tcPr>
            <w:tcW w:w="2552" w:type="dxa"/>
            <w:vMerge/>
            <w:tcBorders>
              <w:top w:val="single" w:sz="12" w:space="0" w:color="auto"/>
              <w:bottom w:val="nil"/>
            </w:tcBorders>
            <w:shd w:val="clear" w:color="auto" w:fill="auto"/>
          </w:tcPr>
          <w:p w14:paraId="52DE2D6A" w14:textId="77777777" w:rsidR="00E25DDA" w:rsidRPr="000322B5" w:rsidRDefault="00E25DDA" w:rsidP="00E25DDA">
            <w:pPr>
              <w:spacing w:after="0"/>
              <w:rPr>
                <w:rFonts w:asciiTheme="majorBidi" w:hAnsiTheme="majorBidi" w:cstheme="majorBidi"/>
                <w:sz w:val="20"/>
                <w:szCs w:val="20"/>
              </w:rPr>
            </w:pPr>
          </w:p>
        </w:tc>
        <w:tc>
          <w:tcPr>
            <w:tcW w:w="6384" w:type="dxa"/>
            <w:tcBorders>
              <w:top w:val="nil"/>
              <w:bottom w:val="nil"/>
            </w:tcBorders>
            <w:shd w:val="clear" w:color="auto" w:fill="auto"/>
          </w:tcPr>
          <w:p w14:paraId="308129BB"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80. Reviewing the performance/effectiveness of the audit committee</w:t>
            </w:r>
            <w:r>
              <w:rPr>
                <w:rFonts w:asciiTheme="majorBidi" w:hAnsiTheme="majorBidi" w:cstheme="majorBidi"/>
                <w:sz w:val="20"/>
                <w:szCs w:val="20"/>
              </w:rPr>
              <w:t>.</w:t>
            </w:r>
          </w:p>
        </w:tc>
        <w:tc>
          <w:tcPr>
            <w:tcW w:w="992" w:type="dxa"/>
            <w:tcBorders>
              <w:top w:val="nil"/>
              <w:bottom w:val="nil"/>
            </w:tcBorders>
            <w:shd w:val="clear" w:color="auto" w:fill="auto"/>
          </w:tcPr>
          <w:p w14:paraId="662AA5D3"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130F97F4" w14:textId="77777777" w:rsidTr="00E25DDA">
        <w:tc>
          <w:tcPr>
            <w:tcW w:w="2552" w:type="dxa"/>
            <w:vMerge/>
            <w:tcBorders>
              <w:bottom w:val="nil"/>
            </w:tcBorders>
            <w:shd w:val="clear" w:color="auto" w:fill="auto"/>
          </w:tcPr>
          <w:p w14:paraId="66D0657D" w14:textId="77777777" w:rsidR="00E25DDA" w:rsidRPr="000322B5" w:rsidRDefault="00E25DDA" w:rsidP="00E25DDA">
            <w:pPr>
              <w:spacing w:after="0"/>
              <w:rPr>
                <w:rFonts w:asciiTheme="majorBidi" w:hAnsiTheme="majorBidi" w:cstheme="majorBidi"/>
                <w:sz w:val="20"/>
                <w:szCs w:val="20"/>
              </w:rPr>
            </w:pPr>
          </w:p>
        </w:tc>
        <w:tc>
          <w:tcPr>
            <w:tcW w:w="6384" w:type="dxa"/>
            <w:tcBorders>
              <w:bottom w:val="nil"/>
            </w:tcBorders>
            <w:shd w:val="clear" w:color="auto" w:fill="auto"/>
          </w:tcPr>
          <w:p w14:paraId="63D25FB9"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81. Sound control systems are in place</w:t>
            </w:r>
            <w:r>
              <w:rPr>
                <w:rFonts w:asciiTheme="majorBidi" w:hAnsiTheme="majorBidi" w:cstheme="majorBidi"/>
                <w:sz w:val="20"/>
                <w:szCs w:val="20"/>
              </w:rPr>
              <w:t>.</w:t>
            </w:r>
          </w:p>
        </w:tc>
        <w:tc>
          <w:tcPr>
            <w:tcW w:w="992" w:type="dxa"/>
            <w:tcBorders>
              <w:bottom w:val="nil"/>
            </w:tcBorders>
            <w:shd w:val="clear" w:color="auto" w:fill="auto"/>
          </w:tcPr>
          <w:p w14:paraId="18AF2AF4"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3B3F1929" w14:textId="77777777" w:rsidTr="00E25DDA">
        <w:tc>
          <w:tcPr>
            <w:tcW w:w="2552" w:type="dxa"/>
            <w:vMerge/>
            <w:tcBorders>
              <w:bottom w:val="single" w:sz="12" w:space="0" w:color="auto"/>
            </w:tcBorders>
            <w:shd w:val="clear" w:color="auto" w:fill="auto"/>
          </w:tcPr>
          <w:p w14:paraId="58451FCA" w14:textId="77777777" w:rsidR="00E25DDA" w:rsidRPr="000322B5" w:rsidRDefault="00E25DDA" w:rsidP="00E25DDA">
            <w:pPr>
              <w:spacing w:after="0"/>
              <w:rPr>
                <w:rFonts w:asciiTheme="majorBidi" w:hAnsiTheme="majorBidi" w:cstheme="majorBidi"/>
                <w:sz w:val="20"/>
                <w:szCs w:val="20"/>
              </w:rPr>
            </w:pPr>
          </w:p>
        </w:tc>
        <w:tc>
          <w:tcPr>
            <w:tcW w:w="6384" w:type="dxa"/>
            <w:tcBorders>
              <w:bottom w:val="nil"/>
            </w:tcBorders>
            <w:shd w:val="clear" w:color="auto" w:fill="auto"/>
          </w:tcPr>
          <w:p w14:paraId="6EE17267"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82. Disclosure of information relating to risk management procedures</w:t>
            </w:r>
            <w:r>
              <w:rPr>
                <w:rFonts w:asciiTheme="majorBidi" w:hAnsiTheme="majorBidi" w:cstheme="majorBidi"/>
                <w:sz w:val="20"/>
                <w:szCs w:val="20"/>
              </w:rPr>
              <w:t>.</w:t>
            </w:r>
          </w:p>
        </w:tc>
        <w:tc>
          <w:tcPr>
            <w:tcW w:w="992" w:type="dxa"/>
            <w:tcBorders>
              <w:bottom w:val="nil"/>
            </w:tcBorders>
            <w:shd w:val="clear" w:color="auto" w:fill="auto"/>
          </w:tcPr>
          <w:p w14:paraId="59EEDA71"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7A079FC8" w14:textId="77777777" w:rsidTr="00E25DDA">
        <w:tc>
          <w:tcPr>
            <w:tcW w:w="2552" w:type="dxa"/>
            <w:vMerge/>
            <w:tcBorders>
              <w:top w:val="single" w:sz="12" w:space="0" w:color="auto"/>
              <w:bottom w:val="single" w:sz="12" w:space="0" w:color="auto"/>
            </w:tcBorders>
            <w:shd w:val="clear" w:color="auto" w:fill="auto"/>
          </w:tcPr>
          <w:p w14:paraId="7EB51A40" w14:textId="77777777" w:rsidR="00E25DDA" w:rsidRPr="000322B5" w:rsidRDefault="00E25DDA" w:rsidP="00E25DDA">
            <w:pPr>
              <w:spacing w:after="0"/>
              <w:rPr>
                <w:rFonts w:asciiTheme="majorBidi" w:hAnsiTheme="majorBidi" w:cstheme="majorBidi"/>
                <w:sz w:val="20"/>
                <w:szCs w:val="20"/>
              </w:rPr>
            </w:pPr>
          </w:p>
        </w:tc>
        <w:tc>
          <w:tcPr>
            <w:tcW w:w="6384" w:type="dxa"/>
            <w:tcBorders>
              <w:top w:val="nil"/>
              <w:bottom w:val="nil"/>
            </w:tcBorders>
            <w:shd w:val="clear" w:color="auto" w:fill="auto"/>
          </w:tcPr>
          <w:p w14:paraId="04BCF9B9"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83. Existence of internal audit unit</w:t>
            </w:r>
            <w:r>
              <w:rPr>
                <w:rFonts w:asciiTheme="majorBidi" w:hAnsiTheme="majorBidi" w:cstheme="majorBidi"/>
                <w:sz w:val="20"/>
                <w:szCs w:val="20"/>
              </w:rPr>
              <w:t>.</w:t>
            </w:r>
          </w:p>
        </w:tc>
        <w:tc>
          <w:tcPr>
            <w:tcW w:w="992" w:type="dxa"/>
            <w:tcBorders>
              <w:top w:val="nil"/>
              <w:bottom w:val="nil"/>
            </w:tcBorders>
            <w:shd w:val="clear" w:color="auto" w:fill="auto"/>
          </w:tcPr>
          <w:p w14:paraId="60C4D40B"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52E240EF" w14:textId="77777777" w:rsidTr="00E25DDA">
        <w:tc>
          <w:tcPr>
            <w:tcW w:w="2552" w:type="dxa"/>
            <w:vMerge/>
            <w:tcBorders>
              <w:top w:val="single" w:sz="12" w:space="0" w:color="auto"/>
            </w:tcBorders>
            <w:shd w:val="clear" w:color="auto" w:fill="auto"/>
          </w:tcPr>
          <w:p w14:paraId="1189AA2E" w14:textId="77777777" w:rsidR="00E25DDA" w:rsidRPr="000322B5" w:rsidRDefault="00E25DDA" w:rsidP="00E25DDA">
            <w:pPr>
              <w:spacing w:after="0"/>
              <w:rPr>
                <w:rFonts w:asciiTheme="majorBidi" w:hAnsiTheme="majorBidi" w:cstheme="majorBidi"/>
                <w:sz w:val="20"/>
                <w:szCs w:val="20"/>
              </w:rPr>
            </w:pPr>
          </w:p>
        </w:tc>
        <w:tc>
          <w:tcPr>
            <w:tcW w:w="6384" w:type="dxa"/>
            <w:tcBorders>
              <w:top w:val="nil"/>
            </w:tcBorders>
            <w:shd w:val="clear" w:color="auto" w:fill="auto"/>
          </w:tcPr>
          <w:p w14:paraId="69525730" w14:textId="77777777" w:rsidR="00E25DDA" w:rsidRPr="000322B5" w:rsidRDefault="00E25DDA" w:rsidP="00E25DDA">
            <w:pPr>
              <w:spacing w:after="0"/>
              <w:rPr>
                <w:rFonts w:asciiTheme="majorBidi" w:hAnsiTheme="majorBidi" w:cstheme="majorBidi"/>
                <w:bCs/>
                <w:sz w:val="20"/>
                <w:szCs w:val="20"/>
              </w:rPr>
            </w:pPr>
            <w:r w:rsidRPr="000322B5">
              <w:rPr>
                <w:rFonts w:asciiTheme="majorBidi" w:hAnsiTheme="majorBidi" w:cstheme="majorBidi"/>
                <w:bCs/>
                <w:sz w:val="20"/>
                <w:szCs w:val="20"/>
              </w:rPr>
              <w:t>84. Internal audit function is disclosed</w:t>
            </w:r>
            <w:r>
              <w:rPr>
                <w:rFonts w:asciiTheme="majorBidi" w:hAnsiTheme="majorBidi" w:cstheme="majorBidi"/>
                <w:bCs/>
                <w:sz w:val="20"/>
                <w:szCs w:val="20"/>
              </w:rPr>
              <w:t>.</w:t>
            </w:r>
          </w:p>
        </w:tc>
        <w:tc>
          <w:tcPr>
            <w:tcW w:w="992" w:type="dxa"/>
            <w:tcBorders>
              <w:top w:val="nil"/>
            </w:tcBorders>
            <w:shd w:val="clear" w:color="auto" w:fill="auto"/>
          </w:tcPr>
          <w:p w14:paraId="16E7BA49"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3DD6D0C1" w14:textId="77777777" w:rsidTr="00E25DDA">
        <w:tc>
          <w:tcPr>
            <w:tcW w:w="2552" w:type="dxa"/>
            <w:vMerge/>
            <w:shd w:val="clear" w:color="auto" w:fill="auto"/>
          </w:tcPr>
          <w:p w14:paraId="4CE1F66D" w14:textId="77777777" w:rsidR="00E25DDA" w:rsidRPr="000322B5" w:rsidRDefault="00E25DDA" w:rsidP="00E25DDA">
            <w:pPr>
              <w:spacing w:after="0"/>
              <w:rPr>
                <w:rFonts w:asciiTheme="majorBidi" w:hAnsiTheme="majorBidi" w:cstheme="majorBidi"/>
                <w:sz w:val="20"/>
                <w:szCs w:val="20"/>
              </w:rPr>
            </w:pPr>
          </w:p>
        </w:tc>
        <w:tc>
          <w:tcPr>
            <w:tcW w:w="6384" w:type="dxa"/>
            <w:shd w:val="clear" w:color="auto" w:fill="auto"/>
          </w:tcPr>
          <w:p w14:paraId="13B79921"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85. Statement of a HEI’s going concern is disclosed</w:t>
            </w:r>
            <w:r>
              <w:rPr>
                <w:rFonts w:asciiTheme="majorBidi" w:hAnsiTheme="majorBidi" w:cstheme="majorBidi"/>
                <w:sz w:val="20"/>
                <w:szCs w:val="20"/>
              </w:rPr>
              <w:t>.</w:t>
            </w:r>
          </w:p>
        </w:tc>
        <w:tc>
          <w:tcPr>
            <w:tcW w:w="992" w:type="dxa"/>
            <w:shd w:val="clear" w:color="auto" w:fill="auto"/>
          </w:tcPr>
          <w:p w14:paraId="057A3F30"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7782D026" w14:textId="77777777" w:rsidTr="00E25DDA">
        <w:tc>
          <w:tcPr>
            <w:tcW w:w="2552" w:type="dxa"/>
            <w:vMerge/>
            <w:shd w:val="clear" w:color="auto" w:fill="auto"/>
          </w:tcPr>
          <w:p w14:paraId="75135E6B" w14:textId="77777777" w:rsidR="00E25DDA" w:rsidRPr="000322B5" w:rsidRDefault="00E25DDA" w:rsidP="00E25DDA">
            <w:pPr>
              <w:spacing w:after="0"/>
              <w:rPr>
                <w:rFonts w:asciiTheme="majorBidi" w:hAnsiTheme="majorBidi" w:cstheme="majorBidi"/>
                <w:sz w:val="20"/>
                <w:szCs w:val="20"/>
              </w:rPr>
            </w:pPr>
          </w:p>
        </w:tc>
        <w:tc>
          <w:tcPr>
            <w:tcW w:w="6384" w:type="dxa"/>
            <w:shd w:val="clear" w:color="auto" w:fill="auto"/>
          </w:tcPr>
          <w:p w14:paraId="031A14B4"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86. Experience of audit committee members (at least one member with relevant and recent experience in accounting, auditing or finance)</w:t>
            </w:r>
            <w:r>
              <w:rPr>
                <w:rFonts w:asciiTheme="majorBidi" w:hAnsiTheme="majorBidi" w:cstheme="majorBidi"/>
                <w:sz w:val="20"/>
                <w:szCs w:val="20"/>
              </w:rPr>
              <w:t>.</w:t>
            </w:r>
          </w:p>
        </w:tc>
        <w:tc>
          <w:tcPr>
            <w:tcW w:w="992" w:type="dxa"/>
            <w:shd w:val="clear" w:color="auto" w:fill="auto"/>
          </w:tcPr>
          <w:p w14:paraId="1A98EB2D"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58E52BC2" w14:textId="77777777" w:rsidTr="00E25DDA">
        <w:tc>
          <w:tcPr>
            <w:tcW w:w="2552" w:type="dxa"/>
            <w:vMerge/>
            <w:shd w:val="clear" w:color="auto" w:fill="auto"/>
          </w:tcPr>
          <w:p w14:paraId="7078387D" w14:textId="77777777" w:rsidR="00E25DDA" w:rsidRPr="000322B5" w:rsidRDefault="00E25DDA" w:rsidP="00E25DDA">
            <w:pPr>
              <w:spacing w:after="0"/>
              <w:rPr>
                <w:rFonts w:asciiTheme="majorBidi" w:hAnsiTheme="majorBidi" w:cstheme="majorBidi"/>
                <w:sz w:val="20"/>
                <w:szCs w:val="20"/>
              </w:rPr>
            </w:pPr>
          </w:p>
        </w:tc>
        <w:tc>
          <w:tcPr>
            <w:tcW w:w="6384" w:type="dxa"/>
            <w:shd w:val="clear" w:color="auto" w:fill="auto"/>
          </w:tcPr>
          <w:p w14:paraId="4F1C08D2"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87. Audit committee meetings (at least 4 times in a year)</w:t>
            </w:r>
            <w:r>
              <w:rPr>
                <w:rFonts w:asciiTheme="majorBidi" w:hAnsiTheme="majorBidi" w:cstheme="majorBidi"/>
                <w:sz w:val="20"/>
                <w:szCs w:val="20"/>
              </w:rPr>
              <w:t>.</w:t>
            </w:r>
          </w:p>
        </w:tc>
        <w:tc>
          <w:tcPr>
            <w:tcW w:w="992" w:type="dxa"/>
            <w:shd w:val="clear" w:color="auto" w:fill="auto"/>
          </w:tcPr>
          <w:p w14:paraId="018B5269"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76E3D862" w14:textId="77777777" w:rsidTr="00E25DDA">
        <w:tc>
          <w:tcPr>
            <w:tcW w:w="2552" w:type="dxa"/>
            <w:vMerge/>
            <w:shd w:val="clear" w:color="auto" w:fill="auto"/>
          </w:tcPr>
          <w:p w14:paraId="6ACC925C" w14:textId="77777777" w:rsidR="00E25DDA" w:rsidRPr="000322B5" w:rsidRDefault="00E25DDA" w:rsidP="00E25DDA">
            <w:pPr>
              <w:spacing w:after="0"/>
              <w:rPr>
                <w:rFonts w:asciiTheme="majorBidi" w:hAnsiTheme="majorBidi" w:cstheme="majorBidi"/>
                <w:b/>
                <w:bCs/>
                <w:sz w:val="20"/>
                <w:szCs w:val="20"/>
              </w:rPr>
            </w:pPr>
          </w:p>
        </w:tc>
        <w:tc>
          <w:tcPr>
            <w:tcW w:w="6384" w:type="dxa"/>
            <w:shd w:val="clear" w:color="auto" w:fill="auto"/>
          </w:tcPr>
          <w:p w14:paraId="4517B368"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88. The presentation of a balanced and understandable annual report</w:t>
            </w:r>
            <w:r>
              <w:rPr>
                <w:rFonts w:asciiTheme="majorBidi" w:hAnsiTheme="majorBidi" w:cstheme="majorBidi"/>
                <w:sz w:val="20"/>
                <w:szCs w:val="20"/>
              </w:rPr>
              <w:t>.</w:t>
            </w:r>
          </w:p>
        </w:tc>
        <w:tc>
          <w:tcPr>
            <w:tcW w:w="992" w:type="dxa"/>
            <w:shd w:val="clear" w:color="auto" w:fill="auto"/>
          </w:tcPr>
          <w:p w14:paraId="394A6A7C"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330A9D41" w14:textId="77777777" w:rsidTr="00E25DDA">
        <w:tc>
          <w:tcPr>
            <w:tcW w:w="2552" w:type="dxa"/>
            <w:vMerge/>
            <w:shd w:val="clear" w:color="auto" w:fill="auto"/>
          </w:tcPr>
          <w:p w14:paraId="1DF1106E" w14:textId="77777777" w:rsidR="00E25DDA" w:rsidRPr="000322B5" w:rsidRDefault="00E25DDA" w:rsidP="00E25DDA">
            <w:pPr>
              <w:spacing w:after="0"/>
              <w:rPr>
                <w:rFonts w:asciiTheme="majorBidi" w:hAnsiTheme="majorBidi" w:cstheme="majorBidi"/>
                <w:b/>
                <w:bCs/>
                <w:sz w:val="20"/>
                <w:szCs w:val="20"/>
              </w:rPr>
            </w:pPr>
          </w:p>
        </w:tc>
        <w:tc>
          <w:tcPr>
            <w:tcW w:w="6384" w:type="dxa"/>
            <w:shd w:val="clear" w:color="auto" w:fill="auto"/>
          </w:tcPr>
          <w:p w14:paraId="441003EF"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89. The governing board is responsible for the preparation of annual accounts</w:t>
            </w:r>
            <w:r>
              <w:rPr>
                <w:rFonts w:asciiTheme="majorBidi" w:hAnsiTheme="majorBidi" w:cstheme="majorBidi"/>
                <w:sz w:val="20"/>
                <w:szCs w:val="20"/>
              </w:rPr>
              <w:t>.</w:t>
            </w:r>
          </w:p>
        </w:tc>
        <w:tc>
          <w:tcPr>
            <w:tcW w:w="992" w:type="dxa"/>
            <w:shd w:val="clear" w:color="auto" w:fill="auto"/>
          </w:tcPr>
          <w:p w14:paraId="3573B59A"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1EFB0374" w14:textId="77777777" w:rsidTr="00E25DDA">
        <w:tc>
          <w:tcPr>
            <w:tcW w:w="2552" w:type="dxa"/>
            <w:vMerge/>
            <w:shd w:val="clear" w:color="auto" w:fill="auto"/>
          </w:tcPr>
          <w:p w14:paraId="393F84F4" w14:textId="77777777" w:rsidR="00E25DDA" w:rsidRPr="000322B5" w:rsidRDefault="00E25DDA" w:rsidP="00E25DDA">
            <w:pPr>
              <w:spacing w:after="0"/>
              <w:rPr>
                <w:rFonts w:asciiTheme="majorBidi" w:hAnsiTheme="majorBidi" w:cstheme="majorBidi"/>
                <w:b/>
                <w:bCs/>
                <w:sz w:val="20"/>
                <w:szCs w:val="20"/>
              </w:rPr>
            </w:pPr>
          </w:p>
        </w:tc>
        <w:tc>
          <w:tcPr>
            <w:tcW w:w="6384" w:type="dxa"/>
            <w:shd w:val="clear" w:color="auto" w:fill="auto"/>
          </w:tcPr>
          <w:p w14:paraId="54DC6346"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90. Compliance with Nolan Principle</w:t>
            </w:r>
            <w:r>
              <w:rPr>
                <w:rFonts w:asciiTheme="majorBidi" w:hAnsiTheme="majorBidi" w:cstheme="majorBidi"/>
                <w:sz w:val="20"/>
                <w:szCs w:val="20"/>
              </w:rPr>
              <w:t>.</w:t>
            </w:r>
          </w:p>
        </w:tc>
        <w:tc>
          <w:tcPr>
            <w:tcW w:w="992" w:type="dxa"/>
            <w:shd w:val="clear" w:color="auto" w:fill="auto"/>
          </w:tcPr>
          <w:p w14:paraId="25D95E15"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61333C24" w14:textId="77777777" w:rsidTr="00E25DDA">
        <w:tc>
          <w:tcPr>
            <w:tcW w:w="2552" w:type="dxa"/>
            <w:vMerge/>
            <w:shd w:val="clear" w:color="auto" w:fill="auto"/>
          </w:tcPr>
          <w:p w14:paraId="1EC038FB" w14:textId="77777777" w:rsidR="00E25DDA" w:rsidRPr="000322B5" w:rsidRDefault="00E25DDA" w:rsidP="00E25DDA">
            <w:pPr>
              <w:spacing w:after="0"/>
              <w:rPr>
                <w:rFonts w:asciiTheme="majorBidi" w:hAnsiTheme="majorBidi" w:cstheme="majorBidi"/>
                <w:b/>
                <w:bCs/>
                <w:sz w:val="20"/>
                <w:szCs w:val="20"/>
              </w:rPr>
            </w:pPr>
          </w:p>
        </w:tc>
        <w:tc>
          <w:tcPr>
            <w:tcW w:w="6384" w:type="dxa"/>
            <w:shd w:val="clear" w:color="auto" w:fill="auto"/>
          </w:tcPr>
          <w:p w14:paraId="4F56C5BB" w14:textId="77777777" w:rsidR="00E25DDA" w:rsidRPr="000322B5" w:rsidRDefault="00E25DDA" w:rsidP="00E25DDA">
            <w:pPr>
              <w:spacing w:after="0"/>
              <w:rPr>
                <w:rFonts w:asciiTheme="majorBidi" w:hAnsiTheme="majorBidi" w:cstheme="majorBidi"/>
                <w:bCs/>
                <w:sz w:val="20"/>
                <w:szCs w:val="20"/>
              </w:rPr>
            </w:pPr>
            <w:r w:rsidRPr="000322B5">
              <w:rPr>
                <w:rFonts w:asciiTheme="majorBidi" w:hAnsiTheme="majorBidi" w:cstheme="majorBidi"/>
                <w:bCs/>
                <w:sz w:val="20"/>
                <w:szCs w:val="20"/>
              </w:rPr>
              <w:t>91. Fulfilling funding councils’ requirements</w:t>
            </w:r>
            <w:r>
              <w:rPr>
                <w:rFonts w:asciiTheme="majorBidi" w:hAnsiTheme="majorBidi" w:cstheme="majorBidi"/>
                <w:bCs/>
                <w:sz w:val="20"/>
                <w:szCs w:val="20"/>
              </w:rPr>
              <w:t>.</w:t>
            </w:r>
          </w:p>
        </w:tc>
        <w:tc>
          <w:tcPr>
            <w:tcW w:w="992" w:type="dxa"/>
            <w:shd w:val="clear" w:color="auto" w:fill="auto"/>
          </w:tcPr>
          <w:p w14:paraId="4EEC7AE3"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2B930CAE" w14:textId="77777777" w:rsidTr="00E25DDA">
        <w:tc>
          <w:tcPr>
            <w:tcW w:w="2552" w:type="dxa"/>
            <w:vMerge/>
            <w:shd w:val="clear" w:color="auto" w:fill="auto"/>
          </w:tcPr>
          <w:p w14:paraId="05971D94" w14:textId="77777777" w:rsidR="00E25DDA" w:rsidRPr="000322B5" w:rsidRDefault="00E25DDA" w:rsidP="00E25DDA">
            <w:pPr>
              <w:spacing w:after="0"/>
              <w:rPr>
                <w:rFonts w:asciiTheme="majorBidi" w:hAnsiTheme="majorBidi" w:cstheme="majorBidi"/>
                <w:b/>
                <w:bCs/>
                <w:sz w:val="20"/>
                <w:szCs w:val="20"/>
              </w:rPr>
            </w:pPr>
          </w:p>
        </w:tc>
        <w:tc>
          <w:tcPr>
            <w:tcW w:w="6384" w:type="dxa"/>
            <w:shd w:val="clear" w:color="auto" w:fill="auto"/>
          </w:tcPr>
          <w:p w14:paraId="11566AD8" w14:textId="77777777" w:rsidR="00E25DDA" w:rsidRPr="000322B5" w:rsidRDefault="00E25DDA" w:rsidP="00E25DDA">
            <w:pPr>
              <w:spacing w:after="0"/>
              <w:rPr>
                <w:rFonts w:asciiTheme="majorBidi" w:hAnsiTheme="majorBidi" w:cstheme="majorBidi"/>
                <w:bCs/>
                <w:sz w:val="20"/>
                <w:szCs w:val="20"/>
              </w:rPr>
            </w:pPr>
            <w:r w:rsidRPr="000322B5">
              <w:rPr>
                <w:rFonts w:asciiTheme="majorBidi" w:hAnsiTheme="majorBidi" w:cstheme="majorBidi"/>
                <w:bCs/>
                <w:sz w:val="20"/>
                <w:szCs w:val="20"/>
              </w:rPr>
              <w:t>92. Reviewing the capability of audit committee by the governing board</w:t>
            </w:r>
            <w:r>
              <w:rPr>
                <w:rFonts w:asciiTheme="majorBidi" w:hAnsiTheme="majorBidi" w:cstheme="majorBidi"/>
                <w:bCs/>
                <w:sz w:val="20"/>
                <w:szCs w:val="20"/>
              </w:rPr>
              <w:t>.</w:t>
            </w:r>
          </w:p>
        </w:tc>
        <w:tc>
          <w:tcPr>
            <w:tcW w:w="992" w:type="dxa"/>
            <w:shd w:val="clear" w:color="auto" w:fill="auto"/>
          </w:tcPr>
          <w:p w14:paraId="3B4D9D29"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0671C9B1" w14:textId="77777777" w:rsidTr="00E25DDA">
        <w:tc>
          <w:tcPr>
            <w:tcW w:w="2552" w:type="dxa"/>
            <w:vMerge/>
            <w:tcBorders>
              <w:bottom w:val="nil"/>
            </w:tcBorders>
            <w:shd w:val="clear" w:color="auto" w:fill="auto"/>
          </w:tcPr>
          <w:p w14:paraId="435A406F" w14:textId="77777777" w:rsidR="00E25DDA" w:rsidRPr="000322B5" w:rsidRDefault="00E25DDA" w:rsidP="00E25DDA">
            <w:pPr>
              <w:spacing w:after="0"/>
              <w:rPr>
                <w:rFonts w:asciiTheme="majorBidi" w:hAnsiTheme="majorBidi" w:cstheme="majorBidi"/>
                <w:b/>
                <w:bCs/>
                <w:sz w:val="20"/>
                <w:szCs w:val="20"/>
              </w:rPr>
            </w:pPr>
          </w:p>
        </w:tc>
        <w:tc>
          <w:tcPr>
            <w:tcW w:w="6384" w:type="dxa"/>
            <w:tcBorders>
              <w:bottom w:val="nil"/>
            </w:tcBorders>
            <w:shd w:val="clear" w:color="auto" w:fill="auto"/>
          </w:tcPr>
          <w:p w14:paraId="7866B844" w14:textId="77777777" w:rsidR="00E25DDA" w:rsidRPr="000322B5" w:rsidRDefault="00E25DDA" w:rsidP="00E25DDA">
            <w:pPr>
              <w:spacing w:after="0"/>
              <w:rPr>
                <w:rFonts w:asciiTheme="majorBidi" w:hAnsiTheme="majorBidi" w:cstheme="majorBidi"/>
                <w:bCs/>
                <w:sz w:val="20"/>
                <w:szCs w:val="20"/>
              </w:rPr>
            </w:pPr>
            <w:r w:rsidRPr="000322B5">
              <w:rPr>
                <w:rFonts w:asciiTheme="majorBidi" w:hAnsiTheme="majorBidi" w:cstheme="majorBidi"/>
                <w:bCs/>
                <w:sz w:val="20"/>
                <w:szCs w:val="20"/>
              </w:rPr>
              <w:t>93. The terms of reference on roles of audit committee are written/agreed by the governing board</w:t>
            </w:r>
            <w:r>
              <w:rPr>
                <w:rFonts w:asciiTheme="majorBidi" w:hAnsiTheme="majorBidi" w:cstheme="majorBidi"/>
                <w:bCs/>
                <w:sz w:val="20"/>
                <w:szCs w:val="20"/>
              </w:rPr>
              <w:t>.</w:t>
            </w:r>
          </w:p>
        </w:tc>
        <w:tc>
          <w:tcPr>
            <w:tcW w:w="992" w:type="dxa"/>
            <w:tcBorders>
              <w:bottom w:val="nil"/>
            </w:tcBorders>
            <w:shd w:val="clear" w:color="auto" w:fill="auto"/>
          </w:tcPr>
          <w:p w14:paraId="17B7EFA8"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2D9A2F0E" w14:textId="77777777" w:rsidTr="00E25DDA">
        <w:tc>
          <w:tcPr>
            <w:tcW w:w="2552" w:type="dxa"/>
            <w:vMerge w:val="restart"/>
            <w:tcBorders>
              <w:bottom w:val="single" w:sz="2" w:space="0" w:color="auto"/>
            </w:tcBorders>
            <w:shd w:val="clear" w:color="auto" w:fill="auto"/>
          </w:tcPr>
          <w:p w14:paraId="56532D9E" w14:textId="77777777" w:rsidR="00E25DDA" w:rsidRPr="000322B5" w:rsidRDefault="00E25DDA" w:rsidP="00E25DDA">
            <w:pPr>
              <w:spacing w:after="0"/>
              <w:rPr>
                <w:rFonts w:asciiTheme="majorBidi" w:hAnsiTheme="majorBidi" w:cstheme="majorBidi"/>
                <w:b/>
                <w:sz w:val="20"/>
                <w:szCs w:val="20"/>
              </w:rPr>
            </w:pPr>
            <w:r w:rsidRPr="000322B5">
              <w:rPr>
                <w:rFonts w:asciiTheme="majorBidi" w:hAnsiTheme="majorBidi" w:cstheme="majorBidi"/>
                <w:b/>
                <w:sz w:val="20"/>
                <w:szCs w:val="20"/>
              </w:rPr>
              <w:t>Stakeholder Dialogue Sub-Index</w:t>
            </w:r>
          </w:p>
        </w:tc>
        <w:tc>
          <w:tcPr>
            <w:tcW w:w="6384" w:type="dxa"/>
            <w:tcBorders>
              <w:bottom w:val="nil"/>
            </w:tcBorders>
            <w:shd w:val="clear" w:color="auto" w:fill="auto"/>
          </w:tcPr>
          <w:p w14:paraId="5009E794" w14:textId="77777777" w:rsidR="00E25DDA" w:rsidRPr="000322B5" w:rsidRDefault="00E25DDA" w:rsidP="00E25DDA">
            <w:pPr>
              <w:spacing w:after="0"/>
              <w:rPr>
                <w:rFonts w:asciiTheme="majorBidi" w:hAnsiTheme="majorBidi" w:cstheme="majorBidi"/>
                <w:bCs/>
                <w:sz w:val="20"/>
                <w:szCs w:val="20"/>
              </w:rPr>
            </w:pPr>
            <w:r w:rsidRPr="000322B5">
              <w:rPr>
                <w:rFonts w:asciiTheme="majorBidi" w:hAnsiTheme="majorBidi" w:cstheme="majorBidi"/>
                <w:bCs/>
                <w:sz w:val="20"/>
                <w:szCs w:val="20"/>
              </w:rPr>
              <w:t>94. Disclosure of information relating to communication channels with powerful stakeholders</w:t>
            </w:r>
            <w:r>
              <w:rPr>
                <w:rFonts w:asciiTheme="majorBidi" w:hAnsiTheme="majorBidi" w:cstheme="majorBidi"/>
                <w:bCs/>
                <w:sz w:val="20"/>
                <w:szCs w:val="20"/>
              </w:rPr>
              <w:t>.</w:t>
            </w:r>
          </w:p>
        </w:tc>
        <w:tc>
          <w:tcPr>
            <w:tcW w:w="992" w:type="dxa"/>
            <w:tcBorders>
              <w:bottom w:val="nil"/>
            </w:tcBorders>
            <w:shd w:val="clear" w:color="auto" w:fill="auto"/>
          </w:tcPr>
          <w:p w14:paraId="27060929"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3C9E0D57" w14:textId="77777777" w:rsidTr="00E25DDA">
        <w:tc>
          <w:tcPr>
            <w:tcW w:w="2552" w:type="dxa"/>
            <w:vMerge/>
            <w:tcBorders>
              <w:top w:val="single" w:sz="2" w:space="0" w:color="auto"/>
            </w:tcBorders>
            <w:shd w:val="clear" w:color="auto" w:fill="auto"/>
          </w:tcPr>
          <w:p w14:paraId="0F0BF8AA" w14:textId="77777777" w:rsidR="00E25DDA" w:rsidRPr="000322B5" w:rsidRDefault="00E25DDA" w:rsidP="00E25DDA">
            <w:pPr>
              <w:spacing w:after="0"/>
              <w:rPr>
                <w:rFonts w:asciiTheme="majorBidi" w:hAnsiTheme="majorBidi" w:cstheme="majorBidi"/>
                <w:bCs/>
                <w:sz w:val="20"/>
                <w:szCs w:val="20"/>
              </w:rPr>
            </w:pPr>
          </w:p>
        </w:tc>
        <w:tc>
          <w:tcPr>
            <w:tcW w:w="6384" w:type="dxa"/>
            <w:tcBorders>
              <w:top w:val="nil"/>
            </w:tcBorders>
            <w:shd w:val="clear" w:color="auto" w:fill="auto"/>
          </w:tcPr>
          <w:p w14:paraId="594F5DA9" w14:textId="77777777" w:rsidR="00E25DDA" w:rsidRPr="000322B5" w:rsidRDefault="00E25DDA" w:rsidP="00E25DDA">
            <w:pPr>
              <w:autoSpaceDE w:val="0"/>
              <w:autoSpaceDN w:val="0"/>
              <w:adjustRightInd w:val="0"/>
              <w:spacing w:after="0"/>
              <w:rPr>
                <w:rFonts w:asciiTheme="majorBidi" w:eastAsia="SimSun" w:hAnsiTheme="majorBidi" w:cstheme="majorBidi"/>
                <w:sz w:val="20"/>
                <w:szCs w:val="20"/>
                <w:lang w:eastAsia="zh-CN"/>
              </w:rPr>
            </w:pPr>
            <w:r w:rsidRPr="000322B5">
              <w:rPr>
                <w:rFonts w:asciiTheme="majorBidi" w:hAnsiTheme="majorBidi" w:cstheme="majorBidi"/>
                <w:sz w:val="20"/>
                <w:szCs w:val="20"/>
              </w:rPr>
              <w:t>95. Disclosure of information relating to health and safety of employees</w:t>
            </w:r>
            <w:r>
              <w:rPr>
                <w:rFonts w:asciiTheme="majorBidi" w:hAnsiTheme="majorBidi" w:cstheme="majorBidi"/>
                <w:sz w:val="20"/>
                <w:szCs w:val="20"/>
              </w:rPr>
              <w:t>.</w:t>
            </w:r>
          </w:p>
        </w:tc>
        <w:tc>
          <w:tcPr>
            <w:tcW w:w="992" w:type="dxa"/>
            <w:tcBorders>
              <w:top w:val="nil"/>
            </w:tcBorders>
            <w:shd w:val="clear" w:color="auto" w:fill="auto"/>
          </w:tcPr>
          <w:p w14:paraId="54C8F64F"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516A3D75" w14:textId="77777777" w:rsidTr="00E25DDA">
        <w:tc>
          <w:tcPr>
            <w:tcW w:w="2552" w:type="dxa"/>
            <w:vMerge/>
            <w:shd w:val="clear" w:color="auto" w:fill="auto"/>
          </w:tcPr>
          <w:p w14:paraId="167297E0" w14:textId="77777777" w:rsidR="00E25DDA" w:rsidRPr="000322B5" w:rsidRDefault="00E25DDA" w:rsidP="00E25DDA">
            <w:pPr>
              <w:spacing w:after="0"/>
              <w:rPr>
                <w:rFonts w:asciiTheme="majorBidi" w:hAnsiTheme="majorBidi" w:cstheme="majorBidi"/>
                <w:bCs/>
                <w:sz w:val="20"/>
                <w:szCs w:val="20"/>
              </w:rPr>
            </w:pPr>
          </w:p>
        </w:tc>
        <w:tc>
          <w:tcPr>
            <w:tcW w:w="6384" w:type="dxa"/>
            <w:shd w:val="clear" w:color="auto" w:fill="auto"/>
          </w:tcPr>
          <w:p w14:paraId="45393AFA" w14:textId="77777777" w:rsidR="00E25DDA" w:rsidRPr="000322B5" w:rsidRDefault="00E25DDA" w:rsidP="00E25DDA">
            <w:pPr>
              <w:autoSpaceDE w:val="0"/>
              <w:autoSpaceDN w:val="0"/>
              <w:adjustRightInd w:val="0"/>
              <w:spacing w:after="0"/>
              <w:rPr>
                <w:rFonts w:asciiTheme="majorBidi" w:eastAsia="SimSun" w:hAnsiTheme="majorBidi" w:cstheme="majorBidi"/>
                <w:sz w:val="20"/>
                <w:szCs w:val="20"/>
                <w:lang w:eastAsia="zh-CN"/>
              </w:rPr>
            </w:pPr>
            <w:r w:rsidRPr="000322B5">
              <w:rPr>
                <w:rFonts w:asciiTheme="majorBidi" w:hAnsiTheme="majorBidi" w:cstheme="majorBidi"/>
                <w:sz w:val="20"/>
                <w:szCs w:val="20"/>
              </w:rPr>
              <w:t>96. Disclosure of information relating to environmental issues</w:t>
            </w:r>
            <w:r>
              <w:rPr>
                <w:rFonts w:asciiTheme="majorBidi" w:hAnsiTheme="majorBidi" w:cstheme="majorBidi"/>
                <w:sz w:val="20"/>
                <w:szCs w:val="20"/>
              </w:rPr>
              <w:t>.</w:t>
            </w:r>
          </w:p>
        </w:tc>
        <w:tc>
          <w:tcPr>
            <w:tcW w:w="992" w:type="dxa"/>
            <w:shd w:val="clear" w:color="auto" w:fill="auto"/>
          </w:tcPr>
          <w:p w14:paraId="3F98510D"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27E4DC52" w14:textId="77777777" w:rsidTr="00E25DDA">
        <w:tc>
          <w:tcPr>
            <w:tcW w:w="2552" w:type="dxa"/>
            <w:vMerge/>
            <w:shd w:val="clear" w:color="auto" w:fill="auto"/>
          </w:tcPr>
          <w:p w14:paraId="73C49442" w14:textId="77777777" w:rsidR="00E25DDA" w:rsidRPr="000322B5" w:rsidRDefault="00E25DDA" w:rsidP="00E25DDA">
            <w:pPr>
              <w:spacing w:after="0"/>
              <w:rPr>
                <w:rFonts w:asciiTheme="majorBidi" w:hAnsiTheme="majorBidi" w:cstheme="majorBidi"/>
                <w:bCs/>
                <w:sz w:val="20"/>
                <w:szCs w:val="20"/>
              </w:rPr>
            </w:pPr>
          </w:p>
        </w:tc>
        <w:tc>
          <w:tcPr>
            <w:tcW w:w="6384" w:type="dxa"/>
            <w:shd w:val="clear" w:color="auto" w:fill="auto"/>
          </w:tcPr>
          <w:p w14:paraId="57789140" w14:textId="77777777" w:rsidR="00E25DDA" w:rsidRPr="000322B5" w:rsidRDefault="00E25DDA" w:rsidP="00E25DDA">
            <w:pPr>
              <w:autoSpaceDE w:val="0"/>
              <w:autoSpaceDN w:val="0"/>
              <w:adjustRightInd w:val="0"/>
              <w:spacing w:after="0"/>
              <w:rPr>
                <w:rFonts w:asciiTheme="majorBidi" w:eastAsia="Times New Roman" w:hAnsiTheme="majorBidi" w:cstheme="majorBidi"/>
                <w:sz w:val="20"/>
                <w:szCs w:val="20"/>
              </w:rPr>
            </w:pPr>
            <w:r w:rsidRPr="000322B5">
              <w:rPr>
                <w:rFonts w:asciiTheme="majorBidi" w:eastAsia="Times New Roman" w:hAnsiTheme="majorBidi" w:cstheme="majorBidi"/>
                <w:sz w:val="20"/>
                <w:szCs w:val="20"/>
              </w:rPr>
              <w:t>97. Narrative disclosure on social responsibilities/investments and community support</w:t>
            </w:r>
            <w:r>
              <w:rPr>
                <w:rFonts w:asciiTheme="majorBidi" w:eastAsia="Times New Roman" w:hAnsiTheme="majorBidi" w:cstheme="majorBidi"/>
                <w:sz w:val="20"/>
                <w:szCs w:val="20"/>
              </w:rPr>
              <w:t>.</w:t>
            </w:r>
          </w:p>
        </w:tc>
        <w:tc>
          <w:tcPr>
            <w:tcW w:w="992" w:type="dxa"/>
            <w:shd w:val="clear" w:color="auto" w:fill="auto"/>
          </w:tcPr>
          <w:p w14:paraId="47692608"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70BF6861" w14:textId="77777777" w:rsidTr="00E25DDA">
        <w:tc>
          <w:tcPr>
            <w:tcW w:w="2552" w:type="dxa"/>
            <w:vMerge/>
            <w:shd w:val="clear" w:color="auto" w:fill="auto"/>
          </w:tcPr>
          <w:p w14:paraId="11E50059" w14:textId="77777777" w:rsidR="00E25DDA" w:rsidRPr="000322B5" w:rsidRDefault="00E25DDA" w:rsidP="00E25DDA">
            <w:pPr>
              <w:spacing w:after="0"/>
              <w:rPr>
                <w:rFonts w:asciiTheme="majorBidi" w:hAnsiTheme="majorBidi" w:cstheme="majorBidi"/>
                <w:bCs/>
                <w:sz w:val="20"/>
                <w:szCs w:val="20"/>
              </w:rPr>
            </w:pPr>
          </w:p>
        </w:tc>
        <w:tc>
          <w:tcPr>
            <w:tcW w:w="6384" w:type="dxa"/>
            <w:shd w:val="clear" w:color="auto" w:fill="auto"/>
          </w:tcPr>
          <w:p w14:paraId="194AFF8C"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98. National community service</w:t>
            </w:r>
            <w:r>
              <w:rPr>
                <w:rFonts w:asciiTheme="majorBidi" w:hAnsiTheme="majorBidi" w:cstheme="majorBidi"/>
                <w:sz w:val="20"/>
                <w:szCs w:val="20"/>
              </w:rPr>
              <w:t>.</w:t>
            </w:r>
          </w:p>
        </w:tc>
        <w:tc>
          <w:tcPr>
            <w:tcW w:w="992" w:type="dxa"/>
            <w:shd w:val="clear" w:color="auto" w:fill="auto"/>
          </w:tcPr>
          <w:p w14:paraId="6D3A4D96"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38D8A223" w14:textId="77777777" w:rsidTr="00E25DDA">
        <w:tc>
          <w:tcPr>
            <w:tcW w:w="2552" w:type="dxa"/>
            <w:vMerge/>
            <w:shd w:val="clear" w:color="auto" w:fill="auto"/>
          </w:tcPr>
          <w:p w14:paraId="7A1438DC" w14:textId="77777777" w:rsidR="00E25DDA" w:rsidRPr="000322B5" w:rsidRDefault="00E25DDA" w:rsidP="00E25DDA">
            <w:pPr>
              <w:spacing w:after="0"/>
              <w:rPr>
                <w:rFonts w:asciiTheme="majorBidi" w:hAnsiTheme="majorBidi" w:cstheme="majorBidi"/>
                <w:bCs/>
                <w:sz w:val="20"/>
                <w:szCs w:val="20"/>
              </w:rPr>
            </w:pPr>
          </w:p>
        </w:tc>
        <w:tc>
          <w:tcPr>
            <w:tcW w:w="6384" w:type="dxa"/>
            <w:shd w:val="clear" w:color="auto" w:fill="auto"/>
          </w:tcPr>
          <w:p w14:paraId="74D65837"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99. International community service</w:t>
            </w:r>
            <w:r>
              <w:rPr>
                <w:rFonts w:asciiTheme="majorBidi" w:hAnsiTheme="majorBidi" w:cstheme="majorBidi"/>
                <w:sz w:val="20"/>
                <w:szCs w:val="20"/>
              </w:rPr>
              <w:t>.</w:t>
            </w:r>
          </w:p>
        </w:tc>
        <w:tc>
          <w:tcPr>
            <w:tcW w:w="992" w:type="dxa"/>
            <w:shd w:val="clear" w:color="auto" w:fill="auto"/>
          </w:tcPr>
          <w:p w14:paraId="5E031F67"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r w:rsidR="00E25DDA" w:rsidRPr="000322B5" w14:paraId="12430655" w14:textId="77777777" w:rsidTr="00E25DDA">
        <w:tc>
          <w:tcPr>
            <w:tcW w:w="2552" w:type="dxa"/>
            <w:vMerge/>
            <w:shd w:val="clear" w:color="auto" w:fill="auto"/>
          </w:tcPr>
          <w:p w14:paraId="69D0EBE2" w14:textId="77777777" w:rsidR="00E25DDA" w:rsidRPr="000322B5" w:rsidRDefault="00E25DDA" w:rsidP="00E25DDA">
            <w:pPr>
              <w:spacing w:after="0"/>
              <w:rPr>
                <w:rFonts w:asciiTheme="majorBidi" w:hAnsiTheme="majorBidi" w:cstheme="majorBidi"/>
                <w:bCs/>
                <w:sz w:val="20"/>
                <w:szCs w:val="20"/>
              </w:rPr>
            </w:pPr>
          </w:p>
        </w:tc>
        <w:tc>
          <w:tcPr>
            <w:tcW w:w="6384" w:type="dxa"/>
            <w:shd w:val="clear" w:color="auto" w:fill="auto"/>
          </w:tcPr>
          <w:p w14:paraId="0EF62EC5" w14:textId="77777777" w:rsidR="00E25DDA" w:rsidRPr="000322B5" w:rsidRDefault="00E25DDA" w:rsidP="00E25DDA">
            <w:pPr>
              <w:spacing w:after="0"/>
              <w:rPr>
                <w:rFonts w:asciiTheme="majorBidi" w:hAnsiTheme="majorBidi" w:cstheme="majorBidi"/>
                <w:sz w:val="20"/>
                <w:szCs w:val="20"/>
              </w:rPr>
            </w:pPr>
            <w:r w:rsidRPr="000322B5">
              <w:rPr>
                <w:rFonts w:asciiTheme="majorBidi" w:hAnsiTheme="majorBidi" w:cstheme="majorBidi"/>
                <w:sz w:val="20"/>
                <w:szCs w:val="20"/>
              </w:rPr>
              <w:t>100. Disclosure of information relating to alumni participation/involvement and activities</w:t>
            </w:r>
            <w:r>
              <w:rPr>
                <w:rFonts w:asciiTheme="majorBidi" w:hAnsiTheme="majorBidi" w:cstheme="majorBidi"/>
                <w:sz w:val="20"/>
                <w:szCs w:val="20"/>
              </w:rPr>
              <w:t>.</w:t>
            </w:r>
          </w:p>
        </w:tc>
        <w:tc>
          <w:tcPr>
            <w:tcW w:w="992" w:type="dxa"/>
            <w:shd w:val="clear" w:color="auto" w:fill="auto"/>
          </w:tcPr>
          <w:p w14:paraId="156D041A" w14:textId="77777777" w:rsidR="00E25DDA" w:rsidRPr="000322B5" w:rsidRDefault="00E25DDA" w:rsidP="00E25DDA">
            <w:pPr>
              <w:spacing w:after="0"/>
              <w:jc w:val="center"/>
              <w:rPr>
                <w:rFonts w:asciiTheme="majorBidi" w:hAnsiTheme="majorBidi" w:cstheme="majorBidi"/>
                <w:sz w:val="20"/>
                <w:szCs w:val="20"/>
              </w:rPr>
            </w:pPr>
            <w:r w:rsidRPr="000322B5">
              <w:rPr>
                <w:rFonts w:asciiTheme="majorBidi" w:hAnsiTheme="majorBidi" w:cstheme="majorBidi"/>
                <w:sz w:val="20"/>
                <w:szCs w:val="20"/>
              </w:rPr>
              <w:t>0-1</w:t>
            </w:r>
          </w:p>
        </w:tc>
      </w:tr>
    </w:tbl>
    <w:p w14:paraId="406265B3" w14:textId="6B16E69E" w:rsidR="00E25DDA" w:rsidRPr="00566D02" w:rsidRDefault="00E25DDA" w:rsidP="001937E7"/>
    <w:sectPr w:rsidR="00E25DDA" w:rsidRPr="00566D02" w:rsidSect="001937E7">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535DB" w14:textId="77777777" w:rsidR="00A71F2D" w:rsidRDefault="00A71F2D" w:rsidP="00616E84">
      <w:pPr>
        <w:spacing w:after="0" w:line="240" w:lineRule="auto"/>
      </w:pPr>
      <w:r>
        <w:separator/>
      </w:r>
    </w:p>
  </w:endnote>
  <w:endnote w:type="continuationSeparator" w:id="0">
    <w:p w14:paraId="05548E23" w14:textId="77777777" w:rsidR="00A71F2D" w:rsidRDefault="00A71F2D" w:rsidP="0061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MT Pro">
    <w:altName w:val="Arial MT Pro"/>
    <w:panose1 w:val="00000000000000000000"/>
    <w:charset w:val="00"/>
    <w:family w:val="swiss"/>
    <w:notTrueType/>
    <w:pitch w:val="default"/>
    <w:sig w:usb0="00000003" w:usb1="00000000" w:usb2="00000000" w:usb3="00000000" w:csb0="00000001" w:csb1="00000000"/>
  </w:font>
  <w:font w:name="DIN">
    <w:altName w:val="DIN"/>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103511"/>
      <w:docPartObj>
        <w:docPartGallery w:val="Page Numbers (Bottom of Page)"/>
        <w:docPartUnique/>
      </w:docPartObj>
    </w:sdtPr>
    <w:sdtEndPr>
      <w:rPr>
        <w:noProof/>
      </w:rPr>
    </w:sdtEndPr>
    <w:sdtContent>
      <w:p w14:paraId="5C9F80D9" w14:textId="30A73B55" w:rsidR="005E60EE" w:rsidRDefault="005E60EE">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14:paraId="6E1EF778" w14:textId="77777777" w:rsidR="005E60EE" w:rsidRDefault="005E6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9ED4B" w14:textId="77777777" w:rsidR="00A71F2D" w:rsidRDefault="00A71F2D" w:rsidP="00616E84">
      <w:pPr>
        <w:spacing w:after="0" w:line="240" w:lineRule="auto"/>
      </w:pPr>
      <w:r>
        <w:separator/>
      </w:r>
    </w:p>
  </w:footnote>
  <w:footnote w:type="continuationSeparator" w:id="0">
    <w:p w14:paraId="2A38E4A1" w14:textId="77777777" w:rsidR="00A71F2D" w:rsidRDefault="00A71F2D" w:rsidP="00616E84">
      <w:pPr>
        <w:spacing w:after="0" w:line="240" w:lineRule="auto"/>
      </w:pPr>
      <w:r>
        <w:continuationSeparator/>
      </w:r>
    </w:p>
  </w:footnote>
  <w:footnote w:id="1">
    <w:p w14:paraId="2F626BBF" w14:textId="77777777" w:rsidR="005E60EE" w:rsidRPr="004165DD" w:rsidRDefault="005E60EE" w:rsidP="001B0666">
      <w:pPr>
        <w:pStyle w:val="NoteLevel11"/>
        <w:keepNext w:val="0"/>
        <w:numPr>
          <w:ilvl w:val="0"/>
          <w:numId w:val="0"/>
        </w:numPr>
        <w:tabs>
          <w:tab w:val="left" w:pos="720"/>
        </w:tabs>
        <w:spacing w:before="0" w:line="240" w:lineRule="auto"/>
        <w:outlineLvl w:val="9"/>
        <w:rPr>
          <w:rFonts w:asciiTheme="majorBidi" w:hAnsiTheme="majorBidi" w:cstheme="majorBidi"/>
          <w:b/>
          <w:sz w:val="20"/>
          <w:szCs w:val="20"/>
        </w:rPr>
      </w:pPr>
      <w:r w:rsidRPr="004165DD">
        <w:rPr>
          <w:rStyle w:val="FootnoteReference"/>
          <w:rFonts w:ascii="Times New Roman" w:hAnsi="Times New Roman" w:cs="Times New Roman"/>
          <w:b/>
          <w:sz w:val="20"/>
          <w:szCs w:val="20"/>
        </w:rPr>
        <w:sym w:font="Symbol" w:char="F0B7"/>
      </w:r>
      <w:r w:rsidRPr="004165DD">
        <w:rPr>
          <w:rFonts w:asciiTheme="majorBidi" w:hAnsiTheme="majorBidi" w:cstheme="majorBidi"/>
          <w:b/>
          <w:sz w:val="20"/>
          <w:szCs w:val="20"/>
        </w:rPr>
        <w:t xml:space="preserve">Corresponding author: </w:t>
      </w:r>
    </w:p>
    <w:p w14:paraId="6DCC4CAF" w14:textId="77777777" w:rsidR="005E60EE" w:rsidRDefault="005E60EE" w:rsidP="001B0666">
      <w:pPr>
        <w:pStyle w:val="NoteLevel11"/>
        <w:keepNext w:val="0"/>
        <w:numPr>
          <w:ilvl w:val="0"/>
          <w:numId w:val="0"/>
        </w:numPr>
        <w:tabs>
          <w:tab w:val="left" w:pos="720"/>
        </w:tabs>
        <w:spacing w:before="0" w:line="240" w:lineRule="auto"/>
        <w:outlineLvl w:val="9"/>
        <w:rPr>
          <w:rFonts w:asciiTheme="majorBidi" w:hAnsiTheme="majorBidi" w:cstheme="majorBidi"/>
          <w:sz w:val="20"/>
          <w:szCs w:val="20"/>
        </w:rPr>
      </w:pPr>
      <w:r>
        <w:rPr>
          <w:rFonts w:asciiTheme="majorBidi" w:hAnsiTheme="majorBidi" w:cstheme="majorBidi"/>
          <w:sz w:val="20"/>
          <w:szCs w:val="20"/>
        </w:rPr>
        <w:t>Yan Wang, Nottingham</w:t>
      </w:r>
      <w:r w:rsidRPr="001D5777">
        <w:rPr>
          <w:rFonts w:asciiTheme="majorBidi" w:hAnsiTheme="majorBidi" w:cstheme="majorBidi"/>
          <w:sz w:val="20"/>
          <w:szCs w:val="20"/>
        </w:rPr>
        <w:t xml:space="preserve"> Business School, </w:t>
      </w:r>
      <w:r>
        <w:rPr>
          <w:rFonts w:asciiTheme="majorBidi" w:hAnsiTheme="majorBidi" w:cstheme="majorBidi"/>
          <w:sz w:val="20"/>
          <w:szCs w:val="20"/>
        </w:rPr>
        <w:t xml:space="preserve">Nottingham Trent </w:t>
      </w:r>
      <w:r w:rsidRPr="001D5777">
        <w:rPr>
          <w:rFonts w:asciiTheme="majorBidi" w:hAnsiTheme="majorBidi" w:cstheme="majorBidi"/>
          <w:sz w:val="20"/>
          <w:szCs w:val="20"/>
        </w:rPr>
        <w:t xml:space="preserve">University, </w:t>
      </w:r>
      <w:r>
        <w:rPr>
          <w:rFonts w:asciiTheme="majorBidi" w:hAnsiTheme="majorBidi" w:cstheme="majorBidi"/>
          <w:sz w:val="20"/>
          <w:szCs w:val="20"/>
        </w:rPr>
        <w:t>Nottingham</w:t>
      </w:r>
      <w:r w:rsidRPr="001D5777">
        <w:rPr>
          <w:rFonts w:asciiTheme="majorBidi" w:hAnsiTheme="majorBidi" w:cstheme="majorBidi"/>
          <w:sz w:val="20"/>
          <w:szCs w:val="20"/>
        </w:rPr>
        <w:t xml:space="preserve">, </w:t>
      </w:r>
      <w:r w:rsidRPr="00B72C9B">
        <w:rPr>
          <w:rFonts w:asciiTheme="majorBidi" w:hAnsiTheme="majorBidi" w:cstheme="majorBidi"/>
          <w:sz w:val="20"/>
          <w:szCs w:val="20"/>
        </w:rPr>
        <w:t>NG11 8NS</w:t>
      </w:r>
      <w:r w:rsidRPr="001D5777">
        <w:rPr>
          <w:rFonts w:asciiTheme="majorBidi" w:hAnsiTheme="majorBidi" w:cstheme="majorBidi"/>
          <w:sz w:val="20"/>
          <w:szCs w:val="20"/>
        </w:rPr>
        <w:t>, UK</w:t>
      </w:r>
      <w:r>
        <w:rPr>
          <w:rFonts w:asciiTheme="majorBidi" w:hAnsiTheme="majorBidi" w:cstheme="majorBidi"/>
          <w:sz w:val="20"/>
          <w:szCs w:val="20"/>
        </w:rPr>
        <w:t>.</w:t>
      </w:r>
    </w:p>
    <w:p w14:paraId="51A6CEA8" w14:textId="77777777" w:rsidR="005E60EE" w:rsidRPr="001D5777" w:rsidRDefault="005E60EE" w:rsidP="001B0666">
      <w:pPr>
        <w:pStyle w:val="NoteLevel11"/>
        <w:keepNext w:val="0"/>
        <w:numPr>
          <w:ilvl w:val="0"/>
          <w:numId w:val="0"/>
        </w:numPr>
        <w:tabs>
          <w:tab w:val="left" w:pos="720"/>
        </w:tabs>
        <w:spacing w:before="0" w:line="240" w:lineRule="auto"/>
        <w:outlineLvl w:val="9"/>
        <w:rPr>
          <w:rFonts w:asciiTheme="majorBidi" w:hAnsiTheme="majorBidi" w:cstheme="majorBidi"/>
          <w:sz w:val="20"/>
          <w:szCs w:val="20"/>
          <w:lang w:val="en-US"/>
        </w:rPr>
      </w:pPr>
      <w:r w:rsidRPr="001D5777">
        <w:rPr>
          <w:rFonts w:asciiTheme="majorBidi" w:hAnsiTheme="majorBidi" w:cstheme="majorBidi"/>
          <w:sz w:val="20"/>
          <w:szCs w:val="20"/>
        </w:rPr>
        <w:t>E</w:t>
      </w:r>
      <w:r>
        <w:rPr>
          <w:rFonts w:asciiTheme="majorBidi" w:hAnsiTheme="majorBidi" w:cstheme="majorBidi"/>
          <w:sz w:val="20"/>
          <w:szCs w:val="20"/>
        </w:rPr>
        <w:t>mail: yan.wang@ntu.ac.uk</w:t>
      </w:r>
    </w:p>
    <w:p w14:paraId="0752F141" w14:textId="77777777" w:rsidR="005E60EE" w:rsidRPr="00B72C9B" w:rsidRDefault="005E60EE" w:rsidP="001B0666">
      <w:pPr>
        <w:jc w:val="both"/>
        <w:rPr>
          <w:lang w:val="en-US"/>
        </w:rPr>
      </w:pPr>
    </w:p>
  </w:footnote>
  <w:footnote w:id="2">
    <w:p w14:paraId="44FD3381" w14:textId="675FD687" w:rsidR="005E60EE" w:rsidRPr="00221ED4" w:rsidRDefault="005E60EE" w:rsidP="00221ED4">
      <w:pPr>
        <w:pStyle w:val="FootnoteText"/>
        <w:jc w:val="both"/>
        <w:rPr>
          <w:rFonts w:ascii="Times New Roman" w:hAnsi="Times New Roman" w:cs="Times New Roman"/>
        </w:rPr>
      </w:pPr>
      <w:r w:rsidRPr="00221ED4">
        <w:rPr>
          <w:rStyle w:val="FootnoteReference"/>
          <w:rFonts w:ascii="Times New Roman" w:hAnsi="Times New Roman" w:cs="Times New Roman"/>
        </w:rPr>
        <w:footnoteRef/>
      </w:r>
      <w:r w:rsidRPr="00221ED4">
        <w:rPr>
          <w:rFonts w:ascii="Times New Roman" w:hAnsi="Times New Roman" w:cs="Times New Roman"/>
        </w:rPr>
        <w:t>According to Parker (2012), for instance, the UK government only contributed about 35% of the funding of HEIs in 2008/09. Similarly, and according to the Universities UK report, which was published in July 2016, the UK government contributed less than 20% of teaching income in 2014/15, whereas over 80% of the teaching income comes from tuition fees and other private grants. The report also reveals that the UK government funding to HEIs will decrease by £120m by 2019/20.</w:t>
      </w:r>
    </w:p>
  </w:footnote>
  <w:footnote w:id="3">
    <w:p w14:paraId="6EBB0EF6" w14:textId="1359793F" w:rsidR="005E60EE" w:rsidRPr="006A25BF" w:rsidRDefault="005E60EE" w:rsidP="006A25BF">
      <w:pPr>
        <w:pStyle w:val="FootnoteText"/>
        <w:jc w:val="both"/>
        <w:rPr>
          <w:rFonts w:ascii="Times New Roman" w:hAnsi="Times New Roman" w:cs="Times New Roman"/>
        </w:rPr>
      </w:pPr>
      <w:r w:rsidRPr="006A25BF">
        <w:rPr>
          <w:rStyle w:val="FootnoteReference"/>
          <w:rFonts w:ascii="Times New Roman" w:hAnsi="Times New Roman" w:cs="Times New Roman"/>
        </w:rPr>
        <w:footnoteRef/>
      </w:r>
      <w:r w:rsidRPr="00A5449A">
        <w:rPr>
          <w:rFonts w:ascii="Times New Roman" w:eastAsia="Times New Roman" w:hAnsi="Times New Roman" w:cs="Times New Roman"/>
        </w:rPr>
        <w:t xml:space="preserve">Unlike profitable organisations, </w:t>
      </w:r>
      <w:r w:rsidRPr="00A5449A">
        <w:rPr>
          <w:rFonts w:ascii="Times New Roman" w:hAnsi="Times New Roman" w:cs="Times New Roman"/>
        </w:rPr>
        <w:t>HEIs are expected to fulfil multiple and mostly conflicting missions, often with high levels of heterogeneity in terms of stakeholders,</w:t>
      </w:r>
      <w:r w:rsidRPr="00877732">
        <w:rPr>
          <w:rFonts w:ascii="Times New Roman" w:hAnsi="Times New Roman" w:cs="Times New Roman"/>
        </w:rPr>
        <w:t xml:space="preserve"> inputs and outputs (Cave et al., 1989; </w:t>
      </w:r>
      <w:r w:rsidRPr="00877732">
        <w:rPr>
          <w:rFonts w:ascii="Times New Roman" w:eastAsia="Times New Roman" w:hAnsi="Times New Roman" w:cs="Times New Roman"/>
        </w:rPr>
        <w:t>Coy et al., 20</w:t>
      </w:r>
      <w:r>
        <w:rPr>
          <w:rFonts w:ascii="Times New Roman" w:eastAsia="Times New Roman" w:hAnsi="Times New Roman" w:cs="Times New Roman"/>
        </w:rPr>
        <w:t>0</w:t>
      </w:r>
      <w:r w:rsidRPr="00877732">
        <w:rPr>
          <w:rFonts w:ascii="Times New Roman" w:eastAsia="Times New Roman" w:hAnsi="Times New Roman" w:cs="Times New Roman"/>
        </w:rPr>
        <w:t xml:space="preserve">1; Fischer et al., 2010), and this </w:t>
      </w:r>
      <w:r w:rsidRPr="00877732">
        <w:rPr>
          <w:rFonts w:ascii="Times New Roman" w:hAnsi="Times New Roman" w:cs="Times New Roman"/>
        </w:rPr>
        <w:t xml:space="preserve">can impact differently on governance disclosure practices. However, the introduction of market/quasi-market oriented </w:t>
      </w:r>
      <w:r w:rsidRPr="00C046E5">
        <w:rPr>
          <w:rFonts w:ascii="Times New Roman" w:hAnsi="Times New Roman" w:cs="Times New Roman"/>
        </w:rPr>
        <w:t>reforms in the HE sector, which</w:t>
      </w:r>
      <w:r>
        <w:rPr>
          <w:rFonts w:ascii="Times New Roman" w:hAnsi="Times New Roman" w:cs="Times New Roman"/>
        </w:rPr>
        <w:t xml:space="preserve"> have</w:t>
      </w:r>
      <w:r w:rsidRPr="00C046E5">
        <w:rPr>
          <w:rFonts w:ascii="Times New Roman" w:hAnsi="Times New Roman" w:cs="Times New Roman"/>
        </w:rPr>
        <w:t xml:space="preserve"> aimed at reducing costs and promoting student choice, has </w:t>
      </w:r>
      <w:r w:rsidRPr="00561ABA">
        <w:rPr>
          <w:rFonts w:ascii="Times New Roman" w:hAnsi="Times New Roman" w:cs="Times New Roman"/>
        </w:rPr>
        <w:t>forced HEIs to arguably behave</w:t>
      </w:r>
      <w:r>
        <w:rPr>
          <w:rFonts w:ascii="Times New Roman" w:hAnsi="Times New Roman" w:cs="Times New Roman"/>
        </w:rPr>
        <w:t xml:space="preserve"> largely</w:t>
      </w:r>
      <w:r w:rsidRPr="00561ABA">
        <w:rPr>
          <w:rFonts w:ascii="Times New Roman" w:hAnsi="Times New Roman" w:cs="Times New Roman"/>
        </w:rPr>
        <w:t xml:space="preserve"> in </w:t>
      </w:r>
      <w:r>
        <w:rPr>
          <w:rFonts w:ascii="Times New Roman" w:hAnsi="Times New Roman" w:cs="Times New Roman"/>
        </w:rPr>
        <w:t xml:space="preserve">a </w:t>
      </w:r>
      <w:r w:rsidRPr="00970BBC">
        <w:rPr>
          <w:rFonts w:ascii="Times New Roman" w:hAnsi="Times New Roman" w:cs="Times New Roman"/>
        </w:rPr>
        <w:t xml:space="preserve">similar manner to </w:t>
      </w:r>
      <w:r>
        <w:rPr>
          <w:rFonts w:ascii="Times New Roman" w:hAnsi="Times New Roman" w:cs="Times New Roman"/>
        </w:rPr>
        <w:t xml:space="preserve">that of </w:t>
      </w:r>
      <w:r w:rsidRPr="00970BBC">
        <w:rPr>
          <w:rFonts w:ascii="Times New Roman" w:hAnsi="Times New Roman" w:cs="Times New Roman"/>
        </w:rPr>
        <w:t>large public corporations by paying greater atte</w:t>
      </w:r>
      <w:r w:rsidRPr="007B26F1">
        <w:rPr>
          <w:rFonts w:ascii="Times New Roman" w:hAnsi="Times New Roman" w:cs="Times New Roman"/>
        </w:rPr>
        <w:t xml:space="preserve">ntion to </w:t>
      </w:r>
      <w:r w:rsidRPr="00F4486F">
        <w:rPr>
          <w:rFonts w:ascii="Times New Roman" w:hAnsi="Times New Roman" w:cs="Times New Roman"/>
        </w:rPr>
        <w:t>cost concerns, eff</w:t>
      </w:r>
      <w:r w:rsidRPr="00BD7069">
        <w:rPr>
          <w:rFonts w:ascii="Times New Roman" w:hAnsi="Times New Roman" w:cs="Times New Roman"/>
        </w:rPr>
        <w:t xml:space="preserve">iciency and revenue maximisation (Diamond, 2011; </w:t>
      </w:r>
      <w:r w:rsidRPr="00F55D67">
        <w:rPr>
          <w:rFonts w:ascii="Times New Roman" w:hAnsi="Times New Roman" w:cs="Times New Roman"/>
        </w:rPr>
        <w:t xml:space="preserve">Du  &amp; Lapsley, 2019; Parker, 2013). </w:t>
      </w:r>
      <w:r w:rsidRPr="005647A6">
        <w:rPr>
          <w:rFonts w:ascii="Times New Roman" w:hAnsi="Times New Roman" w:cs="Times New Roman"/>
        </w:rPr>
        <w:t>I</w:t>
      </w:r>
      <w:r w:rsidRPr="00687B1E">
        <w:rPr>
          <w:rFonts w:ascii="Times New Roman" w:hAnsi="Times New Roman" w:cs="Times New Roman"/>
        </w:rPr>
        <w:t>n the UK, for example, the 2010 Browne Report recommendations led to three main changes: (i) removing the</w:t>
      </w:r>
      <w:r w:rsidRPr="00F93789">
        <w:rPr>
          <w:rFonts w:ascii="Times New Roman" w:hAnsi="Times New Roman" w:cs="Times New Roman"/>
        </w:rPr>
        <w:t xml:space="preserve"> cap on tuition fees; (ii) removing restrictions on competition for, and recruitment of, students; and (iii) transferring government funding to individual students via the granting of student loans. Further, HEIs are increasingly becoming large and complex corporations with complex short- and long-term challenges (Gunn, 2018). For example, HEIs are expected to widen access by offering more opportunities to students from poor and disadvantaged backgrounds, as well as enhance their national (e.g., CUG and GUG league tables) and international (QS and THE rankings) reputation, through the provision of first</w:t>
      </w:r>
      <w:r>
        <w:rPr>
          <w:rFonts w:ascii="Times New Roman" w:hAnsi="Times New Roman" w:cs="Times New Roman"/>
        </w:rPr>
        <w:t>-</w:t>
      </w:r>
      <w:r w:rsidRPr="00F93789">
        <w:rPr>
          <w:rFonts w:ascii="Times New Roman" w:hAnsi="Times New Roman" w:cs="Times New Roman"/>
        </w:rPr>
        <w:t>class education/teaching (TEF and NSS) and world-leading research (REF) (Bell &amp; Brooks, 2019</w:t>
      </w:r>
      <w:r>
        <w:rPr>
          <w:rFonts w:ascii="Times New Roman" w:hAnsi="Times New Roman" w:cs="Times New Roman"/>
        </w:rPr>
        <w:t xml:space="preserve">; </w:t>
      </w:r>
      <w:r w:rsidRPr="006E3A31">
        <w:rPr>
          <w:rFonts w:ascii="Times New Roman" w:hAnsi="Times New Roman" w:cs="Times New Roman"/>
          <w:shd w:val="clear" w:color="auto" w:fill="FFFFFF"/>
        </w:rPr>
        <w:t>Espeland &amp; Sauder, 2016</w:t>
      </w:r>
      <w:r w:rsidRPr="006E3A31">
        <w:rPr>
          <w:rFonts w:ascii="Times New Roman" w:hAnsi="Times New Roman" w:cs="Times New Roman"/>
        </w:rPr>
        <w:t>). All of these pressures ha</w:t>
      </w:r>
      <w:r w:rsidRPr="00561ABA">
        <w:rPr>
          <w:rFonts w:ascii="Times New Roman" w:hAnsi="Times New Roman" w:cs="Times New Roman"/>
        </w:rPr>
        <w:t xml:space="preserve">ve increased the need for HEIs worldwide in general, </w:t>
      </w:r>
      <w:r w:rsidRPr="00970BBC">
        <w:rPr>
          <w:rFonts w:ascii="Times New Roman" w:hAnsi="Times New Roman" w:cs="Times New Roman"/>
        </w:rPr>
        <w:t xml:space="preserve">but in the UK in particular, to demonstrate greater </w:t>
      </w:r>
      <w:r>
        <w:rPr>
          <w:rFonts w:ascii="Times New Roman" w:hAnsi="Times New Roman" w:cs="Times New Roman"/>
        </w:rPr>
        <w:t xml:space="preserve">good </w:t>
      </w:r>
      <w:r w:rsidRPr="007B26F1">
        <w:rPr>
          <w:rFonts w:ascii="Times New Roman" w:hAnsi="Times New Roman" w:cs="Times New Roman"/>
        </w:rPr>
        <w:t xml:space="preserve">governance, </w:t>
      </w:r>
      <w:r w:rsidRPr="00F4486F">
        <w:rPr>
          <w:rFonts w:ascii="Times New Roman" w:hAnsi="Times New Roman" w:cs="Times New Roman"/>
        </w:rPr>
        <w:t>transparency, accountability and value-for-money by complying with codes/guidelines of good governance practices.</w:t>
      </w:r>
    </w:p>
  </w:footnote>
  <w:footnote w:id="4">
    <w:p w14:paraId="36837A08" w14:textId="6197B37C" w:rsidR="005E60EE" w:rsidRPr="00687B1E" w:rsidRDefault="005E60EE" w:rsidP="00687B1E">
      <w:pPr>
        <w:jc w:val="both"/>
        <w:rPr>
          <w:rFonts w:ascii="Times New Roman" w:eastAsia="Times New Roman" w:hAnsi="Times New Roman" w:cs="Times New Roman"/>
          <w:sz w:val="20"/>
          <w:szCs w:val="20"/>
          <w:lang w:eastAsia="en-GB"/>
        </w:rPr>
      </w:pPr>
      <w:r w:rsidRPr="005647A6">
        <w:rPr>
          <w:rStyle w:val="FootnoteReference"/>
          <w:rFonts w:ascii="Times New Roman" w:hAnsi="Times New Roman" w:cs="Times New Roman"/>
        </w:rPr>
        <w:footnoteRef/>
      </w:r>
      <w:r w:rsidRPr="00687B1E">
        <w:rPr>
          <w:rFonts w:ascii="Times New Roman" w:eastAsia="Times New Roman" w:hAnsi="Times New Roman" w:cs="Times New Roman"/>
          <w:sz w:val="20"/>
          <w:szCs w:val="20"/>
          <w:lang w:eastAsia="en-GB"/>
        </w:rPr>
        <w:t>Prior studies (</w:t>
      </w:r>
      <w:r w:rsidRPr="00687B1E">
        <w:rPr>
          <w:rFonts w:ascii="Times New Roman" w:eastAsia="Times New Roman" w:hAnsi="Times New Roman" w:cs="Times New Roman"/>
          <w:sz w:val="20"/>
          <w:szCs w:val="20"/>
          <w:lang w:val="pt-PT" w:eastAsia="en-GB"/>
        </w:rPr>
        <w:t>Adhikariparajul</w:t>
      </w:r>
      <w:r w:rsidRPr="00687B1E">
        <w:rPr>
          <w:rFonts w:ascii="Times New Roman" w:eastAsia="Calibri" w:hAnsi="Times New Roman" w:cs="Times New Roman"/>
          <w:sz w:val="20"/>
          <w:szCs w:val="20"/>
        </w:rPr>
        <w:t xml:space="preserve"> et al., 2019; </w:t>
      </w:r>
      <w:r w:rsidRPr="00687B1E">
        <w:rPr>
          <w:rFonts w:ascii="Times New Roman" w:eastAsia="Times New Roman" w:hAnsi="Times New Roman" w:cs="Times New Roman"/>
          <w:sz w:val="20"/>
          <w:szCs w:val="20"/>
          <w:lang w:eastAsia="en-GB"/>
        </w:rPr>
        <w:t>Boliver, 2015) suggest that pre-92 HEIs differ significantly from post-92</w:t>
      </w:r>
      <w:r>
        <w:rPr>
          <w:rFonts w:ascii="Times New Roman" w:eastAsia="Times New Roman" w:hAnsi="Times New Roman" w:cs="Times New Roman"/>
          <w:sz w:val="20"/>
          <w:szCs w:val="20"/>
          <w:lang w:eastAsia="en-GB"/>
        </w:rPr>
        <w:t xml:space="preserve"> HEIs</w:t>
      </w:r>
      <w:r w:rsidRPr="00687B1E">
        <w:rPr>
          <w:rFonts w:ascii="Times New Roman" w:eastAsia="Times New Roman" w:hAnsi="Times New Roman" w:cs="Times New Roman"/>
          <w:sz w:val="20"/>
          <w:szCs w:val="20"/>
          <w:lang w:eastAsia="en-GB"/>
        </w:rPr>
        <w:t xml:space="preserve"> in terms of size, economic resources, research activity and reputation. Specifically, Boliver (2015) argues that older established HEIs (pre-1992) tend to be large in size, wealthy, research intensive and have high </w:t>
      </w:r>
      <w:r w:rsidRPr="00687B1E">
        <w:rPr>
          <w:rFonts w:ascii="Times New Roman" w:eastAsia="Calibri" w:hAnsi="Times New Roman" w:cs="Times New Roman"/>
          <w:sz w:val="20"/>
          <w:szCs w:val="20"/>
        </w:rPr>
        <w:t>national (e.g., CUG and GUG league tables) and international (QS and THE rankings) reputation, and thus pre-92</w:t>
      </w:r>
      <w:r>
        <w:rPr>
          <w:rFonts w:ascii="Times New Roman" w:eastAsia="Calibri" w:hAnsi="Times New Roman" w:cs="Times New Roman"/>
          <w:sz w:val="20"/>
          <w:szCs w:val="20"/>
        </w:rPr>
        <w:t xml:space="preserve"> HEIs</w:t>
      </w:r>
      <w:r w:rsidRPr="00687B1E">
        <w:rPr>
          <w:rFonts w:ascii="Times New Roman" w:eastAsia="Calibri" w:hAnsi="Times New Roman" w:cs="Times New Roman"/>
          <w:sz w:val="20"/>
          <w:szCs w:val="20"/>
        </w:rPr>
        <w:t xml:space="preserve"> are expected to be </w:t>
      </w:r>
      <w:r w:rsidRPr="00687B1E">
        <w:rPr>
          <w:rFonts w:ascii="Times New Roman" w:eastAsia="Times New Roman" w:hAnsi="Times New Roman" w:cs="Times New Roman"/>
          <w:sz w:val="20"/>
          <w:szCs w:val="20"/>
          <w:lang w:eastAsia="en-GB"/>
        </w:rPr>
        <w:t>more motivated to engage in disclosure</w:t>
      </w:r>
      <w:r>
        <w:rPr>
          <w:rFonts w:ascii="Times New Roman" w:eastAsia="Times New Roman" w:hAnsi="Times New Roman" w:cs="Times New Roman"/>
          <w:sz w:val="20"/>
          <w:szCs w:val="20"/>
          <w:lang w:eastAsia="en-GB"/>
        </w:rPr>
        <w:t>s</w:t>
      </w:r>
      <w:r w:rsidRPr="00687B1E">
        <w:rPr>
          <w:rFonts w:ascii="Times New Roman" w:eastAsia="Times New Roman" w:hAnsi="Times New Roman" w:cs="Times New Roman"/>
          <w:sz w:val="20"/>
          <w:szCs w:val="20"/>
          <w:lang w:eastAsia="en-GB"/>
        </w:rPr>
        <w:t xml:space="preserve"> about their good practices in order to maintain/further develop their reputation in the sector</w:t>
      </w:r>
      <w:r w:rsidRPr="00687B1E">
        <w:rPr>
          <w:rFonts w:ascii="Times New Roman" w:eastAsia="Calibri" w:hAnsi="Times New Roman" w:cs="Times New Roman"/>
          <w:sz w:val="20"/>
          <w:szCs w:val="20"/>
        </w:rPr>
        <w:t xml:space="preserve">, </w:t>
      </w:r>
      <w:r w:rsidRPr="00687B1E">
        <w:rPr>
          <w:rFonts w:ascii="Times New Roman" w:eastAsia="Times New Roman" w:hAnsi="Times New Roman" w:cs="Times New Roman"/>
          <w:sz w:val="20"/>
          <w:szCs w:val="20"/>
          <w:lang w:eastAsia="en-GB"/>
        </w:rPr>
        <w:t>as well as to gain the powerful stakeholders’ support (students, employee and funding bodies/OFS).</w:t>
      </w:r>
    </w:p>
  </w:footnote>
  <w:footnote w:id="5">
    <w:p w14:paraId="7F1ABA3C" w14:textId="62B5E8E9" w:rsidR="005E60EE" w:rsidRPr="008F20F7" w:rsidRDefault="005E60EE" w:rsidP="008F0AF7">
      <w:pPr>
        <w:pStyle w:val="FootnoteText"/>
        <w:jc w:val="both"/>
        <w:rPr>
          <w:rFonts w:ascii="Times New Roman" w:hAnsi="Times New Roman" w:cs="Times New Roman"/>
        </w:rPr>
      </w:pPr>
      <w:r w:rsidRPr="008F20F7">
        <w:rPr>
          <w:rStyle w:val="FootnoteReference"/>
          <w:rFonts w:ascii="Times New Roman" w:hAnsi="Times New Roman" w:cs="Times New Roman"/>
        </w:rPr>
        <w:footnoteRef/>
      </w:r>
      <w:r w:rsidRPr="008F20F7">
        <w:rPr>
          <w:rFonts w:ascii="Times New Roman" w:hAnsi="Times New Roman" w:cs="Times New Roman"/>
        </w:rPr>
        <w:t xml:space="preserve">According to </w:t>
      </w:r>
      <w:r w:rsidRPr="008F20F7">
        <w:rPr>
          <w:rFonts w:ascii="Times New Roman" w:eastAsia="Times New Roman" w:hAnsi="Times New Roman" w:cs="Times New Roman"/>
        </w:rPr>
        <w:t xml:space="preserve">Lazzeretti </w:t>
      </w:r>
      <w:r>
        <w:rPr>
          <w:rFonts w:ascii="Times New Roman" w:eastAsia="Times New Roman" w:hAnsi="Times New Roman" w:cs="Times New Roman"/>
        </w:rPr>
        <w:t>and</w:t>
      </w:r>
      <w:r w:rsidRPr="008F20F7">
        <w:rPr>
          <w:rFonts w:ascii="Times New Roman" w:eastAsia="Times New Roman" w:hAnsi="Times New Roman" w:cs="Times New Roman"/>
        </w:rPr>
        <w:t xml:space="preserve"> Tavoletti</w:t>
      </w:r>
      <w:r>
        <w:rPr>
          <w:rFonts w:ascii="Times New Roman" w:eastAsia="Times New Roman" w:hAnsi="Times New Roman" w:cs="Times New Roman"/>
        </w:rPr>
        <w:t xml:space="preserve"> (</w:t>
      </w:r>
      <w:r w:rsidRPr="008F20F7">
        <w:rPr>
          <w:rFonts w:ascii="Times New Roman" w:eastAsia="Times New Roman" w:hAnsi="Times New Roman" w:cs="Times New Roman"/>
        </w:rPr>
        <w:t>2006</w:t>
      </w:r>
      <w:r>
        <w:rPr>
          <w:rFonts w:ascii="Times New Roman" w:eastAsia="Times New Roman" w:hAnsi="Times New Roman" w:cs="Times New Roman"/>
        </w:rPr>
        <w:t>)</w:t>
      </w:r>
      <w:r w:rsidRPr="008F20F7">
        <w:rPr>
          <w:rFonts w:ascii="Times New Roman" w:hAnsi="Times New Roman" w:cs="Times New Roman"/>
        </w:rPr>
        <w:t xml:space="preserve">, HE governance models can be classified into three main models which are Napoleonic, Humboldtian and market models. In the first two models “Napoleonic/French model and Humboldtian/German model”, higher education governance system is centralised due mainly to </w:t>
      </w:r>
      <w:r>
        <w:rPr>
          <w:rFonts w:ascii="Times New Roman" w:hAnsi="Times New Roman" w:cs="Times New Roman"/>
        </w:rPr>
        <w:t xml:space="preserve">the fact </w:t>
      </w:r>
      <w:r w:rsidRPr="008F20F7">
        <w:rPr>
          <w:rFonts w:ascii="Times New Roman" w:hAnsi="Times New Roman" w:cs="Times New Roman"/>
        </w:rPr>
        <w:t xml:space="preserve">that HEIs are funded largely by the government. In contrast, in the market model (Anglo-Saxon/American model), higher education governance system is less centralised and HEIs are granted the financial autonomy to promote competition, efficiency and effectiveness among them. </w:t>
      </w:r>
      <w:r w:rsidRPr="008F20F7">
        <w:rPr>
          <w:rFonts w:ascii="Times New Roman" w:eastAsia="Times New Roman" w:hAnsi="Times New Roman" w:cs="Times New Roman"/>
        </w:rPr>
        <w:t>Lazzeretti and Tavoletti (2006) suggest that the market model has</w:t>
      </w:r>
      <w:r>
        <w:rPr>
          <w:rFonts w:ascii="Times New Roman" w:eastAsia="Times New Roman" w:hAnsi="Times New Roman" w:cs="Times New Roman"/>
        </w:rPr>
        <w:t xml:space="preserve"> recently</w:t>
      </w:r>
      <w:r w:rsidRPr="008F20F7">
        <w:rPr>
          <w:rFonts w:ascii="Times New Roman" w:eastAsia="Times New Roman" w:hAnsi="Times New Roman" w:cs="Times New Roman"/>
        </w:rPr>
        <w:t xml:space="preserve"> become</w:t>
      </w:r>
      <w:r>
        <w:rPr>
          <w:rFonts w:ascii="Times New Roman" w:eastAsia="Times New Roman" w:hAnsi="Times New Roman" w:cs="Times New Roman"/>
        </w:rPr>
        <w:t xml:space="preserve"> the most</w:t>
      </w:r>
      <w:r w:rsidRPr="008F20F7">
        <w:rPr>
          <w:rFonts w:ascii="Times New Roman" w:eastAsia="Times New Roman" w:hAnsi="Times New Roman" w:cs="Times New Roman"/>
        </w:rPr>
        <w:t xml:space="preserve"> dominant governance model, not just in Europe, but also worldwide, and this is due to the increased uncertainty, operational complexity </w:t>
      </w:r>
      <w:r w:rsidRPr="008F20F7">
        <w:rPr>
          <w:rFonts w:ascii="Times New Roman" w:hAnsi="Times New Roman" w:cs="Times New Roman"/>
        </w:rPr>
        <w:t>and competition in the HE sector</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BDA65B8"/>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5E838A0"/>
    <w:multiLevelType w:val="multilevel"/>
    <w:tmpl w:val="91D4F8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F708F5"/>
    <w:multiLevelType w:val="hybridMultilevel"/>
    <w:tmpl w:val="1772D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D0A33"/>
    <w:multiLevelType w:val="hybridMultilevel"/>
    <w:tmpl w:val="083A1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F355D9"/>
    <w:multiLevelType w:val="hybridMultilevel"/>
    <w:tmpl w:val="F01623B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EF0981"/>
    <w:multiLevelType w:val="hybridMultilevel"/>
    <w:tmpl w:val="C0FE55DE"/>
    <w:lvl w:ilvl="0" w:tplc="2DEE6338">
      <w:start w:val="2"/>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0"/>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0"/>
  <w:activeWritingStyle w:appName="MSWord" w:lang="de-D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25E"/>
    <w:rsid w:val="00000354"/>
    <w:rsid w:val="000005E4"/>
    <w:rsid w:val="0000159C"/>
    <w:rsid w:val="00002B51"/>
    <w:rsid w:val="00003A8E"/>
    <w:rsid w:val="000045B0"/>
    <w:rsid w:val="0000547F"/>
    <w:rsid w:val="00005546"/>
    <w:rsid w:val="0000668A"/>
    <w:rsid w:val="0001017A"/>
    <w:rsid w:val="000106AD"/>
    <w:rsid w:val="0001127F"/>
    <w:rsid w:val="00011986"/>
    <w:rsid w:val="00012155"/>
    <w:rsid w:val="000126FC"/>
    <w:rsid w:val="00013D1C"/>
    <w:rsid w:val="00014A95"/>
    <w:rsid w:val="00015301"/>
    <w:rsid w:val="00016636"/>
    <w:rsid w:val="00020A04"/>
    <w:rsid w:val="00020A14"/>
    <w:rsid w:val="000216A6"/>
    <w:rsid w:val="000219DE"/>
    <w:rsid w:val="000244F0"/>
    <w:rsid w:val="00025179"/>
    <w:rsid w:val="00030A86"/>
    <w:rsid w:val="00030AA0"/>
    <w:rsid w:val="000322B5"/>
    <w:rsid w:val="00033450"/>
    <w:rsid w:val="00033E51"/>
    <w:rsid w:val="0003408A"/>
    <w:rsid w:val="00034830"/>
    <w:rsid w:val="000357E8"/>
    <w:rsid w:val="000362EC"/>
    <w:rsid w:val="00036ECA"/>
    <w:rsid w:val="000373DF"/>
    <w:rsid w:val="00037948"/>
    <w:rsid w:val="000405B2"/>
    <w:rsid w:val="0004099F"/>
    <w:rsid w:val="00043CD8"/>
    <w:rsid w:val="00043DBD"/>
    <w:rsid w:val="00043DF2"/>
    <w:rsid w:val="0004589A"/>
    <w:rsid w:val="00046C00"/>
    <w:rsid w:val="00046C2C"/>
    <w:rsid w:val="00051039"/>
    <w:rsid w:val="00051765"/>
    <w:rsid w:val="000517A5"/>
    <w:rsid w:val="00052B5D"/>
    <w:rsid w:val="00052E45"/>
    <w:rsid w:val="00052F95"/>
    <w:rsid w:val="00054B37"/>
    <w:rsid w:val="00054F44"/>
    <w:rsid w:val="00055857"/>
    <w:rsid w:val="00055E6B"/>
    <w:rsid w:val="0005623A"/>
    <w:rsid w:val="0005644E"/>
    <w:rsid w:val="00057907"/>
    <w:rsid w:val="00057A08"/>
    <w:rsid w:val="00062460"/>
    <w:rsid w:val="0006277F"/>
    <w:rsid w:val="00063125"/>
    <w:rsid w:val="00063AE7"/>
    <w:rsid w:val="00065094"/>
    <w:rsid w:val="0007075B"/>
    <w:rsid w:val="00070CDB"/>
    <w:rsid w:val="000711DA"/>
    <w:rsid w:val="000732F5"/>
    <w:rsid w:val="00076064"/>
    <w:rsid w:val="00077440"/>
    <w:rsid w:val="0008028F"/>
    <w:rsid w:val="00081690"/>
    <w:rsid w:val="000829AF"/>
    <w:rsid w:val="00084455"/>
    <w:rsid w:val="00084B08"/>
    <w:rsid w:val="00085DD8"/>
    <w:rsid w:val="000879AC"/>
    <w:rsid w:val="00087F2C"/>
    <w:rsid w:val="00091E43"/>
    <w:rsid w:val="00092B67"/>
    <w:rsid w:val="00093742"/>
    <w:rsid w:val="000A0B2A"/>
    <w:rsid w:val="000A2040"/>
    <w:rsid w:val="000A2B31"/>
    <w:rsid w:val="000A3E02"/>
    <w:rsid w:val="000B1C2B"/>
    <w:rsid w:val="000B1C54"/>
    <w:rsid w:val="000B2799"/>
    <w:rsid w:val="000B2974"/>
    <w:rsid w:val="000B32D1"/>
    <w:rsid w:val="000B6083"/>
    <w:rsid w:val="000C0064"/>
    <w:rsid w:val="000C3404"/>
    <w:rsid w:val="000C3520"/>
    <w:rsid w:val="000C4C5D"/>
    <w:rsid w:val="000C6CF5"/>
    <w:rsid w:val="000C71AB"/>
    <w:rsid w:val="000C74BB"/>
    <w:rsid w:val="000C77D4"/>
    <w:rsid w:val="000C7BC5"/>
    <w:rsid w:val="000D2175"/>
    <w:rsid w:val="000D2E02"/>
    <w:rsid w:val="000D4711"/>
    <w:rsid w:val="000E0147"/>
    <w:rsid w:val="000E061D"/>
    <w:rsid w:val="000E06A8"/>
    <w:rsid w:val="000E08A9"/>
    <w:rsid w:val="000E0DFA"/>
    <w:rsid w:val="000E2012"/>
    <w:rsid w:val="000E283C"/>
    <w:rsid w:val="000E2F94"/>
    <w:rsid w:val="000E3DB4"/>
    <w:rsid w:val="000E4575"/>
    <w:rsid w:val="000E48A7"/>
    <w:rsid w:val="000E680B"/>
    <w:rsid w:val="000F0699"/>
    <w:rsid w:val="000F1E98"/>
    <w:rsid w:val="000F40E3"/>
    <w:rsid w:val="000F431D"/>
    <w:rsid w:val="000F481E"/>
    <w:rsid w:val="000F4EFC"/>
    <w:rsid w:val="000F68F2"/>
    <w:rsid w:val="000F7322"/>
    <w:rsid w:val="00102399"/>
    <w:rsid w:val="00102664"/>
    <w:rsid w:val="0010343F"/>
    <w:rsid w:val="00103B51"/>
    <w:rsid w:val="001043BC"/>
    <w:rsid w:val="001051D3"/>
    <w:rsid w:val="001113F9"/>
    <w:rsid w:val="0011300E"/>
    <w:rsid w:val="00114134"/>
    <w:rsid w:val="001150A6"/>
    <w:rsid w:val="00116221"/>
    <w:rsid w:val="00116F15"/>
    <w:rsid w:val="001203FC"/>
    <w:rsid w:val="00120837"/>
    <w:rsid w:val="00121D5F"/>
    <w:rsid w:val="0012374F"/>
    <w:rsid w:val="00124A48"/>
    <w:rsid w:val="0012791F"/>
    <w:rsid w:val="00127B03"/>
    <w:rsid w:val="0013020D"/>
    <w:rsid w:val="00131876"/>
    <w:rsid w:val="00131A15"/>
    <w:rsid w:val="0013275C"/>
    <w:rsid w:val="00134932"/>
    <w:rsid w:val="001355CB"/>
    <w:rsid w:val="0013569D"/>
    <w:rsid w:val="00140C49"/>
    <w:rsid w:val="0014348F"/>
    <w:rsid w:val="00143A3B"/>
    <w:rsid w:val="00146A15"/>
    <w:rsid w:val="00146E56"/>
    <w:rsid w:val="001519A9"/>
    <w:rsid w:val="00152781"/>
    <w:rsid w:val="0015335E"/>
    <w:rsid w:val="00154CD1"/>
    <w:rsid w:val="00154E05"/>
    <w:rsid w:val="001562CB"/>
    <w:rsid w:val="00160E44"/>
    <w:rsid w:val="001619A0"/>
    <w:rsid w:val="001622FA"/>
    <w:rsid w:val="00162549"/>
    <w:rsid w:val="001632DA"/>
    <w:rsid w:val="00166117"/>
    <w:rsid w:val="0016655C"/>
    <w:rsid w:val="00166BE1"/>
    <w:rsid w:val="00167990"/>
    <w:rsid w:val="00167C6E"/>
    <w:rsid w:val="001700CD"/>
    <w:rsid w:val="0017056D"/>
    <w:rsid w:val="00170963"/>
    <w:rsid w:val="00170ACA"/>
    <w:rsid w:val="00171004"/>
    <w:rsid w:val="0017360C"/>
    <w:rsid w:val="00173777"/>
    <w:rsid w:val="00173D4F"/>
    <w:rsid w:val="00174D00"/>
    <w:rsid w:val="0017518A"/>
    <w:rsid w:val="001771B1"/>
    <w:rsid w:val="00177961"/>
    <w:rsid w:val="00177AE3"/>
    <w:rsid w:val="00177BB0"/>
    <w:rsid w:val="001818E3"/>
    <w:rsid w:val="00181C45"/>
    <w:rsid w:val="00182131"/>
    <w:rsid w:val="0018277C"/>
    <w:rsid w:val="00182942"/>
    <w:rsid w:val="001836C6"/>
    <w:rsid w:val="00183940"/>
    <w:rsid w:val="001849BA"/>
    <w:rsid w:val="00184ACA"/>
    <w:rsid w:val="00185CBE"/>
    <w:rsid w:val="0019251C"/>
    <w:rsid w:val="00193130"/>
    <w:rsid w:val="00193326"/>
    <w:rsid w:val="001937E7"/>
    <w:rsid w:val="00194019"/>
    <w:rsid w:val="00197A9F"/>
    <w:rsid w:val="00197FC2"/>
    <w:rsid w:val="001A0E89"/>
    <w:rsid w:val="001A22A0"/>
    <w:rsid w:val="001A2C6F"/>
    <w:rsid w:val="001A3394"/>
    <w:rsid w:val="001A353D"/>
    <w:rsid w:val="001A3A15"/>
    <w:rsid w:val="001A547F"/>
    <w:rsid w:val="001A5911"/>
    <w:rsid w:val="001A60A3"/>
    <w:rsid w:val="001A6FFD"/>
    <w:rsid w:val="001B0666"/>
    <w:rsid w:val="001B0BB5"/>
    <w:rsid w:val="001B0FD8"/>
    <w:rsid w:val="001B15D4"/>
    <w:rsid w:val="001B211F"/>
    <w:rsid w:val="001B2381"/>
    <w:rsid w:val="001B36AE"/>
    <w:rsid w:val="001B394A"/>
    <w:rsid w:val="001B438A"/>
    <w:rsid w:val="001B65A3"/>
    <w:rsid w:val="001B6E91"/>
    <w:rsid w:val="001B785F"/>
    <w:rsid w:val="001B7CEA"/>
    <w:rsid w:val="001C1AF4"/>
    <w:rsid w:val="001C4FBA"/>
    <w:rsid w:val="001C687A"/>
    <w:rsid w:val="001C6A25"/>
    <w:rsid w:val="001D09C8"/>
    <w:rsid w:val="001D3FF0"/>
    <w:rsid w:val="001D42DE"/>
    <w:rsid w:val="001D5777"/>
    <w:rsid w:val="001D5B76"/>
    <w:rsid w:val="001D6979"/>
    <w:rsid w:val="001D6C5A"/>
    <w:rsid w:val="001E0D41"/>
    <w:rsid w:val="001E20E0"/>
    <w:rsid w:val="001E2CEB"/>
    <w:rsid w:val="001E426E"/>
    <w:rsid w:val="001E587A"/>
    <w:rsid w:val="001E5DB9"/>
    <w:rsid w:val="001E66DB"/>
    <w:rsid w:val="001E6CC6"/>
    <w:rsid w:val="001E6E8B"/>
    <w:rsid w:val="001E7DB0"/>
    <w:rsid w:val="001F01DC"/>
    <w:rsid w:val="001F1055"/>
    <w:rsid w:val="001F177B"/>
    <w:rsid w:val="001F26E8"/>
    <w:rsid w:val="001F3FB5"/>
    <w:rsid w:val="001F4D41"/>
    <w:rsid w:val="001F4F17"/>
    <w:rsid w:val="001F6314"/>
    <w:rsid w:val="00200859"/>
    <w:rsid w:val="002009E8"/>
    <w:rsid w:val="00200C94"/>
    <w:rsid w:val="00201405"/>
    <w:rsid w:val="002024DC"/>
    <w:rsid w:val="00203033"/>
    <w:rsid w:val="002039EB"/>
    <w:rsid w:val="0020472A"/>
    <w:rsid w:val="00205003"/>
    <w:rsid w:val="00205A0D"/>
    <w:rsid w:val="00211E85"/>
    <w:rsid w:val="0021354B"/>
    <w:rsid w:val="002165B7"/>
    <w:rsid w:val="002171D8"/>
    <w:rsid w:val="00220F59"/>
    <w:rsid w:val="00221193"/>
    <w:rsid w:val="00221ED4"/>
    <w:rsid w:val="002229CA"/>
    <w:rsid w:val="002230AA"/>
    <w:rsid w:val="00223E0E"/>
    <w:rsid w:val="00224624"/>
    <w:rsid w:val="0022761C"/>
    <w:rsid w:val="00231E98"/>
    <w:rsid w:val="0023475D"/>
    <w:rsid w:val="00234D78"/>
    <w:rsid w:val="00235130"/>
    <w:rsid w:val="00235FC0"/>
    <w:rsid w:val="002371DF"/>
    <w:rsid w:val="00241612"/>
    <w:rsid w:val="0024341B"/>
    <w:rsid w:val="00244EC5"/>
    <w:rsid w:val="00245ECE"/>
    <w:rsid w:val="00247083"/>
    <w:rsid w:val="0024731E"/>
    <w:rsid w:val="002479E6"/>
    <w:rsid w:val="00250375"/>
    <w:rsid w:val="00254AF0"/>
    <w:rsid w:val="00255BAE"/>
    <w:rsid w:val="00255DF3"/>
    <w:rsid w:val="00256325"/>
    <w:rsid w:val="0026139E"/>
    <w:rsid w:val="00262751"/>
    <w:rsid w:val="00262919"/>
    <w:rsid w:val="0026534E"/>
    <w:rsid w:val="00265833"/>
    <w:rsid w:val="002667DD"/>
    <w:rsid w:val="002708EF"/>
    <w:rsid w:val="00270A6D"/>
    <w:rsid w:val="00271A25"/>
    <w:rsid w:val="00272422"/>
    <w:rsid w:val="002726FD"/>
    <w:rsid w:val="0027596C"/>
    <w:rsid w:val="002825FF"/>
    <w:rsid w:val="00283B0F"/>
    <w:rsid w:val="002856C5"/>
    <w:rsid w:val="00285B36"/>
    <w:rsid w:val="00286A9A"/>
    <w:rsid w:val="00287E9E"/>
    <w:rsid w:val="00290273"/>
    <w:rsid w:val="00290282"/>
    <w:rsid w:val="002914E5"/>
    <w:rsid w:val="00292690"/>
    <w:rsid w:val="0029274A"/>
    <w:rsid w:val="00293251"/>
    <w:rsid w:val="002946AB"/>
    <w:rsid w:val="00294A9D"/>
    <w:rsid w:val="002963E8"/>
    <w:rsid w:val="002A029A"/>
    <w:rsid w:val="002A0E5D"/>
    <w:rsid w:val="002A178E"/>
    <w:rsid w:val="002A19BA"/>
    <w:rsid w:val="002A2D4D"/>
    <w:rsid w:val="002A4D62"/>
    <w:rsid w:val="002A5247"/>
    <w:rsid w:val="002A5413"/>
    <w:rsid w:val="002A7340"/>
    <w:rsid w:val="002A74B0"/>
    <w:rsid w:val="002A7F22"/>
    <w:rsid w:val="002B0A94"/>
    <w:rsid w:val="002B12AF"/>
    <w:rsid w:val="002B2470"/>
    <w:rsid w:val="002B3138"/>
    <w:rsid w:val="002B465E"/>
    <w:rsid w:val="002B786E"/>
    <w:rsid w:val="002C18D3"/>
    <w:rsid w:val="002C246E"/>
    <w:rsid w:val="002C3760"/>
    <w:rsid w:val="002C4214"/>
    <w:rsid w:val="002C448C"/>
    <w:rsid w:val="002C7317"/>
    <w:rsid w:val="002D1244"/>
    <w:rsid w:val="002D1A33"/>
    <w:rsid w:val="002D1CE2"/>
    <w:rsid w:val="002D3974"/>
    <w:rsid w:val="002D3C77"/>
    <w:rsid w:val="002D6CF6"/>
    <w:rsid w:val="002D7B7F"/>
    <w:rsid w:val="002D7C50"/>
    <w:rsid w:val="002E0F3A"/>
    <w:rsid w:val="002E0FEA"/>
    <w:rsid w:val="002E15D6"/>
    <w:rsid w:val="002E541E"/>
    <w:rsid w:val="002E61F6"/>
    <w:rsid w:val="002E65DC"/>
    <w:rsid w:val="002E69BB"/>
    <w:rsid w:val="002F0810"/>
    <w:rsid w:val="002F2708"/>
    <w:rsid w:val="002F2FFF"/>
    <w:rsid w:val="002F4023"/>
    <w:rsid w:val="002F45B8"/>
    <w:rsid w:val="002F564C"/>
    <w:rsid w:val="002F571A"/>
    <w:rsid w:val="002F6411"/>
    <w:rsid w:val="002F70D9"/>
    <w:rsid w:val="002F741A"/>
    <w:rsid w:val="00303091"/>
    <w:rsid w:val="00305F3C"/>
    <w:rsid w:val="0030634E"/>
    <w:rsid w:val="00307586"/>
    <w:rsid w:val="00313D85"/>
    <w:rsid w:val="00314636"/>
    <w:rsid w:val="0031587F"/>
    <w:rsid w:val="0032088C"/>
    <w:rsid w:val="00320B0E"/>
    <w:rsid w:val="00321896"/>
    <w:rsid w:val="00321B4A"/>
    <w:rsid w:val="00322C76"/>
    <w:rsid w:val="00326C74"/>
    <w:rsid w:val="00330986"/>
    <w:rsid w:val="00330A0A"/>
    <w:rsid w:val="00330D34"/>
    <w:rsid w:val="00330E84"/>
    <w:rsid w:val="0033214D"/>
    <w:rsid w:val="00333719"/>
    <w:rsid w:val="00333E2E"/>
    <w:rsid w:val="00335565"/>
    <w:rsid w:val="00336225"/>
    <w:rsid w:val="0033724C"/>
    <w:rsid w:val="00337EDC"/>
    <w:rsid w:val="00342EF2"/>
    <w:rsid w:val="00344611"/>
    <w:rsid w:val="0034465D"/>
    <w:rsid w:val="003446F9"/>
    <w:rsid w:val="003454D1"/>
    <w:rsid w:val="00345643"/>
    <w:rsid w:val="00350561"/>
    <w:rsid w:val="00352C02"/>
    <w:rsid w:val="003534B2"/>
    <w:rsid w:val="00354471"/>
    <w:rsid w:val="00354DE4"/>
    <w:rsid w:val="00355D94"/>
    <w:rsid w:val="00355FC9"/>
    <w:rsid w:val="0035601F"/>
    <w:rsid w:val="003567BD"/>
    <w:rsid w:val="00362272"/>
    <w:rsid w:val="003625DC"/>
    <w:rsid w:val="00363791"/>
    <w:rsid w:val="0036397F"/>
    <w:rsid w:val="003656DC"/>
    <w:rsid w:val="0036781F"/>
    <w:rsid w:val="00367FE4"/>
    <w:rsid w:val="00370F14"/>
    <w:rsid w:val="00371A92"/>
    <w:rsid w:val="003725C5"/>
    <w:rsid w:val="00372FEB"/>
    <w:rsid w:val="00373340"/>
    <w:rsid w:val="00373B72"/>
    <w:rsid w:val="0037434E"/>
    <w:rsid w:val="00374365"/>
    <w:rsid w:val="00374BAC"/>
    <w:rsid w:val="00376C22"/>
    <w:rsid w:val="00376F14"/>
    <w:rsid w:val="00377038"/>
    <w:rsid w:val="003772A2"/>
    <w:rsid w:val="003777D3"/>
    <w:rsid w:val="00377923"/>
    <w:rsid w:val="00377934"/>
    <w:rsid w:val="00380EE5"/>
    <w:rsid w:val="00381BAF"/>
    <w:rsid w:val="00383010"/>
    <w:rsid w:val="00384E79"/>
    <w:rsid w:val="00391235"/>
    <w:rsid w:val="0039130A"/>
    <w:rsid w:val="0039397B"/>
    <w:rsid w:val="003A0888"/>
    <w:rsid w:val="003A0AE9"/>
    <w:rsid w:val="003A1AB0"/>
    <w:rsid w:val="003A2421"/>
    <w:rsid w:val="003A2934"/>
    <w:rsid w:val="003A3303"/>
    <w:rsid w:val="003A3B89"/>
    <w:rsid w:val="003A410E"/>
    <w:rsid w:val="003A5DF8"/>
    <w:rsid w:val="003A5E15"/>
    <w:rsid w:val="003A6210"/>
    <w:rsid w:val="003B2522"/>
    <w:rsid w:val="003B2555"/>
    <w:rsid w:val="003B409C"/>
    <w:rsid w:val="003B74F1"/>
    <w:rsid w:val="003C080D"/>
    <w:rsid w:val="003C1308"/>
    <w:rsid w:val="003C1D9C"/>
    <w:rsid w:val="003C2617"/>
    <w:rsid w:val="003C2DB9"/>
    <w:rsid w:val="003C33CD"/>
    <w:rsid w:val="003C3C81"/>
    <w:rsid w:val="003C4BB4"/>
    <w:rsid w:val="003C5AEB"/>
    <w:rsid w:val="003C70BC"/>
    <w:rsid w:val="003D0BB4"/>
    <w:rsid w:val="003D246E"/>
    <w:rsid w:val="003D29D5"/>
    <w:rsid w:val="003D4F9B"/>
    <w:rsid w:val="003E2750"/>
    <w:rsid w:val="003E3940"/>
    <w:rsid w:val="003E3C12"/>
    <w:rsid w:val="003E464F"/>
    <w:rsid w:val="003E537E"/>
    <w:rsid w:val="003E5BF7"/>
    <w:rsid w:val="003E5F83"/>
    <w:rsid w:val="003E6364"/>
    <w:rsid w:val="003E776D"/>
    <w:rsid w:val="003F0A04"/>
    <w:rsid w:val="003F36C7"/>
    <w:rsid w:val="003F3C8D"/>
    <w:rsid w:val="003F4962"/>
    <w:rsid w:val="003F4E5B"/>
    <w:rsid w:val="003F56CE"/>
    <w:rsid w:val="003F5888"/>
    <w:rsid w:val="003F5E8D"/>
    <w:rsid w:val="00401087"/>
    <w:rsid w:val="004012E0"/>
    <w:rsid w:val="004017F7"/>
    <w:rsid w:val="0040220B"/>
    <w:rsid w:val="00402C4F"/>
    <w:rsid w:val="00403A77"/>
    <w:rsid w:val="00403E5E"/>
    <w:rsid w:val="0040416F"/>
    <w:rsid w:val="00404734"/>
    <w:rsid w:val="0040650F"/>
    <w:rsid w:val="004068CF"/>
    <w:rsid w:val="00410490"/>
    <w:rsid w:val="00410817"/>
    <w:rsid w:val="00410F71"/>
    <w:rsid w:val="004126B1"/>
    <w:rsid w:val="00412EA9"/>
    <w:rsid w:val="004134C3"/>
    <w:rsid w:val="00413676"/>
    <w:rsid w:val="00416286"/>
    <w:rsid w:val="004165DD"/>
    <w:rsid w:val="00420A75"/>
    <w:rsid w:val="00421EDC"/>
    <w:rsid w:val="0042286E"/>
    <w:rsid w:val="004243E8"/>
    <w:rsid w:val="00425E27"/>
    <w:rsid w:val="00426F75"/>
    <w:rsid w:val="00427F9E"/>
    <w:rsid w:val="00431CB7"/>
    <w:rsid w:val="00432507"/>
    <w:rsid w:val="00433E31"/>
    <w:rsid w:val="00433F48"/>
    <w:rsid w:val="00434F3C"/>
    <w:rsid w:val="004367DF"/>
    <w:rsid w:val="00436AB8"/>
    <w:rsid w:val="0043712E"/>
    <w:rsid w:val="0044081F"/>
    <w:rsid w:val="004411CF"/>
    <w:rsid w:val="004420BD"/>
    <w:rsid w:val="00443328"/>
    <w:rsid w:val="00443E50"/>
    <w:rsid w:val="00446D56"/>
    <w:rsid w:val="00447425"/>
    <w:rsid w:val="00447C18"/>
    <w:rsid w:val="00450AD0"/>
    <w:rsid w:val="00450D3E"/>
    <w:rsid w:val="00451505"/>
    <w:rsid w:val="00452886"/>
    <w:rsid w:val="00454901"/>
    <w:rsid w:val="00455202"/>
    <w:rsid w:val="004556E1"/>
    <w:rsid w:val="004558DB"/>
    <w:rsid w:val="004562FC"/>
    <w:rsid w:val="00456DF4"/>
    <w:rsid w:val="004576B5"/>
    <w:rsid w:val="00461696"/>
    <w:rsid w:val="00462406"/>
    <w:rsid w:val="00463BBA"/>
    <w:rsid w:val="0046486F"/>
    <w:rsid w:val="00466658"/>
    <w:rsid w:val="00467A6F"/>
    <w:rsid w:val="004705FF"/>
    <w:rsid w:val="00471CC6"/>
    <w:rsid w:val="00474506"/>
    <w:rsid w:val="004745F7"/>
    <w:rsid w:val="00474CE8"/>
    <w:rsid w:val="00476D2F"/>
    <w:rsid w:val="00477FFD"/>
    <w:rsid w:val="00481118"/>
    <w:rsid w:val="004811F5"/>
    <w:rsid w:val="0048174B"/>
    <w:rsid w:val="004819FE"/>
    <w:rsid w:val="00482E80"/>
    <w:rsid w:val="00483BA0"/>
    <w:rsid w:val="004842B0"/>
    <w:rsid w:val="00490D64"/>
    <w:rsid w:val="0049107C"/>
    <w:rsid w:val="004913B7"/>
    <w:rsid w:val="004918B5"/>
    <w:rsid w:val="00491C26"/>
    <w:rsid w:val="0049234E"/>
    <w:rsid w:val="00492FDD"/>
    <w:rsid w:val="00495781"/>
    <w:rsid w:val="00497D1B"/>
    <w:rsid w:val="004A0333"/>
    <w:rsid w:val="004A0921"/>
    <w:rsid w:val="004A2345"/>
    <w:rsid w:val="004A363D"/>
    <w:rsid w:val="004A5423"/>
    <w:rsid w:val="004A6331"/>
    <w:rsid w:val="004A66FD"/>
    <w:rsid w:val="004A683F"/>
    <w:rsid w:val="004B1222"/>
    <w:rsid w:val="004B3208"/>
    <w:rsid w:val="004B5D9D"/>
    <w:rsid w:val="004B70E8"/>
    <w:rsid w:val="004B76EB"/>
    <w:rsid w:val="004B7CC0"/>
    <w:rsid w:val="004C107E"/>
    <w:rsid w:val="004C230B"/>
    <w:rsid w:val="004C3499"/>
    <w:rsid w:val="004C5F36"/>
    <w:rsid w:val="004D1F45"/>
    <w:rsid w:val="004D51C8"/>
    <w:rsid w:val="004D5A7C"/>
    <w:rsid w:val="004D5CED"/>
    <w:rsid w:val="004D5D82"/>
    <w:rsid w:val="004D6467"/>
    <w:rsid w:val="004E2A81"/>
    <w:rsid w:val="004E39BA"/>
    <w:rsid w:val="004E3A4B"/>
    <w:rsid w:val="004E3F3E"/>
    <w:rsid w:val="004E4DB0"/>
    <w:rsid w:val="004E535C"/>
    <w:rsid w:val="004E5B85"/>
    <w:rsid w:val="004E6999"/>
    <w:rsid w:val="004E7C55"/>
    <w:rsid w:val="004F005F"/>
    <w:rsid w:val="004F1F24"/>
    <w:rsid w:val="004F3E80"/>
    <w:rsid w:val="004F4FFF"/>
    <w:rsid w:val="004F7022"/>
    <w:rsid w:val="004F75D4"/>
    <w:rsid w:val="0050162A"/>
    <w:rsid w:val="00502930"/>
    <w:rsid w:val="005035D3"/>
    <w:rsid w:val="00504046"/>
    <w:rsid w:val="005041C7"/>
    <w:rsid w:val="005042C2"/>
    <w:rsid w:val="005058BC"/>
    <w:rsid w:val="005061A2"/>
    <w:rsid w:val="0050664C"/>
    <w:rsid w:val="005071E7"/>
    <w:rsid w:val="005076CA"/>
    <w:rsid w:val="00507A0C"/>
    <w:rsid w:val="00510AC6"/>
    <w:rsid w:val="005118D8"/>
    <w:rsid w:val="00511F36"/>
    <w:rsid w:val="00514974"/>
    <w:rsid w:val="00514C52"/>
    <w:rsid w:val="00515648"/>
    <w:rsid w:val="00516E6B"/>
    <w:rsid w:val="0051703F"/>
    <w:rsid w:val="00517C15"/>
    <w:rsid w:val="00517CD6"/>
    <w:rsid w:val="00520553"/>
    <w:rsid w:val="00520EAD"/>
    <w:rsid w:val="00521E12"/>
    <w:rsid w:val="00522174"/>
    <w:rsid w:val="00523568"/>
    <w:rsid w:val="00523F5A"/>
    <w:rsid w:val="005246BA"/>
    <w:rsid w:val="00524712"/>
    <w:rsid w:val="005253EC"/>
    <w:rsid w:val="00525467"/>
    <w:rsid w:val="005259A3"/>
    <w:rsid w:val="00526FA9"/>
    <w:rsid w:val="00530484"/>
    <w:rsid w:val="00532724"/>
    <w:rsid w:val="005340F2"/>
    <w:rsid w:val="0053566E"/>
    <w:rsid w:val="00535D61"/>
    <w:rsid w:val="0054008E"/>
    <w:rsid w:val="00540660"/>
    <w:rsid w:val="005421E0"/>
    <w:rsid w:val="0054390E"/>
    <w:rsid w:val="00545BDD"/>
    <w:rsid w:val="00553147"/>
    <w:rsid w:val="005551A8"/>
    <w:rsid w:val="005571D9"/>
    <w:rsid w:val="00557233"/>
    <w:rsid w:val="00560019"/>
    <w:rsid w:val="00561ABA"/>
    <w:rsid w:val="00562426"/>
    <w:rsid w:val="005638F3"/>
    <w:rsid w:val="00563F97"/>
    <w:rsid w:val="005647A6"/>
    <w:rsid w:val="00564A9A"/>
    <w:rsid w:val="00564C6A"/>
    <w:rsid w:val="00566CE1"/>
    <w:rsid w:val="00566D02"/>
    <w:rsid w:val="0056734F"/>
    <w:rsid w:val="00567D34"/>
    <w:rsid w:val="00571632"/>
    <w:rsid w:val="00573315"/>
    <w:rsid w:val="005747F4"/>
    <w:rsid w:val="00575169"/>
    <w:rsid w:val="00576FCB"/>
    <w:rsid w:val="00577237"/>
    <w:rsid w:val="0058124C"/>
    <w:rsid w:val="00582FCE"/>
    <w:rsid w:val="0058382A"/>
    <w:rsid w:val="0058646B"/>
    <w:rsid w:val="005877A5"/>
    <w:rsid w:val="00587A22"/>
    <w:rsid w:val="00590E40"/>
    <w:rsid w:val="0059144B"/>
    <w:rsid w:val="00591BA0"/>
    <w:rsid w:val="00593639"/>
    <w:rsid w:val="00593BC5"/>
    <w:rsid w:val="005957D9"/>
    <w:rsid w:val="00596229"/>
    <w:rsid w:val="00596E43"/>
    <w:rsid w:val="00596F1D"/>
    <w:rsid w:val="00597B2A"/>
    <w:rsid w:val="005A3139"/>
    <w:rsid w:val="005A3601"/>
    <w:rsid w:val="005A3BEE"/>
    <w:rsid w:val="005A469F"/>
    <w:rsid w:val="005A53E0"/>
    <w:rsid w:val="005A6E57"/>
    <w:rsid w:val="005B08E2"/>
    <w:rsid w:val="005B2FCD"/>
    <w:rsid w:val="005B4C4B"/>
    <w:rsid w:val="005B5325"/>
    <w:rsid w:val="005B5857"/>
    <w:rsid w:val="005B5878"/>
    <w:rsid w:val="005C123A"/>
    <w:rsid w:val="005C135C"/>
    <w:rsid w:val="005C4153"/>
    <w:rsid w:val="005C60A7"/>
    <w:rsid w:val="005D0858"/>
    <w:rsid w:val="005D3003"/>
    <w:rsid w:val="005D38E4"/>
    <w:rsid w:val="005D39E7"/>
    <w:rsid w:val="005D3D4C"/>
    <w:rsid w:val="005D45CA"/>
    <w:rsid w:val="005D48E7"/>
    <w:rsid w:val="005D62E5"/>
    <w:rsid w:val="005D75A0"/>
    <w:rsid w:val="005D7E55"/>
    <w:rsid w:val="005E07D6"/>
    <w:rsid w:val="005E276D"/>
    <w:rsid w:val="005E29D2"/>
    <w:rsid w:val="005E31F0"/>
    <w:rsid w:val="005E44B7"/>
    <w:rsid w:val="005E60EE"/>
    <w:rsid w:val="005F007C"/>
    <w:rsid w:val="005F02F5"/>
    <w:rsid w:val="005F0CEA"/>
    <w:rsid w:val="005F1E44"/>
    <w:rsid w:val="005F2730"/>
    <w:rsid w:val="005F2C5F"/>
    <w:rsid w:val="005F4748"/>
    <w:rsid w:val="005F6B2C"/>
    <w:rsid w:val="005F7247"/>
    <w:rsid w:val="005F75BB"/>
    <w:rsid w:val="0060031E"/>
    <w:rsid w:val="00601850"/>
    <w:rsid w:val="00601FCB"/>
    <w:rsid w:val="00605ADB"/>
    <w:rsid w:val="0060608F"/>
    <w:rsid w:val="006068D0"/>
    <w:rsid w:val="00612979"/>
    <w:rsid w:val="006134CD"/>
    <w:rsid w:val="006135C1"/>
    <w:rsid w:val="006144AF"/>
    <w:rsid w:val="00615141"/>
    <w:rsid w:val="00615722"/>
    <w:rsid w:val="00616E84"/>
    <w:rsid w:val="0061747D"/>
    <w:rsid w:val="00623A01"/>
    <w:rsid w:val="00623AEB"/>
    <w:rsid w:val="00623AED"/>
    <w:rsid w:val="00623BE8"/>
    <w:rsid w:val="00623DE0"/>
    <w:rsid w:val="006244E7"/>
    <w:rsid w:val="0062450A"/>
    <w:rsid w:val="00624E81"/>
    <w:rsid w:val="00624F34"/>
    <w:rsid w:val="00625145"/>
    <w:rsid w:val="0063546E"/>
    <w:rsid w:val="00635839"/>
    <w:rsid w:val="0063628E"/>
    <w:rsid w:val="0063640C"/>
    <w:rsid w:val="00637D44"/>
    <w:rsid w:val="00640EC0"/>
    <w:rsid w:val="00641DE9"/>
    <w:rsid w:val="00643054"/>
    <w:rsid w:val="00643274"/>
    <w:rsid w:val="00646003"/>
    <w:rsid w:val="00646A62"/>
    <w:rsid w:val="00646C0E"/>
    <w:rsid w:val="00646C38"/>
    <w:rsid w:val="00646E98"/>
    <w:rsid w:val="006506A7"/>
    <w:rsid w:val="00653409"/>
    <w:rsid w:val="006546A4"/>
    <w:rsid w:val="006548A0"/>
    <w:rsid w:val="006568A2"/>
    <w:rsid w:val="00656F9A"/>
    <w:rsid w:val="0065716D"/>
    <w:rsid w:val="0065771A"/>
    <w:rsid w:val="00657883"/>
    <w:rsid w:val="00661BB0"/>
    <w:rsid w:val="00662EE4"/>
    <w:rsid w:val="00666ABE"/>
    <w:rsid w:val="006671F8"/>
    <w:rsid w:val="006700AD"/>
    <w:rsid w:val="0067220E"/>
    <w:rsid w:val="00672895"/>
    <w:rsid w:val="006736B4"/>
    <w:rsid w:val="00674DE4"/>
    <w:rsid w:val="006754A0"/>
    <w:rsid w:val="00676184"/>
    <w:rsid w:val="006772B1"/>
    <w:rsid w:val="006813B3"/>
    <w:rsid w:val="00683238"/>
    <w:rsid w:val="00684135"/>
    <w:rsid w:val="006845B3"/>
    <w:rsid w:val="00685F56"/>
    <w:rsid w:val="00685FEE"/>
    <w:rsid w:val="00687B1E"/>
    <w:rsid w:val="00687CE3"/>
    <w:rsid w:val="0069016C"/>
    <w:rsid w:val="00690290"/>
    <w:rsid w:val="00690CE7"/>
    <w:rsid w:val="00691639"/>
    <w:rsid w:val="00691942"/>
    <w:rsid w:val="0069202B"/>
    <w:rsid w:val="00692EBE"/>
    <w:rsid w:val="006932D5"/>
    <w:rsid w:val="00693CB4"/>
    <w:rsid w:val="0069400B"/>
    <w:rsid w:val="0069419F"/>
    <w:rsid w:val="00695B29"/>
    <w:rsid w:val="00696F75"/>
    <w:rsid w:val="006A25BF"/>
    <w:rsid w:val="006A3063"/>
    <w:rsid w:val="006A3A45"/>
    <w:rsid w:val="006A3F76"/>
    <w:rsid w:val="006A5AAB"/>
    <w:rsid w:val="006A60E7"/>
    <w:rsid w:val="006A67E0"/>
    <w:rsid w:val="006A6E6A"/>
    <w:rsid w:val="006A6F36"/>
    <w:rsid w:val="006A6F67"/>
    <w:rsid w:val="006A7604"/>
    <w:rsid w:val="006A7EDA"/>
    <w:rsid w:val="006B2FBA"/>
    <w:rsid w:val="006B5122"/>
    <w:rsid w:val="006B6C5B"/>
    <w:rsid w:val="006B6D3A"/>
    <w:rsid w:val="006B6EB6"/>
    <w:rsid w:val="006C214D"/>
    <w:rsid w:val="006C382E"/>
    <w:rsid w:val="006C4A4D"/>
    <w:rsid w:val="006C51C6"/>
    <w:rsid w:val="006C70A7"/>
    <w:rsid w:val="006C72E9"/>
    <w:rsid w:val="006C7BED"/>
    <w:rsid w:val="006D0BFE"/>
    <w:rsid w:val="006D2E40"/>
    <w:rsid w:val="006D2FC7"/>
    <w:rsid w:val="006D3C2A"/>
    <w:rsid w:val="006D58D5"/>
    <w:rsid w:val="006D5DDE"/>
    <w:rsid w:val="006D7C8A"/>
    <w:rsid w:val="006E1584"/>
    <w:rsid w:val="006E15E3"/>
    <w:rsid w:val="006E39EB"/>
    <w:rsid w:val="006E3A31"/>
    <w:rsid w:val="006E539D"/>
    <w:rsid w:val="006E5CAF"/>
    <w:rsid w:val="006E6D06"/>
    <w:rsid w:val="006F06C2"/>
    <w:rsid w:val="006F06C6"/>
    <w:rsid w:val="006F0898"/>
    <w:rsid w:val="006F1979"/>
    <w:rsid w:val="006F2164"/>
    <w:rsid w:val="006F49BB"/>
    <w:rsid w:val="006F4D79"/>
    <w:rsid w:val="006F4EE5"/>
    <w:rsid w:val="006F6082"/>
    <w:rsid w:val="006F69A2"/>
    <w:rsid w:val="006F69A8"/>
    <w:rsid w:val="007061DE"/>
    <w:rsid w:val="007079EC"/>
    <w:rsid w:val="0071022E"/>
    <w:rsid w:val="0071150A"/>
    <w:rsid w:val="007120BB"/>
    <w:rsid w:val="00712D6C"/>
    <w:rsid w:val="00712E0B"/>
    <w:rsid w:val="00713378"/>
    <w:rsid w:val="007133A8"/>
    <w:rsid w:val="00714B4B"/>
    <w:rsid w:val="00715AE2"/>
    <w:rsid w:val="00717FD8"/>
    <w:rsid w:val="007204D9"/>
    <w:rsid w:val="00720F04"/>
    <w:rsid w:val="00721CBF"/>
    <w:rsid w:val="0072265F"/>
    <w:rsid w:val="0072332A"/>
    <w:rsid w:val="007237BC"/>
    <w:rsid w:val="00723BA0"/>
    <w:rsid w:val="0072491E"/>
    <w:rsid w:val="00726FF0"/>
    <w:rsid w:val="0073042B"/>
    <w:rsid w:val="00730E72"/>
    <w:rsid w:val="00734608"/>
    <w:rsid w:val="00735399"/>
    <w:rsid w:val="007358B5"/>
    <w:rsid w:val="00735AF5"/>
    <w:rsid w:val="00736615"/>
    <w:rsid w:val="00737539"/>
    <w:rsid w:val="00737F6D"/>
    <w:rsid w:val="0074296A"/>
    <w:rsid w:val="007433F6"/>
    <w:rsid w:val="007447D5"/>
    <w:rsid w:val="00744B9E"/>
    <w:rsid w:val="007453EB"/>
    <w:rsid w:val="00746A98"/>
    <w:rsid w:val="00746C2B"/>
    <w:rsid w:val="00747F71"/>
    <w:rsid w:val="00750B9E"/>
    <w:rsid w:val="00751CAB"/>
    <w:rsid w:val="00753329"/>
    <w:rsid w:val="0075515F"/>
    <w:rsid w:val="00756048"/>
    <w:rsid w:val="00757264"/>
    <w:rsid w:val="00762F6E"/>
    <w:rsid w:val="0076351E"/>
    <w:rsid w:val="00765429"/>
    <w:rsid w:val="007671E8"/>
    <w:rsid w:val="00767338"/>
    <w:rsid w:val="00770CCA"/>
    <w:rsid w:val="00770E89"/>
    <w:rsid w:val="00771C74"/>
    <w:rsid w:val="00775E90"/>
    <w:rsid w:val="00780890"/>
    <w:rsid w:val="00781FB7"/>
    <w:rsid w:val="0078252C"/>
    <w:rsid w:val="00782BB3"/>
    <w:rsid w:val="007831E9"/>
    <w:rsid w:val="00784095"/>
    <w:rsid w:val="00784FE5"/>
    <w:rsid w:val="00787F2D"/>
    <w:rsid w:val="0079038C"/>
    <w:rsid w:val="00792A8D"/>
    <w:rsid w:val="00792D77"/>
    <w:rsid w:val="00792E57"/>
    <w:rsid w:val="00794482"/>
    <w:rsid w:val="00796372"/>
    <w:rsid w:val="00796A54"/>
    <w:rsid w:val="00796ABC"/>
    <w:rsid w:val="00796F55"/>
    <w:rsid w:val="007A03B4"/>
    <w:rsid w:val="007A0B04"/>
    <w:rsid w:val="007A0BFC"/>
    <w:rsid w:val="007A1F6D"/>
    <w:rsid w:val="007A3632"/>
    <w:rsid w:val="007A4004"/>
    <w:rsid w:val="007A5262"/>
    <w:rsid w:val="007A5B02"/>
    <w:rsid w:val="007A6057"/>
    <w:rsid w:val="007A619C"/>
    <w:rsid w:val="007B26F1"/>
    <w:rsid w:val="007B2C25"/>
    <w:rsid w:val="007B3047"/>
    <w:rsid w:val="007B4473"/>
    <w:rsid w:val="007C1BEE"/>
    <w:rsid w:val="007C2551"/>
    <w:rsid w:val="007C2CAE"/>
    <w:rsid w:val="007C2DC8"/>
    <w:rsid w:val="007C30A3"/>
    <w:rsid w:val="007C438C"/>
    <w:rsid w:val="007C458B"/>
    <w:rsid w:val="007C4834"/>
    <w:rsid w:val="007C5194"/>
    <w:rsid w:val="007C5EAF"/>
    <w:rsid w:val="007D1529"/>
    <w:rsid w:val="007D2A71"/>
    <w:rsid w:val="007D35A7"/>
    <w:rsid w:val="007D35A9"/>
    <w:rsid w:val="007D513C"/>
    <w:rsid w:val="007D6E21"/>
    <w:rsid w:val="007D6FA1"/>
    <w:rsid w:val="007D7DD2"/>
    <w:rsid w:val="007E1264"/>
    <w:rsid w:val="007E2781"/>
    <w:rsid w:val="007E2EA6"/>
    <w:rsid w:val="007E4281"/>
    <w:rsid w:val="007E540A"/>
    <w:rsid w:val="007E6040"/>
    <w:rsid w:val="007F1365"/>
    <w:rsid w:val="007F19F1"/>
    <w:rsid w:val="007F34BE"/>
    <w:rsid w:val="007F5068"/>
    <w:rsid w:val="007F5963"/>
    <w:rsid w:val="007F61A5"/>
    <w:rsid w:val="007F6C9F"/>
    <w:rsid w:val="00803799"/>
    <w:rsid w:val="0080412C"/>
    <w:rsid w:val="00804B9E"/>
    <w:rsid w:val="00805588"/>
    <w:rsid w:val="008061CC"/>
    <w:rsid w:val="008103E5"/>
    <w:rsid w:val="008104FA"/>
    <w:rsid w:val="0081065A"/>
    <w:rsid w:val="0081066F"/>
    <w:rsid w:val="00810BE3"/>
    <w:rsid w:val="0081212F"/>
    <w:rsid w:val="00812311"/>
    <w:rsid w:val="00814C93"/>
    <w:rsid w:val="00815A22"/>
    <w:rsid w:val="00816576"/>
    <w:rsid w:val="00817638"/>
    <w:rsid w:val="00817700"/>
    <w:rsid w:val="00817900"/>
    <w:rsid w:val="00817C76"/>
    <w:rsid w:val="00820745"/>
    <w:rsid w:val="00820E1B"/>
    <w:rsid w:val="00823C7D"/>
    <w:rsid w:val="008257FE"/>
    <w:rsid w:val="00825A41"/>
    <w:rsid w:val="00826685"/>
    <w:rsid w:val="008276D0"/>
    <w:rsid w:val="00827CDB"/>
    <w:rsid w:val="008301EE"/>
    <w:rsid w:val="008327B5"/>
    <w:rsid w:val="008328C9"/>
    <w:rsid w:val="0083438E"/>
    <w:rsid w:val="008343E4"/>
    <w:rsid w:val="00834C90"/>
    <w:rsid w:val="0083504E"/>
    <w:rsid w:val="00835255"/>
    <w:rsid w:val="008355B2"/>
    <w:rsid w:val="00835AFF"/>
    <w:rsid w:val="00835C40"/>
    <w:rsid w:val="00836EAE"/>
    <w:rsid w:val="0083737B"/>
    <w:rsid w:val="008403F7"/>
    <w:rsid w:val="00840C4E"/>
    <w:rsid w:val="00840EE8"/>
    <w:rsid w:val="00840FEA"/>
    <w:rsid w:val="00841D16"/>
    <w:rsid w:val="0084640A"/>
    <w:rsid w:val="008464BD"/>
    <w:rsid w:val="0084747E"/>
    <w:rsid w:val="008476A7"/>
    <w:rsid w:val="0084771C"/>
    <w:rsid w:val="00852923"/>
    <w:rsid w:val="00855B2F"/>
    <w:rsid w:val="008572DD"/>
    <w:rsid w:val="00861E8D"/>
    <w:rsid w:val="008632D6"/>
    <w:rsid w:val="00863AE7"/>
    <w:rsid w:val="0086474A"/>
    <w:rsid w:val="00865C87"/>
    <w:rsid w:val="00866CCC"/>
    <w:rsid w:val="00866D34"/>
    <w:rsid w:val="008671A2"/>
    <w:rsid w:val="00867AE4"/>
    <w:rsid w:val="00870502"/>
    <w:rsid w:val="0087087C"/>
    <w:rsid w:val="00870B70"/>
    <w:rsid w:val="00873902"/>
    <w:rsid w:val="00877732"/>
    <w:rsid w:val="008813F3"/>
    <w:rsid w:val="0088477F"/>
    <w:rsid w:val="00884792"/>
    <w:rsid w:val="00884916"/>
    <w:rsid w:val="0088533F"/>
    <w:rsid w:val="00887D5D"/>
    <w:rsid w:val="00890F36"/>
    <w:rsid w:val="00891EF6"/>
    <w:rsid w:val="00892CF1"/>
    <w:rsid w:val="008966CA"/>
    <w:rsid w:val="00897FBC"/>
    <w:rsid w:val="008A0E12"/>
    <w:rsid w:val="008A1CD3"/>
    <w:rsid w:val="008A306C"/>
    <w:rsid w:val="008A400E"/>
    <w:rsid w:val="008A4B0B"/>
    <w:rsid w:val="008A4F6D"/>
    <w:rsid w:val="008A5B90"/>
    <w:rsid w:val="008A7618"/>
    <w:rsid w:val="008B06C2"/>
    <w:rsid w:val="008B078C"/>
    <w:rsid w:val="008B1126"/>
    <w:rsid w:val="008B1AFD"/>
    <w:rsid w:val="008B2230"/>
    <w:rsid w:val="008B2F63"/>
    <w:rsid w:val="008B43C8"/>
    <w:rsid w:val="008B5787"/>
    <w:rsid w:val="008B6FA4"/>
    <w:rsid w:val="008B7139"/>
    <w:rsid w:val="008C089C"/>
    <w:rsid w:val="008C1FDD"/>
    <w:rsid w:val="008C1FE2"/>
    <w:rsid w:val="008C4E3A"/>
    <w:rsid w:val="008C691F"/>
    <w:rsid w:val="008C73F3"/>
    <w:rsid w:val="008D18B5"/>
    <w:rsid w:val="008D1EBD"/>
    <w:rsid w:val="008D367D"/>
    <w:rsid w:val="008E04FD"/>
    <w:rsid w:val="008E065A"/>
    <w:rsid w:val="008E1394"/>
    <w:rsid w:val="008E13A2"/>
    <w:rsid w:val="008E17AD"/>
    <w:rsid w:val="008E4014"/>
    <w:rsid w:val="008E47FF"/>
    <w:rsid w:val="008E5065"/>
    <w:rsid w:val="008E76A4"/>
    <w:rsid w:val="008E7E57"/>
    <w:rsid w:val="008F0AF7"/>
    <w:rsid w:val="008F1445"/>
    <w:rsid w:val="008F26F9"/>
    <w:rsid w:val="008F27A1"/>
    <w:rsid w:val="008F28F7"/>
    <w:rsid w:val="008F2BD3"/>
    <w:rsid w:val="008F3496"/>
    <w:rsid w:val="008F4283"/>
    <w:rsid w:val="008F489B"/>
    <w:rsid w:val="008F4E0F"/>
    <w:rsid w:val="00900CF8"/>
    <w:rsid w:val="00900F66"/>
    <w:rsid w:val="00904459"/>
    <w:rsid w:val="009054CA"/>
    <w:rsid w:val="00907392"/>
    <w:rsid w:val="00910D5A"/>
    <w:rsid w:val="00911FC2"/>
    <w:rsid w:val="00912BAB"/>
    <w:rsid w:val="00915281"/>
    <w:rsid w:val="00915A94"/>
    <w:rsid w:val="00916478"/>
    <w:rsid w:val="00917DCD"/>
    <w:rsid w:val="00917E69"/>
    <w:rsid w:val="0092274B"/>
    <w:rsid w:val="009229AE"/>
    <w:rsid w:val="00923A7A"/>
    <w:rsid w:val="00923C40"/>
    <w:rsid w:val="00924B8C"/>
    <w:rsid w:val="0092518B"/>
    <w:rsid w:val="009277CD"/>
    <w:rsid w:val="00930BB6"/>
    <w:rsid w:val="009325F7"/>
    <w:rsid w:val="00935136"/>
    <w:rsid w:val="00936426"/>
    <w:rsid w:val="009373D4"/>
    <w:rsid w:val="00941023"/>
    <w:rsid w:val="00941DB9"/>
    <w:rsid w:val="00942503"/>
    <w:rsid w:val="00943448"/>
    <w:rsid w:val="00945944"/>
    <w:rsid w:val="00945984"/>
    <w:rsid w:val="00947776"/>
    <w:rsid w:val="009518FC"/>
    <w:rsid w:val="00951BF2"/>
    <w:rsid w:val="00952AFC"/>
    <w:rsid w:val="00952C65"/>
    <w:rsid w:val="00954433"/>
    <w:rsid w:val="0095527E"/>
    <w:rsid w:val="0095679E"/>
    <w:rsid w:val="00956D54"/>
    <w:rsid w:val="009571DF"/>
    <w:rsid w:val="00961893"/>
    <w:rsid w:val="00965F19"/>
    <w:rsid w:val="00966DBE"/>
    <w:rsid w:val="00970BBC"/>
    <w:rsid w:val="00971236"/>
    <w:rsid w:val="00971637"/>
    <w:rsid w:val="00972093"/>
    <w:rsid w:val="00973F63"/>
    <w:rsid w:val="00974CF0"/>
    <w:rsid w:val="0097536A"/>
    <w:rsid w:val="0097576F"/>
    <w:rsid w:val="0097586F"/>
    <w:rsid w:val="0097587C"/>
    <w:rsid w:val="00977678"/>
    <w:rsid w:val="0098046B"/>
    <w:rsid w:val="009825DF"/>
    <w:rsid w:val="00982755"/>
    <w:rsid w:val="00984414"/>
    <w:rsid w:val="009866E7"/>
    <w:rsid w:val="009869EC"/>
    <w:rsid w:val="00986E3B"/>
    <w:rsid w:val="00986EF8"/>
    <w:rsid w:val="0098700A"/>
    <w:rsid w:val="009912BD"/>
    <w:rsid w:val="009918E4"/>
    <w:rsid w:val="009932B4"/>
    <w:rsid w:val="009944A3"/>
    <w:rsid w:val="009946D8"/>
    <w:rsid w:val="0099534F"/>
    <w:rsid w:val="00995447"/>
    <w:rsid w:val="00995F1D"/>
    <w:rsid w:val="00997960"/>
    <w:rsid w:val="00997E1A"/>
    <w:rsid w:val="009A3227"/>
    <w:rsid w:val="009A394F"/>
    <w:rsid w:val="009A39FB"/>
    <w:rsid w:val="009A523C"/>
    <w:rsid w:val="009A5DE9"/>
    <w:rsid w:val="009A6183"/>
    <w:rsid w:val="009A6A05"/>
    <w:rsid w:val="009B12A1"/>
    <w:rsid w:val="009B5D56"/>
    <w:rsid w:val="009B64DC"/>
    <w:rsid w:val="009B69E0"/>
    <w:rsid w:val="009B7F41"/>
    <w:rsid w:val="009C1172"/>
    <w:rsid w:val="009C16ED"/>
    <w:rsid w:val="009C194B"/>
    <w:rsid w:val="009C4C99"/>
    <w:rsid w:val="009C5C1A"/>
    <w:rsid w:val="009C641B"/>
    <w:rsid w:val="009C6836"/>
    <w:rsid w:val="009C6B7A"/>
    <w:rsid w:val="009C736B"/>
    <w:rsid w:val="009C743D"/>
    <w:rsid w:val="009D0A29"/>
    <w:rsid w:val="009D169C"/>
    <w:rsid w:val="009D2E30"/>
    <w:rsid w:val="009D4BB4"/>
    <w:rsid w:val="009E02A3"/>
    <w:rsid w:val="009E3B15"/>
    <w:rsid w:val="009E4383"/>
    <w:rsid w:val="009E6B6E"/>
    <w:rsid w:val="009F2B92"/>
    <w:rsid w:val="009F322D"/>
    <w:rsid w:val="009F58C8"/>
    <w:rsid w:val="009F5F91"/>
    <w:rsid w:val="009F61A5"/>
    <w:rsid w:val="009F6FD2"/>
    <w:rsid w:val="00A00F0A"/>
    <w:rsid w:val="00A0291E"/>
    <w:rsid w:val="00A05655"/>
    <w:rsid w:val="00A107AB"/>
    <w:rsid w:val="00A10D12"/>
    <w:rsid w:val="00A10D63"/>
    <w:rsid w:val="00A12179"/>
    <w:rsid w:val="00A12F46"/>
    <w:rsid w:val="00A139CA"/>
    <w:rsid w:val="00A13BE7"/>
    <w:rsid w:val="00A13E58"/>
    <w:rsid w:val="00A14192"/>
    <w:rsid w:val="00A1533F"/>
    <w:rsid w:val="00A158AF"/>
    <w:rsid w:val="00A176E9"/>
    <w:rsid w:val="00A20225"/>
    <w:rsid w:val="00A205B5"/>
    <w:rsid w:val="00A23F28"/>
    <w:rsid w:val="00A25341"/>
    <w:rsid w:val="00A25542"/>
    <w:rsid w:val="00A258DA"/>
    <w:rsid w:val="00A25B6B"/>
    <w:rsid w:val="00A25ED5"/>
    <w:rsid w:val="00A26F04"/>
    <w:rsid w:val="00A274C2"/>
    <w:rsid w:val="00A31333"/>
    <w:rsid w:val="00A31633"/>
    <w:rsid w:val="00A324A6"/>
    <w:rsid w:val="00A32968"/>
    <w:rsid w:val="00A33FC3"/>
    <w:rsid w:val="00A34132"/>
    <w:rsid w:val="00A34290"/>
    <w:rsid w:val="00A37E46"/>
    <w:rsid w:val="00A42E2D"/>
    <w:rsid w:val="00A4304E"/>
    <w:rsid w:val="00A447AD"/>
    <w:rsid w:val="00A45030"/>
    <w:rsid w:val="00A45615"/>
    <w:rsid w:val="00A473E6"/>
    <w:rsid w:val="00A47955"/>
    <w:rsid w:val="00A50847"/>
    <w:rsid w:val="00A52C8A"/>
    <w:rsid w:val="00A52D36"/>
    <w:rsid w:val="00A5449A"/>
    <w:rsid w:val="00A549F6"/>
    <w:rsid w:val="00A551F0"/>
    <w:rsid w:val="00A56E9C"/>
    <w:rsid w:val="00A578A4"/>
    <w:rsid w:val="00A60040"/>
    <w:rsid w:val="00A60440"/>
    <w:rsid w:val="00A617DF"/>
    <w:rsid w:val="00A623BB"/>
    <w:rsid w:val="00A62A19"/>
    <w:rsid w:val="00A649B1"/>
    <w:rsid w:val="00A64DC4"/>
    <w:rsid w:val="00A65E0D"/>
    <w:rsid w:val="00A66A2C"/>
    <w:rsid w:val="00A66F12"/>
    <w:rsid w:val="00A6728D"/>
    <w:rsid w:val="00A679EE"/>
    <w:rsid w:val="00A70767"/>
    <w:rsid w:val="00A71905"/>
    <w:rsid w:val="00A71F2D"/>
    <w:rsid w:val="00A7200F"/>
    <w:rsid w:val="00A73366"/>
    <w:rsid w:val="00A7455C"/>
    <w:rsid w:val="00A7539A"/>
    <w:rsid w:val="00A76B97"/>
    <w:rsid w:val="00A824CC"/>
    <w:rsid w:val="00A841C0"/>
    <w:rsid w:val="00A8649C"/>
    <w:rsid w:val="00A9059A"/>
    <w:rsid w:val="00A92915"/>
    <w:rsid w:val="00A92DE8"/>
    <w:rsid w:val="00A93188"/>
    <w:rsid w:val="00A93753"/>
    <w:rsid w:val="00A94483"/>
    <w:rsid w:val="00A95387"/>
    <w:rsid w:val="00AA0E33"/>
    <w:rsid w:val="00AA19E9"/>
    <w:rsid w:val="00AA3A9F"/>
    <w:rsid w:val="00AA46A2"/>
    <w:rsid w:val="00AA47A1"/>
    <w:rsid w:val="00AA7963"/>
    <w:rsid w:val="00AB1E33"/>
    <w:rsid w:val="00AB2165"/>
    <w:rsid w:val="00AB3013"/>
    <w:rsid w:val="00AB3873"/>
    <w:rsid w:val="00AB3930"/>
    <w:rsid w:val="00AB3F27"/>
    <w:rsid w:val="00AB4461"/>
    <w:rsid w:val="00AB4573"/>
    <w:rsid w:val="00AB5300"/>
    <w:rsid w:val="00AB6BF0"/>
    <w:rsid w:val="00AB6CEB"/>
    <w:rsid w:val="00AC2A13"/>
    <w:rsid w:val="00AC2A41"/>
    <w:rsid w:val="00AC33E8"/>
    <w:rsid w:val="00AC4535"/>
    <w:rsid w:val="00AC4E66"/>
    <w:rsid w:val="00AC51B1"/>
    <w:rsid w:val="00AC6F04"/>
    <w:rsid w:val="00AD1473"/>
    <w:rsid w:val="00AD1499"/>
    <w:rsid w:val="00AD1A64"/>
    <w:rsid w:val="00AD255C"/>
    <w:rsid w:val="00AD2C6D"/>
    <w:rsid w:val="00AD2D81"/>
    <w:rsid w:val="00AD2E02"/>
    <w:rsid w:val="00AD3520"/>
    <w:rsid w:val="00AD3E2A"/>
    <w:rsid w:val="00AD408B"/>
    <w:rsid w:val="00AD4121"/>
    <w:rsid w:val="00AD4C83"/>
    <w:rsid w:val="00AD4EE5"/>
    <w:rsid w:val="00AD6077"/>
    <w:rsid w:val="00AD6151"/>
    <w:rsid w:val="00AD634B"/>
    <w:rsid w:val="00AD74F8"/>
    <w:rsid w:val="00AD7B74"/>
    <w:rsid w:val="00AE0AE3"/>
    <w:rsid w:val="00AE1507"/>
    <w:rsid w:val="00AE16E3"/>
    <w:rsid w:val="00AE3DDE"/>
    <w:rsid w:val="00AE4C9A"/>
    <w:rsid w:val="00AF0021"/>
    <w:rsid w:val="00AF18BF"/>
    <w:rsid w:val="00AF1E0C"/>
    <w:rsid w:val="00AF2CF9"/>
    <w:rsid w:val="00AF3DA4"/>
    <w:rsid w:val="00AF5A81"/>
    <w:rsid w:val="00AF6003"/>
    <w:rsid w:val="00AF7891"/>
    <w:rsid w:val="00B01B1B"/>
    <w:rsid w:val="00B0449F"/>
    <w:rsid w:val="00B0596D"/>
    <w:rsid w:val="00B05B5C"/>
    <w:rsid w:val="00B06924"/>
    <w:rsid w:val="00B07224"/>
    <w:rsid w:val="00B07668"/>
    <w:rsid w:val="00B106D6"/>
    <w:rsid w:val="00B10E6C"/>
    <w:rsid w:val="00B1369B"/>
    <w:rsid w:val="00B1382F"/>
    <w:rsid w:val="00B16E68"/>
    <w:rsid w:val="00B17210"/>
    <w:rsid w:val="00B175DC"/>
    <w:rsid w:val="00B20057"/>
    <w:rsid w:val="00B20959"/>
    <w:rsid w:val="00B20C78"/>
    <w:rsid w:val="00B20FEA"/>
    <w:rsid w:val="00B22F78"/>
    <w:rsid w:val="00B23E92"/>
    <w:rsid w:val="00B24931"/>
    <w:rsid w:val="00B2603A"/>
    <w:rsid w:val="00B274A6"/>
    <w:rsid w:val="00B314B2"/>
    <w:rsid w:val="00B315B5"/>
    <w:rsid w:val="00B3318F"/>
    <w:rsid w:val="00B33AFC"/>
    <w:rsid w:val="00B33C19"/>
    <w:rsid w:val="00B3412F"/>
    <w:rsid w:val="00B345C1"/>
    <w:rsid w:val="00B34CB5"/>
    <w:rsid w:val="00B34F7A"/>
    <w:rsid w:val="00B37C41"/>
    <w:rsid w:val="00B4072D"/>
    <w:rsid w:val="00B422C2"/>
    <w:rsid w:val="00B4366E"/>
    <w:rsid w:val="00B44F8C"/>
    <w:rsid w:val="00B45EE8"/>
    <w:rsid w:val="00B51634"/>
    <w:rsid w:val="00B54DE0"/>
    <w:rsid w:val="00B54DE4"/>
    <w:rsid w:val="00B56F83"/>
    <w:rsid w:val="00B57D60"/>
    <w:rsid w:val="00B6105A"/>
    <w:rsid w:val="00B61D38"/>
    <w:rsid w:val="00B61E5E"/>
    <w:rsid w:val="00B63007"/>
    <w:rsid w:val="00B67F92"/>
    <w:rsid w:val="00B706AB"/>
    <w:rsid w:val="00B706E7"/>
    <w:rsid w:val="00B71272"/>
    <w:rsid w:val="00B76C92"/>
    <w:rsid w:val="00B76F15"/>
    <w:rsid w:val="00B776B3"/>
    <w:rsid w:val="00B776E4"/>
    <w:rsid w:val="00B80F7E"/>
    <w:rsid w:val="00B829AE"/>
    <w:rsid w:val="00B8336E"/>
    <w:rsid w:val="00B8492B"/>
    <w:rsid w:val="00B84BC0"/>
    <w:rsid w:val="00B85061"/>
    <w:rsid w:val="00B859B8"/>
    <w:rsid w:val="00B85A49"/>
    <w:rsid w:val="00B87C37"/>
    <w:rsid w:val="00B90EA8"/>
    <w:rsid w:val="00B93A92"/>
    <w:rsid w:val="00B94AF4"/>
    <w:rsid w:val="00B95557"/>
    <w:rsid w:val="00B95571"/>
    <w:rsid w:val="00BA202C"/>
    <w:rsid w:val="00BA213E"/>
    <w:rsid w:val="00BA3A39"/>
    <w:rsid w:val="00BA3D9A"/>
    <w:rsid w:val="00BA48E3"/>
    <w:rsid w:val="00BA5C98"/>
    <w:rsid w:val="00BA6919"/>
    <w:rsid w:val="00BA76F0"/>
    <w:rsid w:val="00BB1918"/>
    <w:rsid w:val="00BB209F"/>
    <w:rsid w:val="00BB52E2"/>
    <w:rsid w:val="00BB5EA5"/>
    <w:rsid w:val="00BB6F53"/>
    <w:rsid w:val="00BC281D"/>
    <w:rsid w:val="00BC3C39"/>
    <w:rsid w:val="00BC6094"/>
    <w:rsid w:val="00BC64BA"/>
    <w:rsid w:val="00BC6BB4"/>
    <w:rsid w:val="00BC7D06"/>
    <w:rsid w:val="00BC7FCC"/>
    <w:rsid w:val="00BD0532"/>
    <w:rsid w:val="00BD1499"/>
    <w:rsid w:val="00BD21C6"/>
    <w:rsid w:val="00BD32EC"/>
    <w:rsid w:val="00BD5136"/>
    <w:rsid w:val="00BD58B9"/>
    <w:rsid w:val="00BD6FBF"/>
    <w:rsid w:val="00BD704A"/>
    <w:rsid w:val="00BD7069"/>
    <w:rsid w:val="00BD7896"/>
    <w:rsid w:val="00BD7907"/>
    <w:rsid w:val="00BE0110"/>
    <w:rsid w:val="00BE0181"/>
    <w:rsid w:val="00BE058D"/>
    <w:rsid w:val="00BE0F34"/>
    <w:rsid w:val="00BE1DCE"/>
    <w:rsid w:val="00BE7388"/>
    <w:rsid w:val="00BF0769"/>
    <w:rsid w:val="00BF18E1"/>
    <w:rsid w:val="00BF22C1"/>
    <w:rsid w:val="00BF2937"/>
    <w:rsid w:val="00BF306A"/>
    <w:rsid w:val="00BF3187"/>
    <w:rsid w:val="00BF4BB1"/>
    <w:rsid w:val="00BF5747"/>
    <w:rsid w:val="00BF6623"/>
    <w:rsid w:val="00BF6639"/>
    <w:rsid w:val="00BF7532"/>
    <w:rsid w:val="00BF767A"/>
    <w:rsid w:val="00BF76A4"/>
    <w:rsid w:val="00BF7976"/>
    <w:rsid w:val="00C01999"/>
    <w:rsid w:val="00C01EAF"/>
    <w:rsid w:val="00C03330"/>
    <w:rsid w:val="00C033D8"/>
    <w:rsid w:val="00C046E5"/>
    <w:rsid w:val="00C053FE"/>
    <w:rsid w:val="00C0620E"/>
    <w:rsid w:val="00C06F11"/>
    <w:rsid w:val="00C06F65"/>
    <w:rsid w:val="00C10078"/>
    <w:rsid w:val="00C10E71"/>
    <w:rsid w:val="00C1178A"/>
    <w:rsid w:val="00C118FD"/>
    <w:rsid w:val="00C12411"/>
    <w:rsid w:val="00C13068"/>
    <w:rsid w:val="00C131FE"/>
    <w:rsid w:val="00C13A44"/>
    <w:rsid w:val="00C14C40"/>
    <w:rsid w:val="00C14DEE"/>
    <w:rsid w:val="00C16F96"/>
    <w:rsid w:val="00C228E9"/>
    <w:rsid w:val="00C23CCD"/>
    <w:rsid w:val="00C26834"/>
    <w:rsid w:val="00C26FA8"/>
    <w:rsid w:val="00C27C87"/>
    <w:rsid w:val="00C3118D"/>
    <w:rsid w:val="00C33F6D"/>
    <w:rsid w:val="00C350C5"/>
    <w:rsid w:val="00C36E29"/>
    <w:rsid w:val="00C40023"/>
    <w:rsid w:val="00C40317"/>
    <w:rsid w:val="00C4094C"/>
    <w:rsid w:val="00C40BBD"/>
    <w:rsid w:val="00C41E68"/>
    <w:rsid w:val="00C434ED"/>
    <w:rsid w:val="00C435D2"/>
    <w:rsid w:val="00C44756"/>
    <w:rsid w:val="00C46AAC"/>
    <w:rsid w:val="00C46CD3"/>
    <w:rsid w:val="00C47AC1"/>
    <w:rsid w:val="00C50B77"/>
    <w:rsid w:val="00C51A62"/>
    <w:rsid w:val="00C5267A"/>
    <w:rsid w:val="00C53268"/>
    <w:rsid w:val="00C5330E"/>
    <w:rsid w:val="00C55016"/>
    <w:rsid w:val="00C5518A"/>
    <w:rsid w:val="00C553CA"/>
    <w:rsid w:val="00C55515"/>
    <w:rsid w:val="00C555B4"/>
    <w:rsid w:val="00C5574D"/>
    <w:rsid w:val="00C55E9C"/>
    <w:rsid w:val="00C60163"/>
    <w:rsid w:val="00C626E8"/>
    <w:rsid w:val="00C63E8D"/>
    <w:rsid w:val="00C63EF2"/>
    <w:rsid w:val="00C64BD3"/>
    <w:rsid w:val="00C656D0"/>
    <w:rsid w:val="00C665E0"/>
    <w:rsid w:val="00C66D0B"/>
    <w:rsid w:val="00C66FA9"/>
    <w:rsid w:val="00C6704C"/>
    <w:rsid w:val="00C70A69"/>
    <w:rsid w:val="00C7225E"/>
    <w:rsid w:val="00C7240A"/>
    <w:rsid w:val="00C75C4F"/>
    <w:rsid w:val="00C76A3B"/>
    <w:rsid w:val="00C76B31"/>
    <w:rsid w:val="00C80479"/>
    <w:rsid w:val="00C80D48"/>
    <w:rsid w:val="00C81105"/>
    <w:rsid w:val="00C81265"/>
    <w:rsid w:val="00C82185"/>
    <w:rsid w:val="00C82989"/>
    <w:rsid w:val="00C83D71"/>
    <w:rsid w:val="00C84A12"/>
    <w:rsid w:val="00C85040"/>
    <w:rsid w:val="00C8556F"/>
    <w:rsid w:val="00C8633B"/>
    <w:rsid w:val="00C86C12"/>
    <w:rsid w:val="00C86DB5"/>
    <w:rsid w:val="00C87DB7"/>
    <w:rsid w:val="00C90731"/>
    <w:rsid w:val="00C910F2"/>
    <w:rsid w:val="00C921B3"/>
    <w:rsid w:val="00C92F58"/>
    <w:rsid w:val="00C9320F"/>
    <w:rsid w:val="00C966F9"/>
    <w:rsid w:val="00C96F6F"/>
    <w:rsid w:val="00C972EB"/>
    <w:rsid w:val="00CA0628"/>
    <w:rsid w:val="00CA1535"/>
    <w:rsid w:val="00CA4E55"/>
    <w:rsid w:val="00CA5E3A"/>
    <w:rsid w:val="00CA6C5B"/>
    <w:rsid w:val="00CA6D07"/>
    <w:rsid w:val="00CA71FF"/>
    <w:rsid w:val="00CA7875"/>
    <w:rsid w:val="00CA7CB3"/>
    <w:rsid w:val="00CA7E0A"/>
    <w:rsid w:val="00CB041C"/>
    <w:rsid w:val="00CB155F"/>
    <w:rsid w:val="00CB1DDF"/>
    <w:rsid w:val="00CB223E"/>
    <w:rsid w:val="00CB2A4C"/>
    <w:rsid w:val="00CB2AD9"/>
    <w:rsid w:val="00CB3C06"/>
    <w:rsid w:val="00CB7B7B"/>
    <w:rsid w:val="00CC0D78"/>
    <w:rsid w:val="00CC13F5"/>
    <w:rsid w:val="00CC36CE"/>
    <w:rsid w:val="00CC3C01"/>
    <w:rsid w:val="00CC4E67"/>
    <w:rsid w:val="00CC5671"/>
    <w:rsid w:val="00CC707D"/>
    <w:rsid w:val="00CC7325"/>
    <w:rsid w:val="00CD029C"/>
    <w:rsid w:val="00CD2A5E"/>
    <w:rsid w:val="00CD2B45"/>
    <w:rsid w:val="00CD4887"/>
    <w:rsid w:val="00CD50B8"/>
    <w:rsid w:val="00CD5CED"/>
    <w:rsid w:val="00CD6A0F"/>
    <w:rsid w:val="00CD6D45"/>
    <w:rsid w:val="00CE2209"/>
    <w:rsid w:val="00CE3349"/>
    <w:rsid w:val="00CE3EB2"/>
    <w:rsid w:val="00CE4DAE"/>
    <w:rsid w:val="00CE4E20"/>
    <w:rsid w:val="00CE6313"/>
    <w:rsid w:val="00CE6AAB"/>
    <w:rsid w:val="00CE6D2B"/>
    <w:rsid w:val="00CE7190"/>
    <w:rsid w:val="00CE72A8"/>
    <w:rsid w:val="00CE7C6B"/>
    <w:rsid w:val="00CE7F1D"/>
    <w:rsid w:val="00CF182E"/>
    <w:rsid w:val="00CF3578"/>
    <w:rsid w:val="00CF471E"/>
    <w:rsid w:val="00CF5E9C"/>
    <w:rsid w:val="00D03ED8"/>
    <w:rsid w:val="00D042B4"/>
    <w:rsid w:val="00D04B83"/>
    <w:rsid w:val="00D05033"/>
    <w:rsid w:val="00D05BD5"/>
    <w:rsid w:val="00D0650D"/>
    <w:rsid w:val="00D07A3A"/>
    <w:rsid w:val="00D103E6"/>
    <w:rsid w:val="00D12342"/>
    <w:rsid w:val="00D1241B"/>
    <w:rsid w:val="00D12696"/>
    <w:rsid w:val="00D13C62"/>
    <w:rsid w:val="00D1486C"/>
    <w:rsid w:val="00D16717"/>
    <w:rsid w:val="00D1777A"/>
    <w:rsid w:val="00D22EB7"/>
    <w:rsid w:val="00D24267"/>
    <w:rsid w:val="00D24A3B"/>
    <w:rsid w:val="00D258D5"/>
    <w:rsid w:val="00D278D9"/>
    <w:rsid w:val="00D30237"/>
    <w:rsid w:val="00D30D07"/>
    <w:rsid w:val="00D32E78"/>
    <w:rsid w:val="00D3543D"/>
    <w:rsid w:val="00D35EAB"/>
    <w:rsid w:val="00D37016"/>
    <w:rsid w:val="00D4005B"/>
    <w:rsid w:val="00D41A2E"/>
    <w:rsid w:val="00D44B27"/>
    <w:rsid w:val="00D46CA0"/>
    <w:rsid w:val="00D47542"/>
    <w:rsid w:val="00D50CD3"/>
    <w:rsid w:val="00D50D0A"/>
    <w:rsid w:val="00D51A86"/>
    <w:rsid w:val="00D51B11"/>
    <w:rsid w:val="00D51F99"/>
    <w:rsid w:val="00D54A82"/>
    <w:rsid w:val="00D54AF3"/>
    <w:rsid w:val="00D560F4"/>
    <w:rsid w:val="00D57D17"/>
    <w:rsid w:val="00D62B78"/>
    <w:rsid w:val="00D6485C"/>
    <w:rsid w:val="00D664F0"/>
    <w:rsid w:val="00D66B40"/>
    <w:rsid w:val="00D67F3A"/>
    <w:rsid w:val="00D71BAA"/>
    <w:rsid w:val="00D74CA8"/>
    <w:rsid w:val="00D76DDE"/>
    <w:rsid w:val="00D773EF"/>
    <w:rsid w:val="00D77A2E"/>
    <w:rsid w:val="00D77EDC"/>
    <w:rsid w:val="00D80D38"/>
    <w:rsid w:val="00D80DD0"/>
    <w:rsid w:val="00D842C7"/>
    <w:rsid w:val="00D857EB"/>
    <w:rsid w:val="00D877D0"/>
    <w:rsid w:val="00D87D27"/>
    <w:rsid w:val="00D90EDF"/>
    <w:rsid w:val="00D911BE"/>
    <w:rsid w:val="00D93446"/>
    <w:rsid w:val="00D93CBC"/>
    <w:rsid w:val="00D9685F"/>
    <w:rsid w:val="00D96EA4"/>
    <w:rsid w:val="00D96EBD"/>
    <w:rsid w:val="00DA0267"/>
    <w:rsid w:val="00DA3214"/>
    <w:rsid w:val="00DA35C5"/>
    <w:rsid w:val="00DA40EE"/>
    <w:rsid w:val="00DA4C81"/>
    <w:rsid w:val="00DA5822"/>
    <w:rsid w:val="00DA5E72"/>
    <w:rsid w:val="00DA65AE"/>
    <w:rsid w:val="00DA6837"/>
    <w:rsid w:val="00DA6CA6"/>
    <w:rsid w:val="00DB12B9"/>
    <w:rsid w:val="00DB1913"/>
    <w:rsid w:val="00DB1F46"/>
    <w:rsid w:val="00DB2B93"/>
    <w:rsid w:val="00DB2F77"/>
    <w:rsid w:val="00DB30A9"/>
    <w:rsid w:val="00DB4011"/>
    <w:rsid w:val="00DB4242"/>
    <w:rsid w:val="00DB4559"/>
    <w:rsid w:val="00DB477A"/>
    <w:rsid w:val="00DB5312"/>
    <w:rsid w:val="00DB5413"/>
    <w:rsid w:val="00DB56E7"/>
    <w:rsid w:val="00DB5825"/>
    <w:rsid w:val="00DB6E91"/>
    <w:rsid w:val="00DB71D2"/>
    <w:rsid w:val="00DB7B36"/>
    <w:rsid w:val="00DB7F59"/>
    <w:rsid w:val="00DC0487"/>
    <w:rsid w:val="00DC107A"/>
    <w:rsid w:val="00DC1710"/>
    <w:rsid w:val="00DC23F8"/>
    <w:rsid w:val="00DC3CE4"/>
    <w:rsid w:val="00DC6E02"/>
    <w:rsid w:val="00DC7D57"/>
    <w:rsid w:val="00DD02FB"/>
    <w:rsid w:val="00DD0364"/>
    <w:rsid w:val="00DD16A7"/>
    <w:rsid w:val="00DD1F68"/>
    <w:rsid w:val="00DD29E8"/>
    <w:rsid w:val="00DD3948"/>
    <w:rsid w:val="00DD4086"/>
    <w:rsid w:val="00DD4FAB"/>
    <w:rsid w:val="00DD5503"/>
    <w:rsid w:val="00DD5A9D"/>
    <w:rsid w:val="00DD6516"/>
    <w:rsid w:val="00DD76C1"/>
    <w:rsid w:val="00DD7E13"/>
    <w:rsid w:val="00DE0994"/>
    <w:rsid w:val="00DE365F"/>
    <w:rsid w:val="00DE3F4A"/>
    <w:rsid w:val="00DE48C0"/>
    <w:rsid w:val="00DE5205"/>
    <w:rsid w:val="00DE5FEB"/>
    <w:rsid w:val="00DF00B9"/>
    <w:rsid w:val="00DF0425"/>
    <w:rsid w:val="00DF1429"/>
    <w:rsid w:val="00DF2568"/>
    <w:rsid w:val="00DF2AA5"/>
    <w:rsid w:val="00DF34D0"/>
    <w:rsid w:val="00DF4C18"/>
    <w:rsid w:val="00DF67C1"/>
    <w:rsid w:val="00DF7C6B"/>
    <w:rsid w:val="00E00B04"/>
    <w:rsid w:val="00E00D04"/>
    <w:rsid w:val="00E010B0"/>
    <w:rsid w:val="00E01992"/>
    <w:rsid w:val="00E01ADE"/>
    <w:rsid w:val="00E02ECB"/>
    <w:rsid w:val="00E0522D"/>
    <w:rsid w:val="00E1004A"/>
    <w:rsid w:val="00E108E6"/>
    <w:rsid w:val="00E120E0"/>
    <w:rsid w:val="00E132DB"/>
    <w:rsid w:val="00E13DC4"/>
    <w:rsid w:val="00E14115"/>
    <w:rsid w:val="00E14121"/>
    <w:rsid w:val="00E16007"/>
    <w:rsid w:val="00E16F0B"/>
    <w:rsid w:val="00E170E5"/>
    <w:rsid w:val="00E171D6"/>
    <w:rsid w:val="00E201B9"/>
    <w:rsid w:val="00E20982"/>
    <w:rsid w:val="00E2115E"/>
    <w:rsid w:val="00E212F5"/>
    <w:rsid w:val="00E233A2"/>
    <w:rsid w:val="00E25BCC"/>
    <w:rsid w:val="00E25DDA"/>
    <w:rsid w:val="00E25EF8"/>
    <w:rsid w:val="00E25EFE"/>
    <w:rsid w:val="00E26E48"/>
    <w:rsid w:val="00E2754B"/>
    <w:rsid w:val="00E27E35"/>
    <w:rsid w:val="00E30DD8"/>
    <w:rsid w:val="00E314F8"/>
    <w:rsid w:val="00E33D96"/>
    <w:rsid w:val="00E34069"/>
    <w:rsid w:val="00E40B0C"/>
    <w:rsid w:val="00E4123C"/>
    <w:rsid w:val="00E41C84"/>
    <w:rsid w:val="00E42688"/>
    <w:rsid w:val="00E43A19"/>
    <w:rsid w:val="00E44CAB"/>
    <w:rsid w:val="00E45AE5"/>
    <w:rsid w:val="00E45D05"/>
    <w:rsid w:val="00E46C2E"/>
    <w:rsid w:val="00E470B6"/>
    <w:rsid w:val="00E47AA4"/>
    <w:rsid w:val="00E50DAC"/>
    <w:rsid w:val="00E542F9"/>
    <w:rsid w:val="00E543D3"/>
    <w:rsid w:val="00E55E49"/>
    <w:rsid w:val="00E56095"/>
    <w:rsid w:val="00E61F39"/>
    <w:rsid w:val="00E62232"/>
    <w:rsid w:val="00E631EB"/>
    <w:rsid w:val="00E633B5"/>
    <w:rsid w:val="00E643FA"/>
    <w:rsid w:val="00E64AB1"/>
    <w:rsid w:val="00E65CFA"/>
    <w:rsid w:val="00E665A9"/>
    <w:rsid w:val="00E725C5"/>
    <w:rsid w:val="00E726F5"/>
    <w:rsid w:val="00E72A8A"/>
    <w:rsid w:val="00E72B53"/>
    <w:rsid w:val="00E745B9"/>
    <w:rsid w:val="00E74B97"/>
    <w:rsid w:val="00E76830"/>
    <w:rsid w:val="00E77DDF"/>
    <w:rsid w:val="00E838DA"/>
    <w:rsid w:val="00E84BFB"/>
    <w:rsid w:val="00E84F6E"/>
    <w:rsid w:val="00E8522A"/>
    <w:rsid w:val="00E866A9"/>
    <w:rsid w:val="00E86917"/>
    <w:rsid w:val="00E9068B"/>
    <w:rsid w:val="00E90A62"/>
    <w:rsid w:val="00E910C7"/>
    <w:rsid w:val="00E911D1"/>
    <w:rsid w:val="00E93078"/>
    <w:rsid w:val="00E9381C"/>
    <w:rsid w:val="00E93E0E"/>
    <w:rsid w:val="00E96CD7"/>
    <w:rsid w:val="00E97B09"/>
    <w:rsid w:val="00EA0CDA"/>
    <w:rsid w:val="00EA19FE"/>
    <w:rsid w:val="00EA2E9A"/>
    <w:rsid w:val="00EA35A9"/>
    <w:rsid w:val="00EA4079"/>
    <w:rsid w:val="00EA4E7D"/>
    <w:rsid w:val="00EA52DE"/>
    <w:rsid w:val="00EA57FE"/>
    <w:rsid w:val="00EA7E58"/>
    <w:rsid w:val="00EB0181"/>
    <w:rsid w:val="00EB095F"/>
    <w:rsid w:val="00EB0B2C"/>
    <w:rsid w:val="00EB0E77"/>
    <w:rsid w:val="00EB19E6"/>
    <w:rsid w:val="00EB20D3"/>
    <w:rsid w:val="00EB2D55"/>
    <w:rsid w:val="00EB5BBA"/>
    <w:rsid w:val="00EB6BA0"/>
    <w:rsid w:val="00EB6CC9"/>
    <w:rsid w:val="00EB719B"/>
    <w:rsid w:val="00EB7ACD"/>
    <w:rsid w:val="00EB7B3D"/>
    <w:rsid w:val="00EC08CA"/>
    <w:rsid w:val="00EC18DA"/>
    <w:rsid w:val="00EC2AE1"/>
    <w:rsid w:val="00EC2D2B"/>
    <w:rsid w:val="00EC4CC2"/>
    <w:rsid w:val="00EC5669"/>
    <w:rsid w:val="00EC6328"/>
    <w:rsid w:val="00EC6900"/>
    <w:rsid w:val="00ED0F0E"/>
    <w:rsid w:val="00ED1805"/>
    <w:rsid w:val="00ED470C"/>
    <w:rsid w:val="00ED5435"/>
    <w:rsid w:val="00ED77DF"/>
    <w:rsid w:val="00EE030C"/>
    <w:rsid w:val="00EE046A"/>
    <w:rsid w:val="00EE0494"/>
    <w:rsid w:val="00EE1818"/>
    <w:rsid w:val="00EE5783"/>
    <w:rsid w:val="00EE57D9"/>
    <w:rsid w:val="00EE5B31"/>
    <w:rsid w:val="00EE6E15"/>
    <w:rsid w:val="00EE7787"/>
    <w:rsid w:val="00EE7ED5"/>
    <w:rsid w:val="00EF276E"/>
    <w:rsid w:val="00EF37AD"/>
    <w:rsid w:val="00EF3C3B"/>
    <w:rsid w:val="00EF402A"/>
    <w:rsid w:val="00EF707E"/>
    <w:rsid w:val="00EF7296"/>
    <w:rsid w:val="00EF74C1"/>
    <w:rsid w:val="00EF751B"/>
    <w:rsid w:val="00EF7FBC"/>
    <w:rsid w:val="00F00DCC"/>
    <w:rsid w:val="00F01666"/>
    <w:rsid w:val="00F01D8B"/>
    <w:rsid w:val="00F02090"/>
    <w:rsid w:val="00F025A7"/>
    <w:rsid w:val="00F056F5"/>
    <w:rsid w:val="00F059A3"/>
    <w:rsid w:val="00F06829"/>
    <w:rsid w:val="00F07E61"/>
    <w:rsid w:val="00F1001C"/>
    <w:rsid w:val="00F10E0E"/>
    <w:rsid w:val="00F1259A"/>
    <w:rsid w:val="00F16598"/>
    <w:rsid w:val="00F17367"/>
    <w:rsid w:val="00F176B0"/>
    <w:rsid w:val="00F179F9"/>
    <w:rsid w:val="00F17BFE"/>
    <w:rsid w:val="00F17C0E"/>
    <w:rsid w:val="00F20158"/>
    <w:rsid w:val="00F226C4"/>
    <w:rsid w:val="00F227B4"/>
    <w:rsid w:val="00F246F7"/>
    <w:rsid w:val="00F25CF4"/>
    <w:rsid w:val="00F30C6A"/>
    <w:rsid w:val="00F31621"/>
    <w:rsid w:val="00F31BD8"/>
    <w:rsid w:val="00F326FD"/>
    <w:rsid w:val="00F348BF"/>
    <w:rsid w:val="00F35F7C"/>
    <w:rsid w:val="00F36781"/>
    <w:rsid w:val="00F374DA"/>
    <w:rsid w:val="00F40A62"/>
    <w:rsid w:val="00F40D27"/>
    <w:rsid w:val="00F41ADC"/>
    <w:rsid w:val="00F421F4"/>
    <w:rsid w:val="00F4226C"/>
    <w:rsid w:val="00F4486F"/>
    <w:rsid w:val="00F44C4C"/>
    <w:rsid w:val="00F454E0"/>
    <w:rsid w:val="00F472DC"/>
    <w:rsid w:val="00F475F8"/>
    <w:rsid w:val="00F5043C"/>
    <w:rsid w:val="00F51AF3"/>
    <w:rsid w:val="00F526E0"/>
    <w:rsid w:val="00F52D35"/>
    <w:rsid w:val="00F53D81"/>
    <w:rsid w:val="00F5417E"/>
    <w:rsid w:val="00F55D67"/>
    <w:rsid w:val="00F56BEA"/>
    <w:rsid w:val="00F610C7"/>
    <w:rsid w:val="00F621BC"/>
    <w:rsid w:val="00F62FE9"/>
    <w:rsid w:val="00F631B4"/>
    <w:rsid w:val="00F6336B"/>
    <w:rsid w:val="00F63885"/>
    <w:rsid w:val="00F67FE8"/>
    <w:rsid w:val="00F701D2"/>
    <w:rsid w:val="00F70928"/>
    <w:rsid w:val="00F70CF1"/>
    <w:rsid w:val="00F71910"/>
    <w:rsid w:val="00F73248"/>
    <w:rsid w:val="00F73787"/>
    <w:rsid w:val="00F772AE"/>
    <w:rsid w:val="00F804A0"/>
    <w:rsid w:val="00F815D7"/>
    <w:rsid w:val="00F81AC7"/>
    <w:rsid w:val="00F82AFB"/>
    <w:rsid w:val="00F82B17"/>
    <w:rsid w:val="00F84945"/>
    <w:rsid w:val="00F852C0"/>
    <w:rsid w:val="00F856D8"/>
    <w:rsid w:val="00F87668"/>
    <w:rsid w:val="00F91631"/>
    <w:rsid w:val="00F9210B"/>
    <w:rsid w:val="00F92E18"/>
    <w:rsid w:val="00F92E22"/>
    <w:rsid w:val="00F96114"/>
    <w:rsid w:val="00F97C8F"/>
    <w:rsid w:val="00FA0820"/>
    <w:rsid w:val="00FA1117"/>
    <w:rsid w:val="00FA1E8E"/>
    <w:rsid w:val="00FA2938"/>
    <w:rsid w:val="00FA3A7F"/>
    <w:rsid w:val="00FA52E3"/>
    <w:rsid w:val="00FA7774"/>
    <w:rsid w:val="00FA7F13"/>
    <w:rsid w:val="00FB0B31"/>
    <w:rsid w:val="00FB3244"/>
    <w:rsid w:val="00FB4312"/>
    <w:rsid w:val="00FB4D42"/>
    <w:rsid w:val="00FB4DF3"/>
    <w:rsid w:val="00FB52E4"/>
    <w:rsid w:val="00FB6F33"/>
    <w:rsid w:val="00FC34BC"/>
    <w:rsid w:val="00FC41B8"/>
    <w:rsid w:val="00FC4344"/>
    <w:rsid w:val="00FC63D8"/>
    <w:rsid w:val="00FD07E4"/>
    <w:rsid w:val="00FD125E"/>
    <w:rsid w:val="00FD25BD"/>
    <w:rsid w:val="00FD3246"/>
    <w:rsid w:val="00FD4512"/>
    <w:rsid w:val="00FD4EC7"/>
    <w:rsid w:val="00FD635D"/>
    <w:rsid w:val="00FD714E"/>
    <w:rsid w:val="00FE1995"/>
    <w:rsid w:val="00FE4D1A"/>
    <w:rsid w:val="00FE5987"/>
    <w:rsid w:val="00FE7133"/>
    <w:rsid w:val="00FF04EC"/>
    <w:rsid w:val="00FF4021"/>
    <w:rsid w:val="00FF47D4"/>
    <w:rsid w:val="00FF494E"/>
    <w:rsid w:val="00FF4BB8"/>
    <w:rsid w:val="00FF75E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C7DD"/>
  <w15:chartTrackingRefBased/>
  <w15:docId w15:val="{9FF5EB6C-3A8D-4E2D-8306-A9D705F3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6F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596F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16655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9946D8"/>
  </w:style>
  <w:style w:type="character" w:customStyle="1" w:styleId="uos-sighted">
    <w:name w:val="uos-sighted"/>
    <w:basedOn w:val="DefaultParagraphFont"/>
    <w:rsid w:val="0017518A"/>
  </w:style>
  <w:style w:type="character" w:styleId="Hyperlink">
    <w:name w:val="Hyperlink"/>
    <w:basedOn w:val="DefaultParagraphFont"/>
    <w:uiPriority w:val="99"/>
    <w:unhideWhenUsed/>
    <w:rsid w:val="00936426"/>
    <w:rPr>
      <w:color w:val="0563C1" w:themeColor="hyperlink"/>
      <w:u w:val="single"/>
    </w:rPr>
  </w:style>
  <w:style w:type="character" w:styleId="FollowedHyperlink">
    <w:name w:val="FollowedHyperlink"/>
    <w:basedOn w:val="DefaultParagraphFont"/>
    <w:uiPriority w:val="99"/>
    <w:semiHidden/>
    <w:unhideWhenUsed/>
    <w:rsid w:val="0050664C"/>
    <w:rPr>
      <w:color w:val="954F72" w:themeColor="followedHyperlink"/>
      <w:u w:val="single"/>
    </w:rPr>
  </w:style>
  <w:style w:type="character" w:customStyle="1" w:styleId="personname">
    <w:name w:val="person_name"/>
    <w:basedOn w:val="DefaultParagraphFont"/>
    <w:rsid w:val="00432507"/>
  </w:style>
  <w:style w:type="table" w:customStyle="1" w:styleId="TableGrid2">
    <w:name w:val="Table Grid2"/>
    <w:basedOn w:val="TableNormal"/>
    <w:next w:val="TableGrid"/>
    <w:uiPriority w:val="59"/>
    <w:rsid w:val="00566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6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66D0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6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D02"/>
    <w:rPr>
      <w:rFonts w:ascii="Segoe UI" w:hAnsi="Segoe UI" w:cs="Segoe UI"/>
      <w:sz w:val="18"/>
      <w:szCs w:val="18"/>
    </w:rPr>
  </w:style>
  <w:style w:type="paragraph" w:styleId="FootnoteText">
    <w:name w:val="footnote text"/>
    <w:basedOn w:val="Normal"/>
    <w:link w:val="FootnoteTextChar"/>
    <w:uiPriority w:val="99"/>
    <w:unhideWhenUsed/>
    <w:rsid w:val="00616E84"/>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rsid w:val="00616E84"/>
    <w:rPr>
      <w:rFonts w:eastAsiaTheme="minorEastAsia"/>
      <w:sz w:val="20"/>
      <w:szCs w:val="20"/>
      <w:lang w:eastAsia="en-GB"/>
    </w:rPr>
  </w:style>
  <w:style w:type="character" w:styleId="FootnoteReference">
    <w:name w:val="footnote reference"/>
    <w:basedOn w:val="DefaultParagraphFont"/>
    <w:unhideWhenUsed/>
    <w:rsid w:val="00616E84"/>
    <w:rPr>
      <w:vertAlign w:val="superscript"/>
    </w:rPr>
  </w:style>
  <w:style w:type="paragraph" w:customStyle="1" w:styleId="NoteLevel11">
    <w:name w:val="Note Level 11"/>
    <w:basedOn w:val="Normal"/>
    <w:uiPriority w:val="99"/>
    <w:unhideWhenUsed/>
    <w:rsid w:val="00616E84"/>
    <w:pPr>
      <w:keepNext/>
      <w:numPr>
        <w:numId w:val="1"/>
      </w:numPr>
      <w:spacing w:before="120" w:after="0" w:line="360" w:lineRule="auto"/>
      <w:contextualSpacing/>
      <w:jc w:val="both"/>
      <w:outlineLvl w:val="0"/>
    </w:pPr>
    <w:rPr>
      <w:rFonts w:ascii="Verdana" w:eastAsia="MS Gothic" w:hAnsi="Verdana"/>
      <w:sz w:val="24"/>
    </w:rPr>
  </w:style>
  <w:style w:type="paragraph" w:customStyle="1" w:styleId="NoteLevel21">
    <w:name w:val="Note Level 21"/>
    <w:basedOn w:val="Normal"/>
    <w:uiPriority w:val="99"/>
    <w:unhideWhenUsed/>
    <w:rsid w:val="00616E84"/>
    <w:pPr>
      <w:keepNext/>
      <w:numPr>
        <w:ilvl w:val="1"/>
        <w:numId w:val="1"/>
      </w:numPr>
      <w:spacing w:before="120" w:after="0" w:line="360" w:lineRule="auto"/>
      <w:contextualSpacing/>
      <w:jc w:val="both"/>
      <w:outlineLvl w:val="1"/>
    </w:pPr>
    <w:rPr>
      <w:rFonts w:ascii="Verdana" w:eastAsia="MS Gothic" w:hAnsi="Verdana"/>
      <w:sz w:val="24"/>
    </w:rPr>
  </w:style>
  <w:style w:type="paragraph" w:customStyle="1" w:styleId="NoteLevel31">
    <w:name w:val="Note Level 31"/>
    <w:basedOn w:val="Normal"/>
    <w:uiPriority w:val="99"/>
    <w:semiHidden/>
    <w:unhideWhenUsed/>
    <w:rsid w:val="00616E84"/>
    <w:pPr>
      <w:keepNext/>
      <w:numPr>
        <w:ilvl w:val="2"/>
        <w:numId w:val="1"/>
      </w:numPr>
      <w:tabs>
        <w:tab w:val="clear" w:pos="1440"/>
        <w:tab w:val="num" w:pos="360"/>
      </w:tabs>
      <w:spacing w:before="120" w:after="0" w:line="360" w:lineRule="auto"/>
      <w:ind w:left="0" w:firstLine="0"/>
      <w:contextualSpacing/>
      <w:jc w:val="both"/>
      <w:outlineLvl w:val="2"/>
    </w:pPr>
    <w:rPr>
      <w:rFonts w:ascii="Verdana" w:eastAsia="MS Gothic" w:hAnsi="Verdana"/>
      <w:sz w:val="24"/>
    </w:rPr>
  </w:style>
  <w:style w:type="paragraph" w:customStyle="1" w:styleId="NoteLevel41">
    <w:name w:val="Note Level 41"/>
    <w:basedOn w:val="Normal"/>
    <w:uiPriority w:val="99"/>
    <w:semiHidden/>
    <w:unhideWhenUsed/>
    <w:rsid w:val="00616E84"/>
    <w:pPr>
      <w:keepNext/>
      <w:numPr>
        <w:ilvl w:val="3"/>
        <w:numId w:val="1"/>
      </w:numPr>
      <w:spacing w:before="120" w:after="0" w:line="360" w:lineRule="auto"/>
      <w:contextualSpacing/>
      <w:jc w:val="both"/>
      <w:outlineLvl w:val="3"/>
    </w:pPr>
    <w:rPr>
      <w:rFonts w:ascii="Verdana" w:eastAsia="MS Gothic" w:hAnsi="Verdana"/>
      <w:sz w:val="24"/>
    </w:rPr>
  </w:style>
  <w:style w:type="paragraph" w:customStyle="1" w:styleId="NoteLevel51">
    <w:name w:val="Note Level 51"/>
    <w:basedOn w:val="Normal"/>
    <w:uiPriority w:val="99"/>
    <w:semiHidden/>
    <w:unhideWhenUsed/>
    <w:rsid w:val="00616E84"/>
    <w:pPr>
      <w:keepNext/>
      <w:numPr>
        <w:ilvl w:val="4"/>
        <w:numId w:val="1"/>
      </w:numPr>
      <w:spacing w:before="120" w:after="0" w:line="360" w:lineRule="auto"/>
      <w:contextualSpacing/>
      <w:jc w:val="both"/>
      <w:outlineLvl w:val="4"/>
    </w:pPr>
    <w:rPr>
      <w:rFonts w:ascii="Verdana" w:eastAsia="MS Gothic" w:hAnsi="Verdana"/>
      <w:sz w:val="24"/>
    </w:rPr>
  </w:style>
  <w:style w:type="paragraph" w:customStyle="1" w:styleId="NoteLevel61">
    <w:name w:val="Note Level 61"/>
    <w:basedOn w:val="Normal"/>
    <w:uiPriority w:val="99"/>
    <w:semiHidden/>
    <w:unhideWhenUsed/>
    <w:rsid w:val="00616E84"/>
    <w:pPr>
      <w:keepNext/>
      <w:numPr>
        <w:ilvl w:val="5"/>
        <w:numId w:val="1"/>
      </w:numPr>
      <w:spacing w:before="120" w:after="0" w:line="360" w:lineRule="auto"/>
      <w:contextualSpacing/>
      <w:jc w:val="both"/>
      <w:outlineLvl w:val="5"/>
    </w:pPr>
    <w:rPr>
      <w:rFonts w:ascii="Verdana" w:eastAsia="MS Gothic" w:hAnsi="Verdana"/>
      <w:sz w:val="24"/>
    </w:rPr>
  </w:style>
  <w:style w:type="paragraph" w:customStyle="1" w:styleId="NoteLevel71">
    <w:name w:val="Note Level 71"/>
    <w:basedOn w:val="Normal"/>
    <w:uiPriority w:val="99"/>
    <w:semiHidden/>
    <w:unhideWhenUsed/>
    <w:rsid w:val="00616E84"/>
    <w:pPr>
      <w:keepNext/>
      <w:numPr>
        <w:ilvl w:val="6"/>
        <w:numId w:val="1"/>
      </w:numPr>
      <w:spacing w:before="120" w:after="0" w:line="360" w:lineRule="auto"/>
      <w:contextualSpacing/>
      <w:jc w:val="both"/>
      <w:outlineLvl w:val="6"/>
    </w:pPr>
    <w:rPr>
      <w:rFonts w:ascii="Verdana" w:eastAsia="MS Gothic" w:hAnsi="Verdana"/>
      <w:sz w:val="24"/>
    </w:rPr>
  </w:style>
  <w:style w:type="paragraph" w:customStyle="1" w:styleId="NoteLevel81">
    <w:name w:val="Note Level 81"/>
    <w:basedOn w:val="Normal"/>
    <w:uiPriority w:val="99"/>
    <w:semiHidden/>
    <w:unhideWhenUsed/>
    <w:rsid w:val="00616E84"/>
    <w:pPr>
      <w:keepNext/>
      <w:numPr>
        <w:ilvl w:val="7"/>
        <w:numId w:val="1"/>
      </w:numPr>
      <w:spacing w:before="120" w:after="0" w:line="360" w:lineRule="auto"/>
      <w:contextualSpacing/>
      <w:jc w:val="both"/>
      <w:outlineLvl w:val="7"/>
    </w:pPr>
    <w:rPr>
      <w:rFonts w:ascii="Verdana" w:eastAsia="MS Gothic" w:hAnsi="Verdana"/>
      <w:sz w:val="24"/>
    </w:rPr>
  </w:style>
  <w:style w:type="paragraph" w:customStyle="1" w:styleId="NoteLevel91">
    <w:name w:val="Note Level 91"/>
    <w:basedOn w:val="Normal"/>
    <w:uiPriority w:val="99"/>
    <w:semiHidden/>
    <w:unhideWhenUsed/>
    <w:rsid w:val="00616E84"/>
    <w:pPr>
      <w:keepNext/>
      <w:numPr>
        <w:ilvl w:val="8"/>
        <w:numId w:val="1"/>
      </w:numPr>
      <w:spacing w:before="120" w:after="0" w:line="360" w:lineRule="auto"/>
      <w:contextualSpacing/>
      <w:jc w:val="both"/>
      <w:outlineLvl w:val="8"/>
    </w:pPr>
    <w:rPr>
      <w:rFonts w:ascii="Verdana" w:eastAsia="MS Gothic" w:hAnsi="Verdana"/>
      <w:sz w:val="24"/>
    </w:rPr>
  </w:style>
  <w:style w:type="paragraph" w:styleId="Header">
    <w:name w:val="header"/>
    <w:basedOn w:val="Normal"/>
    <w:link w:val="HeaderChar"/>
    <w:uiPriority w:val="99"/>
    <w:unhideWhenUsed/>
    <w:rsid w:val="00737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539"/>
  </w:style>
  <w:style w:type="paragraph" w:styleId="Footer">
    <w:name w:val="footer"/>
    <w:basedOn w:val="Normal"/>
    <w:link w:val="FooterChar"/>
    <w:uiPriority w:val="99"/>
    <w:unhideWhenUsed/>
    <w:rsid w:val="00737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539"/>
  </w:style>
  <w:style w:type="character" w:styleId="Emphasis">
    <w:name w:val="Emphasis"/>
    <w:basedOn w:val="DefaultParagraphFont"/>
    <w:uiPriority w:val="20"/>
    <w:qFormat/>
    <w:rsid w:val="00560019"/>
    <w:rPr>
      <w:i/>
      <w:iCs/>
    </w:rPr>
  </w:style>
  <w:style w:type="paragraph" w:styleId="ListParagraph">
    <w:name w:val="List Paragraph"/>
    <w:basedOn w:val="Normal"/>
    <w:uiPriority w:val="34"/>
    <w:qFormat/>
    <w:rsid w:val="00D66B40"/>
    <w:pPr>
      <w:ind w:left="720"/>
      <w:contextualSpacing/>
    </w:pPr>
  </w:style>
  <w:style w:type="character" w:styleId="CommentReference">
    <w:name w:val="annotation reference"/>
    <w:basedOn w:val="DefaultParagraphFont"/>
    <w:uiPriority w:val="99"/>
    <w:semiHidden/>
    <w:unhideWhenUsed/>
    <w:rsid w:val="00AD6077"/>
    <w:rPr>
      <w:sz w:val="16"/>
      <w:szCs w:val="16"/>
    </w:rPr>
  </w:style>
  <w:style w:type="paragraph" w:styleId="CommentText">
    <w:name w:val="annotation text"/>
    <w:basedOn w:val="Normal"/>
    <w:link w:val="CommentTextChar"/>
    <w:uiPriority w:val="99"/>
    <w:semiHidden/>
    <w:unhideWhenUsed/>
    <w:rsid w:val="00AD6077"/>
    <w:pPr>
      <w:spacing w:line="240" w:lineRule="auto"/>
    </w:pPr>
    <w:rPr>
      <w:sz w:val="20"/>
      <w:szCs w:val="20"/>
    </w:rPr>
  </w:style>
  <w:style w:type="character" w:customStyle="1" w:styleId="CommentTextChar">
    <w:name w:val="Comment Text Char"/>
    <w:basedOn w:val="DefaultParagraphFont"/>
    <w:link w:val="CommentText"/>
    <w:uiPriority w:val="99"/>
    <w:semiHidden/>
    <w:rsid w:val="00AD6077"/>
    <w:rPr>
      <w:sz w:val="20"/>
      <w:szCs w:val="20"/>
    </w:rPr>
  </w:style>
  <w:style w:type="paragraph" w:styleId="CommentSubject">
    <w:name w:val="annotation subject"/>
    <w:basedOn w:val="CommentText"/>
    <w:next w:val="CommentText"/>
    <w:link w:val="CommentSubjectChar"/>
    <w:uiPriority w:val="99"/>
    <w:semiHidden/>
    <w:unhideWhenUsed/>
    <w:rsid w:val="00AD6077"/>
    <w:rPr>
      <w:b/>
      <w:bCs/>
    </w:rPr>
  </w:style>
  <w:style w:type="character" w:customStyle="1" w:styleId="CommentSubjectChar">
    <w:name w:val="Comment Subject Char"/>
    <w:basedOn w:val="CommentTextChar"/>
    <w:link w:val="CommentSubject"/>
    <w:uiPriority w:val="99"/>
    <w:semiHidden/>
    <w:rsid w:val="00AD6077"/>
    <w:rPr>
      <w:b/>
      <w:bCs/>
      <w:sz w:val="20"/>
      <w:szCs w:val="20"/>
    </w:rPr>
  </w:style>
  <w:style w:type="paragraph" w:styleId="Revision">
    <w:name w:val="Revision"/>
    <w:hidden/>
    <w:uiPriority w:val="99"/>
    <w:semiHidden/>
    <w:rsid w:val="004165DD"/>
    <w:pPr>
      <w:spacing w:after="0" w:line="240" w:lineRule="auto"/>
    </w:pPr>
  </w:style>
  <w:style w:type="paragraph" w:customStyle="1" w:styleId="Default">
    <w:name w:val="Default"/>
    <w:rsid w:val="00EB719B"/>
    <w:pPr>
      <w:autoSpaceDE w:val="0"/>
      <w:autoSpaceDN w:val="0"/>
      <w:adjustRightInd w:val="0"/>
      <w:spacing w:after="0" w:line="240" w:lineRule="auto"/>
    </w:pPr>
    <w:rPr>
      <w:rFonts w:ascii="Arial MT Pro" w:hAnsi="Arial MT Pro" w:cs="Arial MT Pro"/>
      <w:color w:val="000000"/>
      <w:sz w:val="24"/>
      <w:szCs w:val="24"/>
    </w:rPr>
  </w:style>
  <w:style w:type="character" w:customStyle="1" w:styleId="Heading1Char">
    <w:name w:val="Heading 1 Char"/>
    <w:basedOn w:val="DefaultParagraphFont"/>
    <w:link w:val="Heading1"/>
    <w:uiPriority w:val="9"/>
    <w:rsid w:val="00596F1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96F1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16655C"/>
    <w:rPr>
      <w:rFonts w:asciiTheme="majorHAnsi" w:eastAsiaTheme="majorEastAsia" w:hAnsiTheme="majorHAnsi" w:cstheme="majorBidi"/>
      <w:i/>
      <w:iCs/>
      <w:color w:val="2E74B5" w:themeColor="accent1" w:themeShade="BF"/>
    </w:rPr>
  </w:style>
  <w:style w:type="character" w:customStyle="1" w:styleId="A2">
    <w:name w:val="A2"/>
    <w:uiPriority w:val="99"/>
    <w:rsid w:val="0016655C"/>
    <w:rPr>
      <w:rFonts w:cs="DIN"/>
      <w:color w:val="000000"/>
      <w:sz w:val="20"/>
      <w:szCs w:val="20"/>
    </w:rPr>
  </w:style>
  <w:style w:type="paragraph" w:styleId="BodyText2">
    <w:name w:val="Body Text 2"/>
    <w:basedOn w:val="Normal"/>
    <w:link w:val="BodyText2Char"/>
    <w:uiPriority w:val="99"/>
    <w:rsid w:val="004E4DB0"/>
    <w:pPr>
      <w:spacing w:after="0" w:line="240" w:lineRule="auto"/>
      <w:jc w:val="center"/>
    </w:pPr>
    <w:rPr>
      <w:rFonts w:ascii="Lucida Sans" w:eastAsiaTheme="minorEastAsia" w:hAnsi="Lucida Sans" w:cs="Lucida Sans"/>
      <w:sz w:val="18"/>
      <w:szCs w:val="18"/>
      <w:lang w:val="en-US" w:eastAsia="en-GB"/>
    </w:rPr>
  </w:style>
  <w:style w:type="character" w:customStyle="1" w:styleId="BodyText2Char">
    <w:name w:val="Body Text 2 Char"/>
    <w:basedOn w:val="DefaultParagraphFont"/>
    <w:link w:val="BodyText2"/>
    <w:uiPriority w:val="99"/>
    <w:rsid w:val="004E4DB0"/>
    <w:rPr>
      <w:rFonts w:ascii="Lucida Sans" w:eastAsiaTheme="minorEastAsia" w:hAnsi="Lucida Sans" w:cs="Lucida Sans"/>
      <w:sz w:val="18"/>
      <w:szCs w:val="18"/>
      <w:lang w:val="en-US" w:eastAsia="en-GB"/>
    </w:rPr>
  </w:style>
  <w:style w:type="character" w:styleId="UnresolvedMention">
    <w:name w:val="Unresolved Mention"/>
    <w:basedOn w:val="DefaultParagraphFont"/>
    <w:uiPriority w:val="99"/>
    <w:semiHidden/>
    <w:unhideWhenUsed/>
    <w:rsid w:val="007E2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2723">
      <w:bodyDiv w:val="1"/>
      <w:marLeft w:val="0"/>
      <w:marRight w:val="0"/>
      <w:marTop w:val="0"/>
      <w:marBottom w:val="0"/>
      <w:divBdr>
        <w:top w:val="none" w:sz="0" w:space="0" w:color="auto"/>
        <w:left w:val="none" w:sz="0" w:space="0" w:color="auto"/>
        <w:bottom w:val="none" w:sz="0" w:space="0" w:color="auto"/>
        <w:right w:val="none" w:sz="0" w:space="0" w:color="auto"/>
      </w:divBdr>
      <w:divsChild>
        <w:div w:id="79954590">
          <w:marLeft w:val="0"/>
          <w:marRight w:val="0"/>
          <w:marTop w:val="0"/>
          <w:marBottom w:val="0"/>
          <w:divBdr>
            <w:top w:val="none" w:sz="0" w:space="0" w:color="auto"/>
            <w:left w:val="none" w:sz="0" w:space="0" w:color="auto"/>
            <w:bottom w:val="none" w:sz="0" w:space="0" w:color="auto"/>
            <w:right w:val="none" w:sz="0" w:space="0" w:color="auto"/>
          </w:divBdr>
        </w:div>
      </w:divsChild>
    </w:div>
    <w:div w:id="59716586">
      <w:bodyDiv w:val="1"/>
      <w:marLeft w:val="0"/>
      <w:marRight w:val="0"/>
      <w:marTop w:val="0"/>
      <w:marBottom w:val="0"/>
      <w:divBdr>
        <w:top w:val="none" w:sz="0" w:space="0" w:color="auto"/>
        <w:left w:val="none" w:sz="0" w:space="0" w:color="auto"/>
        <w:bottom w:val="none" w:sz="0" w:space="0" w:color="auto"/>
        <w:right w:val="none" w:sz="0" w:space="0" w:color="auto"/>
      </w:divBdr>
      <w:divsChild>
        <w:div w:id="1977636453">
          <w:marLeft w:val="0"/>
          <w:marRight w:val="0"/>
          <w:marTop w:val="0"/>
          <w:marBottom w:val="0"/>
          <w:divBdr>
            <w:top w:val="none" w:sz="0" w:space="0" w:color="auto"/>
            <w:left w:val="none" w:sz="0" w:space="0" w:color="auto"/>
            <w:bottom w:val="none" w:sz="0" w:space="0" w:color="auto"/>
            <w:right w:val="none" w:sz="0" w:space="0" w:color="auto"/>
          </w:divBdr>
        </w:div>
        <w:div w:id="1950770713">
          <w:marLeft w:val="0"/>
          <w:marRight w:val="0"/>
          <w:marTop w:val="0"/>
          <w:marBottom w:val="0"/>
          <w:divBdr>
            <w:top w:val="none" w:sz="0" w:space="0" w:color="auto"/>
            <w:left w:val="none" w:sz="0" w:space="0" w:color="auto"/>
            <w:bottom w:val="none" w:sz="0" w:space="0" w:color="auto"/>
            <w:right w:val="none" w:sz="0" w:space="0" w:color="auto"/>
          </w:divBdr>
        </w:div>
        <w:div w:id="1968046534">
          <w:marLeft w:val="0"/>
          <w:marRight w:val="0"/>
          <w:marTop w:val="0"/>
          <w:marBottom w:val="0"/>
          <w:divBdr>
            <w:top w:val="none" w:sz="0" w:space="0" w:color="auto"/>
            <w:left w:val="none" w:sz="0" w:space="0" w:color="auto"/>
            <w:bottom w:val="none" w:sz="0" w:space="0" w:color="auto"/>
            <w:right w:val="none" w:sz="0" w:space="0" w:color="auto"/>
          </w:divBdr>
        </w:div>
      </w:divsChild>
    </w:div>
    <w:div w:id="61225064">
      <w:bodyDiv w:val="1"/>
      <w:marLeft w:val="0"/>
      <w:marRight w:val="0"/>
      <w:marTop w:val="0"/>
      <w:marBottom w:val="0"/>
      <w:divBdr>
        <w:top w:val="none" w:sz="0" w:space="0" w:color="auto"/>
        <w:left w:val="none" w:sz="0" w:space="0" w:color="auto"/>
        <w:bottom w:val="none" w:sz="0" w:space="0" w:color="auto"/>
        <w:right w:val="none" w:sz="0" w:space="0" w:color="auto"/>
      </w:divBdr>
      <w:divsChild>
        <w:div w:id="1149594505">
          <w:marLeft w:val="0"/>
          <w:marRight w:val="0"/>
          <w:marTop w:val="0"/>
          <w:marBottom w:val="0"/>
          <w:divBdr>
            <w:top w:val="none" w:sz="0" w:space="0" w:color="auto"/>
            <w:left w:val="none" w:sz="0" w:space="0" w:color="auto"/>
            <w:bottom w:val="none" w:sz="0" w:space="0" w:color="auto"/>
            <w:right w:val="none" w:sz="0" w:space="0" w:color="auto"/>
          </w:divBdr>
        </w:div>
      </w:divsChild>
    </w:div>
    <w:div w:id="75515906">
      <w:bodyDiv w:val="1"/>
      <w:marLeft w:val="0"/>
      <w:marRight w:val="0"/>
      <w:marTop w:val="0"/>
      <w:marBottom w:val="0"/>
      <w:divBdr>
        <w:top w:val="none" w:sz="0" w:space="0" w:color="auto"/>
        <w:left w:val="none" w:sz="0" w:space="0" w:color="auto"/>
        <w:bottom w:val="none" w:sz="0" w:space="0" w:color="auto"/>
        <w:right w:val="none" w:sz="0" w:space="0" w:color="auto"/>
      </w:divBdr>
      <w:divsChild>
        <w:div w:id="1820614824">
          <w:marLeft w:val="0"/>
          <w:marRight w:val="0"/>
          <w:marTop w:val="0"/>
          <w:marBottom w:val="0"/>
          <w:divBdr>
            <w:top w:val="none" w:sz="0" w:space="0" w:color="auto"/>
            <w:left w:val="none" w:sz="0" w:space="0" w:color="auto"/>
            <w:bottom w:val="none" w:sz="0" w:space="0" w:color="auto"/>
            <w:right w:val="none" w:sz="0" w:space="0" w:color="auto"/>
          </w:divBdr>
        </w:div>
      </w:divsChild>
    </w:div>
    <w:div w:id="249967221">
      <w:bodyDiv w:val="1"/>
      <w:marLeft w:val="0"/>
      <w:marRight w:val="0"/>
      <w:marTop w:val="0"/>
      <w:marBottom w:val="0"/>
      <w:divBdr>
        <w:top w:val="none" w:sz="0" w:space="0" w:color="auto"/>
        <w:left w:val="none" w:sz="0" w:space="0" w:color="auto"/>
        <w:bottom w:val="none" w:sz="0" w:space="0" w:color="auto"/>
        <w:right w:val="none" w:sz="0" w:space="0" w:color="auto"/>
      </w:divBdr>
      <w:divsChild>
        <w:div w:id="1441297513">
          <w:marLeft w:val="0"/>
          <w:marRight w:val="0"/>
          <w:marTop w:val="0"/>
          <w:marBottom w:val="0"/>
          <w:divBdr>
            <w:top w:val="none" w:sz="0" w:space="0" w:color="auto"/>
            <w:left w:val="none" w:sz="0" w:space="0" w:color="auto"/>
            <w:bottom w:val="none" w:sz="0" w:space="0" w:color="auto"/>
            <w:right w:val="none" w:sz="0" w:space="0" w:color="auto"/>
          </w:divBdr>
        </w:div>
      </w:divsChild>
    </w:div>
    <w:div w:id="293800422">
      <w:bodyDiv w:val="1"/>
      <w:marLeft w:val="0"/>
      <w:marRight w:val="0"/>
      <w:marTop w:val="0"/>
      <w:marBottom w:val="0"/>
      <w:divBdr>
        <w:top w:val="none" w:sz="0" w:space="0" w:color="auto"/>
        <w:left w:val="none" w:sz="0" w:space="0" w:color="auto"/>
        <w:bottom w:val="none" w:sz="0" w:space="0" w:color="auto"/>
        <w:right w:val="none" w:sz="0" w:space="0" w:color="auto"/>
      </w:divBdr>
      <w:divsChild>
        <w:div w:id="863982380">
          <w:marLeft w:val="0"/>
          <w:marRight w:val="0"/>
          <w:marTop w:val="0"/>
          <w:marBottom w:val="0"/>
          <w:divBdr>
            <w:top w:val="none" w:sz="0" w:space="0" w:color="auto"/>
            <w:left w:val="none" w:sz="0" w:space="0" w:color="auto"/>
            <w:bottom w:val="none" w:sz="0" w:space="0" w:color="auto"/>
            <w:right w:val="none" w:sz="0" w:space="0" w:color="auto"/>
          </w:divBdr>
        </w:div>
        <w:div w:id="1421684337">
          <w:marLeft w:val="0"/>
          <w:marRight w:val="0"/>
          <w:marTop w:val="0"/>
          <w:marBottom w:val="0"/>
          <w:divBdr>
            <w:top w:val="none" w:sz="0" w:space="0" w:color="auto"/>
            <w:left w:val="none" w:sz="0" w:space="0" w:color="auto"/>
            <w:bottom w:val="none" w:sz="0" w:space="0" w:color="auto"/>
            <w:right w:val="none" w:sz="0" w:space="0" w:color="auto"/>
          </w:divBdr>
        </w:div>
        <w:div w:id="1287925247">
          <w:marLeft w:val="0"/>
          <w:marRight w:val="0"/>
          <w:marTop w:val="0"/>
          <w:marBottom w:val="0"/>
          <w:divBdr>
            <w:top w:val="none" w:sz="0" w:space="0" w:color="auto"/>
            <w:left w:val="none" w:sz="0" w:space="0" w:color="auto"/>
            <w:bottom w:val="none" w:sz="0" w:space="0" w:color="auto"/>
            <w:right w:val="none" w:sz="0" w:space="0" w:color="auto"/>
          </w:divBdr>
        </w:div>
        <w:div w:id="470252489">
          <w:marLeft w:val="0"/>
          <w:marRight w:val="0"/>
          <w:marTop w:val="0"/>
          <w:marBottom w:val="0"/>
          <w:divBdr>
            <w:top w:val="none" w:sz="0" w:space="0" w:color="auto"/>
            <w:left w:val="none" w:sz="0" w:space="0" w:color="auto"/>
            <w:bottom w:val="none" w:sz="0" w:space="0" w:color="auto"/>
            <w:right w:val="none" w:sz="0" w:space="0" w:color="auto"/>
          </w:divBdr>
        </w:div>
        <w:div w:id="236325071">
          <w:marLeft w:val="0"/>
          <w:marRight w:val="0"/>
          <w:marTop w:val="0"/>
          <w:marBottom w:val="0"/>
          <w:divBdr>
            <w:top w:val="none" w:sz="0" w:space="0" w:color="auto"/>
            <w:left w:val="none" w:sz="0" w:space="0" w:color="auto"/>
            <w:bottom w:val="none" w:sz="0" w:space="0" w:color="auto"/>
            <w:right w:val="none" w:sz="0" w:space="0" w:color="auto"/>
          </w:divBdr>
        </w:div>
        <w:div w:id="11146509">
          <w:marLeft w:val="0"/>
          <w:marRight w:val="0"/>
          <w:marTop w:val="0"/>
          <w:marBottom w:val="0"/>
          <w:divBdr>
            <w:top w:val="none" w:sz="0" w:space="0" w:color="auto"/>
            <w:left w:val="none" w:sz="0" w:space="0" w:color="auto"/>
            <w:bottom w:val="none" w:sz="0" w:space="0" w:color="auto"/>
            <w:right w:val="none" w:sz="0" w:space="0" w:color="auto"/>
          </w:divBdr>
        </w:div>
        <w:div w:id="694572611">
          <w:marLeft w:val="0"/>
          <w:marRight w:val="0"/>
          <w:marTop w:val="0"/>
          <w:marBottom w:val="0"/>
          <w:divBdr>
            <w:top w:val="none" w:sz="0" w:space="0" w:color="auto"/>
            <w:left w:val="none" w:sz="0" w:space="0" w:color="auto"/>
            <w:bottom w:val="none" w:sz="0" w:space="0" w:color="auto"/>
            <w:right w:val="none" w:sz="0" w:space="0" w:color="auto"/>
          </w:divBdr>
        </w:div>
        <w:div w:id="1770664237">
          <w:marLeft w:val="0"/>
          <w:marRight w:val="0"/>
          <w:marTop w:val="0"/>
          <w:marBottom w:val="0"/>
          <w:divBdr>
            <w:top w:val="none" w:sz="0" w:space="0" w:color="auto"/>
            <w:left w:val="none" w:sz="0" w:space="0" w:color="auto"/>
            <w:bottom w:val="none" w:sz="0" w:space="0" w:color="auto"/>
            <w:right w:val="none" w:sz="0" w:space="0" w:color="auto"/>
          </w:divBdr>
        </w:div>
        <w:div w:id="528103621">
          <w:marLeft w:val="0"/>
          <w:marRight w:val="0"/>
          <w:marTop w:val="0"/>
          <w:marBottom w:val="0"/>
          <w:divBdr>
            <w:top w:val="none" w:sz="0" w:space="0" w:color="auto"/>
            <w:left w:val="none" w:sz="0" w:space="0" w:color="auto"/>
            <w:bottom w:val="none" w:sz="0" w:space="0" w:color="auto"/>
            <w:right w:val="none" w:sz="0" w:space="0" w:color="auto"/>
          </w:divBdr>
        </w:div>
        <w:div w:id="1861896799">
          <w:marLeft w:val="0"/>
          <w:marRight w:val="0"/>
          <w:marTop w:val="0"/>
          <w:marBottom w:val="0"/>
          <w:divBdr>
            <w:top w:val="none" w:sz="0" w:space="0" w:color="auto"/>
            <w:left w:val="none" w:sz="0" w:space="0" w:color="auto"/>
            <w:bottom w:val="none" w:sz="0" w:space="0" w:color="auto"/>
            <w:right w:val="none" w:sz="0" w:space="0" w:color="auto"/>
          </w:divBdr>
        </w:div>
        <w:div w:id="725954379">
          <w:marLeft w:val="0"/>
          <w:marRight w:val="0"/>
          <w:marTop w:val="0"/>
          <w:marBottom w:val="0"/>
          <w:divBdr>
            <w:top w:val="none" w:sz="0" w:space="0" w:color="auto"/>
            <w:left w:val="none" w:sz="0" w:space="0" w:color="auto"/>
            <w:bottom w:val="none" w:sz="0" w:space="0" w:color="auto"/>
            <w:right w:val="none" w:sz="0" w:space="0" w:color="auto"/>
          </w:divBdr>
        </w:div>
        <w:div w:id="1589077680">
          <w:marLeft w:val="0"/>
          <w:marRight w:val="0"/>
          <w:marTop w:val="0"/>
          <w:marBottom w:val="0"/>
          <w:divBdr>
            <w:top w:val="none" w:sz="0" w:space="0" w:color="auto"/>
            <w:left w:val="none" w:sz="0" w:space="0" w:color="auto"/>
            <w:bottom w:val="none" w:sz="0" w:space="0" w:color="auto"/>
            <w:right w:val="none" w:sz="0" w:space="0" w:color="auto"/>
          </w:divBdr>
        </w:div>
      </w:divsChild>
    </w:div>
    <w:div w:id="362093467">
      <w:bodyDiv w:val="1"/>
      <w:marLeft w:val="0"/>
      <w:marRight w:val="0"/>
      <w:marTop w:val="0"/>
      <w:marBottom w:val="0"/>
      <w:divBdr>
        <w:top w:val="none" w:sz="0" w:space="0" w:color="auto"/>
        <w:left w:val="none" w:sz="0" w:space="0" w:color="auto"/>
        <w:bottom w:val="none" w:sz="0" w:space="0" w:color="auto"/>
        <w:right w:val="none" w:sz="0" w:space="0" w:color="auto"/>
      </w:divBdr>
    </w:div>
    <w:div w:id="492523568">
      <w:bodyDiv w:val="1"/>
      <w:marLeft w:val="0"/>
      <w:marRight w:val="0"/>
      <w:marTop w:val="0"/>
      <w:marBottom w:val="0"/>
      <w:divBdr>
        <w:top w:val="none" w:sz="0" w:space="0" w:color="auto"/>
        <w:left w:val="none" w:sz="0" w:space="0" w:color="auto"/>
        <w:bottom w:val="none" w:sz="0" w:space="0" w:color="auto"/>
        <w:right w:val="none" w:sz="0" w:space="0" w:color="auto"/>
      </w:divBdr>
      <w:divsChild>
        <w:div w:id="232199106">
          <w:marLeft w:val="0"/>
          <w:marRight w:val="0"/>
          <w:marTop w:val="0"/>
          <w:marBottom w:val="0"/>
          <w:divBdr>
            <w:top w:val="none" w:sz="0" w:space="0" w:color="auto"/>
            <w:left w:val="none" w:sz="0" w:space="0" w:color="auto"/>
            <w:bottom w:val="none" w:sz="0" w:space="0" w:color="auto"/>
            <w:right w:val="none" w:sz="0" w:space="0" w:color="auto"/>
          </w:divBdr>
        </w:div>
        <w:div w:id="2039161962">
          <w:marLeft w:val="0"/>
          <w:marRight w:val="0"/>
          <w:marTop w:val="0"/>
          <w:marBottom w:val="0"/>
          <w:divBdr>
            <w:top w:val="none" w:sz="0" w:space="0" w:color="auto"/>
            <w:left w:val="none" w:sz="0" w:space="0" w:color="auto"/>
            <w:bottom w:val="none" w:sz="0" w:space="0" w:color="auto"/>
            <w:right w:val="none" w:sz="0" w:space="0" w:color="auto"/>
          </w:divBdr>
        </w:div>
        <w:div w:id="79063546">
          <w:marLeft w:val="0"/>
          <w:marRight w:val="0"/>
          <w:marTop w:val="0"/>
          <w:marBottom w:val="0"/>
          <w:divBdr>
            <w:top w:val="none" w:sz="0" w:space="0" w:color="auto"/>
            <w:left w:val="none" w:sz="0" w:space="0" w:color="auto"/>
            <w:bottom w:val="none" w:sz="0" w:space="0" w:color="auto"/>
            <w:right w:val="none" w:sz="0" w:space="0" w:color="auto"/>
          </w:divBdr>
        </w:div>
        <w:div w:id="904612164">
          <w:marLeft w:val="0"/>
          <w:marRight w:val="0"/>
          <w:marTop w:val="0"/>
          <w:marBottom w:val="0"/>
          <w:divBdr>
            <w:top w:val="none" w:sz="0" w:space="0" w:color="auto"/>
            <w:left w:val="none" w:sz="0" w:space="0" w:color="auto"/>
            <w:bottom w:val="none" w:sz="0" w:space="0" w:color="auto"/>
            <w:right w:val="none" w:sz="0" w:space="0" w:color="auto"/>
          </w:divBdr>
        </w:div>
        <w:div w:id="1086612474">
          <w:marLeft w:val="0"/>
          <w:marRight w:val="0"/>
          <w:marTop w:val="0"/>
          <w:marBottom w:val="0"/>
          <w:divBdr>
            <w:top w:val="none" w:sz="0" w:space="0" w:color="auto"/>
            <w:left w:val="none" w:sz="0" w:space="0" w:color="auto"/>
            <w:bottom w:val="none" w:sz="0" w:space="0" w:color="auto"/>
            <w:right w:val="none" w:sz="0" w:space="0" w:color="auto"/>
          </w:divBdr>
        </w:div>
        <w:div w:id="299769601">
          <w:marLeft w:val="0"/>
          <w:marRight w:val="0"/>
          <w:marTop w:val="0"/>
          <w:marBottom w:val="0"/>
          <w:divBdr>
            <w:top w:val="none" w:sz="0" w:space="0" w:color="auto"/>
            <w:left w:val="none" w:sz="0" w:space="0" w:color="auto"/>
            <w:bottom w:val="none" w:sz="0" w:space="0" w:color="auto"/>
            <w:right w:val="none" w:sz="0" w:space="0" w:color="auto"/>
          </w:divBdr>
        </w:div>
        <w:div w:id="1946114655">
          <w:marLeft w:val="0"/>
          <w:marRight w:val="0"/>
          <w:marTop w:val="0"/>
          <w:marBottom w:val="0"/>
          <w:divBdr>
            <w:top w:val="none" w:sz="0" w:space="0" w:color="auto"/>
            <w:left w:val="none" w:sz="0" w:space="0" w:color="auto"/>
            <w:bottom w:val="none" w:sz="0" w:space="0" w:color="auto"/>
            <w:right w:val="none" w:sz="0" w:space="0" w:color="auto"/>
          </w:divBdr>
        </w:div>
      </w:divsChild>
    </w:div>
    <w:div w:id="551234607">
      <w:bodyDiv w:val="1"/>
      <w:marLeft w:val="0"/>
      <w:marRight w:val="0"/>
      <w:marTop w:val="0"/>
      <w:marBottom w:val="0"/>
      <w:divBdr>
        <w:top w:val="none" w:sz="0" w:space="0" w:color="auto"/>
        <w:left w:val="none" w:sz="0" w:space="0" w:color="auto"/>
        <w:bottom w:val="none" w:sz="0" w:space="0" w:color="auto"/>
        <w:right w:val="none" w:sz="0" w:space="0" w:color="auto"/>
      </w:divBdr>
      <w:divsChild>
        <w:div w:id="1921865526">
          <w:marLeft w:val="0"/>
          <w:marRight w:val="0"/>
          <w:marTop w:val="0"/>
          <w:marBottom w:val="0"/>
          <w:divBdr>
            <w:top w:val="none" w:sz="0" w:space="0" w:color="auto"/>
            <w:left w:val="none" w:sz="0" w:space="0" w:color="auto"/>
            <w:bottom w:val="none" w:sz="0" w:space="0" w:color="auto"/>
            <w:right w:val="none" w:sz="0" w:space="0" w:color="auto"/>
          </w:divBdr>
        </w:div>
        <w:div w:id="1630892829">
          <w:marLeft w:val="0"/>
          <w:marRight w:val="0"/>
          <w:marTop w:val="0"/>
          <w:marBottom w:val="0"/>
          <w:divBdr>
            <w:top w:val="none" w:sz="0" w:space="0" w:color="auto"/>
            <w:left w:val="none" w:sz="0" w:space="0" w:color="auto"/>
            <w:bottom w:val="none" w:sz="0" w:space="0" w:color="auto"/>
            <w:right w:val="none" w:sz="0" w:space="0" w:color="auto"/>
          </w:divBdr>
        </w:div>
        <w:div w:id="1499806212">
          <w:marLeft w:val="0"/>
          <w:marRight w:val="0"/>
          <w:marTop w:val="0"/>
          <w:marBottom w:val="0"/>
          <w:divBdr>
            <w:top w:val="none" w:sz="0" w:space="0" w:color="auto"/>
            <w:left w:val="none" w:sz="0" w:space="0" w:color="auto"/>
            <w:bottom w:val="none" w:sz="0" w:space="0" w:color="auto"/>
            <w:right w:val="none" w:sz="0" w:space="0" w:color="auto"/>
          </w:divBdr>
        </w:div>
        <w:div w:id="1292976937">
          <w:marLeft w:val="0"/>
          <w:marRight w:val="0"/>
          <w:marTop w:val="0"/>
          <w:marBottom w:val="0"/>
          <w:divBdr>
            <w:top w:val="none" w:sz="0" w:space="0" w:color="auto"/>
            <w:left w:val="none" w:sz="0" w:space="0" w:color="auto"/>
            <w:bottom w:val="none" w:sz="0" w:space="0" w:color="auto"/>
            <w:right w:val="none" w:sz="0" w:space="0" w:color="auto"/>
          </w:divBdr>
        </w:div>
        <w:div w:id="220218678">
          <w:marLeft w:val="0"/>
          <w:marRight w:val="0"/>
          <w:marTop w:val="0"/>
          <w:marBottom w:val="0"/>
          <w:divBdr>
            <w:top w:val="none" w:sz="0" w:space="0" w:color="auto"/>
            <w:left w:val="none" w:sz="0" w:space="0" w:color="auto"/>
            <w:bottom w:val="none" w:sz="0" w:space="0" w:color="auto"/>
            <w:right w:val="none" w:sz="0" w:space="0" w:color="auto"/>
          </w:divBdr>
        </w:div>
        <w:div w:id="1264805564">
          <w:marLeft w:val="0"/>
          <w:marRight w:val="0"/>
          <w:marTop w:val="0"/>
          <w:marBottom w:val="0"/>
          <w:divBdr>
            <w:top w:val="none" w:sz="0" w:space="0" w:color="auto"/>
            <w:left w:val="none" w:sz="0" w:space="0" w:color="auto"/>
            <w:bottom w:val="none" w:sz="0" w:space="0" w:color="auto"/>
            <w:right w:val="none" w:sz="0" w:space="0" w:color="auto"/>
          </w:divBdr>
        </w:div>
        <w:div w:id="1727410117">
          <w:marLeft w:val="0"/>
          <w:marRight w:val="0"/>
          <w:marTop w:val="0"/>
          <w:marBottom w:val="0"/>
          <w:divBdr>
            <w:top w:val="none" w:sz="0" w:space="0" w:color="auto"/>
            <w:left w:val="none" w:sz="0" w:space="0" w:color="auto"/>
            <w:bottom w:val="none" w:sz="0" w:space="0" w:color="auto"/>
            <w:right w:val="none" w:sz="0" w:space="0" w:color="auto"/>
          </w:divBdr>
        </w:div>
        <w:div w:id="778766426">
          <w:marLeft w:val="0"/>
          <w:marRight w:val="0"/>
          <w:marTop w:val="0"/>
          <w:marBottom w:val="0"/>
          <w:divBdr>
            <w:top w:val="none" w:sz="0" w:space="0" w:color="auto"/>
            <w:left w:val="none" w:sz="0" w:space="0" w:color="auto"/>
            <w:bottom w:val="none" w:sz="0" w:space="0" w:color="auto"/>
            <w:right w:val="none" w:sz="0" w:space="0" w:color="auto"/>
          </w:divBdr>
        </w:div>
        <w:div w:id="1627543356">
          <w:marLeft w:val="0"/>
          <w:marRight w:val="0"/>
          <w:marTop w:val="0"/>
          <w:marBottom w:val="0"/>
          <w:divBdr>
            <w:top w:val="none" w:sz="0" w:space="0" w:color="auto"/>
            <w:left w:val="none" w:sz="0" w:space="0" w:color="auto"/>
            <w:bottom w:val="none" w:sz="0" w:space="0" w:color="auto"/>
            <w:right w:val="none" w:sz="0" w:space="0" w:color="auto"/>
          </w:divBdr>
        </w:div>
        <w:div w:id="1078937999">
          <w:marLeft w:val="0"/>
          <w:marRight w:val="0"/>
          <w:marTop w:val="0"/>
          <w:marBottom w:val="0"/>
          <w:divBdr>
            <w:top w:val="none" w:sz="0" w:space="0" w:color="auto"/>
            <w:left w:val="none" w:sz="0" w:space="0" w:color="auto"/>
            <w:bottom w:val="none" w:sz="0" w:space="0" w:color="auto"/>
            <w:right w:val="none" w:sz="0" w:space="0" w:color="auto"/>
          </w:divBdr>
        </w:div>
      </w:divsChild>
    </w:div>
    <w:div w:id="714431175">
      <w:bodyDiv w:val="1"/>
      <w:marLeft w:val="0"/>
      <w:marRight w:val="0"/>
      <w:marTop w:val="0"/>
      <w:marBottom w:val="0"/>
      <w:divBdr>
        <w:top w:val="none" w:sz="0" w:space="0" w:color="auto"/>
        <w:left w:val="none" w:sz="0" w:space="0" w:color="auto"/>
        <w:bottom w:val="none" w:sz="0" w:space="0" w:color="auto"/>
        <w:right w:val="none" w:sz="0" w:space="0" w:color="auto"/>
      </w:divBdr>
      <w:divsChild>
        <w:div w:id="1769765200">
          <w:marLeft w:val="0"/>
          <w:marRight w:val="0"/>
          <w:marTop w:val="0"/>
          <w:marBottom w:val="0"/>
          <w:divBdr>
            <w:top w:val="none" w:sz="0" w:space="0" w:color="auto"/>
            <w:left w:val="none" w:sz="0" w:space="0" w:color="auto"/>
            <w:bottom w:val="none" w:sz="0" w:space="0" w:color="auto"/>
            <w:right w:val="none" w:sz="0" w:space="0" w:color="auto"/>
          </w:divBdr>
        </w:div>
      </w:divsChild>
    </w:div>
    <w:div w:id="788863415">
      <w:bodyDiv w:val="1"/>
      <w:marLeft w:val="0"/>
      <w:marRight w:val="0"/>
      <w:marTop w:val="0"/>
      <w:marBottom w:val="0"/>
      <w:divBdr>
        <w:top w:val="none" w:sz="0" w:space="0" w:color="auto"/>
        <w:left w:val="none" w:sz="0" w:space="0" w:color="auto"/>
        <w:bottom w:val="none" w:sz="0" w:space="0" w:color="auto"/>
        <w:right w:val="none" w:sz="0" w:space="0" w:color="auto"/>
      </w:divBdr>
      <w:divsChild>
        <w:div w:id="1726491996">
          <w:marLeft w:val="0"/>
          <w:marRight w:val="0"/>
          <w:marTop w:val="0"/>
          <w:marBottom w:val="0"/>
          <w:divBdr>
            <w:top w:val="none" w:sz="0" w:space="0" w:color="auto"/>
            <w:left w:val="none" w:sz="0" w:space="0" w:color="auto"/>
            <w:bottom w:val="none" w:sz="0" w:space="0" w:color="auto"/>
            <w:right w:val="none" w:sz="0" w:space="0" w:color="auto"/>
          </w:divBdr>
        </w:div>
        <w:div w:id="1017266320">
          <w:marLeft w:val="0"/>
          <w:marRight w:val="0"/>
          <w:marTop w:val="0"/>
          <w:marBottom w:val="0"/>
          <w:divBdr>
            <w:top w:val="none" w:sz="0" w:space="0" w:color="auto"/>
            <w:left w:val="none" w:sz="0" w:space="0" w:color="auto"/>
            <w:bottom w:val="none" w:sz="0" w:space="0" w:color="auto"/>
            <w:right w:val="none" w:sz="0" w:space="0" w:color="auto"/>
          </w:divBdr>
        </w:div>
        <w:div w:id="1618834168">
          <w:marLeft w:val="0"/>
          <w:marRight w:val="0"/>
          <w:marTop w:val="0"/>
          <w:marBottom w:val="0"/>
          <w:divBdr>
            <w:top w:val="none" w:sz="0" w:space="0" w:color="auto"/>
            <w:left w:val="none" w:sz="0" w:space="0" w:color="auto"/>
            <w:bottom w:val="none" w:sz="0" w:space="0" w:color="auto"/>
            <w:right w:val="none" w:sz="0" w:space="0" w:color="auto"/>
          </w:divBdr>
        </w:div>
        <w:div w:id="778529487">
          <w:marLeft w:val="0"/>
          <w:marRight w:val="0"/>
          <w:marTop w:val="0"/>
          <w:marBottom w:val="0"/>
          <w:divBdr>
            <w:top w:val="none" w:sz="0" w:space="0" w:color="auto"/>
            <w:left w:val="none" w:sz="0" w:space="0" w:color="auto"/>
            <w:bottom w:val="none" w:sz="0" w:space="0" w:color="auto"/>
            <w:right w:val="none" w:sz="0" w:space="0" w:color="auto"/>
          </w:divBdr>
        </w:div>
        <w:div w:id="508563559">
          <w:marLeft w:val="0"/>
          <w:marRight w:val="0"/>
          <w:marTop w:val="0"/>
          <w:marBottom w:val="0"/>
          <w:divBdr>
            <w:top w:val="none" w:sz="0" w:space="0" w:color="auto"/>
            <w:left w:val="none" w:sz="0" w:space="0" w:color="auto"/>
            <w:bottom w:val="none" w:sz="0" w:space="0" w:color="auto"/>
            <w:right w:val="none" w:sz="0" w:space="0" w:color="auto"/>
          </w:divBdr>
        </w:div>
        <w:div w:id="1497378783">
          <w:marLeft w:val="0"/>
          <w:marRight w:val="0"/>
          <w:marTop w:val="0"/>
          <w:marBottom w:val="0"/>
          <w:divBdr>
            <w:top w:val="none" w:sz="0" w:space="0" w:color="auto"/>
            <w:left w:val="none" w:sz="0" w:space="0" w:color="auto"/>
            <w:bottom w:val="none" w:sz="0" w:space="0" w:color="auto"/>
            <w:right w:val="none" w:sz="0" w:space="0" w:color="auto"/>
          </w:divBdr>
        </w:div>
        <w:div w:id="49233822">
          <w:marLeft w:val="0"/>
          <w:marRight w:val="0"/>
          <w:marTop w:val="0"/>
          <w:marBottom w:val="0"/>
          <w:divBdr>
            <w:top w:val="none" w:sz="0" w:space="0" w:color="auto"/>
            <w:left w:val="none" w:sz="0" w:space="0" w:color="auto"/>
            <w:bottom w:val="none" w:sz="0" w:space="0" w:color="auto"/>
            <w:right w:val="none" w:sz="0" w:space="0" w:color="auto"/>
          </w:divBdr>
        </w:div>
      </w:divsChild>
    </w:div>
    <w:div w:id="828978672">
      <w:bodyDiv w:val="1"/>
      <w:marLeft w:val="0"/>
      <w:marRight w:val="0"/>
      <w:marTop w:val="0"/>
      <w:marBottom w:val="0"/>
      <w:divBdr>
        <w:top w:val="none" w:sz="0" w:space="0" w:color="auto"/>
        <w:left w:val="none" w:sz="0" w:space="0" w:color="auto"/>
        <w:bottom w:val="none" w:sz="0" w:space="0" w:color="auto"/>
        <w:right w:val="none" w:sz="0" w:space="0" w:color="auto"/>
      </w:divBdr>
    </w:div>
    <w:div w:id="842355711">
      <w:bodyDiv w:val="1"/>
      <w:marLeft w:val="0"/>
      <w:marRight w:val="0"/>
      <w:marTop w:val="0"/>
      <w:marBottom w:val="0"/>
      <w:divBdr>
        <w:top w:val="none" w:sz="0" w:space="0" w:color="auto"/>
        <w:left w:val="none" w:sz="0" w:space="0" w:color="auto"/>
        <w:bottom w:val="none" w:sz="0" w:space="0" w:color="auto"/>
        <w:right w:val="none" w:sz="0" w:space="0" w:color="auto"/>
      </w:divBdr>
    </w:div>
    <w:div w:id="883834014">
      <w:bodyDiv w:val="1"/>
      <w:marLeft w:val="0"/>
      <w:marRight w:val="0"/>
      <w:marTop w:val="0"/>
      <w:marBottom w:val="0"/>
      <w:divBdr>
        <w:top w:val="none" w:sz="0" w:space="0" w:color="auto"/>
        <w:left w:val="none" w:sz="0" w:space="0" w:color="auto"/>
        <w:bottom w:val="none" w:sz="0" w:space="0" w:color="auto"/>
        <w:right w:val="none" w:sz="0" w:space="0" w:color="auto"/>
      </w:divBdr>
      <w:divsChild>
        <w:div w:id="1912421465">
          <w:marLeft w:val="0"/>
          <w:marRight w:val="0"/>
          <w:marTop w:val="0"/>
          <w:marBottom w:val="0"/>
          <w:divBdr>
            <w:top w:val="none" w:sz="0" w:space="0" w:color="auto"/>
            <w:left w:val="none" w:sz="0" w:space="0" w:color="auto"/>
            <w:bottom w:val="none" w:sz="0" w:space="0" w:color="auto"/>
            <w:right w:val="none" w:sz="0" w:space="0" w:color="auto"/>
          </w:divBdr>
        </w:div>
      </w:divsChild>
    </w:div>
    <w:div w:id="886263113">
      <w:bodyDiv w:val="1"/>
      <w:marLeft w:val="0"/>
      <w:marRight w:val="0"/>
      <w:marTop w:val="0"/>
      <w:marBottom w:val="0"/>
      <w:divBdr>
        <w:top w:val="none" w:sz="0" w:space="0" w:color="auto"/>
        <w:left w:val="none" w:sz="0" w:space="0" w:color="auto"/>
        <w:bottom w:val="none" w:sz="0" w:space="0" w:color="auto"/>
        <w:right w:val="none" w:sz="0" w:space="0" w:color="auto"/>
      </w:divBdr>
      <w:divsChild>
        <w:div w:id="685446669">
          <w:marLeft w:val="0"/>
          <w:marRight w:val="0"/>
          <w:marTop w:val="0"/>
          <w:marBottom w:val="0"/>
          <w:divBdr>
            <w:top w:val="none" w:sz="0" w:space="0" w:color="auto"/>
            <w:left w:val="none" w:sz="0" w:space="0" w:color="auto"/>
            <w:bottom w:val="none" w:sz="0" w:space="0" w:color="auto"/>
            <w:right w:val="none" w:sz="0" w:space="0" w:color="auto"/>
          </w:divBdr>
        </w:div>
      </w:divsChild>
    </w:div>
    <w:div w:id="913004951">
      <w:bodyDiv w:val="1"/>
      <w:marLeft w:val="0"/>
      <w:marRight w:val="0"/>
      <w:marTop w:val="0"/>
      <w:marBottom w:val="0"/>
      <w:divBdr>
        <w:top w:val="none" w:sz="0" w:space="0" w:color="auto"/>
        <w:left w:val="none" w:sz="0" w:space="0" w:color="auto"/>
        <w:bottom w:val="none" w:sz="0" w:space="0" w:color="auto"/>
        <w:right w:val="none" w:sz="0" w:space="0" w:color="auto"/>
      </w:divBdr>
      <w:divsChild>
        <w:div w:id="1963270671">
          <w:marLeft w:val="0"/>
          <w:marRight w:val="0"/>
          <w:marTop w:val="0"/>
          <w:marBottom w:val="0"/>
          <w:divBdr>
            <w:top w:val="none" w:sz="0" w:space="0" w:color="auto"/>
            <w:left w:val="none" w:sz="0" w:space="0" w:color="auto"/>
            <w:bottom w:val="none" w:sz="0" w:space="0" w:color="auto"/>
            <w:right w:val="none" w:sz="0" w:space="0" w:color="auto"/>
          </w:divBdr>
        </w:div>
      </w:divsChild>
    </w:div>
    <w:div w:id="918363912">
      <w:bodyDiv w:val="1"/>
      <w:marLeft w:val="0"/>
      <w:marRight w:val="0"/>
      <w:marTop w:val="0"/>
      <w:marBottom w:val="0"/>
      <w:divBdr>
        <w:top w:val="none" w:sz="0" w:space="0" w:color="auto"/>
        <w:left w:val="none" w:sz="0" w:space="0" w:color="auto"/>
        <w:bottom w:val="none" w:sz="0" w:space="0" w:color="auto"/>
        <w:right w:val="none" w:sz="0" w:space="0" w:color="auto"/>
      </w:divBdr>
      <w:divsChild>
        <w:div w:id="319115144">
          <w:marLeft w:val="0"/>
          <w:marRight w:val="0"/>
          <w:marTop w:val="0"/>
          <w:marBottom w:val="0"/>
          <w:divBdr>
            <w:top w:val="none" w:sz="0" w:space="0" w:color="auto"/>
            <w:left w:val="none" w:sz="0" w:space="0" w:color="auto"/>
            <w:bottom w:val="none" w:sz="0" w:space="0" w:color="auto"/>
            <w:right w:val="none" w:sz="0" w:space="0" w:color="auto"/>
          </w:divBdr>
        </w:div>
      </w:divsChild>
    </w:div>
    <w:div w:id="1022243769">
      <w:bodyDiv w:val="1"/>
      <w:marLeft w:val="0"/>
      <w:marRight w:val="0"/>
      <w:marTop w:val="0"/>
      <w:marBottom w:val="0"/>
      <w:divBdr>
        <w:top w:val="none" w:sz="0" w:space="0" w:color="auto"/>
        <w:left w:val="none" w:sz="0" w:space="0" w:color="auto"/>
        <w:bottom w:val="none" w:sz="0" w:space="0" w:color="auto"/>
        <w:right w:val="none" w:sz="0" w:space="0" w:color="auto"/>
      </w:divBdr>
      <w:divsChild>
        <w:div w:id="1453129819">
          <w:marLeft w:val="0"/>
          <w:marRight w:val="0"/>
          <w:marTop w:val="0"/>
          <w:marBottom w:val="0"/>
          <w:divBdr>
            <w:top w:val="none" w:sz="0" w:space="0" w:color="auto"/>
            <w:left w:val="none" w:sz="0" w:space="0" w:color="auto"/>
            <w:bottom w:val="none" w:sz="0" w:space="0" w:color="auto"/>
            <w:right w:val="none" w:sz="0" w:space="0" w:color="auto"/>
          </w:divBdr>
        </w:div>
        <w:div w:id="803348855">
          <w:marLeft w:val="0"/>
          <w:marRight w:val="0"/>
          <w:marTop w:val="0"/>
          <w:marBottom w:val="0"/>
          <w:divBdr>
            <w:top w:val="none" w:sz="0" w:space="0" w:color="auto"/>
            <w:left w:val="none" w:sz="0" w:space="0" w:color="auto"/>
            <w:bottom w:val="none" w:sz="0" w:space="0" w:color="auto"/>
            <w:right w:val="none" w:sz="0" w:space="0" w:color="auto"/>
          </w:divBdr>
        </w:div>
        <w:div w:id="1900313997">
          <w:marLeft w:val="0"/>
          <w:marRight w:val="0"/>
          <w:marTop w:val="0"/>
          <w:marBottom w:val="0"/>
          <w:divBdr>
            <w:top w:val="none" w:sz="0" w:space="0" w:color="auto"/>
            <w:left w:val="none" w:sz="0" w:space="0" w:color="auto"/>
            <w:bottom w:val="none" w:sz="0" w:space="0" w:color="auto"/>
            <w:right w:val="none" w:sz="0" w:space="0" w:color="auto"/>
          </w:divBdr>
        </w:div>
        <w:div w:id="990254829">
          <w:marLeft w:val="0"/>
          <w:marRight w:val="0"/>
          <w:marTop w:val="0"/>
          <w:marBottom w:val="0"/>
          <w:divBdr>
            <w:top w:val="none" w:sz="0" w:space="0" w:color="auto"/>
            <w:left w:val="none" w:sz="0" w:space="0" w:color="auto"/>
            <w:bottom w:val="none" w:sz="0" w:space="0" w:color="auto"/>
            <w:right w:val="none" w:sz="0" w:space="0" w:color="auto"/>
          </w:divBdr>
        </w:div>
        <w:div w:id="25910197">
          <w:marLeft w:val="0"/>
          <w:marRight w:val="0"/>
          <w:marTop w:val="0"/>
          <w:marBottom w:val="0"/>
          <w:divBdr>
            <w:top w:val="none" w:sz="0" w:space="0" w:color="auto"/>
            <w:left w:val="none" w:sz="0" w:space="0" w:color="auto"/>
            <w:bottom w:val="none" w:sz="0" w:space="0" w:color="auto"/>
            <w:right w:val="none" w:sz="0" w:space="0" w:color="auto"/>
          </w:divBdr>
        </w:div>
        <w:div w:id="1505051145">
          <w:marLeft w:val="0"/>
          <w:marRight w:val="0"/>
          <w:marTop w:val="0"/>
          <w:marBottom w:val="0"/>
          <w:divBdr>
            <w:top w:val="none" w:sz="0" w:space="0" w:color="auto"/>
            <w:left w:val="none" w:sz="0" w:space="0" w:color="auto"/>
            <w:bottom w:val="none" w:sz="0" w:space="0" w:color="auto"/>
            <w:right w:val="none" w:sz="0" w:space="0" w:color="auto"/>
          </w:divBdr>
        </w:div>
        <w:div w:id="22444622">
          <w:marLeft w:val="0"/>
          <w:marRight w:val="0"/>
          <w:marTop w:val="0"/>
          <w:marBottom w:val="0"/>
          <w:divBdr>
            <w:top w:val="none" w:sz="0" w:space="0" w:color="auto"/>
            <w:left w:val="none" w:sz="0" w:space="0" w:color="auto"/>
            <w:bottom w:val="none" w:sz="0" w:space="0" w:color="auto"/>
            <w:right w:val="none" w:sz="0" w:space="0" w:color="auto"/>
          </w:divBdr>
        </w:div>
      </w:divsChild>
    </w:div>
    <w:div w:id="1022711338">
      <w:bodyDiv w:val="1"/>
      <w:marLeft w:val="0"/>
      <w:marRight w:val="0"/>
      <w:marTop w:val="0"/>
      <w:marBottom w:val="0"/>
      <w:divBdr>
        <w:top w:val="none" w:sz="0" w:space="0" w:color="auto"/>
        <w:left w:val="none" w:sz="0" w:space="0" w:color="auto"/>
        <w:bottom w:val="none" w:sz="0" w:space="0" w:color="auto"/>
        <w:right w:val="none" w:sz="0" w:space="0" w:color="auto"/>
      </w:divBdr>
      <w:divsChild>
        <w:div w:id="974724997">
          <w:marLeft w:val="0"/>
          <w:marRight w:val="0"/>
          <w:marTop w:val="0"/>
          <w:marBottom w:val="0"/>
          <w:divBdr>
            <w:top w:val="none" w:sz="0" w:space="0" w:color="auto"/>
            <w:left w:val="none" w:sz="0" w:space="0" w:color="auto"/>
            <w:bottom w:val="none" w:sz="0" w:space="0" w:color="auto"/>
            <w:right w:val="none" w:sz="0" w:space="0" w:color="auto"/>
          </w:divBdr>
        </w:div>
      </w:divsChild>
    </w:div>
    <w:div w:id="1024209768">
      <w:bodyDiv w:val="1"/>
      <w:marLeft w:val="0"/>
      <w:marRight w:val="0"/>
      <w:marTop w:val="0"/>
      <w:marBottom w:val="0"/>
      <w:divBdr>
        <w:top w:val="none" w:sz="0" w:space="0" w:color="auto"/>
        <w:left w:val="none" w:sz="0" w:space="0" w:color="auto"/>
        <w:bottom w:val="none" w:sz="0" w:space="0" w:color="auto"/>
        <w:right w:val="none" w:sz="0" w:space="0" w:color="auto"/>
      </w:divBdr>
    </w:div>
    <w:div w:id="1065225127">
      <w:bodyDiv w:val="1"/>
      <w:marLeft w:val="0"/>
      <w:marRight w:val="0"/>
      <w:marTop w:val="0"/>
      <w:marBottom w:val="0"/>
      <w:divBdr>
        <w:top w:val="none" w:sz="0" w:space="0" w:color="auto"/>
        <w:left w:val="none" w:sz="0" w:space="0" w:color="auto"/>
        <w:bottom w:val="none" w:sz="0" w:space="0" w:color="auto"/>
        <w:right w:val="none" w:sz="0" w:space="0" w:color="auto"/>
      </w:divBdr>
    </w:div>
    <w:div w:id="1069420192">
      <w:bodyDiv w:val="1"/>
      <w:marLeft w:val="0"/>
      <w:marRight w:val="0"/>
      <w:marTop w:val="0"/>
      <w:marBottom w:val="0"/>
      <w:divBdr>
        <w:top w:val="none" w:sz="0" w:space="0" w:color="auto"/>
        <w:left w:val="none" w:sz="0" w:space="0" w:color="auto"/>
        <w:bottom w:val="none" w:sz="0" w:space="0" w:color="auto"/>
        <w:right w:val="none" w:sz="0" w:space="0" w:color="auto"/>
      </w:divBdr>
      <w:divsChild>
        <w:div w:id="911550805">
          <w:marLeft w:val="0"/>
          <w:marRight w:val="0"/>
          <w:marTop w:val="0"/>
          <w:marBottom w:val="0"/>
          <w:divBdr>
            <w:top w:val="none" w:sz="0" w:space="0" w:color="auto"/>
            <w:left w:val="none" w:sz="0" w:space="0" w:color="auto"/>
            <w:bottom w:val="none" w:sz="0" w:space="0" w:color="auto"/>
            <w:right w:val="none" w:sz="0" w:space="0" w:color="auto"/>
          </w:divBdr>
        </w:div>
      </w:divsChild>
    </w:div>
    <w:div w:id="1220942693">
      <w:bodyDiv w:val="1"/>
      <w:marLeft w:val="0"/>
      <w:marRight w:val="0"/>
      <w:marTop w:val="0"/>
      <w:marBottom w:val="0"/>
      <w:divBdr>
        <w:top w:val="none" w:sz="0" w:space="0" w:color="auto"/>
        <w:left w:val="none" w:sz="0" w:space="0" w:color="auto"/>
        <w:bottom w:val="none" w:sz="0" w:space="0" w:color="auto"/>
        <w:right w:val="none" w:sz="0" w:space="0" w:color="auto"/>
      </w:divBdr>
      <w:divsChild>
        <w:div w:id="583808260">
          <w:marLeft w:val="0"/>
          <w:marRight w:val="0"/>
          <w:marTop w:val="0"/>
          <w:marBottom w:val="0"/>
          <w:divBdr>
            <w:top w:val="none" w:sz="0" w:space="0" w:color="auto"/>
            <w:left w:val="none" w:sz="0" w:space="0" w:color="auto"/>
            <w:bottom w:val="none" w:sz="0" w:space="0" w:color="auto"/>
            <w:right w:val="none" w:sz="0" w:space="0" w:color="auto"/>
          </w:divBdr>
        </w:div>
        <w:div w:id="1782605208">
          <w:marLeft w:val="0"/>
          <w:marRight w:val="0"/>
          <w:marTop w:val="0"/>
          <w:marBottom w:val="0"/>
          <w:divBdr>
            <w:top w:val="none" w:sz="0" w:space="0" w:color="auto"/>
            <w:left w:val="none" w:sz="0" w:space="0" w:color="auto"/>
            <w:bottom w:val="none" w:sz="0" w:space="0" w:color="auto"/>
            <w:right w:val="none" w:sz="0" w:space="0" w:color="auto"/>
          </w:divBdr>
        </w:div>
        <w:div w:id="797987057">
          <w:marLeft w:val="0"/>
          <w:marRight w:val="0"/>
          <w:marTop w:val="0"/>
          <w:marBottom w:val="0"/>
          <w:divBdr>
            <w:top w:val="none" w:sz="0" w:space="0" w:color="auto"/>
            <w:left w:val="none" w:sz="0" w:space="0" w:color="auto"/>
            <w:bottom w:val="none" w:sz="0" w:space="0" w:color="auto"/>
            <w:right w:val="none" w:sz="0" w:space="0" w:color="auto"/>
          </w:divBdr>
        </w:div>
        <w:div w:id="1264921263">
          <w:marLeft w:val="0"/>
          <w:marRight w:val="0"/>
          <w:marTop w:val="0"/>
          <w:marBottom w:val="0"/>
          <w:divBdr>
            <w:top w:val="none" w:sz="0" w:space="0" w:color="auto"/>
            <w:left w:val="none" w:sz="0" w:space="0" w:color="auto"/>
            <w:bottom w:val="none" w:sz="0" w:space="0" w:color="auto"/>
            <w:right w:val="none" w:sz="0" w:space="0" w:color="auto"/>
          </w:divBdr>
        </w:div>
        <w:div w:id="192500080">
          <w:marLeft w:val="0"/>
          <w:marRight w:val="0"/>
          <w:marTop w:val="0"/>
          <w:marBottom w:val="0"/>
          <w:divBdr>
            <w:top w:val="none" w:sz="0" w:space="0" w:color="auto"/>
            <w:left w:val="none" w:sz="0" w:space="0" w:color="auto"/>
            <w:bottom w:val="none" w:sz="0" w:space="0" w:color="auto"/>
            <w:right w:val="none" w:sz="0" w:space="0" w:color="auto"/>
          </w:divBdr>
        </w:div>
        <w:div w:id="1589650785">
          <w:marLeft w:val="0"/>
          <w:marRight w:val="0"/>
          <w:marTop w:val="0"/>
          <w:marBottom w:val="0"/>
          <w:divBdr>
            <w:top w:val="none" w:sz="0" w:space="0" w:color="auto"/>
            <w:left w:val="none" w:sz="0" w:space="0" w:color="auto"/>
            <w:bottom w:val="none" w:sz="0" w:space="0" w:color="auto"/>
            <w:right w:val="none" w:sz="0" w:space="0" w:color="auto"/>
          </w:divBdr>
        </w:div>
        <w:div w:id="255477150">
          <w:marLeft w:val="0"/>
          <w:marRight w:val="0"/>
          <w:marTop w:val="0"/>
          <w:marBottom w:val="0"/>
          <w:divBdr>
            <w:top w:val="none" w:sz="0" w:space="0" w:color="auto"/>
            <w:left w:val="none" w:sz="0" w:space="0" w:color="auto"/>
            <w:bottom w:val="none" w:sz="0" w:space="0" w:color="auto"/>
            <w:right w:val="none" w:sz="0" w:space="0" w:color="auto"/>
          </w:divBdr>
        </w:div>
      </w:divsChild>
    </w:div>
    <w:div w:id="1264073588">
      <w:bodyDiv w:val="1"/>
      <w:marLeft w:val="0"/>
      <w:marRight w:val="0"/>
      <w:marTop w:val="0"/>
      <w:marBottom w:val="0"/>
      <w:divBdr>
        <w:top w:val="none" w:sz="0" w:space="0" w:color="auto"/>
        <w:left w:val="none" w:sz="0" w:space="0" w:color="auto"/>
        <w:bottom w:val="none" w:sz="0" w:space="0" w:color="auto"/>
        <w:right w:val="none" w:sz="0" w:space="0" w:color="auto"/>
      </w:divBdr>
      <w:divsChild>
        <w:div w:id="256640829">
          <w:marLeft w:val="0"/>
          <w:marRight w:val="0"/>
          <w:marTop w:val="0"/>
          <w:marBottom w:val="0"/>
          <w:divBdr>
            <w:top w:val="none" w:sz="0" w:space="0" w:color="auto"/>
            <w:left w:val="none" w:sz="0" w:space="0" w:color="auto"/>
            <w:bottom w:val="none" w:sz="0" w:space="0" w:color="auto"/>
            <w:right w:val="none" w:sz="0" w:space="0" w:color="auto"/>
          </w:divBdr>
        </w:div>
      </w:divsChild>
    </w:div>
    <w:div w:id="1264846800">
      <w:bodyDiv w:val="1"/>
      <w:marLeft w:val="0"/>
      <w:marRight w:val="0"/>
      <w:marTop w:val="0"/>
      <w:marBottom w:val="0"/>
      <w:divBdr>
        <w:top w:val="none" w:sz="0" w:space="0" w:color="auto"/>
        <w:left w:val="none" w:sz="0" w:space="0" w:color="auto"/>
        <w:bottom w:val="none" w:sz="0" w:space="0" w:color="auto"/>
        <w:right w:val="none" w:sz="0" w:space="0" w:color="auto"/>
      </w:divBdr>
      <w:divsChild>
        <w:div w:id="198206571">
          <w:marLeft w:val="0"/>
          <w:marRight w:val="0"/>
          <w:marTop w:val="0"/>
          <w:marBottom w:val="0"/>
          <w:divBdr>
            <w:top w:val="none" w:sz="0" w:space="0" w:color="auto"/>
            <w:left w:val="none" w:sz="0" w:space="0" w:color="auto"/>
            <w:bottom w:val="none" w:sz="0" w:space="0" w:color="auto"/>
            <w:right w:val="none" w:sz="0" w:space="0" w:color="auto"/>
          </w:divBdr>
        </w:div>
        <w:div w:id="288169839">
          <w:marLeft w:val="0"/>
          <w:marRight w:val="0"/>
          <w:marTop w:val="0"/>
          <w:marBottom w:val="0"/>
          <w:divBdr>
            <w:top w:val="none" w:sz="0" w:space="0" w:color="auto"/>
            <w:left w:val="none" w:sz="0" w:space="0" w:color="auto"/>
            <w:bottom w:val="none" w:sz="0" w:space="0" w:color="auto"/>
            <w:right w:val="none" w:sz="0" w:space="0" w:color="auto"/>
          </w:divBdr>
        </w:div>
        <w:div w:id="1784812183">
          <w:marLeft w:val="0"/>
          <w:marRight w:val="0"/>
          <w:marTop w:val="0"/>
          <w:marBottom w:val="0"/>
          <w:divBdr>
            <w:top w:val="none" w:sz="0" w:space="0" w:color="auto"/>
            <w:left w:val="none" w:sz="0" w:space="0" w:color="auto"/>
            <w:bottom w:val="none" w:sz="0" w:space="0" w:color="auto"/>
            <w:right w:val="none" w:sz="0" w:space="0" w:color="auto"/>
          </w:divBdr>
        </w:div>
        <w:div w:id="1217816971">
          <w:marLeft w:val="0"/>
          <w:marRight w:val="0"/>
          <w:marTop w:val="0"/>
          <w:marBottom w:val="0"/>
          <w:divBdr>
            <w:top w:val="none" w:sz="0" w:space="0" w:color="auto"/>
            <w:left w:val="none" w:sz="0" w:space="0" w:color="auto"/>
            <w:bottom w:val="none" w:sz="0" w:space="0" w:color="auto"/>
            <w:right w:val="none" w:sz="0" w:space="0" w:color="auto"/>
          </w:divBdr>
        </w:div>
        <w:div w:id="731151990">
          <w:marLeft w:val="0"/>
          <w:marRight w:val="0"/>
          <w:marTop w:val="0"/>
          <w:marBottom w:val="0"/>
          <w:divBdr>
            <w:top w:val="none" w:sz="0" w:space="0" w:color="auto"/>
            <w:left w:val="none" w:sz="0" w:space="0" w:color="auto"/>
            <w:bottom w:val="none" w:sz="0" w:space="0" w:color="auto"/>
            <w:right w:val="none" w:sz="0" w:space="0" w:color="auto"/>
          </w:divBdr>
        </w:div>
        <w:div w:id="830561982">
          <w:marLeft w:val="0"/>
          <w:marRight w:val="0"/>
          <w:marTop w:val="0"/>
          <w:marBottom w:val="0"/>
          <w:divBdr>
            <w:top w:val="none" w:sz="0" w:space="0" w:color="auto"/>
            <w:left w:val="none" w:sz="0" w:space="0" w:color="auto"/>
            <w:bottom w:val="none" w:sz="0" w:space="0" w:color="auto"/>
            <w:right w:val="none" w:sz="0" w:space="0" w:color="auto"/>
          </w:divBdr>
        </w:div>
        <w:div w:id="1285455291">
          <w:marLeft w:val="0"/>
          <w:marRight w:val="0"/>
          <w:marTop w:val="0"/>
          <w:marBottom w:val="0"/>
          <w:divBdr>
            <w:top w:val="none" w:sz="0" w:space="0" w:color="auto"/>
            <w:left w:val="none" w:sz="0" w:space="0" w:color="auto"/>
            <w:bottom w:val="none" w:sz="0" w:space="0" w:color="auto"/>
            <w:right w:val="none" w:sz="0" w:space="0" w:color="auto"/>
          </w:divBdr>
        </w:div>
        <w:div w:id="682777788">
          <w:marLeft w:val="0"/>
          <w:marRight w:val="0"/>
          <w:marTop w:val="0"/>
          <w:marBottom w:val="0"/>
          <w:divBdr>
            <w:top w:val="none" w:sz="0" w:space="0" w:color="auto"/>
            <w:left w:val="none" w:sz="0" w:space="0" w:color="auto"/>
            <w:bottom w:val="none" w:sz="0" w:space="0" w:color="auto"/>
            <w:right w:val="none" w:sz="0" w:space="0" w:color="auto"/>
          </w:divBdr>
        </w:div>
      </w:divsChild>
    </w:div>
    <w:div w:id="1266688273">
      <w:bodyDiv w:val="1"/>
      <w:marLeft w:val="0"/>
      <w:marRight w:val="0"/>
      <w:marTop w:val="0"/>
      <w:marBottom w:val="0"/>
      <w:divBdr>
        <w:top w:val="none" w:sz="0" w:space="0" w:color="auto"/>
        <w:left w:val="none" w:sz="0" w:space="0" w:color="auto"/>
        <w:bottom w:val="none" w:sz="0" w:space="0" w:color="auto"/>
        <w:right w:val="none" w:sz="0" w:space="0" w:color="auto"/>
      </w:divBdr>
      <w:divsChild>
        <w:div w:id="1449932291">
          <w:marLeft w:val="0"/>
          <w:marRight w:val="0"/>
          <w:marTop w:val="0"/>
          <w:marBottom w:val="0"/>
          <w:divBdr>
            <w:top w:val="none" w:sz="0" w:space="0" w:color="auto"/>
            <w:left w:val="none" w:sz="0" w:space="0" w:color="auto"/>
            <w:bottom w:val="none" w:sz="0" w:space="0" w:color="auto"/>
            <w:right w:val="none" w:sz="0" w:space="0" w:color="auto"/>
          </w:divBdr>
        </w:div>
      </w:divsChild>
    </w:div>
    <w:div w:id="1282494554">
      <w:bodyDiv w:val="1"/>
      <w:marLeft w:val="0"/>
      <w:marRight w:val="0"/>
      <w:marTop w:val="0"/>
      <w:marBottom w:val="0"/>
      <w:divBdr>
        <w:top w:val="none" w:sz="0" w:space="0" w:color="auto"/>
        <w:left w:val="none" w:sz="0" w:space="0" w:color="auto"/>
        <w:bottom w:val="none" w:sz="0" w:space="0" w:color="auto"/>
        <w:right w:val="none" w:sz="0" w:space="0" w:color="auto"/>
      </w:divBdr>
      <w:divsChild>
        <w:div w:id="1922640766">
          <w:marLeft w:val="0"/>
          <w:marRight w:val="0"/>
          <w:marTop w:val="0"/>
          <w:marBottom w:val="0"/>
          <w:divBdr>
            <w:top w:val="none" w:sz="0" w:space="0" w:color="auto"/>
            <w:left w:val="none" w:sz="0" w:space="0" w:color="auto"/>
            <w:bottom w:val="none" w:sz="0" w:space="0" w:color="auto"/>
            <w:right w:val="none" w:sz="0" w:space="0" w:color="auto"/>
          </w:divBdr>
        </w:div>
        <w:div w:id="139002646">
          <w:marLeft w:val="0"/>
          <w:marRight w:val="0"/>
          <w:marTop w:val="0"/>
          <w:marBottom w:val="0"/>
          <w:divBdr>
            <w:top w:val="none" w:sz="0" w:space="0" w:color="auto"/>
            <w:left w:val="none" w:sz="0" w:space="0" w:color="auto"/>
            <w:bottom w:val="none" w:sz="0" w:space="0" w:color="auto"/>
            <w:right w:val="none" w:sz="0" w:space="0" w:color="auto"/>
          </w:divBdr>
        </w:div>
        <w:div w:id="1692032035">
          <w:marLeft w:val="0"/>
          <w:marRight w:val="0"/>
          <w:marTop w:val="0"/>
          <w:marBottom w:val="0"/>
          <w:divBdr>
            <w:top w:val="none" w:sz="0" w:space="0" w:color="auto"/>
            <w:left w:val="none" w:sz="0" w:space="0" w:color="auto"/>
            <w:bottom w:val="none" w:sz="0" w:space="0" w:color="auto"/>
            <w:right w:val="none" w:sz="0" w:space="0" w:color="auto"/>
          </w:divBdr>
        </w:div>
        <w:div w:id="1390616360">
          <w:marLeft w:val="0"/>
          <w:marRight w:val="0"/>
          <w:marTop w:val="0"/>
          <w:marBottom w:val="0"/>
          <w:divBdr>
            <w:top w:val="none" w:sz="0" w:space="0" w:color="auto"/>
            <w:left w:val="none" w:sz="0" w:space="0" w:color="auto"/>
            <w:bottom w:val="none" w:sz="0" w:space="0" w:color="auto"/>
            <w:right w:val="none" w:sz="0" w:space="0" w:color="auto"/>
          </w:divBdr>
        </w:div>
        <w:div w:id="1364208526">
          <w:marLeft w:val="0"/>
          <w:marRight w:val="0"/>
          <w:marTop w:val="0"/>
          <w:marBottom w:val="0"/>
          <w:divBdr>
            <w:top w:val="none" w:sz="0" w:space="0" w:color="auto"/>
            <w:left w:val="none" w:sz="0" w:space="0" w:color="auto"/>
            <w:bottom w:val="none" w:sz="0" w:space="0" w:color="auto"/>
            <w:right w:val="none" w:sz="0" w:space="0" w:color="auto"/>
          </w:divBdr>
        </w:div>
        <w:div w:id="191459136">
          <w:marLeft w:val="0"/>
          <w:marRight w:val="0"/>
          <w:marTop w:val="0"/>
          <w:marBottom w:val="0"/>
          <w:divBdr>
            <w:top w:val="none" w:sz="0" w:space="0" w:color="auto"/>
            <w:left w:val="none" w:sz="0" w:space="0" w:color="auto"/>
            <w:bottom w:val="none" w:sz="0" w:space="0" w:color="auto"/>
            <w:right w:val="none" w:sz="0" w:space="0" w:color="auto"/>
          </w:divBdr>
        </w:div>
        <w:div w:id="520317676">
          <w:marLeft w:val="0"/>
          <w:marRight w:val="0"/>
          <w:marTop w:val="0"/>
          <w:marBottom w:val="0"/>
          <w:divBdr>
            <w:top w:val="none" w:sz="0" w:space="0" w:color="auto"/>
            <w:left w:val="none" w:sz="0" w:space="0" w:color="auto"/>
            <w:bottom w:val="none" w:sz="0" w:space="0" w:color="auto"/>
            <w:right w:val="none" w:sz="0" w:space="0" w:color="auto"/>
          </w:divBdr>
        </w:div>
        <w:div w:id="122777361">
          <w:marLeft w:val="0"/>
          <w:marRight w:val="0"/>
          <w:marTop w:val="0"/>
          <w:marBottom w:val="0"/>
          <w:divBdr>
            <w:top w:val="none" w:sz="0" w:space="0" w:color="auto"/>
            <w:left w:val="none" w:sz="0" w:space="0" w:color="auto"/>
            <w:bottom w:val="none" w:sz="0" w:space="0" w:color="auto"/>
            <w:right w:val="none" w:sz="0" w:space="0" w:color="auto"/>
          </w:divBdr>
        </w:div>
        <w:div w:id="2085488631">
          <w:marLeft w:val="0"/>
          <w:marRight w:val="0"/>
          <w:marTop w:val="0"/>
          <w:marBottom w:val="0"/>
          <w:divBdr>
            <w:top w:val="none" w:sz="0" w:space="0" w:color="auto"/>
            <w:left w:val="none" w:sz="0" w:space="0" w:color="auto"/>
            <w:bottom w:val="none" w:sz="0" w:space="0" w:color="auto"/>
            <w:right w:val="none" w:sz="0" w:space="0" w:color="auto"/>
          </w:divBdr>
        </w:div>
        <w:div w:id="587275388">
          <w:marLeft w:val="0"/>
          <w:marRight w:val="0"/>
          <w:marTop w:val="0"/>
          <w:marBottom w:val="0"/>
          <w:divBdr>
            <w:top w:val="none" w:sz="0" w:space="0" w:color="auto"/>
            <w:left w:val="none" w:sz="0" w:space="0" w:color="auto"/>
            <w:bottom w:val="none" w:sz="0" w:space="0" w:color="auto"/>
            <w:right w:val="none" w:sz="0" w:space="0" w:color="auto"/>
          </w:divBdr>
        </w:div>
      </w:divsChild>
    </w:div>
    <w:div w:id="1338967353">
      <w:bodyDiv w:val="1"/>
      <w:marLeft w:val="0"/>
      <w:marRight w:val="0"/>
      <w:marTop w:val="0"/>
      <w:marBottom w:val="0"/>
      <w:divBdr>
        <w:top w:val="none" w:sz="0" w:space="0" w:color="auto"/>
        <w:left w:val="none" w:sz="0" w:space="0" w:color="auto"/>
        <w:bottom w:val="none" w:sz="0" w:space="0" w:color="auto"/>
        <w:right w:val="none" w:sz="0" w:space="0" w:color="auto"/>
      </w:divBdr>
    </w:div>
    <w:div w:id="1406605552">
      <w:bodyDiv w:val="1"/>
      <w:marLeft w:val="0"/>
      <w:marRight w:val="0"/>
      <w:marTop w:val="0"/>
      <w:marBottom w:val="0"/>
      <w:divBdr>
        <w:top w:val="none" w:sz="0" w:space="0" w:color="auto"/>
        <w:left w:val="none" w:sz="0" w:space="0" w:color="auto"/>
        <w:bottom w:val="none" w:sz="0" w:space="0" w:color="auto"/>
        <w:right w:val="none" w:sz="0" w:space="0" w:color="auto"/>
      </w:divBdr>
      <w:divsChild>
        <w:div w:id="1735817337">
          <w:marLeft w:val="0"/>
          <w:marRight w:val="0"/>
          <w:marTop w:val="0"/>
          <w:marBottom w:val="0"/>
          <w:divBdr>
            <w:top w:val="none" w:sz="0" w:space="0" w:color="auto"/>
            <w:left w:val="none" w:sz="0" w:space="0" w:color="auto"/>
            <w:bottom w:val="none" w:sz="0" w:space="0" w:color="auto"/>
            <w:right w:val="none" w:sz="0" w:space="0" w:color="auto"/>
          </w:divBdr>
        </w:div>
      </w:divsChild>
    </w:div>
    <w:div w:id="1643269575">
      <w:bodyDiv w:val="1"/>
      <w:marLeft w:val="0"/>
      <w:marRight w:val="0"/>
      <w:marTop w:val="0"/>
      <w:marBottom w:val="0"/>
      <w:divBdr>
        <w:top w:val="none" w:sz="0" w:space="0" w:color="auto"/>
        <w:left w:val="none" w:sz="0" w:space="0" w:color="auto"/>
        <w:bottom w:val="none" w:sz="0" w:space="0" w:color="auto"/>
        <w:right w:val="none" w:sz="0" w:space="0" w:color="auto"/>
      </w:divBdr>
      <w:divsChild>
        <w:div w:id="1389260703">
          <w:marLeft w:val="0"/>
          <w:marRight w:val="0"/>
          <w:marTop w:val="0"/>
          <w:marBottom w:val="0"/>
          <w:divBdr>
            <w:top w:val="none" w:sz="0" w:space="0" w:color="auto"/>
            <w:left w:val="none" w:sz="0" w:space="0" w:color="auto"/>
            <w:bottom w:val="none" w:sz="0" w:space="0" w:color="auto"/>
            <w:right w:val="none" w:sz="0" w:space="0" w:color="auto"/>
          </w:divBdr>
        </w:div>
      </w:divsChild>
    </w:div>
    <w:div w:id="1774091933">
      <w:bodyDiv w:val="1"/>
      <w:marLeft w:val="0"/>
      <w:marRight w:val="0"/>
      <w:marTop w:val="0"/>
      <w:marBottom w:val="0"/>
      <w:divBdr>
        <w:top w:val="none" w:sz="0" w:space="0" w:color="auto"/>
        <w:left w:val="none" w:sz="0" w:space="0" w:color="auto"/>
        <w:bottom w:val="none" w:sz="0" w:space="0" w:color="auto"/>
        <w:right w:val="none" w:sz="0" w:space="0" w:color="auto"/>
      </w:divBdr>
      <w:divsChild>
        <w:div w:id="587888127">
          <w:marLeft w:val="0"/>
          <w:marRight w:val="0"/>
          <w:marTop w:val="0"/>
          <w:marBottom w:val="0"/>
          <w:divBdr>
            <w:top w:val="none" w:sz="0" w:space="0" w:color="auto"/>
            <w:left w:val="none" w:sz="0" w:space="0" w:color="auto"/>
            <w:bottom w:val="none" w:sz="0" w:space="0" w:color="auto"/>
            <w:right w:val="none" w:sz="0" w:space="0" w:color="auto"/>
          </w:divBdr>
        </w:div>
      </w:divsChild>
    </w:div>
    <w:div w:id="1833064288">
      <w:bodyDiv w:val="1"/>
      <w:marLeft w:val="0"/>
      <w:marRight w:val="0"/>
      <w:marTop w:val="0"/>
      <w:marBottom w:val="0"/>
      <w:divBdr>
        <w:top w:val="none" w:sz="0" w:space="0" w:color="auto"/>
        <w:left w:val="none" w:sz="0" w:space="0" w:color="auto"/>
        <w:bottom w:val="none" w:sz="0" w:space="0" w:color="auto"/>
        <w:right w:val="none" w:sz="0" w:space="0" w:color="auto"/>
      </w:divBdr>
      <w:divsChild>
        <w:div w:id="1341809790">
          <w:marLeft w:val="0"/>
          <w:marRight w:val="0"/>
          <w:marTop w:val="0"/>
          <w:marBottom w:val="0"/>
          <w:divBdr>
            <w:top w:val="none" w:sz="0" w:space="0" w:color="auto"/>
            <w:left w:val="none" w:sz="0" w:space="0" w:color="auto"/>
            <w:bottom w:val="none" w:sz="0" w:space="0" w:color="auto"/>
            <w:right w:val="none" w:sz="0" w:space="0" w:color="auto"/>
          </w:divBdr>
        </w:div>
      </w:divsChild>
    </w:div>
    <w:div w:id="1849900805">
      <w:bodyDiv w:val="1"/>
      <w:marLeft w:val="0"/>
      <w:marRight w:val="0"/>
      <w:marTop w:val="0"/>
      <w:marBottom w:val="0"/>
      <w:divBdr>
        <w:top w:val="none" w:sz="0" w:space="0" w:color="auto"/>
        <w:left w:val="none" w:sz="0" w:space="0" w:color="auto"/>
        <w:bottom w:val="none" w:sz="0" w:space="0" w:color="auto"/>
        <w:right w:val="none" w:sz="0" w:space="0" w:color="auto"/>
      </w:divBdr>
      <w:divsChild>
        <w:div w:id="423500878">
          <w:marLeft w:val="0"/>
          <w:marRight w:val="0"/>
          <w:marTop w:val="0"/>
          <w:marBottom w:val="0"/>
          <w:divBdr>
            <w:top w:val="none" w:sz="0" w:space="0" w:color="auto"/>
            <w:left w:val="none" w:sz="0" w:space="0" w:color="auto"/>
            <w:bottom w:val="none" w:sz="0" w:space="0" w:color="auto"/>
            <w:right w:val="none" w:sz="0" w:space="0" w:color="auto"/>
          </w:divBdr>
        </w:div>
      </w:divsChild>
    </w:div>
    <w:div w:id="1856726073">
      <w:bodyDiv w:val="1"/>
      <w:marLeft w:val="0"/>
      <w:marRight w:val="0"/>
      <w:marTop w:val="0"/>
      <w:marBottom w:val="0"/>
      <w:divBdr>
        <w:top w:val="none" w:sz="0" w:space="0" w:color="auto"/>
        <w:left w:val="none" w:sz="0" w:space="0" w:color="auto"/>
        <w:bottom w:val="none" w:sz="0" w:space="0" w:color="auto"/>
        <w:right w:val="none" w:sz="0" w:space="0" w:color="auto"/>
      </w:divBdr>
    </w:div>
    <w:div w:id="1964801813">
      <w:bodyDiv w:val="1"/>
      <w:marLeft w:val="0"/>
      <w:marRight w:val="0"/>
      <w:marTop w:val="0"/>
      <w:marBottom w:val="0"/>
      <w:divBdr>
        <w:top w:val="none" w:sz="0" w:space="0" w:color="auto"/>
        <w:left w:val="none" w:sz="0" w:space="0" w:color="auto"/>
        <w:bottom w:val="none" w:sz="0" w:space="0" w:color="auto"/>
        <w:right w:val="none" w:sz="0" w:space="0" w:color="auto"/>
      </w:divBdr>
    </w:div>
    <w:div w:id="2006130815">
      <w:bodyDiv w:val="1"/>
      <w:marLeft w:val="0"/>
      <w:marRight w:val="0"/>
      <w:marTop w:val="0"/>
      <w:marBottom w:val="0"/>
      <w:divBdr>
        <w:top w:val="none" w:sz="0" w:space="0" w:color="auto"/>
        <w:left w:val="none" w:sz="0" w:space="0" w:color="auto"/>
        <w:bottom w:val="none" w:sz="0" w:space="0" w:color="auto"/>
        <w:right w:val="none" w:sz="0" w:space="0" w:color="auto"/>
      </w:divBdr>
      <w:divsChild>
        <w:div w:id="1894190684">
          <w:marLeft w:val="0"/>
          <w:marRight w:val="0"/>
          <w:marTop w:val="0"/>
          <w:marBottom w:val="0"/>
          <w:divBdr>
            <w:top w:val="none" w:sz="0" w:space="0" w:color="auto"/>
            <w:left w:val="none" w:sz="0" w:space="0" w:color="auto"/>
            <w:bottom w:val="none" w:sz="0" w:space="0" w:color="auto"/>
            <w:right w:val="none" w:sz="0" w:space="0" w:color="auto"/>
          </w:divBdr>
        </w:div>
        <w:div w:id="1537232955">
          <w:marLeft w:val="0"/>
          <w:marRight w:val="0"/>
          <w:marTop w:val="0"/>
          <w:marBottom w:val="0"/>
          <w:divBdr>
            <w:top w:val="none" w:sz="0" w:space="0" w:color="auto"/>
            <w:left w:val="none" w:sz="0" w:space="0" w:color="auto"/>
            <w:bottom w:val="none" w:sz="0" w:space="0" w:color="auto"/>
            <w:right w:val="none" w:sz="0" w:space="0" w:color="auto"/>
          </w:divBdr>
        </w:div>
        <w:div w:id="244919976">
          <w:marLeft w:val="0"/>
          <w:marRight w:val="0"/>
          <w:marTop w:val="0"/>
          <w:marBottom w:val="0"/>
          <w:divBdr>
            <w:top w:val="none" w:sz="0" w:space="0" w:color="auto"/>
            <w:left w:val="none" w:sz="0" w:space="0" w:color="auto"/>
            <w:bottom w:val="none" w:sz="0" w:space="0" w:color="auto"/>
            <w:right w:val="none" w:sz="0" w:space="0" w:color="auto"/>
          </w:divBdr>
        </w:div>
      </w:divsChild>
    </w:div>
    <w:div w:id="2106808062">
      <w:bodyDiv w:val="1"/>
      <w:marLeft w:val="0"/>
      <w:marRight w:val="0"/>
      <w:marTop w:val="0"/>
      <w:marBottom w:val="0"/>
      <w:divBdr>
        <w:top w:val="none" w:sz="0" w:space="0" w:color="auto"/>
        <w:left w:val="none" w:sz="0" w:space="0" w:color="auto"/>
        <w:bottom w:val="none" w:sz="0" w:space="0" w:color="auto"/>
        <w:right w:val="none" w:sz="0" w:space="0" w:color="auto"/>
      </w:divBdr>
    </w:div>
    <w:div w:id="21250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1540-6288.00034" TargetMode="External"/><Relationship Id="rId21" Type="http://schemas.openxmlformats.org/officeDocument/2006/relationships/hyperlink" Target="https://doi.org/10.1080/03054985.2015.1082905" TargetMode="External"/><Relationship Id="rId42" Type="http://schemas.openxmlformats.org/officeDocument/2006/relationships/hyperlink" Target="https://doi.org/10.1108/CG-08-2017-0185" TargetMode="External"/><Relationship Id="rId47" Type="http://schemas.openxmlformats.org/officeDocument/2006/relationships/hyperlink" Target="https://doi.org/10.1080/19420676.2018.1541012" TargetMode="External"/><Relationship Id="rId63" Type="http://schemas.openxmlformats.org/officeDocument/2006/relationships/hyperlink" Target="https://doi.org/10.1111/corg.12042" TargetMode="External"/><Relationship Id="rId68" Type="http://schemas.openxmlformats.org/officeDocument/2006/relationships/hyperlink" Target="https://doi.org/10.1080/1360080X.2013.844668" TargetMode="External"/><Relationship Id="rId84" Type="http://schemas.openxmlformats.org/officeDocument/2006/relationships/hyperlink" Target="https://doi.org/10.1111/1468-2273.00216" TargetMode="External"/><Relationship Id="rId89" Type="http://schemas.openxmlformats.org/officeDocument/2006/relationships/hyperlink" Target="https://doi.org/10.1177/0899764009341086" TargetMode="External"/><Relationship Id="rId16" Type="http://schemas.openxmlformats.org/officeDocument/2006/relationships/hyperlink" Target="https://doi.org/10.1111/j.1467-8683.2006.00491.x" TargetMode="External"/><Relationship Id="rId107" Type="http://schemas.openxmlformats.org/officeDocument/2006/relationships/theme" Target="theme/theme1.xml"/><Relationship Id="rId11" Type="http://schemas.openxmlformats.org/officeDocument/2006/relationships/hyperlink" Target="https://www.jstor.org/stable/20159338" TargetMode="External"/><Relationship Id="rId32" Type="http://schemas.openxmlformats.org/officeDocument/2006/relationships/hyperlink" Target="https://doi.org/10.1016/j.adiac.2012.09.010" TargetMode="External"/><Relationship Id="rId37" Type="http://schemas.openxmlformats.org/officeDocument/2006/relationships/hyperlink" Target="https://doi.org/10.1111/j.1468-0408.1991.tb00348.x" TargetMode="External"/><Relationship Id="rId53" Type="http://schemas.openxmlformats.org/officeDocument/2006/relationships/hyperlink" Target="https://doi.org/10.1080/09638180.2019.1619603" TargetMode="External"/><Relationship Id="rId58" Type="http://schemas.openxmlformats.org/officeDocument/2006/relationships/hyperlink" Target="https://doi.org/10.1111/j.1475-679X.2005.00177.x" TargetMode="External"/><Relationship Id="rId74" Type="http://schemas.openxmlformats.org/officeDocument/2006/relationships/hyperlink" Target="https://doi.org/10.1007/s11266-016-9689-0" TargetMode="External"/><Relationship Id="rId79" Type="http://schemas.openxmlformats.org/officeDocument/2006/relationships/hyperlink" Target="https://doi.org/10.1016/j.cpa.2010.11.002" TargetMode="External"/><Relationship Id="rId102" Type="http://schemas.openxmlformats.org/officeDocument/2006/relationships/hyperlink" Target="https://doi.org/10.1108/ARA-03-2018-0057" TargetMode="External"/><Relationship Id="rId5" Type="http://schemas.openxmlformats.org/officeDocument/2006/relationships/webSettings" Target="webSettings.xml"/><Relationship Id="rId90" Type="http://schemas.openxmlformats.org/officeDocument/2006/relationships/hyperlink" Target="https://doi.org/10.1177/0899764011427597" TargetMode="External"/><Relationship Id="rId95" Type="http://schemas.openxmlformats.org/officeDocument/2006/relationships/hyperlink" Target="https://doi.org/10.1017/S1062798700003628" TargetMode="External"/><Relationship Id="rId22" Type="http://schemas.openxmlformats.org/officeDocument/2006/relationships/hyperlink" Target="https://www.jstor.org/stable/248475" TargetMode="External"/><Relationship Id="rId27" Type="http://schemas.openxmlformats.org/officeDocument/2006/relationships/hyperlink" Target="https://doi.org/10.1080/09540968909387519" TargetMode="External"/><Relationship Id="rId43" Type="http://schemas.openxmlformats.org/officeDocument/2006/relationships/hyperlink" Target="https://doi.org/10.1002/bse.2250" TargetMode="External"/><Relationship Id="rId48" Type="http://schemas.openxmlformats.org/officeDocument/2006/relationships/hyperlink" Target="https://doi.org/10.1016/S0278-4254(02)00051-0" TargetMode="External"/><Relationship Id="rId64" Type="http://schemas.openxmlformats.org/officeDocument/2006/relationships/hyperlink" Target="https://doi.org/10.1177/1741143214535740" TargetMode="External"/><Relationship Id="rId69" Type="http://schemas.openxmlformats.org/officeDocument/2006/relationships/hyperlink" Target="https://www.jstor.org/stable/2778293" TargetMode="External"/><Relationship Id="rId80" Type="http://schemas.openxmlformats.org/officeDocument/2006/relationships/hyperlink" Target="https://doi.org/10.1111/j.1468-0408.2012.00544.x" TargetMode="External"/><Relationship Id="rId85" Type="http://schemas.openxmlformats.org/officeDocument/2006/relationships/hyperlink" Target="https://doi.org/10.1016/j.intaccaudtax.2014.11.001" TargetMode="External"/><Relationship Id="rId12" Type="http://schemas.openxmlformats.org/officeDocument/2006/relationships/hyperlink" Target="https://doi.org/10.1108/QRAM-04-2015-0041" TargetMode="External"/><Relationship Id="rId17" Type="http://schemas.openxmlformats.org/officeDocument/2006/relationships/hyperlink" Target="https://doi.org/10.1111/j.1468-5957.2006.00614.x" TargetMode="External"/><Relationship Id="rId33" Type="http://schemas.openxmlformats.org/officeDocument/2006/relationships/hyperlink" Target="https://doi.org/10.1016/j.jpubeco.2018.08.014" TargetMode="External"/><Relationship Id="rId38" Type="http://schemas.openxmlformats.org/officeDocument/2006/relationships/hyperlink" Target="https://doi.org/10.1007/s10734-005-3146-0" TargetMode="External"/><Relationship Id="rId59" Type="http://schemas.openxmlformats.org/officeDocument/2006/relationships/hyperlink" Target="https://doi.org/10.1007/s10551-017-3672-6" TargetMode="External"/><Relationship Id="rId103" Type="http://schemas.openxmlformats.org/officeDocument/2006/relationships/hyperlink" Target="https://doi.org/10.1016/0304-405X(95)00844-5" TargetMode="External"/><Relationship Id="rId20" Type="http://schemas.openxmlformats.org/officeDocument/2006/relationships/hyperlink" Target="https://doi.org/10.1016/S0304-4076(98)00009-8" TargetMode="External"/><Relationship Id="rId41" Type="http://schemas.openxmlformats.org/officeDocument/2006/relationships/hyperlink" Target="https://doi.org/10.1108/CG-01-2016-0006" TargetMode="External"/><Relationship Id="rId54" Type="http://schemas.openxmlformats.org/officeDocument/2006/relationships/hyperlink" Target="https://doi.org/10.1016/j.accfor.2011.11.004" TargetMode="External"/><Relationship Id="rId62" Type="http://schemas.openxmlformats.org/officeDocument/2006/relationships/hyperlink" Target="https://doi.org/10.1108/S2056-375220160000002013" TargetMode="External"/><Relationship Id="rId70" Type="http://schemas.openxmlformats.org/officeDocument/2006/relationships/hyperlink" Target="https://doi.org/10.1111/j.1468-2273.2004.00273.x" TargetMode="External"/><Relationship Id="rId75" Type="http://schemas.openxmlformats.org/officeDocument/2006/relationships/hyperlink" Target="https://doi.org/10.1111/1467-629X.00003" TargetMode="External"/><Relationship Id="rId83" Type="http://schemas.openxmlformats.org/officeDocument/2006/relationships/hyperlink" Target="https://doi.org/10.1177/1077558709338479" TargetMode="External"/><Relationship Id="rId88" Type="http://schemas.openxmlformats.org/officeDocument/2006/relationships/hyperlink" Target="https://doi.org/10.1016/j.intaccaudtax.2019.05.003" TargetMode="External"/><Relationship Id="rId91" Type="http://schemas.openxmlformats.org/officeDocument/2006/relationships/hyperlink" Target="https://www.jstor.org/stable/2392880" TargetMode="External"/><Relationship Id="rId96" Type="http://schemas.openxmlformats.org/officeDocument/2006/relationships/hyperlink" Target="https://doi.org/10.1016/S0304-405X(99)00018-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1061-9518(94)90022-1" TargetMode="External"/><Relationship Id="rId23" Type="http://schemas.openxmlformats.org/officeDocument/2006/relationships/hyperlink" Target="https://doi.org/10.1007/s10734-007-9092-2" TargetMode="External"/><Relationship Id="rId28" Type="http://schemas.openxmlformats.org/officeDocument/2006/relationships/hyperlink" Target="https://doi.org/10.1007/s10551-010-0531-0" TargetMode="External"/><Relationship Id="rId36" Type="http://schemas.openxmlformats.org/officeDocument/2006/relationships/hyperlink" Target="https://www.jstor.org/stable/2095101" TargetMode="External"/><Relationship Id="rId49" Type="http://schemas.openxmlformats.org/officeDocument/2006/relationships/hyperlink" Target="https://doi.org/10.1111/j.1468-0408.1990.tb00327.x" TargetMode="External"/><Relationship Id="rId57" Type="http://schemas.openxmlformats.org/officeDocument/2006/relationships/hyperlink" Target="https://doi.org/10.1007/s10551-013-1929-2" TargetMode="External"/><Relationship Id="rId106" Type="http://schemas.openxmlformats.org/officeDocument/2006/relationships/fontTable" Target="fontTable.xml"/><Relationship Id="rId10" Type="http://schemas.openxmlformats.org/officeDocument/2006/relationships/hyperlink" Target="https://doi.org/10.1108/SAMPJ-03-2018-0093" TargetMode="External"/><Relationship Id="rId31" Type="http://schemas.openxmlformats.org/officeDocument/2006/relationships/hyperlink" Target="https://doi.org/10.1080/03075079.2014.899342" TargetMode="External"/><Relationship Id="rId44" Type="http://schemas.openxmlformats.org/officeDocument/2006/relationships/hyperlink" Target="https://search.proquest.com/openview/1989ea29a3f09e2e84be4fc924b4498f/1?pq-origsite=gscholar&amp;cbl=1820949" TargetMode="External"/><Relationship Id="rId52" Type="http://schemas.openxmlformats.org/officeDocument/2006/relationships/hyperlink" Target="https://doi.org/10.1111/1467-6281.00112" TargetMode="External"/><Relationship Id="rId60" Type="http://schemas.openxmlformats.org/officeDocument/2006/relationships/hyperlink" Target="https://doi.org/10.2304/eerj.2006.5.1.18" TargetMode="External"/><Relationship Id="rId65" Type="http://schemas.openxmlformats.org/officeDocument/2006/relationships/hyperlink" Target="https://www.jstor.org/stable/256976" TargetMode="External"/><Relationship Id="rId73" Type="http://schemas.openxmlformats.org/officeDocument/2006/relationships/hyperlink" Target="https://doi.org/10.1506/1H5W-R5DC-U15T-KJPH" TargetMode="External"/><Relationship Id="rId78" Type="http://schemas.openxmlformats.org/officeDocument/2006/relationships/hyperlink" Target="https://doi.org/10.1108/AAAJ-10-2014-1842" TargetMode="External"/><Relationship Id="rId81" Type="http://schemas.openxmlformats.org/officeDocument/2006/relationships/hyperlink" Target="https://doi.org/10.1111/faam.12000" TargetMode="External"/><Relationship Id="rId86" Type="http://schemas.openxmlformats.org/officeDocument/2006/relationships/hyperlink" Target="https://doi.org/10.1080/09540253.2015.1024618" TargetMode="External"/><Relationship Id="rId94" Type="http://schemas.openxmlformats.org/officeDocument/2006/relationships/hyperlink" Target="https://doi.org/10.1080/13603108.2013.835289" TargetMode="External"/><Relationship Id="rId99" Type="http://schemas.openxmlformats.org/officeDocument/2006/relationships/hyperlink" Target="https://doi.org/10.1006/bare.2002.0213" TargetMode="External"/><Relationship Id="rId101" Type="http://schemas.openxmlformats.org/officeDocument/2006/relationships/hyperlink" Target="https://doi.org/10.1016/j.jfineco.2012.03.005" TargetMode="External"/><Relationship Id="rId4" Type="http://schemas.openxmlformats.org/officeDocument/2006/relationships/settings" Target="settings.xml"/><Relationship Id="rId9" Type="http://schemas.openxmlformats.org/officeDocument/2006/relationships/hyperlink" Target="https://www.vocabulary.com/dictionary/industriousness" TargetMode="External"/><Relationship Id="rId13" Type="http://schemas.openxmlformats.org/officeDocument/2006/relationships/hyperlink" Target="https://doi.org/10.1007/s10997-011-9168-3" TargetMode="External"/><Relationship Id="rId18" Type="http://schemas.openxmlformats.org/officeDocument/2006/relationships/hyperlink" Target="https://doi.org/10.1057/s41307-018-0081-0" TargetMode="External"/><Relationship Id="rId39" Type="http://schemas.openxmlformats.org/officeDocument/2006/relationships/hyperlink" Target="https://doi.org/10.1111/j.1467-8683.2008.00692.x" TargetMode="External"/><Relationship Id="rId34" Type="http://schemas.openxmlformats.org/officeDocument/2006/relationships/hyperlink" Target="https://doi.org/10.1108/JAOC-01-2017-0002" TargetMode="External"/><Relationship Id="rId50" Type="http://schemas.openxmlformats.org/officeDocument/2006/relationships/hyperlink" Target="https://doi.org/10.1016/j.jacceco.2011.01.005" TargetMode="External"/><Relationship Id="rId55" Type="http://schemas.openxmlformats.org/officeDocument/2006/relationships/hyperlink" Target="https://doi.org/10.2308/acch-50268" TargetMode="External"/><Relationship Id="rId76" Type="http://schemas.openxmlformats.org/officeDocument/2006/relationships/hyperlink" Target="https://doi.org/10.1108/09675421211254830" TargetMode="External"/><Relationship Id="rId97" Type="http://schemas.openxmlformats.org/officeDocument/2006/relationships/hyperlink" Target="https://doi.org/10.1177/0899764018762318" TargetMode="External"/><Relationship Id="rId104" Type="http://schemas.openxmlformats.org/officeDocument/2006/relationships/hyperlink" Target="https://doi.org/10.1080/0309877032000161841" TargetMode="External"/><Relationship Id="rId7" Type="http://schemas.openxmlformats.org/officeDocument/2006/relationships/endnotes" Target="endnotes.xml"/><Relationship Id="rId71" Type="http://schemas.openxmlformats.org/officeDocument/2006/relationships/hyperlink" Target="https://doi.org/10.1177/2631787719887975" TargetMode="External"/><Relationship Id="rId92" Type="http://schemas.openxmlformats.org/officeDocument/2006/relationships/hyperlink" Target="https://doi.org/10.1080/01559982.2019.1605872" TargetMode="External"/><Relationship Id="rId2" Type="http://schemas.openxmlformats.org/officeDocument/2006/relationships/numbering" Target="numbering.xml"/><Relationship Id="rId29" Type="http://schemas.openxmlformats.org/officeDocument/2006/relationships/hyperlink" Target="https://doi.org/10.1002/nml.21309" TargetMode="External"/><Relationship Id="rId24" Type="http://schemas.openxmlformats.org/officeDocument/2006/relationships/hyperlink" Target="https://doi.org/10.1016/j.jebo.2010.06.008" TargetMode="External"/><Relationship Id="rId40" Type="http://schemas.openxmlformats.org/officeDocument/2006/relationships/hyperlink" Target="https://doi.org/10.1111/abac.12167" TargetMode="External"/><Relationship Id="rId45" Type="http://schemas.openxmlformats.org/officeDocument/2006/relationships/hyperlink" Target="https://doi.org/10.1016/j.jaccpubpol.2010.03.001" TargetMode="External"/><Relationship Id="rId66" Type="http://schemas.openxmlformats.org/officeDocument/2006/relationships/hyperlink" Target="https://doi.org/10.1080/13583880802481666" TargetMode="External"/><Relationship Id="rId87" Type="http://schemas.openxmlformats.org/officeDocument/2006/relationships/hyperlink" Target="https://doi.org/10.1007/s11266-017-9882-9" TargetMode="External"/><Relationship Id="rId61" Type="http://schemas.openxmlformats.org/officeDocument/2006/relationships/hyperlink" Target="https://doi.org/10.1007/s11266-005-3230-1" TargetMode="External"/><Relationship Id="rId82" Type="http://schemas.openxmlformats.org/officeDocument/2006/relationships/hyperlink" Target="https://doi.org/10.1177/0894486511406427" TargetMode="External"/><Relationship Id="rId19" Type="http://schemas.openxmlformats.org/officeDocument/2006/relationships/hyperlink" Target="https://doi.org/10.1108/JMH-06-2016-0028" TargetMode="External"/><Relationship Id="rId14" Type="http://schemas.openxmlformats.org/officeDocument/2006/relationships/hyperlink" Target="https://www.jstor.org/stable/2635061" TargetMode="External"/><Relationship Id="rId30" Type="http://schemas.openxmlformats.org/officeDocument/2006/relationships/hyperlink" Target="https://doi.org/10.1006/cpac.2000.0416" TargetMode="External"/><Relationship Id="rId35" Type="http://schemas.openxmlformats.org/officeDocument/2006/relationships/hyperlink" Target="https://doi.org/10.1108/OIR-05-2014-0113" TargetMode="External"/><Relationship Id="rId56" Type="http://schemas.openxmlformats.org/officeDocument/2006/relationships/hyperlink" Target="https://doi.org/10.1016/0304-405X(76)90026-X" TargetMode="External"/><Relationship Id="rId77" Type="http://schemas.openxmlformats.org/officeDocument/2006/relationships/hyperlink" Target="https://doi.org/10.1007/s10551-012-1446-8" TargetMode="External"/><Relationship Id="rId100" Type="http://schemas.openxmlformats.org/officeDocument/2006/relationships/hyperlink" Target="https://doi.org/10.5465/amr.1989.4308371" TargetMode="External"/><Relationship Id="rId105" Type="http://schemas.openxmlformats.org/officeDocument/2006/relationships/hyperlink" Target="https://doi.org/10.1111/j.1467-8683.2008.00661.x" TargetMode="External"/><Relationship Id="rId8" Type="http://schemas.openxmlformats.org/officeDocument/2006/relationships/footer" Target="footer1.xml"/><Relationship Id="rId51" Type="http://schemas.openxmlformats.org/officeDocument/2006/relationships/hyperlink" Target="https://doi.org/10.1080/00131911.2017.1410106" TargetMode="External"/><Relationship Id="rId72" Type="http://schemas.openxmlformats.org/officeDocument/2006/relationships/hyperlink" Target="https://www.theibfr.com/download/at/2009-at/at-v1n1-2009/AT-V1N12009-8.pdf" TargetMode="External"/><Relationship Id="rId93" Type="http://schemas.openxmlformats.org/officeDocument/2006/relationships/hyperlink" Target="https://www.jstor.org/stable/258788" TargetMode="External"/><Relationship Id="rId98" Type="http://schemas.openxmlformats.org/officeDocument/2006/relationships/hyperlink" Target="https://doi.org/10.1080/00014788.1994.9729927" TargetMode="External"/><Relationship Id="rId3" Type="http://schemas.openxmlformats.org/officeDocument/2006/relationships/styles" Target="styles.xml"/><Relationship Id="rId25" Type="http://schemas.openxmlformats.org/officeDocument/2006/relationships/hyperlink" Target="https://doi.org/10.1007/s10551-014-2352-z" TargetMode="External"/><Relationship Id="rId46" Type="http://schemas.openxmlformats.org/officeDocument/2006/relationships/hyperlink" Target="https://doi.org/10.2307/41165018" TargetMode="External"/><Relationship Id="rId67" Type="http://schemas.openxmlformats.org/officeDocument/2006/relationships/hyperlink" Target="https://doi.org/10.1016/j.bar.2017.05.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E54AE-53BE-4834-8526-4A6DA0E7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57</Pages>
  <Words>20067</Words>
  <Characters>114383</Characters>
  <Application>Microsoft Office Word</Application>
  <DocSecurity>4</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dc:description/>
  <cp:lastModifiedBy>Collins Ntim</cp:lastModifiedBy>
  <cp:revision>2</cp:revision>
  <cp:lastPrinted>2020-09-13T20:19:00Z</cp:lastPrinted>
  <dcterms:created xsi:type="dcterms:W3CDTF">2021-01-17T17:39:00Z</dcterms:created>
  <dcterms:modified xsi:type="dcterms:W3CDTF">2021-01-17T17:39:00Z</dcterms:modified>
</cp:coreProperties>
</file>