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7964" w:rsidRDefault="001D40DB">
      <w:pPr>
        <w:spacing w:line="480" w:lineRule="auto"/>
      </w:pPr>
      <w:r>
        <w:rPr>
          <w:noProof/>
        </w:rPr>
        <w:drawing>
          <wp:inline distT="114300" distB="114300" distL="114300" distR="114300">
            <wp:extent cx="5734050" cy="373380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srcRect/>
                    <a:stretch>
                      <a:fillRect/>
                    </a:stretch>
                  </pic:blipFill>
                  <pic:spPr>
                    <a:xfrm>
                      <a:off x="0" y="0"/>
                      <a:ext cx="5734050" cy="3733800"/>
                    </a:xfrm>
                    <a:prstGeom prst="rect">
                      <a:avLst/>
                    </a:prstGeom>
                    <a:ln/>
                  </pic:spPr>
                </pic:pic>
              </a:graphicData>
            </a:graphic>
          </wp:inline>
        </w:drawing>
      </w:r>
    </w:p>
    <w:p w:rsidR="00557964" w:rsidRDefault="001D40DB">
      <w:pPr>
        <w:widowControl w:val="0"/>
        <w:spacing w:line="480" w:lineRule="auto"/>
        <w:jc w:val="both"/>
        <w:rPr>
          <w:rFonts w:ascii="Times New Roman" w:eastAsia="Times New Roman" w:hAnsi="Times New Roman" w:cs="Times New Roman"/>
        </w:rPr>
      </w:pPr>
      <w:r>
        <w:rPr>
          <w:rFonts w:ascii="Times New Roman" w:eastAsia="Times New Roman" w:hAnsi="Times New Roman" w:cs="Times New Roman"/>
          <w:b/>
        </w:rPr>
        <w:t xml:space="preserve">Figure 1. </w:t>
      </w:r>
      <w:r>
        <w:rPr>
          <w:rFonts w:ascii="Times New Roman" w:eastAsia="Times New Roman" w:hAnsi="Times New Roman" w:cs="Times New Roman"/>
        </w:rPr>
        <w:t xml:space="preserve"> From Schaeffer and Lebedev (2015).  Comparison of velocity anomalies from nine global tomographic models at a depth of 150 km. The models are: SL2013sv (Schaeffer and Lebedev, 2013), DR2012 (</w:t>
      </w:r>
      <w:proofErr w:type="spellStart"/>
      <w:r>
        <w:rPr>
          <w:rFonts w:ascii="Times New Roman" w:eastAsia="Times New Roman" w:hAnsi="Times New Roman" w:cs="Times New Roman"/>
        </w:rPr>
        <w:t>Debayle</w:t>
      </w:r>
      <w:proofErr w:type="spellEnd"/>
      <w:r>
        <w:rPr>
          <w:rFonts w:ascii="Times New Roman" w:eastAsia="Times New Roman" w:hAnsi="Times New Roman" w:cs="Times New Roman"/>
        </w:rPr>
        <w:t xml:space="preserve"> and Ricard, 2012), </w:t>
      </w:r>
      <w:proofErr w:type="spellStart"/>
      <w:r>
        <w:rPr>
          <w:rFonts w:ascii="Times New Roman" w:eastAsia="Times New Roman" w:hAnsi="Times New Roman" w:cs="Times New Roman"/>
        </w:rPr>
        <w:t>SEMum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Lekic</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Romanowicz</w:t>
      </w:r>
      <w:proofErr w:type="spellEnd"/>
      <w:r>
        <w:rPr>
          <w:rFonts w:ascii="Times New Roman" w:eastAsia="Times New Roman" w:hAnsi="Times New Roman" w:cs="Times New Roman"/>
        </w:rPr>
        <w:t>, 2011), S</w:t>
      </w:r>
      <w:r>
        <w:rPr>
          <w:rFonts w:ascii="Times New Roman" w:eastAsia="Times New Roman" w:hAnsi="Times New Roman" w:cs="Times New Roman"/>
        </w:rPr>
        <w:t>40RTS (</w:t>
      </w:r>
      <w:proofErr w:type="spellStart"/>
      <w:r>
        <w:rPr>
          <w:rFonts w:ascii="Times New Roman" w:eastAsia="Times New Roman" w:hAnsi="Times New Roman" w:cs="Times New Roman"/>
        </w:rPr>
        <w:t>Ritsema</w:t>
      </w:r>
      <w:proofErr w:type="spellEnd"/>
      <w:r>
        <w:rPr>
          <w:rFonts w:ascii="Times New Roman" w:eastAsia="Times New Roman" w:hAnsi="Times New Roman" w:cs="Times New Roman"/>
        </w:rPr>
        <w:t xml:space="preserve"> et al., 2011), SAW642ANb (Panning et al., 2010), LH2008 (Lebedev and van der Hilst, 2008), S362ANI (</w:t>
      </w:r>
      <w:proofErr w:type="spellStart"/>
      <w:r>
        <w:rPr>
          <w:rFonts w:ascii="Times New Roman" w:eastAsia="Times New Roman" w:hAnsi="Times New Roman" w:cs="Times New Roman"/>
        </w:rPr>
        <w:t>Kustowski</w:t>
      </w:r>
      <w:proofErr w:type="spellEnd"/>
      <w:r>
        <w:rPr>
          <w:rFonts w:ascii="Times New Roman" w:eastAsia="Times New Roman" w:hAnsi="Times New Roman" w:cs="Times New Roman"/>
        </w:rPr>
        <w:t xml:space="preserve"> et al., 2008), S20RTS (</w:t>
      </w:r>
      <w:proofErr w:type="spellStart"/>
      <w:r>
        <w:rPr>
          <w:rFonts w:ascii="Times New Roman" w:eastAsia="Times New Roman" w:hAnsi="Times New Roman" w:cs="Times New Roman"/>
        </w:rPr>
        <w:t>Ritsema</w:t>
      </w:r>
      <w:proofErr w:type="spellEnd"/>
      <w:r>
        <w:rPr>
          <w:rFonts w:ascii="Times New Roman" w:eastAsia="Times New Roman" w:hAnsi="Times New Roman" w:cs="Times New Roman"/>
        </w:rPr>
        <w:t xml:space="preserve"> et al., 2004), and CUB (Shapiro and </w:t>
      </w:r>
      <w:proofErr w:type="spellStart"/>
      <w:r>
        <w:rPr>
          <w:rFonts w:ascii="Times New Roman" w:eastAsia="Times New Roman" w:hAnsi="Times New Roman" w:cs="Times New Roman"/>
        </w:rPr>
        <w:t>Ritzwoller</w:t>
      </w:r>
      <w:proofErr w:type="spellEnd"/>
      <w:r>
        <w:rPr>
          <w:rFonts w:ascii="Times New Roman" w:eastAsia="Times New Roman" w:hAnsi="Times New Roman" w:cs="Times New Roman"/>
        </w:rPr>
        <w:t>, 2002).   Percentages indicate perturbations with res</w:t>
      </w:r>
      <w:r>
        <w:rPr>
          <w:rFonts w:ascii="Times New Roman" w:eastAsia="Times New Roman" w:hAnsi="Times New Roman" w:cs="Times New Roman"/>
        </w:rPr>
        <w:t xml:space="preserve">pect to the mean absolute shear velocity of the model, and the same </w:t>
      </w:r>
      <w:proofErr w:type="spellStart"/>
      <w:r>
        <w:rPr>
          <w:rFonts w:ascii="Times New Roman" w:eastAsia="Times New Roman" w:hAnsi="Times New Roman" w:cs="Times New Roman"/>
        </w:rPr>
        <w:t>color</w:t>
      </w:r>
      <w:proofErr w:type="spellEnd"/>
      <w:r>
        <w:rPr>
          <w:rFonts w:ascii="Times New Roman" w:eastAsia="Times New Roman" w:hAnsi="Times New Roman" w:cs="Times New Roman"/>
        </w:rPr>
        <w:t xml:space="preserve"> scale is used throughout. Minimum and maximum perturbations are indicated beneath each map. </w:t>
      </w:r>
    </w:p>
    <w:p w:rsidR="00557964" w:rsidRDefault="001D40DB">
      <w:pPr>
        <w:rPr>
          <w:rFonts w:ascii="Times New Roman" w:eastAsia="Times New Roman" w:hAnsi="Times New Roman" w:cs="Times New Roman"/>
        </w:rPr>
      </w:pPr>
      <w:r>
        <w:br w:type="page"/>
      </w:r>
    </w:p>
    <w:p w:rsidR="00557964" w:rsidRDefault="001D40DB" w:rsidP="00990C72">
      <w:pPr>
        <w:jc w:val="both"/>
        <w:rPr>
          <w:color w:val="000000"/>
        </w:rPr>
      </w:pPr>
      <w:r>
        <w:rPr>
          <w:rFonts w:ascii="Times New Roman" w:eastAsia="Times New Roman" w:hAnsi="Times New Roman" w:cs="Times New Roman"/>
          <w:noProof/>
        </w:rPr>
        <w:lastRenderedPageBreak/>
        <w:drawing>
          <wp:inline distT="114300" distB="114300" distL="114300" distR="114300">
            <wp:extent cx="5731200" cy="1841500"/>
            <wp:effectExtent l="0" t="0" r="0" b="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
                    <a:srcRect/>
                    <a:stretch>
                      <a:fillRect/>
                    </a:stretch>
                  </pic:blipFill>
                  <pic:spPr>
                    <a:xfrm>
                      <a:off x="0" y="0"/>
                      <a:ext cx="5731200" cy="1841500"/>
                    </a:xfrm>
                    <a:prstGeom prst="rect">
                      <a:avLst/>
                    </a:prstGeom>
                    <a:ln/>
                  </pic:spPr>
                </pic:pic>
              </a:graphicData>
            </a:graphic>
          </wp:inline>
        </w:drawing>
      </w:r>
    </w:p>
    <w:p w:rsidR="00557964" w:rsidRDefault="001D40DB">
      <w:pPr>
        <w:spacing w:line="480" w:lineRule="auto"/>
        <w:jc w:val="both"/>
        <w:rPr>
          <w:rFonts w:ascii="Times New Roman" w:eastAsia="Times New Roman" w:hAnsi="Times New Roman" w:cs="Times New Roman"/>
        </w:rPr>
      </w:pPr>
      <w:r>
        <w:rPr>
          <w:color w:val="000000"/>
        </w:rPr>
        <w:t>Figure 2. From Rychert et al. (2018). Voigt averaged shear velocities beneath the Pac</w:t>
      </w:r>
      <w:r>
        <w:rPr>
          <w:color w:val="000000"/>
        </w:rPr>
        <w:t xml:space="preserve">ific from SEMum2 (French et al., 2013). (a) The Pacific averaged by age in 5 Ma bins and (b) a single northwest–southeast transect. Triangle indicates location of the East Pacific Rise (EPR). </w:t>
      </w:r>
      <w:r>
        <w:rPr>
          <w:rFonts w:ascii="Times New Roman" w:eastAsia="Times New Roman" w:hAnsi="Times New Roman" w:cs="Times New Roman"/>
          <w:color w:val="000000"/>
        </w:rPr>
        <w:t xml:space="preserve"> </w:t>
      </w:r>
    </w:p>
    <w:p w:rsidR="00557964" w:rsidRDefault="001D40DB">
      <w:pPr>
        <w:rPr>
          <w:rFonts w:ascii="Times New Roman" w:eastAsia="Times New Roman" w:hAnsi="Times New Roman" w:cs="Times New Roman"/>
        </w:rPr>
      </w:pPr>
      <w:r>
        <w:rPr>
          <w:rFonts w:ascii="Times New Roman" w:eastAsia="Times New Roman" w:hAnsi="Times New Roman" w:cs="Times New Roman"/>
        </w:rPr>
        <w:lastRenderedPageBreak/>
        <w:t xml:space="preserve"> </w:t>
      </w:r>
      <w:bookmarkStart w:id="0" w:name="_GoBack"/>
      <w:r w:rsidR="00990C72">
        <w:rPr>
          <w:noProof/>
        </w:rPr>
        <w:drawing>
          <wp:anchor distT="114300" distB="114300" distL="114300" distR="114300" simplePos="0" relativeHeight="251659264" behindDoc="0" locked="0" layoutInCell="1" hidden="0" allowOverlap="1" wp14:anchorId="69C41035" wp14:editId="21AEC08F">
            <wp:simplePos x="0" y="0"/>
            <wp:positionH relativeFrom="column">
              <wp:posOffset>0</wp:posOffset>
            </wp:positionH>
            <wp:positionV relativeFrom="paragraph">
              <wp:posOffset>860425</wp:posOffset>
            </wp:positionV>
            <wp:extent cx="5731200" cy="8001000"/>
            <wp:effectExtent l="0" t="0" r="0" b="0"/>
            <wp:wrapTopAndBottom distT="114300" distB="11430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5731200" cy="8001000"/>
                    </a:xfrm>
                    <a:prstGeom prst="rect">
                      <a:avLst/>
                    </a:prstGeom>
                    <a:ln/>
                  </pic:spPr>
                </pic:pic>
              </a:graphicData>
            </a:graphic>
          </wp:anchor>
        </w:drawing>
      </w:r>
      <w:bookmarkEnd w:id="0"/>
    </w:p>
    <w:p w:rsidR="00557964" w:rsidRDefault="00557964">
      <w:pPr>
        <w:spacing w:line="480" w:lineRule="auto"/>
        <w:rPr>
          <w:rFonts w:ascii="Times New Roman" w:eastAsia="Times New Roman" w:hAnsi="Times New Roman" w:cs="Times New Roman"/>
        </w:rPr>
      </w:pPr>
    </w:p>
    <w:p w:rsidR="00557964" w:rsidRDefault="001D40DB">
      <w:pPr>
        <w:jc w:val="both"/>
        <w:rPr>
          <w:rFonts w:ascii="Times New Roman" w:eastAsia="Times New Roman" w:hAnsi="Times New Roman" w:cs="Times New Roman"/>
        </w:rPr>
      </w:pPr>
      <w:r>
        <w:rPr>
          <w:rFonts w:ascii="Times New Roman" w:eastAsia="Times New Roman" w:hAnsi="Times New Roman" w:cs="Times New Roman"/>
        </w:rPr>
        <w:lastRenderedPageBreak/>
        <w:t>Figure 3. Depth profiles of shear velocity in the oceanic upper mantle. (a) Predictions using the a</w:t>
      </w:r>
      <w:r>
        <w:rPr>
          <w:rFonts w:ascii="Times New Roman" w:eastAsia="Times New Roman" w:hAnsi="Times New Roman" w:cs="Times New Roman"/>
        </w:rPr>
        <w:t xml:space="preserve">nelastic parameterization of Jackson and </w:t>
      </w:r>
      <w:proofErr w:type="spellStart"/>
      <w:r>
        <w:rPr>
          <w:rFonts w:ascii="Times New Roman" w:eastAsia="Times New Roman" w:hAnsi="Times New Roman" w:cs="Times New Roman"/>
        </w:rPr>
        <w:t>Faul</w:t>
      </w:r>
      <w:proofErr w:type="spellEnd"/>
      <w:r>
        <w:rPr>
          <w:rFonts w:ascii="Times New Roman" w:eastAsia="Times New Roman" w:hAnsi="Times New Roman" w:cs="Times New Roman"/>
        </w:rPr>
        <w:t xml:space="preserve"> (2010) assuming a grain size of 10 mm applied to thermal profiles calculated with HSC (solid) and the plate model with 95 km plate thickness (dashed). (b) Globally averaged V</w:t>
      </w:r>
      <w:r>
        <w:rPr>
          <w:rFonts w:ascii="Times New Roman" w:eastAsia="Times New Roman" w:hAnsi="Times New Roman" w:cs="Times New Roman"/>
          <w:vertAlign w:val="subscript"/>
        </w:rPr>
        <w:t>SV</w:t>
      </w:r>
      <w:r>
        <w:rPr>
          <w:rFonts w:ascii="Times New Roman" w:eastAsia="Times New Roman" w:hAnsi="Times New Roman" w:cs="Times New Roman"/>
        </w:rPr>
        <w:t xml:space="preserve"> (dashed) and Voigt-averaged isotropic V</w:t>
      </w:r>
      <w:r>
        <w:rPr>
          <w:rFonts w:ascii="Times New Roman" w:eastAsia="Times New Roman" w:hAnsi="Times New Roman" w:cs="Times New Roman"/>
          <w:vertAlign w:val="subscript"/>
        </w:rPr>
        <w:t>S</w:t>
      </w:r>
      <w:r>
        <w:rPr>
          <w:rFonts w:ascii="Times New Roman" w:eastAsia="Times New Roman" w:hAnsi="Times New Roman" w:cs="Times New Roman"/>
        </w:rPr>
        <w:t xml:space="preserve"> (solid) profiles across the </w:t>
      </w:r>
      <w:proofErr w:type="spellStart"/>
      <w:r>
        <w:rPr>
          <w:rFonts w:ascii="Times New Roman" w:eastAsia="Times New Roman" w:hAnsi="Times New Roman" w:cs="Times New Roman"/>
        </w:rPr>
        <w:t>PAcific</w:t>
      </w:r>
      <w:proofErr w:type="spellEnd"/>
      <w:r>
        <w:rPr>
          <w:rFonts w:ascii="Times New Roman" w:eastAsia="Times New Roman" w:hAnsi="Times New Roman" w:cs="Times New Roman"/>
        </w:rPr>
        <w:t xml:space="preserve"> from SEMum2 (French et al., 2013). (c) Average VSV Pacific profiles from Nishimura and Forsyth (1989). (d) Regional studies are as follows: 0 – 10 </w:t>
      </w:r>
      <w:proofErr w:type="spellStart"/>
      <w:r>
        <w:rPr>
          <w:rFonts w:ascii="Times New Roman" w:eastAsia="Times New Roman" w:hAnsi="Times New Roman" w:cs="Times New Roman"/>
        </w:rPr>
        <w:t>Myr</w:t>
      </w:r>
      <w:proofErr w:type="spellEnd"/>
      <w:r>
        <w:rPr>
          <w:rFonts w:ascii="Times New Roman" w:eastAsia="Times New Roman" w:hAnsi="Times New Roman" w:cs="Times New Roman"/>
        </w:rPr>
        <w:t xml:space="preserve"> GLIMPSE (Harmon et al., 200</w:t>
      </w:r>
      <w:r>
        <w:rPr>
          <w:rFonts w:ascii="Times New Roman" w:eastAsia="Times New Roman" w:hAnsi="Times New Roman" w:cs="Times New Roman"/>
        </w:rPr>
        <w:t xml:space="preserve">9); 15 – 30 </w:t>
      </w:r>
      <w:proofErr w:type="spellStart"/>
      <w:r>
        <w:rPr>
          <w:rFonts w:ascii="Times New Roman" w:eastAsia="Times New Roman" w:hAnsi="Times New Roman" w:cs="Times New Roman"/>
        </w:rPr>
        <w:t>Myr</w:t>
      </w:r>
      <w:proofErr w:type="spellEnd"/>
      <w:r>
        <w:rPr>
          <w:rFonts w:ascii="Times New Roman" w:eastAsia="Times New Roman" w:hAnsi="Times New Roman" w:cs="Times New Roman"/>
        </w:rPr>
        <w:t xml:space="preserve"> Shikoku Basin (Takeo et al., 2013); 0 – 40 </w:t>
      </w:r>
      <w:proofErr w:type="spellStart"/>
      <w:r>
        <w:rPr>
          <w:rFonts w:ascii="Times New Roman" w:eastAsia="Times New Roman" w:hAnsi="Times New Roman" w:cs="Times New Roman"/>
        </w:rPr>
        <w:t>Myr</w:t>
      </w:r>
      <w:proofErr w:type="spellEnd"/>
      <w:r>
        <w:rPr>
          <w:rFonts w:ascii="Times New Roman" w:eastAsia="Times New Roman" w:hAnsi="Times New Roman" w:cs="Times New Roman"/>
        </w:rPr>
        <w:t xml:space="preserve"> PI-LAB (Rychert et al., 2019); and 70 </w:t>
      </w:r>
      <w:proofErr w:type="spellStart"/>
      <w:r>
        <w:rPr>
          <w:rFonts w:ascii="Times New Roman" w:eastAsia="Times New Roman" w:hAnsi="Times New Roman" w:cs="Times New Roman"/>
        </w:rPr>
        <w:t>Myr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NoMelt</w:t>
      </w:r>
      <w:proofErr w:type="spellEnd"/>
      <w:r>
        <w:rPr>
          <w:rFonts w:ascii="Times New Roman" w:eastAsia="Times New Roman" w:hAnsi="Times New Roman" w:cs="Times New Roman"/>
        </w:rPr>
        <w:t xml:space="preserve"> (Lin et al., 2016). </w:t>
      </w:r>
    </w:p>
    <w:p w:rsidR="00557964" w:rsidRDefault="00557964">
      <w:pPr>
        <w:jc w:val="both"/>
        <w:rPr>
          <w:rFonts w:ascii="Times New Roman" w:eastAsia="Times New Roman" w:hAnsi="Times New Roman" w:cs="Times New Roman"/>
        </w:rPr>
      </w:pPr>
    </w:p>
    <w:p w:rsidR="00557964" w:rsidRDefault="00557964">
      <w:pPr>
        <w:jc w:val="both"/>
        <w:rPr>
          <w:rFonts w:ascii="Times New Roman" w:eastAsia="Times New Roman" w:hAnsi="Times New Roman" w:cs="Times New Roman"/>
        </w:rPr>
      </w:pPr>
    </w:p>
    <w:p w:rsidR="00557964" w:rsidRDefault="00557964">
      <w:pPr>
        <w:jc w:val="both"/>
        <w:rPr>
          <w:rFonts w:ascii="Times New Roman" w:eastAsia="Times New Roman" w:hAnsi="Times New Roman" w:cs="Times New Roman"/>
        </w:rPr>
      </w:pPr>
    </w:p>
    <w:p w:rsidR="00557964" w:rsidRDefault="00557964">
      <w:pPr>
        <w:jc w:val="both"/>
        <w:rPr>
          <w:rFonts w:ascii="Times New Roman" w:eastAsia="Times New Roman" w:hAnsi="Times New Roman" w:cs="Times New Roman"/>
        </w:rPr>
      </w:pPr>
    </w:p>
    <w:p w:rsidR="00557964" w:rsidRDefault="00557964">
      <w:pPr>
        <w:jc w:val="both"/>
        <w:rPr>
          <w:rFonts w:ascii="Times New Roman" w:eastAsia="Times New Roman" w:hAnsi="Times New Roman" w:cs="Times New Roman"/>
        </w:rPr>
      </w:pPr>
    </w:p>
    <w:p w:rsidR="00557964" w:rsidRDefault="00557964">
      <w:pPr>
        <w:jc w:val="both"/>
        <w:rPr>
          <w:rFonts w:ascii="Times New Roman" w:eastAsia="Times New Roman" w:hAnsi="Times New Roman" w:cs="Times New Roman"/>
        </w:rPr>
      </w:pPr>
    </w:p>
    <w:p w:rsidR="00557964" w:rsidRDefault="00557964">
      <w:pPr>
        <w:jc w:val="both"/>
        <w:rPr>
          <w:rFonts w:ascii="Times New Roman" w:eastAsia="Times New Roman" w:hAnsi="Times New Roman" w:cs="Times New Roman"/>
        </w:rPr>
      </w:pPr>
    </w:p>
    <w:p w:rsidR="00557964" w:rsidRDefault="00557964">
      <w:pPr>
        <w:jc w:val="both"/>
        <w:rPr>
          <w:rFonts w:ascii="Times New Roman" w:eastAsia="Times New Roman" w:hAnsi="Times New Roman" w:cs="Times New Roman"/>
        </w:rPr>
      </w:pPr>
    </w:p>
    <w:p w:rsidR="00557964" w:rsidRDefault="00557964">
      <w:pPr>
        <w:jc w:val="both"/>
        <w:rPr>
          <w:rFonts w:ascii="Times New Roman" w:eastAsia="Times New Roman" w:hAnsi="Times New Roman" w:cs="Times New Roman"/>
        </w:rPr>
      </w:pPr>
    </w:p>
    <w:p w:rsidR="00557964" w:rsidRDefault="00557964">
      <w:pPr>
        <w:jc w:val="both"/>
        <w:rPr>
          <w:rFonts w:ascii="Times New Roman" w:eastAsia="Times New Roman" w:hAnsi="Times New Roman" w:cs="Times New Roman"/>
        </w:rPr>
      </w:pPr>
    </w:p>
    <w:p w:rsidR="00557964" w:rsidRDefault="00557964">
      <w:pPr>
        <w:jc w:val="both"/>
        <w:rPr>
          <w:rFonts w:ascii="Times New Roman" w:eastAsia="Times New Roman" w:hAnsi="Times New Roman" w:cs="Times New Roman"/>
        </w:rPr>
      </w:pPr>
    </w:p>
    <w:p w:rsidR="00557964" w:rsidRDefault="00557964">
      <w:pPr>
        <w:jc w:val="both"/>
        <w:rPr>
          <w:rFonts w:ascii="Times New Roman" w:eastAsia="Times New Roman" w:hAnsi="Times New Roman" w:cs="Times New Roman"/>
        </w:rPr>
      </w:pPr>
    </w:p>
    <w:p w:rsidR="00557964" w:rsidRDefault="00557964">
      <w:pPr>
        <w:jc w:val="both"/>
        <w:rPr>
          <w:rFonts w:ascii="Times New Roman" w:eastAsia="Times New Roman" w:hAnsi="Times New Roman" w:cs="Times New Roman"/>
        </w:rPr>
      </w:pPr>
    </w:p>
    <w:p w:rsidR="00557964" w:rsidRDefault="00557964">
      <w:pPr>
        <w:jc w:val="both"/>
        <w:rPr>
          <w:rFonts w:ascii="Times New Roman" w:eastAsia="Times New Roman" w:hAnsi="Times New Roman" w:cs="Times New Roman"/>
        </w:rPr>
      </w:pPr>
    </w:p>
    <w:p w:rsidR="00557964" w:rsidRDefault="00557964">
      <w:pPr>
        <w:jc w:val="both"/>
        <w:rPr>
          <w:rFonts w:ascii="Times New Roman" w:eastAsia="Times New Roman" w:hAnsi="Times New Roman" w:cs="Times New Roman"/>
        </w:rPr>
      </w:pPr>
    </w:p>
    <w:p w:rsidR="00557964" w:rsidRDefault="00557964">
      <w:pPr>
        <w:jc w:val="both"/>
        <w:rPr>
          <w:rFonts w:ascii="Times New Roman" w:eastAsia="Times New Roman" w:hAnsi="Times New Roman" w:cs="Times New Roman"/>
        </w:rPr>
      </w:pPr>
    </w:p>
    <w:p w:rsidR="00557964" w:rsidRDefault="00557964">
      <w:pPr>
        <w:jc w:val="both"/>
        <w:rPr>
          <w:rFonts w:ascii="Times New Roman" w:eastAsia="Times New Roman" w:hAnsi="Times New Roman" w:cs="Times New Roman"/>
        </w:rPr>
      </w:pPr>
    </w:p>
    <w:p w:rsidR="00557964" w:rsidRDefault="00557964">
      <w:pPr>
        <w:jc w:val="both"/>
        <w:rPr>
          <w:rFonts w:ascii="Times New Roman" w:eastAsia="Times New Roman" w:hAnsi="Times New Roman" w:cs="Times New Roman"/>
        </w:rPr>
      </w:pPr>
    </w:p>
    <w:p w:rsidR="00557964" w:rsidRDefault="00557964">
      <w:pPr>
        <w:jc w:val="both"/>
        <w:rPr>
          <w:rFonts w:ascii="Times New Roman" w:eastAsia="Times New Roman" w:hAnsi="Times New Roman" w:cs="Times New Roman"/>
        </w:rPr>
      </w:pPr>
    </w:p>
    <w:p w:rsidR="00557964" w:rsidRDefault="00557964">
      <w:pPr>
        <w:jc w:val="both"/>
        <w:rPr>
          <w:rFonts w:ascii="Times New Roman" w:eastAsia="Times New Roman" w:hAnsi="Times New Roman" w:cs="Times New Roman"/>
        </w:rPr>
      </w:pPr>
    </w:p>
    <w:p w:rsidR="00557964" w:rsidRDefault="00557964">
      <w:pPr>
        <w:jc w:val="both"/>
        <w:rPr>
          <w:rFonts w:ascii="Times New Roman" w:eastAsia="Times New Roman" w:hAnsi="Times New Roman" w:cs="Times New Roman"/>
        </w:rPr>
      </w:pPr>
    </w:p>
    <w:p w:rsidR="00557964" w:rsidRDefault="00557964">
      <w:pPr>
        <w:jc w:val="both"/>
        <w:rPr>
          <w:rFonts w:ascii="Times New Roman" w:eastAsia="Times New Roman" w:hAnsi="Times New Roman" w:cs="Times New Roman"/>
        </w:rPr>
      </w:pPr>
    </w:p>
    <w:p w:rsidR="00557964" w:rsidRDefault="00557964">
      <w:pPr>
        <w:jc w:val="both"/>
        <w:rPr>
          <w:rFonts w:ascii="Times New Roman" w:eastAsia="Times New Roman" w:hAnsi="Times New Roman" w:cs="Times New Roman"/>
        </w:rPr>
      </w:pPr>
    </w:p>
    <w:p w:rsidR="00557964" w:rsidRDefault="00557964">
      <w:pPr>
        <w:jc w:val="both"/>
        <w:rPr>
          <w:rFonts w:ascii="Times New Roman" w:eastAsia="Times New Roman" w:hAnsi="Times New Roman" w:cs="Times New Roman"/>
        </w:rPr>
      </w:pPr>
    </w:p>
    <w:p w:rsidR="00557964" w:rsidRDefault="00557964">
      <w:pPr>
        <w:jc w:val="both"/>
        <w:rPr>
          <w:rFonts w:ascii="Times New Roman" w:eastAsia="Times New Roman" w:hAnsi="Times New Roman" w:cs="Times New Roman"/>
        </w:rPr>
      </w:pPr>
    </w:p>
    <w:p w:rsidR="00557964" w:rsidRDefault="00557964">
      <w:pPr>
        <w:jc w:val="both"/>
        <w:rPr>
          <w:rFonts w:ascii="Times New Roman" w:eastAsia="Times New Roman" w:hAnsi="Times New Roman" w:cs="Times New Roman"/>
        </w:rPr>
      </w:pPr>
    </w:p>
    <w:p w:rsidR="00557964" w:rsidRDefault="00557964">
      <w:pPr>
        <w:jc w:val="both"/>
        <w:rPr>
          <w:rFonts w:ascii="Times New Roman" w:eastAsia="Times New Roman" w:hAnsi="Times New Roman" w:cs="Times New Roman"/>
        </w:rPr>
      </w:pPr>
    </w:p>
    <w:p w:rsidR="00557964" w:rsidRPr="00990C72" w:rsidRDefault="00557964" w:rsidP="00990C72">
      <w:pPr>
        <w:jc w:val="both"/>
        <w:rPr>
          <w:rFonts w:ascii="Times New Roman" w:eastAsia="Times New Roman" w:hAnsi="Times New Roman" w:cs="Times New Roman"/>
        </w:rPr>
      </w:pPr>
    </w:p>
    <w:p w:rsidR="00557964" w:rsidRDefault="00557964">
      <w:pPr>
        <w:jc w:val="both"/>
        <w:rPr>
          <w:rFonts w:ascii="Times New Roman" w:eastAsia="Times New Roman" w:hAnsi="Times New Roman" w:cs="Times New Roman"/>
        </w:rPr>
      </w:pPr>
    </w:p>
    <w:p w:rsidR="00557964" w:rsidRDefault="001D40DB">
      <w:pPr>
        <w:spacing w:line="480"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extent cx="5731200" cy="3924300"/>
            <wp:effectExtent l="0" t="0" r="0"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5731200" cy="3924300"/>
                    </a:xfrm>
                    <a:prstGeom prst="rect">
                      <a:avLst/>
                    </a:prstGeom>
                    <a:ln/>
                  </pic:spPr>
                </pic:pic>
              </a:graphicData>
            </a:graphic>
          </wp:inline>
        </w:drawing>
      </w:r>
    </w:p>
    <w:p w:rsidR="00557964" w:rsidRDefault="001D40DB">
      <w:pPr>
        <w:jc w:val="both"/>
        <w:rPr>
          <w:rFonts w:ascii="Times New Roman" w:eastAsia="Times New Roman" w:hAnsi="Times New Roman" w:cs="Times New Roman"/>
        </w:rPr>
      </w:pPr>
      <w:r>
        <w:rPr>
          <w:rFonts w:ascii="Times New Roman" w:eastAsia="Times New Roman" w:hAnsi="Times New Roman" w:cs="Times New Roman"/>
          <w:b/>
        </w:rPr>
        <w:t>Figure 4.</w:t>
      </w:r>
      <w:r>
        <w:rPr>
          <w:rFonts w:ascii="Times New Roman" w:eastAsia="Times New Roman" w:hAnsi="Times New Roman" w:cs="Times New Roman"/>
        </w:rPr>
        <w:t xml:space="preserve"> Compiled discontinuity depths from scattered/reflected waves</w:t>
      </w:r>
      <w:r>
        <w:rPr>
          <w:rFonts w:ascii="Times New Roman" w:eastAsia="Times New Roman" w:hAnsi="Times New Roman" w:cs="Times New Roman"/>
        </w:rPr>
        <w:t xml:space="preserve"> and other seismic methods</w:t>
      </w:r>
      <w:r>
        <w:rPr>
          <w:rFonts w:ascii="Cardo" w:eastAsia="Cardo" w:hAnsi="Cardo" w:cs="Cardo"/>
        </w:rPr>
        <w:t xml:space="preserve"> plotted versus age compared to cooling model predictions and surface wave velocities. Isotherms for the half‐space cooling model (HSC; </w:t>
      </w:r>
      <w:proofErr w:type="spellStart"/>
      <w:r>
        <w:rPr>
          <w:rFonts w:ascii="Cardo" w:eastAsia="Cardo" w:hAnsi="Cardo" w:cs="Cardo"/>
        </w:rPr>
        <w:t>gray</w:t>
      </w:r>
      <w:proofErr w:type="spellEnd"/>
      <w:r>
        <w:rPr>
          <w:rFonts w:ascii="Cardo" w:eastAsia="Cardo" w:hAnsi="Cardo" w:cs="Cardo"/>
        </w:rPr>
        <w:t xml:space="preserve"> dashed) and plate model assuming plate thicknesses of 95 km (PM; black solid) are shown. </w:t>
      </w:r>
      <w:r>
        <w:rPr>
          <w:rFonts w:ascii="Cardo" w:eastAsia="Cardo" w:hAnsi="Cardo" w:cs="Cardo"/>
        </w:rPr>
        <w:t xml:space="preserve">Isotherms are plotted every 200 ℃ including an isotherm very near the mantle potential temperature of 1350 ℃.   The solidi for a mildly hydrated mantle are shown for 125 ppm and 500 ppm water (cyan and pink lines, respectively) (Katz et al., 2003). Depths </w:t>
      </w:r>
      <w:r>
        <w:rPr>
          <w:rFonts w:ascii="Cardo" w:eastAsia="Cardo" w:hAnsi="Cardo" w:cs="Cardo"/>
        </w:rPr>
        <w:t>of the minimum shear velocity in the SEMum2 model beneath the Pacific (French et al., 2013) (orange x’s) are not age-averaged, resulting in some variation at given ages. Depths are plotted relative to the seafloor with results corrected from the depth bene</w:t>
      </w:r>
      <w:r>
        <w:rPr>
          <w:rFonts w:ascii="Cardo" w:eastAsia="Cardo" w:hAnsi="Cardo" w:cs="Cardo"/>
        </w:rPr>
        <w:t>ath sea surface by the amount listed, if any. SS precursor results from the entire Pacific including TRH17 (Tharimena et al., 2017), RS11 (Rychert &amp; Shearer, 2011), and S12 (Schmerr, 2012) are sorted into normal lithosphere (N, solid cyan) and anomalous (A</w:t>
      </w:r>
      <w:r>
        <w:rPr>
          <w:rFonts w:ascii="Cardo" w:eastAsia="Cardo" w:hAnsi="Cardo" w:cs="Cardo"/>
        </w:rPr>
        <w:t xml:space="preserve">, outline cyan) lithosphere affected by hotpots (Korenaga and </w:t>
      </w:r>
      <w:proofErr w:type="spellStart"/>
      <w:r>
        <w:rPr>
          <w:rFonts w:ascii="Cardo" w:eastAsia="Cardo" w:hAnsi="Cardo" w:cs="Cardo"/>
        </w:rPr>
        <w:t>Karato</w:t>
      </w:r>
      <w:proofErr w:type="spellEnd"/>
      <w:r>
        <w:rPr>
          <w:rFonts w:ascii="Cardo" w:eastAsia="Cardo" w:hAnsi="Cardo" w:cs="Cardo"/>
        </w:rPr>
        <w:t xml:space="preserve">, 2008). Depths from a </w:t>
      </w:r>
      <w:proofErr w:type="spellStart"/>
      <w:r>
        <w:rPr>
          <w:rFonts w:ascii="Cardo" w:eastAsia="Cardo" w:hAnsi="Cardo" w:cs="Cardo"/>
        </w:rPr>
        <w:t>sS</w:t>
      </w:r>
      <w:proofErr w:type="spellEnd"/>
      <w:r>
        <w:rPr>
          <w:rFonts w:ascii="Cardo" w:eastAsia="Cardo" w:hAnsi="Cardo" w:cs="Cardo"/>
        </w:rPr>
        <w:t xml:space="preserve"> precursor result, TH12 (</w:t>
      </w:r>
      <w:proofErr w:type="spellStart"/>
      <w:r>
        <w:rPr>
          <w:rFonts w:ascii="Cardo" w:eastAsia="Cardo" w:hAnsi="Cardo" w:cs="Cardo"/>
        </w:rPr>
        <w:t>Tonegawa</w:t>
      </w:r>
      <w:proofErr w:type="spellEnd"/>
      <w:r>
        <w:rPr>
          <w:rFonts w:ascii="Cardo" w:eastAsia="Cardo" w:hAnsi="Cardo" w:cs="Cardo"/>
        </w:rPr>
        <w:t xml:space="preserve"> &amp; </w:t>
      </w:r>
      <w:proofErr w:type="spellStart"/>
      <w:r>
        <w:rPr>
          <w:rFonts w:ascii="Cardo" w:eastAsia="Cardo" w:hAnsi="Cardo" w:cs="Cardo"/>
        </w:rPr>
        <w:t>Helffrich</w:t>
      </w:r>
      <w:proofErr w:type="spellEnd"/>
      <w:r>
        <w:rPr>
          <w:rFonts w:ascii="Cardo" w:eastAsia="Cardo" w:hAnsi="Cardo" w:cs="Cardo"/>
        </w:rPr>
        <w:t>, 2012) (cyan star), and a Po/So result, Sh15 (</w:t>
      </w:r>
      <w:proofErr w:type="spellStart"/>
      <w:r>
        <w:rPr>
          <w:rFonts w:ascii="Cardo" w:eastAsia="Cardo" w:hAnsi="Cardo" w:cs="Cardo"/>
        </w:rPr>
        <w:t>Shito</w:t>
      </w:r>
      <w:proofErr w:type="spellEnd"/>
      <w:r>
        <w:rPr>
          <w:rFonts w:ascii="Cardo" w:eastAsia="Cardo" w:hAnsi="Cardo" w:cs="Cardo"/>
        </w:rPr>
        <w:t xml:space="preserve"> et al., 2015) (purple triangle), are shown. Receiver function res</w:t>
      </w:r>
      <w:r>
        <w:rPr>
          <w:rFonts w:ascii="Cardo" w:eastAsia="Cardo" w:hAnsi="Cardo" w:cs="Cardo"/>
        </w:rPr>
        <w:t>ults (solid blue symbols) include RHT18 (Rychert et al., 2018b) (−3 km), R15 (Reeves et al., 2015) (−3 km), O16 (</w:t>
      </w:r>
      <w:proofErr w:type="spellStart"/>
      <w:r>
        <w:rPr>
          <w:rFonts w:ascii="Cardo" w:eastAsia="Cardo" w:hAnsi="Cardo" w:cs="Cardo"/>
        </w:rPr>
        <w:t>Olugboji</w:t>
      </w:r>
      <w:proofErr w:type="spellEnd"/>
      <w:r>
        <w:rPr>
          <w:rFonts w:ascii="Cardo" w:eastAsia="Cardo" w:hAnsi="Cardo" w:cs="Cardo"/>
        </w:rPr>
        <w:t xml:space="preserve"> et al., 2016), KK11 (Kumar &amp; </w:t>
      </w:r>
      <w:proofErr w:type="spellStart"/>
      <w:r>
        <w:rPr>
          <w:rFonts w:ascii="Cardo" w:eastAsia="Cardo" w:hAnsi="Cardo" w:cs="Cardo"/>
        </w:rPr>
        <w:t>Kawakatsu</w:t>
      </w:r>
      <w:proofErr w:type="spellEnd"/>
      <w:r>
        <w:rPr>
          <w:rFonts w:ascii="Cardo" w:eastAsia="Cardo" w:hAnsi="Cardo" w:cs="Cardo"/>
        </w:rPr>
        <w:t>, 2011), K09 (</w:t>
      </w:r>
      <w:proofErr w:type="spellStart"/>
      <w:r>
        <w:rPr>
          <w:rFonts w:ascii="Cardo" w:eastAsia="Cardo" w:hAnsi="Cardo" w:cs="Cardo"/>
        </w:rPr>
        <w:t>Kawakatsu</w:t>
      </w:r>
      <w:proofErr w:type="spellEnd"/>
      <w:r>
        <w:rPr>
          <w:rFonts w:ascii="Cardo" w:eastAsia="Cardo" w:hAnsi="Cardo" w:cs="Cardo"/>
        </w:rPr>
        <w:t xml:space="preserve"> et al., 2009), H17 (</w:t>
      </w:r>
      <w:proofErr w:type="spellStart"/>
      <w:r>
        <w:rPr>
          <w:rFonts w:ascii="Cardo" w:eastAsia="Cardo" w:hAnsi="Cardo" w:cs="Cardo"/>
        </w:rPr>
        <w:t>Hannemann</w:t>
      </w:r>
      <w:proofErr w:type="spellEnd"/>
      <w:r>
        <w:rPr>
          <w:rFonts w:ascii="Cardo" w:eastAsia="Cardo" w:hAnsi="Cardo" w:cs="Cardo"/>
        </w:rPr>
        <w:t xml:space="preserve"> et al., 2017), and A16 (</w:t>
      </w:r>
      <w:proofErr w:type="spellStart"/>
      <w:r>
        <w:rPr>
          <w:rFonts w:ascii="Cardo" w:eastAsia="Cardo" w:hAnsi="Cardo" w:cs="Cardo"/>
        </w:rPr>
        <w:t>Audet</w:t>
      </w:r>
      <w:proofErr w:type="spellEnd"/>
      <w:r>
        <w:rPr>
          <w:rFonts w:ascii="Cardo" w:eastAsia="Cardo" w:hAnsi="Cardo" w:cs="Cardo"/>
        </w:rPr>
        <w:t>, 2016). Tran</w:t>
      </w:r>
      <w:r>
        <w:rPr>
          <w:rFonts w:ascii="Cardo" w:eastAsia="Cardo" w:hAnsi="Cardo" w:cs="Cardo"/>
        </w:rPr>
        <w:t xml:space="preserve">sect studies that encompass a range of ages are shown as boxes with fixed thickness (5 km), including PAC06 (Tan &amp; </w:t>
      </w:r>
      <w:proofErr w:type="spellStart"/>
      <w:r>
        <w:rPr>
          <w:rFonts w:ascii="Cardo" w:eastAsia="Cardo" w:hAnsi="Cardo" w:cs="Cardo"/>
        </w:rPr>
        <w:t>Helmberger</w:t>
      </w:r>
      <w:proofErr w:type="spellEnd"/>
      <w:r>
        <w:rPr>
          <w:rFonts w:ascii="Cardo" w:eastAsia="Cardo" w:hAnsi="Cardo" w:cs="Cardo"/>
        </w:rPr>
        <w:t xml:space="preserve">, 2007) (green), PA5 (Gaherty et al., 1996) (−5 km) (purple), and BR08 (Bagley &amp; </w:t>
      </w:r>
      <w:proofErr w:type="spellStart"/>
      <w:r>
        <w:rPr>
          <w:rFonts w:ascii="Cardo" w:eastAsia="Cardo" w:hAnsi="Cardo" w:cs="Cardo"/>
        </w:rPr>
        <w:t>Revenaugh</w:t>
      </w:r>
      <w:proofErr w:type="spellEnd"/>
      <w:r>
        <w:rPr>
          <w:rFonts w:ascii="Cardo" w:eastAsia="Cardo" w:hAnsi="Cardo" w:cs="Cardo"/>
        </w:rPr>
        <w:t>, 2008) (−4 km) (blue). Active source stu</w:t>
      </w:r>
      <w:r>
        <w:rPr>
          <w:rFonts w:ascii="Cardo" w:eastAsia="Cardo" w:hAnsi="Cardo" w:cs="Cardo"/>
        </w:rPr>
        <w:t>dies (solid green symbols) include MS18 (</w:t>
      </w:r>
      <w:proofErr w:type="spellStart"/>
      <w:r>
        <w:rPr>
          <w:rFonts w:ascii="Cardo" w:eastAsia="Cardo" w:hAnsi="Cardo" w:cs="Cardo"/>
        </w:rPr>
        <w:t>Mehouachi</w:t>
      </w:r>
      <w:proofErr w:type="spellEnd"/>
      <w:r>
        <w:rPr>
          <w:rFonts w:ascii="Cardo" w:eastAsia="Cardo" w:hAnsi="Cardo" w:cs="Cardo"/>
        </w:rPr>
        <w:t xml:space="preserve"> &amp; Singh, 2018) (−4 km) and St15 (Stern et al., 2015). The depths of the minimum low velocity zone velocity beneath the Pacific from the surface wave/long period waveform model SEMum2 (French et al., 2013) </w:t>
      </w:r>
      <w:r>
        <w:rPr>
          <w:rFonts w:ascii="Cardo" w:eastAsia="Cardo" w:hAnsi="Cardo" w:cs="Cardo"/>
        </w:rPr>
        <w:t xml:space="preserve">(−4 km) are shown as orange x’s.  </w:t>
      </w:r>
    </w:p>
    <w:p w:rsidR="00557964" w:rsidRDefault="00557964">
      <w:pPr>
        <w:jc w:val="both"/>
      </w:pPr>
    </w:p>
    <w:p w:rsidR="00557964" w:rsidRDefault="00557964">
      <w:pPr>
        <w:jc w:val="both"/>
      </w:pPr>
    </w:p>
    <w:p w:rsidR="00557964" w:rsidRDefault="00557964">
      <w:pPr>
        <w:jc w:val="both"/>
      </w:pPr>
    </w:p>
    <w:p w:rsidR="00557964" w:rsidRDefault="00557964">
      <w:pPr>
        <w:jc w:val="both"/>
      </w:pPr>
    </w:p>
    <w:p w:rsidR="00557964" w:rsidRDefault="00557964">
      <w:pPr>
        <w:jc w:val="both"/>
      </w:pPr>
    </w:p>
    <w:p w:rsidR="00557964" w:rsidRDefault="00557964">
      <w:pPr>
        <w:jc w:val="both"/>
      </w:pPr>
    </w:p>
    <w:p w:rsidR="00557964" w:rsidRDefault="00557964">
      <w:pPr>
        <w:jc w:val="both"/>
      </w:pPr>
    </w:p>
    <w:p w:rsidR="00557964" w:rsidRDefault="00557964">
      <w:pPr>
        <w:jc w:val="both"/>
      </w:pPr>
    </w:p>
    <w:p w:rsidR="00557964" w:rsidRDefault="00557964">
      <w:pPr>
        <w:jc w:val="both"/>
      </w:pPr>
    </w:p>
    <w:p w:rsidR="00557964" w:rsidRDefault="00557964">
      <w:pPr>
        <w:jc w:val="both"/>
      </w:pPr>
    </w:p>
    <w:p w:rsidR="00557964" w:rsidRDefault="00557964">
      <w:pPr>
        <w:jc w:val="both"/>
      </w:pPr>
    </w:p>
    <w:p w:rsidR="00557964" w:rsidRDefault="001D40DB">
      <w:pPr>
        <w:jc w:val="both"/>
        <w:rPr>
          <w:rFonts w:ascii="Helvetica Neue" w:eastAsia="Helvetica Neue" w:hAnsi="Helvetica Neue" w:cs="Helvetica Neue"/>
          <w:sz w:val="28"/>
          <w:szCs w:val="28"/>
        </w:rPr>
      </w:pPr>
      <w:r>
        <w:rPr>
          <w:noProof/>
        </w:rPr>
        <w:drawing>
          <wp:inline distT="114300" distB="114300" distL="114300" distR="114300">
            <wp:extent cx="5734050" cy="2705100"/>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734050" cy="2705100"/>
                    </a:xfrm>
                    <a:prstGeom prst="rect">
                      <a:avLst/>
                    </a:prstGeom>
                    <a:ln/>
                  </pic:spPr>
                </pic:pic>
              </a:graphicData>
            </a:graphic>
          </wp:inline>
        </w:drawing>
      </w:r>
    </w:p>
    <w:p w:rsidR="00557964" w:rsidRDefault="00557964">
      <w:pPr>
        <w:spacing w:line="480" w:lineRule="auto"/>
        <w:rPr>
          <w:rFonts w:ascii="Helvetica Neue" w:eastAsia="Helvetica Neue" w:hAnsi="Helvetica Neue" w:cs="Helvetica Neue"/>
          <w:sz w:val="28"/>
          <w:szCs w:val="28"/>
        </w:rPr>
      </w:pPr>
    </w:p>
    <w:p w:rsidR="00557964" w:rsidRDefault="001D40DB">
      <w:pPr>
        <w:spacing w:line="480" w:lineRule="auto"/>
        <w:jc w:val="both"/>
        <w:rPr>
          <w:rFonts w:ascii="Times New Roman" w:eastAsia="Times New Roman" w:hAnsi="Times New Roman" w:cs="Times New Roman"/>
        </w:rPr>
      </w:pPr>
      <w:r>
        <w:rPr>
          <w:rFonts w:ascii="Times New Roman" w:eastAsia="Times New Roman" w:hAnsi="Times New Roman" w:cs="Times New Roman"/>
          <w:b/>
        </w:rPr>
        <w:t>Figure 5.</w:t>
      </w:r>
      <w:r>
        <w:rPr>
          <w:rFonts w:ascii="Times New Roman" w:eastAsia="Times New Roman" w:hAnsi="Times New Roman" w:cs="Times New Roman"/>
        </w:rPr>
        <w:t xml:space="preserve">   left) Velocity (</w:t>
      </w:r>
      <w:proofErr w:type="spellStart"/>
      <w:r>
        <w:rPr>
          <w:rFonts w:ascii="Times New Roman" w:eastAsia="Times New Roman" w:hAnsi="Times New Roman" w:cs="Times New Roman"/>
        </w:rPr>
        <w:t>V</w:t>
      </w:r>
      <w:r>
        <w:rPr>
          <w:rFonts w:ascii="Times New Roman" w:eastAsia="Times New Roman" w:hAnsi="Times New Roman" w:cs="Times New Roman"/>
          <w:vertAlign w:val="subscript"/>
        </w:rPr>
        <w:t>sv</w:t>
      </w:r>
      <w:proofErr w:type="spellEnd"/>
      <w:r>
        <w:rPr>
          <w:rFonts w:ascii="Times New Roman" w:eastAsia="Times New Roman" w:hAnsi="Times New Roman" w:cs="Times New Roman"/>
          <w:vertAlign w:val="subscript"/>
        </w:rPr>
        <w:t xml:space="preserve"> </w:t>
      </w:r>
      <w:r>
        <w:rPr>
          <w:rFonts w:ascii="Times New Roman" w:eastAsia="Times New Roman" w:hAnsi="Times New Roman" w:cs="Times New Roman"/>
        </w:rPr>
        <w:t xml:space="preserve">) profiles from the SEMum2 model (French and </w:t>
      </w:r>
      <w:proofErr w:type="spellStart"/>
      <w:r>
        <w:rPr>
          <w:rFonts w:ascii="Times New Roman" w:eastAsia="Times New Roman" w:hAnsi="Times New Roman" w:cs="Times New Roman"/>
        </w:rPr>
        <w:t>Romanowicz</w:t>
      </w:r>
      <w:proofErr w:type="spellEnd"/>
      <w:r>
        <w:rPr>
          <w:rFonts w:ascii="Times New Roman" w:eastAsia="Times New Roman" w:hAnsi="Times New Roman" w:cs="Times New Roman"/>
        </w:rPr>
        <w:t>, 2014).  Each profile corresponds to a global average of mantle structure beneath crust of a given age.  right) Age cla</w:t>
      </w:r>
      <w:r>
        <w:rPr>
          <w:rFonts w:ascii="Times New Roman" w:eastAsia="Times New Roman" w:hAnsi="Times New Roman" w:cs="Times New Roman"/>
        </w:rPr>
        <w:t>ssification of crust from the Crust1.0 model (</w:t>
      </w:r>
      <w:proofErr w:type="spellStart"/>
      <w:r>
        <w:rPr>
          <w:rFonts w:ascii="Times New Roman" w:eastAsia="Times New Roman" w:hAnsi="Times New Roman" w:cs="Times New Roman"/>
        </w:rPr>
        <w:t>Laske</w:t>
      </w:r>
      <w:proofErr w:type="spellEnd"/>
      <w:r>
        <w:rPr>
          <w:rFonts w:ascii="Times New Roman" w:eastAsia="Times New Roman" w:hAnsi="Times New Roman" w:cs="Times New Roman"/>
        </w:rPr>
        <w:t xml:space="preserve"> et al., 2013).  Ages on map and for velocity profiles are color-coded according to the legend in the lower right.</w:t>
      </w:r>
    </w:p>
    <w:p w:rsidR="00557964" w:rsidRDefault="001D40DB">
      <w:pPr>
        <w:rPr>
          <w:rFonts w:ascii="Times New Roman" w:eastAsia="Times New Roman" w:hAnsi="Times New Roman" w:cs="Times New Roman"/>
        </w:rPr>
      </w:pPr>
      <w:r>
        <w:br w:type="page"/>
      </w:r>
    </w:p>
    <w:p w:rsidR="00557964" w:rsidRDefault="001D40DB">
      <w:pPr>
        <w:spacing w:line="480" w:lineRule="auto"/>
        <w:rPr>
          <w:rFonts w:ascii="Arial" w:eastAsia="Arial" w:hAnsi="Arial" w:cs="Arial"/>
          <w:b/>
          <w:sz w:val="22"/>
          <w:szCs w:val="22"/>
        </w:rPr>
      </w:pPr>
      <w:r>
        <w:rPr>
          <w:rFonts w:ascii="Arial" w:eastAsia="Arial" w:hAnsi="Arial" w:cs="Arial"/>
          <w:b/>
          <w:noProof/>
          <w:sz w:val="22"/>
          <w:szCs w:val="22"/>
        </w:rPr>
        <w:lastRenderedPageBreak/>
        <w:drawing>
          <wp:inline distT="114300" distB="114300" distL="114300" distR="114300">
            <wp:extent cx="5734050" cy="4978400"/>
            <wp:effectExtent l="0" t="0" r="0" b="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5734050" cy="4978400"/>
                    </a:xfrm>
                    <a:prstGeom prst="rect">
                      <a:avLst/>
                    </a:prstGeom>
                    <a:ln/>
                  </pic:spPr>
                </pic:pic>
              </a:graphicData>
            </a:graphic>
          </wp:inline>
        </w:drawing>
      </w:r>
    </w:p>
    <w:p w:rsidR="00557964" w:rsidRDefault="00557964">
      <w:pPr>
        <w:spacing w:line="480" w:lineRule="auto"/>
        <w:rPr>
          <w:rFonts w:ascii="Arial" w:eastAsia="Arial" w:hAnsi="Arial" w:cs="Arial"/>
          <w:b/>
          <w:sz w:val="22"/>
          <w:szCs w:val="22"/>
        </w:rPr>
      </w:pPr>
    </w:p>
    <w:p w:rsidR="00557964" w:rsidRDefault="00557964">
      <w:pPr>
        <w:spacing w:line="480" w:lineRule="auto"/>
        <w:rPr>
          <w:rFonts w:ascii="Arial" w:eastAsia="Arial" w:hAnsi="Arial" w:cs="Arial"/>
          <w:b/>
          <w:sz w:val="22"/>
          <w:szCs w:val="22"/>
        </w:rPr>
      </w:pPr>
    </w:p>
    <w:p w:rsidR="00557964" w:rsidRDefault="00557964">
      <w:pPr>
        <w:spacing w:line="480" w:lineRule="auto"/>
        <w:rPr>
          <w:rFonts w:ascii="Arial" w:eastAsia="Arial" w:hAnsi="Arial" w:cs="Arial"/>
          <w:b/>
          <w:sz w:val="22"/>
          <w:szCs w:val="22"/>
        </w:rPr>
      </w:pPr>
    </w:p>
    <w:p w:rsidR="00557964" w:rsidRDefault="001D40DB">
      <w:pPr>
        <w:spacing w:line="480" w:lineRule="auto"/>
        <w:jc w:val="both"/>
        <w:rPr>
          <w:rFonts w:ascii="Times New Roman" w:eastAsia="Times New Roman" w:hAnsi="Times New Roman" w:cs="Times New Roman"/>
        </w:rPr>
      </w:pPr>
      <w:r>
        <w:rPr>
          <w:rFonts w:ascii="Times New Roman" w:eastAsia="Times New Roman" w:hAnsi="Times New Roman" w:cs="Times New Roman"/>
          <w:b/>
        </w:rPr>
        <w:t xml:space="preserve">Figure 6. </w:t>
      </w:r>
      <w:r>
        <w:rPr>
          <w:rFonts w:ascii="Times New Roman" w:eastAsia="Times New Roman" w:hAnsi="Times New Roman" w:cs="Times New Roman"/>
        </w:rPr>
        <w:t xml:space="preserve">  From Steinberger and Becker (2018). Maps of the thermal thickness of the lithosphere based on different global tomography models: gypsum (Simmons et al., 2010), s40rts (</w:t>
      </w:r>
      <w:proofErr w:type="spellStart"/>
      <w:r>
        <w:rPr>
          <w:rFonts w:ascii="Times New Roman" w:eastAsia="Times New Roman" w:hAnsi="Times New Roman" w:cs="Times New Roman"/>
        </w:rPr>
        <w:t>Ritsema</w:t>
      </w:r>
      <w:proofErr w:type="spellEnd"/>
      <w:r>
        <w:rPr>
          <w:rFonts w:ascii="Times New Roman" w:eastAsia="Times New Roman" w:hAnsi="Times New Roman" w:cs="Times New Roman"/>
        </w:rPr>
        <w:t xml:space="preserve"> et al., 2011), </w:t>
      </w:r>
      <w:proofErr w:type="spellStart"/>
      <w:r>
        <w:rPr>
          <w:rFonts w:ascii="Times New Roman" w:eastAsia="Times New Roman" w:hAnsi="Times New Roman" w:cs="Times New Roman"/>
        </w:rPr>
        <w:t>savani</w:t>
      </w:r>
      <w:proofErr w:type="spellEnd"/>
      <w:r>
        <w:rPr>
          <w:rFonts w:ascii="Times New Roman" w:eastAsia="Times New Roman" w:hAnsi="Times New Roman" w:cs="Times New Roman"/>
        </w:rPr>
        <w:t xml:space="preserve"> (Auer et al., 2014), SEMum2 (French and </w:t>
      </w:r>
      <w:proofErr w:type="spellStart"/>
      <w:r>
        <w:rPr>
          <w:rFonts w:ascii="Times New Roman" w:eastAsia="Times New Roman" w:hAnsi="Times New Roman" w:cs="Times New Roman"/>
        </w:rPr>
        <w:t>Romanowicz</w:t>
      </w:r>
      <w:proofErr w:type="spellEnd"/>
      <w:r>
        <w:rPr>
          <w:rFonts w:ascii="Times New Roman" w:eastAsia="Times New Roman" w:hAnsi="Times New Roman" w:cs="Times New Roman"/>
        </w:rPr>
        <w:t>, 201</w:t>
      </w:r>
      <w:r>
        <w:rPr>
          <w:rFonts w:ascii="Times New Roman" w:eastAsia="Times New Roman" w:hAnsi="Times New Roman" w:cs="Times New Roman"/>
        </w:rPr>
        <w:t>4), and sl2013 (Schaeffer and Lebedev, 2013). The mean model is an average of these ﬁve models.</w:t>
      </w:r>
    </w:p>
    <w:p w:rsidR="00557964" w:rsidRDefault="001D40DB">
      <w:pPr>
        <w:spacing w:line="480" w:lineRule="auto"/>
        <w:rPr>
          <w:rFonts w:ascii="Helvetica Neue" w:eastAsia="Helvetica Neue" w:hAnsi="Helvetica Neue" w:cs="Helvetica Neue"/>
          <w:sz w:val="28"/>
          <w:szCs w:val="28"/>
        </w:rPr>
      </w:pPr>
      <w:r>
        <w:rPr>
          <w:rFonts w:ascii="Helvetica Neue" w:eastAsia="Helvetica Neue" w:hAnsi="Helvetica Neue" w:cs="Helvetica Neue"/>
          <w:noProof/>
          <w:sz w:val="28"/>
          <w:szCs w:val="28"/>
        </w:rPr>
        <w:lastRenderedPageBreak/>
        <w:drawing>
          <wp:inline distT="114300" distB="114300" distL="114300" distR="114300">
            <wp:extent cx="5734050" cy="23876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734050" cy="2387600"/>
                    </a:xfrm>
                    <a:prstGeom prst="rect">
                      <a:avLst/>
                    </a:prstGeom>
                    <a:ln/>
                  </pic:spPr>
                </pic:pic>
              </a:graphicData>
            </a:graphic>
          </wp:inline>
        </w:drawing>
      </w:r>
    </w:p>
    <w:p w:rsidR="00557964" w:rsidRDefault="00557964">
      <w:pPr>
        <w:spacing w:line="480" w:lineRule="auto"/>
        <w:rPr>
          <w:rFonts w:ascii="Helvetica Neue" w:eastAsia="Helvetica Neue" w:hAnsi="Helvetica Neue" w:cs="Helvetica Neue"/>
          <w:sz w:val="28"/>
          <w:szCs w:val="28"/>
        </w:rPr>
      </w:pPr>
    </w:p>
    <w:p w:rsidR="00557964" w:rsidRDefault="001D40DB">
      <w:pPr>
        <w:spacing w:line="480" w:lineRule="auto"/>
        <w:rPr>
          <w:rFonts w:ascii="Times New Roman" w:eastAsia="Times New Roman" w:hAnsi="Times New Roman" w:cs="Times New Roman"/>
        </w:rPr>
      </w:pPr>
      <w:r>
        <w:rPr>
          <w:rFonts w:ascii="Times New Roman" w:eastAsia="Times New Roman" w:hAnsi="Times New Roman" w:cs="Times New Roman"/>
          <w:b/>
        </w:rPr>
        <w:t>Figure 7.</w:t>
      </w:r>
      <w:r>
        <w:rPr>
          <w:rFonts w:ascii="Times New Roman" w:eastAsia="Times New Roman" w:hAnsi="Times New Roman" w:cs="Times New Roman"/>
        </w:rPr>
        <w:t xml:space="preserve">   From Dalton et al. (2017).  </w:t>
      </w:r>
      <w:r>
        <w:rPr>
          <w:rFonts w:ascii="Times New Roman" w:eastAsia="Times New Roman" w:hAnsi="Times New Roman" w:cs="Times New Roman"/>
        </w:rPr>
        <w:t>a</w:t>
      </w:r>
      <w:r>
        <w:rPr>
          <w:rFonts w:ascii="Times New Roman" w:eastAsia="Times New Roman" w:hAnsi="Times New Roman" w:cs="Times New Roman"/>
        </w:rPr>
        <w:t>) Map of thermal boundary layer thickness determined from global Rayleigh wave attenuation data for the continen</w:t>
      </w:r>
      <w:r>
        <w:rPr>
          <w:rFonts w:ascii="Times New Roman" w:eastAsia="Times New Roman" w:hAnsi="Times New Roman" w:cs="Times New Roman"/>
        </w:rPr>
        <w:t xml:space="preserve">tal lithosphere in regions of Archean and Proterozoic crust.  Blank regions correspond to either younger crust or to Precambrian regions where fits between thermal models and attenuation structure did not meet misfit criteria.  </w:t>
      </w:r>
      <w:r>
        <w:rPr>
          <w:rFonts w:ascii="Times New Roman" w:eastAsia="Times New Roman" w:hAnsi="Times New Roman" w:cs="Times New Roman"/>
        </w:rPr>
        <w:t>b</w:t>
      </w:r>
      <w:r>
        <w:rPr>
          <w:rFonts w:ascii="Times New Roman" w:eastAsia="Times New Roman" w:hAnsi="Times New Roman" w:cs="Times New Roman"/>
        </w:rPr>
        <w:t>)  Distributions of th</w:t>
      </w:r>
      <w:r>
        <w:rPr>
          <w:rFonts w:ascii="Times New Roman" w:eastAsia="Times New Roman" w:hAnsi="Times New Roman" w:cs="Times New Roman"/>
        </w:rPr>
        <w:t xml:space="preserve">ermal boundary layer </w:t>
      </w:r>
      <w:r>
        <w:rPr>
          <w:rFonts w:ascii="Times New Roman" w:eastAsia="Times New Roman" w:hAnsi="Times New Roman" w:cs="Times New Roman"/>
        </w:rPr>
        <w:t xml:space="preserve">(TBL) </w:t>
      </w:r>
      <w:r>
        <w:rPr>
          <w:rFonts w:ascii="Times New Roman" w:eastAsia="Times New Roman" w:hAnsi="Times New Roman" w:cs="Times New Roman"/>
        </w:rPr>
        <w:t>thickness globally averaged for different crustal ages.</w:t>
      </w:r>
      <w:r>
        <w:br w:type="page"/>
      </w:r>
    </w:p>
    <w:p w:rsidR="00557964" w:rsidRDefault="00557964">
      <w:pPr>
        <w:spacing w:line="480" w:lineRule="auto"/>
        <w:jc w:val="both"/>
        <w:rPr>
          <w:rFonts w:ascii="Times New Roman" w:eastAsia="Times New Roman" w:hAnsi="Times New Roman" w:cs="Times New Roman"/>
          <w:b/>
        </w:rPr>
      </w:pPr>
      <w:bookmarkStart w:id="1" w:name="_gjdgxs" w:colFirst="0" w:colLast="0"/>
      <w:bookmarkEnd w:id="1"/>
    </w:p>
    <w:bookmarkStart w:id="2" w:name="_30j0zll" w:colFirst="0" w:colLast="0"/>
    <w:bookmarkEnd w:id="2"/>
    <w:p w:rsidR="00990C72" w:rsidRPr="00990C72" w:rsidRDefault="00990C72" w:rsidP="00990C72">
      <w:pPr>
        <w:rPr>
          <w:rFonts w:ascii="Times New Roman" w:eastAsia="Times New Roman" w:hAnsi="Times New Roman" w:cs="Times New Roman"/>
        </w:rPr>
      </w:pPr>
      <w:r w:rsidRPr="00990C72">
        <w:rPr>
          <w:rFonts w:ascii="Helvetica Neue" w:eastAsia="Times New Roman" w:hAnsi="Helvetica Neue" w:cs="Times New Roman"/>
          <w:color w:val="000000"/>
          <w:sz w:val="28"/>
          <w:szCs w:val="28"/>
          <w:bdr w:val="none" w:sz="0" w:space="0" w:color="auto" w:frame="1"/>
        </w:rPr>
        <w:fldChar w:fldCharType="begin"/>
      </w:r>
      <w:r w:rsidRPr="00990C72">
        <w:rPr>
          <w:rFonts w:ascii="Helvetica Neue" w:eastAsia="Times New Roman" w:hAnsi="Helvetica Neue" w:cs="Times New Roman"/>
          <w:color w:val="000000"/>
          <w:sz w:val="28"/>
          <w:szCs w:val="28"/>
          <w:bdr w:val="none" w:sz="0" w:space="0" w:color="auto" w:frame="1"/>
        </w:rPr>
        <w:instrText xml:space="preserve"> INCLUDEPICTURE "https://lh6.googleusercontent.com/2aBj6NIgQvrIsuYeEFa6QJRCxBquIhDxrwdblDj7NDIaDsGWAEFmiPpBfEBjAzJ7KdR1Kie0hPUr2FF44KgBXk0hALxpEEHGk_WpAzgxV0FuyKdBLUp3qeIovbF3lGih3sIwQLpU" \* MERGEFORMATINET </w:instrText>
      </w:r>
      <w:r w:rsidRPr="00990C72">
        <w:rPr>
          <w:rFonts w:ascii="Helvetica Neue" w:eastAsia="Times New Roman" w:hAnsi="Helvetica Neue" w:cs="Times New Roman"/>
          <w:color w:val="000000"/>
          <w:sz w:val="28"/>
          <w:szCs w:val="28"/>
          <w:bdr w:val="none" w:sz="0" w:space="0" w:color="auto" w:frame="1"/>
        </w:rPr>
        <w:fldChar w:fldCharType="separate"/>
      </w:r>
      <w:r w:rsidRPr="00990C72">
        <w:rPr>
          <w:rFonts w:ascii="Helvetica Neue" w:eastAsia="Times New Roman" w:hAnsi="Helvetica Neue" w:cs="Times New Roman"/>
          <w:noProof/>
          <w:color w:val="000000"/>
          <w:sz w:val="28"/>
          <w:szCs w:val="28"/>
          <w:bdr w:val="none" w:sz="0" w:space="0" w:color="auto" w:frame="1"/>
        </w:rPr>
        <w:drawing>
          <wp:inline distT="0" distB="0" distL="0" distR="0">
            <wp:extent cx="5727700" cy="3263900"/>
            <wp:effectExtent l="0" t="0" r="0" b="0"/>
            <wp:docPr id="15" name="Picture 15" descr="https://lh6.googleusercontent.com/2aBj6NIgQvrIsuYeEFa6QJRCxBquIhDxrwdblDj7NDIaDsGWAEFmiPpBfEBjAzJ7KdR1Kie0hPUr2FF44KgBXk0hALxpEEHGk_WpAzgxV0FuyKdBLUp3qeIovbF3lGih3sIwQL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2aBj6NIgQvrIsuYeEFa6QJRCxBquIhDxrwdblDj7NDIaDsGWAEFmiPpBfEBjAzJ7KdR1Kie0hPUr2FF44KgBXk0hALxpEEHGk_WpAzgxV0FuyKdBLUp3qeIovbF3lGih3sIwQLp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3263900"/>
                    </a:xfrm>
                    <a:prstGeom prst="rect">
                      <a:avLst/>
                    </a:prstGeom>
                    <a:noFill/>
                    <a:ln>
                      <a:noFill/>
                    </a:ln>
                  </pic:spPr>
                </pic:pic>
              </a:graphicData>
            </a:graphic>
          </wp:inline>
        </w:drawing>
      </w:r>
      <w:r w:rsidRPr="00990C72">
        <w:rPr>
          <w:rFonts w:ascii="Helvetica Neue" w:eastAsia="Times New Roman" w:hAnsi="Helvetica Neue" w:cs="Times New Roman"/>
          <w:color w:val="000000"/>
          <w:sz w:val="28"/>
          <w:szCs w:val="28"/>
          <w:bdr w:val="none" w:sz="0" w:space="0" w:color="auto" w:frame="1"/>
        </w:rPr>
        <w:fldChar w:fldCharType="end"/>
      </w:r>
    </w:p>
    <w:p w:rsidR="00990C72" w:rsidRDefault="00990C72" w:rsidP="00990C72">
      <w:pPr>
        <w:spacing w:line="480" w:lineRule="auto"/>
        <w:jc w:val="both"/>
        <w:rPr>
          <w:rFonts w:ascii="Times New Roman" w:eastAsia="Times New Roman" w:hAnsi="Times New Roman" w:cs="Times New Roman"/>
          <w:b/>
        </w:rPr>
      </w:pPr>
    </w:p>
    <w:p w:rsidR="00557964" w:rsidRDefault="001D40DB" w:rsidP="00990C72">
      <w:pPr>
        <w:spacing w:line="480" w:lineRule="auto"/>
        <w:jc w:val="both"/>
      </w:pPr>
      <w:r>
        <w:rPr>
          <w:rFonts w:ascii="Times New Roman" w:eastAsia="Times New Roman" w:hAnsi="Times New Roman" w:cs="Times New Roman"/>
          <w:b/>
        </w:rPr>
        <w:t>Figure 8.</w:t>
      </w:r>
      <w:r>
        <w:rPr>
          <w:rFonts w:ascii="Times New Roman" w:eastAsia="Times New Roman" w:hAnsi="Times New Roman" w:cs="Times New Roman"/>
        </w:rPr>
        <w:t xml:space="preserve"> a) From Hopper and Fischer (2018).  E-W profile across the U.S. at 41.8˚N showing the mean of a bootstrapped </w:t>
      </w:r>
      <w:proofErr w:type="spellStart"/>
      <w:r>
        <w:rPr>
          <w:rFonts w:ascii="Times New Roman" w:eastAsia="Times New Roman" w:hAnsi="Times New Roman" w:cs="Times New Roman"/>
        </w:rPr>
        <w:t>Sp</w:t>
      </w:r>
      <w:proofErr w:type="spellEnd"/>
      <w:r>
        <w:rPr>
          <w:rFonts w:ascii="Times New Roman" w:eastAsia="Times New Roman" w:hAnsi="Times New Roman" w:cs="Times New Roman"/>
        </w:rPr>
        <w:t xml:space="preserve"> common conversion point stack (4-100 s). Grey dashed lines: LAB estimate from </w:t>
      </w:r>
      <w:proofErr w:type="spellStart"/>
      <w:r>
        <w:rPr>
          <w:rFonts w:ascii="Times New Roman" w:eastAsia="Times New Roman" w:hAnsi="Times New Roman" w:cs="Times New Roman"/>
        </w:rPr>
        <w:t>Cammarano</w:t>
      </w:r>
      <w:proofErr w:type="spellEnd"/>
      <w:r>
        <w:rPr>
          <w:rFonts w:ascii="Times New Roman" w:eastAsia="Times New Roman" w:hAnsi="Times New Roman" w:cs="Times New Roman"/>
        </w:rPr>
        <w:t xml:space="preserve"> and Guerri (2017) geotherms, where the base of the lith</w:t>
      </w:r>
      <w:r>
        <w:rPr>
          <w:rFonts w:ascii="Times New Roman" w:eastAsia="Times New Roman" w:hAnsi="Times New Roman" w:cs="Times New Roman"/>
        </w:rPr>
        <w:t xml:space="preserve">osphere is defined by the contour at 1132°C (as in Steinberger and Becker, 2018).  The eastern margin of thick </w:t>
      </w:r>
      <w:proofErr w:type="spellStart"/>
      <w:r>
        <w:rPr>
          <w:rFonts w:ascii="Times New Roman" w:eastAsia="Times New Roman" w:hAnsi="Times New Roman" w:cs="Times New Roman"/>
        </w:rPr>
        <w:t>cratonic</w:t>
      </w:r>
      <w:proofErr w:type="spellEnd"/>
      <w:r>
        <w:rPr>
          <w:rFonts w:ascii="Times New Roman" w:eastAsia="Times New Roman" w:hAnsi="Times New Roman" w:cs="Times New Roman"/>
        </w:rPr>
        <w:t xml:space="preserve"> lithosphere was estimated from regional tomography (Wagner et al., 2018; </w:t>
      </w:r>
      <w:proofErr w:type="spellStart"/>
      <w:r>
        <w:rPr>
          <w:rFonts w:ascii="Times New Roman" w:eastAsia="Times New Roman" w:hAnsi="Times New Roman" w:cs="Times New Roman"/>
        </w:rPr>
        <w:t>Pollitz</w:t>
      </w:r>
      <w:proofErr w:type="spellEnd"/>
      <w:r>
        <w:rPr>
          <w:rFonts w:ascii="Times New Roman" w:eastAsia="Times New Roman" w:hAnsi="Times New Roman" w:cs="Times New Roman"/>
        </w:rPr>
        <w:t xml:space="preserve"> and Mooney, 2016).  East of this point a dot-dashed gre</w:t>
      </w:r>
      <w:r>
        <w:rPr>
          <w:rFonts w:ascii="Times New Roman" w:eastAsia="Times New Roman" w:hAnsi="Times New Roman" w:cs="Times New Roman"/>
        </w:rPr>
        <w:t xml:space="preserve">y line marks possible LAB depth from the </w:t>
      </w:r>
      <w:proofErr w:type="spellStart"/>
      <w:r>
        <w:rPr>
          <w:rFonts w:ascii="Times New Roman" w:eastAsia="Times New Roman" w:hAnsi="Times New Roman" w:cs="Times New Roman"/>
        </w:rPr>
        <w:t>Sp</w:t>
      </w:r>
      <w:proofErr w:type="spellEnd"/>
      <w:r>
        <w:rPr>
          <w:rFonts w:ascii="Times New Roman" w:eastAsia="Times New Roman" w:hAnsi="Times New Roman" w:cs="Times New Roman"/>
        </w:rPr>
        <w:t xml:space="preserve"> CCP stack. Grey overlay grades from completely transparent to completely opaque with decreasing log</w:t>
      </w:r>
      <w:r>
        <w:rPr>
          <w:rFonts w:ascii="Times New Roman" w:eastAsia="Times New Roman" w:hAnsi="Times New Roman" w:cs="Times New Roman"/>
          <w:vertAlign w:val="subscript"/>
        </w:rPr>
        <w:t>10</w:t>
      </w:r>
      <w:r>
        <w:rPr>
          <w:rFonts w:ascii="Times New Roman" w:eastAsia="Times New Roman" w:hAnsi="Times New Roman" w:cs="Times New Roman"/>
        </w:rPr>
        <w:t>(sampling).  Cross sections are plotted at 2x vertical exaggeration.  Topography is plotted at 10x vertical exa</w:t>
      </w:r>
      <w:r>
        <w:rPr>
          <w:rFonts w:ascii="Times New Roman" w:eastAsia="Times New Roman" w:hAnsi="Times New Roman" w:cs="Times New Roman"/>
        </w:rPr>
        <w:t xml:space="preserve">ggeration.  b) From </w:t>
      </w:r>
      <w:proofErr w:type="spellStart"/>
      <w:r>
        <w:rPr>
          <w:rFonts w:ascii="Times New Roman" w:eastAsia="Times New Roman" w:hAnsi="Times New Roman" w:cs="Times New Roman"/>
        </w:rPr>
        <w:t>Eilon</w:t>
      </w:r>
      <w:proofErr w:type="spellEnd"/>
      <w:r>
        <w:rPr>
          <w:rFonts w:ascii="Times New Roman" w:eastAsia="Times New Roman" w:hAnsi="Times New Roman" w:cs="Times New Roman"/>
        </w:rPr>
        <w:t xml:space="preserve"> et al. (2018).  Shear-velocity model for station WVOR in Oregon, obtained by </w:t>
      </w:r>
      <w:proofErr w:type="spellStart"/>
      <w:r>
        <w:rPr>
          <w:rFonts w:ascii="Times New Roman" w:eastAsia="Times New Roman" w:hAnsi="Times New Roman" w:cs="Times New Roman"/>
        </w:rPr>
        <w:t>transdimensional</w:t>
      </w:r>
      <w:proofErr w:type="spellEnd"/>
      <w:r>
        <w:rPr>
          <w:rFonts w:ascii="Times New Roman" w:eastAsia="Times New Roman" w:hAnsi="Times New Roman" w:cs="Times New Roman"/>
        </w:rPr>
        <w:t xml:space="preserve"> hierarchical Bayesian inversion of Rayleigh wave phase velocities and </w:t>
      </w:r>
      <w:proofErr w:type="spellStart"/>
      <w:r>
        <w:rPr>
          <w:rFonts w:ascii="Times New Roman" w:eastAsia="Times New Roman" w:hAnsi="Times New Roman" w:cs="Times New Roman"/>
        </w:rPr>
        <w:t>Sp</w:t>
      </w:r>
      <w:proofErr w:type="spellEnd"/>
      <w:r>
        <w:rPr>
          <w:rFonts w:ascii="Times New Roman" w:eastAsia="Times New Roman" w:hAnsi="Times New Roman" w:cs="Times New Roman"/>
        </w:rPr>
        <w:t xml:space="preserve"> and Ps converted waves. Red lines: average model.  Grey lines: </w:t>
      </w:r>
      <w:r>
        <w:rPr>
          <w:rFonts w:ascii="Times New Roman" w:eastAsia="Times New Roman" w:hAnsi="Times New Roman" w:cs="Times New Roman"/>
        </w:rPr>
        <w:t>2σ bounds. Insets show posterior (red) versus prior (white) estimates for Moho depth and crustal V</w:t>
      </w:r>
      <w:r>
        <w:rPr>
          <w:rFonts w:ascii="Times New Roman" w:eastAsia="Times New Roman" w:hAnsi="Times New Roman" w:cs="Times New Roman"/>
          <w:vertAlign w:val="subscript"/>
        </w:rPr>
        <w:t>p</w:t>
      </w:r>
      <w:r>
        <w:rPr>
          <w:rFonts w:ascii="Times New Roman" w:eastAsia="Times New Roman" w:hAnsi="Times New Roman" w:cs="Times New Roman"/>
        </w:rPr>
        <w:t>/V</w:t>
      </w:r>
      <w:r>
        <w:rPr>
          <w:rFonts w:ascii="Times New Roman" w:eastAsia="Times New Roman" w:hAnsi="Times New Roman" w:cs="Times New Roman"/>
          <w:vertAlign w:val="subscript"/>
        </w:rPr>
        <w:t>s</w:t>
      </w:r>
      <w:r>
        <w:rPr>
          <w:rFonts w:ascii="Times New Roman" w:eastAsia="Times New Roman" w:hAnsi="Times New Roman" w:cs="Times New Roman"/>
        </w:rPr>
        <w:t xml:space="preserve"> ratio. Overlaid lines show shear velocities from global model SEMum2 (French et al., 2013) averaged by age of the continental crust (Phanerozoic, Late Pr</w:t>
      </w:r>
      <w:r>
        <w:rPr>
          <w:rFonts w:ascii="Times New Roman" w:eastAsia="Times New Roman" w:hAnsi="Times New Roman" w:cs="Times New Roman"/>
        </w:rPr>
        <w:t xml:space="preserve">oterozoic, Early-Mid Proterozoic, Archean) and beneath 0-25 </w:t>
      </w:r>
      <w:proofErr w:type="spellStart"/>
      <w:r>
        <w:rPr>
          <w:rFonts w:ascii="Times New Roman" w:eastAsia="Times New Roman" w:hAnsi="Times New Roman" w:cs="Times New Roman"/>
        </w:rPr>
        <w:t>Myr</w:t>
      </w:r>
      <w:proofErr w:type="spellEnd"/>
      <w:r>
        <w:rPr>
          <w:rFonts w:ascii="Times New Roman" w:eastAsia="Times New Roman" w:hAnsi="Times New Roman" w:cs="Times New Roman"/>
        </w:rPr>
        <w:t xml:space="preserve"> seaﬂoor.  c) From Hopper and Fischer (2018).  </w:t>
      </w:r>
      <w:proofErr w:type="spellStart"/>
      <w:r>
        <w:rPr>
          <w:rFonts w:ascii="Times New Roman" w:eastAsia="Times New Roman" w:hAnsi="Times New Roman" w:cs="Times New Roman"/>
        </w:rPr>
        <w:t>Colors</w:t>
      </w:r>
      <w:proofErr w:type="spellEnd"/>
      <w:r>
        <w:rPr>
          <w:rFonts w:ascii="Times New Roman" w:eastAsia="Times New Roman" w:hAnsi="Times New Roman" w:cs="Times New Roman"/>
        </w:rPr>
        <w:t xml:space="preserve"> indicate the depth of the LAB velocity gradient measured from the </w:t>
      </w:r>
      <w:proofErr w:type="spellStart"/>
      <w:r>
        <w:rPr>
          <w:rFonts w:ascii="Times New Roman" w:eastAsia="Times New Roman" w:hAnsi="Times New Roman" w:cs="Times New Roman"/>
        </w:rPr>
        <w:t>Sp</w:t>
      </w:r>
      <w:proofErr w:type="spellEnd"/>
      <w:r>
        <w:rPr>
          <w:rFonts w:ascii="Times New Roman" w:eastAsia="Times New Roman" w:hAnsi="Times New Roman" w:cs="Times New Roman"/>
        </w:rPr>
        <w:t xml:space="preserve"> common conversion point stack.  </w:t>
      </w:r>
      <w:r>
        <w:rPr>
          <w:rFonts w:ascii="Times New Roman" w:eastAsia="Times New Roman" w:hAnsi="Times New Roman" w:cs="Times New Roman"/>
          <w:color w:val="2F2A2B"/>
        </w:rPr>
        <w:t>The LAB depth is defined as the deepes</w:t>
      </w:r>
      <w:r>
        <w:rPr>
          <w:rFonts w:ascii="Times New Roman" w:eastAsia="Times New Roman" w:hAnsi="Times New Roman" w:cs="Times New Roman"/>
          <w:color w:val="2F2A2B"/>
        </w:rPr>
        <w:t xml:space="preserve">t local </w:t>
      </w:r>
      <w:proofErr w:type="spellStart"/>
      <w:r>
        <w:rPr>
          <w:rFonts w:ascii="Times New Roman" w:eastAsia="Times New Roman" w:hAnsi="Times New Roman" w:cs="Times New Roman"/>
          <w:color w:val="2F2A2B"/>
        </w:rPr>
        <w:t>Sp</w:t>
      </w:r>
      <w:proofErr w:type="spellEnd"/>
      <w:r>
        <w:rPr>
          <w:rFonts w:ascii="Times New Roman" w:eastAsia="Times New Roman" w:hAnsi="Times New Roman" w:cs="Times New Roman"/>
          <w:color w:val="2F2A2B"/>
        </w:rPr>
        <w:t xml:space="preserve"> phase indicative of a negative velocity gradient with depth, if that velocity gradient is within 20 km depth of the </w:t>
      </w:r>
      <w:proofErr w:type="spellStart"/>
      <w:r>
        <w:rPr>
          <w:rFonts w:ascii="Times New Roman" w:eastAsia="Times New Roman" w:hAnsi="Times New Roman" w:cs="Times New Roman"/>
          <w:color w:val="2F2A2B"/>
        </w:rPr>
        <w:t>tomographically</w:t>
      </w:r>
      <w:proofErr w:type="spellEnd"/>
      <w:r>
        <w:rPr>
          <w:rFonts w:ascii="Times New Roman" w:eastAsia="Times New Roman" w:hAnsi="Times New Roman" w:cs="Times New Roman"/>
          <w:color w:val="2F2A2B"/>
        </w:rPr>
        <w:t xml:space="preserve"> estimated LAB depth (</w:t>
      </w:r>
      <w:proofErr w:type="spellStart"/>
      <w:r>
        <w:rPr>
          <w:rFonts w:ascii="Times New Roman" w:eastAsia="Times New Roman" w:hAnsi="Times New Roman" w:cs="Times New Roman"/>
          <w:color w:val="2F2A2B"/>
        </w:rPr>
        <w:t>Cammarano</w:t>
      </w:r>
      <w:proofErr w:type="spellEnd"/>
      <w:r>
        <w:rPr>
          <w:rFonts w:ascii="Times New Roman" w:eastAsia="Times New Roman" w:hAnsi="Times New Roman" w:cs="Times New Roman"/>
          <w:color w:val="2F2A2B"/>
        </w:rPr>
        <w:t xml:space="preserve"> and Guerri, 2017; Wagner et al., 2018).  Black line shows the location of the prof</w:t>
      </w:r>
      <w:r>
        <w:rPr>
          <w:rFonts w:ascii="Times New Roman" w:eastAsia="Times New Roman" w:hAnsi="Times New Roman" w:cs="Times New Roman"/>
          <w:color w:val="2F2A2B"/>
        </w:rPr>
        <w:t>ile in (a).  Black triangle shows the location of station WVOR in (b).</w:t>
      </w:r>
      <w:bookmarkStart w:id="3" w:name="_1fob9te" w:colFirst="0" w:colLast="0"/>
      <w:bookmarkEnd w:id="3"/>
      <w:r>
        <w:br w:type="page"/>
      </w:r>
    </w:p>
    <w:p w:rsidR="00557964" w:rsidRDefault="001D40DB">
      <w:pPr>
        <w:spacing w:line="480" w:lineRule="auto"/>
        <w:rPr>
          <w:rFonts w:ascii="Helvetica Neue" w:eastAsia="Helvetica Neue" w:hAnsi="Helvetica Neue" w:cs="Helvetica Neue"/>
          <w:sz w:val="28"/>
          <w:szCs w:val="28"/>
        </w:rPr>
      </w:pPr>
      <w:r>
        <w:rPr>
          <w:rFonts w:ascii="Helvetica Neue" w:eastAsia="Helvetica Neue" w:hAnsi="Helvetica Neue" w:cs="Helvetica Neue"/>
          <w:noProof/>
          <w:sz w:val="28"/>
          <w:szCs w:val="28"/>
        </w:rPr>
        <w:lastRenderedPageBreak/>
        <w:drawing>
          <wp:inline distT="114300" distB="114300" distL="114300" distR="114300">
            <wp:extent cx="5734050" cy="2197100"/>
            <wp:effectExtent l="0" t="0" r="0" b="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5734050" cy="2197100"/>
                    </a:xfrm>
                    <a:prstGeom prst="rect">
                      <a:avLst/>
                    </a:prstGeom>
                    <a:ln/>
                  </pic:spPr>
                </pic:pic>
              </a:graphicData>
            </a:graphic>
          </wp:inline>
        </w:drawing>
      </w:r>
    </w:p>
    <w:p w:rsidR="00557964" w:rsidRDefault="00557964">
      <w:pPr>
        <w:spacing w:line="480" w:lineRule="auto"/>
        <w:rPr>
          <w:rFonts w:ascii="Helvetica Neue" w:eastAsia="Helvetica Neue" w:hAnsi="Helvetica Neue" w:cs="Helvetica Neue"/>
          <w:sz w:val="28"/>
          <w:szCs w:val="28"/>
        </w:rPr>
      </w:pPr>
    </w:p>
    <w:p w:rsidR="00557964" w:rsidRDefault="001D40DB">
      <w:pPr>
        <w:spacing w:line="480" w:lineRule="auto"/>
        <w:jc w:val="both"/>
        <w:rPr>
          <w:rFonts w:ascii="Times New Roman" w:eastAsia="Times New Roman" w:hAnsi="Times New Roman" w:cs="Times New Roman"/>
        </w:rPr>
      </w:pPr>
      <w:r>
        <w:rPr>
          <w:rFonts w:ascii="Times New Roman" w:eastAsia="Times New Roman" w:hAnsi="Times New Roman" w:cs="Times New Roman"/>
          <w:b/>
        </w:rPr>
        <w:t xml:space="preserve">Figure 9. </w:t>
      </w:r>
      <w:r>
        <w:rPr>
          <w:rFonts w:ascii="Times New Roman" w:eastAsia="Times New Roman" w:hAnsi="Times New Roman" w:cs="Times New Roman"/>
        </w:rPr>
        <w:t xml:space="preserve"> From Hansen et al. (2015).  Thermal classiﬁcation of negative velocity gradients observed in a </w:t>
      </w:r>
      <w:proofErr w:type="spellStart"/>
      <w:r>
        <w:rPr>
          <w:rFonts w:ascii="Times New Roman" w:eastAsia="Times New Roman" w:hAnsi="Times New Roman" w:cs="Times New Roman"/>
        </w:rPr>
        <w:t>Sp</w:t>
      </w:r>
      <w:proofErr w:type="spellEnd"/>
      <w:r>
        <w:rPr>
          <w:rFonts w:ascii="Times New Roman" w:eastAsia="Times New Roman" w:hAnsi="Times New Roman" w:cs="Times New Roman"/>
        </w:rPr>
        <w:t xml:space="preserve"> receiver function stack. a) The mantle temperature (inferred from seism</w:t>
      </w:r>
      <w:r>
        <w:rPr>
          <w:rFonts w:ascii="Times New Roman" w:eastAsia="Times New Roman" w:hAnsi="Times New Roman" w:cs="Times New Roman"/>
        </w:rPr>
        <w:t xml:space="preserve">ic velocities) at each negative velocity gradient pick is plotted as a depth–temperature histogram; thermal classiﬁcations are </w:t>
      </w:r>
      <w:proofErr w:type="spellStart"/>
      <w:r>
        <w:rPr>
          <w:rFonts w:ascii="Times New Roman" w:eastAsia="Times New Roman" w:hAnsi="Times New Roman" w:cs="Times New Roman"/>
        </w:rPr>
        <w:t>labeled</w:t>
      </w:r>
      <w:proofErr w:type="spellEnd"/>
      <w:r>
        <w:rPr>
          <w:rFonts w:ascii="Times New Roman" w:eastAsia="Times New Roman" w:hAnsi="Times New Roman" w:cs="Times New Roman"/>
        </w:rPr>
        <w:t>. b) The approximate geographic distribution of the classiﬁed negative velocity depths in (a). The modal peak at 1345˚C an</w:t>
      </w:r>
      <w:r>
        <w:rPr>
          <w:rFonts w:ascii="Times New Roman" w:eastAsia="Times New Roman" w:hAnsi="Times New Roman" w:cs="Times New Roman"/>
        </w:rPr>
        <w:t>d 66 km depth is largely from the thin lithosphere regions of the western U.S. and is interpreted as the LAB. The peak at 770˚C and 84 km depth occurs in the thick lithosphere regions in the central U.S. and is interpreted as MLD. A third smaller peak near</w:t>
      </w:r>
      <w:r>
        <w:rPr>
          <w:rFonts w:ascii="Times New Roman" w:eastAsia="Times New Roman" w:hAnsi="Times New Roman" w:cs="Times New Roman"/>
        </w:rPr>
        <w:t xml:space="preserve"> 1230˚C and 165 km depth is interpreted as deep MLD beneath the northern Rockies and Plains.</w:t>
      </w:r>
    </w:p>
    <w:p w:rsidR="00557964" w:rsidRDefault="00557964">
      <w:pPr>
        <w:spacing w:line="480" w:lineRule="auto"/>
      </w:pPr>
    </w:p>
    <w:p w:rsidR="00557964" w:rsidRDefault="001D40DB">
      <w:pPr>
        <w:spacing w:line="480" w:lineRule="auto"/>
      </w:pPr>
      <w:r>
        <w:rPr>
          <w:noProof/>
        </w:rPr>
        <w:lastRenderedPageBreak/>
        <w:drawing>
          <wp:inline distT="114300" distB="114300" distL="114300" distR="114300">
            <wp:extent cx="5698112" cy="3281363"/>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l="7308" t="3273" r="1827" b="2976"/>
                    <a:stretch>
                      <a:fillRect/>
                    </a:stretch>
                  </pic:blipFill>
                  <pic:spPr>
                    <a:xfrm>
                      <a:off x="0" y="0"/>
                      <a:ext cx="5698112" cy="3281363"/>
                    </a:xfrm>
                    <a:prstGeom prst="rect">
                      <a:avLst/>
                    </a:prstGeom>
                    <a:ln/>
                  </pic:spPr>
                </pic:pic>
              </a:graphicData>
            </a:graphic>
          </wp:inline>
        </w:drawing>
      </w:r>
    </w:p>
    <w:p w:rsidR="00557964" w:rsidRDefault="001D40DB">
      <w:pPr>
        <w:spacing w:line="480" w:lineRule="auto"/>
        <w:jc w:val="both"/>
        <w:rPr>
          <w:rFonts w:ascii="Times New Roman" w:eastAsia="Times New Roman" w:hAnsi="Times New Roman" w:cs="Times New Roman"/>
        </w:rPr>
      </w:pPr>
      <w:r>
        <w:rPr>
          <w:rFonts w:ascii="Times New Roman" w:eastAsia="Times New Roman" w:hAnsi="Times New Roman" w:cs="Times New Roman"/>
          <w:b/>
        </w:rPr>
        <w:t>Figure 10.</w:t>
      </w:r>
      <w:r>
        <w:rPr>
          <w:rFonts w:ascii="Times New Roman" w:eastAsia="Times New Roman" w:hAnsi="Times New Roman" w:cs="Times New Roman"/>
        </w:rPr>
        <w:t xml:space="preserve">  Comparison of observed (error bars) and predicted (</w:t>
      </w:r>
      <w:proofErr w:type="spellStart"/>
      <w:r>
        <w:rPr>
          <w:rFonts w:ascii="Times New Roman" w:eastAsia="Times New Roman" w:hAnsi="Times New Roman" w:cs="Times New Roman"/>
        </w:rPr>
        <w:t>colored</w:t>
      </w:r>
      <w:proofErr w:type="spellEnd"/>
      <w:r>
        <w:rPr>
          <w:rFonts w:ascii="Times New Roman" w:eastAsia="Times New Roman" w:hAnsi="Times New Roman" w:cs="Times New Roman"/>
        </w:rPr>
        <w:t xml:space="preserve"> lines) phase velocities for the Pacific Ocean at four periods</w:t>
      </w:r>
      <w:r>
        <w:rPr>
          <w:rFonts w:ascii="Times New Roman" w:eastAsia="Times New Roman" w:hAnsi="Times New Roman" w:cs="Times New Roman"/>
        </w:rPr>
        <w:t xml:space="preserve"> (25 s, 39 s, 72 s and 125 s</w:t>
      </w:r>
      <w:r>
        <w:rPr>
          <w:rFonts w:ascii="Times New Roman" w:eastAsia="Times New Roman" w:hAnsi="Times New Roman" w:cs="Times New Roman"/>
        </w:rPr>
        <w:t>)</w:t>
      </w:r>
      <w:r>
        <w:rPr>
          <w:rFonts w:ascii="Times New Roman" w:eastAsia="Times New Roman" w:hAnsi="Times New Roman" w:cs="Times New Roman"/>
        </w:rPr>
        <w:t xml:space="preserve">. Observed phase velocities are sampled from the GDM52 phase velocity maps of </w:t>
      </w:r>
      <w:proofErr w:type="spellStart"/>
      <w:r>
        <w:rPr>
          <w:rFonts w:ascii="Times New Roman" w:eastAsia="Times New Roman" w:hAnsi="Times New Roman" w:cs="Times New Roman"/>
        </w:rPr>
        <w:t>Ekström</w:t>
      </w:r>
      <w:proofErr w:type="spellEnd"/>
      <w:r>
        <w:rPr>
          <w:rFonts w:ascii="Times New Roman" w:eastAsia="Times New Roman" w:hAnsi="Times New Roman" w:cs="Times New Roman"/>
        </w:rPr>
        <w:t xml:space="preserve"> (2011) in 11,586 1</w:t>
      </w:r>
      <w:r>
        <w:rPr>
          <w:rFonts w:ascii="Times New Roman" w:eastAsia="Times New Roman" w:hAnsi="Times New Roman" w:cs="Times New Roman"/>
          <w:vertAlign w:val="superscript"/>
        </w:rPr>
        <w:t>o</w:t>
      </w:r>
      <w:r>
        <w:rPr>
          <w:rFonts w:ascii="Times New Roman" w:eastAsia="Times New Roman" w:hAnsi="Times New Roman" w:cs="Times New Roman"/>
        </w:rPr>
        <w:t>x1</w:t>
      </w:r>
      <w:r>
        <w:rPr>
          <w:rFonts w:ascii="Times New Roman" w:eastAsia="Times New Roman" w:hAnsi="Times New Roman" w:cs="Times New Roman"/>
          <w:vertAlign w:val="superscript"/>
        </w:rPr>
        <w:t>o</w:t>
      </w:r>
      <w:r>
        <w:rPr>
          <w:rFonts w:ascii="Times New Roman" w:eastAsia="Times New Roman" w:hAnsi="Times New Roman" w:cs="Times New Roman"/>
        </w:rPr>
        <w:t xml:space="preserve"> cells. Predictions are shifted to have the same median velocity over the age range 0-150 </w:t>
      </w:r>
      <w:proofErr w:type="spellStart"/>
      <w:r>
        <w:rPr>
          <w:rFonts w:ascii="Times New Roman" w:eastAsia="Times New Roman" w:hAnsi="Times New Roman" w:cs="Times New Roman"/>
        </w:rPr>
        <w:t>Myr</w:t>
      </w:r>
      <w:proofErr w:type="spellEnd"/>
      <w:r>
        <w:rPr>
          <w:rFonts w:ascii="Times New Roman" w:eastAsia="Times New Roman" w:hAnsi="Times New Roman" w:cs="Times New Roman"/>
        </w:rPr>
        <w:t xml:space="preserve"> </w:t>
      </w:r>
      <w:r>
        <w:rPr>
          <w:rFonts w:ascii="Times New Roman" w:eastAsia="Times New Roman" w:hAnsi="Times New Roman" w:cs="Times New Roman"/>
        </w:rPr>
        <w:t>to compare to</w:t>
      </w:r>
      <w:r>
        <w:rPr>
          <w:rFonts w:ascii="Times New Roman" w:eastAsia="Times New Roman" w:hAnsi="Times New Roman" w:cs="Times New Roman"/>
        </w:rPr>
        <w:t xml:space="preserve"> the observations. Error bars show the median phase velocity, determined in a sliding 2-Myr-wide age bin, with height equal to twice the standard deviation. These predictions are based on plate cooling thermal models with a mantle potential temperature of </w:t>
      </w:r>
      <w:r>
        <w:rPr>
          <w:rFonts w:ascii="Times New Roman" w:eastAsia="Times New Roman" w:hAnsi="Times New Roman" w:cs="Times New Roman"/>
        </w:rPr>
        <w:t xml:space="preserve">1350˚C and a grain size of 10 mm for the anelastic calculation. Different </w:t>
      </w:r>
      <w:proofErr w:type="spellStart"/>
      <w:r>
        <w:rPr>
          <w:rFonts w:ascii="Times New Roman" w:eastAsia="Times New Roman" w:hAnsi="Times New Roman" w:cs="Times New Roman"/>
        </w:rPr>
        <w:t>colors</w:t>
      </w:r>
      <w:proofErr w:type="spellEnd"/>
      <w:r>
        <w:rPr>
          <w:rFonts w:ascii="Times New Roman" w:eastAsia="Times New Roman" w:hAnsi="Times New Roman" w:cs="Times New Roman"/>
        </w:rPr>
        <w:t xml:space="preserve"> correspond to different assumptions about the asymptotic plate thickness, including the end-member case of half-space cooling (HSC). </w:t>
      </w:r>
    </w:p>
    <w:p w:rsidR="00557964" w:rsidRDefault="00557964">
      <w:pPr>
        <w:spacing w:line="480" w:lineRule="auto"/>
        <w:rPr>
          <w:rFonts w:ascii="Helvetica Neue" w:eastAsia="Helvetica Neue" w:hAnsi="Helvetica Neue" w:cs="Helvetica Neue"/>
        </w:rPr>
      </w:pPr>
    </w:p>
    <w:p w:rsidR="00557964" w:rsidRDefault="001D40DB">
      <w:pPr>
        <w:spacing w:line="480"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extent cx="5898401" cy="2100263"/>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l="6976" r="7475"/>
                    <a:stretch>
                      <a:fillRect/>
                    </a:stretch>
                  </pic:blipFill>
                  <pic:spPr>
                    <a:xfrm>
                      <a:off x="0" y="0"/>
                      <a:ext cx="5898401" cy="2100263"/>
                    </a:xfrm>
                    <a:prstGeom prst="rect">
                      <a:avLst/>
                    </a:prstGeom>
                    <a:ln/>
                  </pic:spPr>
                </pic:pic>
              </a:graphicData>
            </a:graphic>
          </wp:inline>
        </w:drawing>
      </w:r>
    </w:p>
    <w:p w:rsidR="00557964" w:rsidRDefault="001D40DB">
      <w:pPr>
        <w:spacing w:line="480" w:lineRule="auto"/>
        <w:jc w:val="both"/>
        <w:rPr>
          <w:rFonts w:ascii="Times New Roman" w:eastAsia="Times New Roman" w:hAnsi="Times New Roman" w:cs="Times New Roman"/>
        </w:rPr>
      </w:pPr>
      <w:r>
        <w:rPr>
          <w:rFonts w:ascii="Times New Roman" w:eastAsia="Times New Roman" w:hAnsi="Times New Roman" w:cs="Times New Roman"/>
          <w:b/>
        </w:rPr>
        <w:t>Figure 11.</w:t>
      </w:r>
      <w:r>
        <w:rPr>
          <w:rFonts w:ascii="Times New Roman" w:eastAsia="Times New Roman" w:hAnsi="Times New Roman" w:cs="Times New Roman"/>
        </w:rPr>
        <w:t xml:space="preserve">  Misfits between predicted </w:t>
      </w:r>
      <w:r>
        <w:rPr>
          <w:rFonts w:ascii="Times New Roman" w:eastAsia="Times New Roman" w:hAnsi="Times New Roman" w:cs="Times New Roman"/>
        </w:rPr>
        <w:t xml:space="preserve">and observed phase velocities, where the median observed velocity in a sliding 2-Myr-wide age bin is used. Misfit is defined as the sum over the age range 35-150 </w:t>
      </w:r>
      <w:proofErr w:type="spellStart"/>
      <w:r>
        <w:rPr>
          <w:rFonts w:ascii="Times New Roman" w:eastAsia="Times New Roman" w:hAnsi="Times New Roman" w:cs="Times New Roman"/>
        </w:rPr>
        <w:t>Myr</w:t>
      </w:r>
      <w:proofErr w:type="spellEnd"/>
      <w:r>
        <w:rPr>
          <w:rFonts w:ascii="Times New Roman" w:eastAsia="Times New Roman" w:hAnsi="Times New Roman" w:cs="Times New Roman"/>
        </w:rPr>
        <w:t xml:space="preserve"> of the squared difference for a given period (line </w:t>
      </w:r>
      <w:proofErr w:type="spellStart"/>
      <w:r>
        <w:rPr>
          <w:rFonts w:ascii="Times New Roman" w:eastAsia="Times New Roman" w:hAnsi="Times New Roman" w:cs="Times New Roman"/>
        </w:rPr>
        <w:t>color</w:t>
      </w:r>
      <w:proofErr w:type="spellEnd"/>
      <w:r>
        <w:rPr>
          <w:rFonts w:ascii="Times New Roman" w:eastAsia="Times New Roman" w:hAnsi="Times New Roman" w:cs="Times New Roman"/>
        </w:rPr>
        <w:t xml:space="preserve">) and plate thickness (horizontal </w:t>
      </w:r>
      <w:r>
        <w:rPr>
          <w:rFonts w:ascii="Times New Roman" w:eastAsia="Times New Roman" w:hAnsi="Times New Roman" w:cs="Times New Roman"/>
        </w:rPr>
        <w:t>axis). (Left) Total misfit between predicted and observed phase velocities. (Right) As in (left) but here misfit at each period has been normalized by its value for a 95 km plate thickness. Triangles show misfit for HSC. All models assume a mantle potentia</w:t>
      </w:r>
      <w:r>
        <w:rPr>
          <w:rFonts w:ascii="Times New Roman" w:eastAsia="Times New Roman" w:hAnsi="Times New Roman" w:cs="Times New Roman"/>
        </w:rPr>
        <w:t xml:space="preserve">l temperature of 1350˚C and a grain size of 10 mm. </w:t>
      </w:r>
    </w:p>
    <w:p w:rsidR="00557964" w:rsidRDefault="00557964">
      <w:pPr>
        <w:spacing w:line="480" w:lineRule="auto"/>
        <w:rPr>
          <w:rFonts w:ascii="Arial" w:eastAsia="Arial" w:hAnsi="Arial" w:cs="Arial"/>
          <w:sz w:val="22"/>
          <w:szCs w:val="22"/>
        </w:rPr>
      </w:pPr>
    </w:p>
    <w:p w:rsidR="00557964" w:rsidRDefault="001D40DB">
      <w:pPr>
        <w:spacing w:line="480" w:lineRule="auto"/>
        <w:rPr>
          <w:rFonts w:ascii="Arial" w:eastAsia="Arial" w:hAnsi="Arial" w:cs="Arial"/>
          <w:sz w:val="22"/>
          <w:szCs w:val="22"/>
        </w:rPr>
      </w:pPr>
      <w:r>
        <w:rPr>
          <w:rFonts w:ascii="Arial" w:eastAsia="Arial" w:hAnsi="Arial" w:cs="Arial"/>
          <w:noProof/>
          <w:sz w:val="22"/>
          <w:szCs w:val="22"/>
        </w:rPr>
        <w:lastRenderedPageBreak/>
        <w:drawing>
          <wp:inline distT="114300" distB="114300" distL="114300" distR="114300">
            <wp:extent cx="5731200" cy="4318000"/>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5731200" cy="4318000"/>
                    </a:xfrm>
                    <a:prstGeom prst="rect">
                      <a:avLst/>
                    </a:prstGeom>
                    <a:ln/>
                  </pic:spPr>
                </pic:pic>
              </a:graphicData>
            </a:graphic>
          </wp:inline>
        </w:drawing>
      </w:r>
    </w:p>
    <w:p w:rsidR="00557964" w:rsidRDefault="001D40DB">
      <w:pPr>
        <w:spacing w:line="480" w:lineRule="auto"/>
        <w:jc w:val="both"/>
        <w:rPr>
          <w:rFonts w:ascii="Times New Roman" w:eastAsia="Times New Roman" w:hAnsi="Times New Roman" w:cs="Times New Roman"/>
        </w:rPr>
      </w:pPr>
      <w:r>
        <w:rPr>
          <w:rFonts w:ascii="Times New Roman" w:eastAsia="Times New Roman" w:hAnsi="Times New Roman" w:cs="Times New Roman"/>
          <w:b/>
        </w:rPr>
        <w:t>Figure 12.</w:t>
      </w:r>
      <w:r>
        <w:rPr>
          <w:rFonts w:ascii="Times New Roman" w:eastAsia="Times New Roman" w:hAnsi="Times New Roman" w:cs="Times New Roman"/>
        </w:rPr>
        <w:t xml:space="preserve">  Misfit versus period for models with: (upper) 1350˚C and (lower) 1450˚C mantle potential temperature with (left) 1 mm grain size and (right) 10 mm grain size. Different </w:t>
      </w:r>
      <w:proofErr w:type="spellStart"/>
      <w:r>
        <w:rPr>
          <w:rFonts w:ascii="Times New Roman" w:eastAsia="Times New Roman" w:hAnsi="Times New Roman" w:cs="Times New Roman"/>
        </w:rPr>
        <w:t>colors</w:t>
      </w:r>
      <w:proofErr w:type="spellEnd"/>
      <w:r>
        <w:rPr>
          <w:rFonts w:ascii="Times New Roman" w:eastAsia="Times New Roman" w:hAnsi="Times New Roman" w:cs="Times New Roman"/>
        </w:rPr>
        <w:t xml:space="preserve"> correspond to</w:t>
      </w:r>
      <w:r>
        <w:rPr>
          <w:rFonts w:ascii="Times New Roman" w:eastAsia="Times New Roman" w:hAnsi="Times New Roman" w:cs="Times New Roman"/>
        </w:rPr>
        <w:t xml:space="preserve"> different assumptions about the asymptotic plate thickness, including half-space cooling (HSC). Misfit is calculated as in Figure 11. </w:t>
      </w:r>
    </w:p>
    <w:p w:rsidR="00557964" w:rsidRDefault="00557964">
      <w:pPr>
        <w:spacing w:line="480" w:lineRule="auto"/>
        <w:rPr>
          <w:rFonts w:ascii="Arial" w:eastAsia="Arial" w:hAnsi="Arial" w:cs="Arial"/>
          <w:sz w:val="22"/>
          <w:szCs w:val="22"/>
        </w:rPr>
      </w:pPr>
    </w:p>
    <w:p w:rsidR="00557964" w:rsidRDefault="001D40DB">
      <w:pPr>
        <w:spacing w:line="480" w:lineRule="auto"/>
        <w:rPr>
          <w:rFonts w:ascii="Arial" w:eastAsia="Arial" w:hAnsi="Arial" w:cs="Arial"/>
          <w:sz w:val="22"/>
          <w:szCs w:val="22"/>
        </w:rPr>
      </w:pPr>
      <w:r>
        <w:rPr>
          <w:rFonts w:ascii="Arial" w:eastAsia="Arial" w:hAnsi="Arial" w:cs="Arial"/>
          <w:noProof/>
          <w:sz w:val="22"/>
          <w:szCs w:val="22"/>
        </w:rPr>
        <w:lastRenderedPageBreak/>
        <w:drawing>
          <wp:inline distT="114300" distB="114300" distL="114300" distR="114300">
            <wp:extent cx="5731200" cy="42926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731200" cy="4292600"/>
                    </a:xfrm>
                    <a:prstGeom prst="rect">
                      <a:avLst/>
                    </a:prstGeom>
                    <a:ln/>
                  </pic:spPr>
                </pic:pic>
              </a:graphicData>
            </a:graphic>
          </wp:inline>
        </w:drawing>
      </w:r>
    </w:p>
    <w:p w:rsidR="00557964" w:rsidRDefault="001D40DB">
      <w:pPr>
        <w:spacing w:line="480" w:lineRule="auto"/>
        <w:jc w:val="both"/>
        <w:rPr>
          <w:rFonts w:ascii="Times New Roman" w:eastAsia="Times New Roman" w:hAnsi="Times New Roman" w:cs="Times New Roman"/>
        </w:rPr>
      </w:pPr>
      <w:r>
        <w:rPr>
          <w:rFonts w:ascii="Times New Roman" w:eastAsia="Times New Roman" w:hAnsi="Times New Roman" w:cs="Times New Roman"/>
          <w:b/>
        </w:rPr>
        <w:t xml:space="preserve">Figure 13. </w:t>
      </w:r>
      <w:r>
        <w:rPr>
          <w:rFonts w:ascii="Times New Roman" w:eastAsia="Times New Roman" w:hAnsi="Times New Roman" w:cs="Times New Roman"/>
        </w:rPr>
        <w:t xml:space="preserve"> Best-fitting asymptotic plate thickness as a function of Rayleigh wave period for 35-150 </w:t>
      </w:r>
      <w:proofErr w:type="spellStart"/>
      <w:r>
        <w:rPr>
          <w:rFonts w:ascii="Times New Roman" w:eastAsia="Times New Roman" w:hAnsi="Times New Roman" w:cs="Times New Roman"/>
        </w:rPr>
        <w:t>Myr</w:t>
      </w:r>
      <w:proofErr w:type="spellEnd"/>
      <w:r>
        <w:rPr>
          <w:rFonts w:ascii="Times New Roman" w:eastAsia="Times New Roman" w:hAnsi="Times New Roman" w:cs="Times New Roman"/>
        </w:rPr>
        <w:t>-old lithosph</w:t>
      </w:r>
      <w:r>
        <w:rPr>
          <w:rFonts w:ascii="Times New Roman" w:eastAsia="Times New Roman" w:hAnsi="Times New Roman" w:cs="Times New Roman"/>
        </w:rPr>
        <w:t>ere.  Results are shown for thermal models with: (upper) 1350˚C and (lower) 1450˚C mantle potential temperature with (left) 1 mm grain size and (right) 10 mm grain size. Blue curve shows plate thickness corresponding to the minimum misfit at each period. E</w:t>
      </w:r>
      <w:r>
        <w:rPr>
          <w:rFonts w:ascii="Times New Roman" w:eastAsia="Times New Roman" w:hAnsi="Times New Roman" w:cs="Times New Roman"/>
        </w:rPr>
        <w:t>rror bars show the range of plate thickness for which predicted phase velocity falls within one standard deviation of the observed median value (e.g., Fig. 11). For plotting purposes only, results for half-space cooling are shown as plate thickness = 155 k</w:t>
      </w:r>
      <w:r>
        <w:rPr>
          <w:rFonts w:ascii="Times New Roman" w:eastAsia="Times New Roman" w:hAnsi="Times New Roman" w:cs="Times New Roman"/>
        </w:rPr>
        <w:t>m. In all cases, plate thicknesses of 85-95 km overlap the confidence limits. Results for ages limited to 0-</w:t>
      </w:r>
      <w:r>
        <w:rPr>
          <w:rFonts w:ascii="Times New Roman" w:eastAsia="Times New Roman" w:hAnsi="Times New Roman" w:cs="Times New Roman"/>
        </w:rPr>
        <w:t>7</w:t>
      </w:r>
      <w:r>
        <w:rPr>
          <w:rFonts w:ascii="Times New Roman" w:eastAsia="Times New Roman" w:hAnsi="Times New Roman" w:cs="Times New Roman"/>
        </w:rPr>
        <w:t xml:space="preserve">0 </w:t>
      </w:r>
      <w:proofErr w:type="spellStart"/>
      <w:r>
        <w:rPr>
          <w:rFonts w:ascii="Times New Roman" w:eastAsia="Times New Roman" w:hAnsi="Times New Roman" w:cs="Times New Roman"/>
        </w:rPr>
        <w:t>Myr</w:t>
      </w:r>
      <w:proofErr w:type="spellEnd"/>
      <w:r>
        <w:rPr>
          <w:rFonts w:ascii="Times New Roman" w:eastAsia="Times New Roman" w:hAnsi="Times New Roman" w:cs="Times New Roman"/>
        </w:rPr>
        <w:t>-old lithosphere are very similar.</w:t>
      </w:r>
    </w:p>
    <w:p w:rsidR="00557964" w:rsidRDefault="001D40DB">
      <w:pPr>
        <w:spacing w:line="480" w:lineRule="auto"/>
        <w:jc w:val="both"/>
        <w:rPr>
          <w:rFonts w:ascii="Arial" w:eastAsia="Arial" w:hAnsi="Arial" w:cs="Arial"/>
          <w:sz w:val="22"/>
          <w:szCs w:val="22"/>
        </w:rPr>
      </w:pPr>
      <w:r>
        <w:rPr>
          <w:rFonts w:ascii="Arial" w:eastAsia="Arial" w:hAnsi="Arial" w:cs="Arial"/>
          <w:noProof/>
          <w:sz w:val="22"/>
          <w:szCs w:val="22"/>
        </w:rPr>
        <w:lastRenderedPageBreak/>
        <w:drawing>
          <wp:inline distT="114300" distB="114300" distL="114300" distR="114300">
            <wp:extent cx="5731200" cy="342900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5731200" cy="3429000"/>
                    </a:xfrm>
                    <a:prstGeom prst="rect">
                      <a:avLst/>
                    </a:prstGeom>
                    <a:ln/>
                  </pic:spPr>
                </pic:pic>
              </a:graphicData>
            </a:graphic>
          </wp:inline>
        </w:drawing>
      </w:r>
    </w:p>
    <w:p w:rsidR="00557964" w:rsidRDefault="001D40DB">
      <w:pPr>
        <w:spacing w:line="480" w:lineRule="auto"/>
        <w:jc w:val="both"/>
        <w:rPr>
          <w:rFonts w:ascii="Times New Roman" w:eastAsia="Times New Roman" w:hAnsi="Times New Roman" w:cs="Times New Roman"/>
        </w:rPr>
      </w:pPr>
      <w:r>
        <w:rPr>
          <w:rFonts w:ascii="Times New Roman" w:eastAsia="Times New Roman" w:hAnsi="Times New Roman" w:cs="Times New Roman"/>
          <w:b/>
        </w:rPr>
        <w:t xml:space="preserve">Figure 14. </w:t>
      </w:r>
      <w:r>
        <w:rPr>
          <w:rFonts w:ascii="Times New Roman" w:eastAsia="Times New Roman" w:hAnsi="Times New Roman" w:cs="Times New Roman"/>
        </w:rPr>
        <w:t xml:space="preserve"> In each pair, plots show shear velocity models predicted by asymptotic plate thicknesses of 65 km and 95 km, seafloor ages of 20 </w:t>
      </w:r>
      <w:proofErr w:type="spellStart"/>
      <w:r>
        <w:rPr>
          <w:rFonts w:ascii="Times New Roman" w:eastAsia="Times New Roman" w:hAnsi="Times New Roman" w:cs="Times New Roman"/>
        </w:rPr>
        <w:t>Myr</w:t>
      </w:r>
      <w:proofErr w:type="spellEnd"/>
      <w:r>
        <w:rPr>
          <w:rFonts w:ascii="Times New Roman" w:eastAsia="Times New Roman" w:hAnsi="Times New Roman" w:cs="Times New Roman"/>
        </w:rPr>
        <w:t xml:space="preserve">, 40 </w:t>
      </w:r>
      <w:proofErr w:type="spellStart"/>
      <w:r>
        <w:rPr>
          <w:rFonts w:ascii="Times New Roman" w:eastAsia="Times New Roman" w:hAnsi="Times New Roman" w:cs="Times New Roman"/>
        </w:rPr>
        <w:t>Myr</w:t>
      </w:r>
      <w:proofErr w:type="spellEnd"/>
      <w:r>
        <w:rPr>
          <w:rFonts w:ascii="Times New Roman" w:eastAsia="Times New Roman" w:hAnsi="Times New Roman" w:cs="Times New Roman"/>
        </w:rPr>
        <w:t xml:space="preserve">, and 80 </w:t>
      </w:r>
      <w:proofErr w:type="spellStart"/>
      <w:r>
        <w:rPr>
          <w:rFonts w:ascii="Times New Roman" w:eastAsia="Times New Roman" w:hAnsi="Times New Roman" w:cs="Times New Roman"/>
        </w:rPr>
        <w:t>Myr</w:t>
      </w:r>
      <w:proofErr w:type="spellEnd"/>
      <w:r>
        <w:rPr>
          <w:rFonts w:ascii="Times New Roman" w:eastAsia="Times New Roman" w:hAnsi="Times New Roman" w:cs="Times New Roman"/>
        </w:rPr>
        <w:t>, an asthenospheric temperature of 1350˚C, and a 10 mm grain size.  Dotted lines show the AK135 referen</w:t>
      </w:r>
      <w:r>
        <w:rPr>
          <w:rFonts w:ascii="Times New Roman" w:eastAsia="Times New Roman" w:hAnsi="Times New Roman" w:cs="Times New Roman"/>
        </w:rPr>
        <w:t xml:space="preserve">ce model (Kennett et al., 1995).  Plots on right show </w:t>
      </w:r>
      <w:proofErr w:type="spellStart"/>
      <w:r>
        <w:rPr>
          <w:rFonts w:ascii="Times New Roman" w:eastAsia="Times New Roman" w:hAnsi="Times New Roman" w:cs="Times New Roman"/>
        </w:rPr>
        <w:t>Sp</w:t>
      </w:r>
      <w:proofErr w:type="spellEnd"/>
      <w:r>
        <w:rPr>
          <w:rFonts w:ascii="Times New Roman" w:eastAsia="Times New Roman" w:hAnsi="Times New Roman" w:cs="Times New Roman"/>
        </w:rPr>
        <w:t xml:space="preserve"> receiver functions assuming a dominant period of 8 s, a bandpass filter from 100 s to 2 s, and time domain deconvolution (</w:t>
      </w:r>
      <w:proofErr w:type="spellStart"/>
      <w:r>
        <w:rPr>
          <w:rFonts w:ascii="Times New Roman" w:eastAsia="Times New Roman" w:hAnsi="Times New Roman" w:cs="Times New Roman"/>
        </w:rPr>
        <w:t>Ligorria</w:t>
      </w:r>
      <w:proofErr w:type="spellEnd"/>
      <w:r>
        <w:rPr>
          <w:rFonts w:ascii="Times New Roman" w:eastAsia="Times New Roman" w:hAnsi="Times New Roman" w:cs="Times New Roman"/>
        </w:rPr>
        <w:t xml:space="preserve"> and Ammon, 1999) with a 0.8 s Gaussian.  The polarity of the </w:t>
      </w:r>
      <w:proofErr w:type="spellStart"/>
      <w:r>
        <w:rPr>
          <w:rFonts w:ascii="Times New Roman" w:eastAsia="Times New Roman" w:hAnsi="Times New Roman" w:cs="Times New Roman"/>
        </w:rPr>
        <w:t>Sp</w:t>
      </w:r>
      <w:proofErr w:type="spellEnd"/>
      <w:r>
        <w:rPr>
          <w:rFonts w:ascii="Times New Roman" w:eastAsia="Times New Roman" w:hAnsi="Times New Roman" w:cs="Times New Roman"/>
        </w:rPr>
        <w:t xml:space="preserve"> phas</w:t>
      </w:r>
      <w:r>
        <w:rPr>
          <w:rFonts w:ascii="Times New Roman" w:eastAsia="Times New Roman" w:hAnsi="Times New Roman" w:cs="Times New Roman"/>
        </w:rPr>
        <w:t>es has been reversed to agree with the Ps convention, where positive phases correspond to velocity increases with depth, and negative phases show velocity decreases with depth.  The large red (positive) phase corresponds to the oceanic Moho, and the blue (</w:t>
      </w:r>
      <w:r>
        <w:rPr>
          <w:rFonts w:ascii="Times New Roman" w:eastAsia="Times New Roman" w:hAnsi="Times New Roman" w:cs="Times New Roman"/>
        </w:rPr>
        <w:t>negative) arrival beneath it is from the LAB velocity gradient.  The effects of sediment and water layers are ignored</w:t>
      </w:r>
      <w:r>
        <w:rPr>
          <w:rFonts w:ascii="Times New Roman" w:eastAsia="Times New Roman" w:hAnsi="Times New Roman" w:cs="Times New Roman"/>
        </w:rPr>
        <w:t xml:space="preserve"> by replacing them with basement velocities.  Depth in these plots is measured from the sea surface</w:t>
      </w:r>
      <w:r>
        <w:rPr>
          <w:rFonts w:ascii="Times New Roman" w:eastAsia="Times New Roman" w:hAnsi="Times New Roman" w:cs="Times New Roman"/>
        </w:rPr>
        <w:t xml:space="preserve">.  LAB phases for 40 </w:t>
      </w:r>
      <w:proofErr w:type="spellStart"/>
      <w:r>
        <w:rPr>
          <w:rFonts w:ascii="Times New Roman" w:eastAsia="Times New Roman" w:hAnsi="Times New Roman" w:cs="Times New Roman"/>
        </w:rPr>
        <w:t>Myr</w:t>
      </w:r>
      <w:proofErr w:type="spellEnd"/>
      <w:r>
        <w:rPr>
          <w:rFonts w:ascii="Times New Roman" w:eastAsia="Times New Roman" w:hAnsi="Times New Roman" w:cs="Times New Roman"/>
        </w:rPr>
        <w:t xml:space="preserve"> and for the 65 km plate model at 80 </w:t>
      </w:r>
      <w:proofErr w:type="spellStart"/>
      <w:r>
        <w:rPr>
          <w:rFonts w:ascii="Times New Roman" w:eastAsia="Times New Roman" w:hAnsi="Times New Roman" w:cs="Times New Roman"/>
        </w:rPr>
        <w:t>Myr</w:t>
      </w:r>
      <w:proofErr w:type="spellEnd"/>
      <w:r>
        <w:rPr>
          <w:rFonts w:ascii="Times New Roman" w:eastAsia="Times New Roman" w:hAnsi="Times New Roman" w:cs="Times New Roman"/>
        </w:rPr>
        <w:t xml:space="preserve"> are large enough to be potentially observable.  LAB amplitudes for other conditions are too small and would likely be swamped by noise in real data.</w:t>
      </w:r>
    </w:p>
    <w:p w:rsidR="00557964" w:rsidRDefault="001D40DB">
      <w:pPr>
        <w:spacing w:line="480" w:lineRule="auto"/>
        <w:jc w:val="both"/>
        <w:rPr>
          <w:rFonts w:ascii="Arial" w:eastAsia="Arial" w:hAnsi="Arial" w:cs="Arial"/>
          <w:sz w:val="22"/>
          <w:szCs w:val="22"/>
        </w:rPr>
      </w:pPr>
      <w:r>
        <w:rPr>
          <w:rFonts w:ascii="Arial" w:eastAsia="Arial" w:hAnsi="Arial" w:cs="Arial"/>
          <w:noProof/>
          <w:sz w:val="22"/>
          <w:szCs w:val="22"/>
        </w:rPr>
        <w:lastRenderedPageBreak/>
        <w:drawing>
          <wp:inline distT="114300" distB="114300" distL="114300" distR="114300">
            <wp:extent cx="5734050" cy="3721100"/>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734050" cy="3721100"/>
                    </a:xfrm>
                    <a:prstGeom prst="rect">
                      <a:avLst/>
                    </a:prstGeom>
                    <a:ln/>
                  </pic:spPr>
                </pic:pic>
              </a:graphicData>
            </a:graphic>
          </wp:inline>
        </w:drawing>
      </w:r>
    </w:p>
    <w:p w:rsidR="00557964" w:rsidRDefault="001D40DB">
      <w:pPr>
        <w:spacing w:line="480" w:lineRule="auto"/>
        <w:jc w:val="both"/>
        <w:rPr>
          <w:rFonts w:ascii="Times New Roman" w:eastAsia="Times New Roman" w:hAnsi="Times New Roman" w:cs="Times New Roman"/>
        </w:rPr>
      </w:pPr>
      <w:r>
        <w:rPr>
          <w:rFonts w:ascii="Times New Roman" w:eastAsia="Times New Roman" w:hAnsi="Times New Roman" w:cs="Times New Roman"/>
          <w:b/>
        </w:rPr>
        <w:t xml:space="preserve">Figure 15. </w:t>
      </w:r>
      <w:r>
        <w:rPr>
          <w:rFonts w:ascii="Times New Roman" w:eastAsia="Times New Roman" w:hAnsi="Times New Roman" w:cs="Times New Roman"/>
        </w:rPr>
        <w:t xml:space="preserve"> Schematic figure showing int</w:t>
      </w:r>
      <w:r>
        <w:rPr>
          <w:rFonts w:ascii="Times New Roman" w:eastAsia="Times New Roman" w:hAnsi="Times New Roman" w:cs="Times New Roman"/>
        </w:rPr>
        <w:t xml:space="preserve">erpretation of LAB properties that are consistent with constraints from Rayleigh waves and converted </w:t>
      </w:r>
      <w:r>
        <w:rPr>
          <w:rFonts w:ascii="Times New Roman" w:eastAsia="Times New Roman" w:hAnsi="Times New Roman" w:cs="Times New Roman"/>
        </w:rPr>
        <w:t xml:space="preserve">and reflected </w:t>
      </w:r>
      <w:r>
        <w:rPr>
          <w:rFonts w:ascii="Times New Roman" w:eastAsia="Times New Roman" w:hAnsi="Times New Roman" w:cs="Times New Roman"/>
        </w:rPr>
        <w:t>body wave phase</w:t>
      </w:r>
      <w:r>
        <w:rPr>
          <w:rFonts w:ascii="Times New Roman" w:eastAsia="Times New Roman" w:hAnsi="Times New Roman" w:cs="Times New Roman"/>
        </w:rPr>
        <w:t>s</w:t>
      </w:r>
      <w:r>
        <w:rPr>
          <w:rFonts w:ascii="Times New Roman" w:eastAsia="Times New Roman" w:hAnsi="Times New Roman" w:cs="Times New Roman"/>
        </w:rPr>
        <w:t>.</w:t>
      </w:r>
    </w:p>
    <w:sectPr w:rsidR="00557964">
      <w:footerReference w:type="even" r:id="rId21"/>
      <w:footerReference w:type="default" r:id="rId22"/>
      <w:pgSz w:w="11900" w:h="16840"/>
      <w:pgMar w:top="1440" w:right="1440" w:bottom="1440" w:left="1440" w:header="706" w:footer="706" w:gutter="0"/>
      <w:pgNumType w:start="5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40DB" w:rsidRDefault="001D40DB">
      <w:r>
        <w:separator/>
      </w:r>
    </w:p>
  </w:endnote>
  <w:endnote w:type="continuationSeparator" w:id="0">
    <w:p w:rsidR="001D40DB" w:rsidRDefault="001D4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rdo">
    <w:altName w:val="Calibri"/>
    <w:panose1 w:val="020B0604020202020204"/>
    <w:charset w:val="00"/>
    <w:family w:val="auto"/>
    <w:pitch w:val="default"/>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964" w:rsidRDefault="001D40DB">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rsidR="00557964" w:rsidRDefault="00557964">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964" w:rsidRDefault="001D40DB">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sidR="00990C72">
      <w:rPr>
        <w:color w:val="000000"/>
      </w:rPr>
      <w:fldChar w:fldCharType="separate"/>
    </w:r>
    <w:r w:rsidR="00990C72">
      <w:rPr>
        <w:noProof/>
        <w:color w:val="000000"/>
      </w:rPr>
      <w:t>56</w:t>
    </w:r>
    <w:r>
      <w:rPr>
        <w:color w:val="000000"/>
      </w:rPr>
      <w:fldChar w:fldCharType="end"/>
    </w:r>
  </w:p>
  <w:p w:rsidR="00557964" w:rsidRDefault="0055796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40DB" w:rsidRDefault="001D40DB">
      <w:r>
        <w:separator/>
      </w:r>
    </w:p>
  </w:footnote>
  <w:footnote w:type="continuationSeparator" w:id="0">
    <w:p w:rsidR="001D40DB" w:rsidRDefault="001D40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964"/>
    <w:rsid w:val="001D40DB"/>
    <w:rsid w:val="00557964"/>
    <w:rsid w:val="00990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E5B2926"/>
  <w15:docId w15:val="{C0C91096-4C7B-F04A-B7E6-90F83E169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990C7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90C7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58115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1784</Words>
  <Characters>10173</Characters>
  <Application>Microsoft Office Word</Application>
  <DocSecurity>0</DocSecurity>
  <Lines>84</Lines>
  <Paragraphs>23</Paragraphs>
  <ScaleCrop>false</ScaleCrop>
  <Company/>
  <LinksUpToDate>false</LinksUpToDate>
  <CharactersWithSpaces>11934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Catherine Rychert</cp:lastModifiedBy>
  <cp:revision>2</cp:revision>
  <dcterms:created xsi:type="dcterms:W3CDTF">2021-01-17T07:42:00Z</dcterms:created>
  <dcterms:modified xsi:type="dcterms:W3CDTF">2021-01-17T07:46:00Z</dcterms:modified>
</cp:coreProperties>
</file>