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908E7" w14:textId="77777777" w:rsidR="00E05D3F" w:rsidRPr="00A413E4" w:rsidRDefault="00E05D3F" w:rsidP="00E05D3F">
      <w:pPr>
        <w:autoSpaceDE w:val="0"/>
        <w:autoSpaceDN w:val="0"/>
        <w:adjustRightInd w:val="0"/>
        <w:spacing w:after="0" w:line="240" w:lineRule="auto"/>
        <w:rPr>
          <w:rFonts w:ascii="Arial" w:hAnsi="Arial" w:cs="Arial"/>
          <w:sz w:val="28"/>
          <w:szCs w:val="28"/>
        </w:rPr>
      </w:pPr>
      <w:bookmarkStart w:id="0" w:name="_GoBack"/>
      <w:bookmarkEnd w:id="0"/>
      <w:r w:rsidRPr="00A413E4">
        <w:rPr>
          <w:rFonts w:ascii="Arial" w:hAnsi="Arial" w:cs="Arial"/>
          <w:sz w:val="28"/>
          <w:szCs w:val="28"/>
        </w:rPr>
        <w:t>Primary prevention of stroke in children with sickle cell</w:t>
      </w:r>
      <w:r w:rsidR="00D70A86">
        <w:rPr>
          <w:rFonts w:ascii="Arial" w:hAnsi="Arial" w:cs="Arial"/>
          <w:sz w:val="28"/>
          <w:szCs w:val="28"/>
        </w:rPr>
        <w:t xml:space="preserve"> </w:t>
      </w:r>
      <w:r w:rsidRPr="00A413E4">
        <w:rPr>
          <w:rFonts w:ascii="Arial" w:hAnsi="Arial" w:cs="Arial"/>
          <w:sz w:val="28"/>
          <w:szCs w:val="28"/>
        </w:rPr>
        <w:t>disease in Sub-Saharan Africa: rationale and design of</w:t>
      </w:r>
      <w:r w:rsidR="00D70A86">
        <w:rPr>
          <w:rFonts w:ascii="Arial" w:hAnsi="Arial" w:cs="Arial"/>
          <w:sz w:val="28"/>
          <w:szCs w:val="28"/>
        </w:rPr>
        <w:t xml:space="preserve"> </w:t>
      </w:r>
      <w:r w:rsidRPr="00A413E4">
        <w:rPr>
          <w:rFonts w:ascii="Arial" w:hAnsi="Arial" w:cs="Arial"/>
          <w:sz w:val="28"/>
          <w:szCs w:val="28"/>
        </w:rPr>
        <w:t>phase III randomized clinical trial</w:t>
      </w:r>
    </w:p>
    <w:p w14:paraId="09976229" w14:textId="77777777" w:rsidR="00E05D3F" w:rsidRPr="00A413E4" w:rsidRDefault="00E05D3F" w:rsidP="00E05D3F">
      <w:pPr>
        <w:autoSpaceDE w:val="0"/>
        <w:autoSpaceDN w:val="0"/>
        <w:adjustRightInd w:val="0"/>
        <w:spacing w:after="0" w:line="240" w:lineRule="auto"/>
        <w:rPr>
          <w:rFonts w:ascii="Arial" w:hAnsi="Arial" w:cs="Arial"/>
          <w:color w:val="10157E"/>
          <w:sz w:val="28"/>
          <w:szCs w:val="28"/>
        </w:rPr>
      </w:pPr>
    </w:p>
    <w:p w14:paraId="0F9D6303" w14:textId="77777777" w:rsidR="00E05D3F" w:rsidRPr="00A413E4" w:rsidRDefault="00E05D3F" w:rsidP="00E05D3F">
      <w:pPr>
        <w:autoSpaceDE w:val="0"/>
        <w:autoSpaceDN w:val="0"/>
        <w:adjustRightInd w:val="0"/>
        <w:spacing w:after="0" w:line="240" w:lineRule="auto"/>
        <w:rPr>
          <w:rFonts w:ascii="Arial" w:hAnsi="Arial" w:cs="Arial"/>
          <w:color w:val="000000"/>
          <w:sz w:val="21"/>
          <w:szCs w:val="21"/>
        </w:rPr>
      </w:pPr>
      <w:r w:rsidRPr="00A413E4">
        <w:rPr>
          <w:rFonts w:ascii="Arial" w:hAnsi="Arial" w:cs="Arial"/>
          <w:color w:val="000000"/>
          <w:sz w:val="21"/>
          <w:szCs w:val="21"/>
        </w:rPr>
        <w:t>Shehu U. Abdullahi</w:t>
      </w:r>
      <w:r w:rsidRPr="00A413E4">
        <w:rPr>
          <w:rFonts w:ascii="Arial" w:hAnsi="Arial" w:cs="Arial"/>
          <w:color w:val="000081"/>
          <w:sz w:val="14"/>
          <w:szCs w:val="14"/>
        </w:rPr>
        <w:t>a</w:t>
      </w:r>
      <w:r w:rsidRPr="00A413E4">
        <w:rPr>
          <w:rFonts w:ascii="Arial" w:hAnsi="Arial" w:cs="Arial"/>
          <w:color w:val="000000"/>
          <w:sz w:val="21"/>
          <w:szCs w:val="21"/>
        </w:rPr>
        <w:t>, Binta J. Wudil</w:t>
      </w:r>
      <w:r w:rsidRPr="00A413E4">
        <w:rPr>
          <w:rFonts w:ascii="Arial" w:hAnsi="Arial" w:cs="Arial"/>
          <w:color w:val="000081"/>
          <w:sz w:val="14"/>
          <w:szCs w:val="14"/>
        </w:rPr>
        <w:t>b</w:t>
      </w:r>
      <w:r w:rsidRPr="00A413E4">
        <w:rPr>
          <w:rFonts w:ascii="Arial" w:hAnsi="Arial" w:cs="Arial"/>
          <w:color w:val="000000"/>
          <w:sz w:val="21"/>
          <w:szCs w:val="21"/>
        </w:rPr>
        <w:t>, Halima Bello-Manga</w:t>
      </w:r>
      <w:r w:rsidRPr="00A413E4">
        <w:rPr>
          <w:rFonts w:ascii="Arial" w:hAnsi="Arial" w:cs="Arial"/>
          <w:color w:val="000081"/>
          <w:sz w:val="14"/>
          <w:szCs w:val="14"/>
        </w:rPr>
        <w:t>c</w:t>
      </w:r>
      <w:r w:rsidRPr="00A413E4">
        <w:rPr>
          <w:rFonts w:ascii="Arial" w:hAnsi="Arial" w:cs="Arial"/>
          <w:color w:val="000000"/>
          <w:sz w:val="21"/>
          <w:szCs w:val="21"/>
        </w:rPr>
        <w:t>, Aisha B. Musa</w:t>
      </w:r>
      <w:r w:rsidRPr="00A413E4">
        <w:rPr>
          <w:rFonts w:ascii="Arial" w:hAnsi="Arial" w:cs="Arial"/>
          <w:color w:val="000081"/>
          <w:sz w:val="14"/>
          <w:szCs w:val="14"/>
        </w:rPr>
        <w:t>a</w:t>
      </w:r>
      <w:r w:rsidRPr="00A413E4">
        <w:rPr>
          <w:rFonts w:ascii="Arial" w:hAnsi="Arial" w:cs="Arial"/>
          <w:color w:val="000000"/>
          <w:sz w:val="21"/>
          <w:szCs w:val="21"/>
        </w:rPr>
        <w:t>, Safiya</w:t>
      </w:r>
    </w:p>
    <w:p w14:paraId="23EC32B3" w14:textId="77777777" w:rsidR="00E05D3F" w:rsidRPr="00A413E4" w:rsidRDefault="00E05D3F" w:rsidP="00E05D3F">
      <w:pPr>
        <w:autoSpaceDE w:val="0"/>
        <w:autoSpaceDN w:val="0"/>
        <w:adjustRightInd w:val="0"/>
        <w:spacing w:after="0" w:line="240" w:lineRule="auto"/>
        <w:rPr>
          <w:rFonts w:ascii="Arial" w:hAnsi="Arial" w:cs="Arial"/>
          <w:color w:val="000000"/>
          <w:sz w:val="21"/>
          <w:szCs w:val="21"/>
        </w:rPr>
      </w:pPr>
      <w:r w:rsidRPr="00A413E4">
        <w:rPr>
          <w:rFonts w:ascii="Arial" w:hAnsi="Arial" w:cs="Arial"/>
          <w:color w:val="000000"/>
          <w:sz w:val="21"/>
          <w:szCs w:val="21"/>
        </w:rPr>
        <w:t>Gambo</w:t>
      </w:r>
      <w:r w:rsidRPr="00A413E4">
        <w:rPr>
          <w:rFonts w:ascii="Arial" w:hAnsi="Arial" w:cs="Arial"/>
          <w:color w:val="000081"/>
          <w:sz w:val="14"/>
          <w:szCs w:val="14"/>
        </w:rPr>
        <w:t>e</w:t>
      </w:r>
      <w:r w:rsidRPr="00A413E4">
        <w:rPr>
          <w:rFonts w:ascii="Arial" w:hAnsi="Arial" w:cs="Arial"/>
          <w:color w:val="000000"/>
          <w:sz w:val="21"/>
          <w:szCs w:val="21"/>
        </w:rPr>
        <w:t>, Najibah A. Galadanci</w:t>
      </w:r>
      <w:r w:rsidRPr="00A413E4">
        <w:rPr>
          <w:rFonts w:ascii="Arial" w:hAnsi="Arial" w:cs="Arial"/>
          <w:color w:val="000081"/>
          <w:sz w:val="14"/>
          <w:szCs w:val="14"/>
        </w:rPr>
        <w:t>f</w:t>
      </w:r>
      <w:r w:rsidRPr="00A413E4">
        <w:rPr>
          <w:rFonts w:ascii="Arial" w:hAnsi="Arial" w:cs="Arial"/>
          <w:color w:val="000000"/>
          <w:sz w:val="21"/>
          <w:szCs w:val="21"/>
        </w:rPr>
        <w:t>, Hauwa Aminu</w:t>
      </w:r>
      <w:r w:rsidRPr="00A413E4">
        <w:rPr>
          <w:rFonts w:ascii="Arial" w:hAnsi="Arial" w:cs="Arial"/>
          <w:color w:val="000081"/>
          <w:sz w:val="14"/>
          <w:szCs w:val="14"/>
        </w:rPr>
        <w:t>a</w:t>
      </w:r>
      <w:r w:rsidRPr="00A413E4">
        <w:rPr>
          <w:rFonts w:ascii="Arial" w:hAnsi="Arial" w:cs="Arial"/>
          <w:color w:val="000000"/>
          <w:sz w:val="21"/>
          <w:szCs w:val="21"/>
        </w:rPr>
        <w:t>, Aliyu Tijjani Gaya</w:t>
      </w:r>
      <w:r w:rsidRPr="00A413E4">
        <w:rPr>
          <w:rFonts w:ascii="Arial" w:hAnsi="Arial" w:cs="Arial"/>
          <w:color w:val="000081"/>
          <w:sz w:val="14"/>
          <w:szCs w:val="14"/>
        </w:rPr>
        <w:t>e</w:t>
      </w:r>
      <w:r w:rsidRPr="00A413E4">
        <w:rPr>
          <w:rFonts w:ascii="Arial" w:hAnsi="Arial" w:cs="Arial"/>
          <w:color w:val="000000"/>
          <w:sz w:val="21"/>
          <w:szCs w:val="21"/>
        </w:rPr>
        <w:t>, Surayya</w:t>
      </w:r>
    </w:p>
    <w:p w14:paraId="3761B0E1" w14:textId="77777777" w:rsidR="00E05D3F" w:rsidRPr="00A413E4" w:rsidRDefault="00E05D3F" w:rsidP="00E05D3F">
      <w:pPr>
        <w:autoSpaceDE w:val="0"/>
        <w:autoSpaceDN w:val="0"/>
        <w:adjustRightInd w:val="0"/>
        <w:spacing w:after="0" w:line="240" w:lineRule="auto"/>
        <w:rPr>
          <w:rFonts w:ascii="Arial" w:hAnsi="Arial" w:cs="Arial"/>
          <w:color w:val="000000"/>
          <w:sz w:val="21"/>
          <w:szCs w:val="21"/>
        </w:rPr>
      </w:pPr>
      <w:r w:rsidRPr="00A413E4">
        <w:rPr>
          <w:rFonts w:ascii="Arial" w:hAnsi="Arial" w:cs="Arial"/>
          <w:color w:val="000000"/>
          <w:sz w:val="21"/>
          <w:szCs w:val="21"/>
        </w:rPr>
        <w:t>Sanusi</w:t>
      </w:r>
      <w:r w:rsidRPr="00A413E4">
        <w:rPr>
          <w:rFonts w:ascii="Arial" w:hAnsi="Arial" w:cs="Arial"/>
          <w:color w:val="000081"/>
          <w:sz w:val="14"/>
          <w:szCs w:val="14"/>
        </w:rPr>
        <w:t>g</w:t>
      </w:r>
      <w:r w:rsidRPr="00A413E4">
        <w:rPr>
          <w:rFonts w:ascii="Arial" w:hAnsi="Arial" w:cs="Arial"/>
          <w:color w:val="000000"/>
          <w:sz w:val="21"/>
          <w:szCs w:val="21"/>
        </w:rPr>
        <w:t>, Musa A. Tabari</w:t>
      </w:r>
      <w:r w:rsidRPr="00A413E4">
        <w:rPr>
          <w:rFonts w:ascii="Arial" w:hAnsi="Arial" w:cs="Arial"/>
          <w:color w:val="000081"/>
          <w:sz w:val="14"/>
          <w:szCs w:val="14"/>
        </w:rPr>
        <w:t>g</w:t>
      </w:r>
      <w:r w:rsidRPr="00A413E4">
        <w:rPr>
          <w:rFonts w:ascii="Arial" w:hAnsi="Arial" w:cs="Arial"/>
          <w:color w:val="000000"/>
          <w:sz w:val="21"/>
          <w:szCs w:val="21"/>
        </w:rPr>
        <w:t>, Aisha Galadanci</w:t>
      </w:r>
      <w:r w:rsidRPr="00A413E4">
        <w:rPr>
          <w:rFonts w:ascii="Arial" w:hAnsi="Arial" w:cs="Arial"/>
          <w:color w:val="000081"/>
          <w:sz w:val="14"/>
          <w:szCs w:val="14"/>
        </w:rPr>
        <w:t>d</w:t>
      </w:r>
      <w:r w:rsidRPr="00A413E4">
        <w:rPr>
          <w:rFonts w:ascii="Arial" w:hAnsi="Arial" w:cs="Arial"/>
          <w:color w:val="000000"/>
          <w:sz w:val="21"/>
          <w:szCs w:val="21"/>
        </w:rPr>
        <w:t>, Awwal Borodo</w:t>
      </w:r>
      <w:r w:rsidRPr="00A413E4">
        <w:rPr>
          <w:rFonts w:ascii="Arial" w:hAnsi="Arial" w:cs="Arial"/>
          <w:color w:val="000081"/>
          <w:sz w:val="14"/>
          <w:szCs w:val="14"/>
        </w:rPr>
        <w:t>h</w:t>
      </w:r>
      <w:r w:rsidRPr="00A413E4">
        <w:rPr>
          <w:rFonts w:ascii="Arial" w:hAnsi="Arial" w:cs="Arial"/>
          <w:color w:val="000000"/>
          <w:sz w:val="21"/>
          <w:szCs w:val="21"/>
        </w:rPr>
        <w:t>, Muhammed S. Abba</w:t>
      </w:r>
      <w:r w:rsidRPr="00A413E4">
        <w:rPr>
          <w:rFonts w:ascii="Arial" w:hAnsi="Arial" w:cs="Arial"/>
          <w:color w:val="000081"/>
          <w:sz w:val="14"/>
          <w:szCs w:val="14"/>
        </w:rPr>
        <w:t>i</w:t>
      </w:r>
      <w:r w:rsidRPr="00A413E4">
        <w:rPr>
          <w:rFonts w:ascii="Arial" w:hAnsi="Arial" w:cs="Arial"/>
          <w:color w:val="000000"/>
          <w:sz w:val="21"/>
          <w:szCs w:val="21"/>
        </w:rPr>
        <w:t>,</w:t>
      </w:r>
    </w:p>
    <w:p w14:paraId="39CB75E4" w14:textId="77777777" w:rsidR="00E05D3F" w:rsidRPr="00A413E4" w:rsidRDefault="00E05D3F" w:rsidP="00E05D3F">
      <w:pPr>
        <w:autoSpaceDE w:val="0"/>
        <w:autoSpaceDN w:val="0"/>
        <w:adjustRightInd w:val="0"/>
        <w:spacing w:after="0" w:line="240" w:lineRule="auto"/>
        <w:rPr>
          <w:rFonts w:ascii="Arial" w:hAnsi="Arial" w:cs="Arial"/>
          <w:color w:val="000000"/>
          <w:sz w:val="21"/>
          <w:szCs w:val="21"/>
        </w:rPr>
      </w:pPr>
      <w:r w:rsidRPr="00A413E4">
        <w:rPr>
          <w:rFonts w:ascii="Arial" w:hAnsi="Arial" w:cs="Arial"/>
          <w:color w:val="000000"/>
          <w:sz w:val="21"/>
          <w:szCs w:val="21"/>
        </w:rPr>
        <w:t>Abdu H. Dambatta</w:t>
      </w:r>
      <w:r w:rsidRPr="00A413E4">
        <w:rPr>
          <w:rFonts w:ascii="Arial" w:hAnsi="Arial" w:cs="Arial"/>
          <w:color w:val="000081"/>
          <w:sz w:val="14"/>
          <w:szCs w:val="14"/>
        </w:rPr>
        <w:t>g</w:t>
      </w:r>
      <w:r w:rsidRPr="00A413E4">
        <w:rPr>
          <w:rFonts w:ascii="Arial" w:hAnsi="Arial" w:cs="Arial"/>
          <w:color w:val="000000"/>
          <w:sz w:val="21"/>
          <w:szCs w:val="21"/>
        </w:rPr>
        <w:t>, Lawal Haliru</w:t>
      </w:r>
      <w:r w:rsidRPr="00A413E4">
        <w:rPr>
          <w:rFonts w:ascii="Arial" w:hAnsi="Arial" w:cs="Arial"/>
          <w:color w:val="000081"/>
          <w:sz w:val="14"/>
          <w:szCs w:val="14"/>
        </w:rPr>
        <w:t>j</w:t>
      </w:r>
      <w:r w:rsidRPr="00A413E4">
        <w:rPr>
          <w:rFonts w:ascii="Arial" w:hAnsi="Arial" w:cs="Arial"/>
          <w:color w:val="000000"/>
          <w:sz w:val="21"/>
          <w:szCs w:val="21"/>
        </w:rPr>
        <w:t>, Awwal Gambo</w:t>
      </w:r>
      <w:r w:rsidRPr="00A413E4">
        <w:rPr>
          <w:rFonts w:ascii="Arial" w:hAnsi="Arial" w:cs="Arial"/>
          <w:color w:val="000081"/>
          <w:sz w:val="14"/>
          <w:szCs w:val="14"/>
        </w:rPr>
        <w:t>e</w:t>
      </w:r>
      <w:r w:rsidRPr="00A413E4">
        <w:rPr>
          <w:rFonts w:ascii="Arial" w:hAnsi="Arial" w:cs="Arial"/>
          <w:color w:val="000000"/>
          <w:sz w:val="21"/>
          <w:szCs w:val="21"/>
        </w:rPr>
        <w:t>, Holly Cassell</w:t>
      </w:r>
      <w:r w:rsidRPr="00A413E4">
        <w:rPr>
          <w:rFonts w:ascii="Arial" w:hAnsi="Arial" w:cs="Arial"/>
          <w:color w:val="000081"/>
          <w:sz w:val="14"/>
          <w:szCs w:val="14"/>
        </w:rPr>
        <w:t>k</w:t>
      </w:r>
      <w:r w:rsidRPr="00A413E4">
        <w:rPr>
          <w:rFonts w:ascii="Arial" w:hAnsi="Arial" w:cs="Arial"/>
          <w:color w:val="000000"/>
          <w:sz w:val="21"/>
          <w:szCs w:val="21"/>
        </w:rPr>
        <w:t>, Mark Rodeghier</w:t>
      </w:r>
      <w:r w:rsidRPr="00A413E4">
        <w:rPr>
          <w:rFonts w:ascii="Arial" w:hAnsi="Arial" w:cs="Arial"/>
          <w:color w:val="000081"/>
          <w:sz w:val="14"/>
          <w:szCs w:val="14"/>
        </w:rPr>
        <w:t>l</w:t>
      </w:r>
      <w:r w:rsidRPr="00A413E4">
        <w:rPr>
          <w:rFonts w:ascii="Arial" w:hAnsi="Arial" w:cs="Arial"/>
          <w:color w:val="000000"/>
          <w:sz w:val="21"/>
          <w:szCs w:val="21"/>
        </w:rPr>
        <w:t>,</w:t>
      </w:r>
    </w:p>
    <w:p w14:paraId="4D76709D" w14:textId="77777777" w:rsidR="00E05D3F" w:rsidRPr="00A413E4" w:rsidRDefault="00E05D3F" w:rsidP="00E05D3F">
      <w:pPr>
        <w:autoSpaceDE w:val="0"/>
        <w:autoSpaceDN w:val="0"/>
        <w:adjustRightInd w:val="0"/>
        <w:spacing w:after="0" w:line="240" w:lineRule="auto"/>
        <w:rPr>
          <w:rFonts w:ascii="Arial" w:hAnsi="Arial" w:cs="Arial"/>
          <w:color w:val="000000"/>
          <w:sz w:val="21"/>
          <w:szCs w:val="21"/>
        </w:rPr>
      </w:pPr>
      <w:r w:rsidRPr="00A413E4">
        <w:rPr>
          <w:rFonts w:ascii="Arial" w:hAnsi="Arial" w:cs="Arial"/>
          <w:color w:val="000000"/>
          <w:sz w:val="21"/>
          <w:szCs w:val="21"/>
        </w:rPr>
        <w:t>Djamila L. Ghafuri</w:t>
      </w:r>
      <w:r w:rsidRPr="00A413E4">
        <w:rPr>
          <w:rFonts w:ascii="Arial" w:hAnsi="Arial" w:cs="Arial"/>
          <w:color w:val="000081"/>
          <w:sz w:val="14"/>
          <w:szCs w:val="14"/>
        </w:rPr>
        <w:t>m</w:t>
      </w:r>
      <w:r w:rsidRPr="00A413E4">
        <w:rPr>
          <w:rFonts w:ascii="Arial" w:hAnsi="Arial" w:cs="Arial"/>
          <w:color w:val="000000"/>
          <w:sz w:val="21"/>
          <w:szCs w:val="21"/>
        </w:rPr>
        <w:t>, Brittany V. Covert Greene</w:t>
      </w:r>
      <w:r w:rsidRPr="00A413E4">
        <w:rPr>
          <w:rFonts w:ascii="Arial" w:hAnsi="Arial" w:cs="Arial"/>
          <w:color w:val="000081"/>
          <w:sz w:val="14"/>
          <w:szCs w:val="14"/>
        </w:rPr>
        <w:t>m</w:t>
      </w:r>
      <w:r w:rsidRPr="00A413E4">
        <w:rPr>
          <w:rFonts w:ascii="Arial" w:hAnsi="Arial" w:cs="Arial"/>
          <w:color w:val="000000"/>
          <w:sz w:val="21"/>
          <w:szCs w:val="21"/>
        </w:rPr>
        <w:t>, Kathleen Neville</w:t>
      </w:r>
      <w:r w:rsidRPr="00A413E4">
        <w:rPr>
          <w:rFonts w:ascii="Arial" w:hAnsi="Arial" w:cs="Arial"/>
          <w:color w:val="000081"/>
          <w:sz w:val="14"/>
          <w:szCs w:val="14"/>
        </w:rPr>
        <w:t>n</w:t>
      </w:r>
      <w:r w:rsidRPr="00A413E4">
        <w:rPr>
          <w:rFonts w:ascii="Arial" w:hAnsi="Arial" w:cs="Arial"/>
          <w:color w:val="000000"/>
          <w:sz w:val="21"/>
          <w:szCs w:val="21"/>
        </w:rPr>
        <w:t>, Adetola A.</w:t>
      </w:r>
    </w:p>
    <w:p w14:paraId="53CB0722" w14:textId="77777777" w:rsidR="00E05D3F" w:rsidRPr="00A413E4" w:rsidRDefault="00E05D3F" w:rsidP="00E05D3F">
      <w:pPr>
        <w:autoSpaceDE w:val="0"/>
        <w:autoSpaceDN w:val="0"/>
        <w:adjustRightInd w:val="0"/>
        <w:spacing w:after="0" w:line="240" w:lineRule="auto"/>
        <w:rPr>
          <w:rFonts w:ascii="Arial" w:hAnsi="Arial" w:cs="Arial"/>
          <w:color w:val="000000"/>
          <w:sz w:val="21"/>
          <w:szCs w:val="21"/>
        </w:rPr>
      </w:pPr>
      <w:r w:rsidRPr="00A413E4">
        <w:rPr>
          <w:rFonts w:ascii="Arial" w:hAnsi="Arial" w:cs="Arial"/>
          <w:color w:val="000000"/>
          <w:sz w:val="21"/>
          <w:szCs w:val="21"/>
        </w:rPr>
        <w:t>Kassim</w:t>
      </w:r>
      <w:r w:rsidRPr="00A413E4">
        <w:rPr>
          <w:rFonts w:ascii="Arial" w:hAnsi="Arial" w:cs="Arial"/>
          <w:color w:val="000081"/>
          <w:sz w:val="14"/>
          <w:szCs w:val="14"/>
        </w:rPr>
        <w:t>m</w:t>
      </w:r>
      <w:r w:rsidRPr="00A413E4">
        <w:rPr>
          <w:rFonts w:ascii="Arial" w:hAnsi="Arial" w:cs="Arial"/>
          <w:color w:val="000000"/>
          <w:sz w:val="14"/>
          <w:szCs w:val="14"/>
        </w:rPr>
        <w:t>,</w:t>
      </w:r>
      <w:r w:rsidRPr="00A413E4">
        <w:rPr>
          <w:rFonts w:ascii="Arial" w:hAnsi="Arial" w:cs="Arial"/>
          <w:color w:val="000081"/>
          <w:sz w:val="14"/>
          <w:szCs w:val="14"/>
        </w:rPr>
        <w:t>o</w:t>
      </w:r>
      <w:r w:rsidRPr="00A413E4">
        <w:rPr>
          <w:rFonts w:ascii="Arial" w:hAnsi="Arial" w:cs="Arial"/>
          <w:color w:val="000000"/>
          <w:sz w:val="21"/>
          <w:szCs w:val="21"/>
        </w:rPr>
        <w:t>, Fenella Kirkham</w:t>
      </w:r>
      <w:r w:rsidRPr="00A413E4">
        <w:rPr>
          <w:rFonts w:ascii="Arial" w:hAnsi="Arial" w:cs="Arial"/>
          <w:color w:val="000081"/>
          <w:sz w:val="14"/>
          <w:szCs w:val="14"/>
        </w:rPr>
        <w:t>p</w:t>
      </w:r>
      <w:r w:rsidRPr="00A413E4">
        <w:rPr>
          <w:rFonts w:ascii="Arial" w:hAnsi="Arial" w:cs="Arial"/>
          <w:color w:val="000000"/>
          <w:sz w:val="21"/>
          <w:szCs w:val="21"/>
        </w:rPr>
        <w:t>, Edwin Trevathan</w:t>
      </w:r>
      <w:r w:rsidRPr="00A413E4">
        <w:rPr>
          <w:rFonts w:ascii="Arial" w:hAnsi="Arial" w:cs="Arial"/>
          <w:color w:val="000081"/>
          <w:sz w:val="14"/>
          <w:szCs w:val="14"/>
        </w:rPr>
        <w:t>k</w:t>
      </w:r>
      <w:r w:rsidRPr="00A413E4">
        <w:rPr>
          <w:rFonts w:ascii="Arial" w:hAnsi="Arial" w:cs="Arial"/>
          <w:color w:val="000000"/>
          <w:sz w:val="21"/>
          <w:szCs w:val="21"/>
        </w:rPr>
        <w:t>, Lori C. Jordan</w:t>
      </w:r>
      <w:r w:rsidRPr="00A413E4">
        <w:rPr>
          <w:rFonts w:ascii="Arial" w:hAnsi="Arial" w:cs="Arial"/>
          <w:color w:val="000081"/>
          <w:sz w:val="14"/>
          <w:szCs w:val="14"/>
        </w:rPr>
        <w:t>q</w:t>
      </w:r>
      <w:r w:rsidRPr="00A413E4">
        <w:rPr>
          <w:rFonts w:ascii="Arial" w:hAnsi="Arial" w:cs="Arial"/>
          <w:color w:val="000000"/>
          <w:sz w:val="21"/>
          <w:szCs w:val="21"/>
        </w:rPr>
        <w:t>, Muktar H. Aliyu</w:t>
      </w:r>
      <w:r w:rsidRPr="00A413E4">
        <w:rPr>
          <w:rFonts w:ascii="Arial" w:hAnsi="Arial" w:cs="Arial"/>
          <w:color w:val="000081"/>
          <w:sz w:val="14"/>
          <w:szCs w:val="14"/>
        </w:rPr>
        <w:t>k</w:t>
      </w:r>
      <w:r w:rsidRPr="00A413E4">
        <w:rPr>
          <w:rFonts w:ascii="Arial" w:hAnsi="Arial" w:cs="Arial"/>
          <w:color w:val="000000"/>
          <w:sz w:val="21"/>
          <w:szCs w:val="21"/>
        </w:rPr>
        <w:t>,</w:t>
      </w:r>
    </w:p>
    <w:p w14:paraId="2EDD83DC" w14:textId="77777777" w:rsidR="00E05D3F" w:rsidRPr="00A413E4" w:rsidRDefault="00E05D3F" w:rsidP="00E05D3F">
      <w:pPr>
        <w:autoSpaceDE w:val="0"/>
        <w:autoSpaceDN w:val="0"/>
        <w:adjustRightInd w:val="0"/>
        <w:spacing w:after="0" w:line="240" w:lineRule="auto"/>
        <w:rPr>
          <w:rFonts w:ascii="Arial" w:hAnsi="Arial" w:cs="Arial"/>
          <w:color w:val="000081"/>
          <w:sz w:val="14"/>
          <w:szCs w:val="14"/>
        </w:rPr>
      </w:pPr>
      <w:r w:rsidRPr="00A413E4">
        <w:rPr>
          <w:rFonts w:ascii="Arial" w:hAnsi="Arial" w:cs="Arial"/>
          <w:color w:val="000000"/>
          <w:sz w:val="21"/>
          <w:szCs w:val="21"/>
        </w:rPr>
        <w:t>and Michael R. DeBaun</w:t>
      </w:r>
      <w:r w:rsidRPr="00A413E4">
        <w:rPr>
          <w:rFonts w:ascii="Arial" w:hAnsi="Arial" w:cs="Arial"/>
          <w:color w:val="000081"/>
          <w:sz w:val="14"/>
          <w:szCs w:val="14"/>
        </w:rPr>
        <w:t>m</w:t>
      </w:r>
    </w:p>
    <w:p w14:paraId="031866F7" w14:textId="77777777" w:rsidR="00E05D3F" w:rsidRPr="00A413E4" w:rsidRDefault="00E05D3F" w:rsidP="00E05D3F">
      <w:pPr>
        <w:autoSpaceDE w:val="0"/>
        <w:autoSpaceDN w:val="0"/>
        <w:adjustRightInd w:val="0"/>
        <w:spacing w:after="0" w:line="240" w:lineRule="auto"/>
        <w:rPr>
          <w:rFonts w:ascii="Arial" w:hAnsi="Arial" w:cs="Arial"/>
          <w:color w:val="000081"/>
          <w:sz w:val="14"/>
          <w:szCs w:val="14"/>
        </w:rPr>
      </w:pPr>
    </w:p>
    <w:p w14:paraId="5A32D59D" w14:textId="77777777" w:rsidR="00E05D3F" w:rsidRPr="00D70A86" w:rsidRDefault="00E05D3F" w:rsidP="00E05D3F">
      <w:pPr>
        <w:autoSpaceDE w:val="0"/>
        <w:autoSpaceDN w:val="0"/>
        <w:adjustRightInd w:val="0"/>
        <w:spacing w:after="0" w:line="240" w:lineRule="auto"/>
        <w:rPr>
          <w:rFonts w:ascii="Arial" w:hAnsi="Arial" w:cs="Arial"/>
          <w:color w:val="000000"/>
          <w:sz w:val="20"/>
          <w:szCs w:val="20"/>
        </w:rPr>
      </w:pPr>
      <w:r w:rsidRPr="00D70A86">
        <w:rPr>
          <w:rFonts w:ascii="Arial" w:hAnsi="Arial" w:cs="Arial"/>
          <w:color w:val="000000"/>
          <w:sz w:val="20"/>
          <w:szCs w:val="20"/>
        </w:rPr>
        <w:t>aDepartment of Pediatrics, Bayero University, Aminu Kano Teaching Hospital, Kano, Nigeria;</w:t>
      </w:r>
    </w:p>
    <w:p w14:paraId="6B39D79A" w14:textId="77777777" w:rsidR="00E05D3F" w:rsidRPr="00D70A86" w:rsidRDefault="00E05D3F" w:rsidP="00E05D3F">
      <w:pPr>
        <w:autoSpaceDE w:val="0"/>
        <w:autoSpaceDN w:val="0"/>
        <w:adjustRightInd w:val="0"/>
        <w:spacing w:after="0" w:line="240" w:lineRule="auto"/>
        <w:rPr>
          <w:rFonts w:ascii="Arial" w:hAnsi="Arial" w:cs="Arial"/>
          <w:color w:val="000000"/>
          <w:sz w:val="20"/>
          <w:szCs w:val="20"/>
        </w:rPr>
      </w:pPr>
      <w:r w:rsidRPr="00D70A86">
        <w:rPr>
          <w:rFonts w:ascii="Arial" w:hAnsi="Arial" w:cs="Arial"/>
          <w:color w:val="000000"/>
          <w:sz w:val="20"/>
          <w:szCs w:val="20"/>
        </w:rPr>
        <w:t>bDepartment of Pediatrics, Hasiya Bayero Specialist Hospital, Kano, Nigeria; cDepartment of Hematology</w:t>
      </w:r>
      <w:r w:rsidR="00D70A86">
        <w:rPr>
          <w:rFonts w:ascii="Arial" w:hAnsi="Arial" w:cs="Arial"/>
          <w:color w:val="000000"/>
          <w:sz w:val="20"/>
          <w:szCs w:val="20"/>
        </w:rPr>
        <w:t xml:space="preserve"> </w:t>
      </w:r>
      <w:r w:rsidRPr="00D70A86">
        <w:rPr>
          <w:rFonts w:ascii="Arial" w:hAnsi="Arial" w:cs="Arial"/>
          <w:color w:val="000000"/>
          <w:sz w:val="20"/>
          <w:szCs w:val="20"/>
        </w:rPr>
        <w:t>and Blood Transfusion, Barau-Dikko Teaching Hospital, Kaduna, Nigeria; dDepartment of Hematology</w:t>
      </w:r>
      <w:r w:rsidR="00D70A86">
        <w:rPr>
          <w:rFonts w:ascii="Arial" w:hAnsi="Arial" w:cs="Arial"/>
          <w:color w:val="000000"/>
          <w:sz w:val="20"/>
          <w:szCs w:val="20"/>
        </w:rPr>
        <w:t xml:space="preserve"> </w:t>
      </w:r>
      <w:r w:rsidRPr="00D70A86">
        <w:rPr>
          <w:rFonts w:ascii="Arial" w:hAnsi="Arial" w:cs="Arial"/>
          <w:color w:val="000000"/>
          <w:sz w:val="20"/>
          <w:szCs w:val="20"/>
        </w:rPr>
        <w:t>and Blood Transfusion, Bayero University, Aminu Kano Teaching Hospital, Kano, Nigeria; eDepartment</w:t>
      </w:r>
      <w:r w:rsidR="00D70A86">
        <w:rPr>
          <w:rFonts w:ascii="Arial" w:hAnsi="Arial" w:cs="Arial"/>
          <w:color w:val="000000"/>
          <w:sz w:val="20"/>
          <w:szCs w:val="20"/>
        </w:rPr>
        <w:t xml:space="preserve"> </w:t>
      </w:r>
      <w:r w:rsidRPr="00D70A86">
        <w:rPr>
          <w:rFonts w:ascii="Arial" w:hAnsi="Arial" w:cs="Arial"/>
          <w:color w:val="000000"/>
          <w:sz w:val="20"/>
          <w:szCs w:val="20"/>
        </w:rPr>
        <w:t xml:space="preserve">of Pediatrics, </w:t>
      </w:r>
      <w:r w:rsidR="00D70A86">
        <w:rPr>
          <w:rFonts w:ascii="Arial" w:hAnsi="Arial" w:cs="Arial"/>
          <w:color w:val="000000"/>
          <w:sz w:val="20"/>
          <w:szCs w:val="20"/>
        </w:rPr>
        <w:t xml:space="preserve"> </w:t>
      </w:r>
      <w:r w:rsidRPr="00D70A86">
        <w:rPr>
          <w:rFonts w:ascii="Arial" w:hAnsi="Arial" w:cs="Arial"/>
          <w:color w:val="000000"/>
          <w:sz w:val="20"/>
          <w:szCs w:val="20"/>
        </w:rPr>
        <w:t>urtala Mohammed Specialist Hospital, Kano, Nigeria; fDepartment of Epidemiology,</w:t>
      </w:r>
      <w:r w:rsidR="00D70A86">
        <w:rPr>
          <w:rFonts w:ascii="Arial" w:hAnsi="Arial" w:cs="Arial"/>
          <w:color w:val="000000"/>
          <w:sz w:val="20"/>
          <w:szCs w:val="20"/>
        </w:rPr>
        <w:t xml:space="preserve"> </w:t>
      </w:r>
      <w:r w:rsidRPr="00D70A86">
        <w:rPr>
          <w:rFonts w:ascii="Arial" w:hAnsi="Arial" w:cs="Arial"/>
          <w:color w:val="000000"/>
          <w:sz w:val="20"/>
          <w:szCs w:val="20"/>
        </w:rPr>
        <w:t>School of Public health, University of Alabama at Birmingham, Birmingham, Alabama, USA;</w:t>
      </w:r>
      <w:r w:rsidR="00D70A86">
        <w:rPr>
          <w:rFonts w:ascii="Arial" w:hAnsi="Arial" w:cs="Arial"/>
          <w:color w:val="000000"/>
          <w:sz w:val="20"/>
          <w:szCs w:val="20"/>
        </w:rPr>
        <w:t xml:space="preserve"> </w:t>
      </w:r>
      <w:r w:rsidRPr="00D70A86">
        <w:rPr>
          <w:rFonts w:ascii="Arial" w:hAnsi="Arial" w:cs="Arial"/>
          <w:color w:val="000000"/>
          <w:sz w:val="20"/>
          <w:szCs w:val="20"/>
        </w:rPr>
        <w:t>gDepartment of Community Medicine, Bayero University, Aminu Kano Teaching Hospital, Kano, Nigeria;</w:t>
      </w:r>
      <w:r w:rsidR="00D70A86">
        <w:rPr>
          <w:rFonts w:ascii="Arial" w:hAnsi="Arial" w:cs="Arial"/>
          <w:color w:val="000000"/>
          <w:sz w:val="20"/>
          <w:szCs w:val="20"/>
        </w:rPr>
        <w:t xml:space="preserve"> </w:t>
      </w:r>
      <w:r w:rsidRPr="00D70A86">
        <w:rPr>
          <w:rFonts w:ascii="Arial" w:hAnsi="Arial" w:cs="Arial"/>
          <w:color w:val="000000"/>
          <w:sz w:val="20"/>
          <w:szCs w:val="20"/>
        </w:rPr>
        <w:t>hDepartment of Medicine, Murtala Mohammed Specialist Hospital, Kano, Nigeria; iDepartment of</w:t>
      </w:r>
      <w:r w:rsidR="00D70A86">
        <w:rPr>
          <w:rFonts w:ascii="Arial" w:hAnsi="Arial" w:cs="Arial"/>
          <w:color w:val="000000"/>
          <w:sz w:val="20"/>
          <w:szCs w:val="20"/>
        </w:rPr>
        <w:t xml:space="preserve"> </w:t>
      </w:r>
      <w:r w:rsidRPr="00D70A86">
        <w:rPr>
          <w:rFonts w:ascii="Arial" w:hAnsi="Arial" w:cs="Arial"/>
          <w:color w:val="000000"/>
          <w:sz w:val="20"/>
          <w:szCs w:val="20"/>
        </w:rPr>
        <w:t>Pharmacy, Bayero University, Aminu Kano Teaching Hospital, Kano, Nigeria; jDepartment of Pediatrics,</w:t>
      </w:r>
      <w:r w:rsidR="00D70A86">
        <w:rPr>
          <w:rFonts w:ascii="Arial" w:hAnsi="Arial" w:cs="Arial"/>
          <w:color w:val="000000"/>
          <w:sz w:val="20"/>
          <w:szCs w:val="20"/>
        </w:rPr>
        <w:t xml:space="preserve"> </w:t>
      </w:r>
      <w:r w:rsidRPr="00D70A86">
        <w:rPr>
          <w:rFonts w:ascii="Arial" w:hAnsi="Arial" w:cs="Arial"/>
          <w:color w:val="000000"/>
          <w:sz w:val="20"/>
          <w:szCs w:val="20"/>
        </w:rPr>
        <w:t>Kaduna State University, Barau Dikko Teaching Hospital, Kaduna, Nigeria; kVanderbilt Institute for</w:t>
      </w:r>
      <w:r w:rsidR="00D70A86">
        <w:rPr>
          <w:rFonts w:ascii="Arial" w:hAnsi="Arial" w:cs="Arial"/>
          <w:color w:val="000000"/>
          <w:sz w:val="20"/>
          <w:szCs w:val="20"/>
        </w:rPr>
        <w:t xml:space="preserve"> </w:t>
      </w:r>
      <w:r w:rsidRPr="00D70A86">
        <w:rPr>
          <w:rFonts w:ascii="Arial" w:hAnsi="Arial" w:cs="Arial"/>
          <w:color w:val="000000"/>
          <w:sz w:val="20"/>
          <w:szCs w:val="20"/>
        </w:rPr>
        <w:t>Global Health, Vanderbilt University Medical Center, Nashville, Tennessee, USA; lRodeghier Consultants,</w:t>
      </w:r>
      <w:r w:rsidR="00D70A86">
        <w:rPr>
          <w:rFonts w:ascii="Arial" w:hAnsi="Arial" w:cs="Arial"/>
          <w:color w:val="000000"/>
          <w:sz w:val="20"/>
          <w:szCs w:val="20"/>
        </w:rPr>
        <w:t xml:space="preserve"> </w:t>
      </w:r>
      <w:r w:rsidRPr="00D70A86">
        <w:rPr>
          <w:rFonts w:ascii="Arial" w:hAnsi="Arial" w:cs="Arial"/>
          <w:color w:val="000000"/>
          <w:sz w:val="20"/>
          <w:szCs w:val="20"/>
        </w:rPr>
        <w:t>Chicago, Illinois, USA; mDepartment of Pediatrics, Division of Hematology and Oncology, Vanderbilt-Meharry Center of Excellence in Sickle Cell Disease, Vanderbilt University Medical Center, Nashville,</w:t>
      </w:r>
      <w:r w:rsidR="00D70A86">
        <w:rPr>
          <w:rFonts w:ascii="Arial" w:hAnsi="Arial" w:cs="Arial"/>
          <w:color w:val="000000"/>
          <w:sz w:val="20"/>
          <w:szCs w:val="20"/>
        </w:rPr>
        <w:t xml:space="preserve"> </w:t>
      </w:r>
      <w:r w:rsidRPr="00D70A86">
        <w:rPr>
          <w:rFonts w:ascii="Arial" w:hAnsi="Arial" w:cs="Arial"/>
          <w:color w:val="000000"/>
          <w:sz w:val="20"/>
          <w:szCs w:val="20"/>
        </w:rPr>
        <w:t>Tennessee, USA; nDepartment of Pediatrics, University of Kansas for Medical Sciences, Little Rock,</w:t>
      </w:r>
      <w:r w:rsidR="00D70A86">
        <w:rPr>
          <w:rFonts w:ascii="Arial" w:hAnsi="Arial" w:cs="Arial"/>
          <w:color w:val="000000"/>
          <w:sz w:val="20"/>
          <w:szCs w:val="20"/>
        </w:rPr>
        <w:t xml:space="preserve"> </w:t>
      </w:r>
      <w:r w:rsidRPr="00D70A86">
        <w:rPr>
          <w:rFonts w:ascii="Arial" w:hAnsi="Arial" w:cs="Arial"/>
          <w:color w:val="000000"/>
          <w:sz w:val="20"/>
          <w:szCs w:val="20"/>
        </w:rPr>
        <w:t>Arkansas, USA; oDepartment of Hematology and Oncology, Vanderbilt University School of Medicine,</w:t>
      </w:r>
      <w:r w:rsidR="00D70A86">
        <w:rPr>
          <w:rFonts w:ascii="Arial" w:hAnsi="Arial" w:cs="Arial"/>
          <w:color w:val="000000"/>
          <w:sz w:val="20"/>
          <w:szCs w:val="20"/>
        </w:rPr>
        <w:t xml:space="preserve"> </w:t>
      </w:r>
      <w:r w:rsidRPr="00D70A86">
        <w:rPr>
          <w:rFonts w:ascii="Arial" w:hAnsi="Arial" w:cs="Arial"/>
          <w:color w:val="000000"/>
          <w:sz w:val="20"/>
          <w:szCs w:val="20"/>
        </w:rPr>
        <w:t>Nashville, Tennessee, USA; pDepartment of Pediatrics, UCL Great Ormond Street Institute of Child</w:t>
      </w:r>
      <w:r w:rsidR="00D70A86">
        <w:rPr>
          <w:rFonts w:ascii="Arial" w:hAnsi="Arial" w:cs="Arial"/>
          <w:color w:val="000000"/>
          <w:sz w:val="20"/>
          <w:szCs w:val="20"/>
        </w:rPr>
        <w:t xml:space="preserve"> </w:t>
      </w:r>
      <w:r w:rsidRPr="00D70A86">
        <w:rPr>
          <w:rFonts w:ascii="Arial" w:hAnsi="Arial" w:cs="Arial"/>
          <w:color w:val="000000"/>
          <w:sz w:val="20"/>
          <w:szCs w:val="20"/>
        </w:rPr>
        <w:t>Health, London, UK; qDepartment of Pediatrics, Division of Pediatric Neurology, Vanderbilt University</w:t>
      </w:r>
      <w:r w:rsidR="00D70A86">
        <w:rPr>
          <w:rFonts w:ascii="Arial" w:hAnsi="Arial" w:cs="Arial"/>
          <w:color w:val="000000"/>
          <w:sz w:val="20"/>
          <w:szCs w:val="20"/>
        </w:rPr>
        <w:t xml:space="preserve"> </w:t>
      </w:r>
      <w:r w:rsidRPr="00D70A86">
        <w:rPr>
          <w:rFonts w:ascii="Arial" w:hAnsi="Arial" w:cs="Arial"/>
          <w:color w:val="000000"/>
          <w:sz w:val="20"/>
          <w:szCs w:val="20"/>
        </w:rPr>
        <w:t>Medical Center, Nashville, Tennessee, USA</w:t>
      </w:r>
    </w:p>
    <w:p w14:paraId="2511318C" w14:textId="77777777" w:rsidR="00E05D3F" w:rsidRPr="00A413E4" w:rsidRDefault="00E05D3F" w:rsidP="00E05D3F">
      <w:pPr>
        <w:autoSpaceDE w:val="0"/>
        <w:autoSpaceDN w:val="0"/>
        <w:adjustRightInd w:val="0"/>
        <w:spacing w:after="0" w:line="240" w:lineRule="auto"/>
        <w:rPr>
          <w:rFonts w:ascii="Arial" w:hAnsi="Arial" w:cs="Arial"/>
          <w:color w:val="000000"/>
          <w:sz w:val="18"/>
          <w:szCs w:val="18"/>
        </w:rPr>
      </w:pPr>
    </w:p>
    <w:p w14:paraId="1FA6926A" w14:textId="77777777" w:rsidR="00E05D3F" w:rsidRPr="00D70A86" w:rsidRDefault="00E05D3F" w:rsidP="00E05D3F">
      <w:pPr>
        <w:autoSpaceDE w:val="0"/>
        <w:autoSpaceDN w:val="0"/>
        <w:adjustRightInd w:val="0"/>
        <w:spacing w:after="0" w:line="240" w:lineRule="auto"/>
        <w:rPr>
          <w:rFonts w:ascii="Arial" w:hAnsi="Arial" w:cs="Arial"/>
          <w:sz w:val="24"/>
          <w:szCs w:val="24"/>
        </w:rPr>
      </w:pPr>
      <w:r w:rsidRPr="00D70A86">
        <w:rPr>
          <w:rFonts w:ascii="Arial" w:hAnsi="Arial" w:cs="Arial"/>
          <w:sz w:val="24"/>
          <w:szCs w:val="24"/>
        </w:rPr>
        <w:t>KEYWORDS</w:t>
      </w:r>
    </w:p>
    <w:p w14:paraId="544BBC15" w14:textId="77777777" w:rsidR="00E05D3F" w:rsidRPr="00D70A86" w:rsidRDefault="00E05D3F" w:rsidP="00E05D3F">
      <w:pPr>
        <w:autoSpaceDE w:val="0"/>
        <w:autoSpaceDN w:val="0"/>
        <w:adjustRightInd w:val="0"/>
        <w:spacing w:after="0" w:line="240" w:lineRule="auto"/>
        <w:rPr>
          <w:rFonts w:ascii="Arial" w:hAnsi="Arial" w:cs="Arial"/>
          <w:color w:val="000000"/>
          <w:sz w:val="24"/>
          <w:szCs w:val="24"/>
        </w:rPr>
      </w:pPr>
      <w:r w:rsidRPr="00D70A86">
        <w:rPr>
          <w:rFonts w:ascii="Arial" w:hAnsi="Arial" w:cs="Arial"/>
          <w:color w:val="000000"/>
          <w:sz w:val="24"/>
          <w:szCs w:val="24"/>
        </w:rPr>
        <w:t>Hydroxyurea; primary stroke prevention; sickle cell anemia; Sub-Saharan Africa</w:t>
      </w:r>
    </w:p>
    <w:p w14:paraId="787B47B8" w14:textId="77777777" w:rsidR="00E05D3F" w:rsidRPr="00D70A86" w:rsidRDefault="00E05D3F" w:rsidP="00E05D3F">
      <w:pPr>
        <w:autoSpaceDE w:val="0"/>
        <w:autoSpaceDN w:val="0"/>
        <w:adjustRightInd w:val="0"/>
        <w:spacing w:after="0" w:line="240" w:lineRule="auto"/>
        <w:rPr>
          <w:rFonts w:ascii="Arial" w:hAnsi="Arial" w:cs="Arial"/>
          <w:color w:val="000000"/>
          <w:sz w:val="24"/>
          <w:szCs w:val="24"/>
        </w:rPr>
      </w:pPr>
    </w:p>
    <w:p w14:paraId="2C7B52BC" w14:textId="77777777" w:rsidR="00E05D3F" w:rsidRPr="00D70A86" w:rsidRDefault="00E05D3F" w:rsidP="00E05D3F">
      <w:pPr>
        <w:autoSpaceDE w:val="0"/>
        <w:autoSpaceDN w:val="0"/>
        <w:adjustRightInd w:val="0"/>
        <w:spacing w:after="0" w:line="240" w:lineRule="auto"/>
        <w:rPr>
          <w:rFonts w:ascii="Arial" w:hAnsi="Arial" w:cs="Arial"/>
          <w:color w:val="000081"/>
          <w:sz w:val="24"/>
          <w:szCs w:val="24"/>
        </w:rPr>
      </w:pPr>
      <w:r w:rsidRPr="00D70A86">
        <w:rPr>
          <w:rFonts w:ascii="Arial" w:hAnsi="Arial" w:cs="Arial"/>
          <w:sz w:val="24"/>
          <w:szCs w:val="24"/>
        </w:rPr>
        <w:t xml:space="preserve">CONTACT </w:t>
      </w:r>
      <w:r w:rsidRPr="00D70A86">
        <w:rPr>
          <w:rFonts w:ascii="Arial" w:hAnsi="Arial" w:cs="Arial"/>
          <w:color w:val="000000"/>
          <w:sz w:val="24"/>
          <w:szCs w:val="24"/>
        </w:rPr>
        <w:t xml:space="preserve">Michael R. DeBaun </w:t>
      </w:r>
      <w:hyperlink r:id="rId6" w:history="1">
        <w:r w:rsidRPr="00D70A86">
          <w:rPr>
            <w:rStyle w:val="Hyperlink"/>
            <w:rFonts w:ascii="Arial" w:hAnsi="Arial" w:cs="Arial"/>
            <w:sz w:val="24"/>
            <w:szCs w:val="24"/>
          </w:rPr>
          <w:t>m.debaun@vumc.org</w:t>
        </w:r>
      </w:hyperlink>
      <w:r w:rsidRPr="00D70A86">
        <w:rPr>
          <w:rFonts w:ascii="Arial" w:hAnsi="Arial" w:cs="Arial"/>
          <w:color w:val="000081"/>
          <w:sz w:val="24"/>
          <w:szCs w:val="24"/>
        </w:rPr>
        <w:t xml:space="preserve"> </w:t>
      </w:r>
    </w:p>
    <w:p w14:paraId="1221B790" w14:textId="77777777" w:rsidR="00E05D3F" w:rsidRPr="00D70A86" w:rsidRDefault="00E05D3F" w:rsidP="00E05D3F">
      <w:pPr>
        <w:autoSpaceDE w:val="0"/>
        <w:autoSpaceDN w:val="0"/>
        <w:adjustRightInd w:val="0"/>
        <w:spacing w:after="0" w:line="240" w:lineRule="auto"/>
        <w:rPr>
          <w:rFonts w:ascii="Arial" w:hAnsi="Arial" w:cs="Arial"/>
          <w:color w:val="000000"/>
          <w:sz w:val="24"/>
          <w:szCs w:val="24"/>
        </w:rPr>
      </w:pPr>
      <w:r w:rsidRPr="00D70A86">
        <w:rPr>
          <w:rFonts w:ascii="Arial" w:hAnsi="Arial" w:cs="Arial"/>
          <w:color w:val="000000"/>
          <w:sz w:val="24"/>
          <w:szCs w:val="24"/>
        </w:rPr>
        <w:t xml:space="preserve">Department of Pediatrics, </w:t>
      </w:r>
    </w:p>
    <w:p w14:paraId="328BCACF" w14:textId="77777777" w:rsidR="00E05D3F" w:rsidRPr="00D70A86" w:rsidRDefault="00E05D3F" w:rsidP="00E05D3F">
      <w:pPr>
        <w:autoSpaceDE w:val="0"/>
        <w:autoSpaceDN w:val="0"/>
        <w:adjustRightInd w:val="0"/>
        <w:spacing w:after="0" w:line="240" w:lineRule="auto"/>
        <w:rPr>
          <w:rFonts w:ascii="Arial" w:hAnsi="Arial" w:cs="Arial"/>
          <w:color w:val="000000"/>
          <w:sz w:val="24"/>
          <w:szCs w:val="24"/>
        </w:rPr>
      </w:pPr>
      <w:r w:rsidRPr="00D70A86">
        <w:rPr>
          <w:rFonts w:ascii="Arial" w:hAnsi="Arial" w:cs="Arial"/>
          <w:color w:val="000000"/>
          <w:sz w:val="24"/>
          <w:szCs w:val="24"/>
        </w:rPr>
        <w:t>Division of Hematology/Oncology,</w:t>
      </w:r>
    </w:p>
    <w:p w14:paraId="37F02338" w14:textId="77777777" w:rsidR="00E05D3F" w:rsidRPr="00D70A86" w:rsidRDefault="00E05D3F" w:rsidP="00E05D3F">
      <w:pPr>
        <w:autoSpaceDE w:val="0"/>
        <w:autoSpaceDN w:val="0"/>
        <w:adjustRightInd w:val="0"/>
        <w:spacing w:after="0" w:line="240" w:lineRule="auto"/>
        <w:rPr>
          <w:rFonts w:ascii="Arial" w:hAnsi="Arial" w:cs="Arial"/>
          <w:color w:val="000000"/>
          <w:sz w:val="24"/>
          <w:szCs w:val="24"/>
        </w:rPr>
      </w:pPr>
      <w:r w:rsidRPr="00D70A86">
        <w:rPr>
          <w:rFonts w:ascii="Arial" w:hAnsi="Arial" w:cs="Arial"/>
          <w:color w:val="000000"/>
          <w:sz w:val="24"/>
          <w:szCs w:val="24"/>
        </w:rPr>
        <w:t xml:space="preserve">Vanderbilt-Meharry Center of Excellence in Sickle Cell Disease, </w:t>
      </w:r>
    </w:p>
    <w:p w14:paraId="1283E1C8" w14:textId="77777777" w:rsidR="00E05D3F" w:rsidRPr="00D70A86" w:rsidRDefault="00E05D3F" w:rsidP="00E05D3F">
      <w:pPr>
        <w:autoSpaceDE w:val="0"/>
        <w:autoSpaceDN w:val="0"/>
        <w:adjustRightInd w:val="0"/>
        <w:spacing w:after="0" w:line="240" w:lineRule="auto"/>
        <w:rPr>
          <w:rFonts w:ascii="Arial" w:hAnsi="Arial" w:cs="Arial"/>
          <w:color w:val="000000"/>
          <w:sz w:val="24"/>
          <w:szCs w:val="24"/>
        </w:rPr>
      </w:pPr>
      <w:r w:rsidRPr="00D70A86">
        <w:rPr>
          <w:rFonts w:ascii="Arial" w:hAnsi="Arial" w:cs="Arial"/>
          <w:color w:val="000000"/>
          <w:sz w:val="24"/>
          <w:szCs w:val="24"/>
        </w:rPr>
        <w:t xml:space="preserve">2525 West End Avenue, </w:t>
      </w:r>
    </w:p>
    <w:p w14:paraId="68795F3D" w14:textId="77777777" w:rsidR="00E05D3F" w:rsidRPr="00D70A86" w:rsidRDefault="00E05D3F" w:rsidP="00E05D3F">
      <w:pPr>
        <w:autoSpaceDE w:val="0"/>
        <w:autoSpaceDN w:val="0"/>
        <w:adjustRightInd w:val="0"/>
        <w:spacing w:after="0" w:line="240" w:lineRule="auto"/>
        <w:rPr>
          <w:rFonts w:ascii="Arial" w:hAnsi="Arial" w:cs="Arial"/>
          <w:color w:val="000000"/>
          <w:sz w:val="24"/>
          <w:szCs w:val="24"/>
        </w:rPr>
      </w:pPr>
      <w:r w:rsidRPr="00D70A86">
        <w:rPr>
          <w:rFonts w:ascii="Arial" w:hAnsi="Arial" w:cs="Arial"/>
          <w:color w:val="000000"/>
          <w:sz w:val="24"/>
          <w:szCs w:val="24"/>
        </w:rPr>
        <w:t xml:space="preserve">Suite 750, </w:t>
      </w:r>
    </w:p>
    <w:p w14:paraId="1347A019" w14:textId="77777777" w:rsidR="00E05D3F" w:rsidRPr="00D70A86" w:rsidRDefault="00E05D3F" w:rsidP="00E05D3F">
      <w:pPr>
        <w:autoSpaceDE w:val="0"/>
        <w:autoSpaceDN w:val="0"/>
        <w:adjustRightInd w:val="0"/>
        <w:spacing w:after="0" w:line="240" w:lineRule="auto"/>
        <w:rPr>
          <w:rFonts w:ascii="Arial" w:hAnsi="Arial" w:cs="Arial"/>
          <w:color w:val="000000"/>
          <w:sz w:val="24"/>
          <w:szCs w:val="24"/>
        </w:rPr>
      </w:pPr>
      <w:r w:rsidRPr="00D70A86">
        <w:rPr>
          <w:rFonts w:ascii="Arial" w:hAnsi="Arial" w:cs="Arial"/>
          <w:color w:val="000000"/>
          <w:sz w:val="24"/>
          <w:szCs w:val="24"/>
        </w:rPr>
        <w:t>Nashville, TN 37203-1738, USA.</w:t>
      </w:r>
    </w:p>
    <w:p w14:paraId="3DD59901" w14:textId="77777777" w:rsidR="00E05D3F" w:rsidRPr="00A413E4" w:rsidRDefault="00E05D3F" w:rsidP="00E05D3F">
      <w:pPr>
        <w:autoSpaceDE w:val="0"/>
        <w:autoSpaceDN w:val="0"/>
        <w:adjustRightInd w:val="0"/>
        <w:spacing w:after="0" w:line="240" w:lineRule="auto"/>
        <w:rPr>
          <w:rFonts w:ascii="Arial" w:hAnsi="Arial" w:cs="Arial"/>
          <w:color w:val="000000"/>
          <w:sz w:val="18"/>
          <w:szCs w:val="18"/>
        </w:rPr>
      </w:pPr>
    </w:p>
    <w:p w14:paraId="465B7E80" w14:textId="77777777" w:rsidR="00E05D3F" w:rsidRPr="00A413E4" w:rsidRDefault="00E05D3F" w:rsidP="00E05D3F">
      <w:pPr>
        <w:autoSpaceDE w:val="0"/>
        <w:autoSpaceDN w:val="0"/>
        <w:adjustRightInd w:val="0"/>
        <w:spacing w:after="0" w:line="240" w:lineRule="auto"/>
        <w:rPr>
          <w:rFonts w:ascii="Arial" w:hAnsi="Arial" w:cs="Arial"/>
          <w:color w:val="10157E"/>
          <w:sz w:val="15"/>
          <w:szCs w:val="15"/>
        </w:rPr>
      </w:pPr>
    </w:p>
    <w:p w14:paraId="3F10C4C0" w14:textId="77777777" w:rsidR="00E05D3F" w:rsidRPr="00A413E4" w:rsidRDefault="00E05D3F">
      <w:pPr>
        <w:rPr>
          <w:rFonts w:ascii="Arial" w:hAnsi="Arial" w:cs="Arial"/>
          <w:color w:val="10157E"/>
          <w:sz w:val="15"/>
          <w:szCs w:val="15"/>
        </w:rPr>
      </w:pPr>
      <w:r w:rsidRPr="00A413E4">
        <w:rPr>
          <w:rFonts w:ascii="Arial" w:hAnsi="Arial" w:cs="Arial"/>
          <w:color w:val="10157E"/>
          <w:sz w:val="15"/>
          <w:szCs w:val="15"/>
        </w:rPr>
        <w:br w:type="page"/>
      </w:r>
    </w:p>
    <w:p w14:paraId="0158C1D6" w14:textId="77777777" w:rsidR="00E05D3F" w:rsidRPr="00A413E4" w:rsidRDefault="00E05D3F" w:rsidP="00D70A86">
      <w:pPr>
        <w:autoSpaceDE w:val="0"/>
        <w:autoSpaceDN w:val="0"/>
        <w:adjustRightInd w:val="0"/>
        <w:spacing w:after="0" w:line="480" w:lineRule="auto"/>
        <w:rPr>
          <w:rFonts w:ascii="Arial" w:hAnsi="Arial" w:cs="Arial"/>
          <w:sz w:val="24"/>
          <w:szCs w:val="24"/>
        </w:rPr>
      </w:pPr>
      <w:r w:rsidRPr="00A413E4">
        <w:rPr>
          <w:rFonts w:ascii="Arial" w:hAnsi="Arial" w:cs="Arial"/>
          <w:sz w:val="24"/>
          <w:szCs w:val="24"/>
        </w:rPr>
        <w:lastRenderedPageBreak/>
        <w:t>ABSTRACT</w:t>
      </w:r>
    </w:p>
    <w:p w14:paraId="4510D82D" w14:textId="77777777" w:rsidR="00E05D3F" w:rsidRPr="00A413E4" w:rsidRDefault="00E05D3F" w:rsidP="00D70A86">
      <w:pPr>
        <w:autoSpaceDE w:val="0"/>
        <w:autoSpaceDN w:val="0"/>
        <w:adjustRightInd w:val="0"/>
        <w:spacing w:after="0" w:line="480" w:lineRule="auto"/>
        <w:rPr>
          <w:rFonts w:ascii="Arial" w:hAnsi="Arial" w:cs="Arial"/>
          <w:color w:val="000000"/>
          <w:sz w:val="24"/>
          <w:szCs w:val="18"/>
        </w:rPr>
      </w:pPr>
      <w:r w:rsidRPr="00A413E4">
        <w:rPr>
          <w:rFonts w:ascii="Arial" w:hAnsi="Arial" w:cs="Arial"/>
          <w:color w:val="000000"/>
          <w:sz w:val="24"/>
          <w:szCs w:val="18"/>
        </w:rPr>
        <w:t>Strokes in children with sickle cell anemia (SCA) are associated with</w:t>
      </w:r>
      <w:r w:rsidR="00D70A86">
        <w:rPr>
          <w:rFonts w:ascii="Arial" w:hAnsi="Arial" w:cs="Arial"/>
          <w:color w:val="000000"/>
          <w:sz w:val="24"/>
          <w:szCs w:val="18"/>
        </w:rPr>
        <w:t xml:space="preserve"> </w:t>
      </w:r>
      <w:r w:rsidRPr="00A413E4">
        <w:rPr>
          <w:rFonts w:ascii="Arial" w:hAnsi="Arial" w:cs="Arial"/>
          <w:color w:val="000000"/>
          <w:sz w:val="24"/>
          <w:szCs w:val="18"/>
        </w:rPr>
        <w:t>significant morbidity and premature death. Primary stroke prevention</w:t>
      </w:r>
      <w:r w:rsidR="00D70A86">
        <w:rPr>
          <w:rFonts w:ascii="Arial" w:hAnsi="Arial" w:cs="Arial"/>
          <w:color w:val="000000"/>
          <w:sz w:val="24"/>
          <w:szCs w:val="18"/>
        </w:rPr>
        <w:t xml:space="preserve"> </w:t>
      </w:r>
      <w:r w:rsidRPr="00A413E4">
        <w:rPr>
          <w:rFonts w:ascii="Arial" w:hAnsi="Arial" w:cs="Arial"/>
          <w:color w:val="000000"/>
          <w:sz w:val="24"/>
          <w:szCs w:val="18"/>
        </w:rPr>
        <w:t>in children with SCA involves screening for abnormal transcranial</w:t>
      </w:r>
      <w:r w:rsidR="00D70A86">
        <w:rPr>
          <w:rFonts w:ascii="Arial" w:hAnsi="Arial" w:cs="Arial"/>
          <w:color w:val="000000"/>
          <w:sz w:val="24"/>
          <w:szCs w:val="18"/>
        </w:rPr>
        <w:t xml:space="preserve"> </w:t>
      </w:r>
      <w:r w:rsidRPr="00A413E4">
        <w:rPr>
          <w:rFonts w:ascii="Arial" w:hAnsi="Arial" w:cs="Arial"/>
          <w:color w:val="000000"/>
          <w:sz w:val="24"/>
          <w:szCs w:val="18"/>
        </w:rPr>
        <w:t>Doppler (TCD) velocity coupled with regular blood transfusion therapy</w:t>
      </w:r>
      <w:r w:rsidR="00D70A86">
        <w:rPr>
          <w:rFonts w:ascii="Arial" w:hAnsi="Arial" w:cs="Arial"/>
          <w:color w:val="000000"/>
          <w:sz w:val="24"/>
          <w:szCs w:val="18"/>
        </w:rPr>
        <w:t xml:space="preserve"> </w:t>
      </w:r>
      <w:r w:rsidRPr="00A413E4">
        <w:rPr>
          <w:rFonts w:ascii="Arial" w:hAnsi="Arial" w:cs="Arial"/>
          <w:color w:val="000000"/>
          <w:sz w:val="24"/>
          <w:szCs w:val="18"/>
        </w:rPr>
        <w:t>for children with abnormal velocities, for at least one year.</w:t>
      </w:r>
      <w:r w:rsidR="00D70A86">
        <w:rPr>
          <w:rFonts w:ascii="Arial" w:hAnsi="Arial" w:cs="Arial"/>
          <w:color w:val="000000"/>
          <w:sz w:val="24"/>
          <w:szCs w:val="18"/>
        </w:rPr>
        <w:t xml:space="preserve"> </w:t>
      </w:r>
      <w:r w:rsidRPr="00A413E4">
        <w:rPr>
          <w:rFonts w:ascii="Arial" w:hAnsi="Arial" w:cs="Arial"/>
          <w:color w:val="000000"/>
          <w:sz w:val="24"/>
          <w:szCs w:val="18"/>
        </w:rPr>
        <w:t>However, in Africa, where the majority of children with SCA live,</w:t>
      </w:r>
      <w:r w:rsidR="00D70A86">
        <w:rPr>
          <w:rFonts w:ascii="Arial" w:hAnsi="Arial" w:cs="Arial"/>
          <w:color w:val="000000"/>
          <w:sz w:val="24"/>
          <w:szCs w:val="18"/>
        </w:rPr>
        <w:t xml:space="preserve"> </w:t>
      </w:r>
      <w:r w:rsidRPr="00A413E4">
        <w:rPr>
          <w:rFonts w:ascii="Arial" w:hAnsi="Arial" w:cs="Arial"/>
          <w:color w:val="000000"/>
          <w:sz w:val="24"/>
          <w:szCs w:val="18"/>
        </w:rPr>
        <w:t>regular blood transfusions are not feasible due to inadequate supply</w:t>
      </w:r>
      <w:r w:rsidR="00D70A86">
        <w:rPr>
          <w:rFonts w:ascii="Arial" w:hAnsi="Arial" w:cs="Arial"/>
          <w:color w:val="000000"/>
          <w:sz w:val="24"/>
          <w:szCs w:val="18"/>
        </w:rPr>
        <w:t xml:space="preserve"> </w:t>
      </w:r>
      <w:r w:rsidRPr="00A413E4">
        <w:rPr>
          <w:rFonts w:ascii="Arial" w:hAnsi="Arial" w:cs="Arial"/>
          <w:color w:val="000000"/>
          <w:sz w:val="24"/>
          <w:szCs w:val="18"/>
        </w:rPr>
        <w:t>of safe blood, cost, and the reluctance of caregivers to accept transfusion</w:t>
      </w:r>
      <w:r w:rsidR="00D70A86">
        <w:rPr>
          <w:rFonts w:ascii="Arial" w:hAnsi="Arial" w:cs="Arial"/>
          <w:color w:val="000000"/>
          <w:sz w:val="24"/>
          <w:szCs w:val="18"/>
        </w:rPr>
        <w:t xml:space="preserve"> </w:t>
      </w:r>
      <w:r w:rsidRPr="00A413E4">
        <w:rPr>
          <w:rFonts w:ascii="Arial" w:hAnsi="Arial" w:cs="Arial"/>
          <w:color w:val="000000"/>
          <w:sz w:val="24"/>
          <w:szCs w:val="18"/>
        </w:rPr>
        <w:t>therapy for their children. We describe the Primary Prevention</w:t>
      </w:r>
      <w:r w:rsidR="00D70A86">
        <w:rPr>
          <w:rFonts w:ascii="Arial" w:hAnsi="Arial" w:cs="Arial"/>
          <w:color w:val="000000"/>
          <w:sz w:val="24"/>
          <w:szCs w:val="18"/>
        </w:rPr>
        <w:t xml:space="preserve"> </w:t>
      </w:r>
      <w:r w:rsidRPr="00A413E4">
        <w:rPr>
          <w:rFonts w:ascii="Arial" w:hAnsi="Arial" w:cs="Arial"/>
          <w:color w:val="000000"/>
          <w:sz w:val="24"/>
          <w:szCs w:val="18"/>
        </w:rPr>
        <w:t>of Stroke in Children with Sickle Cell Disease in Nigeria Trial [Stroke</w:t>
      </w:r>
      <w:r w:rsidR="00D70A86">
        <w:rPr>
          <w:rFonts w:ascii="Arial" w:hAnsi="Arial" w:cs="Arial"/>
          <w:color w:val="000000"/>
          <w:sz w:val="24"/>
          <w:szCs w:val="18"/>
        </w:rPr>
        <w:t xml:space="preserve"> </w:t>
      </w:r>
      <w:r w:rsidRPr="00A413E4">
        <w:rPr>
          <w:rFonts w:ascii="Arial" w:hAnsi="Arial" w:cs="Arial"/>
          <w:color w:val="000000"/>
          <w:sz w:val="24"/>
          <w:szCs w:val="18"/>
        </w:rPr>
        <w:t>Prevention in Nigeria (SPRING) trial, NCT02560935], a three-center</w:t>
      </w:r>
      <w:r w:rsidR="00D70A86">
        <w:rPr>
          <w:rFonts w:ascii="Arial" w:hAnsi="Arial" w:cs="Arial"/>
          <w:color w:val="000000"/>
          <w:sz w:val="24"/>
          <w:szCs w:val="18"/>
        </w:rPr>
        <w:t xml:space="preserve"> </w:t>
      </w:r>
      <w:r w:rsidRPr="00A413E4">
        <w:rPr>
          <w:rFonts w:ascii="Arial" w:hAnsi="Arial" w:cs="Arial"/>
          <w:color w:val="000000"/>
          <w:sz w:val="24"/>
          <w:szCs w:val="18"/>
        </w:rPr>
        <w:t>double-blinded randomized controlled Phase III clinical trial to 1)</w:t>
      </w:r>
      <w:r w:rsidR="00D70A86">
        <w:rPr>
          <w:rFonts w:ascii="Arial" w:hAnsi="Arial" w:cs="Arial"/>
          <w:color w:val="000000"/>
          <w:sz w:val="24"/>
          <w:szCs w:val="18"/>
        </w:rPr>
        <w:t xml:space="preserve"> </w:t>
      </w:r>
      <w:r w:rsidRPr="00A413E4">
        <w:rPr>
          <w:rFonts w:ascii="Arial" w:hAnsi="Arial" w:cs="Arial"/>
          <w:color w:val="000000"/>
          <w:sz w:val="24"/>
          <w:szCs w:val="18"/>
        </w:rPr>
        <w:t>determine the efficacy of moderate fixed-dose (20mg/kg/day) versus</w:t>
      </w:r>
      <w:r w:rsidR="00D70A86">
        <w:rPr>
          <w:rFonts w:ascii="Arial" w:hAnsi="Arial" w:cs="Arial"/>
          <w:color w:val="000000"/>
          <w:sz w:val="24"/>
          <w:szCs w:val="18"/>
        </w:rPr>
        <w:t xml:space="preserve"> </w:t>
      </w:r>
      <w:r w:rsidRPr="00A413E4">
        <w:rPr>
          <w:rFonts w:ascii="Arial" w:hAnsi="Arial" w:cs="Arial"/>
          <w:color w:val="000000"/>
          <w:sz w:val="24"/>
          <w:szCs w:val="18"/>
        </w:rPr>
        <w:t>low fixed-dose (10mg/kg/day) hydroxyurea therapy for primary</w:t>
      </w:r>
      <w:r w:rsidR="00D70A86">
        <w:rPr>
          <w:rFonts w:ascii="Arial" w:hAnsi="Arial" w:cs="Arial"/>
          <w:color w:val="000000"/>
          <w:sz w:val="24"/>
          <w:szCs w:val="18"/>
        </w:rPr>
        <w:t xml:space="preserve"> </w:t>
      </w:r>
      <w:r w:rsidRPr="00A413E4">
        <w:rPr>
          <w:rFonts w:ascii="Arial" w:hAnsi="Arial" w:cs="Arial"/>
          <w:color w:val="000000"/>
          <w:sz w:val="24"/>
          <w:szCs w:val="18"/>
        </w:rPr>
        <w:t>stroke prevention; 2) determine the efficacy of moderate fixed-dose</w:t>
      </w:r>
      <w:r w:rsidR="00D70A86">
        <w:rPr>
          <w:rFonts w:ascii="Arial" w:hAnsi="Arial" w:cs="Arial"/>
          <w:color w:val="000000"/>
          <w:sz w:val="24"/>
          <w:szCs w:val="18"/>
        </w:rPr>
        <w:t xml:space="preserve"> </w:t>
      </w:r>
      <w:r w:rsidRPr="00A413E4">
        <w:rPr>
          <w:rFonts w:ascii="Arial" w:hAnsi="Arial" w:cs="Arial"/>
          <w:color w:val="000000"/>
          <w:sz w:val="24"/>
          <w:szCs w:val="18"/>
        </w:rPr>
        <w:t>hydroxyurea for decreasing the incidence of SCA-related hospitalization</w:t>
      </w:r>
      <w:r w:rsidR="00D70A86">
        <w:rPr>
          <w:rFonts w:ascii="Arial" w:hAnsi="Arial" w:cs="Arial"/>
          <w:color w:val="000000"/>
          <w:sz w:val="24"/>
          <w:szCs w:val="18"/>
        </w:rPr>
        <w:t xml:space="preserve"> </w:t>
      </w:r>
      <w:r w:rsidRPr="00A413E4">
        <w:rPr>
          <w:rFonts w:ascii="Arial" w:hAnsi="Arial" w:cs="Arial"/>
          <w:color w:val="000000"/>
          <w:sz w:val="24"/>
          <w:szCs w:val="18"/>
        </w:rPr>
        <w:t>(pain, acute chest syndrome, infection, other) compared to low</w:t>
      </w:r>
    </w:p>
    <w:p w14:paraId="32422159" w14:textId="77777777" w:rsidR="00E05D3F" w:rsidRPr="00A413E4" w:rsidRDefault="00E05D3F" w:rsidP="00D70A86">
      <w:pPr>
        <w:autoSpaceDE w:val="0"/>
        <w:autoSpaceDN w:val="0"/>
        <w:adjustRightInd w:val="0"/>
        <w:spacing w:after="0" w:line="480" w:lineRule="auto"/>
        <w:rPr>
          <w:rFonts w:ascii="Arial" w:hAnsi="Arial" w:cs="Arial"/>
          <w:color w:val="000000"/>
          <w:sz w:val="24"/>
          <w:szCs w:val="18"/>
        </w:rPr>
      </w:pPr>
      <w:r w:rsidRPr="00A413E4">
        <w:rPr>
          <w:rFonts w:ascii="Arial" w:hAnsi="Arial" w:cs="Arial"/>
          <w:color w:val="000000"/>
          <w:sz w:val="24"/>
          <w:szCs w:val="18"/>
        </w:rPr>
        <w:t>fixed-dose hydroxyurea. We will test the primary hypothesis that</w:t>
      </w:r>
      <w:r w:rsidR="00D70A86">
        <w:rPr>
          <w:rFonts w:ascii="Arial" w:hAnsi="Arial" w:cs="Arial"/>
          <w:color w:val="000000"/>
          <w:sz w:val="24"/>
          <w:szCs w:val="18"/>
        </w:rPr>
        <w:t xml:space="preserve"> </w:t>
      </w:r>
      <w:r w:rsidRPr="00A413E4">
        <w:rPr>
          <w:rFonts w:ascii="Arial" w:hAnsi="Arial" w:cs="Arial"/>
          <w:color w:val="000000"/>
          <w:sz w:val="24"/>
          <w:szCs w:val="18"/>
        </w:rPr>
        <w:t>there will be a 66% relative risk reduction of strokes in children withSCA and abnormal TCD measurements, randomly allocated, for a</w:t>
      </w:r>
      <w:r w:rsidR="00D70A86">
        <w:rPr>
          <w:rFonts w:ascii="Arial" w:hAnsi="Arial" w:cs="Arial"/>
          <w:color w:val="000000"/>
          <w:sz w:val="24"/>
          <w:szCs w:val="18"/>
        </w:rPr>
        <w:t xml:space="preserve"> </w:t>
      </w:r>
      <w:r w:rsidRPr="00A413E4">
        <w:rPr>
          <w:rFonts w:ascii="Arial" w:hAnsi="Arial" w:cs="Arial"/>
          <w:color w:val="000000"/>
          <w:sz w:val="24"/>
          <w:szCs w:val="18"/>
        </w:rPr>
        <w:t>minimum of three years to receive moderate fixed-dose versus low</w:t>
      </w:r>
      <w:r w:rsidR="00D70A86">
        <w:rPr>
          <w:rFonts w:ascii="Arial" w:hAnsi="Arial" w:cs="Arial"/>
          <w:color w:val="000000"/>
          <w:sz w:val="24"/>
          <w:szCs w:val="18"/>
        </w:rPr>
        <w:t xml:space="preserve"> </w:t>
      </w:r>
      <w:r w:rsidRPr="00A413E4">
        <w:rPr>
          <w:rFonts w:ascii="Arial" w:hAnsi="Arial" w:cs="Arial"/>
          <w:color w:val="000000"/>
          <w:sz w:val="24"/>
          <w:szCs w:val="18"/>
        </w:rPr>
        <w:t>fixed-dose hydroxyurea (total n</w:t>
      </w:r>
      <w:r w:rsidR="00D70A86">
        <w:rPr>
          <w:rFonts w:ascii="Arial" w:hAnsi="Arial" w:cs="Arial"/>
          <w:color w:val="000000"/>
          <w:sz w:val="24"/>
          <w:szCs w:val="18"/>
        </w:rPr>
        <w:t>=</w:t>
      </w:r>
      <w:r w:rsidRPr="00A413E4">
        <w:rPr>
          <w:rFonts w:ascii="Arial" w:hAnsi="Arial" w:cs="Arial"/>
          <w:color w:val="000000"/>
          <w:sz w:val="24"/>
          <w:szCs w:val="18"/>
        </w:rPr>
        <w:t>220). The results of this trial will</w:t>
      </w:r>
      <w:r w:rsidR="00D70A86">
        <w:rPr>
          <w:rFonts w:ascii="Arial" w:hAnsi="Arial" w:cs="Arial"/>
          <w:color w:val="000000"/>
          <w:sz w:val="24"/>
          <w:szCs w:val="18"/>
        </w:rPr>
        <w:t xml:space="preserve"> </w:t>
      </w:r>
      <w:r w:rsidRPr="00A413E4">
        <w:rPr>
          <w:rFonts w:ascii="Arial" w:hAnsi="Arial" w:cs="Arial"/>
          <w:color w:val="000000"/>
          <w:sz w:val="24"/>
          <w:szCs w:val="18"/>
        </w:rPr>
        <w:t>advance the care of children with SCA in Nigeria and sub-Saharan</w:t>
      </w:r>
    </w:p>
    <w:p w14:paraId="2E0620F6" w14:textId="77777777" w:rsidR="00E05D3F" w:rsidRPr="00A413E4" w:rsidRDefault="00E05D3F" w:rsidP="00D70A86">
      <w:pPr>
        <w:autoSpaceDE w:val="0"/>
        <w:autoSpaceDN w:val="0"/>
        <w:adjustRightInd w:val="0"/>
        <w:spacing w:after="0" w:line="480" w:lineRule="auto"/>
        <w:rPr>
          <w:rFonts w:ascii="Arial" w:hAnsi="Arial" w:cs="Arial"/>
          <w:color w:val="000000"/>
          <w:sz w:val="24"/>
          <w:szCs w:val="18"/>
        </w:rPr>
      </w:pPr>
      <w:r w:rsidRPr="00A413E4">
        <w:rPr>
          <w:rFonts w:ascii="Arial" w:hAnsi="Arial" w:cs="Arial"/>
          <w:color w:val="000000"/>
          <w:sz w:val="24"/>
          <w:szCs w:val="18"/>
        </w:rPr>
        <w:t>Africa, while improving research capacity for future studies to prevent</w:t>
      </w:r>
      <w:r w:rsidR="00D70A86">
        <w:rPr>
          <w:rFonts w:ascii="Arial" w:hAnsi="Arial" w:cs="Arial"/>
          <w:color w:val="000000"/>
          <w:sz w:val="24"/>
          <w:szCs w:val="18"/>
        </w:rPr>
        <w:t xml:space="preserve"> </w:t>
      </w:r>
      <w:r w:rsidRPr="00A413E4">
        <w:rPr>
          <w:rFonts w:ascii="Arial" w:hAnsi="Arial" w:cs="Arial"/>
          <w:color w:val="000000"/>
          <w:sz w:val="24"/>
          <w:szCs w:val="18"/>
        </w:rPr>
        <w:t>strokes in children with SCA.</w:t>
      </w:r>
    </w:p>
    <w:p w14:paraId="3C2B37BD" w14:textId="77777777" w:rsidR="00E05D3F" w:rsidRPr="00A413E4" w:rsidRDefault="00E05D3F" w:rsidP="00E05D3F">
      <w:pPr>
        <w:autoSpaceDE w:val="0"/>
        <w:autoSpaceDN w:val="0"/>
        <w:adjustRightInd w:val="0"/>
        <w:spacing w:after="0" w:line="240" w:lineRule="auto"/>
        <w:rPr>
          <w:rFonts w:ascii="Arial" w:hAnsi="Arial" w:cs="Arial"/>
          <w:color w:val="10157E"/>
        </w:rPr>
      </w:pPr>
    </w:p>
    <w:p w14:paraId="6106143E" w14:textId="77777777" w:rsidR="00E05D3F" w:rsidRPr="00A413E4" w:rsidRDefault="00E05D3F">
      <w:pPr>
        <w:rPr>
          <w:rFonts w:ascii="Arial" w:hAnsi="Arial" w:cs="Arial"/>
          <w:color w:val="10157E"/>
        </w:rPr>
      </w:pPr>
      <w:r w:rsidRPr="00A413E4">
        <w:rPr>
          <w:rFonts w:ascii="Arial" w:hAnsi="Arial" w:cs="Arial"/>
          <w:color w:val="10157E"/>
        </w:rPr>
        <w:br w:type="page"/>
      </w:r>
    </w:p>
    <w:p w14:paraId="41436C69" w14:textId="77777777" w:rsidR="00E05D3F" w:rsidRPr="00A22332" w:rsidRDefault="00E05D3F" w:rsidP="00E05D3F">
      <w:pPr>
        <w:autoSpaceDE w:val="0"/>
        <w:autoSpaceDN w:val="0"/>
        <w:adjustRightInd w:val="0"/>
        <w:spacing w:after="0" w:line="240" w:lineRule="auto"/>
        <w:rPr>
          <w:rFonts w:ascii="Arial" w:hAnsi="Arial" w:cs="Arial"/>
          <w:b/>
          <w:sz w:val="24"/>
          <w:szCs w:val="24"/>
        </w:rPr>
      </w:pPr>
      <w:r w:rsidRPr="00A22332">
        <w:rPr>
          <w:rFonts w:ascii="Arial" w:hAnsi="Arial" w:cs="Arial"/>
          <w:b/>
          <w:sz w:val="24"/>
          <w:szCs w:val="24"/>
        </w:rPr>
        <w:lastRenderedPageBreak/>
        <w:t>Introduction</w:t>
      </w:r>
    </w:p>
    <w:p w14:paraId="52A2C279" w14:textId="77777777" w:rsidR="00E05D3F" w:rsidRPr="00A413E4" w:rsidRDefault="00E05D3F" w:rsidP="00E05D3F">
      <w:pPr>
        <w:autoSpaceDE w:val="0"/>
        <w:autoSpaceDN w:val="0"/>
        <w:adjustRightInd w:val="0"/>
        <w:spacing w:after="0" w:line="240" w:lineRule="auto"/>
        <w:rPr>
          <w:rFonts w:ascii="Arial" w:hAnsi="Arial" w:cs="Arial"/>
          <w:color w:val="000000"/>
          <w:sz w:val="24"/>
          <w:szCs w:val="24"/>
        </w:rPr>
      </w:pPr>
      <w:r w:rsidRPr="00A413E4">
        <w:rPr>
          <w:rFonts w:ascii="Arial" w:hAnsi="Arial" w:cs="Arial"/>
          <w:color w:val="000000"/>
          <w:sz w:val="24"/>
          <w:szCs w:val="24"/>
        </w:rPr>
        <w:t>Standard care for primary stroke prevention in children with sickle cell anemia</w:t>
      </w:r>
    </w:p>
    <w:p w14:paraId="490B7CFD" w14:textId="77777777" w:rsidR="00E05D3F" w:rsidRPr="00A413E4" w:rsidRDefault="00E05D3F" w:rsidP="00E05D3F">
      <w:pPr>
        <w:autoSpaceDE w:val="0"/>
        <w:autoSpaceDN w:val="0"/>
        <w:adjustRightInd w:val="0"/>
        <w:spacing w:after="0" w:line="240" w:lineRule="auto"/>
        <w:rPr>
          <w:rFonts w:ascii="Arial" w:hAnsi="Arial" w:cs="Arial"/>
          <w:color w:val="000000"/>
          <w:sz w:val="24"/>
          <w:szCs w:val="24"/>
        </w:rPr>
      </w:pPr>
      <w:r w:rsidRPr="00A413E4">
        <w:rPr>
          <w:rFonts w:ascii="Arial" w:hAnsi="Arial" w:cs="Arial"/>
          <w:color w:val="000000"/>
          <w:sz w:val="24"/>
          <w:szCs w:val="24"/>
        </w:rPr>
        <w:t>(SCA) includes routine transcranial Doppler (TCD) measurement coupled with regular</w:t>
      </w:r>
      <w:r w:rsidR="00D70A86">
        <w:rPr>
          <w:rFonts w:ascii="Arial" w:hAnsi="Arial" w:cs="Arial"/>
          <w:color w:val="000000"/>
          <w:sz w:val="24"/>
          <w:szCs w:val="24"/>
        </w:rPr>
        <w:t xml:space="preserve"> </w:t>
      </w:r>
      <w:r w:rsidRPr="00A413E4">
        <w:rPr>
          <w:rFonts w:ascii="Arial" w:hAnsi="Arial" w:cs="Arial"/>
          <w:color w:val="000000"/>
          <w:sz w:val="24"/>
          <w:szCs w:val="24"/>
        </w:rPr>
        <w:t>blood transfusion therapy for at least one year for children with abnormal timeaveraged</w:t>
      </w:r>
      <w:r w:rsidR="00D70A86">
        <w:rPr>
          <w:rFonts w:ascii="Arial" w:hAnsi="Arial" w:cs="Arial"/>
          <w:color w:val="000000"/>
          <w:sz w:val="24"/>
          <w:szCs w:val="24"/>
        </w:rPr>
        <w:t xml:space="preserve"> </w:t>
      </w:r>
      <w:r w:rsidRPr="00A413E4">
        <w:rPr>
          <w:rFonts w:ascii="Arial" w:hAnsi="Arial" w:cs="Arial"/>
          <w:color w:val="000000"/>
          <w:sz w:val="24"/>
          <w:szCs w:val="24"/>
        </w:rPr>
        <w:t>maximum mean velocities (TAMMV) of TCD measurements (</w:t>
      </w:r>
      <w:r w:rsidR="00D70A86">
        <w:rPr>
          <w:rFonts w:ascii="Arial" w:hAnsi="Arial" w:cs="Arial"/>
          <w:color w:val="000000"/>
          <w:sz w:val="24"/>
          <w:szCs w:val="24"/>
        </w:rPr>
        <w:t>≥</w:t>
      </w:r>
      <w:r w:rsidRPr="00A413E4">
        <w:rPr>
          <w:rFonts w:ascii="Arial" w:hAnsi="Arial" w:cs="Arial"/>
          <w:color w:val="000000"/>
          <w:sz w:val="24"/>
          <w:szCs w:val="24"/>
        </w:rPr>
        <w:t xml:space="preserve"> 200 cm/</w:t>
      </w:r>
      <w:r w:rsidR="00D70A86">
        <w:rPr>
          <w:rFonts w:ascii="Arial" w:hAnsi="Arial" w:cs="Arial"/>
          <w:color w:val="000000"/>
          <w:sz w:val="24"/>
          <w:szCs w:val="24"/>
        </w:rPr>
        <w:t xml:space="preserve"> </w:t>
      </w:r>
      <w:r w:rsidRPr="00A413E4">
        <w:rPr>
          <w:rFonts w:ascii="Arial" w:hAnsi="Arial" w:cs="Arial"/>
          <w:color w:val="000000"/>
          <w:sz w:val="24"/>
          <w:szCs w:val="24"/>
        </w:rPr>
        <w:t>sec) in the terminal portion of the internal carotid artery (ICA) or the proximal</w:t>
      </w:r>
    </w:p>
    <w:p w14:paraId="58C6D85D" w14:textId="77777777" w:rsidR="00E05D3F" w:rsidRPr="00A413E4" w:rsidRDefault="00E05D3F" w:rsidP="00E05D3F">
      <w:pPr>
        <w:autoSpaceDE w:val="0"/>
        <w:autoSpaceDN w:val="0"/>
        <w:adjustRightInd w:val="0"/>
        <w:spacing w:after="0" w:line="240" w:lineRule="auto"/>
        <w:rPr>
          <w:rFonts w:ascii="Arial" w:hAnsi="Arial" w:cs="Arial"/>
          <w:color w:val="000000"/>
          <w:sz w:val="24"/>
          <w:szCs w:val="24"/>
        </w:rPr>
      </w:pPr>
      <w:r w:rsidRPr="00A413E4">
        <w:rPr>
          <w:rFonts w:ascii="Arial" w:hAnsi="Arial" w:cs="Arial"/>
          <w:color w:val="000000"/>
          <w:sz w:val="24"/>
          <w:szCs w:val="24"/>
        </w:rPr>
        <w:t>middle cerebral artery (MCA).</w:t>
      </w:r>
      <w:r w:rsidRPr="00A413E4">
        <w:rPr>
          <w:rFonts w:ascii="Arial" w:hAnsi="Arial" w:cs="Arial"/>
          <w:color w:val="000081"/>
          <w:sz w:val="24"/>
          <w:szCs w:val="24"/>
        </w:rPr>
        <w:t>1</w:t>
      </w:r>
      <w:r w:rsidRPr="00A413E4">
        <w:rPr>
          <w:rFonts w:ascii="Arial" w:hAnsi="Arial" w:cs="Arial"/>
          <w:color w:val="000000"/>
          <w:sz w:val="24"/>
          <w:szCs w:val="24"/>
        </w:rPr>
        <w:t>,</w:t>
      </w:r>
      <w:r w:rsidRPr="00A413E4">
        <w:rPr>
          <w:rFonts w:ascii="Arial" w:hAnsi="Arial" w:cs="Arial"/>
          <w:color w:val="000081"/>
          <w:sz w:val="24"/>
          <w:szCs w:val="24"/>
        </w:rPr>
        <w:t xml:space="preserve">2 </w:t>
      </w:r>
      <w:r w:rsidRPr="00A413E4">
        <w:rPr>
          <w:rFonts w:ascii="Arial" w:hAnsi="Arial" w:cs="Arial"/>
          <w:color w:val="000000"/>
          <w:sz w:val="24"/>
          <w:szCs w:val="24"/>
        </w:rPr>
        <w:t>However, blood transfusion therapy is not an</w:t>
      </w:r>
    </w:p>
    <w:p w14:paraId="5F675B8C" w14:textId="77777777" w:rsidR="00E05D3F" w:rsidRPr="00A413E4" w:rsidRDefault="00E05D3F" w:rsidP="00E05D3F">
      <w:pPr>
        <w:autoSpaceDE w:val="0"/>
        <w:autoSpaceDN w:val="0"/>
        <w:adjustRightInd w:val="0"/>
        <w:spacing w:after="0" w:line="240" w:lineRule="auto"/>
        <w:rPr>
          <w:rFonts w:ascii="Arial" w:hAnsi="Arial" w:cs="Arial"/>
          <w:color w:val="000000"/>
          <w:sz w:val="24"/>
          <w:szCs w:val="24"/>
        </w:rPr>
      </w:pPr>
      <w:r w:rsidRPr="00A413E4">
        <w:rPr>
          <w:rFonts w:ascii="Arial" w:hAnsi="Arial" w:cs="Arial"/>
          <w:color w:val="000000"/>
          <w:sz w:val="24"/>
          <w:szCs w:val="24"/>
        </w:rPr>
        <w:t>acceptable or feasible strategy for primary stroke prevention in Nigeria and other</w:t>
      </w:r>
    </w:p>
    <w:p w14:paraId="1B2FFC0D" w14:textId="77777777" w:rsidR="00E05D3F" w:rsidRPr="00A413E4" w:rsidRDefault="00E05D3F" w:rsidP="00E05D3F">
      <w:pPr>
        <w:autoSpaceDE w:val="0"/>
        <w:autoSpaceDN w:val="0"/>
        <w:adjustRightInd w:val="0"/>
        <w:spacing w:after="0" w:line="240" w:lineRule="auto"/>
        <w:rPr>
          <w:rFonts w:ascii="Arial" w:hAnsi="Arial" w:cs="Arial"/>
          <w:color w:val="000000"/>
          <w:sz w:val="24"/>
          <w:szCs w:val="24"/>
        </w:rPr>
      </w:pPr>
      <w:r w:rsidRPr="00A413E4">
        <w:rPr>
          <w:rFonts w:ascii="Arial" w:hAnsi="Arial" w:cs="Arial"/>
          <w:color w:val="000000"/>
          <w:sz w:val="24"/>
          <w:szCs w:val="24"/>
        </w:rPr>
        <w:t>parts of Africa. In Nigeria, regular transfusions require an indefinite family commitment</w:t>
      </w:r>
      <w:r w:rsidR="00D70A86">
        <w:rPr>
          <w:rFonts w:ascii="Arial" w:hAnsi="Arial" w:cs="Arial"/>
          <w:color w:val="000000"/>
          <w:sz w:val="24"/>
          <w:szCs w:val="24"/>
        </w:rPr>
        <w:t xml:space="preserve"> </w:t>
      </w:r>
      <w:r w:rsidRPr="00A413E4">
        <w:rPr>
          <w:rFonts w:ascii="Arial" w:hAnsi="Arial" w:cs="Arial"/>
          <w:color w:val="000000"/>
          <w:sz w:val="24"/>
          <w:szCs w:val="24"/>
        </w:rPr>
        <w:t>to seek and sustain a pool of blood donors as the blood supply is limited.</w:t>
      </w:r>
      <w:r w:rsidR="00F03FC9">
        <w:rPr>
          <w:rFonts w:ascii="Arial" w:hAnsi="Arial" w:cs="Arial"/>
          <w:color w:val="000000"/>
          <w:sz w:val="24"/>
          <w:szCs w:val="24"/>
        </w:rPr>
        <w:t xml:space="preserve"> </w:t>
      </w:r>
      <w:r w:rsidRPr="00A413E4">
        <w:rPr>
          <w:rFonts w:ascii="Arial" w:hAnsi="Arial" w:cs="Arial"/>
          <w:color w:val="000000"/>
          <w:sz w:val="24"/>
          <w:szCs w:val="24"/>
        </w:rPr>
        <w:t>Given the challenges associated with regular blood transfusion in low-resource settings,</w:t>
      </w:r>
      <w:r w:rsidR="00D70A86">
        <w:rPr>
          <w:rFonts w:ascii="Arial" w:hAnsi="Arial" w:cs="Arial"/>
          <w:color w:val="000000"/>
          <w:sz w:val="24"/>
          <w:szCs w:val="24"/>
        </w:rPr>
        <w:t xml:space="preserve"> </w:t>
      </w:r>
      <w:r w:rsidRPr="00A413E4">
        <w:rPr>
          <w:rFonts w:ascii="Arial" w:hAnsi="Arial" w:cs="Arial"/>
          <w:color w:val="000000"/>
          <w:sz w:val="24"/>
          <w:szCs w:val="24"/>
        </w:rPr>
        <w:t>the only current reasonable alternative for stroke prevention is hydroxyurea</w:t>
      </w:r>
    </w:p>
    <w:p w14:paraId="1AE551AC" w14:textId="77777777" w:rsidR="00E05D3F" w:rsidRPr="00A413E4" w:rsidRDefault="00E05D3F" w:rsidP="00E05D3F">
      <w:pPr>
        <w:autoSpaceDE w:val="0"/>
        <w:autoSpaceDN w:val="0"/>
        <w:adjustRightInd w:val="0"/>
        <w:spacing w:after="0" w:line="240" w:lineRule="auto"/>
        <w:rPr>
          <w:rFonts w:ascii="Arial" w:hAnsi="Arial" w:cs="Arial"/>
          <w:color w:val="000000"/>
          <w:sz w:val="24"/>
          <w:szCs w:val="24"/>
        </w:rPr>
      </w:pPr>
      <w:r w:rsidRPr="00A413E4">
        <w:rPr>
          <w:rFonts w:ascii="Arial" w:hAnsi="Arial" w:cs="Arial"/>
          <w:color w:val="000000"/>
          <w:sz w:val="24"/>
          <w:szCs w:val="24"/>
        </w:rPr>
        <w:t>therapy.</w:t>
      </w:r>
    </w:p>
    <w:p w14:paraId="6A7AE9E1" w14:textId="77777777" w:rsidR="00E05D3F" w:rsidRPr="00A413E4" w:rsidRDefault="00E05D3F" w:rsidP="00E05D3F">
      <w:pPr>
        <w:autoSpaceDE w:val="0"/>
        <w:autoSpaceDN w:val="0"/>
        <w:adjustRightInd w:val="0"/>
        <w:spacing w:after="0" w:line="240" w:lineRule="auto"/>
        <w:rPr>
          <w:rFonts w:ascii="Arial" w:hAnsi="Arial" w:cs="Arial"/>
          <w:color w:val="000000"/>
          <w:sz w:val="24"/>
          <w:szCs w:val="24"/>
        </w:rPr>
      </w:pPr>
    </w:p>
    <w:p w14:paraId="086B5800" w14:textId="77777777" w:rsidR="00E05D3F" w:rsidRPr="00A413E4" w:rsidRDefault="00E05D3F" w:rsidP="00E05D3F">
      <w:pPr>
        <w:autoSpaceDE w:val="0"/>
        <w:autoSpaceDN w:val="0"/>
        <w:adjustRightInd w:val="0"/>
        <w:spacing w:after="0" w:line="240" w:lineRule="auto"/>
        <w:rPr>
          <w:rFonts w:ascii="Arial" w:hAnsi="Arial" w:cs="Arial"/>
          <w:color w:val="000000"/>
          <w:sz w:val="24"/>
          <w:szCs w:val="24"/>
        </w:rPr>
      </w:pPr>
      <w:r w:rsidRPr="00A413E4">
        <w:rPr>
          <w:rFonts w:ascii="Arial" w:hAnsi="Arial" w:cs="Arial"/>
          <w:color w:val="000000"/>
          <w:sz w:val="24"/>
          <w:szCs w:val="24"/>
        </w:rPr>
        <w:t>Based on the results of a feasibility trial, (Stroke Prevention in Nigeria (SPIN)</w:t>
      </w:r>
    </w:p>
    <w:p w14:paraId="191BA3C3" w14:textId="77777777" w:rsidR="00E05D3F" w:rsidRPr="00A413E4" w:rsidRDefault="00E05D3F" w:rsidP="00E05D3F">
      <w:pPr>
        <w:autoSpaceDE w:val="0"/>
        <w:autoSpaceDN w:val="0"/>
        <w:adjustRightInd w:val="0"/>
        <w:spacing w:after="0" w:line="240" w:lineRule="auto"/>
        <w:rPr>
          <w:rFonts w:ascii="Arial" w:hAnsi="Arial" w:cs="Arial"/>
          <w:color w:val="000000"/>
          <w:sz w:val="24"/>
          <w:szCs w:val="24"/>
        </w:rPr>
      </w:pPr>
      <w:r w:rsidRPr="00A413E4">
        <w:rPr>
          <w:rFonts w:ascii="Arial" w:hAnsi="Arial" w:cs="Arial"/>
          <w:color w:val="000000"/>
          <w:sz w:val="24"/>
          <w:szCs w:val="24"/>
        </w:rPr>
        <w:t>trial,</w:t>
      </w:r>
      <w:r w:rsidRPr="00A413E4">
        <w:rPr>
          <w:rFonts w:ascii="Arial" w:hAnsi="Arial" w:cs="Arial"/>
          <w:color w:val="000081"/>
          <w:sz w:val="24"/>
          <w:szCs w:val="24"/>
        </w:rPr>
        <w:t xml:space="preserve">3 </w:t>
      </w:r>
      <w:r w:rsidRPr="00A413E4">
        <w:rPr>
          <w:rFonts w:ascii="Arial" w:hAnsi="Arial" w:cs="Arial"/>
          <w:color w:val="000000"/>
          <w:sz w:val="24"/>
          <w:szCs w:val="24"/>
        </w:rPr>
        <w:t>NCT01801423), we designed the Stroke Prevention in Nigeria (SPRING) trial,</w:t>
      </w:r>
    </w:p>
    <w:p w14:paraId="54662650" w14:textId="77777777" w:rsidR="00E05D3F" w:rsidRPr="00A413E4" w:rsidRDefault="00E05D3F" w:rsidP="00E05D3F">
      <w:pPr>
        <w:autoSpaceDE w:val="0"/>
        <w:autoSpaceDN w:val="0"/>
        <w:adjustRightInd w:val="0"/>
        <w:spacing w:after="0" w:line="240" w:lineRule="auto"/>
        <w:rPr>
          <w:rFonts w:ascii="Arial" w:hAnsi="Arial" w:cs="Arial"/>
          <w:color w:val="000000"/>
          <w:sz w:val="24"/>
          <w:szCs w:val="24"/>
        </w:rPr>
      </w:pPr>
      <w:r w:rsidRPr="00A413E4">
        <w:rPr>
          <w:rFonts w:ascii="Arial" w:hAnsi="Arial" w:cs="Arial"/>
          <w:color w:val="000000"/>
          <w:sz w:val="24"/>
          <w:szCs w:val="24"/>
        </w:rPr>
        <w:t>NCT02560935] a three-center, double-blinded, randomized controlled Phase III clinical</w:t>
      </w:r>
      <w:r w:rsidR="00F03FC9">
        <w:rPr>
          <w:rFonts w:ascii="Arial" w:hAnsi="Arial" w:cs="Arial"/>
          <w:color w:val="000000"/>
          <w:sz w:val="24"/>
          <w:szCs w:val="24"/>
        </w:rPr>
        <w:t xml:space="preserve"> </w:t>
      </w:r>
      <w:r w:rsidRPr="00A413E4">
        <w:rPr>
          <w:rFonts w:ascii="Arial" w:hAnsi="Arial" w:cs="Arial"/>
          <w:color w:val="000000"/>
          <w:sz w:val="24"/>
          <w:szCs w:val="24"/>
        </w:rPr>
        <w:t>trial for primary stroke prevention in children with sickle cell anemia (SCA) in</w:t>
      </w:r>
    </w:p>
    <w:p w14:paraId="6DD8A6EC" w14:textId="77777777" w:rsidR="00E05D3F" w:rsidRPr="00A413E4" w:rsidRDefault="00E05D3F" w:rsidP="00E05D3F">
      <w:pPr>
        <w:autoSpaceDE w:val="0"/>
        <w:autoSpaceDN w:val="0"/>
        <w:adjustRightInd w:val="0"/>
        <w:spacing w:after="0" w:line="240" w:lineRule="auto"/>
        <w:rPr>
          <w:rFonts w:ascii="Arial" w:hAnsi="Arial" w:cs="Arial"/>
          <w:color w:val="000000"/>
          <w:sz w:val="24"/>
          <w:szCs w:val="24"/>
        </w:rPr>
      </w:pPr>
      <w:r w:rsidRPr="00A413E4">
        <w:rPr>
          <w:rFonts w:ascii="Arial" w:hAnsi="Arial" w:cs="Arial"/>
          <w:color w:val="000000"/>
          <w:sz w:val="24"/>
          <w:szCs w:val="24"/>
        </w:rPr>
        <w:t>northern Nigeria. Funding for the trial started in 2015 for a planned 5 years. The</w:t>
      </w:r>
    </w:p>
    <w:p w14:paraId="2B88A019" w14:textId="77777777" w:rsidR="00E05D3F" w:rsidRPr="00A413E4" w:rsidRDefault="00E05D3F" w:rsidP="00E05D3F">
      <w:pPr>
        <w:autoSpaceDE w:val="0"/>
        <w:autoSpaceDN w:val="0"/>
        <w:adjustRightInd w:val="0"/>
        <w:spacing w:after="0" w:line="240" w:lineRule="auto"/>
        <w:rPr>
          <w:rFonts w:ascii="Arial" w:hAnsi="Arial" w:cs="Arial"/>
          <w:color w:val="000000"/>
          <w:sz w:val="24"/>
          <w:szCs w:val="24"/>
        </w:rPr>
      </w:pPr>
      <w:r w:rsidRPr="00A413E4">
        <w:rPr>
          <w:rFonts w:ascii="Arial" w:hAnsi="Arial" w:cs="Arial"/>
          <w:color w:val="000000"/>
          <w:sz w:val="24"/>
          <w:szCs w:val="24"/>
        </w:rPr>
        <w:t>primary hypothesis is that among children with SCA and abnormal TCD measurements,</w:t>
      </w:r>
      <w:r w:rsidR="00F03FC9">
        <w:rPr>
          <w:rFonts w:ascii="Arial" w:hAnsi="Arial" w:cs="Arial"/>
          <w:color w:val="000000"/>
          <w:sz w:val="24"/>
          <w:szCs w:val="24"/>
        </w:rPr>
        <w:t xml:space="preserve"> </w:t>
      </w:r>
      <w:r w:rsidRPr="00A413E4">
        <w:rPr>
          <w:rFonts w:ascii="Arial" w:hAnsi="Arial" w:cs="Arial"/>
          <w:color w:val="000000"/>
          <w:sz w:val="24"/>
          <w:szCs w:val="24"/>
        </w:rPr>
        <w:t>randomly allocated (n</w:t>
      </w:r>
      <w:r w:rsidR="00F03FC9">
        <w:rPr>
          <w:rFonts w:ascii="Arial" w:hAnsi="Arial" w:cs="Arial"/>
          <w:color w:val="000000"/>
          <w:sz w:val="24"/>
          <w:szCs w:val="24"/>
        </w:rPr>
        <w:t>=</w:t>
      </w:r>
      <w:r w:rsidRPr="00A413E4">
        <w:rPr>
          <w:rFonts w:ascii="Arial" w:hAnsi="Arial" w:cs="Arial"/>
          <w:color w:val="000000"/>
          <w:sz w:val="24"/>
          <w:szCs w:val="24"/>
        </w:rPr>
        <w:t>220) to either moderate fixed-dose (20 mg/kg/day) or</w:t>
      </w:r>
      <w:r w:rsidR="00F03FC9">
        <w:rPr>
          <w:rFonts w:ascii="Arial" w:hAnsi="Arial" w:cs="Arial"/>
          <w:color w:val="000000"/>
          <w:sz w:val="24"/>
          <w:szCs w:val="24"/>
        </w:rPr>
        <w:t xml:space="preserve"> </w:t>
      </w:r>
      <w:r w:rsidRPr="00A413E4">
        <w:rPr>
          <w:rFonts w:ascii="Arial" w:hAnsi="Arial" w:cs="Arial"/>
          <w:color w:val="000000"/>
          <w:sz w:val="24"/>
          <w:szCs w:val="24"/>
        </w:rPr>
        <w:t>low fixed-dose (10 mg/kg/day) hydroxyurea for a minimum of three years, moderate</w:t>
      </w:r>
      <w:r w:rsidR="00F03FC9">
        <w:rPr>
          <w:rFonts w:ascii="Arial" w:hAnsi="Arial" w:cs="Arial"/>
          <w:color w:val="000000"/>
          <w:sz w:val="24"/>
          <w:szCs w:val="24"/>
        </w:rPr>
        <w:t xml:space="preserve"> </w:t>
      </w:r>
      <w:r w:rsidRPr="00A413E4">
        <w:rPr>
          <w:rFonts w:ascii="Arial" w:hAnsi="Arial" w:cs="Arial"/>
          <w:color w:val="000000"/>
          <w:sz w:val="24"/>
          <w:szCs w:val="24"/>
        </w:rPr>
        <w:t>fixed-dose hydroxyurea therapy is superior to low fixed-dose hydroxyurea therapy</w:t>
      </w:r>
      <w:r w:rsidR="00F03FC9">
        <w:rPr>
          <w:rFonts w:ascii="Arial" w:hAnsi="Arial" w:cs="Arial"/>
          <w:color w:val="000000"/>
          <w:sz w:val="24"/>
          <w:szCs w:val="24"/>
        </w:rPr>
        <w:t xml:space="preserve"> </w:t>
      </w:r>
      <w:r w:rsidRPr="00A413E4">
        <w:rPr>
          <w:rFonts w:ascii="Arial" w:hAnsi="Arial" w:cs="Arial"/>
          <w:color w:val="000000"/>
          <w:sz w:val="24"/>
          <w:szCs w:val="24"/>
        </w:rPr>
        <w:t>for primary stroke prevention. The rationale for low-dose hydroxyurea is that this</w:t>
      </w:r>
      <w:r w:rsidR="00F03FC9">
        <w:rPr>
          <w:rFonts w:ascii="Arial" w:hAnsi="Arial" w:cs="Arial"/>
          <w:color w:val="000000"/>
          <w:sz w:val="24"/>
          <w:szCs w:val="24"/>
        </w:rPr>
        <w:t xml:space="preserve"> </w:t>
      </w:r>
      <w:r w:rsidRPr="00A413E4">
        <w:rPr>
          <w:rFonts w:ascii="Arial" w:hAnsi="Arial" w:cs="Arial"/>
          <w:color w:val="000000"/>
          <w:sz w:val="24"/>
          <w:szCs w:val="24"/>
        </w:rPr>
        <w:t>dosing, if effective, would not require frequent laboratory monitoring for myelosuppression,</w:t>
      </w:r>
      <w:r w:rsidR="00F03FC9">
        <w:rPr>
          <w:rFonts w:ascii="Arial" w:hAnsi="Arial" w:cs="Arial"/>
          <w:color w:val="000000"/>
          <w:sz w:val="24"/>
          <w:szCs w:val="24"/>
        </w:rPr>
        <w:t xml:space="preserve"> </w:t>
      </w:r>
      <w:r w:rsidRPr="00A413E4">
        <w:rPr>
          <w:rFonts w:ascii="Arial" w:hAnsi="Arial" w:cs="Arial"/>
          <w:color w:val="000000"/>
          <w:sz w:val="24"/>
          <w:szCs w:val="24"/>
        </w:rPr>
        <w:t>which is recommended at higher doses.</w:t>
      </w:r>
      <w:r w:rsidRPr="00A413E4">
        <w:rPr>
          <w:rFonts w:ascii="Arial" w:hAnsi="Arial" w:cs="Arial"/>
          <w:color w:val="000081"/>
          <w:sz w:val="24"/>
          <w:szCs w:val="24"/>
        </w:rPr>
        <w:t xml:space="preserve">4 </w:t>
      </w:r>
      <w:r w:rsidRPr="00A413E4">
        <w:rPr>
          <w:rFonts w:ascii="Arial" w:hAnsi="Arial" w:cs="Arial"/>
          <w:color w:val="000000"/>
          <w:sz w:val="24"/>
          <w:szCs w:val="24"/>
        </w:rPr>
        <w:t>Further, if fixed low-dose hydroxyurea</w:t>
      </w:r>
      <w:r w:rsidR="00F03FC9">
        <w:rPr>
          <w:rFonts w:ascii="Arial" w:hAnsi="Arial" w:cs="Arial"/>
          <w:color w:val="000000"/>
          <w:sz w:val="24"/>
          <w:szCs w:val="24"/>
        </w:rPr>
        <w:t xml:space="preserve">  </w:t>
      </w:r>
      <w:r w:rsidRPr="00A413E4">
        <w:rPr>
          <w:rFonts w:ascii="Arial" w:hAnsi="Arial" w:cs="Arial"/>
          <w:color w:val="000000"/>
          <w:sz w:val="24"/>
          <w:szCs w:val="24"/>
        </w:rPr>
        <w:t>is efficacious in preventing initial strokes, twice as many children could betreated with 10 mg/kg/day compared with 20 mg/kg/day dosing for the same cost of</w:t>
      </w:r>
      <w:r w:rsidR="00F03FC9">
        <w:rPr>
          <w:rFonts w:ascii="Arial" w:hAnsi="Arial" w:cs="Arial"/>
          <w:color w:val="000000"/>
          <w:sz w:val="24"/>
          <w:szCs w:val="24"/>
        </w:rPr>
        <w:t xml:space="preserve"> </w:t>
      </w:r>
      <w:r w:rsidRPr="00A413E4">
        <w:rPr>
          <w:rFonts w:ascii="Arial" w:hAnsi="Arial" w:cs="Arial"/>
          <w:color w:val="000000"/>
          <w:sz w:val="24"/>
          <w:szCs w:val="24"/>
        </w:rPr>
        <w:t>therapy and potentially without the requirement of laboratory monitoring. These</w:t>
      </w:r>
      <w:r w:rsidR="00F03FC9">
        <w:rPr>
          <w:rFonts w:ascii="Arial" w:hAnsi="Arial" w:cs="Arial"/>
          <w:color w:val="000000"/>
          <w:sz w:val="24"/>
          <w:szCs w:val="24"/>
        </w:rPr>
        <w:t xml:space="preserve"> </w:t>
      </w:r>
      <w:r w:rsidRPr="00A413E4">
        <w:rPr>
          <w:rFonts w:ascii="Arial" w:hAnsi="Arial" w:cs="Arial"/>
          <w:color w:val="000000"/>
          <w:sz w:val="24"/>
          <w:szCs w:val="24"/>
        </w:rPr>
        <w:t>two features, costs of hydroxyurea therapy in Nigeria (approximately $5.00 United</w:t>
      </w:r>
      <w:r w:rsidR="00F03FC9">
        <w:rPr>
          <w:rFonts w:ascii="Arial" w:hAnsi="Arial" w:cs="Arial"/>
          <w:color w:val="000000"/>
          <w:sz w:val="24"/>
          <w:szCs w:val="24"/>
        </w:rPr>
        <w:t xml:space="preserve"> </w:t>
      </w:r>
      <w:r w:rsidRPr="00A413E4">
        <w:rPr>
          <w:rFonts w:ascii="Arial" w:hAnsi="Arial" w:cs="Arial"/>
          <w:color w:val="000000"/>
          <w:sz w:val="24"/>
          <w:szCs w:val="24"/>
        </w:rPr>
        <w:t>States dollars per month for a child with SCA receiving 20 mg/kg/day) and complete</w:t>
      </w:r>
      <w:r w:rsidR="00F03FC9">
        <w:rPr>
          <w:rFonts w:ascii="Arial" w:hAnsi="Arial" w:cs="Arial"/>
          <w:color w:val="000000"/>
          <w:sz w:val="24"/>
          <w:szCs w:val="24"/>
        </w:rPr>
        <w:t xml:space="preserve"> </w:t>
      </w:r>
      <w:r w:rsidRPr="00A413E4">
        <w:rPr>
          <w:rFonts w:ascii="Arial" w:hAnsi="Arial" w:cs="Arial"/>
          <w:color w:val="000000"/>
          <w:sz w:val="24"/>
          <w:szCs w:val="24"/>
        </w:rPr>
        <w:t>blood count to assess myelosuppression of hydroxyurea (approximately $6.00 United</w:t>
      </w:r>
      <w:r w:rsidR="00F03FC9">
        <w:rPr>
          <w:rFonts w:ascii="Arial" w:hAnsi="Arial" w:cs="Arial"/>
          <w:color w:val="000000"/>
          <w:sz w:val="24"/>
          <w:szCs w:val="24"/>
        </w:rPr>
        <w:t xml:space="preserve"> </w:t>
      </w:r>
      <w:r w:rsidRPr="00A413E4">
        <w:rPr>
          <w:rFonts w:ascii="Arial" w:hAnsi="Arial" w:cs="Arial"/>
          <w:color w:val="000000"/>
          <w:sz w:val="24"/>
          <w:szCs w:val="24"/>
        </w:rPr>
        <w:t>States dollars) are critically important barriers for implementation of primary stroke</w:t>
      </w:r>
      <w:r w:rsidR="00F03FC9">
        <w:rPr>
          <w:rFonts w:ascii="Arial" w:hAnsi="Arial" w:cs="Arial"/>
          <w:color w:val="000000"/>
          <w:sz w:val="24"/>
          <w:szCs w:val="24"/>
        </w:rPr>
        <w:t xml:space="preserve"> </w:t>
      </w:r>
      <w:r w:rsidRPr="00A413E4">
        <w:rPr>
          <w:rFonts w:ascii="Arial" w:hAnsi="Arial" w:cs="Arial"/>
          <w:color w:val="000000"/>
          <w:sz w:val="24"/>
          <w:szCs w:val="24"/>
        </w:rPr>
        <w:t>prevention in a low-resource setting.</w:t>
      </w:r>
    </w:p>
    <w:p w14:paraId="3372BC5E" w14:textId="77777777" w:rsidR="00E05D3F" w:rsidRPr="00A413E4" w:rsidRDefault="00E05D3F" w:rsidP="00E05D3F">
      <w:pPr>
        <w:autoSpaceDE w:val="0"/>
        <w:autoSpaceDN w:val="0"/>
        <w:adjustRightInd w:val="0"/>
        <w:spacing w:after="0" w:line="240" w:lineRule="auto"/>
        <w:rPr>
          <w:rFonts w:ascii="Arial" w:hAnsi="Arial" w:cs="Arial"/>
          <w:color w:val="000000"/>
          <w:sz w:val="15"/>
          <w:szCs w:val="15"/>
        </w:rPr>
      </w:pPr>
    </w:p>
    <w:p w14:paraId="53B14175" w14:textId="77777777" w:rsidR="00E05D3F" w:rsidRPr="00F03FC9" w:rsidRDefault="00E05D3F" w:rsidP="00E05D3F">
      <w:pPr>
        <w:autoSpaceDE w:val="0"/>
        <w:autoSpaceDN w:val="0"/>
        <w:adjustRightInd w:val="0"/>
        <w:spacing w:after="0" w:line="240" w:lineRule="auto"/>
        <w:rPr>
          <w:rFonts w:ascii="Arial" w:hAnsi="Arial" w:cs="Arial"/>
          <w:b/>
          <w:sz w:val="24"/>
          <w:szCs w:val="24"/>
        </w:rPr>
      </w:pPr>
      <w:r w:rsidRPr="00F03FC9">
        <w:rPr>
          <w:rFonts w:ascii="Arial" w:hAnsi="Arial" w:cs="Arial"/>
          <w:b/>
          <w:sz w:val="24"/>
          <w:szCs w:val="24"/>
        </w:rPr>
        <w:t>Methods</w:t>
      </w:r>
    </w:p>
    <w:p w14:paraId="52290124" w14:textId="77777777" w:rsidR="00E05D3F" w:rsidRPr="00F03FC9" w:rsidRDefault="00E05D3F" w:rsidP="00E05D3F">
      <w:pPr>
        <w:autoSpaceDE w:val="0"/>
        <w:autoSpaceDN w:val="0"/>
        <w:adjustRightInd w:val="0"/>
        <w:spacing w:after="0" w:line="240" w:lineRule="auto"/>
        <w:rPr>
          <w:rFonts w:ascii="Arial" w:hAnsi="Arial" w:cs="Arial"/>
          <w:b/>
          <w:sz w:val="24"/>
          <w:szCs w:val="24"/>
        </w:rPr>
      </w:pPr>
      <w:r w:rsidRPr="00F03FC9">
        <w:rPr>
          <w:rFonts w:ascii="Arial" w:hAnsi="Arial" w:cs="Arial"/>
          <w:b/>
          <w:sz w:val="24"/>
          <w:szCs w:val="24"/>
        </w:rPr>
        <w:t>Trial objectives and organization</w:t>
      </w:r>
    </w:p>
    <w:p w14:paraId="0A1DA18A" w14:textId="77777777" w:rsidR="00E05D3F" w:rsidRPr="00F03FC9" w:rsidRDefault="00E05D3F" w:rsidP="00E05D3F">
      <w:pPr>
        <w:autoSpaceDE w:val="0"/>
        <w:autoSpaceDN w:val="0"/>
        <w:adjustRightInd w:val="0"/>
        <w:spacing w:after="0" w:line="240" w:lineRule="auto"/>
        <w:rPr>
          <w:rFonts w:ascii="Arial" w:hAnsi="Arial" w:cs="Arial"/>
          <w:b/>
          <w:sz w:val="24"/>
          <w:szCs w:val="24"/>
        </w:rPr>
      </w:pPr>
      <w:r w:rsidRPr="00F03FC9">
        <w:rPr>
          <w:rFonts w:ascii="Arial" w:hAnsi="Arial" w:cs="Arial"/>
          <w:b/>
          <w:sz w:val="24"/>
          <w:szCs w:val="24"/>
        </w:rPr>
        <w:t>Main hypothesis</w:t>
      </w:r>
    </w:p>
    <w:p w14:paraId="2DCAEE58"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The overall goal of the SPRING trial (NCT02560935) is to determine the efficacy of</w:t>
      </w:r>
    </w:p>
    <w:p w14:paraId="5D267D2F"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moderate fixed-dose versus low fixed-dose hydroxyurea therapy for primary stroke prevention</w:t>
      </w:r>
      <w:r w:rsidR="00F03FC9">
        <w:rPr>
          <w:rFonts w:ascii="Arial" w:hAnsi="Arial" w:cs="Arial"/>
          <w:sz w:val="24"/>
          <w:szCs w:val="24"/>
        </w:rPr>
        <w:t xml:space="preserve"> </w:t>
      </w:r>
      <w:r w:rsidRPr="00A413E4">
        <w:rPr>
          <w:rFonts w:ascii="Arial" w:hAnsi="Arial" w:cs="Arial"/>
          <w:sz w:val="24"/>
          <w:szCs w:val="24"/>
        </w:rPr>
        <w:t>in children with SCA. We randomly allocated children with SCA and abnormal</w:t>
      </w:r>
      <w:r w:rsidR="00F03FC9">
        <w:rPr>
          <w:rFonts w:ascii="Arial" w:hAnsi="Arial" w:cs="Arial"/>
          <w:sz w:val="24"/>
          <w:szCs w:val="24"/>
        </w:rPr>
        <w:t xml:space="preserve"> </w:t>
      </w:r>
      <w:r w:rsidRPr="00A413E4">
        <w:rPr>
          <w:rFonts w:ascii="Arial" w:hAnsi="Arial" w:cs="Arial"/>
          <w:sz w:val="24"/>
          <w:szCs w:val="24"/>
        </w:rPr>
        <w:t>TAMMV for TCD measurements (≥200 cm/sec) to receive moderate-fixed dose versus</w:t>
      </w:r>
      <w:r w:rsidR="00F03FC9">
        <w:rPr>
          <w:rFonts w:ascii="Arial" w:hAnsi="Arial" w:cs="Arial"/>
          <w:sz w:val="24"/>
          <w:szCs w:val="24"/>
        </w:rPr>
        <w:t xml:space="preserve"> </w:t>
      </w:r>
      <w:r w:rsidRPr="00A413E4">
        <w:rPr>
          <w:rFonts w:ascii="Arial" w:hAnsi="Arial" w:cs="Arial"/>
          <w:sz w:val="24"/>
          <w:szCs w:val="24"/>
        </w:rPr>
        <w:t>low fixed-dose hydroxyurea. There will be a total of 110 participants in each treatment</w:t>
      </w:r>
      <w:r w:rsidR="00F03FC9">
        <w:rPr>
          <w:rFonts w:ascii="Arial" w:hAnsi="Arial" w:cs="Arial"/>
          <w:sz w:val="24"/>
          <w:szCs w:val="24"/>
        </w:rPr>
        <w:t xml:space="preserve"> </w:t>
      </w:r>
      <w:r w:rsidRPr="00A413E4">
        <w:rPr>
          <w:rFonts w:ascii="Arial" w:hAnsi="Arial" w:cs="Arial"/>
          <w:sz w:val="24"/>
          <w:szCs w:val="24"/>
        </w:rPr>
        <w:t>group followed for a minimum of three years. A comparison group of 220 children not</w:t>
      </w:r>
      <w:r w:rsidR="00F03FC9">
        <w:rPr>
          <w:rFonts w:ascii="Arial" w:hAnsi="Arial" w:cs="Arial"/>
          <w:sz w:val="24"/>
          <w:szCs w:val="24"/>
        </w:rPr>
        <w:t xml:space="preserve"> </w:t>
      </w:r>
      <w:r w:rsidRPr="00A413E4">
        <w:rPr>
          <w:rFonts w:ascii="Arial" w:hAnsi="Arial" w:cs="Arial"/>
          <w:sz w:val="24"/>
          <w:szCs w:val="24"/>
        </w:rPr>
        <w:t>treated with hydroxyurea that were screened but were deemed ineligible based on TCD</w:t>
      </w:r>
      <w:r w:rsidR="00F03FC9">
        <w:rPr>
          <w:rFonts w:ascii="Arial" w:hAnsi="Arial" w:cs="Arial"/>
          <w:sz w:val="24"/>
          <w:szCs w:val="24"/>
        </w:rPr>
        <w:t xml:space="preserve"> </w:t>
      </w:r>
      <w:r w:rsidRPr="00A413E4">
        <w:rPr>
          <w:rFonts w:ascii="Arial" w:hAnsi="Arial" w:cs="Arial"/>
          <w:sz w:val="24"/>
          <w:szCs w:val="24"/>
        </w:rPr>
        <w:t>velocity &lt; 200 cm/sec will be followed for a minimum of three years to assess the</w:t>
      </w:r>
      <w:r w:rsidR="00F03FC9">
        <w:rPr>
          <w:rFonts w:ascii="Arial" w:hAnsi="Arial" w:cs="Arial"/>
          <w:sz w:val="24"/>
          <w:szCs w:val="24"/>
        </w:rPr>
        <w:t xml:space="preserve"> </w:t>
      </w:r>
      <w:r w:rsidRPr="00A413E4">
        <w:rPr>
          <w:rFonts w:ascii="Arial" w:hAnsi="Arial" w:cs="Arial"/>
          <w:sz w:val="24"/>
          <w:szCs w:val="24"/>
        </w:rPr>
        <w:t>potential for excessive mortality and morbidity (hospitalizations) associated with receiving</w:t>
      </w:r>
      <w:r w:rsidR="00F03FC9">
        <w:rPr>
          <w:rFonts w:ascii="Arial" w:hAnsi="Arial" w:cs="Arial"/>
          <w:sz w:val="24"/>
          <w:szCs w:val="24"/>
        </w:rPr>
        <w:t xml:space="preserve"> </w:t>
      </w:r>
      <w:r w:rsidRPr="00A413E4">
        <w:rPr>
          <w:rFonts w:ascii="Arial" w:hAnsi="Arial" w:cs="Arial"/>
          <w:sz w:val="24"/>
          <w:szCs w:val="24"/>
        </w:rPr>
        <w:t>hydroxyurea when compared to not receiving hydroxyurea.</w:t>
      </w:r>
    </w:p>
    <w:p w14:paraId="289D5E66" w14:textId="77777777" w:rsidR="00E05D3F" w:rsidRPr="00F03FC9" w:rsidRDefault="00E05D3F" w:rsidP="00E05D3F">
      <w:pPr>
        <w:autoSpaceDE w:val="0"/>
        <w:autoSpaceDN w:val="0"/>
        <w:adjustRightInd w:val="0"/>
        <w:spacing w:after="0" w:line="240" w:lineRule="auto"/>
        <w:rPr>
          <w:rFonts w:ascii="Arial" w:hAnsi="Arial" w:cs="Arial"/>
          <w:b/>
          <w:sz w:val="24"/>
          <w:szCs w:val="24"/>
        </w:rPr>
      </w:pPr>
      <w:r w:rsidRPr="00F03FC9">
        <w:rPr>
          <w:rFonts w:ascii="Arial" w:hAnsi="Arial" w:cs="Arial"/>
          <w:b/>
          <w:sz w:val="24"/>
          <w:szCs w:val="24"/>
        </w:rPr>
        <w:lastRenderedPageBreak/>
        <w:t>Secondary hypothesis</w:t>
      </w:r>
    </w:p>
    <w:p w14:paraId="383B3F3B"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Moderate fixed-dose hydroxyurea therapy is superior to low fixed-dose hydroxyurea</w:t>
      </w:r>
    </w:p>
    <w:p w14:paraId="53F57B8C" w14:textId="77777777" w:rsidR="00E05D3F"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therapy for decreasing the incidence of all cause-hospitalization (due to pain, acute chest</w:t>
      </w:r>
      <w:r w:rsidR="00F03FC9">
        <w:rPr>
          <w:rFonts w:ascii="Arial" w:hAnsi="Arial" w:cs="Arial"/>
          <w:sz w:val="24"/>
          <w:szCs w:val="24"/>
        </w:rPr>
        <w:t xml:space="preserve"> </w:t>
      </w:r>
      <w:r w:rsidRPr="00A413E4">
        <w:rPr>
          <w:rFonts w:ascii="Arial" w:hAnsi="Arial" w:cs="Arial"/>
          <w:sz w:val="24"/>
          <w:szCs w:val="24"/>
        </w:rPr>
        <w:t>syndrome, infection, or other). Using modified intention-to-treat analysis, we will compare</w:t>
      </w:r>
      <w:r w:rsidR="00F03FC9">
        <w:rPr>
          <w:rFonts w:ascii="Arial" w:hAnsi="Arial" w:cs="Arial"/>
          <w:sz w:val="24"/>
          <w:szCs w:val="24"/>
        </w:rPr>
        <w:t xml:space="preserve"> </w:t>
      </w:r>
      <w:r w:rsidRPr="00A413E4">
        <w:rPr>
          <w:rFonts w:ascii="Arial" w:hAnsi="Arial" w:cs="Arial"/>
          <w:sz w:val="24"/>
          <w:szCs w:val="24"/>
        </w:rPr>
        <w:t>the incidence rates of hospitalization for children receiving moderate fixed-dose</w:t>
      </w:r>
      <w:r w:rsidR="00F03FC9">
        <w:rPr>
          <w:rFonts w:ascii="Arial" w:hAnsi="Arial" w:cs="Arial"/>
          <w:sz w:val="24"/>
          <w:szCs w:val="24"/>
        </w:rPr>
        <w:t xml:space="preserve"> </w:t>
      </w:r>
      <w:r w:rsidRPr="00A413E4">
        <w:rPr>
          <w:rFonts w:ascii="Arial" w:hAnsi="Arial" w:cs="Arial"/>
          <w:sz w:val="24"/>
          <w:szCs w:val="24"/>
        </w:rPr>
        <w:t>and low fixed-dose hydroxyurea therapy.</w:t>
      </w:r>
    </w:p>
    <w:p w14:paraId="0B917DC8" w14:textId="77777777" w:rsidR="00F03FC9" w:rsidRPr="00A413E4" w:rsidRDefault="00F03FC9" w:rsidP="00E05D3F">
      <w:pPr>
        <w:autoSpaceDE w:val="0"/>
        <w:autoSpaceDN w:val="0"/>
        <w:adjustRightInd w:val="0"/>
        <w:spacing w:after="0" w:line="240" w:lineRule="auto"/>
        <w:rPr>
          <w:rFonts w:ascii="Arial" w:hAnsi="Arial" w:cs="Arial"/>
          <w:sz w:val="24"/>
          <w:szCs w:val="24"/>
        </w:rPr>
      </w:pPr>
    </w:p>
    <w:p w14:paraId="679325EA" w14:textId="77777777" w:rsidR="00E05D3F" w:rsidRPr="00F03FC9" w:rsidRDefault="00E05D3F" w:rsidP="00E05D3F">
      <w:pPr>
        <w:autoSpaceDE w:val="0"/>
        <w:autoSpaceDN w:val="0"/>
        <w:adjustRightInd w:val="0"/>
        <w:spacing w:after="0" w:line="240" w:lineRule="auto"/>
        <w:rPr>
          <w:rFonts w:ascii="Arial" w:hAnsi="Arial" w:cs="Arial"/>
          <w:b/>
          <w:sz w:val="24"/>
          <w:szCs w:val="24"/>
        </w:rPr>
      </w:pPr>
      <w:r w:rsidRPr="00F03FC9">
        <w:rPr>
          <w:rFonts w:ascii="Arial" w:hAnsi="Arial" w:cs="Arial"/>
          <w:b/>
          <w:sz w:val="24"/>
          <w:szCs w:val="24"/>
        </w:rPr>
        <w:t>Trial organization</w:t>
      </w:r>
    </w:p>
    <w:p w14:paraId="13226E0F"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Approval was obtained from the Ethics Committees of Aminu Kano Teaching Hospital</w:t>
      </w:r>
      <w:r w:rsidR="00F03FC9">
        <w:rPr>
          <w:rFonts w:ascii="Arial" w:hAnsi="Arial" w:cs="Arial"/>
          <w:sz w:val="24"/>
          <w:szCs w:val="24"/>
        </w:rPr>
        <w:t xml:space="preserve"> </w:t>
      </w:r>
      <w:r w:rsidRPr="00A413E4">
        <w:rPr>
          <w:rFonts w:ascii="Arial" w:hAnsi="Arial" w:cs="Arial"/>
          <w:sz w:val="24"/>
          <w:szCs w:val="24"/>
        </w:rPr>
        <w:t>(AKTH), Kano, Nigeria Kano State Ministry of Health, Barau Dikko Teaching Hospital</w:t>
      </w:r>
      <w:r w:rsidR="00F03FC9">
        <w:rPr>
          <w:rFonts w:ascii="Arial" w:hAnsi="Arial" w:cs="Arial"/>
          <w:sz w:val="24"/>
          <w:szCs w:val="24"/>
        </w:rPr>
        <w:t xml:space="preserve"> </w:t>
      </w:r>
      <w:r w:rsidRPr="00A413E4">
        <w:rPr>
          <w:rFonts w:ascii="Arial" w:hAnsi="Arial" w:cs="Arial"/>
          <w:sz w:val="24"/>
          <w:szCs w:val="24"/>
        </w:rPr>
        <w:t>(BDTH), Kaduna, Nigeria; and the Vanderbilt University Institutional Review Board,</w:t>
      </w:r>
      <w:r w:rsidR="00F03FC9">
        <w:rPr>
          <w:rFonts w:ascii="Arial" w:hAnsi="Arial" w:cs="Arial"/>
          <w:sz w:val="24"/>
          <w:szCs w:val="24"/>
        </w:rPr>
        <w:t xml:space="preserve"> </w:t>
      </w:r>
      <w:r w:rsidRPr="00A413E4">
        <w:rPr>
          <w:rFonts w:ascii="Arial" w:hAnsi="Arial" w:cs="Arial"/>
          <w:sz w:val="24"/>
          <w:szCs w:val="24"/>
        </w:rPr>
        <w:t>Nashville, USA. The trial was also approved by the Nigeria National Agency for Food</w:t>
      </w:r>
      <w:r w:rsidR="00F03FC9">
        <w:rPr>
          <w:rFonts w:ascii="Arial" w:hAnsi="Arial" w:cs="Arial"/>
          <w:sz w:val="24"/>
          <w:szCs w:val="24"/>
        </w:rPr>
        <w:t xml:space="preserve"> </w:t>
      </w:r>
      <w:r w:rsidRPr="00A413E4">
        <w:rPr>
          <w:rFonts w:ascii="Arial" w:hAnsi="Arial" w:cs="Arial"/>
          <w:sz w:val="24"/>
          <w:szCs w:val="24"/>
        </w:rPr>
        <w:t>and Drug Administration and Control. All authors vouch for the fidelity of the trial</w:t>
      </w:r>
      <w:r w:rsidR="00F03FC9">
        <w:rPr>
          <w:rFonts w:ascii="Arial" w:hAnsi="Arial" w:cs="Arial"/>
          <w:sz w:val="24"/>
          <w:szCs w:val="24"/>
        </w:rPr>
        <w:t xml:space="preserve"> </w:t>
      </w:r>
      <w:r w:rsidRPr="00A413E4">
        <w:rPr>
          <w:rFonts w:ascii="Arial" w:hAnsi="Arial" w:cs="Arial"/>
          <w:sz w:val="24"/>
          <w:szCs w:val="24"/>
        </w:rPr>
        <w:t>protocol. A Data and Safety Monitoring Board (DSMB) appointed by the National</w:t>
      </w:r>
    </w:p>
    <w:p w14:paraId="2AE4E614"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Institute of Neurological Disorders and Stroke will review serious adverse events, trial</w:t>
      </w:r>
      <w:r w:rsidR="00F03FC9">
        <w:rPr>
          <w:rFonts w:ascii="Arial" w:hAnsi="Arial" w:cs="Arial"/>
          <w:sz w:val="24"/>
          <w:szCs w:val="24"/>
        </w:rPr>
        <w:t xml:space="preserve"> </w:t>
      </w:r>
      <w:r w:rsidRPr="00A413E4">
        <w:rPr>
          <w:rFonts w:ascii="Arial" w:hAnsi="Arial" w:cs="Arial"/>
          <w:sz w:val="24"/>
          <w:szCs w:val="24"/>
        </w:rPr>
        <w:t>progress, and safety. The trial is being conducted at three hospitals (two academic centers</w:t>
      </w:r>
      <w:r w:rsidR="00F03FC9">
        <w:rPr>
          <w:rFonts w:ascii="Arial" w:hAnsi="Arial" w:cs="Arial"/>
          <w:sz w:val="24"/>
          <w:szCs w:val="24"/>
        </w:rPr>
        <w:t xml:space="preserve"> </w:t>
      </w:r>
      <w:r w:rsidRPr="00A413E4">
        <w:rPr>
          <w:rFonts w:ascii="Arial" w:hAnsi="Arial" w:cs="Arial"/>
          <w:sz w:val="24"/>
          <w:szCs w:val="24"/>
        </w:rPr>
        <w:t>and one large community hospital) in northern Nigeria:</w:t>
      </w:r>
    </w:p>
    <w:p w14:paraId="2A5B62AF"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1. Aminu Kano Teaching Hospital (AKTH) is a 500-bed tertiary level facility affiliated</w:t>
      </w:r>
    </w:p>
    <w:p w14:paraId="0EE5B01D"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with Bayero University and located in Kano, the second largest metropolis in Nigeria</w:t>
      </w:r>
    </w:p>
    <w:p w14:paraId="1CA20887"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(2016 population: 3.9 million).5 AKTH the sickle clinic serves approximately 2,010</w:t>
      </w:r>
    </w:p>
    <w:p w14:paraId="0F2DDB2B"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children with sickle cell disease, with an average of 70 chilidren evaluated once a week.</w:t>
      </w:r>
    </w:p>
    <w:p w14:paraId="6D3DB5F8"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2. Murtala Muhammed Specialist Hospital (MMSH) is a community hospital affiliated</w:t>
      </w:r>
    </w:p>
    <w:p w14:paraId="737AD185"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with AKTH, also located in Kano. MMSH has the largest population of</w:t>
      </w:r>
      <w:r w:rsidR="00F03FC9">
        <w:rPr>
          <w:rFonts w:ascii="Arial" w:hAnsi="Arial" w:cs="Arial"/>
          <w:sz w:val="24"/>
          <w:szCs w:val="24"/>
        </w:rPr>
        <w:t xml:space="preserve"> </w:t>
      </w:r>
      <w:r w:rsidRPr="00A413E4">
        <w:rPr>
          <w:rFonts w:ascii="Arial" w:hAnsi="Arial" w:cs="Arial"/>
          <w:sz w:val="24"/>
          <w:szCs w:val="24"/>
        </w:rPr>
        <w:t>patients with sickle cell disease in Nigeria,6 with approximately 17,800 children</w:t>
      </w:r>
      <w:r w:rsidR="00F03FC9">
        <w:rPr>
          <w:rFonts w:ascii="Arial" w:hAnsi="Arial" w:cs="Arial"/>
          <w:sz w:val="24"/>
          <w:szCs w:val="24"/>
        </w:rPr>
        <w:t xml:space="preserve"> </w:t>
      </w:r>
      <w:r w:rsidRPr="00A413E4">
        <w:rPr>
          <w:rFonts w:ascii="Arial" w:hAnsi="Arial" w:cs="Arial"/>
          <w:sz w:val="24"/>
          <w:szCs w:val="24"/>
        </w:rPr>
        <w:t>with sickle cell disease registered at the pediatric unit and an average of 100 children</w:t>
      </w:r>
      <w:r w:rsidR="00F03FC9">
        <w:rPr>
          <w:rFonts w:ascii="Arial" w:hAnsi="Arial" w:cs="Arial"/>
          <w:sz w:val="24"/>
          <w:szCs w:val="24"/>
        </w:rPr>
        <w:t xml:space="preserve"> </w:t>
      </w:r>
      <w:r w:rsidRPr="00A413E4">
        <w:rPr>
          <w:rFonts w:ascii="Arial" w:hAnsi="Arial" w:cs="Arial"/>
          <w:sz w:val="24"/>
          <w:szCs w:val="24"/>
        </w:rPr>
        <w:t>with sickle cell disease seen four days a week in the clinic.</w:t>
      </w:r>
    </w:p>
    <w:p w14:paraId="49C4C0D8"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3. Barau Dikko Teaching Hospital (BDTH) is the teaching facility for Kaduna State</w:t>
      </w:r>
    </w:p>
    <w:p w14:paraId="1C26FD1B" w14:textId="77777777" w:rsidR="00E05D3F"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University located 120 miles south in Kaduna, Nigeria (population: _1 million).</w:t>
      </w:r>
      <w:r w:rsidR="00F03FC9">
        <w:rPr>
          <w:rFonts w:ascii="Arial" w:hAnsi="Arial" w:cs="Arial"/>
          <w:sz w:val="24"/>
          <w:szCs w:val="24"/>
        </w:rPr>
        <w:t xml:space="preserve"> </w:t>
      </w:r>
      <w:r w:rsidRPr="00A413E4">
        <w:rPr>
          <w:rFonts w:ascii="Arial" w:hAnsi="Arial" w:cs="Arial"/>
          <w:sz w:val="24"/>
          <w:szCs w:val="24"/>
        </w:rPr>
        <w:t>The SCD Clinic serves approximately 1,600 registered patients with sickle cell</w:t>
      </w:r>
      <w:r w:rsidR="00F03FC9">
        <w:rPr>
          <w:rFonts w:ascii="Arial" w:hAnsi="Arial" w:cs="Arial"/>
          <w:sz w:val="24"/>
          <w:szCs w:val="24"/>
        </w:rPr>
        <w:t xml:space="preserve"> </w:t>
      </w:r>
      <w:r w:rsidRPr="00A413E4">
        <w:rPr>
          <w:rFonts w:ascii="Arial" w:hAnsi="Arial" w:cs="Arial"/>
          <w:sz w:val="24"/>
          <w:szCs w:val="24"/>
        </w:rPr>
        <w:t>disease, average of 40 children and 20 adults evaluated once a week.</w:t>
      </w:r>
    </w:p>
    <w:p w14:paraId="1EC8B819" w14:textId="77777777" w:rsidR="00F03FC9" w:rsidRPr="00A413E4" w:rsidRDefault="00F03FC9" w:rsidP="00E05D3F">
      <w:pPr>
        <w:autoSpaceDE w:val="0"/>
        <w:autoSpaceDN w:val="0"/>
        <w:adjustRightInd w:val="0"/>
        <w:spacing w:after="0" w:line="240" w:lineRule="auto"/>
        <w:rPr>
          <w:rFonts w:ascii="Arial" w:hAnsi="Arial" w:cs="Arial"/>
          <w:sz w:val="24"/>
          <w:szCs w:val="24"/>
        </w:rPr>
      </w:pPr>
    </w:p>
    <w:p w14:paraId="154B4EE8" w14:textId="77777777" w:rsidR="00E05D3F" w:rsidRPr="00F03FC9" w:rsidRDefault="00E05D3F" w:rsidP="00E05D3F">
      <w:pPr>
        <w:autoSpaceDE w:val="0"/>
        <w:autoSpaceDN w:val="0"/>
        <w:adjustRightInd w:val="0"/>
        <w:spacing w:after="0" w:line="240" w:lineRule="auto"/>
        <w:rPr>
          <w:rFonts w:ascii="Arial" w:hAnsi="Arial" w:cs="Arial"/>
          <w:b/>
          <w:sz w:val="24"/>
          <w:szCs w:val="24"/>
        </w:rPr>
      </w:pPr>
      <w:r w:rsidRPr="00F03FC9">
        <w:rPr>
          <w:rFonts w:ascii="Arial" w:hAnsi="Arial" w:cs="Arial"/>
          <w:b/>
          <w:sz w:val="24"/>
          <w:szCs w:val="24"/>
        </w:rPr>
        <w:t>Trial design and conduct of the trial</w:t>
      </w:r>
    </w:p>
    <w:p w14:paraId="051EDA20" w14:textId="77777777" w:rsidR="00E05D3F" w:rsidRPr="00F03FC9" w:rsidRDefault="00E05D3F" w:rsidP="00E05D3F">
      <w:pPr>
        <w:autoSpaceDE w:val="0"/>
        <w:autoSpaceDN w:val="0"/>
        <w:adjustRightInd w:val="0"/>
        <w:spacing w:after="0" w:line="240" w:lineRule="auto"/>
        <w:rPr>
          <w:rFonts w:ascii="Arial" w:hAnsi="Arial" w:cs="Arial"/>
          <w:b/>
          <w:sz w:val="24"/>
          <w:szCs w:val="24"/>
        </w:rPr>
      </w:pPr>
      <w:r w:rsidRPr="00F03FC9">
        <w:rPr>
          <w:rFonts w:ascii="Arial" w:hAnsi="Arial" w:cs="Arial"/>
          <w:b/>
          <w:sz w:val="24"/>
          <w:szCs w:val="24"/>
        </w:rPr>
        <w:t>Overall trial design</w:t>
      </w:r>
    </w:p>
    <w:p w14:paraId="0BA2A7D0" w14:textId="77777777" w:rsidR="00E05D3F"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SPRING is a multicenter, double-blind (pharmacist and statistician unmasked), but particpant,</w:t>
      </w:r>
      <w:r w:rsidR="00F03FC9">
        <w:rPr>
          <w:rFonts w:ascii="Arial" w:hAnsi="Arial" w:cs="Arial"/>
          <w:sz w:val="24"/>
          <w:szCs w:val="24"/>
        </w:rPr>
        <w:t xml:space="preserve"> </w:t>
      </w:r>
      <w:r w:rsidRPr="00A413E4">
        <w:rPr>
          <w:rFonts w:ascii="Arial" w:hAnsi="Arial" w:cs="Arial"/>
          <w:sz w:val="24"/>
          <w:szCs w:val="24"/>
        </w:rPr>
        <w:t>family members, and all health care providers were blinded, randomized controlled</w:t>
      </w:r>
      <w:r w:rsidR="00F03FC9">
        <w:rPr>
          <w:rFonts w:ascii="Arial" w:hAnsi="Arial" w:cs="Arial"/>
          <w:sz w:val="24"/>
          <w:szCs w:val="24"/>
        </w:rPr>
        <w:t xml:space="preserve"> </w:t>
      </w:r>
      <w:r w:rsidRPr="00A413E4">
        <w:rPr>
          <w:rFonts w:ascii="Arial" w:hAnsi="Arial" w:cs="Arial"/>
          <w:sz w:val="24"/>
          <w:szCs w:val="24"/>
        </w:rPr>
        <w:t>trial, in which we will assign children with SCA ages 5 to 12 years and abnormal</w:t>
      </w:r>
      <w:r w:rsidR="00F03FC9">
        <w:rPr>
          <w:rFonts w:ascii="Arial" w:hAnsi="Arial" w:cs="Arial"/>
          <w:sz w:val="24"/>
          <w:szCs w:val="24"/>
        </w:rPr>
        <w:t xml:space="preserve"> </w:t>
      </w:r>
      <w:r w:rsidRPr="00A413E4">
        <w:rPr>
          <w:rFonts w:ascii="Arial" w:hAnsi="Arial" w:cs="Arial"/>
          <w:sz w:val="24"/>
          <w:szCs w:val="24"/>
        </w:rPr>
        <w:t>TCD velocities to receive hydroxyurea into one of two treatment groups: fixed</w:t>
      </w:r>
      <w:r w:rsidR="00F03FC9">
        <w:rPr>
          <w:rFonts w:ascii="Arial" w:hAnsi="Arial" w:cs="Arial"/>
          <w:sz w:val="24"/>
          <w:szCs w:val="24"/>
        </w:rPr>
        <w:t xml:space="preserve"> </w:t>
      </w:r>
      <w:r w:rsidRPr="00A413E4">
        <w:rPr>
          <w:rFonts w:ascii="Arial" w:hAnsi="Arial" w:cs="Arial"/>
          <w:sz w:val="24"/>
          <w:szCs w:val="24"/>
        </w:rPr>
        <w:t>moderate-dose of 20 mg/kg/day or fixed low-dose of 10 mg/kg/day. Participants who are</w:t>
      </w:r>
      <w:r w:rsidR="00F03FC9">
        <w:rPr>
          <w:rFonts w:ascii="Arial" w:hAnsi="Arial" w:cs="Arial"/>
          <w:sz w:val="24"/>
          <w:szCs w:val="24"/>
        </w:rPr>
        <w:t xml:space="preserve"> </w:t>
      </w:r>
      <w:r w:rsidRPr="00A413E4">
        <w:rPr>
          <w:rFonts w:ascii="Arial" w:hAnsi="Arial" w:cs="Arial"/>
          <w:sz w:val="24"/>
          <w:szCs w:val="24"/>
        </w:rPr>
        <w:t>randomly assigned to receive either dose are evaluated monthly for hydroxyurea therapy</w:t>
      </w:r>
      <w:r w:rsidR="00F03FC9">
        <w:rPr>
          <w:rFonts w:ascii="Arial" w:hAnsi="Arial" w:cs="Arial"/>
          <w:sz w:val="24"/>
          <w:szCs w:val="24"/>
        </w:rPr>
        <w:t xml:space="preserve"> </w:t>
      </w:r>
      <w:r w:rsidRPr="00A413E4">
        <w:rPr>
          <w:rFonts w:ascii="Arial" w:hAnsi="Arial" w:cs="Arial"/>
          <w:sz w:val="24"/>
          <w:szCs w:val="24"/>
        </w:rPr>
        <w:t>adherence with monthly laboratory monitoring for SCA and hydroxyurea-associated</w:t>
      </w:r>
      <w:r w:rsidR="00F03FC9">
        <w:rPr>
          <w:rFonts w:ascii="Arial" w:hAnsi="Arial" w:cs="Arial"/>
          <w:sz w:val="24"/>
          <w:szCs w:val="24"/>
        </w:rPr>
        <w:t xml:space="preserve"> </w:t>
      </w:r>
      <w:r w:rsidRPr="00A413E4">
        <w:rPr>
          <w:rFonts w:ascii="Arial" w:hAnsi="Arial" w:cs="Arial"/>
          <w:sz w:val="24"/>
          <w:szCs w:val="24"/>
        </w:rPr>
        <w:t>adverse events. Assigned local trial monitors will review the laboratory values weekly.</w:t>
      </w:r>
    </w:p>
    <w:p w14:paraId="7A0C9426" w14:textId="77777777" w:rsidR="00F03FC9" w:rsidRPr="00A413E4" w:rsidRDefault="00F03FC9" w:rsidP="00E05D3F">
      <w:pPr>
        <w:autoSpaceDE w:val="0"/>
        <w:autoSpaceDN w:val="0"/>
        <w:adjustRightInd w:val="0"/>
        <w:spacing w:after="0" w:line="240" w:lineRule="auto"/>
        <w:rPr>
          <w:rFonts w:ascii="Arial" w:hAnsi="Arial" w:cs="Arial"/>
          <w:sz w:val="24"/>
          <w:szCs w:val="24"/>
        </w:rPr>
      </w:pPr>
    </w:p>
    <w:p w14:paraId="4F9C81D8" w14:textId="77777777" w:rsidR="00E05D3F" w:rsidRPr="00F03FC9" w:rsidRDefault="00E05D3F" w:rsidP="00E05D3F">
      <w:pPr>
        <w:autoSpaceDE w:val="0"/>
        <w:autoSpaceDN w:val="0"/>
        <w:adjustRightInd w:val="0"/>
        <w:spacing w:after="0" w:line="240" w:lineRule="auto"/>
        <w:rPr>
          <w:rFonts w:ascii="Arial" w:hAnsi="Arial" w:cs="Arial"/>
          <w:b/>
          <w:sz w:val="24"/>
          <w:szCs w:val="24"/>
        </w:rPr>
      </w:pPr>
      <w:r w:rsidRPr="00F03FC9">
        <w:rPr>
          <w:rFonts w:ascii="Arial" w:hAnsi="Arial" w:cs="Arial"/>
          <w:b/>
          <w:sz w:val="24"/>
          <w:szCs w:val="24"/>
        </w:rPr>
        <w:t>Primary and secondary endpoints</w:t>
      </w:r>
    </w:p>
    <w:p w14:paraId="422E280A"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The primary endpoint is the occurrence of an initial clinical stroke or transient ischemic</w:t>
      </w:r>
      <w:r w:rsidR="00F03FC9">
        <w:rPr>
          <w:rFonts w:ascii="Arial" w:hAnsi="Arial" w:cs="Arial"/>
          <w:sz w:val="24"/>
          <w:szCs w:val="24"/>
        </w:rPr>
        <w:t xml:space="preserve"> </w:t>
      </w:r>
      <w:r w:rsidRPr="00A413E4">
        <w:rPr>
          <w:rFonts w:ascii="Arial" w:hAnsi="Arial" w:cs="Arial"/>
          <w:sz w:val="24"/>
          <w:szCs w:val="24"/>
        </w:rPr>
        <w:t>attack (TIA), defined by the World Health Organization (WHO) as a clinical syndrome</w:t>
      </w:r>
      <w:r w:rsidR="00F03FC9">
        <w:rPr>
          <w:rFonts w:ascii="Arial" w:hAnsi="Arial" w:cs="Arial"/>
          <w:sz w:val="24"/>
          <w:szCs w:val="24"/>
        </w:rPr>
        <w:t xml:space="preserve"> </w:t>
      </w:r>
      <w:r w:rsidRPr="00A413E4">
        <w:rPr>
          <w:rFonts w:ascii="Arial" w:hAnsi="Arial" w:cs="Arial"/>
          <w:sz w:val="24"/>
          <w:szCs w:val="24"/>
        </w:rPr>
        <w:t>consisting of rapidly developing clinical signs of focal or global disturbance of cerebral</w:t>
      </w:r>
      <w:r w:rsidR="00F03FC9">
        <w:rPr>
          <w:rFonts w:ascii="Arial" w:hAnsi="Arial" w:cs="Arial"/>
          <w:sz w:val="24"/>
          <w:szCs w:val="24"/>
        </w:rPr>
        <w:t xml:space="preserve"> </w:t>
      </w:r>
      <w:r w:rsidRPr="00A413E4">
        <w:rPr>
          <w:rFonts w:ascii="Arial" w:hAnsi="Arial" w:cs="Arial"/>
          <w:sz w:val="24"/>
          <w:szCs w:val="24"/>
        </w:rPr>
        <w:t>function, with symptoms lasting &gt;24 hours for stroke and or &lt;24 hours for a TIA; or</w:t>
      </w:r>
      <w:r w:rsidR="00F03FC9">
        <w:rPr>
          <w:rFonts w:ascii="Arial" w:hAnsi="Arial" w:cs="Arial"/>
          <w:sz w:val="24"/>
          <w:szCs w:val="24"/>
        </w:rPr>
        <w:t xml:space="preserve"> </w:t>
      </w:r>
      <w:r w:rsidRPr="00A413E4">
        <w:rPr>
          <w:rFonts w:ascii="Arial" w:hAnsi="Arial" w:cs="Arial"/>
          <w:sz w:val="24"/>
          <w:szCs w:val="24"/>
        </w:rPr>
        <w:t xml:space="preserve">leading to death with no apparent cause other than that of vascular origin.7 </w:t>
      </w:r>
      <w:r w:rsidRPr="00A413E4">
        <w:rPr>
          <w:rFonts w:ascii="Arial" w:hAnsi="Arial" w:cs="Arial"/>
          <w:sz w:val="24"/>
          <w:szCs w:val="24"/>
        </w:rPr>
        <w:lastRenderedPageBreak/>
        <w:t>Members of</w:t>
      </w:r>
      <w:r w:rsidR="00F03FC9">
        <w:rPr>
          <w:rFonts w:ascii="Arial" w:hAnsi="Arial" w:cs="Arial"/>
          <w:sz w:val="24"/>
          <w:szCs w:val="24"/>
        </w:rPr>
        <w:t xml:space="preserve"> </w:t>
      </w:r>
      <w:r w:rsidRPr="00A413E4">
        <w:rPr>
          <w:rFonts w:ascii="Arial" w:hAnsi="Arial" w:cs="Arial"/>
          <w:sz w:val="24"/>
          <w:szCs w:val="24"/>
        </w:rPr>
        <w:t>the neurology committee, who</w:t>
      </w:r>
      <w:r w:rsidR="00F03FC9">
        <w:rPr>
          <w:rFonts w:ascii="Arial" w:hAnsi="Arial" w:cs="Arial"/>
          <w:sz w:val="24"/>
          <w:szCs w:val="24"/>
        </w:rPr>
        <w:t xml:space="preserve"> are unaware of the trial-group a</w:t>
      </w:r>
      <w:r w:rsidRPr="00A413E4">
        <w:rPr>
          <w:rFonts w:ascii="Arial" w:hAnsi="Arial" w:cs="Arial"/>
          <w:sz w:val="24"/>
          <w:szCs w:val="24"/>
        </w:rPr>
        <w:t>ssignments, will adjudicate</w:t>
      </w:r>
      <w:r w:rsidR="00F03FC9">
        <w:rPr>
          <w:rFonts w:ascii="Arial" w:hAnsi="Arial" w:cs="Arial"/>
          <w:sz w:val="24"/>
          <w:szCs w:val="24"/>
        </w:rPr>
        <w:t xml:space="preserve"> </w:t>
      </w:r>
      <w:r w:rsidRPr="00A413E4">
        <w:rPr>
          <w:rFonts w:ascii="Arial" w:hAnsi="Arial" w:cs="Arial"/>
          <w:sz w:val="24"/>
          <w:szCs w:val="24"/>
        </w:rPr>
        <w:t>neurologic events based on a detailed history and neurological examination findings.</w:t>
      </w:r>
    </w:p>
    <w:p w14:paraId="7FC2E909"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Secondary outcomes include, but were not limited to the incidence of</w:t>
      </w:r>
    </w:p>
    <w:p w14:paraId="73730390"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hospitalizations for any cause and evaluation of long-term safety of moderate fixed-dose</w:t>
      </w:r>
      <w:r w:rsidR="00F03FC9">
        <w:rPr>
          <w:rFonts w:ascii="Arial" w:hAnsi="Arial" w:cs="Arial"/>
          <w:sz w:val="24"/>
          <w:szCs w:val="24"/>
        </w:rPr>
        <w:t xml:space="preserve"> </w:t>
      </w:r>
      <w:r w:rsidRPr="00A413E4">
        <w:rPr>
          <w:rFonts w:ascii="Arial" w:hAnsi="Arial" w:cs="Arial"/>
          <w:sz w:val="24"/>
          <w:szCs w:val="24"/>
        </w:rPr>
        <w:t>versus low fixed-dose hydroxyurea therapy. All clinical events were adjudicated without</w:t>
      </w:r>
      <w:r w:rsidR="00F03FC9">
        <w:rPr>
          <w:rFonts w:ascii="Arial" w:hAnsi="Arial" w:cs="Arial"/>
          <w:sz w:val="24"/>
          <w:szCs w:val="24"/>
        </w:rPr>
        <w:t xml:space="preserve"> knowledge of</w:t>
      </w:r>
      <w:r w:rsidRPr="00A413E4">
        <w:rPr>
          <w:rFonts w:ascii="Arial" w:hAnsi="Arial" w:cs="Arial"/>
          <w:sz w:val="24"/>
          <w:szCs w:val="24"/>
        </w:rPr>
        <w:t xml:space="preserve"> the treatment assigment.</w:t>
      </w:r>
    </w:p>
    <w:p w14:paraId="1E5CB0E9"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Mortality was a primary safety endpoint for the SPRING trial</w:t>
      </w:r>
    </w:p>
    <w:p w14:paraId="64FBAF63"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The site investigator and panel of senior neurologists will review each stroke or acute</w:t>
      </w:r>
    </w:p>
    <w:p w14:paraId="26845384"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neurological event, medical history, physical examination, and laboratory values. The</w:t>
      </w:r>
    </w:p>
    <w:p w14:paraId="3D84ADAB" w14:textId="77777777" w:rsidR="00E05D3F"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neurology adjudication process optimizes the best opportunity to determine the presence</w:t>
      </w:r>
      <w:r w:rsidR="00F03FC9">
        <w:rPr>
          <w:rFonts w:ascii="Arial" w:hAnsi="Arial" w:cs="Arial"/>
          <w:sz w:val="24"/>
          <w:szCs w:val="24"/>
        </w:rPr>
        <w:t xml:space="preserve"> </w:t>
      </w:r>
      <w:r w:rsidRPr="00A413E4">
        <w:rPr>
          <w:rFonts w:ascii="Arial" w:hAnsi="Arial" w:cs="Arial"/>
          <w:sz w:val="24"/>
          <w:szCs w:val="24"/>
        </w:rPr>
        <w:t>of a stroke and whether a stroke was the proximal cause of death, in the absence</w:t>
      </w:r>
      <w:r w:rsidR="00F03FC9">
        <w:rPr>
          <w:rFonts w:ascii="Arial" w:hAnsi="Arial" w:cs="Arial"/>
          <w:sz w:val="24"/>
          <w:szCs w:val="24"/>
        </w:rPr>
        <w:t xml:space="preserve"> </w:t>
      </w:r>
      <w:r w:rsidRPr="00A413E4">
        <w:rPr>
          <w:rFonts w:ascii="Arial" w:hAnsi="Arial" w:cs="Arial"/>
          <w:sz w:val="24"/>
          <w:szCs w:val="24"/>
        </w:rPr>
        <w:t>of an autopsy. In this region of Nigeria, autopsies are not typically performed at the</w:t>
      </w:r>
      <w:r w:rsidR="00F03FC9">
        <w:rPr>
          <w:rFonts w:ascii="Arial" w:hAnsi="Arial" w:cs="Arial"/>
          <w:sz w:val="24"/>
          <w:szCs w:val="24"/>
        </w:rPr>
        <w:t xml:space="preserve"> </w:t>
      </w:r>
      <w:r w:rsidRPr="00A413E4">
        <w:rPr>
          <w:rFonts w:ascii="Arial" w:hAnsi="Arial" w:cs="Arial"/>
          <w:sz w:val="24"/>
          <w:szCs w:val="24"/>
        </w:rPr>
        <w:t>time of death.</w:t>
      </w:r>
    </w:p>
    <w:p w14:paraId="2607543C" w14:textId="77777777" w:rsidR="00F03FC9" w:rsidRPr="00A413E4" w:rsidRDefault="00F03FC9" w:rsidP="00E05D3F">
      <w:pPr>
        <w:autoSpaceDE w:val="0"/>
        <w:autoSpaceDN w:val="0"/>
        <w:adjustRightInd w:val="0"/>
        <w:spacing w:after="0" w:line="240" w:lineRule="auto"/>
        <w:rPr>
          <w:rFonts w:ascii="Arial" w:hAnsi="Arial" w:cs="Arial"/>
          <w:sz w:val="24"/>
          <w:szCs w:val="24"/>
        </w:rPr>
      </w:pPr>
    </w:p>
    <w:p w14:paraId="023756D8" w14:textId="77777777" w:rsidR="00E05D3F" w:rsidRPr="00F03FC9" w:rsidRDefault="00E05D3F" w:rsidP="00E05D3F">
      <w:pPr>
        <w:autoSpaceDE w:val="0"/>
        <w:autoSpaceDN w:val="0"/>
        <w:adjustRightInd w:val="0"/>
        <w:spacing w:after="0" w:line="240" w:lineRule="auto"/>
        <w:rPr>
          <w:rFonts w:ascii="Arial" w:hAnsi="Arial" w:cs="Arial"/>
          <w:b/>
          <w:sz w:val="24"/>
          <w:szCs w:val="24"/>
        </w:rPr>
      </w:pPr>
      <w:r w:rsidRPr="00F03FC9">
        <w:rPr>
          <w:rFonts w:ascii="Arial" w:hAnsi="Arial" w:cs="Arial"/>
          <w:b/>
          <w:sz w:val="24"/>
          <w:szCs w:val="24"/>
        </w:rPr>
        <w:t>Trial eligibility</w:t>
      </w:r>
    </w:p>
    <w:p w14:paraId="200B562A" w14:textId="77777777" w:rsidR="00E05D3F" w:rsidRPr="00F03FC9" w:rsidRDefault="00E05D3F" w:rsidP="00E05D3F">
      <w:pPr>
        <w:autoSpaceDE w:val="0"/>
        <w:autoSpaceDN w:val="0"/>
        <w:adjustRightInd w:val="0"/>
        <w:spacing w:after="0" w:line="240" w:lineRule="auto"/>
        <w:rPr>
          <w:rFonts w:ascii="Arial" w:hAnsi="Arial" w:cs="Arial"/>
          <w:b/>
          <w:sz w:val="24"/>
          <w:szCs w:val="24"/>
        </w:rPr>
      </w:pPr>
      <w:r w:rsidRPr="00F03FC9">
        <w:rPr>
          <w:rFonts w:ascii="Arial" w:hAnsi="Arial" w:cs="Arial"/>
          <w:b/>
          <w:sz w:val="24"/>
          <w:szCs w:val="24"/>
        </w:rPr>
        <w:t>Screening and randomization</w:t>
      </w:r>
    </w:p>
    <w:p w14:paraId="6DF55DDA"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Inclusion and exclusion criteria for screening and random allocation of participants are</w:t>
      </w:r>
      <w:r w:rsidR="00F03FC9">
        <w:rPr>
          <w:rFonts w:ascii="Arial" w:hAnsi="Arial" w:cs="Arial"/>
          <w:sz w:val="24"/>
          <w:szCs w:val="24"/>
        </w:rPr>
        <w:t xml:space="preserve"> </w:t>
      </w:r>
      <w:r w:rsidRPr="00A413E4">
        <w:rPr>
          <w:rFonts w:ascii="Arial" w:hAnsi="Arial" w:cs="Arial"/>
          <w:sz w:val="24"/>
          <w:szCs w:val="24"/>
        </w:rPr>
        <w:t>described in Tables 1 and 2, respectively. Children under 5 years of age were excluded</w:t>
      </w:r>
      <w:r w:rsidR="00F03FC9">
        <w:rPr>
          <w:rFonts w:ascii="Arial" w:hAnsi="Arial" w:cs="Arial"/>
          <w:sz w:val="24"/>
          <w:szCs w:val="24"/>
        </w:rPr>
        <w:t xml:space="preserve"> </w:t>
      </w:r>
      <w:r w:rsidRPr="00A413E4">
        <w:rPr>
          <w:rFonts w:ascii="Arial" w:hAnsi="Arial" w:cs="Arial"/>
          <w:sz w:val="24"/>
          <w:szCs w:val="24"/>
        </w:rPr>
        <w:t>due to the high mortality in this age group in Nigeria.8–11 Inclusion criteria for random</w:t>
      </w:r>
      <w:r w:rsidR="00F03FC9">
        <w:rPr>
          <w:rFonts w:ascii="Arial" w:hAnsi="Arial" w:cs="Arial"/>
          <w:sz w:val="24"/>
          <w:szCs w:val="24"/>
        </w:rPr>
        <w:t xml:space="preserve"> </w:t>
      </w:r>
      <w:r w:rsidRPr="00A413E4">
        <w:rPr>
          <w:rFonts w:ascii="Arial" w:hAnsi="Arial" w:cs="Arial"/>
          <w:sz w:val="24"/>
          <w:szCs w:val="24"/>
        </w:rPr>
        <w:t>allocation of eligible participants to moderate fixed-dose or low fixed-dose of hydroxyurea</w:t>
      </w:r>
      <w:r w:rsidR="00F03FC9">
        <w:rPr>
          <w:rFonts w:ascii="Arial" w:hAnsi="Arial" w:cs="Arial"/>
          <w:sz w:val="24"/>
          <w:szCs w:val="24"/>
        </w:rPr>
        <w:t xml:space="preserve"> </w:t>
      </w:r>
      <w:r w:rsidRPr="00A413E4">
        <w:rPr>
          <w:rFonts w:ascii="Arial" w:hAnsi="Arial" w:cs="Arial"/>
          <w:sz w:val="24"/>
          <w:szCs w:val="24"/>
        </w:rPr>
        <w:t>therapy include: TAMMV of TCD measurements _200 cm/second, measuredtwice by two different TCD certified ultrasonographers, or at least one TCD measurement</w:t>
      </w:r>
      <w:r w:rsidR="00F03FC9">
        <w:rPr>
          <w:rFonts w:ascii="Arial" w:hAnsi="Arial" w:cs="Arial"/>
          <w:sz w:val="24"/>
          <w:szCs w:val="24"/>
        </w:rPr>
        <w:t xml:space="preserve"> </w:t>
      </w:r>
      <w:r w:rsidRPr="00A413E4">
        <w:rPr>
          <w:rFonts w:ascii="Arial" w:hAnsi="Arial" w:cs="Arial"/>
          <w:sz w:val="24"/>
          <w:szCs w:val="24"/>
        </w:rPr>
        <w:t xml:space="preserve">greater </w:t>
      </w:r>
      <w:r w:rsidR="00F03FC9">
        <w:rPr>
          <w:rFonts w:ascii="Arial" w:hAnsi="Arial" w:cs="Arial"/>
          <w:sz w:val="24"/>
          <w:szCs w:val="24"/>
        </w:rPr>
        <w:t xml:space="preserve">than </w:t>
      </w:r>
      <w:r w:rsidRPr="00A413E4">
        <w:rPr>
          <w:rFonts w:ascii="Arial" w:hAnsi="Arial" w:cs="Arial"/>
          <w:sz w:val="24"/>
          <w:szCs w:val="24"/>
        </w:rPr>
        <w:t>220 cm/sec in the middle cerebral artery, internal carotid, or both vessels,</w:t>
      </w:r>
      <w:r w:rsidR="00F03FC9">
        <w:rPr>
          <w:rFonts w:ascii="Arial" w:hAnsi="Arial" w:cs="Arial"/>
          <w:sz w:val="24"/>
          <w:szCs w:val="24"/>
        </w:rPr>
        <w:t xml:space="preserve"> </w:t>
      </w:r>
      <w:r w:rsidRPr="00A413E4">
        <w:rPr>
          <w:rFonts w:ascii="Arial" w:hAnsi="Arial" w:cs="Arial"/>
          <w:sz w:val="24"/>
          <w:szCs w:val="24"/>
        </w:rPr>
        <w:t>with non-imaging TCD technique defined in Table 3;12 able to swallow an empty capsule</w:t>
      </w:r>
      <w:r w:rsidR="00F03FC9">
        <w:rPr>
          <w:rFonts w:ascii="Arial" w:hAnsi="Arial" w:cs="Arial"/>
          <w:sz w:val="24"/>
          <w:szCs w:val="24"/>
        </w:rPr>
        <w:t xml:space="preserve"> </w:t>
      </w:r>
      <w:r w:rsidRPr="00A413E4">
        <w:rPr>
          <w:rFonts w:ascii="Arial" w:hAnsi="Arial" w:cs="Arial"/>
          <w:sz w:val="24"/>
          <w:szCs w:val="24"/>
        </w:rPr>
        <w:t>and willing to be followed monthly for at least 36 months. Liquid formulation</w:t>
      </w:r>
      <w:r w:rsidR="00F03FC9">
        <w:rPr>
          <w:rFonts w:ascii="Arial" w:hAnsi="Arial" w:cs="Arial"/>
          <w:sz w:val="24"/>
          <w:szCs w:val="24"/>
        </w:rPr>
        <w:t xml:space="preserve"> </w:t>
      </w:r>
      <w:r w:rsidRPr="00A413E4">
        <w:rPr>
          <w:rFonts w:ascii="Arial" w:hAnsi="Arial" w:cs="Arial"/>
          <w:sz w:val="24"/>
          <w:szCs w:val="24"/>
        </w:rPr>
        <w:t>hydroxyurea is not feasible due to the absence of approval from the Nigerian National</w:t>
      </w:r>
      <w:r w:rsidR="00F03FC9">
        <w:rPr>
          <w:rFonts w:ascii="Arial" w:hAnsi="Arial" w:cs="Arial"/>
          <w:sz w:val="24"/>
          <w:szCs w:val="24"/>
        </w:rPr>
        <w:t xml:space="preserve"> </w:t>
      </w:r>
      <w:r w:rsidRPr="00A413E4">
        <w:rPr>
          <w:rFonts w:ascii="Arial" w:hAnsi="Arial" w:cs="Arial"/>
          <w:sz w:val="24"/>
          <w:szCs w:val="24"/>
        </w:rPr>
        <w:t>Agency for Food and Drug Administration and Control, the Nigerian equivalent of the</w:t>
      </w:r>
      <w:r w:rsidR="00F03FC9">
        <w:rPr>
          <w:rFonts w:ascii="Arial" w:hAnsi="Arial" w:cs="Arial"/>
          <w:sz w:val="24"/>
          <w:szCs w:val="24"/>
        </w:rPr>
        <w:t xml:space="preserve"> </w:t>
      </w:r>
      <w:r w:rsidRPr="00A413E4">
        <w:rPr>
          <w:rFonts w:ascii="Arial" w:hAnsi="Arial" w:cs="Arial"/>
          <w:sz w:val="24"/>
          <w:szCs w:val="24"/>
        </w:rPr>
        <w:t>United States Food and Drug Administration.</w:t>
      </w:r>
    </w:p>
    <w:p w14:paraId="791E67CE" w14:textId="77777777" w:rsidR="00F03FC9" w:rsidRDefault="00F03FC9" w:rsidP="00E05D3F">
      <w:pPr>
        <w:autoSpaceDE w:val="0"/>
        <w:autoSpaceDN w:val="0"/>
        <w:adjustRightInd w:val="0"/>
        <w:spacing w:after="0" w:line="240" w:lineRule="auto"/>
        <w:rPr>
          <w:rFonts w:ascii="Arial" w:hAnsi="Arial" w:cs="Arial"/>
          <w:b/>
          <w:sz w:val="24"/>
          <w:szCs w:val="24"/>
        </w:rPr>
      </w:pPr>
    </w:p>
    <w:p w14:paraId="1E815488" w14:textId="77777777" w:rsidR="00E05D3F" w:rsidRPr="00F03FC9" w:rsidRDefault="00E05D3F" w:rsidP="00E05D3F">
      <w:pPr>
        <w:autoSpaceDE w:val="0"/>
        <w:autoSpaceDN w:val="0"/>
        <w:adjustRightInd w:val="0"/>
        <w:spacing w:after="0" w:line="240" w:lineRule="auto"/>
        <w:rPr>
          <w:rFonts w:ascii="Arial" w:hAnsi="Arial" w:cs="Arial"/>
          <w:b/>
          <w:sz w:val="24"/>
          <w:szCs w:val="24"/>
        </w:rPr>
      </w:pPr>
      <w:r w:rsidRPr="00F03FC9">
        <w:rPr>
          <w:rFonts w:ascii="Arial" w:hAnsi="Arial" w:cs="Arial"/>
          <w:b/>
          <w:sz w:val="24"/>
          <w:szCs w:val="24"/>
        </w:rPr>
        <w:t>Comparison group</w:t>
      </w:r>
    </w:p>
    <w:p w14:paraId="6294A146"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A cohort of children (n¼220) with SCA and normal TCD (&lt;170 cm/sec) or conditional</w:t>
      </w:r>
    </w:p>
    <w:p w14:paraId="7AFBD949"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TCD (170-199 cm/sec) velocities1 that are not eligible to receive hydroxyurea</w:t>
      </w:r>
    </w:p>
    <w:p w14:paraId="2ACBC413" w14:textId="77777777" w:rsidR="00E05D3F"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therapy for primary stroke prevention based TCD criteria will be enrolled and followed</w:t>
      </w:r>
      <w:r w:rsidR="00F03FC9">
        <w:rPr>
          <w:rFonts w:ascii="Arial" w:hAnsi="Arial" w:cs="Arial"/>
          <w:sz w:val="24"/>
          <w:szCs w:val="24"/>
        </w:rPr>
        <w:t xml:space="preserve"> </w:t>
      </w:r>
      <w:r w:rsidRPr="00A413E4">
        <w:rPr>
          <w:rFonts w:ascii="Arial" w:hAnsi="Arial" w:cs="Arial"/>
          <w:sz w:val="24"/>
          <w:szCs w:val="24"/>
        </w:rPr>
        <w:t>with annual trial visits, including annual TCD assessments for at least 36 months.</w:t>
      </w:r>
    </w:p>
    <w:p w14:paraId="662DDECC" w14:textId="77777777" w:rsidR="00A22332" w:rsidRPr="00A413E4" w:rsidRDefault="00A22332" w:rsidP="00E05D3F">
      <w:pPr>
        <w:autoSpaceDE w:val="0"/>
        <w:autoSpaceDN w:val="0"/>
        <w:adjustRightInd w:val="0"/>
        <w:spacing w:after="0" w:line="240" w:lineRule="auto"/>
        <w:rPr>
          <w:rFonts w:ascii="Arial" w:hAnsi="Arial" w:cs="Arial"/>
          <w:sz w:val="24"/>
          <w:szCs w:val="24"/>
        </w:rPr>
      </w:pPr>
    </w:p>
    <w:p w14:paraId="08C92668" w14:textId="77777777" w:rsidR="00E05D3F" w:rsidRPr="00A22332" w:rsidRDefault="00E05D3F" w:rsidP="00E05D3F">
      <w:pPr>
        <w:autoSpaceDE w:val="0"/>
        <w:autoSpaceDN w:val="0"/>
        <w:adjustRightInd w:val="0"/>
        <w:spacing w:after="0" w:line="240" w:lineRule="auto"/>
        <w:rPr>
          <w:rFonts w:ascii="Arial" w:hAnsi="Arial" w:cs="Arial"/>
          <w:b/>
          <w:sz w:val="24"/>
          <w:szCs w:val="24"/>
        </w:rPr>
      </w:pPr>
      <w:r w:rsidRPr="00A22332">
        <w:rPr>
          <w:rFonts w:ascii="Arial" w:hAnsi="Arial" w:cs="Arial"/>
          <w:b/>
          <w:sz w:val="24"/>
          <w:szCs w:val="24"/>
        </w:rPr>
        <w:t>Rationale for an untreated comparison group to the two hydroxyurea treatment</w:t>
      </w:r>
    </w:p>
    <w:p w14:paraId="27D325A5" w14:textId="77777777" w:rsidR="00E05D3F" w:rsidRPr="00A22332" w:rsidRDefault="00E05D3F" w:rsidP="00E05D3F">
      <w:pPr>
        <w:autoSpaceDE w:val="0"/>
        <w:autoSpaceDN w:val="0"/>
        <w:adjustRightInd w:val="0"/>
        <w:spacing w:after="0" w:line="240" w:lineRule="auto"/>
        <w:rPr>
          <w:rFonts w:ascii="Arial" w:hAnsi="Arial" w:cs="Arial"/>
          <w:b/>
          <w:sz w:val="24"/>
          <w:szCs w:val="24"/>
        </w:rPr>
      </w:pPr>
      <w:r w:rsidRPr="00A22332">
        <w:rPr>
          <w:rFonts w:ascii="Arial" w:hAnsi="Arial" w:cs="Arial"/>
          <w:b/>
          <w:sz w:val="24"/>
          <w:szCs w:val="24"/>
        </w:rPr>
        <w:t>groups</w:t>
      </w:r>
    </w:p>
    <w:p w14:paraId="6A57F7D1"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To assess the safety of hydroxyurea in Nigerian children with SCA, the trial is required to</w:t>
      </w:r>
      <w:r w:rsidR="00A22332">
        <w:rPr>
          <w:rFonts w:ascii="Arial" w:hAnsi="Arial" w:cs="Arial"/>
          <w:sz w:val="24"/>
          <w:szCs w:val="24"/>
        </w:rPr>
        <w:t xml:space="preserve"> </w:t>
      </w:r>
      <w:r w:rsidRPr="00A413E4">
        <w:rPr>
          <w:rFonts w:ascii="Arial" w:hAnsi="Arial" w:cs="Arial"/>
          <w:sz w:val="24"/>
          <w:szCs w:val="24"/>
        </w:rPr>
        <w:t>have a comparison group that was not initially treated with hydroxyurea. The randomized</w:t>
      </w:r>
      <w:r w:rsidR="00A22332">
        <w:rPr>
          <w:rFonts w:ascii="Arial" w:hAnsi="Arial" w:cs="Arial"/>
          <w:sz w:val="24"/>
          <w:szCs w:val="24"/>
        </w:rPr>
        <w:t xml:space="preserve"> </w:t>
      </w:r>
      <w:r w:rsidRPr="00A413E4">
        <w:rPr>
          <w:rFonts w:ascii="Arial" w:hAnsi="Arial" w:cs="Arial"/>
          <w:sz w:val="24"/>
          <w:szCs w:val="24"/>
        </w:rPr>
        <w:t>controlled trial design cannot determine if any increase in mortality rate is related to</w:t>
      </w:r>
      <w:r w:rsidR="00A22332">
        <w:rPr>
          <w:rFonts w:ascii="Arial" w:hAnsi="Arial" w:cs="Arial"/>
          <w:sz w:val="24"/>
          <w:szCs w:val="24"/>
        </w:rPr>
        <w:t xml:space="preserve"> </w:t>
      </w:r>
      <w:r w:rsidRPr="00A413E4">
        <w:rPr>
          <w:rFonts w:ascii="Arial" w:hAnsi="Arial" w:cs="Arial"/>
          <w:sz w:val="24"/>
          <w:szCs w:val="24"/>
        </w:rPr>
        <w:t>hydroxyurea because both treatment arms will receive hydroxyurea. The comparison group</w:t>
      </w:r>
      <w:r w:rsidR="00A22332">
        <w:rPr>
          <w:rFonts w:ascii="Arial" w:hAnsi="Arial" w:cs="Arial"/>
          <w:sz w:val="24"/>
          <w:szCs w:val="24"/>
        </w:rPr>
        <w:t xml:space="preserve"> </w:t>
      </w:r>
      <w:r w:rsidRPr="00A413E4">
        <w:rPr>
          <w:rFonts w:ascii="Arial" w:hAnsi="Arial" w:cs="Arial"/>
          <w:sz w:val="24"/>
          <w:szCs w:val="24"/>
        </w:rPr>
        <w:t>includes children with SCA and TCD values &lt; 200 cm/sec not initially treated with hydroxyurea.</w:t>
      </w:r>
      <w:r w:rsidR="00A22332">
        <w:rPr>
          <w:rFonts w:ascii="Arial" w:hAnsi="Arial" w:cs="Arial"/>
          <w:sz w:val="24"/>
          <w:szCs w:val="24"/>
        </w:rPr>
        <w:t xml:space="preserve"> </w:t>
      </w:r>
      <w:r w:rsidRPr="00A413E4">
        <w:rPr>
          <w:rFonts w:ascii="Arial" w:hAnsi="Arial" w:cs="Arial"/>
          <w:sz w:val="24"/>
          <w:szCs w:val="24"/>
        </w:rPr>
        <w:t>These children have a lower risk of stroke due to non-elevated TCD values but should</w:t>
      </w:r>
      <w:r w:rsidR="00A22332">
        <w:rPr>
          <w:rFonts w:ascii="Arial" w:hAnsi="Arial" w:cs="Arial"/>
          <w:sz w:val="24"/>
          <w:szCs w:val="24"/>
        </w:rPr>
        <w:t xml:space="preserve"> </w:t>
      </w:r>
      <w:r w:rsidRPr="00A413E4">
        <w:rPr>
          <w:rFonts w:ascii="Arial" w:hAnsi="Arial" w:cs="Arial"/>
          <w:sz w:val="24"/>
          <w:szCs w:val="24"/>
        </w:rPr>
        <w:t>not be at higher risk for death or serious life-threatening events unless hydroxyurea treatment</w:t>
      </w:r>
      <w:r w:rsidR="00A22332">
        <w:rPr>
          <w:rFonts w:ascii="Arial" w:hAnsi="Arial" w:cs="Arial"/>
          <w:sz w:val="24"/>
          <w:szCs w:val="24"/>
        </w:rPr>
        <w:t xml:space="preserve"> </w:t>
      </w:r>
      <w:r w:rsidRPr="00A413E4">
        <w:rPr>
          <w:rFonts w:ascii="Arial" w:hAnsi="Arial" w:cs="Arial"/>
          <w:sz w:val="24"/>
          <w:szCs w:val="24"/>
        </w:rPr>
        <w:t>predisposes to these events.</w:t>
      </w:r>
    </w:p>
    <w:p w14:paraId="4BCAF4B3"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Treatment group participants will be seen monthly to assess for potential hydroxyurea</w:t>
      </w:r>
      <w:r w:rsidR="00A22332">
        <w:rPr>
          <w:rFonts w:ascii="Arial" w:hAnsi="Arial" w:cs="Arial"/>
          <w:sz w:val="24"/>
          <w:szCs w:val="24"/>
        </w:rPr>
        <w:t xml:space="preserve"> </w:t>
      </w:r>
      <w:r w:rsidRPr="00A413E4">
        <w:rPr>
          <w:rFonts w:ascii="Arial" w:hAnsi="Arial" w:cs="Arial"/>
          <w:sz w:val="24"/>
          <w:szCs w:val="24"/>
        </w:rPr>
        <w:t>associated myelosuppression with complete blood cell count (CBC) and to assess</w:t>
      </w:r>
      <w:r w:rsidR="00A22332">
        <w:rPr>
          <w:rFonts w:ascii="Arial" w:hAnsi="Arial" w:cs="Arial"/>
          <w:sz w:val="24"/>
          <w:szCs w:val="24"/>
        </w:rPr>
        <w:t xml:space="preserve"> </w:t>
      </w:r>
      <w:r w:rsidRPr="00A413E4">
        <w:rPr>
          <w:rFonts w:ascii="Arial" w:hAnsi="Arial" w:cs="Arial"/>
          <w:sz w:val="24"/>
          <w:szCs w:val="24"/>
        </w:rPr>
        <w:t xml:space="preserve">for stroke status with history and physical examination focused on the </w:t>
      </w:r>
      <w:r w:rsidRPr="00A413E4">
        <w:rPr>
          <w:rFonts w:ascii="Arial" w:hAnsi="Arial" w:cs="Arial"/>
          <w:sz w:val="24"/>
          <w:szCs w:val="24"/>
        </w:rPr>
        <w:lastRenderedPageBreak/>
        <w:t>neurological</w:t>
      </w:r>
      <w:r w:rsidR="00A22332">
        <w:rPr>
          <w:rFonts w:ascii="Arial" w:hAnsi="Arial" w:cs="Arial"/>
          <w:sz w:val="24"/>
          <w:szCs w:val="24"/>
        </w:rPr>
        <w:t xml:space="preserve"> </w:t>
      </w:r>
      <w:r w:rsidRPr="00A413E4">
        <w:rPr>
          <w:rFonts w:ascii="Arial" w:hAnsi="Arial" w:cs="Arial"/>
          <w:sz w:val="24"/>
          <w:szCs w:val="24"/>
        </w:rPr>
        <w:t>findings, interim hospitalizations, and interim medical treatment for acute illness,</w:t>
      </w:r>
      <w:r w:rsidR="00A22332">
        <w:rPr>
          <w:rFonts w:ascii="Arial" w:hAnsi="Arial" w:cs="Arial"/>
          <w:sz w:val="24"/>
          <w:szCs w:val="24"/>
        </w:rPr>
        <w:t xml:space="preserve"> </w:t>
      </w:r>
      <w:r w:rsidRPr="00A413E4">
        <w:rPr>
          <w:rFonts w:ascii="Arial" w:hAnsi="Arial" w:cs="Arial"/>
          <w:sz w:val="24"/>
          <w:szCs w:val="24"/>
        </w:rPr>
        <w:t>including acute vaso-occlusive pain that did not require hospitalization or a visit to a</w:t>
      </w:r>
      <w:r w:rsidR="00A22332">
        <w:rPr>
          <w:rFonts w:ascii="Arial" w:hAnsi="Arial" w:cs="Arial"/>
          <w:sz w:val="24"/>
          <w:szCs w:val="24"/>
        </w:rPr>
        <w:t xml:space="preserve"> </w:t>
      </w:r>
      <w:r w:rsidRPr="00A413E4">
        <w:rPr>
          <w:rFonts w:ascii="Arial" w:hAnsi="Arial" w:cs="Arial"/>
          <w:sz w:val="24"/>
          <w:szCs w:val="24"/>
        </w:rPr>
        <w:t>physician. Each of these events are considered secondary outcomes and will be adjudicated</w:t>
      </w:r>
      <w:r w:rsidR="00A22332">
        <w:rPr>
          <w:rFonts w:ascii="Arial" w:hAnsi="Arial" w:cs="Arial"/>
          <w:sz w:val="24"/>
          <w:szCs w:val="24"/>
        </w:rPr>
        <w:t xml:space="preserve"> </w:t>
      </w:r>
      <w:r w:rsidRPr="00A413E4">
        <w:rPr>
          <w:rFonts w:ascii="Arial" w:hAnsi="Arial" w:cs="Arial"/>
          <w:sz w:val="24"/>
          <w:szCs w:val="24"/>
        </w:rPr>
        <w:t>without knowledge of treatment assignment. Children in the comparison group</w:t>
      </w:r>
      <w:r w:rsidR="00A22332">
        <w:rPr>
          <w:rFonts w:ascii="Arial" w:hAnsi="Arial" w:cs="Arial"/>
          <w:sz w:val="24"/>
          <w:szCs w:val="24"/>
        </w:rPr>
        <w:t xml:space="preserve"> </w:t>
      </w:r>
      <w:r w:rsidRPr="00A413E4">
        <w:rPr>
          <w:rFonts w:ascii="Arial" w:hAnsi="Arial" w:cs="Arial"/>
          <w:sz w:val="24"/>
          <w:szCs w:val="24"/>
        </w:rPr>
        <w:t>will be contacted at every two weeks via phone to report hospitalizations and ascertain</w:t>
      </w:r>
      <w:r w:rsidR="00A22332">
        <w:rPr>
          <w:rFonts w:ascii="Arial" w:hAnsi="Arial" w:cs="Arial"/>
          <w:sz w:val="24"/>
          <w:szCs w:val="24"/>
        </w:rPr>
        <w:t xml:space="preserve"> </w:t>
      </w:r>
      <w:r w:rsidRPr="00A413E4">
        <w:rPr>
          <w:rFonts w:ascii="Arial" w:hAnsi="Arial" w:cs="Arial"/>
          <w:sz w:val="24"/>
          <w:szCs w:val="24"/>
        </w:rPr>
        <w:t>participant status.</w:t>
      </w:r>
    </w:p>
    <w:p w14:paraId="441A66D2"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Comparison group participants will be called every two weeks to assess for SCD</w:t>
      </w:r>
    </w:p>
    <w:p w14:paraId="43E7606E"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related morbidity and vital status (alive or dead). Monthly visits for the comparison</w:t>
      </w:r>
    </w:p>
    <w:p w14:paraId="1E6B2325"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group are not necessary to collect the required safety information needed in the trial</w:t>
      </w:r>
    </w:p>
    <w:p w14:paraId="0F300B5A"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(vital status, interim hospitalizations, and interim treatment for acute illness, including</w:t>
      </w:r>
    </w:p>
    <w:p w14:paraId="4130250E"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vaso-occlusive pain that did not require hospitalization or a visit to a physician).</w:t>
      </w:r>
    </w:p>
    <w:p w14:paraId="6F0A6E1D" w14:textId="77777777" w:rsidR="00A22332"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During the trial, if participants in the comparison group develops abnormal TCD measurements,</w:t>
      </w:r>
      <w:r w:rsidR="00A22332">
        <w:rPr>
          <w:rFonts w:ascii="Arial" w:hAnsi="Arial" w:cs="Arial"/>
          <w:sz w:val="24"/>
          <w:szCs w:val="24"/>
        </w:rPr>
        <w:t xml:space="preserve"> </w:t>
      </w:r>
      <w:r w:rsidRPr="00A413E4">
        <w:rPr>
          <w:rFonts w:ascii="Arial" w:hAnsi="Arial" w:cs="Arial"/>
          <w:sz w:val="24"/>
          <w:szCs w:val="24"/>
        </w:rPr>
        <w:t>they are eligible to be enrolled in the trial and will be randomly assigned to</w:t>
      </w:r>
      <w:r w:rsidR="00A22332">
        <w:rPr>
          <w:rFonts w:ascii="Arial" w:hAnsi="Arial" w:cs="Arial"/>
          <w:sz w:val="24"/>
          <w:szCs w:val="24"/>
        </w:rPr>
        <w:t xml:space="preserve"> </w:t>
      </w:r>
      <w:r w:rsidRPr="00A413E4">
        <w:rPr>
          <w:rFonts w:ascii="Arial" w:hAnsi="Arial" w:cs="Arial"/>
          <w:sz w:val="24"/>
          <w:szCs w:val="24"/>
        </w:rPr>
        <w:t>receive either fixed moderate-dose or fixed low-dose hydroxyurea therapy.</w:t>
      </w:r>
      <w:r w:rsidR="00A22332">
        <w:rPr>
          <w:rFonts w:ascii="Arial" w:hAnsi="Arial" w:cs="Arial"/>
          <w:sz w:val="24"/>
          <w:szCs w:val="24"/>
        </w:rPr>
        <w:t xml:space="preserve"> </w:t>
      </w:r>
    </w:p>
    <w:p w14:paraId="7E2F3B2D" w14:textId="77777777" w:rsidR="00A22332" w:rsidRDefault="00A22332" w:rsidP="00E05D3F">
      <w:pPr>
        <w:autoSpaceDE w:val="0"/>
        <w:autoSpaceDN w:val="0"/>
        <w:adjustRightInd w:val="0"/>
        <w:spacing w:after="0" w:line="240" w:lineRule="auto"/>
        <w:rPr>
          <w:rFonts w:ascii="Arial" w:hAnsi="Arial" w:cs="Arial"/>
          <w:sz w:val="24"/>
          <w:szCs w:val="24"/>
        </w:rPr>
      </w:pPr>
    </w:p>
    <w:p w14:paraId="74FE3C3C" w14:textId="77777777" w:rsidR="00E05D3F" w:rsidRPr="00A22332" w:rsidRDefault="00E05D3F" w:rsidP="00E05D3F">
      <w:pPr>
        <w:autoSpaceDE w:val="0"/>
        <w:autoSpaceDN w:val="0"/>
        <w:adjustRightInd w:val="0"/>
        <w:spacing w:after="0" w:line="240" w:lineRule="auto"/>
        <w:rPr>
          <w:rFonts w:ascii="Arial" w:hAnsi="Arial" w:cs="Arial"/>
          <w:b/>
          <w:sz w:val="24"/>
          <w:szCs w:val="24"/>
        </w:rPr>
      </w:pPr>
      <w:r w:rsidRPr="00A22332">
        <w:rPr>
          <w:rFonts w:ascii="Arial" w:hAnsi="Arial" w:cs="Arial"/>
          <w:b/>
          <w:sz w:val="24"/>
          <w:szCs w:val="24"/>
        </w:rPr>
        <w:t>Transcranial doppler assessment training</w:t>
      </w:r>
    </w:p>
    <w:p w14:paraId="5859B29F" w14:textId="77777777" w:rsidR="00E05D3F"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Two AKTH-based radiologists who participated in the feasibility trial3 recruited, trained,</w:t>
      </w:r>
      <w:r w:rsidR="00A22332">
        <w:rPr>
          <w:rFonts w:ascii="Arial" w:hAnsi="Arial" w:cs="Arial"/>
          <w:sz w:val="24"/>
          <w:szCs w:val="24"/>
        </w:rPr>
        <w:t xml:space="preserve"> </w:t>
      </w:r>
      <w:r w:rsidRPr="00A413E4">
        <w:rPr>
          <w:rFonts w:ascii="Arial" w:hAnsi="Arial" w:cs="Arial"/>
          <w:sz w:val="24"/>
          <w:szCs w:val="24"/>
        </w:rPr>
        <w:t>and certified research physicians to perform TCDs. For TCD certification, Spearman’s</w:t>
      </w:r>
      <w:r w:rsidR="00A22332">
        <w:rPr>
          <w:rFonts w:ascii="Arial" w:hAnsi="Arial" w:cs="Arial"/>
          <w:sz w:val="24"/>
          <w:szCs w:val="24"/>
        </w:rPr>
        <w:t xml:space="preserve"> </w:t>
      </w:r>
      <w:r w:rsidRPr="00A413E4">
        <w:rPr>
          <w:rFonts w:ascii="Arial" w:hAnsi="Arial" w:cs="Arial"/>
          <w:sz w:val="24"/>
          <w:szCs w:val="24"/>
        </w:rPr>
        <w:t>rank correlation (r) will be performed on the two TCD velocity measurements made by</w:t>
      </w:r>
      <w:r w:rsidR="00A22332">
        <w:rPr>
          <w:rFonts w:ascii="Arial" w:hAnsi="Arial" w:cs="Arial"/>
          <w:sz w:val="24"/>
          <w:szCs w:val="24"/>
        </w:rPr>
        <w:t xml:space="preserve"> </w:t>
      </w:r>
      <w:r w:rsidRPr="00A413E4">
        <w:rPr>
          <w:rFonts w:ascii="Arial" w:hAnsi="Arial" w:cs="Arial"/>
          <w:sz w:val="24"/>
          <w:szCs w:val="24"/>
        </w:rPr>
        <w:t>the radiologist trainer on the right and left side. The minimum acceptable correlation</w:t>
      </w:r>
      <w:r w:rsidR="00A22332">
        <w:rPr>
          <w:rFonts w:ascii="Arial" w:hAnsi="Arial" w:cs="Arial"/>
          <w:sz w:val="24"/>
          <w:szCs w:val="24"/>
        </w:rPr>
        <w:t xml:space="preserve"> </w:t>
      </w:r>
      <w:r w:rsidRPr="00A413E4">
        <w:rPr>
          <w:rFonts w:ascii="Arial" w:hAnsi="Arial" w:cs="Arial"/>
          <w:sz w:val="24"/>
          <w:szCs w:val="24"/>
        </w:rPr>
        <w:t>for the trainer’s two measurements on each side was set as 0.90, with an expected lower</w:t>
      </w:r>
      <w:r w:rsidR="00A22332">
        <w:rPr>
          <w:rFonts w:ascii="Arial" w:hAnsi="Arial" w:cs="Arial"/>
          <w:sz w:val="24"/>
          <w:szCs w:val="24"/>
        </w:rPr>
        <w:t xml:space="preserve"> </w:t>
      </w:r>
      <w:r w:rsidRPr="00A413E4">
        <w:rPr>
          <w:rFonts w:ascii="Arial" w:hAnsi="Arial" w:cs="Arial"/>
          <w:sz w:val="24"/>
          <w:szCs w:val="24"/>
        </w:rPr>
        <w:t>bound correlation between the trainer and the research physician trainee of 0.765 (85%</w:t>
      </w:r>
      <w:r w:rsidR="00A22332">
        <w:rPr>
          <w:rFonts w:ascii="Arial" w:hAnsi="Arial" w:cs="Arial"/>
          <w:sz w:val="24"/>
          <w:szCs w:val="24"/>
        </w:rPr>
        <w:t xml:space="preserve"> </w:t>
      </w:r>
      <w:r w:rsidRPr="00A413E4">
        <w:rPr>
          <w:rFonts w:ascii="Arial" w:hAnsi="Arial" w:cs="Arial"/>
          <w:sz w:val="24"/>
          <w:szCs w:val="24"/>
        </w:rPr>
        <w:t>of the ’trainer’s correlation in the same individual performed only hours apart). Each</w:t>
      </w:r>
      <w:r w:rsidR="00A22332">
        <w:rPr>
          <w:rFonts w:ascii="Arial" w:hAnsi="Arial" w:cs="Arial"/>
          <w:sz w:val="24"/>
          <w:szCs w:val="24"/>
        </w:rPr>
        <w:t xml:space="preserve"> </w:t>
      </w:r>
      <w:r w:rsidRPr="00A413E4">
        <w:rPr>
          <w:rFonts w:ascii="Arial" w:hAnsi="Arial" w:cs="Arial"/>
          <w:sz w:val="24"/>
          <w:szCs w:val="24"/>
        </w:rPr>
        <w:t>trainee was expected to have a minimum of 40 paired TCD measurements with a</w:t>
      </w:r>
      <w:r w:rsidR="00A22332">
        <w:rPr>
          <w:rFonts w:ascii="Arial" w:hAnsi="Arial" w:cs="Arial"/>
          <w:sz w:val="24"/>
          <w:szCs w:val="24"/>
        </w:rPr>
        <w:t xml:space="preserve"> </w:t>
      </w:r>
      <w:r w:rsidRPr="00A413E4">
        <w:rPr>
          <w:rFonts w:ascii="Arial" w:hAnsi="Arial" w:cs="Arial"/>
          <w:sz w:val="24"/>
          <w:szCs w:val="24"/>
        </w:rPr>
        <w:t>trainer radiologist. Sample sizes of 42 and 31 paired measurements between the trainer</w:t>
      </w:r>
      <w:r w:rsidR="00A22332">
        <w:rPr>
          <w:rFonts w:ascii="Arial" w:hAnsi="Arial" w:cs="Arial"/>
          <w:sz w:val="24"/>
          <w:szCs w:val="24"/>
        </w:rPr>
        <w:t xml:space="preserve"> </w:t>
      </w:r>
      <w:r w:rsidRPr="00A413E4">
        <w:rPr>
          <w:rFonts w:ascii="Arial" w:hAnsi="Arial" w:cs="Arial"/>
          <w:sz w:val="24"/>
          <w:szCs w:val="24"/>
        </w:rPr>
        <w:t>and each trainee are associated with a power of 90% and 80%, respectively, based on</w:t>
      </w:r>
      <w:r w:rsidR="00A22332">
        <w:rPr>
          <w:rFonts w:ascii="Arial" w:hAnsi="Arial" w:cs="Arial"/>
          <w:sz w:val="24"/>
          <w:szCs w:val="24"/>
        </w:rPr>
        <w:t xml:space="preserve"> </w:t>
      </w:r>
      <w:r w:rsidRPr="00A413E4">
        <w:rPr>
          <w:rFonts w:ascii="Arial" w:hAnsi="Arial" w:cs="Arial"/>
          <w:sz w:val="24"/>
          <w:szCs w:val="24"/>
        </w:rPr>
        <w:t>the expected correlation between the trainer and trainee.Neurological examination training</w:t>
      </w:r>
    </w:p>
    <w:p w14:paraId="04265C1A" w14:textId="77777777" w:rsidR="00A22332" w:rsidRPr="00A413E4" w:rsidRDefault="00A22332" w:rsidP="00E05D3F">
      <w:pPr>
        <w:autoSpaceDE w:val="0"/>
        <w:autoSpaceDN w:val="0"/>
        <w:adjustRightInd w:val="0"/>
        <w:spacing w:after="0" w:line="240" w:lineRule="auto"/>
        <w:rPr>
          <w:rFonts w:ascii="Arial" w:hAnsi="Arial" w:cs="Arial"/>
          <w:sz w:val="24"/>
          <w:szCs w:val="24"/>
        </w:rPr>
      </w:pPr>
    </w:p>
    <w:p w14:paraId="4EA7F8DB"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All research physicians will be certified on the Pediatric National Institutes of Health</w:t>
      </w:r>
    </w:p>
    <w:p w14:paraId="1D02D83B" w14:textId="77777777" w:rsidR="00E05D3F"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Stroke Scale (PedNIHSS),13 a validated, standardized neurological examination. Two</w:t>
      </w:r>
      <w:r w:rsidR="00A22332">
        <w:rPr>
          <w:rFonts w:ascii="Arial" w:hAnsi="Arial" w:cs="Arial"/>
          <w:sz w:val="24"/>
          <w:szCs w:val="24"/>
        </w:rPr>
        <w:t xml:space="preserve"> </w:t>
      </w:r>
      <w:r w:rsidRPr="00A413E4">
        <w:rPr>
          <w:rFonts w:ascii="Arial" w:hAnsi="Arial" w:cs="Arial"/>
          <w:sz w:val="24"/>
          <w:szCs w:val="24"/>
        </w:rPr>
        <w:t>experienced board-certified pediatric neurologists (LJ and FK) will review a minimum</w:t>
      </w:r>
      <w:r w:rsidR="00A22332">
        <w:rPr>
          <w:rFonts w:ascii="Arial" w:hAnsi="Arial" w:cs="Arial"/>
          <w:sz w:val="24"/>
          <w:szCs w:val="24"/>
        </w:rPr>
        <w:t xml:space="preserve"> </w:t>
      </w:r>
      <w:r w:rsidRPr="00A413E4">
        <w:rPr>
          <w:rFonts w:ascii="Arial" w:hAnsi="Arial" w:cs="Arial"/>
          <w:sz w:val="24"/>
          <w:szCs w:val="24"/>
        </w:rPr>
        <w:t>of 10 paired neurological examinations with research physicians in children.</w:t>
      </w:r>
    </w:p>
    <w:p w14:paraId="112E0DC7" w14:textId="77777777" w:rsidR="00A22332" w:rsidRPr="00A413E4" w:rsidRDefault="00A22332" w:rsidP="00E05D3F">
      <w:pPr>
        <w:autoSpaceDE w:val="0"/>
        <w:autoSpaceDN w:val="0"/>
        <w:adjustRightInd w:val="0"/>
        <w:spacing w:after="0" w:line="240" w:lineRule="auto"/>
        <w:rPr>
          <w:rFonts w:ascii="Arial" w:hAnsi="Arial" w:cs="Arial"/>
          <w:sz w:val="24"/>
          <w:szCs w:val="24"/>
        </w:rPr>
      </w:pPr>
    </w:p>
    <w:p w14:paraId="2ED34391" w14:textId="77777777" w:rsidR="00E05D3F" w:rsidRPr="00A22332" w:rsidRDefault="00E05D3F" w:rsidP="00E05D3F">
      <w:pPr>
        <w:autoSpaceDE w:val="0"/>
        <w:autoSpaceDN w:val="0"/>
        <w:adjustRightInd w:val="0"/>
        <w:spacing w:after="0" w:line="240" w:lineRule="auto"/>
        <w:rPr>
          <w:rFonts w:ascii="Arial" w:hAnsi="Arial" w:cs="Arial"/>
          <w:b/>
          <w:sz w:val="24"/>
          <w:szCs w:val="24"/>
        </w:rPr>
      </w:pPr>
      <w:r w:rsidRPr="00A22332">
        <w:rPr>
          <w:rFonts w:ascii="Arial" w:hAnsi="Arial" w:cs="Arial"/>
          <w:b/>
          <w:sz w:val="24"/>
          <w:szCs w:val="24"/>
        </w:rPr>
        <w:t>Participant assessment</w:t>
      </w:r>
    </w:p>
    <w:p w14:paraId="79D3D4F5"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TCD examination (non-imaging technique) performed for routine clinical care may be</w:t>
      </w:r>
    </w:p>
    <w:p w14:paraId="4E9DBF8D"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used as the first TCD required for the trial, if performed within three months before</w:t>
      </w:r>
    </w:p>
    <w:p w14:paraId="14CA6A81"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the informed consent, the TAMMV of TCD measurements meets the qualifying criteria</w:t>
      </w:r>
      <w:r w:rsidR="00A22332">
        <w:rPr>
          <w:rFonts w:ascii="Arial" w:hAnsi="Arial" w:cs="Arial"/>
          <w:sz w:val="24"/>
          <w:szCs w:val="24"/>
        </w:rPr>
        <w:t xml:space="preserve"> </w:t>
      </w:r>
      <w:r w:rsidRPr="00A413E4">
        <w:rPr>
          <w:rFonts w:ascii="Arial" w:hAnsi="Arial" w:cs="Arial"/>
          <w:sz w:val="24"/>
          <w:szCs w:val="24"/>
        </w:rPr>
        <w:t>with a measurement equal to or above 200 cm/sec, but less than 220 cm/sec TCD examiner.</w:t>
      </w:r>
    </w:p>
    <w:p w14:paraId="34648804"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However, the second TCD assessment after the first elevated TCD measurement</w:t>
      </w:r>
    </w:p>
    <w:p w14:paraId="0FC2E14A"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must be completed by a certified TCD examiner. A single TCD measurement greater</w:t>
      </w:r>
    </w:p>
    <w:p w14:paraId="42499392" w14:textId="77777777" w:rsidR="00E05D3F"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than 220 cm/sec was sufficient for eligibility.</w:t>
      </w:r>
    </w:p>
    <w:p w14:paraId="1BAF3104" w14:textId="77777777" w:rsidR="00A22332" w:rsidRPr="00A413E4" w:rsidRDefault="00A22332" w:rsidP="00E05D3F">
      <w:pPr>
        <w:autoSpaceDE w:val="0"/>
        <w:autoSpaceDN w:val="0"/>
        <w:adjustRightInd w:val="0"/>
        <w:spacing w:after="0" w:line="240" w:lineRule="auto"/>
        <w:rPr>
          <w:rFonts w:ascii="Arial" w:hAnsi="Arial" w:cs="Arial"/>
          <w:sz w:val="24"/>
          <w:szCs w:val="24"/>
        </w:rPr>
      </w:pPr>
    </w:p>
    <w:p w14:paraId="2AF82C4A" w14:textId="77777777" w:rsidR="00E05D3F" w:rsidRPr="00A22332" w:rsidRDefault="00E05D3F" w:rsidP="00E05D3F">
      <w:pPr>
        <w:autoSpaceDE w:val="0"/>
        <w:autoSpaceDN w:val="0"/>
        <w:adjustRightInd w:val="0"/>
        <w:spacing w:after="0" w:line="240" w:lineRule="auto"/>
        <w:rPr>
          <w:rFonts w:ascii="Arial" w:hAnsi="Arial" w:cs="Arial"/>
          <w:b/>
          <w:sz w:val="24"/>
          <w:szCs w:val="24"/>
        </w:rPr>
      </w:pPr>
      <w:r w:rsidRPr="00A22332">
        <w:rPr>
          <w:rFonts w:ascii="Arial" w:hAnsi="Arial" w:cs="Arial"/>
          <w:b/>
          <w:sz w:val="24"/>
          <w:szCs w:val="24"/>
        </w:rPr>
        <w:t>Neurological evaluation</w:t>
      </w:r>
    </w:p>
    <w:p w14:paraId="0DC7D174" w14:textId="77777777" w:rsidR="00E05D3F"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The PedNIHSS, is a validated, standardized neurological examination.13 The NIHSS is</w:t>
      </w:r>
      <w:r w:rsidR="00F03FC9">
        <w:rPr>
          <w:rFonts w:ascii="Arial" w:hAnsi="Arial" w:cs="Arial"/>
          <w:sz w:val="24"/>
          <w:szCs w:val="24"/>
        </w:rPr>
        <w:t xml:space="preserve"> </w:t>
      </w:r>
      <w:r w:rsidRPr="00A413E4">
        <w:rPr>
          <w:rFonts w:ascii="Arial" w:hAnsi="Arial" w:cs="Arial"/>
          <w:sz w:val="24"/>
          <w:szCs w:val="24"/>
        </w:rPr>
        <w:t>easily performed by non-neurologists, detects changes in</w:t>
      </w:r>
      <w:r w:rsidR="00F03FC9">
        <w:rPr>
          <w:rFonts w:ascii="Arial" w:hAnsi="Arial" w:cs="Arial"/>
          <w:sz w:val="24"/>
          <w:szCs w:val="24"/>
        </w:rPr>
        <w:t xml:space="preserve"> neurological status well, and </w:t>
      </w:r>
      <w:r w:rsidRPr="00A413E4">
        <w:rPr>
          <w:rFonts w:ascii="Arial" w:hAnsi="Arial" w:cs="Arial"/>
          <w:sz w:val="24"/>
          <w:szCs w:val="24"/>
        </w:rPr>
        <w:t xml:space="preserve">has excellent inter-rater reliability.14–17 The PedNIHSS will be completed on all </w:t>
      </w:r>
      <w:r w:rsidRPr="00A413E4">
        <w:rPr>
          <w:rFonts w:ascii="Arial" w:hAnsi="Arial" w:cs="Arial"/>
          <w:sz w:val="24"/>
          <w:szCs w:val="24"/>
        </w:rPr>
        <w:lastRenderedPageBreak/>
        <w:t>randomly</w:t>
      </w:r>
      <w:r w:rsidR="00A22332">
        <w:rPr>
          <w:rFonts w:ascii="Arial" w:hAnsi="Arial" w:cs="Arial"/>
          <w:sz w:val="24"/>
          <w:szCs w:val="24"/>
        </w:rPr>
        <w:t xml:space="preserve"> </w:t>
      </w:r>
      <w:r w:rsidRPr="00A413E4">
        <w:rPr>
          <w:rFonts w:ascii="Arial" w:hAnsi="Arial" w:cs="Arial"/>
          <w:sz w:val="24"/>
          <w:szCs w:val="24"/>
        </w:rPr>
        <w:t>allocated participants at baseline, annually, and as soon as possible following a</w:t>
      </w:r>
      <w:r w:rsidR="00A22332">
        <w:rPr>
          <w:rFonts w:ascii="Arial" w:hAnsi="Arial" w:cs="Arial"/>
          <w:sz w:val="24"/>
          <w:szCs w:val="24"/>
        </w:rPr>
        <w:t xml:space="preserve"> </w:t>
      </w:r>
      <w:r w:rsidRPr="00A413E4">
        <w:rPr>
          <w:rFonts w:ascii="Arial" w:hAnsi="Arial" w:cs="Arial"/>
          <w:sz w:val="24"/>
          <w:szCs w:val="24"/>
        </w:rPr>
        <w:t>suspected stroke event. The PedNIHSS evaluations after a possible stroke will be</w:t>
      </w:r>
      <w:r w:rsidR="00A22332">
        <w:rPr>
          <w:rFonts w:ascii="Arial" w:hAnsi="Arial" w:cs="Arial"/>
          <w:sz w:val="24"/>
          <w:szCs w:val="24"/>
        </w:rPr>
        <w:t xml:space="preserve"> </w:t>
      </w:r>
      <w:r w:rsidRPr="00A413E4">
        <w:rPr>
          <w:rFonts w:ascii="Arial" w:hAnsi="Arial" w:cs="Arial"/>
          <w:sz w:val="24"/>
          <w:szCs w:val="24"/>
        </w:rPr>
        <w:t>recorded, and videos, along with case report forms will be reviewed by the</w:t>
      </w:r>
      <w:r w:rsidR="00A22332">
        <w:rPr>
          <w:rFonts w:ascii="Arial" w:hAnsi="Arial" w:cs="Arial"/>
          <w:sz w:val="24"/>
          <w:szCs w:val="24"/>
        </w:rPr>
        <w:t xml:space="preserve"> </w:t>
      </w:r>
      <w:r w:rsidRPr="00A413E4">
        <w:rPr>
          <w:rFonts w:ascii="Arial" w:hAnsi="Arial" w:cs="Arial"/>
          <w:sz w:val="24"/>
          <w:szCs w:val="24"/>
        </w:rPr>
        <w:t>Neurology Committee.</w:t>
      </w:r>
    </w:p>
    <w:p w14:paraId="45BAF5F4" w14:textId="77777777" w:rsidR="00A22332" w:rsidRPr="00A413E4" w:rsidRDefault="00A22332" w:rsidP="00E05D3F">
      <w:pPr>
        <w:autoSpaceDE w:val="0"/>
        <w:autoSpaceDN w:val="0"/>
        <w:adjustRightInd w:val="0"/>
        <w:spacing w:after="0" w:line="240" w:lineRule="auto"/>
        <w:rPr>
          <w:rFonts w:ascii="Arial" w:hAnsi="Arial" w:cs="Arial"/>
          <w:sz w:val="24"/>
          <w:szCs w:val="24"/>
        </w:rPr>
      </w:pPr>
    </w:p>
    <w:p w14:paraId="307A6EED" w14:textId="77777777" w:rsidR="00E05D3F" w:rsidRPr="00A22332" w:rsidRDefault="00E05D3F" w:rsidP="00E05D3F">
      <w:pPr>
        <w:autoSpaceDE w:val="0"/>
        <w:autoSpaceDN w:val="0"/>
        <w:adjustRightInd w:val="0"/>
        <w:spacing w:after="0" w:line="240" w:lineRule="auto"/>
        <w:rPr>
          <w:rFonts w:ascii="Arial" w:hAnsi="Arial" w:cs="Arial"/>
          <w:b/>
          <w:sz w:val="24"/>
          <w:szCs w:val="24"/>
        </w:rPr>
      </w:pPr>
      <w:r w:rsidRPr="00A22332">
        <w:rPr>
          <w:rFonts w:ascii="Arial" w:hAnsi="Arial" w:cs="Arial"/>
          <w:b/>
          <w:sz w:val="24"/>
          <w:szCs w:val="24"/>
        </w:rPr>
        <w:t>Definition of stroke and transient ischemic attack (TIA)</w:t>
      </w:r>
    </w:p>
    <w:p w14:paraId="63FE5968" w14:textId="77777777" w:rsidR="00E05D3F"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Definitions for a stroke or TIA are based on the WHO definitions:7 a clinical syndrome</w:t>
      </w:r>
      <w:r w:rsidR="00A22332">
        <w:rPr>
          <w:rFonts w:ascii="Arial" w:hAnsi="Arial" w:cs="Arial"/>
          <w:sz w:val="24"/>
          <w:szCs w:val="24"/>
        </w:rPr>
        <w:t xml:space="preserve"> </w:t>
      </w:r>
      <w:r w:rsidRPr="00A413E4">
        <w:rPr>
          <w:rFonts w:ascii="Arial" w:hAnsi="Arial" w:cs="Arial"/>
          <w:sz w:val="24"/>
          <w:szCs w:val="24"/>
        </w:rPr>
        <w:t>consisting of rapidly developing clinical signs of focal or global disturbance of cerebral</w:t>
      </w:r>
      <w:r w:rsidR="00A22332">
        <w:rPr>
          <w:rFonts w:ascii="Arial" w:hAnsi="Arial" w:cs="Arial"/>
          <w:sz w:val="24"/>
          <w:szCs w:val="24"/>
        </w:rPr>
        <w:t xml:space="preserve"> </w:t>
      </w:r>
      <w:r w:rsidRPr="00A413E4">
        <w:rPr>
          <w:rFonts w:ascii="Arial" w:hAnsi="Arial" w:cs="Arial"/>
          <w:sz w:val="24"/>
          <w:szCs w:val="24"/>
        </w:rPr>
        <w:t>function, with symptoms lasting &gt; 24 hours for stroke and or &lt; 24 hours for TIA; or</w:t>
      </w:r>
      <w:r w:rsidR="00A22332">
        <w:rPr>
          <w:rFonts w:ascii="Arial" w:hAnsi="Arial" w:cs="Arial"/>
          <w:sz w:val="24"/>
          <w:szCs w:val="24"/>
        </w:rPr>
        <w:t xml:space="preserve"> </w:t>
      </w:r>
      <w:r w:rsidRPr="00A413E4">
        <w:rPr>
          <w:rFonts w:ascii="Arial" w:hAnsi="Arial" w:cs="Arial"/>
          <w:sz w:val="24"/>
          <w:szCs w:val="24"/>
        </w:rPr>
        <w:t>leading to death with no apparent cause other than that of vascular origin (Table 4).</w:t>
      </w:r>
    </w:p>
    <w:p w14:paraId="2FB8C66B" w14:textId="77777777" w:rsidR="00A22332" w:rsidRPr="00A413E4" w:rsidRDefault="00A22332" w:rsidP="00E05D3F">
      <w:pPr>
        <w:autoSpaceDE w:val="0"/>
        <w:autoSpaceDN w:val="0"/>
        <w:adjustRightInd w:val="0"/>
        <w:spacing w:after="0" w:line="240" w:lineRule="auto"/>
        <w:rPr>
          <w:rFonts w:ascii="Arial" w:hAnsi="Arial" w:cs="Arial"/>
          <w:sz w:val="24"/>
          <w:szCs w:val="24"/>
        </w:rPr>
      </w:pPr>
    </w:p>
    <w:p w14:paraId="5EA0D654"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Magnetic resonance imaging of the brain and computed tomography of the head are</w:t>
      </w:r>
    </w:p>
    <w:p w14:paraId="5B4B3E17" w14:textId="77777777" w:rsidR="00E05D3F"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not readily available in Nigeria and other sub-Saharan African countries.</w:t>
      </w:r>
    </w:p>
    <w:p w14:paraId="7099CF92" w14:textId="77777777" w:rsidR="00A22332" w:rsidRPr="00A413E4" w:rsidRDefault="00A22332" w:rsidP="00E05D3F">
      <w:pPr>
        <w:autoSpaceDE w:val="0"/>
        <w:autoSpaceDN w:val="0"/>
        <w:adjustRightInd w:val="0"/>
        <w:spacing w:after="0" w:line="240" w:lineRule="auto"/>
        <w:rPr>
          <w:rFonts w:ascii="Arial" w:hAnsi="Arial" w:cs="Arial"/>
          <w:sz w:val="24"/>
          <w:szCs w:val="24"/>
        </w:rPr>
      </w:pPr>
    </w:p>
    <w:p w14:paraId="57BCFE5C" w14:textId="77777777" w:rsidR="00E05D3F" w:rsidRPr="00A22332" w:rsidRDefault="00E05D3F" w:rsidP="00E05D3F">
      <w:pPr>
        <w:autoSpaceDE w:val="0"/>
        <w:autoSpaceDN w:val="0"/>
        <w:adjustRightInd w:val="0"/>
        <w:spacing w:after="0" w:line="240" w:lineRule="auto"/>
        <w:rPr>
          <w:rFonts w:ascii="Arial" w:hAnsi="Arial" w:cs="Arial"/>
          <w:b/>
          <w:sz w:val="24"/>
          <w:szCs w:val="24"/>
        </w:rPr>
      </w:pPr>
      <w:r w:rsidRPr="00A22332">
        <w:rPr>
          <w:rFonts w:ascii="Arial" w:hAnsi="Arial" w:cs="Arial"/>
          <w:b/>
          <w:sz w:val="24"/>
          <w:szCs w:val="24"/>
        </w:rPr>
        <w:t>Hydroxyurea therapy (trial drug, from Bond Chemical, Awe, Oyo state, Nigeria).</w:t>
      </w:r>
    </w:p>
    <w:p w14:paraId="08770609"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The trial intervention is the random allocation to fixed low-dose hydroxyurea therapy</w:t>
      </w:r>
    </w:p>
    <w:p w14:paraId="592F4F59" w14:textId="77777777" w:rsidR="00E05D3F"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at 10 mg/kg/day (range: 7–15 mg/kg/day) or fixed moderate-dose hydroxyurea therapy</w:t>
      </w:r>
      <w:r w:rsidR="00A22332">
        <w:rPr>
          <w:rFonts w:ascii="Arial" w:hAnsi="Arial" w:cs="Arial"/>
          <w:sz w:val="24"/>
          <w:szCs w:val="24"/>
        </w:rPr>
        <w:t xml:space="preserve"> </w:t>
      </w:r>
      <w:r w:rsidRPr="00A413E4">
        <w:rPr>
          <w:rFonts w:ascii="Arial" w:hAnsi="Arial" w:cs="Arial"/>
          <w:sz w:val="24"/>
          <w:szCs w:val="24"/>
        </w:rPr>
        <w:t>at 20 mg/kg/day (range 17.5–26 mg/kg/day). No dose escalation will occur, as 20 mg/kg/</w:t>
      </w:r>
      <w:r w:rsidR="00A22332">
        <w:rPr>
          <w:rFonts w:ascii="Arial" w:hAnsi="Arial" w:cs="Arial"/>
          <w:sz w:val="24"/>
          <w:szCs w:val="24"/>
        </w:rPr>
        <w:t xml:space="preserve"> </w:t>
      </w:r>
      <w:r w:rsidRPr="00A413E4">
        <w:rPr>
          <w:rFonts w:ascii="Arial" w:hAnsi="Arial" w:cs="Arial"/>
          <w:sz w:val="24"/>
          <w:szCs w:val="24"/>
        </w:rPr>
        <w:t>day has efficacy in infants with SCA and is associated with rare myelosuppression.18,19</w:t>
      </w:r>
    </w:p>
    <w:p w14:paraId="0703FF7F" w14:textId="77777777" w:rsidR="00A22332" w:rsidRPr="00A413E4" w:rsidRDefault="00A22332" w:rsidP="00E05D3F">
      <w:pPr>
        <w:autoSpaceDE w:val="0"/>
        <w:autoSpaceDN w:val="0"/>
        <w:adjustRightInd w:val="0"/>
        <w:spacing w:after="0" w:line="240" w:lineRule="auto"/>
        <w:rPr>
          <w:rFonts w:ascii="Arial" w:hAnsi="Arial" w:cs="Arial"/>
          <w:sz w:val="24"/>
          <w:szCs w:val="24"/>
        </w:rPr>
      </w:pPr>
    </w:p>
    <w:p w14:paraId="3F6D6FC5"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Further preliminary data from our feasibility trial,3 indicates that hydroxyurea lowers</w:t>
      </w:r>
    </w:p>
    <w:p w14:paraId="6465C117"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abnormal TCD measurements (Figure 1) and prevents strokes. Hydroxyurea will be provided</w:t>
      </w:r>
      <w:r w:rsidR="00A22332">
        <w:rPr>
          <w:rFonts w:ascii="Arial" w:hAnsi="Arial" w:cs="Arial"/>
          <w:sz w:val="24"/>
          <w:szCs w:val="24"/>
        </w:rPr>
        <w:t xml:space="preserve"> </w:t>
      </w:r>
      <w:r w:rsidRPr="00A413E4">
        <w:rPr>
          <w:rFonts w:ascii="Arial" w:hAnsi="Arial" w:cs="Arial"/>
          <w:sz w:val="24"/>
          <w:szCs w:val="24"/>
        </w:rPr>
        <w:t>to each participant via the trial pharmacy at no cost for the duration of the trial.</w:t>
      </w:r>
    </w:p>
    <w:p w14:paraId="2EAD781B" w14:textId="77777777" w:rsidR="00E05D3F"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Critical to sustainability was the availability of hydroxyurea produced within the country</w:t>
      </w:r>
      <w:r w:rsidR="00A22332">
        <w:rPr>
          <w:rFonts w:ascii="Arial" w:hAnsi="Arial" w:cs="Arial"/>
          <w:sz w:val="24"/>
          <w:szCs w:val="24"/>
        </w:rPr>
        <w:t xml:space="preserve"> </w:t>
      </w:r>
      <w:r w:rsidRPr="00A413E4">
        <w:rPr>
          <w:rFonts w:ascii="Arial" w:hAnsi="Arial" w:cs="Arial"/>
          <w:sz w:val="24"/>
          <w:szCs w:val="24"/>
        </w:rPr>
        <w:t>at a discounted cost of approximately $0.15 (United States dollar) per 500 mg capsule.</w:t>
      </w:r>
    </w:p>
    <w:p w14:paraId="4FE57B19" w14:textId="77777777" w:rsidR="00A22332" w:rsidRPr="00A413E4" w:rsidRDefault="00A22332" w:rsidP="00E05D3F">
      <w:pPr>
        <w:autoSpaceDE w:val="0"/>
        <w:autoSpaceDN w:val="0"/>
        <w:adjustRightInd w:val="0"/>
        <w:spacing w:after="0" w:line="240" w:lineRule="auto"/>
        <w:rPr>
          <w:rFonts w:ascii="Arial" w:hAnsi="Arial" w:cs="Arial"/>
          <w:sz w:val="24"/>
          <w:szCs w:val="24"/>
        </w:rPr>
      </w:pPr>
    </w:p>
    <w:p w14:paraId="31B05F60" w14:textId="77777777" w:rsidR="00E05D3F" w:rsidRPr="00A22332" w:rsidRDefault="00E05D3F" w:rsidP="00E05D3F">
      <w:pPr>
        <w:autoSpaceDE w:val="0"/>
        <w:autoSpaceDN w:val="0"/>
        <w:adjustRightInd w:val="0"/>
        <w:spacing w:after="0" w:line="240" w:lineRule="auto"/>
        <w:rPr>
          <w:rFonts w:ascii="Arial" w:hAnsi="Arial" w:cs="Arial"/>
          <w:b/>
          <w:sz w:val="24"/>
          <w:szCs w:val="24"/>
        </w:rPr>
      </w:pPr>
      <w:r w:rsidRPr="00A22332">
        <w:rPr>
          <w:rFonts w:ascii="Arial" w:hAnsi="Arial" w:cs="Arial"/>
          <w:b/>
          <w:sz w:val="24"/>
          <w:szCs w:val="24"/>
        </w:rPr>
        <w:t>Double-blind randomized controlled clinical trial</w:t>
      </w:r>
    </w:p>
    <w:p w14:paraId="5647B1ED"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The SPRING Trial is double-blinded because the paticipants, their family, and the</w:t>
      </w:r>
    </w:p>
    <w:p w14:paraId="1781B8F3" w14:textId="77777777" w:rsidR="00E05D3F"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health research team, were unaware of the random assignment. The participant’s random</w:t>
      </w:r>
      <w:r w:rsidR="00A22332">
        <w:rPr>
          <w:rFonts w:ascii="Arial" w:hAnsi="Arial" w:cs="Arial"/>
          <w:sz w:val="24"/>
          <w:szCs w:val="24"/>
        </w:rPr>
        <w:t xml:space="preserve"> </w:t>
      </w:r>
      <w:r w:rsidRPr="00A413E4">
        <w:rPr>
          <w:rFonts w:ascii="Arial" w:hAnsi="Arial" w:cs="Arial"/>
          <w:sz w:val="24"/>
          <w:szCs w:val="24"/>
        </w:rPr>
        <w:t>allocation was known to the clinical trial pharmacists and statisticians. The trial</w:t>
      </w:r>
      <w:r w:rsidR="00A22332">
        <w:rPr>
          <w:rFonts w:ascii="Arial" w:hAnsi="Arial" w:cs="Arial"/>
          <w:sz w:val="24"/>
          <w:szCs w:val="24"/>
        </w:rPr>
        <w:t xml:space="preserve"> </w:t>
      </w:r>
      <w:r w:rsidRPr="00A413E4">
        <w:rPr>
          <w:rFonts w:ascii="Arial" w:hAnsi="Arial" w:cs="Arial"/>
          <w:sz w:val="24"/>
          <w:szCs w:val="24"/>
        </w:rPr>
        <w:t>monitors are masked but may be unmasked if the clinical situation warrants. During</w:t>
      </w:r>
      <w:r w:rsidR="00A22332">
        <w:rPr>
          <w:rFonts w:ascii="Arial" w:hAnsi="Arial" w:cs="Arial"/>
          <w:sz w:val="24"/>
          <w:szCs w:val="24"/>
        </w:rPr>
        <w:t xml:space="preserve"> </w:t>
      </w:r>
      <w:r w:rsidRPr="00A413E4">
        <w:rPr>
          <w:rFonts w:ascii="Arial" w:hAnsi="Arial" w:cs="Arial"/>
          <w:sz w:val="24"/>
          <w:szCs w:val="24"/>
        </w:rPr>
        <w:t>the monthly trial follow-up visits, the trial medication will be prescribed, distributed,</w:t>
      </w:r>
      <w:r w:rsidR="00A22332">
        <w:rPr>
          <w:rFonts w:ascii="Arial" w:hAnsi="Arial" w:cs="Arial"/>
          <w:sz w:val="24"/>
          <w:szCs w:val="24"/>
        </w:rPr>
        <w:t xml:space="preserve"> </w:t>
      </w:r>
      <w:r w:rsidRPr="00A413E4">
        <w:rPr>
          <w:rFonts w:ascii="Arial" w:hAnsi="Arial" w:cs="Arial"/>
          <w:sz w:val="24"/>
          <w:szCs w:val="24"/>
        </w:rPr>
        <w:t>and collected by the clinical trial pharmacist only. The clinical research team managing</w:t>
      </w:r>
      <w:r w:rsidR="00A22332">
        <w:rPr>
          <w:rFonts w:ascii="Arial" w:hAnsi="Arial" w:cs="Arial"/>
          <w:sz w:val="24"/>
          <w:szCs w:val="24"/>
        </w:rPr>
        <w:t xml:space="preserve"> </w:t>
      </w:r>
      <w:r w:rsidRPr="00A413E4">
        <w:rPr>
          <w:rFonts w:ascii="Arial" w:hAnsi="Arial" w:cs="Arial"/>
          <w:sz w:val="24"/>
          <w:szCs w:val="24"/>
        </w:rPr>
        <w:t>the participant’s care will not have access to the assigned random allocation, nor will</w:t>
      </w:r>
      <w:r w:rsidR="00A22332">
        <w:rPr>
          <w:rFonts w:ascii="Arial" w:hAnsi="Arial" w:cs="Arial"/>
          <w:sz w:val="24"/>
          <w:szCs w:val="24"/>
        </w:rPr>
        <w:t xml:space="preserve"> </w:t>
      </w:r>
      <w:r w:rsidRPr="00A413E4">
        <w:rPr>
          <w:rFonts w:ascii="Arial" w:hAnsi="Arial" w:cs="Arial"/>
          <w:sz w:val="24"/>
          <w:szCs w:val="24"/>
        </w:rPr>
        <w:t>they distribute, collect, or handle the trial medication. This strategy prohibits the need</w:t>
      </w:r>
      <w:r w:rsidR="00A22332">
        <w:rPr>
          <w:rFonts w:ascii="Arial" w:hAnsi="Arial" w:cs="Arial"/>
          <w:sz w:val="24"/>
          <w:szCs w:val="24"/>
        </w:rPr>
        <w:t xml:space="preserve"> </w:t>
      </w:r>
      <w:r w:rsidRPr="00A413E4">
        <w:rPr>
          <w:rFonts w:ascii="Arial" w:hAnsi="Arial" w:cs="Arial"/>
          <w:sz w:val="24"/>
          <w:szCs w:val="24"/>
        </w:rPr>
        <w:t>for the trial physician to calculate the dose or determine the trial treatment assignment.</w:t>
      </w:r>
    </w:p>
    <w:p w14:paraId="66A112AC" w14:textId="77777777" w:rsidR="00A22332" w:rsidRPr="00A413E4" w:rsidRDefault="00A22332" w:rsidP="00E05D3F">
      <w:pPr>
        <w:autoSpaceDE w:val="0"/>
        <w:autoSpaceDN w:val="0"/>
        <w:adjustRightInd w:val="0"/>
        <w:spacing w:after="0" w:line="240" w:lineRule="auto"/>
        <w:rPr>
          <w:rFonts w:ascii="Arial" w:hAnsi="Arial" w:cs="Arial"/>
          <w:sz w:val="24"/>
          <w:szCs w:val="24"/>
        </w:rPr>
      </w:pPr>
    </w:p>
    <w:p w14:paraId="4C564CDD" w14:textId="77777777" w:rsidR="00E05D3F" w:rsidRPr="00A22332" w:rsidRDefault="00E05D3F" w:rsidP="00E05D3F">
      <w:pPr>
        <w:autoSpaceDE w:val="0"/>
        <w:autoSpaceDN w:val="0"/>
        <w:adjustRightInd w:val="0"/>
        <w:spacing w:after="0" w:line="240" w:lineRule="auto"/>
        <w:rPr>
          <w:rFonts w:ascii="Arial" w:hAnsi="Arial" w:cs="Arial"/>
          <w:b/>
          <w:sz w:val="24"/>
          <w:szCs w:val="24"/>
        </w:rPr>
      </w:pPr>
      <w:r w:rsidRPr="00A22332">
        <w:rPr>
          <w:rFonts w:ascii="Arial" w:hAnsi="Arial" w:cs="Arial"/>
          <w:b/>
          <w:sz w:val="24"/>
          <w:szCs w:val="24"/>
        </w:rPr>
        <w:t>Randomization procedures</w:t>
      </w:r>
    </w:p>
    <w:p w14:paraId="25CFA835"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The project statistician will implement a permuted block allocation scheme, based on</w:t>
      </w:r>
    </w:p>
    <w:p w14:paraId="2A74BEA4"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block sizes of 2 and 4, stratified by sex, within the clinical site. Randomization will be</w:t>
      </w:r>
    </w:p>
    <w:p w14:paraId="5BC254B2"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accessed at each site through REDCap,20 a secure online data management tool that</w:t>
      </w:r>
      <w:r w:rsidR="00A22332">
        <w:rPr>
          <w:rFonts w:ascii="Arial" w:hAnsi="Arial" w:cs="Arial"/>
          <w:sz w:val="24"/>
          <w:szCs w:val="24"/>
        </w:rPr>
        <w:t xml:space="preserve"> </w:t>
      </w:r>
      <w:r w:rsidRPr="00A413E4">
        <w:rPr>
          <w:rFonts w:ascii="Arial" w:hAnsi="Arial" w:cs="Arial"/>
          <w:sz w:val="24"/>
          <w:szCs w:val="24"/>
        </w:rPr>
        <w:t>permits the trial pharmacist to click a “randomize” button. Eligibility will be confirmed,</w:t>
      </w:r>
      <w:r w:rsidR="00A22332">
        <w:rPr>
          <w:rFonts w:ascii="Arial" w:hAnsi="Arial" w:cs="Arial"/>
          <w:sz w:val="24"/>
          <w:szCs w:val="24"/>
        </w:rPr>
        <w:t xml:space="preserve"> </w:t>
      </w:r>
      <w:r w:rsidRPr="00A413E4">
        <w:rPr>
          <w:rFonts w:ascii="Arial" w:hAnsi="Arial" w:cs="Arial"/>
          <w:sz w:val="24"/>
          <w:szCs w:val="24"/>
        </w:rPr>
        <w:t>and a participant trial ID number will be assigned before random allocation. The ID</w:t>
      </w:r>
      <w:r w:rsidR="00A22332">
        <w:rPr>
          <w:rFonts w:ascii="Arial" w:hAnsi="Arial" w:cs="Arial"/>
          <w:sz w:val="24"/>
          <w:szCs w:val="24"/>
        </w:rPr>
        <w:t xml:space="preserve"> </w:t>
      </w:r>
      <w:r w:rsidRPr="00A413E4">
        <w:rPr>
          <w:rFonts w:ascii="Arial" w:hAnsi="Arial" w:cs="Arial"/>
          <w:sz w:val="24"/>
          <w:szCs w:val="24"/>
        </w:rPr>
        <w:t>number and the eligibility status will be recorded on a log sheet before the assignment.</w:t>
      </w:r>
    </w:p>
    <w:p w14:paraId="49381691"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lastRenderedPageBreak/>
        <w:t>This record will then be sent to the site pharmacist at each clinical site. The</w:t>
      </w:r>
    </w:p>
    <w:p w14:paraId="07C693B8"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trial pharmacist will hold the sequence of assignment to fixed moderate-dose or fixed</w:t>
      </w:r>
    </w:p>
    <w:p w14:paraId="681DA18E"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low-dose hydroxyurea at the trial site only. The medication will be provided by the</w:t>
      </w:r>
    </w:p>
    <w:p w14:paraId="53CBA8C4"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pharmacist in 100, 250, or 500 mg capsules; the pharmacist will calculate the pills</w:t>
      </w:r>
    </w:p>
    <w:p w14:paraId="47163B6C" w14:textId="77777777" w:rsidR="00E05D3F"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needed based on the weight of the trial participant at the time of the trial visit.</w:t>
      </w:r>
    </w:p>
    <w:p w14:paraId="3AF27E5E" w14:textId="77777777" w:rsidR="00B8586D" w:rsidRPr="00A413E4" w:rsidRDefault="00B8586D" w:rsidP="00E05D3F">
      <w:pPr>
        <w:autoSpaceDE w:val="0"/>
        <w:autoSpaceDN w:val="0"/>
        <w:adjustRightInd w:val="0"/>
        <w:spacing w:after="0" w:line="240" w:lineRule="auto"/>
        <w:rPr>
          <w:rFonts w:ascii="Arial" w:hAnsi="Arial" w:cs="Arial"/>
          <w:sz w:val="24"/>
          <w:szCs w:val="24"/>
        </w:rPr>
      </w:pPr>
    </w:p>
    <w:p w14:paraId="03E6B7B7" w14:textId="77777777" w:rsidR="00E05D3F" w:rsidRPr="00B8586D" w:rsidRDefault="00E05D3F" w:rsidP="00E05D3F">
      <w:pPr>
        <w:autoSpaceDE w:val="0"/>
        <w:autoSpaceDN w:val="0"/>
        <w:adjustRightInd w:val="0"/>
        <w:spacing w:after="0" w:line="240" w:lineRule="auto"/>
        <w:rPr>
          <w:rFonts w:ascii="Arial" w:hAnsi="Arial" w:cs="Arial"/>
          <w:b/>
          <w:sz w:val="24"/>
          <w:szCs w:val="24"/>
        </w:rPr>
      </w:pPr>
      <w:r w:rsidRPr="00B8586D">
        <w:rPr>
          <w:rFonts w:ascii="Arial" w:hAnsi="Arial" w:cs="Arial"/>
          <w:b/>
          <w:sz w:val="24"/>
          <w:szCs w:val="24"/>
        </w:rPr>
        <w:t>Adherence to hydroxyurea therapy</w:t>
      </w:r>
    </w:p>
    <w:p w14:paraId="4522999C"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Adherence will be measured via mean cell volume (MCV). Based on our feasibility</w:t>
      </w:r>
    </w:p>
    <w:p w14:paraId="5B6BBD01"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trial,3 we expect that the MCV will increase by at least 5 fL from baseline if participants</w:t>
      </w:r>
      <w:r w:rsidR="00B8586D">
        <w:rPr>
          <w:rFonts w:ascii="Arial" w:hAnsi="Arial" w:cs="Arial"/>
          <w:sz w:val="24"/>
          <w:szCs w:val="24"/>
        </w:rPr>
        <w:t xml:space="preserve"> </w:t>
      </w:r>
      <w:r w:rsidRPr="00A413E4">
        <w:rPr>
          <w:rFonts w:ascii="Arial" w:hAnsi="Arial" w:cs="Arial"/>
          <w:sz w:val="24"/>
          <w:szCs w:val="24"/>
        </w:rPr>
        <w:t>are taking hydroxyurea regularly with a fixed moderate-dose. In the SPIN trial, participants</w:t>
      </w:r>
      <w:r w:rsidR="00B8586D">
        <w:rPr>
          <w:rFonts w:ascii="Arial" w:hAnsi="Arial" w:cs="Arial"/>
          <w:sz w:val="24"/>
          <w:szCs w:val="24"/>
        </w:rPr>
        <w:t xml:space="preserve"> </w:t>
      </w:r>
      <w:r w:rsidRPr="00A413E4">
        <w:rPr>
          <w:rFonts w:ascii="Arial" w:hAnsi="Arial" w:cs="Arial"/>
          <w:sz w:val="24"/>
          <w:szCs w:val="24"/>
        </w:rPr>
        <w:t>had an increased 16 fL after 24 months of hydroxyurea therapy (85 fL to 101 fL).</w:t>
      </w:r>
    </w:p>
    <w:p w14:paraId="4F3EA634"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We selected a minimum increase of 5 fL because, in a prospective cohort of adherence</w:t>
      </w:r>
      <w:r w:rsidR="00B8586D">
        <w:rPr>
          <w:rFonts w:ascii="Arial" w:hAnsi="Arial" w:cs="Arial"/>
          <w:sz w:val="24"/>
          <w:szCs w:val="24"/>
        </w:rPr>
        <w:t xml:space="preserve"> </w:t>
      </w:r>
      <w:r w:rsidRPr="00A413E4">
        <w:rPr>
          <w:rFonts w:ascii="Arial" w:hAnsi="Arial" w:cs="Arial"/>
          <w:sz w:val="24"/>
          <w:szCs w:val="24"/>
        </w:rPr>
        <w:t>in adults with SCD, Queioz et al. demonstrated that any positive growth in the MCV</w:t>
      </w:r>
      <w:r w:rsidR="00B8586D">
        <w:rPr>
          <w:rFonts w:ascii="Arial" w:hAnsi="Arial" w:cs="Arial"/>
          <w:sz w:val="24"/>
          <w:szCs w:val="24"/>
        </w:rPr>
        <w:t xml:space="preserve"> </w:t>
      </w:r>
      <w:r w:rsidRPr="00A413E4">
        <w:rPr>
          <w:rFonts w:ascii="Arial" w:hAnsi="Arial" w:cs="Arial"/>
          <w:sz w:val="24"/>
          <w:szCs w:val="24"/>
        </w:rPr>
        <w:t>was associated with a decrease in the incidence of vaso-occlusive pain episodes.21</w:t>
      </w:r>
    </w:p>
    <w:p w14:paraId="317B06BD"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Rather than stating any increase in MCV was associated with adherence to hydroxyurea,</w:t>
      </w:r>
      <w:r w:rsidR="00B8586D">
        <w:rPr>
          <w:rFonts w:ascii="Arial" w:hAnsi="Arial" w:cs="Arial"/>
          <w:sz w:val="24"/>
          <w:szCs w:val="24"/>
        </w:rPr>
        <w:t xml:space="preserve"> </w:t>
      </w:r>
      <w:r w:rsidRPr="00A413E4">
        <w:rPr>
          <w:rFonts w:ascii="Arial" w:hAnsi="Arial" w:cs="Arial"/>
          <w:sz w:val="24"/>
          <w:szCs w:val="24"/>
        </w:rPr>
        <w:t>we selected a measure above estimated background laboratory assessment error. We</w:t>
      </w:r>
      <w:r w:rsidR="00B8586D">
        <w:rPr>
          <w:rFonts w:ascii="Arial" w:hAnsi="Arial" w:cs="Arial"/>
          <w:sz w:val="24"/>
          <w:szCs w:val="24"/>
        </w:rPr>
        <w:t xml:space="preserve"> </w:t>
      </w:r>
      <w:r w:rsidRPr="00A413E4">
        <w:rPr>
          <w:rFonts w:ascii="Arial" w:hAnsi="Arial" w:cs="Arial"/>
          <w:sz w:val="24"/>
          <w:szCs w:val="24"/>
        </w:rPr>
        <w:t>arbitrarily decided an increase of 5 fL from baseline was a minimum measurement of</w:t>
      </w:r>
      <w:r w:rsidR="00B8586D">
        <w:rPr>
          <w:rFonts w:ascii="Arial" w:hAnsi="Arial" w:cs="Arial"/>
          <w:sz w:val="24"/>
          <w:szCs w:val="24"/>
        </w:rPr>
        <w:t xml:space="preserve"> </w:t>
      </w:r>
      <w:r w:rsidRPr="00A413E4">
        <w:rPr>
          <w:rFonts w:ascii="Arial" w:hAnsi="Arial" w:cs="Arial"/>
          <w:sz w:val="24"/>
          <w:szCs w:val="24"/>
        </w:rPr>
        <w:t>adherence to hydroxyurea in both arms.</w:t>
      </w:r>
    </w:p>
    <w:p w14:paraId="57BE3F13" w14:textId="77777777" w:rsidR="00E05D3F" w:rsidRPr="00A413E4" w:rsidRDefault="00E05D3F" w:rsidP="00E05D3F">
      <w:pPr>
        <w:autoSpaceDE w:val="0"/>
        <w:autoSpaceDN w:val="0"/>
        <w:adjustRightInd w:val="0"/>
        <w:spacing w:after="0" w:line="240" w:lineRule="auto"/>
        <w:rPr>
          <w:rFonts w:ascii="Arial" w:hAnsi="Arial" w:cs="Arial"/>
          <w:sz w:val="24"/>
          <w:szCs w:val="24"/>
        </w:rPr>
      </w:pPr>
    </w:p>
    <w:p w14:paraId="3886A182"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In addition to an increase in MCV of at least 5 fL, we also will measure hemoglobin</w:t>
      </w:r>
    </w:p>
    <w:p w14:paraId="1FEEB765"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F levels annually (too expensive to measure with each visit). Monthly hydroxyurea pill</w:t>
      </w:r>
      <w:r w:rsidR="00B8586D">
        <w:rPr>
          <w:rFonts w:ascii="Arial" w:hAnsi="Arial" w:cs="Arial"/>
          <w:sz w:val="24"/>
          <w:szCs w:val="24"/>
        </w:rPr>
        <w:t xml:space="preserve"> </w:t>
      </w:r>
      <w:r w:rsidRPr="00A413E4">
        <w:rPr>
          <w:rFonts w:ascii="Arial" w:hAnsi="Arial" w:cs="Arial"/>
          <w:sz w:val="24"/>
          <w:szCs w:val="24"/>
        </w:rPr>
        <w:t>counts returned to the pharmacists are also included as an adherence measure.</w:t>
      </w:r>
    </w:p>
    <w:p w14:paraId="23FE55E4" w14:textId="77777777" w:rsidR="00E05D3F"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Together, all measures will be used to assess adherence to therapy. Participants will be</w:t>
      </w:r>
      <w:r w:rsidR="00B8586D">
        <w:rPr>
          <w:rFonts w:ascii="Arial" w:hAnsi="Arial" w:cs="Arial"/>
          <w:sz w:val="24"/>
          <w:szCs w:val="24"/>
        </w:rPr>
        <w:t xml:space="preserve"> </w:t>
      </w:r>
      <w:r w:rsidRPr="00A413E4">
        <w:rPr>
          <w:rFonts w:ascii="Arial" w:hAnsi="Arial" w:cs="Arial"/>
          <w:sz w:val="24"/>
          <w:szCs w:val="24"/>
        </w:rPr>
        <w:t>educated on the importance of daily hydroxyurea. Adherence will be reviewed and discussed</w:t>
      </w:r>
      <w:r w:rsidR="00B8586D">
        <w:rPr>
          <w:rFonts w:ascii="Arial" w:hAnsi="Arial" w:cs="Arial"/>
          <w:sz w:val="24"/>
          <w:szCs w:val="24"/>
        </w:rPr>
        <w:t xml:space="preserve"> </w:t>
      </w:r>
      <w:r w:rsidRPr="00A413E4">
        <w:rPr>
          <w:rFonts w:ascii="Arial" w:hAnsi="Arial" w:cs="Arial"/>
          <w:sz w:val="24"/>
          <w:szCs w:val="24"/>
        </w:rPr>
        <w:t>during each monthly trial visit. The trial pharmacist will also document the</w:t>
      </w:r>
      <w:r w:rsidR="00B8586D">
        <w:rPr>
          <w:rFonts w:ascii="Arial" w:hAnsi="Arial" w:cs="Arial"/>
          <w:sz w:val="24"/>
          <w:szCs w:val="24"/>
        </w:rPr>
        <w:t xml:space="preserve"> </w:t>
      </w:r>
      <w:r w:rsidRPr="00A413E4">
        <w:rPr>
          <w:rFonts w:ascii="Arial" w:hAnsi="Arial" w:cs="Arial"/>
          <w:sz w:val="24"/>
          <w:szCs w:val="24"/>
        </w:rPr>
        <w:t>hydroxyurea dose and dispensing date at each reserach visit.</w:t>
      </w:r>
    </w:p>
    <w:p w14:paraId="6F31C825" w14:textId="77777777" w:rsidR="00B8586D" w:rsidRPr="00A413E4" w:rsidRDefault="00B8586D" w:rsidP="00E05D3F">
      <w:pPr>
        <w:autoSpaceDE w:val="0"/>
        <w:autoSpaceDN w:val="0"/>
        <w:adjustRightInd w:val="0"/>
        <w:spacing w:after="0" w:line="240" w:lineRule="auto"/>
        <w:rPr>
          <w:rFonts w:ascii="Arial" w:hAnsi="Arial" w:cs="Arial"/>
          <w:sz w:val="24"/>
          <w:szCs w:val="24"/>
        </w:rPr>
      </w:pPr>
    </w:p>
    <w:p w14:paraId="63D815BF" w14:textId="77777777" w:rsidR="00E05D3F" w:rsidRPr="00B8586D" w:rsidRDefault="00E05D3F" w:rsidP="00E05D3F">
      <w:pPr>
        <w:autoSpaceDE w:val="0"/>
        <w:autoSpaceDN w:val="0"/>
        <w:adjustRightInd w:val="0"/>
        <w:spacing w:after="0" w:line="240" w:lineRule="auto"/>
        <w:rPr>
          <w:rFonts w:ascii="Arial" w:hAnsi="Arial" w:cs="Arial"/>
          <w:b/>
          <w:sz w:val="24"/>
          <w:szCs w:val="24"/>
        </w:rPr>
      </w:pPr>
      <w:r w:rsidRPr="00B8586D">
        <w:rPr>
          <w:rFonts w:ascii="Arial" w:hAnsi="Arial" w:cs="Arial"/>
          <w:b/>
          <w:sz w:val="24"/>
          <w:szCs w:val="24"/>
        </w:rPr>
        <w:t>Laboratory and safety monitoring</w:t>
      </w:r>
    </w:p>
    <w:p w14:paraId="73C72636" w14:textId="77777777" w:rsidR="00E05D3F"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Participants will undergo monthly laboratory monitoring to assess for potential SCA or</w:t>
      </w:r>
      <w:r w:rsidR="00B8586D">
        <w:rPr>
          <w:rFonts w:ascii="Arial" w:hAnsi="Arial" w:cs="Arial"/>
          <w:sz w:val="24"/>
          <w:szCs w:val="24"/>
        </w:rPr>
        <w:t xml:space="preserve"> </w:t>
      </w:r>
      <w:r w:rsidRPr="00A413E4">
        <w:rPr>
          <w:rFonts w:ascii="Arial" w:hAnsi="Arial" w:cs="Arial"/>
          <w:sz w:val="24"/>
          <w:szCs w:val="24"/>
        </w:rPr>
        <w:t>hydroxyurea-associated adverse events. A local monitor in Nigeria will be paired with a second</w:t>
      </w:r>
      <w:r w:rsidR="00B8586D">
        <w:rPr>
          <w:rFonts w:ascii="Arial" w:hAnsi="Arial" w:cs="Arial"/>
          <w:sz w:val="24"/>
          <w:szCs w:val="24"/>
        </w:rPr>
        <w:t xml:space="preserve"> </w:t>
      </w:r>
      <w:r w:rsidRPr="00A413E4">
        <w:rPr>
          <w:rFonts w:ascii="Arial" w:hAnsi="Arial" w:cs="Arial"/>
          <w:sz w:val="24"/>
          <w:szCs w:val="24"/>
        </w:rPr>
        <w:t>monitor from the coordinating center to review all laboratory values weekly. The trial monitors</w:t>
      </w:r>
      <w:r w:rsidR="00B8586D">
        <w:rPr>
          <w:rFonts w:ascii="Arial" w:hAnsi="Arial" w:cs="Arial"/>
          <w:sz w:val="24"/>
          <w:szCs w:val="24"/>
        </w:rPr>
        <w:t xml:space="preserve"> </w:t>
      </w:r>
      <w:r w:rsidRPr="00A413E4">
        <w:rPr>
          <w:rFonts w:ascii="Arial" w:hAnsi="Arial" w:cs="Arial"/>
          <w:sz w:val="24"/>
          <w:szCs w:val="24"/>
        </w:rPr>
        <w:t>will meet weekly with the site investigators, principal investigators and research coordinators</w:t>
      </w:r>
      <w:r w:rsidR="00B8586D">
        <w:rPr>
          <w:rFonts w:ascii="Arial" w:hAnsi="Arial" w:cs="Arial"/>
          <w:sz w:val="24"/>
          <w:szCs w:val="24"/>
        </w:rPr>
        <w:t xml:space="preserve"> </w:t>
      </w:r>
      <w:r w:rsidRPr="00A413E4">
        <w:rPr>
          <w:rFonts w:ascii="Arial" w:hAnsi="Arial" w:cs="Arial"/>
          <w:sz w:val="24"/>
          <w:szCs w:val="24"/>
        </w:rPr>
        <w:t>via webinar teleconference to discuss out-of-range laboratory values. Based on the laboratory</w:t>
      </w:r>
      <w:r w:rsidR="00B8586D">
        <w:rPr>
          <w:rFonts w:ascii="Arial" w:hAnsi="Arial" w:cs="Arial"/>
          <w:sz w:val="24"/>
          <w:szCs w:val="24"/>
        </w:rPr>
        <w:t xml:space="preserve"> </w:t>
      </w:r>
      <w:r w:rsidRPr="00A413E4">
        <w:rPr>
          <w:rFonts w:ascii="Arial" w:hAnsi="Arial" w:cs="Arial"/>
          <w:sz w:val="24"/>
          <w:szCs w:val="24"/>
        </w:rPr>
        <w:t>values of participants in our initial feasibility trial3 and the laboratory values that will be collected</w:t>
      </w:r>
      <w:r w:rsidR="00B8586D">
        <w:rPr>
          <w:rFonts w:ascii="Arial" w:hAnsi="Arial" w:cs="Arial"/>
          <w:sz w:val="24"/>
          <w:szCs w:val="24"/>
        </w:rPr>
        <w:t xml:space="preserve"> </w:t>
      </w:r>
      <w:r w:rsidRPr="00A413E4">
        <w:rPr>
          <w:rFonts w:ascii="Arial" w:hAnsi="Arial" w:cs="Arial"/>
          <w:sz w:val="24"/>
          <w:szCs w:val="24"/>
        </w:rPr>
        <w:t>in the SPRING trial (total of 6000 laboratory values for both studies), we selected the</w:t>
      </w:r>
      <w:r w:rsidR="00B8586D">
        <w:rPr>
          <w:rFonts w:ascii="Arial" w:hAnsi="Arial" w:cs="Arial"/>
          <w:sz w:val="24"/>
          <w:szCs w:val="24"/>
        </w:rPr>
        <w:t xml:space="preserve"> </w:t>
      </w:r>
      <w:r w:rsidRPr="00A413E4">
        <w:rPr>
          <w:rFonts w:ascii="Arial" w:hAnsi="Arial" w:cs="Arial"/>
          <w:sz w:val="24"/>
          <w:szCs w:val="24"/>
        </w:rPr>
        <w:t>10th and 90th percentile for each laboratory value to determine if a value is outside of the</w:t>
      </w:r>
      <w:r w:rsidR="00B8586D">
        <w:rPr>
          <w:rFonts w:ascii="Arial" w:hAnsi="Arial" w:cs="Arial"/>
          <w:sz w:val="24"/>
          <w:szCs w:val="24"/>
        </w:rPr>
        <w:t xml:space="preserve"> </w:t>
      </w:r>
      <w:r w:rsidRPr="00A413E4">
        <w:rPr>
          <w:rFonts w:ascii="Arial" w:hAnsi="Arial" w:cs="Arial"/>
          <w:sz w:val="24"/>
          <w:szCs w:val="24"/>
        </w:rPr>
        <w:t>expected range and requires repeat laboratory evaluation, clinical evaluation, or both.</w:t>
      </w:r>
    </w:p>
    <w:p w14:paraId="3A11E00D" w14:textId="77777777" w:rsidR="00B8586D" w:rsidRPr="00A413E4" w:rsidRDefault="00B8586D" w:rsidP="00E05D3F">
      <w:pPr>
        <w:autoSpaceDE w:val="0"/>
        <w:autoSpaceDN w:val="0"/>
        <w:adjustRightInd w:val="0"/>
        <w:spacing w:after="0" w:line="240" w:lineRule="auto"/>
        <w:rPr>
          <w:rFonts w:ascii="Arial" w:hAnsi="Arial" w:cs="Arial"/>
          <w:sz w:val="24"/>
          <w:szCs w:val="24"/>
        </w:rPr>
      </w:pPr>
    </w:p>
    <w:p w14:paraId="5ACD2511" w14:textId="77777777" w:rsidR="00E05D3F" w:rsidRPr="00B8586D" w:rsidRDefault="00E05D3F" w:rsidP="00E05D3F">
      <w:pPr>
        <w:autoSpaceDE w:val="0"/>
        <w:autoSpaceDN w:val="0"/>
        <w:adjustRightInd w:val="0"/>
        <w:spacing w:after="0" w:line="240" w:lineRule="auto"/>
        <w:rPr>
          <w:rFonts w:ascii="Arial" w:hAnsi="Arial" w:cs="Arial"/>
          <w:b/>
          <w:sz w:val="24"/>
          <w:szCs w:val="24"/>
        </w:rPr>
      </w:pPr>
      <w:r w:rsidRPr="00B8586D">
        <w:rPr>
          <w:rFonts w:ascii="Arial" w:hAnsi="Arial" w:cs="Arial"/>
          <w:b/>
          <w:sz w:val="24"/>
          <w:szCs w:val="24"/>
        </w:rPr>
        <w:t>Steps to limit adverse events associated with participation and exit after completion</w:t>
      </w:r>
      <w:r w:rsidR="00B8586D">
        <w:rPr>
          <w:rFonts w:ascii="Arial" w:hAnsi="Arial" w:cs="Arial"/>
          <w:b/>
          <w:sz w:val="24"/>
          <w:szCs w:val="24"/>
        </w:rPr>
        <w:t xml:space="preserve"> </w:t>
      </w:r>
      <w:r w:rsidRPr="00B8586D">
        <w:rPr>
          <w:rFonts w:ascii="Arial" w:hAnsi="Arial" w:cs="Arial"/>
          <w:b/>
          <w:sz w:val="24"/>
          <w:szCs w:val="24"/>
        </w:rPr>
        <w:t>of the trial</w:t>
      </w:r>
    </w:p>
    <w:p w14:paraId="0B13EEEC"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A CBC with differential will be obtained two weeks after hydroxyurea therapy is started and</w:t>
      </w:r>
      <w:r w:rsidR="00B8586D">
        <w:rPr>
          <w:rFonts w:ascii="Arial" w:hAnsi="Arial" w:cs="Arial"/>
          <w:sz w:val="24"/>
          <w:szCs w:val="24"/>
        </w:rPr>
        <w:t xml:space="preserve"> </w:t>
      </w:r>
      <w:r w:rsidRPr="00A413E4">
        <w:rPr>
          <w:rFonts w:ascii="Arial" w:hAnsi="Arial" w:cs="Arial"/>
          <w:sz w:val="24"/>
          <w:szCs w:val="24"/>
        </w:rPr>
        <w:t>every 4 weeks thereafter, unless toxicity occurs. In the case of suspected hydroxyurea myelosuppression,</w:t>
      </w:r>
      <w:r w:rsidR="00B8586D">
        <w:rPr>
          <w:rFonts w:ascii="Arial" w:hAnsi="Arial" w:cs="Arial"/>
          <w:sz w:val="24"/>
          <w:szCs w:val="24"/>
        </w:rPr>
        <w:t xml:space="preserve"> </w:t>
      </w:r>
      <w:r w:rsidRPr="00A413E4">
        <w:rPr>
          <w:rFonts w:ascii="Arial" w:hAnsi="Arial" w:cs="Arial"/>
          <w:sz w:val="24"/>
          <w:szCs w:val="24"/>
        </w:rPr>
        <w:t>therapy will be stopped, and a CBC with differential will be obtained weekly,</w:t>
      </w:r>
      <w:r w:rsidR="00B8586D">
        <w:rPr>
          <w:rFonts w:ascii="Arial" w:hAnsi="Arial" w:cs="Arial"/>
          <w:sz w:val="24"/>
          <w:szCs w:val="24"/>
        </w:rPr>
        <w:t xml:space="preserve"> </w:t>
      </w:r>
      <w:r w:rsidRPr="00A413E4">
        <w:rPr>
          <w:rFonts w:ascii="Arial" w:hAnsi="Arial" w:cs="Arial"/>
          <w:sz w:val="24"/>
          <w:szCs w:val="24"/>
        </w:rPr>
        <w:t>until resolution of the myelosuppression. Hydroxyurea therapy will then be restarted at the</w:t>
      </w:r>
      <w:r w:rsidR="00B8586D">
        <w:rPr>
          <w:rFonts w:ascii="Arial" w:hAnsi="Arial" w:cs="Arial"/>
          <w:sz w:val="24"/>
          <w:szCs w:val="24"/>
        </w:rPr>
        <w:t xml:space="preserve"> </w:t>
      </w:r>
      <w:r w:rsidRPr="00A413E4">
        <w:rPr>
          <w:rFonts w:ascii="Arial" w:hAnsi="Arial" w:cs="Arial"/>
          <w:sz w:val="24"/>
          <w:szCs w:val="24"/>
        </w:rPr>
        <w:t>same dose, unless hematologic toxicity has previously occurred at this dose; if so, the dose</w:t>
      </w:r>
      <w:r w:rsidR="00B8586D">
        <w:rPr>
          <w:rFonts w:ascii="Arial" w:hAnsi="Arial" w:cs="Arial"/>
          <w:sz w:val="24"/>
          <w:szCs w:val="24"/>
        </w:rPr>
        <w:t xml:space="preserve"> </w:t>
      </w:r>
      <w:r w:rsidRPr="00A413E4">
        <w:rPr>
          <w:rFonts w:ascii="Arial" w:hAnsi="Arial" w:cs="Arial"/>
          <w:sz w:val="24"/>
          <w:szCs w:val="24"/>
        </w:rPr>
        <w:t>will be reduced. Myelosuppression possibly related to hydroxyurea is defined as absolute</w:t>
      </w:r>
    </w:p>
    <w:p w14:paraId="16C17CDF"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lastRenderedPageBreak/>
        <w:t>neutrophil count &lt;1000_10</w:t>
      </w:r>
      <w:r w:rsidR="00B8586D">
        <w:rPr>
          <w:rFonts w:ascii="Arial" w:hAnsi="Arial" w:cs="Arial"/>
          <w:sz w:val="24"/>
          <w:szCs w:val="24"/>
        </w:rPr>
        <w:t xml:space="preserve"> </w:t>
      </w:r>
      <w:r w:rsidRPr="00A413E4">
        <w:rPr>
          <w:rFonts w:ascii="Arial" w:hAnsi="Arial" w:cs="Arial"/>
          <w:sz w:val="24"/>
          <w:szCs w:val="24"/>
        </w:rPr>
        <w:t>9/L or platelet count &lt;80_109/L. If either threshold is</w:t>
      </w:r>
    </w:p>
    <w:p w14:paraId="17E04624"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reached, the caretaker will be asked to return for repeat CBC within a week. Caretakers will</w:t>
      </w:r>
      <w:r w:rsidR="00B8586D">
        <w:rPr>
          <w:rFonts w:ascii="Arial" w:hAnsi="Arial" w:cs="Arial"/>
          <w:sz w:val="24"/>
          <w:szCs w:val="24"/>
        </w:rPr>
        <w:t xml:space="preserve"> </w:t>
      </w:r>
      <w:r w:rsidRPr="00A413E4">
        <w:rPr>
          <w:rFonts w:ascii="Arial" w:hAnsi="Arial" w:cs="Arial"/>
          <w:sz w:val="24"/>
          <w:szCs w:val="24"/>
        </w:rPr>
        <w:t>be given a trial card to always carry with them, providing instructions for any health care</w:t>
      </w:r>
      <w:r w:rsidR="00B8586D">
        <w:rPr>
          <w:rFonts w:ascii="Arial" w:hAnsi="Arial" w:cs="Arial"/>
          <w:sz w:val="24"/>
          <w:szCs w:val="24"/>
        </w:rPr>
        <w:t xml:space="preserve"> </w:t>
      </w:r>
      <w:r w:rsidRPr="00A413E4">
        <w:rPr>
          <w:rFonts w:ascii="Arial" w:hAnsi="Arial" w:cs="Arial"/>
          <w:sz w:val="24"/>
          <w:szCs w:val="24"/>
        </w:rPr>
        <w:t>provider who sees the participant for an unscheduled medical care visit.</w:t>
      </w:r>
    </w:p>
    <w:p w14:paraId="11EF7F5D"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Upon completion of the trial, participants will have a TCD measurement, CBC and</w:t>
      </w:r>
    </w:p>
    <w:p w14:paraId="2BF5D3AD"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hemoglobin F measurements. The participant’s guardians will be given written final</w:t>
      </w:r>
    </w:p>
    <w:p w14:paraId="10C652DE" w14:textId="77777777" w:rsidR="00E05D3F"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results of the trial, along with the verbal description of the final results.</w:t>
      </w:r>
    </w:p>
    <w:p w14:paraId="2365B8E9" w14:textId="77777777" w:rsidR="00B8586D" w:rsidRPr="00A413E4" w:rsidRDefault="00B8586D" w:rsidP="00E05D3F">
      <w:pPr>
        <w:autoSpaceDE w:val="0"/>
        <w:autoSpaceDN w:val="0"/>
        <w:adjustRightInd w:val="0"/>
        <w:spacing w:after="0" w:line="240" w:lineRule="auto"/>
        <w:rPr>
          <w:rFonts w:ascii="Arial" w:hAnsi="Arial" w:cs="Arial"/>
          <w:sz w:val="24"/>
          <w:szCs w:val="24"/>
        </w:rPr>
      </w:pPr>
    </w:p>
    <w:p w14:paraId="10738735" w14:textId="77777777" w:rsidR="00E05D3F" w:rsidRPr="00B8586D" w:rsidRDefault="00E05D3F" w:rsidP="00E05D3F">
      <w:pPr>
        <w:autoSpaceDE w:val="0"/>
        <w:autoSpaceDN w:val="0"/>
        <w:adjustRightInd w:val="0"/>
        <w:spacing w:after="0" w:line="240" w:lineRule="auto"/>
        <w:rPr>
          <w:rFonts w:ascii="Arial" w:hAnsi="Arial" w:cs="Arial"/>
          <w:b/>
          <w:sz w:val="24"/>
          <w:szCs w:val="24"/>
        </w:rPr>
      </w:pPr>
      <w:r w:rsidRPr="00B8586D">
        <w:rPr>
          <w:rFonts w:ascii="Arial" w:hAnsi="Arial" w:cs="Arial"/>
          <w:b/>
          <w:sz w:val="24"/>
          <w:szCs w:val="24"/>
        </w:rPr>
        <w:t>Statistical considerations</w:t>
      </w:r>
    </w:p>
    <w:p w14:paraId="3B16B773" w14:textId="77777777" w:rsidR="00E05D3F" w:rsidRPr="00B8586D" w:rsidRDefault="00E05D3F" w:rsidP="00E05D3F">
      <w:pPr>
        <w:autoSpaceDE w:val="0"/>
        <w:autoSpaceDN w:val="0"/>
        <w:adjustRightInd w:val="0"/>
        <w:spacing w:after="0" w:line="240" w:lineRule="auto"/>
        <w:rPr>
          <w:rFonts w:ascii="Arial" w:hAnsi="Arial" w:cs="Arial"/>
          <w:b/>
          <w:sz w:val="24"/>
          <w:szCs w:val="24"/>
        </w:rPr>
      </w:pPr>
      <w:r w:rsidRPr="00B8586D">
        <w:rPr>
          <w:rFonts w:ascii="Arial" w:hAnsi="Arial" w:cs="Arial"/>
          <w:b/>
          <w:sz w:val="24"/>
          <w:szCs w:val="24"/>
        </w:rPr>
        <w:t>Sample size and statistical analysis</w:t>
      </w:r>
    </w:p>
    <w:p w14:paraId="71887D48"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To test our primary hypothesis, based on data from the feasibility trial3 where approximately</w:t>
      </w:r>
      <w:r w:rsidR="00B8586D">
        <w:rPr>
          <w:rFonts w:ascii="Arial" w:hAnsi="Arial" w:cs="Arial"/>
          <w:sz w:val="24"/>
          <w:szCs w:val="24"/>
        </w:rPr>
        <w:t xml:space="preserve"> </w:t>
      </w:r>
      <w:r w:rsidRPr="00A413E4">
        <w:rPr>
          <w:rFonts w:ascii="Arial" w:hAnsi="Arial" w:cs="Arial"/>
          <w:sz w:val="24"/>
          <w:szCs w:val="24"/>
        </w:rPr>
        <w:t>66% (15 of 23) of participants had their elevated TCD measurements drop to normal</w:t>
      </w:r>
      <w:r w:rsidR="00B8586D">
        <w:rPr>
          <w:rFonts w:ascii="Arial" w:hAnsi="Arial" w:cs="Arial"/>
          <w:sz w:val="24"/>
          <w:szCs w:val="24"/>
        </w:rPr>
        <w:t xml:space="preserve"> </w:t>
      </w:r>
      <w:r w:rsidRPr="00A413E4">
        <w:rPr>
          <w:rFonts w:ascii="Arial" w:hAnsi="Arial" w:cs="Arial"/>
          <w:sz w:val="24"/>
          <w:szCs w:val="24"/>
        </w:rPr>
        <w:t>measurements (&lt;200 cm/sec in both vessels) after three months on hydroxyurea</w:t>
      </w:r>
      <w:r w:rsidR="00B8586D">
        <w:rPr>
          <w:rFonts w:ascii="Arial" w:hAnsi="Arial" w:cs="Arial"/>
          <w:sz w:val="24"/>
          <w:szCs w:val="24"/>
        </w:rPr>
        <w:t xml:space="preserve"> </w:t>
      </w:r>
      <w:r w:rsidRPr="00A413E4">
        <w:rPr>
          <w:rFonts w:ascii="Arial" w:hAnsi="Arial" w:cs="Arial"/>
          <w:sz w:val="24"/>
          <w:szCs w:val="24"/>
        </w:rPr>
        <w:t>therapy, we estimated a treatment effect of 66% relative risk reduction. Power was estimated</w:t>
      </w:r>
      <w:r w:rsidR="00B8586D">
        <w:rPr>
          <w:rFonts w:ascii="Arial" w:hAnsi="Arial" w:cs="Arial"/>
          <w:sz w:val="24"/>
          <w:szCs w:val="24"/>
        </w:rPr>
        <w:t xml:space="preserve"> </w:t>
      </w:r>
      <w:r w:rsidRPr="00A413E4">
        <w:rPr>
          <w:rFonts w:ascii="Arial" w:hAnsi="Arial" w:cs="Arial"/>
          <w:sz w:val="24"/>
          <w:szCs w:val="24"/>
        </w:rPr>
        <w:t>with a two-sided test of the difference between hazard rates in the moderate fixed</w:t>
      </w:r>
      <w:r w:rsidR="00B8586D">
        <w:rPr>
          <w:rFonts w:ascii="Arial" w:hAnsi="Arial" w:cs="Arial"/>
          <w:sz w:val="24"/>
          <w:szCs w:val="24"/>
        </w:rPr>
        <w:t xml:space="preserve"> </w:t>
      </w:r>
      <w:r w:rsidRPr="00A413E4">
        <w:rPr>
          <w:rFonts w:ascii="Arial" w:hAnsi="Arial" w:cs="Arial"/>
          <w:sz w:val="24"/>
          <w:szCs w:val="24"/>
        </w:rPr>
        <w:t>dose</w:t>
      </w:r>
      <w:r w:rsidR="00B8586D">
        <w:rPr>
          <w:rFonts w:ascii="Arial" w:hAnsi="Arial" w:cs="Arial"/>
          <w:sz w:val="24"/>
          <w:szCs w:val="24"/>
        </w:rPr>
        <w:t xml:space="preserve"> </w:t>
      </w:r>
      <w:r w:rsidRPr="00A413E4">
        <w:rPr>
          <w:rFonts w:ascii="Arial" w:hAnsi="Arial" w:cs="Arial"/>
          <w:sz w:val="24"/>
          <w:szCs w:val="24"/>
        </w:rPr>
        <w:t>versus low fixed-dose hydroxyurea groups, assuming that the data were</w:t>
      </w:r>
      <w:r w:rsidR="00B8586D">
        <w:rPr>
          <w:rFonts w:ascii="Arial" w:hAnsi="Arial" w:cs="Arial"/>
          <w:sz w:val="24"/>
          <w:szCs w:val="24"/>
        </w:rPr>
        <w:t xml:space="preserve"> </w:t>
      </w:r>
      <w:r w:rsidRPr="00A413E4">
        <w:rPr>
          <w:rFonts w:ascii="Arial" w:hAnsi="Arial" w:cs="Arial"/>
          <w:sz w:val="24"/>
          <w:szCs w:val="24"/>
        </w:rPr>
        <w:t>approximately exponentially distributed. We tested the hypothesis that the rate of stroke</w:t>
      </w:r>
      <w:r w:rsidR="00B8586D">
        <w:rPr>
          <w:rFonts w:ascii="Arial" w:hAnsi="Arial" w:cs="Arial"/>
          <w:sz w:val="24"/>
          <w:szCs w:val="24"/>
        </w:rPr>
        <w:t xml:space="preserve"> </w:t>
      </w:r>
      <w:r w:rsidRPr="00A413E4">
        <w:rPr>
          <w:rFonts w:ascii="Arial" w:hAnsi="Arial" w:cs="Arial"/>
          <w:sz w:val="24"/>
          <w:szCs w:val="24"/>
        </w:rPr>
        <w:t>will be 3.0 events/100 person-years and 9.0 events/100 person-years in the moderate fixed</w:t>
      </w:r>
      <w:r w:rsidR="00B8586D">
        <w:rPr>
          <w:rFonts w:ascii="Arial" w:hAnsi="Arial" w:cs="Arial"/>
          <w:sz w:val="24"/>
          <w:szCs w:val="24"/>
        </w:rPr>
        <w:t xml:space="preserve"> </w:t>
      </w:r>
      <w:r w:rsidRPr="00A413E4">
        <w:rPr>
          <w:rFonts w:ascii="Arial" w:hAnsi="Arial" w:cs="Arial"/>
          <w:sz w:val="24"/>
          <w:szCs w:val="24"/>
        </w:rPr>
        <w:t>dose</w:t>
      </w:r>
      <w:r w:rsidR="00B8586D">
        <w:rPr>
          <w:rFonts w:ascii="Arial" w:hAnsi="Arial" w:cs="Arial"/>
          <w:sz w:val="24"/>
          <w:szCs w:val="24"/>
        </w:rPr>
        <w:t xml:space="preserve"> </w:t>
      </w:r>
      <w:r w:rsidRPr="00A413E4">
        <w:rPr>
          <w:rFonts w:ascii="Arial" w:hAnsi="Arial" w:cs="Arial"/>
          <w:sz w:val="24"/>
          <w:szCs w:val="24"/>
        </w:rPr>
        <w:t>and low fixed-dose hydroxyurea groups, respectively. With a recruitment period of</w:t>
      </w:r>
      <w:r w:rsidR="00B8586D">
        <w:rPr>
          <w:rFonts w:ascii="Arial" w:hAnsi="Arial" w:cs="Arial"/>
          <w:sz w:val="24"/>
          <w:szCs w:val="24"/>
        </w:rPr>
        <w:t xml:space="preserve"> </w:t>
      </w:r>
      <w:r w:rsidRPr="00A413E4">
        <w:rPr>
          <w:rFonts w:ascii="Arial" w:hAnsi="Arial" w:cs="Arial"/>
          <w:sz w:val="24"/>
          <w:szCs w:val="24"/>
        </w:rPr>
        <w:t>2 years, minimum follow-up time of 3 years, and 9% loss to follow-up in each group per</w:t>
      </w:r>
      <w:r w:rsidR="00B8586D">
        <w:rPr>
          <w:rFonts w:ascii="Arial" w:hAnsi="Arial" w:cs="Arial"/>
          <w:sz w:val="24"/>
          <w:szCs w:val="24"/>
        </w:rPr>
        <w:t xml:space="preserve"> </w:t>
      </w:r>
      <w:r w:rsidRPr="00A413E4">
        <w:rPr>
          <w:rFonts w:ascii="Arial" w:hAnsi="Arial" w:cs="Arial"/>
          <w:sz w:val="24"/>
          <w:szCs w:val="24"/>
        </w:rPr>
        <w:t>year, an overall sample size of 220 participants (110 in the fixed moderate-dose group and</w:t>
      </w:r>
      <w:r w:rsidR="00B8586D">
        <w:rPr>
          <w:rFonts w:ascii="Arial" w:hAnsi="Arial" w:cs="Arial"/>
          <w:sz w:val="24"/>
          <w:szCs w:val="24"/>
        </w:rPr>
        <w:t xml:space="preserve"> </w:t>
      </w:r>
      <w:r w:rsidRPr="00A413E4">
        <w:rPr>
          <w:rFonts w:ascii="Arial" w:hAnsi="Arial" w:cs="Arial"/>
          <w:sz w:val="24"/>
          <w:szCs w:val="24"/>
        </w:rPr>
        <w:t>110 in the fixed low-dose group) achieves at least 90% power at a 0.05 significance level. A</w:t>
      </w:r>
    </w:p>
    <w:p w14:paraId="1C3B3070"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modified-intention-to-treat (mITT) principle will compare incidence rates of stroke or</w:t>
      </w:r>
    </w:p>
    <w:p w14:paraId="25BE0724" w14:textId="77777777" w:rsidR="00E05D3F"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TIA between the moderate fixed versus low fixed-dose hydroxyurea groups. The primary</w:t>
      </w:r>
      <w:r w:rsidR="00B8586D">
        <w:rPr>
          <w:rFonts w:ascii="Arial" w:hAnsi="Arial" w:cs="Arial"/>
          <w:sz w:val="24"/>
          <w:szCs w:val="24"/>
        </w:rPr>
        <w:t xml:space="preserve"> </w:t>
      </w:r>
      <w:r w:rsidRPr="00A413E4">
        <w:rPr>
          <w:rFonts w:ascii="Arial" w:hAnsi="Arial" w:cs="Arial"/>
          <w:sz w:val="24"/>
          <w:szCs w:val="24"/>
        </w:rPr>
        <w:t>analysis, based on mITT, will include randomly allocated participants who receive at least</w:t>
      </w:r>
      <w:r w:rsidR="00B8586D">
        <w:rPr>
          <w:rFonts w:ascii="Arial" w:hAnsi="Arial" w:cs="Arial"/>
          <w:sz w:val="24"/>
          <w:szCs w:val="24"/>
        </w:rPr>
        <w:t xml:space="preserve"> </w:t>
      </w:r>
      <w:r w:rsidRPr="00A413E4">
        <w:rPr>
          <w:rFonts w:ascii="Arial" w:hAnsi="Arial" w:cs="Arial"/>
          <w:sz w:val="24"/>
          <w:szCs w:val="24"/>
        </w:rPr>
        <w:t>a month of hydroxyurea. A month is selected because this is the minimum period for</w:t>
      </w:r>
      <w:r w:rsidR="00B8586D">
        <w:rPr>
          <w:rFonts w:ascii="Arial" w:hAnsi="Arial" w:cs="Arial"/>
          <w:sz w:val="24"/>
          <w:szCs w:val="24"/>
        </w:rPr>
        <w:t xml:space="preserve"> </w:t>
      </w:r>
      <w:r w:rsidRPr="00A413E4">
        <w:rPr>
          <w:rFonts w:ascii="Arial" w:hAnsi="Arial" w:cs="Arial"/>
          <w:sz w:val="24"/>
          <w:szCs w:val="24"/>
        </w:rPr>
        <w:t>which hydroxyurea is expected to have any clinically relevant adverse laboratory or clinical</w:t>
      </w:r>
      <w:r w:rsidR="00B8586D">
        <w:rPr>
          <w:rFonts w:ascii="Arial" w:hAnsi="Arial" w:cs="Arial"/>
          <w:sz w:val="24"/>
          <w:szCs w:val="24"/>
        </w:rPr>
        <w:t xml:space="preserve"> </w:t>
      </w:r>
      <w:r w:rsidRPr="00A413E4">
        <w:rPr>
          <w:rFonts w:ascii="Arial" w:hAnsi="Arial" w:cs="Arial"/>
          <w:sz w:val="24"/>
          <w:szCs w:val="24"/>
        </w:rPr>
        <w:t>outcome. For the multivariable data analysis, a generalized linear model and a Cox proportional</w:t>
      </w:r>
      <w:r w:rsidR="00B8586D">
        <w:rPr>
          <w:rFonts w:ascii="Arial" w:hAnsi="Arial" w:cs="Arial"/>
          <w:sz w:val="24"/>
          <w:szCs w:val="24"/>
        </w:rPr>
        <w:t xml:space="preserve"> </w:t>
      </w:r>
      <w:r w:rsidRPr="00A413E4">
        <w:rPr>
          <w:rFonts w:ascii="Arial" w:hAnsi="Arial" w:cs="Arial"/>
          <w:sz w:val="24"/>
          <w:szCs w:val="24"/>
        </w:rPr>
        <w:t>hazard model will be used to adjust for important covariates, including the actual</w:t>
      </w:r>
      <w:r w:rsidR="00B8586D">
        <w:rPr>
          <w:rFonts w:ascii="Arial" w:hAnsi="Arial" w:cs="Arial"/>
          <w:sz w:val="24"/>
          <w:szCs w:val="24"/>
        </w:rPr>
        <w:t xml:space="preserve"> </w:t>
      </w:r>
      <w:r w:rsidRPr="00A413E4">
        <w:rPr>
          <w:rFonts w:ascii="Arial" w:hAnsi="Arial" w:cs="Arial"/>
          <w:sz w:val="24"/>
          <w:szCs w:val="24"/>
        </w:rPr>
        <w:t>dose of hydroxyurea received and known confounders to assess risk factors for stroke.</w:t>
      </w:r>
    </w:p>
    <w:p w14:paraId="0624AA60" w14:textId="77777777" w:rsidR="00B8586D" w:rsidRPr="00A413E4" w:rsidRDefault="00B8586D" w:rsidP="00E05D3F">
      <w:pPr>
        <w:autoSpaceDE w:val="0"/>
        <w:autoSpaceDN w:val="0"/>
        <w:adjustRightInd w:val="0"/>
        <w:spacing w:after="0" w:line="240" w:lineRule="auto"/>
        <w:rPr>
          <w:rFonts w:ascii="Arial" w:hAnsi="Arial" w:cs="Arial"/>
          <w:sz w:val="24"/>
          <w:szCs w:val="24"/>
        </w:rPr>
      </w:pPr>
    </w:p>
    <w:p w14:paraId="47A8E47D" w14:textId="77777777" w:rsidR="00E05D3F" w:rsidRPr="00B8586D" w:rsidRDefault="00E05D3F" w:rsidP="00E05D3F">
      <w:pPr>
        <w:autoSpaceDE w:val="0"/>
        <w:autoSpaceDN w:val="0"/>
        <w:adjustRightInd w:val="0"/>
        <w:spacing w:after="0" w:line="240" w:lineRule="auto"/>
        <w:rPr>
          <w:rFonts w:ascii="Arial" w:hAnsi="Arial" w:cs="Arial"/>
          <w:b/>
          <w:sz w:val="24"/>
          <w:szCs w:val="24"/>
        </w:rPr>
      </w:pPr>
      <w:r w:rsidRPr="00B8586D">
        <w:rPr>
          <w:rFonts w:ascii="Arial" w:hAnsi="Arial" w:cs="Arial"/>
          <w:b/>
          <w:sz w:val="24"/>
          <w:szCs w:val="24"/>
        </w:rPr>
        <w:t>Data management</w:t>
      </w:r>
    </w:p>
    <w:p w14:paraId="3552716B" w14:textId="77777777" w:rsidR="00E05D3F"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Data will be entered and managed using REDCapVR data system hosted at Vanderbilt,</w:t>
      </w:r>
      <w:r w:rsidR="00B8586D">
        <w:rPr>
          <w:rFonts w:ascii="Arial" w:hAnsi="Arial" w:cs="Arial"/>
          <w:sz w:val="24"/>
          <w:szCs w:val="24"/>
        </w:rPr>
        <w:t xml:space="preserve"> </w:t>
      </w:r>
      <w:r w:rsidRPr="00A413E4">
        <w:rPr>
          <w:rFonts w:ascii="Arial" w:hAnsi="Arial" w:cs="Arial"/>
          <w:sz w:val="24"/>
          <w:szCs w:val="24"/>
        </w:rPr>
        <w:t>with each participant having a unique identifier.20</w:t>
      </w:r>
    </w:p>
    <w:p w14:paraId="36D5DFD4" w14:textId="77777777" w:rsidR="00B8586D" w:rsidRPr="00A413E4" w:rsidRDefault="00B8586D" w:rsidP="00E05D3F">
      <w:pPr>
        <w:autoSpaceDE w:val="0"/>
        <w:autoSpaceDN w:val="0"/>
        <w:adjustRightInd w:val="0"/>
        <w:spacing w:after="0" w:line="240" w:lineRule="auto"/>
        <w:rPr>
          <w:rFonts w:ascii="Arial" w:hAnsi="Arial" w:cs="Arial"/>
          <w:sz w:val="24"/>
          <w:szCs w:val="24"/>
        </w:rPr>
      </w:pPr>
    </w:p>
    <w:p w14:paraId="45F88635" w14:textId="77777777" w:rsidR="00E05D3F" w:rsidRPr="00B8586D" w:rsidRDefault="00E05D3F" w:rsidP="00E05D3F">
      <w:pPr>
        <w:autoSpaceDE w:val="0"/>
        <w:autoSpaceDN w:val="0"/>
        <w:adjustRightInd w:val="0"/>
        <w:spacing w:after="0" w:line="240" w:lineRule="auto"/>
        <w:rPr>
          <w:rFonts w:ascii="Arial" w:hAnsi="Arial" w:cs="Arial"/>
          <w:b/>
          <w:sz w:val="24"/>
          <w:szCs w:val="24"/>
        </w:rPr>
      </w:pPr>
      <w:r w:rsidRPr="00B8586D">
        <w:rPr>
          <w:rFonts w:ascii="Arial" w:hAnsi="Arial" w:cs="Arial"/>
          <w:b/>
          <w:sz w:val="24"/>
          <w:szCs w:val="24"/>
        </w:rPr>
        <w:t>Interim data and stopping rules and data and safety monitoring</w:t>
      </w:r>
    </w:p>
    <w:p w14:paraId="6A416FF3"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There will be one interim analysis for efficacy conducted using the Lan-DeMets procedure</w:t>
      </w:r>
      <w:r w:rsidR="00B8586D">
        <w:rPr>
          <w:rFonts w:ascii="Arial" w:hAnsi="Arial" w:cs="Arial"/>
          <w:sz w:val="24"/>
          <w:szCs w:val="24"/>
        </w:rPr>
        <w:t xml:space="preserve"> </w:t>
      </w:r>
      <w:r w:rsidRPr="00A413E4">
        <w:rPr>
          <w:rFonts w:ascii="Arial" w:hAnsi="Arial" w:cs="Arial"/>
          <w:sz w:val="24"/>
          <w:szCs w:val="24"/>
        </w:rPr>
        <w:t>with an O’Brien-Fleming stopping boundary to account for the interim analysis and the</w:t>
      </w:r>
      <w:r w:rsidR="00B8586D">
        <w:rPr>
          <w:rFonts w:ascii="Arial" w:hAnsi="Arial" w:cs="Arial"/>
          <w:sz w:val="24"/>
          <w:szCs w:val="24"/>
        </w:rPr>
        <w:t xml:space="preserve"> </w:t>
      </w:r>
      <w:r w:rsidRPr="00A413E4">
        <w:rPr>
          <w:rFonts w:ascii="Arial" w:hAnsi="Arial" w:cs="Arial"/>
          <w:sz w:val="24"/>
          <w:szCs w:val="24"/>
        </w:rPr>
        <w:t>final analysis. An intention to-treat analysis will be used for the interim analysis to assess</w:t>
      </w:r>
      <w:r w:rsidR="00B8586D">
        <w:rPr>
          <w:rFonts w:ascii="Arial" w:hAnsi="Arial" w:cs="Arial"/>
          <w:sz w:val="24"/>
          <w:szCs w:val="24"/>
        </w:rPr>
        <w:t xml:space="preserve"> </w:t>
      </w:r>
      <w:r w:rsidRPr="00A413E4">
        <w:rPr>
          <w:rFonts w:ascii="Arial" w:hAnsi="Arial" w:cs="Arial"/>
          <w:sz w:val="24"/>
          <w:szCs w:val="24"/>
        </w:rPr>
        <w:t>futility. The significance boundary for the final analysis will be P_0.047. One interim analysis</w:t>
      </w:r>
      <w:r w:rsidR="00B8586D">
        <w:rPr>
          <w:rFonts w:ascii="Arial" w:hAnsi="Arial" w:cs="Arial"/>
          <w:sz w:val="24"/>
          <w:szCs w:val="24"/>
        </w:rPr>
        <w:t xml:space="preserve"> </w:t>
      </w:r>
      <w:r w:rsidRPr="00A413E4">
        <w:rPr>
          <w:rFonts w:ascii="Arial" w:hAnsi="Arial" w:cs="Arial"/>
          <w:sz w:val="24"/>
          <w:szCs w:val="24"/>
        </w:rPr>
        <w:t>for futility, based on the stochastic curtailment method, will be performed by calculation</w:t>
      </w:r>
      <w:r w:rsidR="00B8586D">
        <w:rPr>
          <w:rFonts w:ascii="Arial" w:hAnsi="Arial" w:cs="Arial"/>
          <w:sz w:val="24"/>
          <w:szCs w:val="24"/>
        </w:rPr>
        <w:t xml:space="preserve"> </w:t>
      </w:r>
      <w:r w:rsidRPr="00A413E4">
        <w:rPr>
          <w:rFonts w:ascii="Arial" w:hAnsi="Arial" w:cs="Arial"/>
          <w:sz w:val="24"/>
          <w:szCs w:val="24"/>
        </w:rPr>
        <w:t>of conditional power, an estimate of the probability that the trial shows a statistically</w:t>
      </w:r>
      <w:r w:rsidR="00B8586D">
        <w:rPr>
          <w:rFonts w:ascii="Arial" w:hAnsi="Arial" w:cs="Arial"/>
          <w:sz w:val="24"/>
          <w:szCs w:val="24"/>
        </w:rPr>
        <w:t xml:space="preserve"> </w:t>
      </w:r>
      <w:r w:rsidRPr="00A413E4">
        <w:rPr>
          <w:rFonts w:ascii="Arial" w:hAnsi="Arial" w:cs="Arial"/>
          <w:sz w:val="24"/>
          <w:szCs w:val="24"/>
        </w:rPr>
        <w:t>significant effect on the primary endpoint, i.e., stroke rate, given the results to date and</w:t>
      </w:r>
    </w:p>
    <w:p w14:paraId="6B70AF2B"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assumptions regarding outcome through the end of the trial. The analysis will occur at the</w:t>
      </w:r>
      <w:r w:rsidR="00B8586D">
        <w:rPr>
          <w:rFonts w:ascii="Arial" w:hAnsi="Arial" w:cs="Arial"/>
          <w:sz w:val="24"/>
          <w:szCs w:val="24"/>
        </w:rPr>
        <w:t xml:space="preserve"> </w:t>
      </w:r>
      <w:r w:rsidRPr="00A413E4">
        <w:rPr>
          <w:rFonts w:ascii="Arial" w:hAnsi="Arial" w:cs="Arial"/>
          <w:sz w:val="24"/>
          <w:szCs w:val="24"/>
        </w:rPr>
        <w:t>halfway point of the person-year accrual. A recommendation to stop the trial for futility</w:t>
      </w:r>
      <w:r w:rsidR="00B8586D">
        <w:rPr>
          <w:rFonts w:ascii="Arial" w:hAnsi="Arial" w:cs="Arial"/>
          <w:sz w:val="24"/>
          <w:szCs w:val="24"/>
        </w:rPr>
        <w:t xml:space="preserve"> </w:t>
      </w:r>
      <w:r w:rsidRPr="00A413E4">
        <w:rPr>
          <w:rFonts w:ascii="Arial" w:hAnsi="Arial" w:cs="Arial"/>
          <w:sz w:val="24"/>
          <w:szCs w:val="24"/>
        </w:rPr>
        <w:t xml:space="preserve">will require a conditional power below 30%, under the observed efficacy </w:t>
      </w:r>
      <w:r w:rsidRPr="00A413E4">
        <w:rPr>
          <w:rFonts w:ascii="Arial" w:hAnsi="Arial" w:cs="Arial"/>
          <w:sz w:val="24"/>
          <w:szCs w:val="24"/>
        </w:rPr>
        <w:lastRenderedPageBreak/>
        <w:t>trend at the time</w:t>
      </w:r>
      <w:r w:rsidR="00B8586D">
        <w:rPr>
          <w:rFonts w:ascii="Arial" w:hAnsi="Arial" w:cs="Arial"/>
          <w:sz w:val="24"/>
          <w:szCs w:val="24"/>
        </w:rPr>
        <w:t xml:space="preserve"> </w:t>
      </w:r>
      <w:r w:rsidRPr="00A413E4">
        <w:rPr>
          <w:rFonts w:ascii="Arial" w:hAnsi="Arial" w:cs="Arial"/>
          <w:sz w:val="24"/>
          <w:szCs w:val="24"/>
        </w:rPr>
        <w:t>of interim analysis, with two-sided type I error &lt;5%. The superiority of stroke rate will be</w:t>
      </w:r>
      <w:r w:rsidR="00B8586D">
        <w:rPr>
          <w:rFonts w:ascii="Arial" w:hAnsi="Arial" w:cs="Arial"/>
          <w:sz w:val="24"/>
          <w:szCs w:val="24"/>
        </w:rPr>
        <w:t xml:space="preserve"> </w:t>
      </w:r>
      <w:r w:rsidRPr="00A413E4">
        <w:rPr>
          <w:rFonts w:ascii="Arial" w:hAnsi="Arial" w:cs="Arial"/>
          <w:sz w:val="24"/>
          <w:szCs w:val="24"/>
        </w:rPr>
        <w:t>based on the upper limit of O’Brien-Fleming at the interim analysis. For the first look stopping</w:t>
      </w:r>
      <w:r w:rsidR="00B8586D">
        <w:rPr>
          <w:rFonts w:ascii="Arial" w:hAnsi="Arial" w:cs="Arial"/>
          <w:sz w:val="24"/>
          <w:szCs w:val="24"/>
        </w:rPr>
        <w:t xml:space="preserve"> </w:t>
      </w:r>
      <w:r w:rsidRPr="00A413E4">
        <w:rPr>
          <w:rFonts w:ascii="Arial" w:hAnsi="Arial" w:cs="Arial"/>
          <w:sz w:val="24"/>
          <w:szCs w:val="24"/>
        </w:rPr>
        <w:t xml:space="preserve">rule will apply an alpha </w:t>
      </w:r>
      <w:r w:rsidR="00B8586D">
        <w:rPr>
          <w:rFonts w:ascii="Arial" w:hAnsi="Arial" w:cs="Arial"/>
          <w:sz w:val="24"/>
          <w:szCs w:val="24"/>
        </w:rPr>
        <w:t>=</w:t>
      </w:r>
      <w:r w:rsidRPr="00A413E4">
        <w:rPr>
          <w:rFonts w:ascii="Arial" w:hAnsi="Arial" w:cs="Arial"/>
          <w:sz w:val="24"/>
          <w:szCs w:val="24"/>
        </w:rPr>
        <w:t xml:space="preserve"> 0.005. The proposed sample size of 110 per arm is adjusted</w:t>
      </w:r>
      <w:r w:rsidR="00B8586D">
        <w:rPr>
          <w:rFonts w:ascii="Arial" w:hAnsi="Arial" w:cs="Arial"/>
          <w:sz w:val="24"/>
          <w:szCs w:val="24"/>
        </w:rPr>
        <w:t xml:space="preserve"> </w:t>
      </w:r>
      <w:r w:rsidRPr="00A413E4">
        <w:rPr>
          <w:rFonts w:ascii="Arial" w:hAnsi="Arial" w:cs="Arial"/>
          <w:sz w:val="24"/>
          <w:szCs w:val="24"/>
        </w:rPr>
        <w:t>for the interim analyses, i.e., types I and II errors.</w:t>
      </w:r>
    </w:p>
    <w:p w14:paraId="5CFCE20E"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We will also calculate the 95% confidence interval (CI) of the 1-year mortality rate ratio.</w:t>
      </w:r>
    </w:p>
    <w:p w14:paraId="6C792067" w14:textId="77777777" w:rsidR="00E05D3F"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At the interim analysis, if the lower boundary of the 95% CI is greater than 1.17 (equivalent</w:t>
      </w:r>
      <w:r w:rsidR="00B8586D">
        <w:rPr>
          <w:rFonts w:ascii="Arial" w:hAnsi="Arial" w:cs="Arial"/>
          <w:sz w:val="24"/>
          <w:szCs w:val="24"/>
        </w:rPr>
        <w:t xml:space="preserve"> </w:t>
      </w:r>
      <w:r w:rsidRPr="00A413E4">
        <w:rPr>
          <w:rFonts w:ascii="Arial" w:hAnsi="Arial" w:cs="Arial"/>
          <w:sz w:val="24"/>
          <w:szCs w:val="24"/>
        </w:rPr>
        <w:t>to the non-inferior limit of 0.85), then the trial will be paused, and a meeting will be</w:t>
      </w:r>
      <w:r w:rsidR="00B8586D">
        <w:rPr>
          <w:rFonts w:ascii="Arial" w:hAnsi="Arial" w:cs="Arial"/>
          <w:sz w:val="24"/>
          <w:szCs w:val="24"/>
        </w:rPr>
        <w:t xml:space="preserve"> </w:t>
      </w:r>
      <w:r w:rsidRPr="00A413E4">
        <w:rPr>
          <w:rFonts w:ascii="Arial" w:hAnsi="Arial" w:cs="Arial"/>
          <w:sz w:val="24"/>
          <w:szCs w:val="24"/>
        </w:rPr>
        <w:t>held with the DSMB to address the relative merits of stopping the trial or moving forward.</w:t>
      </w:r>
    </w:p>
    <w:p w14:paraId="7DDD1024" w14:textId="77777777" w:rsidR="00B8586D" w:rsidRPr="00A413E4" w:rsidRDefault="00B8586D" w:rsidP="00E05D3F">
      <w:pPr>
        <w:autoSpaceDE w:val="0"/>
        <w:autoSpaceDN w:val="0"/>
        <w:adjustRightInd w:val="0"/>
        <w:spacing w:after="0" w:line="240" w:lineRule="auto"/>
        <w:rPr>
          <w:rFonts w:ascii="Arial" w:hAnsi="Arial" w:cs="Arial"/>
          <w:sz w:val="24"/>
          <w:szCs w:val="24"/>
        </w:rPr>
      </w:pPr>
    </w:p>
    <w:p w14:paraId="24C137AE" w14:textId="77777777" w:rsidR="00E05D3F" w:rsidRPr="00B8586D" w:rsidRDefault="00E05D3F" w:rsidP="00E05D3F">
      <w:pPr>
        <w:autoSpaceDE w:val="0"/>
        <w:autoSpaceDN w:val="0"/>
        <w:adjustRightInd w:val="0"/>
        <w:spacing w:after="0" w:line="240" w:lineRule="auto"/>
        <w:rPr>
          <w:rFonts w:ascii="Arial" w:hAnsi="Arial" w:cs="Arial"/>
          <w:b/>
          <w:sz w:val="24"/>
          <w:szCs w:val="24"/>
        </w:rPr>
      </w:pPr>
      <w:r w:rsidRPr="00B8586D">
        <w:rPr>
          <w:rFonts w:ascii="Arial" w:hAnsi="Arial" w:cs="Arial"/>
          <w:b/>
          <w:sz w:val="24"/>
          <w:szCs w:val="24"/>
        </w:rPr>
        <w:t>Discussion</w:t>
      </w:r>
    </w:p>
    <w:p w14:paraId="2381D8C4"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Approximately 150,000 children with SCA are born every year in Nigeria,22 50% of all</w:t>
      </w:r>
      <w:r w:rsidR="00B8586D">
        <w:rPr>
          <w:rFonts w:ascii="Arial" w:hAnsi="Arial" w:cs="Arial"/>
          <w:sz w:val="24"/>
          <w:szCs w:val="24"/>
        </w:rPr>
        <w:t xml:space="preserve"> </w:t>
      </w:r>
      <w:r w:rsidRPr="00A413E4">
        <w:rPr>
          <w:rFonts w:ascii="Arial" w:hAnsi="Arial" w:cs="Arial"/>
          <w:sz w:val="24"/>
          <w:szCs w:val="24"/>
        </w:rPr>
        <w:t>children born annually with SCA in the world.23 No strategy to decrease the global burden</w:t>
      </w:r>
      <w:r w:rsidR="00B8586D">
        <w:rPr>
          <w:rFonts w:ascii="Arial" w:hAnsi="Arial" w:cs="Arial"/>
          <w:sz w:val="24"/>
          <w:szCs w:val="24"/>
        </w:rPr>
        <w:t xml:space="preserve"> </w:t>
      </w:r>
      <w:r w:rsidRPr="00A413E4">
        <w:rPr>
          <w:rFonts w:ascii="Arial" w:hAnsi="Arial" w:cs="Arial"/>
          <w:sz w:val="24"/>
          <w:szCs w:val="24"/>
        </w:rPr>
        <w:t>of strokes in children with SCA can be considered without including an approachfor primary stroke prevention in children living in Nigeria. The long-term goal of the</w:t>
      </w:r>
      <w:r w:rsidR="00B8586D">
        <w:rPr>
          <w:rFonts w:ascii="Arial" w:hAnsi="Arial" w:cs="Arial"/>
          <w:sz w:val="24"/>
          <w:szCs w:val="24"/>
        </w:rPr>
        <w:t xml:space="preserve"> </w:t>
      </w:r>
      <w:r w:rsidRPr="00A413E4">
        <w:rPr>
          <w:rFonts w:ascii="Arial" w:hAnsi="Arial" w:cs="Arial"/>
          <w:sz w:val="24"/>
          <w:szCs w:val="24"/>
        </w:rPr>
        <w:t>SPRING Trial is to determine the optimal dose of hydroxyurea therapy for primary</w:t>
      </w:r>
      <w:r w:rsidR="00B8586D">
        <w:rPr>
          <w:rFonts w:ascii="Arial" w:hAnsi="Arial" w:cs="Arial"/>
          <w:sz w:val="24"/>
          <w:szCs w:val="24"/>
        </w:rPr>
        <w:t xml:space="preserve"> </w:t>
      </w:r>
      <w:r w:rsidRPr="00A413E4">
        <w:rPr>
          <w:rFonts w:ascii="Arial" w:hAnsi="Arial" w:cs="Arial"/>
          <w:sz w:val="24"/>
          <w:szCs w:val="24"/>
        </w:rPr>
        <w:t>stroke prevention in Nigeria. Based on the results of the SPIN trial,3 and in the absence</w:t>
      </w:r>
      <w:r w:rsidR="00B8586D">
        <w:rPr>
          <w:rFonts w:ascii="Arial" w:hAnsi="Arial" w:cs="Arial"/>
          <w:sz w:val="24"/>
          <w:szCs w:val="24"/>
        </w:rPr>
        <w:t xml:space="preserve"> </w:t>
      </w:r>
      <w:r w:rsidRPr="00A413E4">
        <w:rPr>
          <w:rFonts w:ascii="Arial" w:hAnsi="Arial" w:cs="Arial"/>
          <w:sz w:val="24"/>
          <w:szCs w:val="24"/>
        </w:rPr>
        <w:t>of further data, moderate fixed-dose 20 mg/kg/day is considered the standard care arm</w:t>
      </w:r>
      <w:r w:rsidR="00B8586D">
        <w:rPr>
          <w:rFonts w:ascii="Arial" w:hAnsi="Arial" w:cs="Arial"/>
          <w:sz w:val="24"/>
          <w:szCs w:val="24"/>
        </w:rPr>
        <w:t xml:space="preserve"> </w:t>
      </w:r>
      <w:r w:rsidRPr="00A413E4">
        <w:rPr>
          <w:rFonts w:ascii="Arial" w:hAnsi="Arial" w:cs="Arial"/>
          <w:sz w:val="24"/>
          <w:szCs w:val="24"/>
        </w:rPr>
        <w:t>of the SPRING randomized controlled trial, and 10 mg/kg/day is the experimental arm</w:t>
      </w:r>
      <w:r w:rsidR="00B8586D">
        <w:rPr>
          <w:rFonts w:ascii="Arial" w:hAnsi="Arial" w:cs="Arial"/>
          <w:sz w:val="24"/>
          <w:szCs w:val="24"/>
        </w:rPr>
        <w:t xml:space="preserve"> </w:t>
      </w:r>
      <w:r w:rsidRPr="00A413E4">
        <w:rPr>
          <w:rFonts w:ascii="Arial" w:hAnsi="Arial" w:cs="Arial"/>
          <w:sz w:val="24"/>
          <w:szCs w:val="24"/>
        </w:rPr>
        <w:t>of the trial. In the SPIN trial all participants had TCD _ 200 cm/sec at trial entry and</w:t>
      </w:r>
      <w:r w:rsidR="00B8586D">
        <w:rPr>
          <w:rFonts w:ascii="Arial" w:hAnsi="Arial" w:cs="Arial"/>
          <w:sz w:val="24"/>
          <w:szCs w:val="24"/>
        </w:rPr>
        <w:t xml:space="preserve"> </w:t>
      </w:r>
      <w:r w:rsidRPr="00A413E4">
        <w:rPr>
          <w:rFonts w:ascii="Arial" w:hAnsi="Arial" w:cs="Arial"/>
          <w:sz w:val="24"/>
          <w:szCs w:val="24"/>
        </w:rPr>
        <w:t>received a fixed moderate-dose of 20 mg/kg/day, three months after beginning hydroxyurea,</w:t>
      </w:r>
      <w:r w:rsidR="00B8586D">
        <w:rPr>
          <w:rFonts w:ascii="Arial" w:hAnsi="Arial" w:cs="Arial"/>
          <w:sz w:val="24"/>
          <w:szCs w:val="24"/>
        </w:rPr>
        <w:t xml:space="preserve"> </w:t>
      </w:r>
      <w:r w:rsidRPr="00A413E4">
        <w:rPr>
          <w:rFonts w:ascii="Arial" w:hAnsi="Arial" w:cs="Arial"/>
          <w:sz w:val="24"/>
          <w:szCs w:val="24"/>
        </w:rPr>
        <w:t>80% of the participants had TCD measurement below 200 cm/sec and maintained</w:t>
      </w:r>
      <w:r w:rsidR="00B8586D">
        <w:rPr>
          <w:rFonts w:ascii="Arial" w:hAnsi="Arial" w:cs="Arial"/>
          <w:sz w:val="24"/>
          <w:szCs w:val="24"/>
        </w:rPr>
        <w:t xml:space="preserve"> a</w:t>
      </w:r>
      <w:r w:rsidRPr="00A413E4">
        <w:rPr>
          <w:rFonts w:ascii="Arial" w:hAnsi="Arial" w:cs="Arial"/>
          <w:sz w:val="24"/>
          <w:szCs w:val="24"/>
        </w:rPr>
        <w:t xml:space="preserve"> normal TCD value for more than 12 months.24 Most importantly, in the SPIN trial,</w:t>
      </w:r>
      <w:r w:rsidR="00B8586D">
        <w:rPr>
          <w:rFonts w:ascii="Arial" w:hAnsi="Arial" w:cs="Arial"/>
          <w:sz w:val="24"/>
          <w:szCs w:val="24"/>
        </w:rPr>
        <w:t xml:space="preserve"> </w:t>
      </w:r>
      <w:r w:rsidRPr="00A413E4">
        <w:rPr>
          <w:rFonts w:ascii="Arial" w:hAnsi="Arial" w:cs="Arial"/>
          <w:sz w:val="24"/>
          <w:szCs w:val="24"/>
        </w:rPr>
        <w:t>the stroke incidence rate was far less than expected for children with abnormal TCD</w:t>
      </w:r>
      <w:r w:rsidR="00B8586D">
        <w:rPr>
          <w:rFonts w:ascii="Arial" w:hAnsi="Arial" w:cs="Arial"/>
          <w:sz w:val="24"/>
          <w:szCs w:val="24"/>
        </w:rPr>
        <w:t xml:space="preserve"> </w:t>
      </w:r>
      <w:r w:rsidRPr="00A413E4">
        <w:rPr>
          <w:rFonts w:ascii="Arial" w:hAnsi="Arial" w:cs="Arial"/>
          <w:sz w:val="24"/>
          <w:szCs w:val="24"/>
        </w:rPr>
        <w:t>measurements if 20 mg/kg/day of hydroxyurea was not effective in preventing strokes.</w:t>
      </w:r>
    </w:p>
    <w:p w14:paraId="4765A6C7"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In preparation for this Phase III trial, we have strong preliminary data from our feasibility</w:t>
      </w:r>
      <w:r w:rsidR="00B8586D">
        <w:rPr>
          <w:rFonts w:ascii="Arial" w:hAnsi="Arial" w:cs="Arial"/>
          <w:sz w:val="24"/>
          <w:szCs w:val="24"/>
        </w:rPr>
        <w:t xml:space="preserve"> </w:t>
      </w:r>
      <w:r w:rsidRPr="00A413E4">
        <w:rPr>
          <w:rFonts w:ascii="Arial" w:hAnsi="Arial" w:cs="Arial"/>
          <w:sz w:val="24"/>
          <w:szCs w:val="24"/>
        </w:rPr>
        <w:t>(SPIN) trial in Kano, Nigeria, and others24–27 demonstrating the efficacy of at least</w:t>
      </w:r>
      <w:r w:rsidR="00B8586D">
        <w:rPr>
          <w:rFonts w:ascii="Arial" w:hAnsi="Arial" w:cs="Arial"/>
          <w:sz w:val="24"/>
          <w:szCs w:val="24"/>
        </w:rPr>
        <w:t xml:space="preserve"> </w:t>
      </w:r>
      <w:r w:rsidRPr="00A413E4">
        <w:rPr>
          <w:rFonts w:ascii="Arial" w:hAnsi="Arial" w:cs="Arial"/>
          <w:sz w:val="24"/>
          <w:szCs w:val="24"/>
        </w:rPr>
        <w:t>moderate-dose hydroxyurea therapy (20 mg/kg/day) for primary stroke prevention</w:t>
      </w:r>
      <w:r w:rsidR="00B8586D">
        <w:rPr>
          <w:rFonts w:ascii="Arial" w:hAnsi="Arial" w:cs="Arial"/>
          <w:sz w:val="24"/>
          <w:szCs w:val="24"/>
        </w:rPr>
        <w:t xml:space="preserve"> </w:t>
      </w:r>
      <w:r w:rsidRPr="00A413E4">
        <w:rPr>
          <w:rFonts w:ascii="Arial" w:hAnsi="Arial" w:cs="Arial"/>
          <w:sz w:val="24"/>
          <w:szCs w:val="24"/>
        </w:rPr>
        <w:t>(Figure 2). SPIN trial participants with abnormal TCD measurements experienced a</w:t>
      </w:r>
      <w:r w:rsidR="00B8586D">
        <w:rPr>
          <w:rFonts w:ascii="Arial" w:hAnsi="Arial" w:cs="Arial"/>
          <w:sz w:val="24"/>
          <w:szCs w:val="24"/>
        </w:rPr>
        <w:t xml:space="preserve"> </w:t>
      </w:r>
      <w:r w:rsidRPr="00A413E4">
        <w:rPr>
          <w:rFonts w:ascii="Arial" w:hAnsi="Arial" w:cs="Arial"/>
          <w:sz w:val="24"/>
          <w:szCs w:val="24"/>
        </w:rPr>
        <w:t>drop in their TCD velocity to &lt; 200 cm/sec in three months. In comparison, in the</w:t>
      </w:r>
      <w:r w:rsidR="00B8586D">
        <w:rPr>
          <w:rFonts w:ascii="Arial" w:hAnsi="Arial" w:cs="Arial"/>
          <w:sz w:val="24"/>
          <w:szCs w:val="24"/>
        </w:rPr>
        <w:t xml:space="preserve"> </w:t>
      </w:r>
      <w:r w:rsidRPr="00A413E4">
        <w:rPr>
          <w:rFonts w:ascii="Arial" w:hAnsi="Arial" w:cs="Arial"/>
          <w:sz w:val="24"/>
          <w:szCs w:val="24"/>
        </w:rPr>
        <w:t>STOP trial, 52% of the participants had a drop in TCD velocity to a normal level, after</w:t>
      </w:r>
      <w:r w:rsidR="00B8586D">
        <w:rPr>
          <w:rFonts w:ascii="Arial" w:hAnsi="Arial" w:cs="Arial"/>
          <w:sz w:val="24"/>
          <w:szCs w:val="24"/>
        </w:rPr>
        <w:t xml:space="preserve"> </w:t>
      </w:r>
      <w:r w:rsidRPr="00A413E4">
        <w:rPr>
          <w:rFonts w:ascii="Arial" w:hAnsi="Arial" w:cs="Arial"/>
          <w:sz w:val="24"/>
          <w:szCs w:val="24"/>
        </w:rPr>
        <w:t>approximately 4 months.1 These data indirectly demonstrate the efficacy of moderate</w:t>
      </w:r>
      <w:r w:rsidR="00B8586D">
        <w:rPr>
          <w:rFonts w:ascii="Arial" w:hAnsi="Arial" w:cs="Arial"/>
          <w:sz w:val="24"/>
          <w:szCs w:val="24"/>
        </w:rPr>
        <w:t xml:space="preserve"> </w:t>
      </w:r>
      <w:r w:rsidRPr="00A413E4">
        <w:rPr>
          <w:rFonts w:ascii="Arial" w:hAnsi="Arial" w:cs="Arial"/>
          <w:sz w:val="24"/>
          <w:szCs w:val="24"/>
        </w:rPr>
        <w:t>dose hydroxyurea therapy for primary stroke prevention33 and when coupled with our</w:t>
      </w:r>
      <w:r w:rsidR="00B8586D">
        <w:rPr>
          <w:rFonts w:ascii="Arial" w:hAnsi="Arial" w:cs="Arial"/>
          <w:sz w:val="24"/>
          <w:szCs w:val="24"/>
        </w:rPr>
        <w:t xml:space="preserve"> </w:t>
      </w:r>
      <w:r w:rsidRPr="00A413E4">
        <w:rPr>
          <w:rFonts w:ascii="Arial" w:hAnsi="Arial" w:cs="Arial"/>
          <w:sz w:val="24"/>
          <w:szCs w:val="24"/>
        </w:rPr>
        <w:t>prior results from our feasibility trial, we have reached a threshold where a phase III</w:t>
      </w:r>
      <w:r w:rsidR="00B8586D">
        <w:rPr>
          <w:rFonts w:ascii="Arial" w:hAnsi="Arial" w:cs="Arial"/>
          <w:sz w:val="24"/>
          <w:szCs w:val="24"/>
        </w:rPr>
        <w:t xml:space="preserve"> </w:t>
      </w:r>
      <w:r w:rsidRPr="00A413E4">
        <w:rPr>
          <w:rFonts w:ascii="Arial" w:hAnsi="Arial" w:cs="Arial"/>
          <w:sz w:val="24"/>
          <w:szCs w:val="24"/>
        </w:rPr>
        <w:t>RCT for primary stroke prevention is compelling in children with SCA in Nigeria.</w:t>
      </w:r>
    </w:p>
    <w:p w14:paraId="21BBF663"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Given the early success of the SPIN trial, which was initiated before TWITCH19 and</w:t>
      </w:r>
    </w:p>
    <w:p w14:paraId="42E8027D"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REACH26 trials were started, we had no evidence that we should consider a maximum</w:t>
      </w:r>
      <w:r w:rsidR="00B8586D">
        <w:rPr>
          <w:rFonts w:ascii="Arial" w:hAnsi="Arial" w:cs="Arial"/>
          <w:sz w:val="24"/>
          <w:szCs w:val="24"/>
        </w:rPr>
        <w:t xml:space="preserve"> </w:t>
      </w:r>
      <w:r w:rsidRPr="00A413E4">
        <w:rPr>
          <w:rFonts w:ascii="Arial" w:hAnsi="Arial" w:cs="Arial"/>
          <w:sz w:val="24"/>
          <w:szCs w:val="24"/>
        </w:rPr>
        <w:t>tolerated dose (MTD) of hydroxyurea for primary stroke prevention. Further, in young</w:t>
      </w:r>
      <w:r w:rsidR="00B8586D">
        <w:rPr>
          <w:rFonts w:ascii="Arial" w:hAnsi="Arial" w:cs="Arial"/>
          <w:sz w:val="24"/>
          <w:szCs w:val="24"/>
        </w:rPr>
        <w:t xml:space="preserve"> </w:t>
      </w:r>
      <w:r w:rsidRPr="00A413E4">
        <w:rPr>
          <w:rFonts w:ascii="Arial" w:hAnsi="Arial" w:cs="Arial"/>
          <w:sz w:val="24"/>
          <w:szCs w:val="24"/>
        </w:rPr>
        <w:t>children with SCA, the REACH trial was conducted in multiple countries in Africa,</w:t>
      </w:r>
      <w:r w:rsidR="00B8586D">
        <w:rPr>
          <w:rFonts w:ascii="Arial" w:hAnsi="Arial" w:cs="Arial"/>
          <w:sz w:val="24"/>
          <w:szCs w:val="24"/>
        </w:rPr>
        <w:t xml:space="preserve"> </w:t>
      </w:r>
      <w:r w:rsidRPr="00A413E4">
        <w:rPr>
          <w:rFonts w:ascii="Arial" w:hAnsi="Arial" w:cs="Arial"/>
          <w:sz w:val="24"/>
          <w:szCs w:val="24"/>
        </w:rPr>
        <w:t>titrated hydroxyurea to the MTD, with a median result of 22 mg/kg/day, which is not</w:t>
      </w:r>
      <w:r w:rsidR="00B8586D">
        <w:rPr>
          <w:rFonts w:ascii="Arial" w:hAnsi="Arial" w:cs="Arial"/>
          <w:sz w:val="24"/>
          <w:szCs w:val="24"/>
        </w:rPr>
        <w:t xml:space="preserve"> </w:t>
      </w:r>
      <w:r w:rsidRPr="00A413E4">
        <w:rPr>
          <w:rFonts w:ascii="Arial" w:hAnsi="Arial" w:cs="Arial"/>
          <w:sz w:val="24"/>
          <w:szCs w:val="24"/>
        </w:rPr>
        <w:t>clinically different than our moderate fixed-dose of 20 mg/kg/day in the SPRING trial.</w:t>
      </w:r>
    </w:p>
    <w:p w14:paraId="59B45D09"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After the completion of the SPRING trial, we may able to determine whether there is</w:t>
      </w:r>
    </w:p>
    <w:p w14:paraId="7762041F"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a statistical difference in the incidence rate of strokes with fixed low-dose or fixed-moderate</w:t>
      </w:r>
      <w:r w:rsidR="00B8586D">
        <w:rPr>
          <w:rFonts w:ascii="Arial" w:hAnsi="Arial" w:cs="Arial"/>
          <w:sz w:val="24"/>
          <w:szCs w:val="24"/>
        </w:rPr>
        <w:t xml:space="preserve"> </w:t>
      </w:r>
      <w:r w:rsidRPr="00A413E4">
        <w:rPr>
          <w:rFonts w:ascii="Arial" w:hAnsi="Arial" w:cs="Arial"/>
          <w:sz w:val="24"/>
          <w:szCs w:val="24"/>
        </w:rPr>
        <w:t>dose hydroxyurea. Based on the evidence that moderate fixed-dose hydroxyurea</w:t>
      </w:r>
      <w:r w:rsidR="00B8586D">
        <w:rPr>
          <w:rFonts w:ascii="Arial" w:hAnsi="Arial" w:cs="Arial"/>
          <w:sz w:val="24"/>
          <w:szCs w:val="24"/>
        </w:rPr>
        <w:t xml:space="preserve"> </w:t>
      </w:r>
      <w:r w:rsidRPr="00A413E4">
        <w:rPr>
          <w:rFonts w:ascii="Arial" w:hAnsi="Arial" w:cs="Arial"/>
          <w:sz w:val="24"/>
          <w:szCs w:val="24"/>
        </w:rPr>
        <w:t xml:space="preserve">therapy lowers TCD values,3,4, 19, 25, 34–39 and is safe in children </w:t>
      </w:r>
      <w:r w:rsidRPr="00A413E4">
        <w:rPr>
          <w:rFonts w:ascii="Arial" w:hAnsi="Arial" w:cs="Arial"/>
          <w:sz w:val="24"/>
          <w:szCs w:val="24"/>
        </w:rPr>
        <w:lastRenderedPageBreak/>
        <w:t>with SCA living in</w:t>
      </w:r>
      <w:r w:rsidR="00B8586D">
        <w:rPr>
          <w:rFonts w:ascii="Arial" w:hAnsi="Arial" w:cs="Arial"/>
          <w:sz w:val="24"/>
          <w:szCs w:val="24"/>
        </w:rPr>
        <w:t xml:space="preserve"> </w:t>
      </w:r>
      <w:r w:rsidRPr="00A413E4">
        <w:rPr>
          <w:rFonts w:ascii="Arial" w:hAnsi="Arial" w:cs="Arial"/>
          <w:sz w:val="24"/>
          <w:szCs w:val="24"/>
        </w:rPr>
        <w:t>Africa,26 the remaining unanswered critical question is not whether hydroxyurea should</w:t>
      </w:r>
      <w:r w:rsidR="00B8586D">
        <w:rPr>
          <w:rFonts w:ascii="Arial" w:hAnsi="Arial" w:cs="Arial"/>
          <w:sz w:val="24"/>
          <w:szCs w:val="24"/>
        </w:rPr>
        <w:t xml:space="preserve"> </w:t>
      </w:r>
      <w:r w:rsidRPr="00A413E4">
        <w:rPr>
          <w:rFonts w:ascii="Arial" w:hAnsi="Arial" w:cs="Arial"/>
          <w:sz w:val="24"/>
          <w:szCs w:val="24"/>
        </w:rPr>
        <w:t>be initially used for stroke prevention, but what dose maximizes benefits and minimizes</w:t>
      </w:r>
      <w:r w:rsidR="00B8586D">
        <w:rPr>
          <w:rFonts w:ascii="Arial" w:hAnsi="Arial" w:cs="Arial"/>
          <w:sz w:val="24"/>
          <w:szCs w:val="24"/>
        </w:rPr>
        <w:t xml:space="preserve"> </w:t>
      </w:r>
      <w:r w:rsidRPr="00A413E4">
        <w:rPr>
          <w:rFonts w:ascii="Arial" w:hAnsi="Arial" w:cs="Arial"/>
          <w:sz w:val="24"/>
          <w:szCs w:val="24"/>
        </w:rPr>
        <w:t>cost, inconvenience, and toxicity.</w:t>
      </w:r>
    </w:p>
    <w:p w14:paraId="06452202"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Current recommendations for monitoring hydroxyurea associated myelosuppression</w:t>
      </w:r>
    </w:p>
    <w:p w14:paraId="25366D3C"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are based on precedent, and not clinical trial data demonstrating an optimal CBC surveillance</w:t>
      </w:r>
      <w:r w:rsidR="00B8586D">
        <w:rPr>
          <w:rFonts w:ascii="Arial" w:hAnsi="Arial" w:cs="Arial"/>
          <w:sz w:val="24"/>
          <w:szCs w:val="24"/>
        </w:rPr>
        <w:t xml:space="preserve"> </w:t>
      </w:r>
      <w:r w:rsidRPr="00A413E4">
        <w:rPr>
          <w:rFonts w:ascii="Arial" w:hAnsi="Arial" w:cs="Arial"/>
          <w:sz w:val="24"/>
          <w:szCs w:val="24"/>
        </w:rPr>
        <w:t>strategy. In the Baby HUG trial,4 fixed moderate-dose hydroxyurea therapy</w:t>
      </w:r>
      <w:r w:rsidR="00B8586D">
        <w:rPr>
          <w:rFonts w:ascii="Arial" w:hAnsi="Arial" w:cs="Arial"/>
          <w:sz w:val="24"/>
          <w:szCs w:val="24"/>
        </w:rPr>
        <w:t xml:space="preserve"> </w:t>
      </w:r>
      <w:r w:rsidRPr="00A413E4">
        <w:rPr>
          <w:rFonts w:ascii="Arial" w:hAnsi="Arial" w:cs="Arial"/>
          <w:sz w:val="24"/>
          <w:szCs w:val="24"/>
        </w:rPr>
        <w:t>(20 mg/kg/day) was compared to placebo, hydroxyurea was not associated with an absolute</w:t>
      </w:r>
      <w:r w:rsidR="00B8586D">
        <w:rPr>
          <w:rFonts w:ascii="Arial" w:hAnsi="Arial" w:cs="Arial"/>
          <w:sz w:val="24"/>
          <w:szCs w:val="24"/>
        </w:rPr>
        <w:t xml:space="preserve"> </w:t>
      </w:r>
      <w:r w:rsidRPr="00A413E4">
        <w:rPr>
          <w:rFonts w:ascii="Arial" w:hAnsi="Arial" w:cs="Arial"/>
          <w:sz w:val="24"/>
          <w:szCs w:val="24"/>
        </w:rPr>
        <w:t>neutrophil count less than &lt;500/mm3 or platelet count &lt;80_103/mm3. Given the</w:t>
      </w:r>
      <w:r w:rsidR="00B8586D">
        <w:rPr>
          <w:rFonts w:ascii="Arial" w:hAnsi="Arial" w:cs="Arial"/>
          <w:sz w:val="24"/>
          <w:szCs w:val="24"/>
        </w:rPr>
        <w:t xml:space="preserve"> </w:t>
      </w:r>
      <w:r w:rsidRPr="00A413E4">
        <w:rPr>
          <w:rFonts w:ascii="Arial" w:hAnsi="Arial" w:cs="Arial"/>
          <w:sz w:val="24"/>
          <w:szCs w:val="24"/>
        </w:rPr>
        <w:t>evidence that moderate fixed-dose hydroxyurea therapy is not a</w:t>
      </w:r>
      <w:r w:rsidR="00B8586D">
        <w:rPr>
          <w:rFonts w:ascii="Arial" w:hAnsi="Arial" w:cs="Arial"/>
          <w:sz w:val="24"/>
          <w:szCs w:val="24"/>
        </w:rPr>
        <w:t xml:space="preserve">ssociated with myelosuppression </w:t>
      </w:r>
      <w:r w:rsidRPr="00A413E4">
        <w:rPr>
          <w:rFonts w:ascii="Arial" w:hAnsi="Arial" w:cs="Arial"/>
          <w:sz w:val="24"/>
          <w:szCs w:val="24"/>
        </w:rPr>
        <w:t>in the vast majority of young children with SCA, we postulate that low</w:t>
      </w:r>
      <w:r w:rsidR="00B8586D">
        <w:rPr>
          <w:rFonts w:ascii="Arial" w:hAnsi="Arial" w:cs="Arial"/>
          <w:sz w:val="24"/>
          <w:szCs w:val="24"/>
        </w:rPr>
        <w:t xml:space="preserve"> </w:t>
      </w:r>
      <w:r w:rsidRPr="00A413E4">
        <w:rPr>
          <w:rFonts w:ascii="Arial" w:hAnsi="Arial" w:cs="Arial"/>
          <w:sz w:val="24"/>
          <w:szCs w:val="24"/>
        </w:rPr>
        <w:t>fixed-dose hydroxyurea will require even less frequent laboratory surveillance. All 220</w:t>
      </w:r>
      <w:r w:rsidR="00B8586D">
        <w:rPr>
          <w:rFonts w:ascii="Arial" w:hAnsi="Arial" w:cs="Arial"/>
          <w:sz w:val="24"/>
          <w:szCs w:val="24"/>
        </w:rPr>
        <w:t xml:space="preserve"> </w:t>
      </w:r>
      <w:r w:rsidRPr="00A413E4">
        <w:rPr>
          <w:rFonts w:ascii="Arial" w:hAnsi="Arial" w:cs="Arial"/>
          <w:sz w:val="24"/>
          <w:szCs w:val="24"/>
        </w:rPr>
        <w:t>participants (110 participants randomly allocated to low and moderate-fixed dose</w:t>
      </w:r>
      <w:r w:rsidR="00B8586D">
        <w:rPr>
          <w:rFonts w:ascii="Arial" w:hAnsi="Arial" w:cs="Arial"/>
          <w:sz w:val="24"/>
          <w:szCs w:val="24"/>
        </w:rPr>
        <w:t xml:space="preserve"> </w:t>
      </w:r>
      <w:r w:rsidRPr="00A413E4">
        <w:rPr>
          <w:rFonts w:ascii="Arial" w:hAnsi="Arial" w:cs="Arial"/>
          <w:sz w:val="24"/>
          <w:szCs w:val="24"/>
        </w:rPr>
        <w:t>hydroxyurea) will have planned monthly CBC assessments. The results of the SPRING</w:t>
      </w:r>
      <w:r w:rsidR="00F03FC9">
        <w:rPr>
          <w:rFonts w:ascii="Arial" w:hAnsi="Arial" w:cs="Arial"/>
          <w:sz w:val="24"/>
          <w:szCs w:val="24"/>
        </w:rPr>
        <w:t xml:space="preserve"> </w:t>
      </w:r>
      <w:r w:rsidRPr="00A413E4">
        <w:rPr>
          <w:rFonts w:ascii="Arial" w:hAnsi="Arial" w:cs="Arial"/>
          <w:sz w:val="24"/>
          <w:szCs w:val="24"/>
        </w:rPr>
        <w:t>trial may provide empirical evidence for determining the optimal CBC interval for</w:t>
      </w:r>
      <w:r w:rsidR="00F03FC9">
        <w:rPr>
          <w:rFonts w:ascii="Arial" w:hAnsi="Arial" w:cs="Arial"/>
          <w:sz w:val="24"/>
          <w:szCs w:val="24"/>
        </w:rPr>
        <w:t xml:space="preserve"> </w:t>
      </w:r>
      <w:r w:rsidRPr="00A413E4">
        <w:rPr>
          <w:rFonts w:ascii="Arial" w:hAnsi="Arial" w:cs="Arial"/>
          <w:sz w:val="24"/>
          <w:szCs w:val="24"/>
        </w:rPr>
        <w:t>hydroxyurea monitoring at low and moderate fixed dosing.</w:t>
      </w:r>
    </w:p>
    <w:p w14:paraId="34096DB7"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The SPRING trial will determine whether moderate fixed-dose versus low fixed-dose</w:t>
      </w:r>
    </w:p>
    <w:p w14:paraId="68C2D3EE"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hydroxyurea therapy can potentially prevent thousands of strokes in children living in</w:t>
      </w:r>
    </w:p>
    <w:p w14:paraId="1549321F" w14:textId="77777777" w:rsidR="00E05D3F"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Africa, while simultaneously training the next cadre of physician-scientists and research</w:t>
      </w:r>
      <w:r w:rsidR="00F03FC9">
        <w:rPr>
          <w:rFonts w:ascii="Arial" w:hAnsi="Arial" w:cs="Arial"/>
          <w:sz w:val="24"/>
          <w:szCs w:val="24"/>
        </w:rPr>
        <w:t xml:space="preserve"> </w:t>
      </w:r>
      <w:r w:rsidRPr="00A413E4">
        <w:rPr>
          <w:rFonts w:ascii="Arial" w:hAnsi="Arial" w:cs="Arial"/>
          <w:sz w:val="24"/>
          <w:szCs w:val="24"/>
        </w:rPr>
        <w:t>staff in Nigeria. The results will provide evidence for hydroxyurea therapy as an initial</w:t>
      </w:r>
      <w:r w:rsidR="00B8586D">
        <w:rPr>
          <w:rFonts w:ascii="Arial" w:hAnsi="Arial" w:cs="Arial"/>
          <w:sz w:val="24"/>
          <w:szCs w:val="24"/>
        </w:rPr>
        <w:t xml:space="preserve"> </w:t>
      </w:r>
      <w:r w:rsidRPr="00A413E4">
        <w:rPr>
          <w:rFonts w:ascii="Arial" w:hAnsi="Arial" w:cs="Arial"/>
          <w:sz w:val="24"/>
          <w:szCs w:val="24"/>
        </w:rPr>
        <w:t>alternative to blood transfusion therapy for children with abnormal TCD values living</w:t>
      </w:r>
      <w:r w:rsidR="00B8586D">
        <w:rPr>
          <w:rFonts w:ascii="Arial" w:hAnsi="Arial" w:cs="Arial"/>
          <w:sz w:val="24"/>
          <w:szCs w:val="24"/>
        </w:rPr>
        <w:t xml:space="preserve"> </w:t>
      </w:r>
      <w:r w:rsidRPr="00A413E4">
        <w:rPr>
          <w:rFonts w:ascii="Arial" w:hAnsi="Arial" w:cs="Arial"/>
          <w:sz w:val="24"/>
          <w:szCs w:val="24"/>
        </w:rPr>
        <w:t>in low-resource settings, where blood transfusion therapy is not practical for the majority</w:t>
      </w:r>
      <w:r w:rsidR="00F03FC9">
        <w:rPr>
          <w:rFonts w:ascii="Arial" w:hAnsi="Arial" w:cs="Arial"/>
          <w:sz w:val="24"/>
          <w:szCs w:val="24"/>
        </w:rPr>
        <w:t xml:space="preserve"> </w:t>
      </w:r>
      <w:r w:rsidRPr="00A413E4">
        <w:rPr>
          <w:rFonts w:ascii="Arial" w:hAnsi="Arial" w:cs="Arial"/>
          <w:sz w:val="24"/>
          <w:szCs w:val="24"/>
        </w:rPr>
        <w:t>of children.</w:t>
      </w:r>
    </w:p>
    <w:p w14:paraId="34148EE0" w14:textId="77777777" w:rsidR="00F03FC9" w:rsidRPr="00A413E4" w:rsidRDefault="00F03FC9" w:rsidP="00E05D3F">
      <w:pPr>
        <w:autoSpaceDE w:val="0"/>
        <w:autoSpaceDN w:val="0"/>
        <w:adjustRightInd w:val="0"/>
        <w:spacing w:after="0" w:line="240" w:lineRule="auto"/>
        <w:rPr>
          <w:rFonts w:ascii="Arial" w:hAnsi="Arial" w:cs="Arial"/>
          <w:sz w:val="24"/>
          <w:szCs w:val="24"/>
        </w:rPr>
      </w:pPr>
    </w:p>
    <w:p w14:paraId="13BA0962" w14:textId="77777777" w:rsidR="00E05D3F" w:rsidRPr="00F03FC9" w:rsidRDefault="00E05D3F" w:rsidP="00E05D3F">
      <w:pPr>
        <w:autoSpaceDE w:val="0"/>
        <w:autoSpaceDN w:val="0"/>
        <w:adjustRightInd w:val="0"/>
        <w:spacing w:after="0" w:line="240" w:lineRule="auto"/>
        <w:rPr>
          <w:rFonts w:ascii="Arial" w:hAnsi="Arial" w:cs="Arial"/>
          <w:b/>
          <w:sz w:val="24"/>
          <w:szCs w:val="24"/>
        </w:rPr>
      </w:pPr>
      <w:r w:rsidRPr="00F03FC9">
        <w:rPr>
          <w:rFonts w:ascii="Arial" w:hAnsi="Arial" w:cs="Arial"/>
          <w:b/>
          <w:sz w:val="24"/>
          <w:szCs w:val="24"/>
        </w:rPr>
        <w:t>Acknowledgements</w:t>
      </w:r>
    </w:p>
    <w:p w14:paraId="6306BE8E" w14:textId="77777777" w:rsidR="00E05D3F"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We are grateful to our research coordinator Bilya Sani, who tirelessly coordinated the trial in</w:t>
      </w:r>
      <w:r w:rsidR="00F03FC9">
        <w:rPr>
          <w:rFonts w:ascii="Arial" w:hAnsi="Arial" w:cs="Arial"/>
          <w:sz w:val="24"/>
          <w:szCs w:val="24"/>
        </w:rPr>
        <w:t xml:space="preserve"> </w:t>
      </w:r>
      <w:r w:rsidRPr="00A413E4">
        <w:rPr>
          <w:rFonts w:ascii="Arial" w:hAnsi="Arial" w:cs="Arial"/>
          <w:sz w:val="24"/>
          <w:szCs w:val="24"/>
        </w:rPr>
        <w:t>Kano, Nigeria. We appreciate Awwal Gambo, Fahad Usman, Abdulrasheed Sani, and Khadija</w:t>
      </w:r>
      <w:r w:rsidR="00F03FC9">
        <w:rPr>
          <w:rFonts w:ascii="Arial" w:hAnsi="Arial" w:cs="Arial"/>
          <w:sz w:val="24"/>
          <w:szCs w:val="24"/>
        </w:rPr>
        <w:t xml:space="preserve"> </w:t>
      </w:r>
      <w:r w:rsidRPr="00A413E4">
        <w:rPr>
          <w:rFonts w:ascii="Arial" w:hAnsi="Arial" w:cs="Arial"/>
          <w:sz w:val="24"/>
          <w:szCs w:val="24"/>
        </w:rPr>
        <w:t>Bulama for facilitating administrative and operational tasks required for the successful conduct of</w:t>
      </w:r>
      <w:r w:rsidR="00F03FC9">
        <w:rPr>
          <w:rFonts w:ascii="Arial" w:hAnsi="Arial" w:cs="Arial"/>
          <w:sz w:val="24"/>
          <w:szCs w:val="24"/>
        </w:rPr>
        <w:t xml:space="preserve"> </w:t>
      </w:r>
      <w:r w:rsidRPr="00A413E4">
        <w:rPr>
          <w:rFonts w:ascii="Arial" w:hAnsi="Arial" w:cs="Arial"/>
          <w:sz w:val="24"/>
          <w:szCs w:val="24"/>
        </w:rPr>
        <w:t>this trial. We thank the members of the DeBaun laboratory at Vanderbilt-Meharry Center of</w:t>
      </w:r>
      <w:r w:rsidR="00F03FC9">
        <w:rPr>
          <w:rFonts w:ascii="Arial" w:hAnsi="Arial" w:cs="Arial"/>
          <w:sz w:val="24"/>
          <w:szCs w:val="24"/>
        </w:rPr>
        <w:t xml:space="preserve"> </w:t>
      </w:r>
      <w:r w:rsidRPr="00A413E4">
        <w:rPr>
          <w:rFonts w:ascii="Arial" w:hAnsi="Arial" w:cs="Arial"/>
          <w:sz w:val="24"/>
          <w:szCs w:val="24"/>
        </w:rPr>
        <w:t>Excellence in Sickle Cell Disease for their support of this work.</w:t>
      </w:r>
    </w:p>
    <w:p w14:paraId="14C93225" w14:textId="77777777" w:rsidR="00F03FC9" w:rsidRPr="00A413E4" w:rsidRDefault="00F03FC9" w:rsidP="00E05D3F">
      <w:pPr>
        <w:autoSpaceDE w:val="0"/>
        <w:autoSpaceDN w:val="0"/>
        <w:adjustRightInd w:val="0"/>
        <w:spacing w:after="0" w:line="240" w:lineRule="auto"/>
        <w:rPr>
          <w:rFonts w:ascii="Arial" w:hAnsi="Arial" w:cs="Arial"/>
          <w:sz w:val="24"/>
          <w:szCs w:val="24"/>
        </w:rPr>
      </w:pPr>
    </w:p>
    <w:p w14:paraId="05955FC8" w14:textId="77777777" w:rsidR="00E05D3F" w:rsidRPr="00F03FC9" w:rsidRDefault="00E05D3F" w:rsidP="00E05D3F">
      <w:pPr>
        <w:autoSpaceDE w:val="0"/>
        <w:autoSpaceDN w:val="0"/>
        <w:adjustRightInd w:val="0"/>
        <w:spacing w:after="0" w:line="240" w:lineRule="auto"/>
        <w:rPr>
          <w:rFonts w:ascii="Arial" w:hAnsi="Arial" w:cs="Arial"/>
          <w:b/>
          <w:sz w:val="24"/>
          <w:szCs w:val="24"/>
        </w:rPr>
      </w:pPr>
      <w:r w:rsidRPr="00F03FC9">
        <w:rPr>
          <w:rFonts w:ascii="Arial" w:hAnsi="Arial" w:cs="Arial"/>
          <w:b/>
          <w:sz w:val="24"/>
          <w:szCs w:val="24"/>
        </w:rPr>
        <w:t>Authorship contributors</w:t>
      </w:r>
    </w:p>
    <w:p w14:paraId="4E8820D2" w14:textId="77777777" w:rsidR="00E05D3F"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MD, LJ, MA, FK, NG, KN, AK, SA, MT designed the trial; and all coauthors wrote and reviewed</w:t>
      </w:r>
      <w:r w:rsidR="00F03FC9">
        <w:rPr>
          <w:rFonts w:ascii="Arial" w:hAnsi="Arial" w:cs="Arial"/>
          <w:sz w:val="24"/>
          <w:szCs w:val="24"/>
        </w:rPr>
        <w:t xml:space="preserve"> </w:t>
      </w:r>
      <w:r w:rsidRPr="00A413E4">
        <w:rPr>
          <w:rFonts w:ascii="Arial" w:hAnsi="Arial" w:cs="Arial"/>
          <w:sz w:val="24"/>
          <w:szCs w:val="24"/>
        </w:rPr>
        <w:t>the manuscript.</w:t>
      </w:r>
    </w:p>
    <w:p w14:paraId="575FF5B9" w14:textId="77777777" w:rsidR="00F03FC9" w:rsidRPr="00A413E4" w:rsidRDefault="00F03FC9" w:rsidP="00E05D3F">
      <w:pPr>
        <w:autoSpaceDE w:val="0"/>
        <w:autoSpaceDN w:val="0"/>
        <w:adjustRightInd w:val="0"/>
        <w:spacing w:after="0" w:line="240" w:lineRule="auto"/>
        <w:rPr>
          <w:rFonts w:ascii="Arial" w:hAnsi="Arial" w:cs="Arial"/>
          <w:sz w:val="24"/>
          <w:szCs w:val="24"/>
        </w:rPr>
      </w:pPr>
    </w:p>
    <w:p w14:paraId="1762A775" w14:textId="77777777" w:rsidR="00E05D3F" w:rsidRPr="00F03FC9" w:rsidRDefault="00E05D3F" w:rsidP="00E05D3F">
      <w:pPr>
        <w:autoSpaceDE w:val="0"/>
        <w:autoSpaceDN w:val="0"/>
        <w:adjustRightInd w:val="0"/>
        <w:spacing w:after="0" w:line="240" w:lineRule="auto"/>
        <w:rPr>
          <w:rFonts w:ascii="Arial" w:hAnsi="Arial" w:cs="Arial"/>
          <w:b/>
          <w:sz w:val="24"/>
          <w:szCs w:val="24"/>
        </w:rPr>
      </w:pPr>
      <w:r w:rsidRPr="00F03FC9">
        <w:rPr>
          <w:rFonts w:ascii="Arial" w:hAnsi="Arial" w:cs="Arial"/>
          <w:b/>
          <w:sz w:val="24"/>
          <w:szCs w:val="24"/>
        </w:rPr>
        <w:t>Disclosure statement</w:t>
      </w:r>
    </w:p>
    <w:p w14:paraId="3EBEE089"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The authors report no conflict of interest.</w:t>
      </w:r>
    </w:p>
    <w:p w14:paraId="3BB8C7FA" w14:textId="77777777" w:rsidR="00F03FC9" w:rsidRDefault="00F03FC9" w:rsidP="00E05D3F">
      <w:pPr>
        <w:autoSpaceDE w:val="0"/>
        <w:autoSpaceDN w:val="0"/>
        <w:adjustRightInd w:val="0"/>
        <w:spacing w:after="0" w:line="240" w:lineRule="auto"/>
        <w:rPr>
          <w:rFonts w:ascii="Arial" w:hAnsi="Arial" w:cs="Arial"/>
          <w:sz w:val="24"/>
          <w:szCs w:val="24"/>
        </w:rPr>
      </w:pPr>
    </w:p>
    <w:p w14:paraId="3ADCA45A" w14:textId="77777777" w:rsidR="00E05D3F" w:rsidRPr="00F03FC9" w:rsidRDefault="00E05D3F" w:rsidP="00E05D3F">
      <w:pPr>
        <w:autoSpaceDE w:val="0"/>
        <w:autoSpaceDN w:val="0"/>
        <w:adjustRightInd w:val="0"/>
        <w:spacing w:after="0" w:line="240" w:lineRule="auto"/>
        <w:rPr>
          <w:rFonts w:ascii="Arial" w:hAnsi="Arial" w:cs="Arial"/>
          <w:b/>
          <w:sz w:val="24"/>
          <w:szCs w:val="24"/>
        </w:rPr>
      </w:pPr>
      <w:r w:rsidRPr="00F03FC9">
        <w:rPr>
          <w:rFonts w:ascii="Arial" w:hAnsi="Arial" w:cs="Arial"/>
          <w:b/>
          <w:sz w:val="24"/>
          <w:szCs w:val="24"/>
        </w:rPr>
        <w:t>Funding</w:t>
      </w:r>
    </w:p>
    <w:p w14:paraId="3D99E511"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This work was supported by the National Institutes of Health [grant number: 1R01NS094041].</w:t>
      </w:r>
    </w:p>
    <w:p w14:paraId="53F584E2"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The sponsor did not have any role in the design and conduct of the trial; collection, management,</w:t>
      </w:r>
      <w:r w:rsidR="00B8586D">
        <w:rPr>
          <w:rFonts w:ascii="Arial" w:hAnsi="Arial" w:cs="Arial"/>
          <w:sz w:val="24"/>
          <w:szCs w:val="24"/>
        </w:rPr>
        <w:t xml:space="preserve"> </w:t>
      </w:r>
      <w:r w:rsidRPr="00A413E4">
        <w:rPr>
          <w:rFonts w:ascii="Arial" w:hAnsi="Arial" w:cs="Arial"/>
          <w:sz w:val="24"/>
          <w:szCs w:val="24"/>
        </w:rPr>
        <w:t>analysis, and interpretation of the data; preparation, review, or approval of the manuscript;</w:t>
      </w:r>
      <w:r w:rsidR="00B8586D">
        <w:rPr>
          <w:rFonts w:ascii="Arial" w:hAnsi="Arial" w:cs="Arial"/>
          <w:sz w:val="24"/>
          <w:szCs w:val="24"/>
        </w:rPr>
        <w:t xml:space="preserve"> </w:t>
      </w:r>
      <w:r w:rsidRPr="00A413E4">
        <w:rPr>
          <w:rFonts w:ascii="Arial" w:hAnsi="Arial" w:cs="Arial"/>
          <w:sz w:val="24"/>
          <w:szCs w:val="24"/>
        </w:rPr>
        <w:t>and decision to submit the manuscript for publication. Vanderbilt Endowed Chair Funds and a</w:t>
      </w:r>
      <w:r w:rsidR="00B8586D">
        <w:rPr>
          <w:rFonts w:ascii="Arial" w:hAnsi="Arial" w:cs="Arial"/>
          <w:sz w:val="24"/>
          <w:szCs w:val="24"/>
        </w:rPr>
        <w:t xml:space="preserve"> </w:t>
      </w:r>
      <w:r w:rsidRPr="00A413E4">
        <w:rPr>
          <w:rFonts w:ascii="Arial" w:hAnsi="Arial" w:cs="Arial"/>
          <w:sz w:val="24"/>
          <w:szCs w:val="24"/>
        </w:rPr>
        <w:t>gift from the David and Mary Phillips family greatly facilitated the conduct of this trial when gap</w:t>
      </w:r>
      <w:r w:rsidR="00B8586D">
        <w:rPr>
          <w:rFonts w:ascii="Arial" w:hAnsi="Arial" w:cs="Arial"/>
          <w:sz w:val="24"/>
          <w:szCs w:val="24"/>
        </w:rPr>
        <w:t xml:space="preserve"> </w:t>
      </w:r>
      <w:r w:rsidRPr="00A413E4">
        <w:rPr>
          <w:rFonts w:ascii="Arial" w:hAnsi="Arial" w:cs="Arial"/>
          <w:sz w:val="24"/>
          <w:szCs w:val="24"/>
        </w:rPr>
        <w:t>funding and expenses could not be allocated to the federal grant.</w:t>
      </w:r>
    </w:p>
    <w:p w14:paraId="0CF7A56D" w14:textId="77777777" w:rsidR="00E05D3F" w:rsidRPr="00A413E4" w:rsidRDefault="00B8586D" w:rsidP="00E05D3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ORCID </w:t>
      </w:r>
      <w:r w:rsidR="00E05D3F" w:rsidRPr="00A413E4">
        <w:rPr>
          <w:rFonts w:ascii="Arial" w:hAnsi="Arial" w:cs="Arial"/>
          <w:sz w:val="24"/>
          <w:szCs w:val="24"/>
        </w:rPr>
        <w:t>Michael R. DeBaun http://orcid.org/0000-0002-0574-1604</w:t>
      </w:r>
    </w:p>
    <w:p w14:paraId="1391F97A" w14:textId="77777777" w:rsidR="00F03FC9" w:rsidRDefault="00F03FC9">
      <w:pPr>
        <w:rPr>
          <w:rFonts w:ascii="Arial" w:hAnsi="Arial" w:cs="Arial"/>
          <w:sz w:val="24"/>
          <w:szCs w:val="24"/>
        </w:rPr>
      </w:pPr>
      <w:r>
        <w:rPr>
          <w:rFonts w:ascii="Arial" w:hAnsi="Arial" w:cs="Arial"/>
          <w:sz w:val="24"/>
          <w:szCs w:val="24"/>
        </w:rPr>
        <w:br w:type="page"/>
      </w:r>
    </w:p>
    <w:p w14:paraId="621C7D9B" w14:textId="77777777" w:rsidR="00E05D3F" w:rsidRPr="00F03FC9" w:rsidRDefault="00E05D3F" w:rsidP="00E05D3F">
      <w:pPr>
        <w:autoSpaceDE w:val="0"/>
        <w:autoSpaceDN w:val="0"/>
        <w:adjustRightInd w:val="0"/>
        <w:spacing w:after="0" w:line="240" w:lineRule="auto"/>
        <w:rPr>
          <w:rFonts w:ascii="Arial" w:hAnsi="Arial" w:cs="Arial"/>
          <w:b/>
          <w:sz w:val="24"/>
          <w:szCs w:val="24"/>
        </w:rPr>
      </w:pPr>
      <w:r w:rsidRPr="00F03FC9">
        <w:rPr>
          <w:rFonts w:ascii="Arial" w:hAnsi="Arial" w:cs="Arial"/>
          <w:b/>
          <w:sz w:val="24"/>
          <w:szCs w:val="24"/>
        </w:rPr>
        <w:lastRenderedPageBreak/>
        <w:t>References</w:t>
      </w:r>
    </w:p>
    <w:p w14:paraId="7A0B9DAA"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1. Adams RJ, McKie VC, Hsu L, et al. Prevention of a first stroke by transfusions in children</w:t>
      </w:r>
      <w:r w:rsidR="00B8586D">
        <w:rPr>
          <w:rFonts w:ascii="Arial" w:hAnsi="Arial" w:cs="Arial"/>
          <w:sz w:val="24"/>
          <w:szCs w:val="24"/>
        </w:rPr>
        <w:t xml:space="preserve"> </w:t>
      </w:r>
      <w:r w:rsidRPr="00A413E4">
        <w:rPr>
          <w:rFonts w:ascii="Arial" w:hAnsi="Arial" w:cs="Arial"/>
          <w:sz w:val="24"/>
          <w:szCs w:val="24"/>
        </w:rPr>
        <w:t>with sickle cell anemia and abnormal results on transcranial Doppler ultrasonography. N</w:t>
      </w:r>
      <w:r w:rsidR="00B8586D">
        <w:rPr>
          <w:rFonts w:ascii="Arial" w:hAnsi="Arial" w:cs="Arial"/>
          <w:sz w:val="24"/>
          <w:szCs w:val="24"/>
        </w:rPr>
        <w:t xml:space="preserve"> </w:t>
      </w:r>
      <w:r w:rsidRPr="00A413E4">
        <w:rPr>
          <w:rFonts w:ascii="Arial" w:hAnsi="Arial" w:cs="Arial"/>
          <w:sz w:val="24"/>
          <w:szCs w:val="24"/>
        </w:rPr>
        <w:t>Engl J Med. 1998;339(1):5–11. doi:10.1056/NEJM199807023390102.</w:t>
      </w:r>
    </w:p>
    <w:p w14:paraId="2AAC745A"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2. Adams RJ, Brambilla D. Optimizing Primary Stroke Prevention in Sickle Cell Anemia Trial</w:t>
      </w:r>
      <w:r w:rsidR="00B8586D">
        <w:rPr>
          <w:rFonts w:ascii="Arial" w:hAnsi="Arial" w:cs="Arial"/>
          <w:sz w:val="24"/>
          <w:szCs w:val="24"/>
        </w:rPr>
        <w:t xml:space="preserve"> </w:t>
      </w:r>
      <w:r w:rsidRPr="00A413E4">
        <w:rPr>
          <w:rFonts w:ascii="Arial" w:hAnsi="Arial" w:cs="Arial"/>
          <w:sz w:val="24"/>
          <w:szCs w:val="24"/>
        </w:rPr>
        <w:t>I. Discontinuing prophylactic transfusions used to prevent stroke in sickle cell disease. The</w:t>
      </w:r>
      <w:r w:rsidR="00B8586D">
        <w:rPr>
          <w:rFonts w:ascii="Arial" w:hAnsi="Arial" w:cs="Arial"/>
          <w:sz w:val="24"/>
          <w:szCs w:val="24"/>
        </w:rPr>
        <w:t xml:space="preserve"> </w:t>
      </w:r>
      <w:r w:rsidRPr="00A413E4">
        <w:rPr>
          <w:rFonts w:ascii="Arial" w:hAnsi="Arial" w:cs="Arial"/>
          <w:sz w:val="24"/>
          <w:szCs w:val="24"/>
        </w:rPr>
        <w:t>New England J. Med. 2005;353:2769–2778.</w:t>
      </w:r>
    </w:p>
    <w:p w14:paraId="34F86242"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3. Galadanci NA, Umar Abdullahi S, Vance LD, et al. Feasibility trial for primary stroke prevention</w:t>
      </w:r>
      <w:r w:rsidR="00B8586D">
        <w:rPr>
          <w:rFonts w:ascii="Arial" w:hAnsi="Arial" w:cs="Arial"/>
          <w:sz w:val="24"/>
          <w:szCs w:val="24"/>
        </w:rPr>
        <w:t xml:space="preserve"> </w:t>
      </w:r>
      <w:r w:rsidRPr="00A413E4">
        <w:rPr>
          <w:rFonts w:ascii="Arial" w:hAnsi="Arial" w:cs="Arial"/>
          <w:sz w:val="24"/>
          <w:szCs w:val="24"/>
        </w:rPr>
        <w:t>in children with sickle cell anemia in Nigeria (SPIN trial). Am J Hematol. 2017;</w:t>
      </w:r>
      <w:r w:rsidR="00B8586D">
        <w:rPr>
          <w:rFonts w:ascii="Arial" w:hAnsi="Arial" w:cs="Arial"/>
          <w:sz w:val="24"/>
          <w:szCs w:val="24"/>
        </w:rPr>
        <w:t xml:space="preserve"> </w:t>
      </w:r>
      <w:r w:rsidRPr="00A413E4">
        <w:rPr>
          <w:rFonts w:ascii="Arial" w:hAnsi="Arial" w:cs="Arial"/>
          <w:sz w:val="24"/>
          <w:szCs w:val="24"/>
        </w:rPr>
        <w:t>92(8):780–788. doi:10.1002/ajh.24770.</w:t>
      </w:r>
    </w:p>
    <w:p w14:paraId="37DE5558"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4. Wang WC, Ware RE, Miller ST, et al. Hydroxycarbamide in very young children with</w:t>
      </w:r>
      <w:r w:rsidR="00B8586D">
        <w:rPr>
          <w:rFonts w:ascii="Arial" w:hAnsi="Arial" w:cs="Arial"/>
          <w:sz w:val="24"/>
          <w:szCs w:val="24"/>
        </w:rPr>
        <w:t xml:space="preserve"> </w:t>
      </w:r>
      <w:r w:rsidRPr="00A413E4">
        <w:rPr>
          <w:rFonts w:ascii="Arial" w:hAnsi="Arial" w:cs="Arial"/>
          <w:sz w:val="24"/>
          <w:szCs w:val="24"/>
        </w:rPr>
        <w:t>sickle-cell anaemia: a multicentre, randomised, controlled trial (BABY HUG). Lancet</w:t>
      </w:r>
      <w:r w:rsidR="00B8586D">
        <w:rPr>
          <w:rFonts w:ascii="Arial" w:hAnsi="Arial" w:cs="Arial"/>
          <w:sz w:val="24"/>
          <w:szCs w:val="24"/>
        </w:rPr>
        <w:t xml:space="preserve"> </w:t>
      </w:r>
      <w:r w:rsidRPr="00A413E4">
        <w:rPr>
          <w:rFonts w:ascii="Arial" w:hAnsi="Arial" w:cs="Arial"/>
          <w:sz w:val="24"/>
          <w:szCs w:val="24"/>
        </w:rPr>
        <w:t>(London, England). 2011;377(9778):1663–1672. doi:10.1016/S0140-6736(11)60355-3.</w:t>
      </w:r>
    </w:p>
    <w:p w14:paraId="677CE2DD"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5. Prospects WP. Nigeria Population. 2019.</w:t>
      </w:r>
    </w:p>
    <w:p w14:paraId="3D182695"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6. Galadanci N, Wudil BJ, Balogun TM, et al. Current sickle cell disease management practices</w:t>
      </w:r>
      <w:r w:rsidR="00B8586D">
        <w:rPr>
          <w:rFonts w:ascii="Arial" w:hAnsi="Arial" w:cs="Arial"/>
          <w:sz w:val="24"/>
          <w:szCs w:val="24"/>
        </w:rPr>
        <w:t xml:space="preserve"> </w:t>
      </w:r>
      <w:r w:rsidRPr="00A413E4">
        <w:rPr>
          <w:rFonts w:ascii="Arial" w:hAnsi="Arial" w:cs="Arial"/>
          <w:sz w:val="24"/>
          <w:szCs w:val="24"/>
        </w:rPr>
        <w:t>in Nigeria. Int Health. 2014;6(1):23–28. doi:10.1093/inthealth/iht022.</w:t>
      </w:r>
    </w:p>
    <w:p w14:paraId="628CE3FD"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7. Organization WH. The World Health Organization MONICA Project (monitoring trends</w:t>
      </w:r>
      <w:r w:rsidR="00B8586D">
        <w:rPr>
          <w:rFonts w:ascii="Arial" w:hAnsi="Arial" w:cs="Arial"/>
          <w:sz w:val="24"/>
          <w:szCs w:val="24"/>
        </w:rPr>
        <w:t xml:space="preserve"> </w:t>
      </w:r>
      <w:r w:rsidRPr="00A413E4">
        <w:rPr>
          <w:rFonts w:ascii="Arial" w:hAnsi="Arial" w:cs="Arial"/>
          <w:sz w:val="24"/>
          <w:szCs w:val="24"/>
        </w:rPr>
        <w:t>and determinants in cardiovascular disease): a major international collaboration. WHO</w:t>
      </w:r>
      <w:r w:rsidR="00B8586D">
        <w:rPr>
          <w:rFonts w:ascii="Arial" w:hAnsi="Arial" w:cs="Arial"/>
          <w:sz w:val="24"/>
          <w:szCs w:val="24"/>
        </w:rPr>
        <w:t xml:space="preserve"> </w:t>
      </w:r>
      <w:r w:rsidRPr="00A413E4">
        <w:rPr>
          <w:rFonts w:ascii="Arial" w:hAnsi="Arial" w:cs="Arial"/>
          <w:sz w:val="24"/>
          <w:szCs w:val="24"/>
        </w:rPr>
        <w:t>MONICA Project Principal Investigators. J Clin Epidemiol. 1988;41:105–114. doi:10.1016/</w:t>
      </w:r>
      <w:r w:rsidR="00B8586D">
        <w:rPr>
          <w:rFonts w:ascii="Arial" w:hAnsi="Arial" w:cs="Arial"/>
          <w:sz w:val="24"/>
          <w:szCs w:val="24"/>
        </w:rPr>
        <w:t xml:space="preserve"> </w:t>
      </w:r>
      <w:r w:rsidRPr="00A413E4">
        <w:rPr>
          <w:rFonts w:ascii="Arial" w:hAnsi="Arial" w:cs="Arial"/>
          <w:sz w:val="24"/>
          <w:szCs w:val="24"/>
        </w:rPr>
        <w:t>0895-4356(88)90084-4.</w:t>
      </w:r>
    </w:p>
    <w:p w14:paraId="52135426"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8. Ambe JP, Mava Y, Chama R, et al. Clinical features of sickle cell anaemia in northern</w:t>
      </w:r>
      <w:r w:rsidR="00B8586D">
        <w:rPr>
          <w:rFonts w:ascii="Arial" w:hAnsi="Arial" w:cs="Arial"/>
          <w:sz w:val="24"/>
          <w:szCs w:val="24"/>
        </w:rPr>
        <w:t xml:space="preserve"> </w:t>
      </w:r>
      <w:r w:rsidRPr="00A413E4">
        <w:rPr>
          <w:rFonts w:ascii="Arial" w:hAnsi="Arial" w:cs="Arial"/>
          <w:sz w:val="24"/>
          <w:szCs w:val="24"/>
        </w:rPr>
        <w:t>nigerian children. West African J Med. 2012;31(2):81–85.</w:t>
      </w:r>
    </w:p>
    <w:p w14:paraId="4A901D94"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9. Grosse SD, Odame I, Atrash HK, et al. Sickle cell disease in Africa: a neglected cause of</w:t>
      </w:r>
      <w:r w:rsidR="00B8586D">
        <w:rPr>
          <w:rFonts w:ascii="Arial" w:hAnsi="Arial" w:cs="Arial"/>
          <w:sz w:val="24"/>
          <w:szCs w:val="24"/>
        </w:rPr>
        <w:t xml:space="preserve"> </w:t>
      </w:r>
      <w:r w:rsidRPr="00A413E4">
        <w:rPr>
          <w:rFonts w:ascii="Arial" w:hAnsi="Arial" w:cs="Arial"/>
          <w:sz w:val="24"/>
          <w:szCs w:val="24"/>
        </w:rPr>
        <w:t>early childhood mortality. Am J Preventive Med. 2011;41(6 Suppl 4):S398–S405. doi:10.1016/j.amepre.2011.09.013.</w:t>
      </w:r>
    </w:p>
    <w:p w14:paraId="15CBA690"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10. Ikeh EI, Teclaire NN. Prevalence of malaria parasitaemia and associated factors in febrile</w:t>
      </w:r>
      <w:r w:rsidR="00B8586D">
        <w:rPr>
          <w:rFonts w:ascii="Arial" w:hAnsi="Arial" w:cs="Arial"/>
          <w:sz w:val="24"/>
          <w:szCs w:val="24"/>
        </w:rPr>
        <w:t xml:space="preserve"> </w:t>
      </w:r>
      <w:r w:rsidRPr="00A413E4">
        <w:rPr>
          <w:rFonts w:ascii="Arial" w:hAnsi="Arial" w:cs="Arial"/>
          <w:sz w:val="24"/>
          <w:szCs w:val="24"/>
        </w:rPr>
        <w:t>under-5 children seen in Primary Health Care Centres in Jos, North Central Nigeria. The</w:t>
      </w:r>
      <w:r w:rsidR="00B8586D">
        <w:rPr>
          <w:rFonts w:ascii="Arial" w:hAnsi="Arial" w:cs="Arial"/>
          <w:sz w:val="24"/>
          <w:szCs w:val="24"/>
        </w:rPr>
        <w:t xml:space="preserve"> </w:t>
      </w:r>
      <w:r w:rsidRPr="00A413E4">
        <w:rPr>
          <w:rFonts w:ascii="Arial" w:hAnsi="Arial" w:cs="Arial"/>
          <w:sz w:val="24"/>
          <w:szCs w:val="24"/>
        </w:rPr>
        <w:t>Nigerian Postgraduate Med J. 2008;15:65–69.</w:t>
      </w:r>
    </w:p>
    <w:p w14:paraId="40C19617"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11. Ezeonwu B, Chima O, Oguonu T, et al. Morbidity and mortality pattern of childhood illnesses</w:t>
      </w:r>
      <w:r w:rsidR="00B8586D">
        <w:rPr>
          <w:rFonts w:ascii="Arial" w:hAnsi="Arial" w:cs="Arial"/>
          <w:sz w:val="24"/>
          <w:szCs w:val="24"/>
        </w:rPr>
        <w:t xml:space="preserve"> </w:t>
      </w:r>
      <w:r w:rsidRPr="00A413E4">
        <w:rPr>
          <w:rFonts w:ascii="Arial" w:hAnsi="Arial" w:cs="Arial"/>
          <w:sz w:val="24"/>
          <w:szCs w:val="24"/>
        </w:rPr>
        <w:t>seen at the children emergency unit of federal medical center, asaba, Nigeria. Ann</w:t>
      </w:r>
      <w:r w:rsidR="00B8586D">
        <w:rPr>
          <w:rFonts w:ascii="Arial" w:hAnsi="Arial" w:cs="Arial"/>
          <w:sz w:val="24"/>
          <w:szCs w:val="24"/>
        </w:rPr>
        <w:t xml:space="preserve"> </w:t>
      </w:r>
      <w:r w:rsidRPr="00A413E4">
        <w:rPr>
          <w:rFonts w:ascii="Arial" w:hAnsi="Arial" w:cs="Arial"/>
          <w:sz w:val="24"/>
          <w:szCs w:val="24"/>
        </w:rPr>
        <w:t>Med Health Sci Res. 2014;4(9):239–244. doi:10.4103/2141-9248.141966.</w:t>
      </w:r>
    </w:p>
    <w:p w14:paraId="5DA7B789"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12. Neish AS, Blews DE, Simms CA, et al. Screening for stroke in sickle cell anemia: comparison</w:t>
      </w:r>
      <w:r w:rsidR="00B8586D">
        <w:rPr>
          <w:rFonts w:ascii="Arial" w:hAnsi="Arial" w:cs="Arial"/>
          <w:sz w:val="24"/>
          <w:szCs w:val="24"/>
        </w:rPr>
        <w:t xml:space="preserve"> </w:t>
      </w:r>
      <w:r w:rsidRPr="00A413E4">
        <w:rPr>
          <w:rFonts w:ascii="Arial" w:hAnsi="Arial" w:cs="Arial"/>
          <w:sz w:val="24"/>
          <w:szCs w:val="24"/>
        </w:rPr>
        <w:t>of transcranial Doppler imaging and nonimaging US techniques. Radiology. 2002;</w:t>
      </w:r>
      <w:r w:rsidR="00B8586D">
        <w:rPr>
          <w:rFonts w:ascii="Arial" w:hAnsi="Arial" w:cs="Arial"/>
          <w:sz w:val="24"/>
          <w:szCs w:val="24"/>
        </w:rPr>
        <w:t xml:space="preserve"> </w:t>
      </w:r>
      <w:r w:rsidRPr="00A413E4">
        <w:rPr>
          <w:rFonts w:ascii="Arial" w:hAnsi="Arial" w:cs="Arial"/>
          <w:sz w:val="24"/>
          <w:szCs w:val="24"/>
        </w:rPr>
        <w:t>222(3):709–714. doi:10.1148/radiol.2223010524.</w:t>
      </w:r>
    </w:p>
    <w:p w14:paraId="0638F20B" w14:textId="77777777" w:rsidR="00373BFB"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13. Ichord RN, Bastian R, Abraham L, et al. Interrater reliability of the Pediatric National</w:t>
      </w:r>
      <w:r w:rsidR="00B8586D">
        <w:rPr>
          <w:rFonts w:ascii="Arial" w:hAnsi="Arial" w:cs="Arial"/>
          <w:sz w:val="24"/>
          <w:szCs w:val="24"/>
        </w:rPr>
        <w:t xml:space="preserve"> </w:t>
      </w:r>
      <w:r w:rsidRPr="00A413E4">
        <w:rPr>
          <w:rFonts w:ascii="Arial" w:hAnsi="Arial" w:cs="Arial"/>
          <w:sz w:val="24"/>
          <w:szCs w:val="24"/>
        </w:rPr>
        <w:t>Institutes of Health Stroke Scale (PedNIHSS) in a multicenter study. Stroke. 2011;42(3):613–617. doi:10.1161/STROKEAHA.110.607192.</w:t>
      </w:r>
    </w:p>
    <w:p w14:paraId="51AA395B"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14. Brott T, Adams HP, Jr., Olinger CP, et al. Measurements of acute cerebral infarction: a</w:t>
      </w:r>
      <w:r w:rsidR="00B8586D">
        <w:rPr>
          <w:rFonts w:ascii="Arial" w:hAnsi="Arial" w:cs="Arial"/>
          <w:sz w:val="24"/>
          <w:szCs w:val="24"/>
        </w:rPr>
        <w:t xml:space="preserve"> </w:t>
      </w:r>
      <w:r w:rsidRPr="00A413E4">
        <w:rPr>
          <w:rFonts w:ascii="Arial" w:hAnsi="Arial" w:cs="Arial"/>
          <w:sz w:val="24"/>
          <w:szCs w:val="24"/>
        </w:rPr>
        <w:t>clinical examination scale. Stroke. 1989;20(7):864–870. doi:10.1161/01.str.20.7.864.</w:t>
      </w:r>
    </w:p>
    <w:p w14:paraId="0A673C17"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15. Lyden P, Brott T, Tilley B, et al. Improved reliability of the NIH Stroke Scale using video</w:t>
      </w:r>
      <w:r w:rsidR="00B8586D">
        <w:rPr>
          <w:rFonts w:ascii="Arial" w:hAnsi="Arial" w:cs="Arial"/>
          <w:sz w:val="24"/>
          <w:szCs w:val="24"/>
        </w:rPr>
        <w:t xml:space="preserve"> </w:t>
      </w:r>
      <w:r w:rsidRPr="00A413E4">
        <w:rPr>
          <w:rFonts w:ascii="Arial" w:hAnsi="Arial" w:cs="Arial"/>
          <w:sz w:val="24"/>
          <w:szCs w:val="24"/>
        </w:rPr>
        <w:t>training. NINDS TPA Stroke Study Group. Stroke. 1994;25(11):2220–2226. doi:10.1161/01.</w:t>
      </w:r>
      <w:r w:rsidR="00B8586D">
        <w:rPr>
          <w:rFonts w:ascii="Arial" w:hAnsi="Arial" w:cs="Arial"/>
          <w:sz w:val="24"/>
          <w:szCs w:val="24"/>
        </w:rPr>
        <w:t xml:space="preserve"> </w:t>
      </w:r>
      <w:r w:rsidRPr="00A413E4">
        <w:rPr>
          <w:rFonts w:ascii="Arial" w:hAnsi="Arial" w:cs="Arial"/>
          <w:sz w:val="24"/>
          <w:szCs w:val="24"/>
        </w:rPr>
        <w:t>STR.25.11.2220.</w:t>
      </w:r>
    </w:p>
    <w:p w14:paraId="357904A4"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16. Muir KW, Weir CJ, Murray GD, et al. Comparison of neurological scales and scoring systems</w:t>
      </w:r>
      <w:r w:rsidR="00B8586D">
        <w:rPr>
          <w:rFonts w:ascii="Arial" w:hAnsi="Arial" w:cs="Arial"/>
          <w:sz w:val="24"/>
          <w:szCs w:val="24"/>
        </w:rPr>
        <w:t xml:space="preserve"> </w:t>
      </w:r>
      <w:r w:rsidRPr="00A413E4">
        <w:rPr>
          <w:rFonts w:ascii="Arial" w:hAnsi="Arial" w:cs="Arial"/>
          <w:sz w:val="24"/>
          <w:szCs w:val="24"/>
        </w:rPr>
        <w:t>for acute stroke prognosis. Stroke. 1996;27(10):1817–1820. doi:10.1161/01.str.27.10.1817.</w:t>
      </w:r>
    </w:p>
    <w:p w14:paraId="7EB3C996"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lastRenderedPageBreak/>
        <w:t>17. Goldstein LB, Samsa GP. Reliability of the National Institutes of Health Stroke Scale.</w:t>
      </w:r>
      <w:r w:rsidR="00B8586D">
        <w:rPr>
          <w:rFonts w:ascii="Arial" w:hAnsi="Arial" w:cs="Arial"/>
          <w:sz w:val="24"/>
          <w:szCs w:val="24"/>
        </w:rPr>
        <w:t xml:space="preserve"> </w:t>
      </w:r>
      <w:r w:rsidRPr="00A413E4">
        <w:rPr>
          <w:rFonts w:ascii="Arial" w:hAnsi="Arial" w:cs="Arial"/>
          <w:sz w:val="24"/>
          <w:szCs w:val="24"/>
        </w:rPr>
        <w:t>Extension to non-neurologists in the context of a clinical trial. Stroke. 1997;28(2):307–310.doi:10.1161/01.str.28.2.307.</w:t>
      </w:r>
    </w:p>
    <w:p w14:paraId="524980AB"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18. Wicherts JM, Dolan CV, Carlson JS, et al. Raven’s test performance of sub-Saharan</w:t>
      </w:r>
      <w:r w:rsidR="00B8586D">
        <w:rPr>
          <w:rFonts w:ascii="Arial" w:hAnsi="Arial" w:cs="Arial"/>
          <w:sz w:val="24"/>
          <w:szCs w:val="24"/>
        </w:rPr>
        <w:t xml:space="preserve"> </w:t>
      </w:r>
      <w:r w:rsidRPr="00A413E4">
        <w:rPr>
          <w:rFonts w:ascii="Arial" w:hAnsi="Arial" w:cs="Arial"/>
          <w:sz w:val="24"/>
          <w:szCs w:val="24"/>
        </w:rPr>
        <w:t>Africans: average performance, psychometric properties, and the Flynn effect. Learn</w:t>
      </w:r>
      <w:r w:rsidR="00B8586D">
        <w:rPr>
          <w:rFonts w:ascii="Arial" w:hAnsi="Arial" w:cs="Arial"/>
          <w:sz w:val="24"/>
          <w:szCs w:val="24"/>
        </w:rPr>
        <w:t xml:space="preserve"> </w:t>
      </w:r>
      <w:r w:rsidRPr="00A413E4">
        <w:rPr>
          <w:rFonts w:ascii="Arial" w:hAnsi="Arial" w:cs="Arial"/>
          <w:sz w:val="24"/>
          <w:szCs w:val="24"/>
        </w:rPr>
        <w:t>Individual Differences. 2010;20(3):135–151. doi:10.1016/j.lindif.2009.12.001.</w:t>
      </w:r>
    </w:p>
    <w:p w14:paraId="68D9FFA7"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19. Ware RE, Davis BR, Schultz WH, et al. Hydroxycarbamide versus chronic transfusion for</w:t>
      </w:r>
      <w:r w:rsidR="00B8586D">
        <w:rPr>
          <w:rFonts w:ascii="Arial" w:hAnsi="Arial" w:cs="Arial"/>
          <w:sz w:val="24"/>
          <w:szCs w:val="24"/>
        </w:rPr>
        <w:t xml:space="preserve"> </w:t>
      </w:r>
      <w:r w:rsidRPr="00A413E4">
        <w:rPr>
          <w:rFonts w:ascii="Arial" w:hAnsi="Arial" w:cs="Arial"/>
          <w:sz w:val="24"/>
          <w:szCs w:val="24"/>
        </w:rPr>
        <w:t>maintenance of transcranial doppler flow velocities in children with sickle cell anaemia-TCD With Transfusions Changing to Hydroxyurea (TWiTCH): a multicentre, open-label,phase 3, non-inferiority trial. Lancet (London, England). 2016;387(10019):661–670. doi:10.1016/S0140-6736(15)01041-7.</w:t>
      </w:r>
    </w:p>
    <w:p w14:paraId="0E319A37"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20. Harris PA, Taylor R, Thielke R, et al. Research electronic data capture (REDCap)-a metadata-driven methodology and workflow process for providing translational research informatics</w:t>
      </w:r>
      <w:r w:rsidR="00B8586D">
        <w:rPr>
          <w:rFonts w:ascii="Arial" w:hAnsi="Arial" w:cs="Arial"/>
          <w:sz w:val="24"/>
          <w:szCs w:val="24"/>
        </w:rPr>
        <w:t xml:space="preserve"> </w:t>
      </w:r>
      <w:r w:rsidRPr="00A413E4">
        <w:rPr>
          <w:rFonts w:ascii="Arial" w:hAnsi="Arial" w:cs="Arial"/>
          <w:sz w:val="24"/>
          <w:szCs w:val="24"/>
        </w:rPr>
        <w:t>support. J Biomed Inform. 2009;42(2):377–381. doi:10.1016/j.jbi.2008.08.010.</w:t>
      </w:r>
    </w:p>
    <w:p w14:paraId="1FF5DCB7"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21. Queiroz AMM, Lobo C, EMd N, et al. The mean corpuscular volume and hydroxyurea in</w:t>
      </w:r>
      <w:r w:rsidR="00B8586D">
        <w:rPr>
          <w:rFonts w:ascii="Arial" w:hAnsi="Arial" w:cs="Arial"/>
          <w:sz w:val="24"/>
          <w:szCs w:val="24"/>
        </w:rPr>
        <w:t xml:space="preserve"> </w:t>
      </w:r>
      <w:r w:rsidRPr="00A413E4">
        <w:rPr>
          <w:rFonts w:ascii="Arial" w:hAnsi="Arial" w:cs="Arial"/>
          <w:sz w:val="24"/>
          <w:szCs w:val="24"/>
        </w:rPr>
        <w:t>Brazilian patients with sickle cell anemia: a surrogate marker of compliance. J Blood Disord</w:t>
      </w:r>
      <w:r w:rsidR="00B8586D">
        <w:rPr>
          <w:rFonts w:ascii="Arial" w:hAnsi="Arial" w:cs="Arial"/>
          <w:sz w:val="24"/>
          <w:szCs w:val="24"/>
        </w:rPr>
        <w:t xml:space="preserve"> </w:t>
      </w:r>
      <w:r w:rsidRPr="00A413E4">
        <w:rPr>
          <w:rFonts w:ascii="Arial" w:hAnsi="Arial" w:cs="Arial"/>
          <w:sz w:val="24"/>
          <w:szCs w:val="24"/>
        </w:rPr>
        <w:t>Transfusion. 2013;2013:1–4.</w:t>
      </w:r>
    </w:p>
    <w:p w14:paraId="36211CD1"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22. World Health Assembly. Sickle-cell anaemia: report by the Secretariat. Geneva, Switzerland:</w:t>
      </w:r>
      <w:r w:rsidR="00B8586D">
        <w:rPr>
          <w:rFonts w:ascii="Arial" w:hAnsi="Arial" w:cs="Arial"/>
          <w:sz w:val="24"/>
          <w:szCs w:val="24"/>
        </w:rPr>
        <w:t xml:space="preserve"> </w:t>
      </w:r>
      <w:r w:rsidRPr="00A413E4">
        <w:rPr>
          <w:rFonts w:ascii="Arial" w:hAnsi="Arial" w:cs="Arial"/>
          <w:sz w:val="24"/>
          <w:szCs w:val="24"/>
        </w:rPr>
        <w:t>World Health Organization; 2006. http://www.who.int/iris/handle/10665/20890. Accessed 1</w:t>
      </w:r>
    </w:p>
    <w:p w14:paraId="2F5B4A94"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October 2020.</w:t>
      </w:r>
    </w:p>
    <w:p w14:paraId="5C48E2A3"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23. Piel FB, Patil AP, Howes RE, et al. Global epidemiology of sickle haemoglobin in neonates:</w:t>
      </w:r>
      <w:r w:rsidR="00B8586D">
        <w:rPr>
          <w:rFonts w:ascii="Arial" w:hAnsi="Arial" w:cs="Arial"/>
          <w:sz w:val="24"/>
          <w:szCs w:val="24"/>
        </w:rPr>
        <w:t xml:space="preserve"> </w:t>
      </w:r>
      <w:r w:rsidRPr="00A413E4">
        <w:rPr>
          <w:rFonts w:ascii="Arial" w:hAnsi="Arial" w:cs="Arial"/>
          <w:sz w:val="24"/>
          <w:szCs w:val="24"/>
        </w:rPr>
        <w:t>a contemporary geostatistical model-based map and population estimates. Lancet (London,</w:t>
      </w:r>
      <w:r w:rsidR="00B8586D">
        <w:rPr>
          <w:rFonts w:ascii="Arial" w:hAnsi="Arial" w:cs="Arial"/>
          <w:sz w:val="24"/>
          <w:szCs w:val="24"/>
        </w:rPr>
        <w:t xml:space="preserve"> </w:t>
      </w:r>
      <w:r w:rsidRPr="00A413E4">
        <w:rPr>
          <w:rFonts w:ascii="Arial" w:hAnsi="Arial" w:cs="Arial"/>
          <w:sz w:val="24"/>
          <w:szCs w:val="24"/>
        </w:rPr>
        <w:t>England). 2013;381(9861):142–151. doi:10.1016/S0140-6736(12)61229-X.</w:t>
      </w:r>
    </w:p>
    <w:p w14:paraId="732B5D01"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24. DeBaun MR, Kirkham FJ. Central nervous system complications and management in sickle</w:t>
      </w:r>
      <w:r w:rsidR="00B8586D">
        <w:rPr>
          <w:rFonts w:ascii="Arial" w:hAnsi="Arial" w:cs="Arial"/>
          <w:sz w:val="24"/>
          <w:szCs w:val="24"/>
        </w:rPr>
        <w:t xml:space="preserve"> </w:t>
      </w:r>
      <w:r w:rsidRPr="00A413E4">
        <w:rPr>
          <w:rFonts w:ascii="Arial" w:hAnsi="Arial" w:cs="Arial"/>
          <w:sz w:val="24"/>
          <w:szCs w:val="24"/>
        </w:rPr>
        <w:t>cell disease. Blood. 2016;127(7):829–838. doi:10.1182/blood-2015-09-618579.</w:t>
      </w:r>
    </w:p>
    <w:p w14:paraId="619BEEBD"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25. Park H, Bhatti S, Chakravorty S. Effectiveness of hydroxycarbamide in children with sickle</w:t>
      </w:r>
      <w:r w:rsidR="00B8586D">
        <w:rPr>
          <w:rFonts w:ascii="Arial" w:hAnsi="Arial" w:cs="Arial"/>
          <w:sz w:val="24"/>
          <w:szCs w:val="24"/>
        </w:rPr>
        <w:t xml:space="preserve"> </w:t>
      </w:r>
      <w:r w:rsidRPr="00A413E4">
        <w:rPr>
          <w:rFonts w:ascii="Arial" w:hAnsi="Arial" w:cs="Arial"/>
          <w:sz w:val="24"/>
          <w:szCs w:val="24"/>
        </w:rPr>
        <w:t>cell disease - Analysis of dose-response metrics in a large birth cohort in a tertiary sickle</w:t>
      </w:r>
      <w:r w:rsidR="00B8586D">
        <w:rPr>
          <w:rFonts w:ascii="Arial" w:hAnsi="Arial" w:cs="Arial"/>
          <w:sz w:val="24"/>
          <w:szCs w:val="24"/>
        </w:rPr>
        <w:t xml:space="preserve"> </w:t>
      </w:r>
      <w:r w:rsidRPr="00A413E4">
        <w:rPr>
          <w:rFonts w:ascii="Arial" w:hAnsi="Arial" w:cs="Arial"/>
          <w:sz w:val="24"/>
          <w:szCs w:val="24"/>
        </w:rPr>
        <w:t>cell centre. Pediatr Blood Cancer. 2019;66(7):e27615. doi:10.1002/pbc.27615.</w:t>
      </w:r>
    </w:p>
    <w:p w14:paraId="3622C0C5"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26. Tshilolo L, Tomlinson G, Williams TN, REACH Investigators, et al. Hydroxyurea for children</w:t>
      </w:r>
      <w:r w:rsidR="00B8586D">
        <w:rPr>
          <w:rFonts w:ascii="Arial" w:hAnsi="Arial" w:cs="Arial"/>
          <w:sz w:val="24"/>
          <w:szCs w:val="24"/>
        </w:rPr>
        <w:t xml:space="preserve"> </w:t>
      </w:r>
      <w:r w:rsidRPr="00A413E4">
        <w:rPr>
          <w:rFonts w:ascii="Arial" w:hAnsi="Arial" w:cs="Arial"/>
          <w:sz w:val="24"/>
          <w:szCs w:val="24"/>
        </w:rPr>
        <w:t>with sickle cell anemia in Sub-Saharan Africa. The New England J Med. 2019;380(2):</w:t>
      </w:r>
      <w:r w:rsidR="00B8586D">
        <w:rPr>
          <w:rFonts w:ascii="Arial" w:hAnsi="Arial" w:cs="Arial"/>
          <w:sz w:val="24"/>
          <w:szCs w:val="24"/>
        </w:rPr>
        <w:t xml:space="preserve"> </w:t>
      </w:r>
      <w:r w:rsidRPr="00A413E4">
        <w:rPr>
          <w:rFonts w:ascii="Arial" w:hAnsi="Arial" w:cs="Arial"/>
          <w:sz w:val="24"/>
          <w:szCs w:val="24"/>
        </w:rPr>
        <w:t>121–131. doi:10.1056/NEJMoa1813598.</w:t>
      </w:r>
    </w:p>
    <w:p w14:paraId="6E4A25EC"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27. Lagunju I, Brown BJ, Sodeinde O. Hydroxyurea lowers transcranial Doppler flow velocities</w:t>
      </w:r>
      <w:r w:rsidR="00B8586D">
        <w:rPr>
          <w:rFonts w:ascii="Arial" w:hAnsi="Arial" w:cs="Arial"/>
          <w:sz w:val="24"/>
          <w:szCs w:val="24"/>
        </w:rPr>
        <w:t xml:space="preserve"> </w:t>
      </w:r>
      <w:r w:rsidRPr="00A413E4">
        <w:rPr>
          <w:rFonts w:ascii="Arial" w:hAnsi="Arial" w:cs="Arial"/>
          <w:sz w:val="24"/>
          <w:szCs w:val="24"/>
        </w:rPr>
        <w:t>in children with sickle cell anaemia in a Nigerian cohort. Pediatr Blood Cancer. 2015;62(9):</w:t>
      </w:r>
      <w:r w:rsidR="00B8586D">
        <w:rPr>
          <w:rFonts w:ascii="Arial" w:hAnsi="Arial" w:cs="Arial"/>
          <w:sz w:val="24"/>
          <w:szCs w:val="24"/>
        </w:rPr>
        <w:t xml:space="preserve"> </w:t>
      </w:r>
      <w:r w:rsidRPr="00A413E4">
        <w:rPr>
          <w:rFonts w:ascii="Arial" w:hAnsi="Arial" w:cs="Arial"/>
          <w:sz w:val="24"/>
          <w:szCs w:val="24"/>
        </w:rPr>
        <w:t>1587–1591. doi:10.1002/pbc.25529.</w:t>
      </w:r>
    </w:p>
    <w:p w14:paraId="2D9DBF34"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28. Galadanci NA, Umar Abdullahi S, Vance LD, et al. Feasibility trial for primary stroke prevention</w:t>
      </w:r>
      <w:r w:rsidR="00B8586D">
        <w:rPr>
          <w:rFonts w:ascii="Arial" w:hAnsi="Arial" w:cs="Arial"/>
          <w:sz w:val="24"/>
          <w:szCs w:val="24"/>
        </w:rPr>
        <w:t xml:space="preserve"> </w:t>
      </w:r>
      <w:r w:rsidRPr="00A413E4">
        <w:rPr>
          <w:rFonts w:ascii="Arial" w:hAnsi="Arial" w:cs="Arial"/>
          <w:sz w:val="24"/>
          <w:szCs w:val="24"/>
        </w:rPr>
        <w:t>in children with sickle cell anemia in Nigeria (SPIN trial). Am J Hematol. 2018;</w:t>
      </w:r>
      <w:r w:rsidR="00B8586D">
        <w:rPr>
          <w:rFonts w:ascii="Arial" w:hAnsi="Arial" w:cs="Arial"/>
          <w:sz w:val="24"/>
          <w:szCs w:val="24"/>
        </w:rPr>
        <w:t xml:space="preserve"> </w:t>
      </w:r>
      <w:r w:rsidRPr="00A413E4">
        <w:rPr>
          <w:rFonts w:ascii="Arial" w:hAnsi="Arial" w:cs="Arial"/>
          <w:sz w:val="24"/>
          <w:szCs w:val="24"/>
        </w:rPr>
        <w:t>93(3):E83 doi:10.1002/ajh.25012.</w:t>
      </w:r>
    </w:p>
    <w:p w14:paraId="17BCFA18"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29. Kratovil T, Bulas D, Driscoll MC, et al. Hydroxyurea therapy lowers TCD velocities in children</w:t>
      </w:r>
      <w:r w:rsidR="00B8586D">
        <w:rPr>
          <w:rFonts w:ascii="Arial" w:hAnsi="Arial" w:cs="Arial"/>
          <w:sz w:val="24"/>
          <w:szCs w:val="24"/>
        </w:rPr>
        <w:t xml:space="preserve"> </w:t>
      </w:r>
      <w:r w:rsidRPr="00A413E4">
        <w:rPr>
          <w:rFonts w:ascii="Arial" w:hAnsi="Arial" w:cs="Arial"/>
          <w:sz w:val="24"/>
          <w:szCs w:val="24"/>
        </w:rPr>
        <w:t>with sickle cell disease. Pediatr Blood Cancer. 2006;47(7):894–900. doi:10.1002/pbc.</w:t>
      </w:r>
      <w:r w:rsidR="00B8586D">
        <w:rPr>
          <w:rFonts w:ascii="Arial" w:hAnsi="Arial" w:cs="Arial"/>
          <w:sz w:val="24"/>
          <w:szCs w:val="24"/>
        </w:rPr>
        <w:t xml:space="preserve"> </w:t>
      </w:r>
      <w:r w:rsidRPr="00A413E4">
        <w:rPr>
          <w:rFonts w:ascii="Arial" w:hAnsi="Arial" w:cs="Arial"/>
          <w:sz w:val="24"/>
          <w:szCs w:val="24"/>
        </w:rPr>
        <w:t>20819.</w:t>
      </w:r>
    </w:p>
    <w:p w14:paraId="47D33A25"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30. Zimmerman SA, Schultz WH, Burgett S, et al. Hydroxyurea therapy lowers transcranial</w:t>
      </w:r>
      <w:r w:rsidR="00B8586D">
        <w:rPr>
          <w:rFonts w:ascii="Arial" w:hAnsi="Arial" w:cs="Arial"/>
          <w:sz w:val="24"/>
          <w:szCs w:val="24"/>
        </w:rPr>
        <w:t xml:space="preserve"> </w:t>
      </w:r>
      <w:r w:rsidRPr="00A413E4">
        <w:rPr>
          <w:rFonts w:ascii="Arial" w:hAnsi="Arial" w:cs="Arial"/>
          <w:sz w:val="24"/>
          <w:szCs w:val="24"/>
        </w:rPr>
        <w:t>Doppler flow velocities in children with sickle cell anemia. Blood. 2007;110(3):1043–1047.</w:t>
      </w:r>
      <w:r w:rsidR="00B8586D">
        <w:rPr>
          <w:rFonts w:ascii="Arial" w:hAnsi="Arial" w:cs="Arial"/>
          <w:sz w:val="24"/>
          <w:szCs w:val="24"/>
        </w:rPr>
        <w:t xml:space="preserve"> </w:t>
      </w:r>
      <w:r w:rsidRPr="00A413E4">
        <w:rPr>
          <w:rFonts w:ascii="Arial" w:hAnsi="Arial" w:cs="Arial"/>
          <w:sz w:val="24"/>
          <w:szCs w:val="24"/>
        </w:rPr>
        <w:t>doi:10.1182/blood-2006-11-057893.</w:t>
      </w:r>
    </w:p>
    <w:p w14:paraId="0D6A659A"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lastRenderedPageBreak/>
        <w:t>31. Thornburg CD, Dixon N, Burgett S, et al. A pilot study of hydroxyurea to prevent chronic</w:t>
      </w:r>
      <w:r w:rsidR="00B8586D">
        <w:rPr>
          <w:rFonts w:ascii="Arial" w:hAnsi="Arial" w:cs="Arial"/>
          <w:sz w:val="24"/>
          <w:szCs w:val="24"/>
        </w:rPr>
        <w:t xml:space="preserve"> </w:t>
      </w:r>
      <w:r w:rsidRPr="00A413E4">
        <w:rPr>
          <w:rFonts w:ascii="Arial" w:hAnsi="Arial" w:cs="Arial"/>
          <w:sz w:val="24"/>
          <w:szCs w:val="24"/>
        </w:rPr>
        <w:t>organ damage in young children with sickle cell anemia. Pediatr Blood Cancer. 2009;52(5):</w:t>
      </w:r>
      <w:r w:rsidR="00B8586D">
        <w:rPr>
          <w:rFonts w:ascii="Arial" w:hAnsi="Arial" w:cs="Arial"/>
          <w:sz w:val="24"/>
          <w:szCs w:val="24"/>
        </w:rPr>
        <w:t xml:space="preserve"> </w:t>
      </w:r>
      <w:r w:rsidRPr="00A413E4">
        <w:rPr>
          <w:rFonts w:ascii="Arial" w:hAnsi="Arial" w:cs="Arial"/>
          <w:sz w:val="24"/>
          <w:szCs w:val="24"/>
        </w:rPr>
        <w:t>609–615. doi:10.1002/pbc.21738.</w:t>
      </w:r>
    </w:p>
    <w:p w14:paraId="45C87559"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32. Lefevre N, Dufour D, Gulbis B, et al. Use of hydroxyurea in prevention of stroke in children</w:t>
      </w:r>
      <w:r w:rsidR="00B8586D">
        <w:rPr>
          <w:rFonts w:ascii="Arial" w:hAnsi="Arial" w:cs="Arial"/>
          <w:sz w:val="24"/>
          <w:szCs w:val="24"/>
        </w:rPr>
        <w:t xml:space="preserve"> </w:t>
      </w:r>
      <w:r w:rsidRPr="00A413E4">
        <w:rPr>
          <w:rFonts w:ascii="Arial" w:hAnsi="Arial" w:cs="Arial"/>
          <w:sz w:val="24"/>
          <w:szCs w:val="24"/>
        </w:rPr>
        <w:t>with sickle cell disease. Blood. 2008;111(2):963–964. doi:10.1182/blood-2007-08-102244.</w:t>
      </w:r>
    </w:p>
    <w:p w14:paraId="364ABE36"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33. Kwiatkowski JL, Yim E, Miller S, STOP 2 Study Investigators, et al. Effect of transfusion</w:t>
      </w:r>
      <w:r w:rsidR="00B8586D">
        <w:rPr>
          <w:rFonts w:ascii="Arial" w:hAnsi="Arial" w:cs="Arial"/>
          <w:sz w:val="24"/>
          <w:szCs w:val="24"/>
        </w:rPr>
        <w:t xml:space="preserve"> </w:t>
      </w:r>
      <w:r w:rsidRPr="00A413E4">
        <w:rPr>
          <w:rFonts w:ascii="Arial" w:hAnsi="Arial" w:cs="Arial"/>
          <w:sz w:val="24"/>
          <w:szCs w:val="24"/>
        </w:rPr>
        <w:t>therapy on transcranial Doppler ultrasonography velocities in children with sickle cell disease.</w:t>
      </w:r>
      <w:r w:rsidR="00B8586D">
        <w:rPr>
          <w:rFonts w:ascii="Arial" w:hAnsi="Arial" w:cs="Arial"/>
          <w:sz w:val="24"/>
          <w:szCs w:val="24"/>
        </w:rPr>
        <w:t xml:space="preserve"> </w:t>
      </w:r>
      <w:r w:rsidRPr="00A413E4">
        <w:rPr>
          <w:rFonts w:ascii="Arial" w:hAnsi="Arial" w:cs="Arial"/>
          <w:sz w:val="24"/>
          <w:szCs w:val="24"/>
        </w:rPr>
        <w:t>Pediatr Blood Cancer. 2011;56(5):777–782. doi:10.1002/pbc.22951.</w:t>
      </w:r>
    </w:p>
    <w:p w14:paraId="6C6FE027"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34. Hankins JS, McCarville MB, Rankine-Mullings A, et al. Prevention of conversion to abnormal</w:t>
      </w:r>
      <w:r w:rsidR="00B8586D">
        <w:rPr>
          <w:rFonts w:ascii="Arial" w:hAnsi="Arial" w:cs="Arial"/>
          <w:sz w:val="24"/>
          <w:szCs w:val="24"/>
        </w:rPr>
        <w:t xml:space="preserve"> </w:t>
      </w:r>
      <w:r w:rsidRPr="00A413E4">
        <w:rPr>
          <w:rFonts w:ascii="Arial" w:hAnsi="Arial" w:cs="Arial"/>
          <w:sz w:val="24"/>
          <w:szCs w:val="24"/>
        </w:rPr>
        <w:t>transcranial doppler with hydroxyurea in sickle cell anemia: a phase III international</w:t>
      </w:r>
      <w:r w:rsidR="00B8586D">
        <w:rPr>
          <w:rFonts w:ascii="Arial" w:hAnsi="Arial" w:cs="Arial"/>
          <w:sz w:val="24"/>
          <w:szCs w:val="24"/>
        </w:rPr>
        <w:t xml:space="preserve"> </w:t>
      </w:r>
      <w:r w:rsidRPr="00A413E4">
        <w:rPr>
          <w:rFonts w:ascii="Arial" w:hAnsi="Arial" w:cs="Arial"/>
          <w:sz w:val="24"/>
          <w:szCs w:val="24"/>
        </w:rPr>
        <w:t>randomized clinical trial. Am J Hematol. 2015;90(12):1099–1105. doi:10.1002/ajh.24198.</w:t>
      </w:r>
    </w:p>
    <w:p w14:paraId="1AF71D66"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35. Bernaudin F, Verlhac S, Arnaud C, et al. Long-term treatment follow-up of children with</w:t>
      </w:r>
      <w:r w:rsidR="00B8586D">
        <w:rPr>
          <w:rFonts w:ascii="Arial" w:hAnsi="Arial" w:cs="Arial"/>
          <w:sz w:val="24"/>
          <w:szCs w:val="24"/>
        </w:rPr>
        <w:t xml:space="preserve"> </w:t>
      </w:r>
      <w:r w:rsidRPr="00A413E4">
        <w:rPr>
          <w:rFonts w:ascii="Arial" w:hAnsi="Arial" w:cs="Arial"/>
          <w:sz w:val="24"/>
          <w:szCs w:val="24"/>
        </w:rPr>
        <w:t>sickle cell disease monitored with abnormal transcranial Doppler velocities. Blood. 2016;</w:t>
      </w:r>
      <w:r w:rsidR="00B8586D">
        <w:rPr>
          <w:rFonts w:ascii="Arial" w:hAnsi="Arial" w:cs="Arial"/>
          <w:sz w:val="24"/>
          <w:szCs w:val="24"/>
        </w:rPr>
        <w:t xml:space="preserve"> </w:t>
      </w:r>
      <w:r w:rsidRPr="00A413E4">
        <w:rPr>
          <w:rFonts w:ascii="Arial" w:hAnsi="Arial" w:cs="Arial"/>
          <w:sz w:val="24"/>
          <w:szCs w:val="24"/>
        </w:rPr>
        <w:t>127(14):1814–1822. doi:10.1182/blood-2015-10-675231.</w:t>
      </w:r>
    </w:p>
    <w:p w14:paraId="152F94D2"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36. Adegoke SA, Macedo-Campos RS, Braga JAP, et al. Changes in transcranial doppler flow</w:t>
      </w:r>
      <w:r w:rsidR="00B8586D">
        <w:rPr>
          <w:rFonts w:ascii="Arial" w:hAnsi="Arial" w:cs="Arial"/>
          <w:sz w:val="24"/>
          <w:szCs w:val="24"/>
        </w:rPr>
        <w:t xml:space="preserve"> </w:t>
      </w:r>
      <w:r w:rsidRPr="00A413E4">
        <w:rPr>
          <w:rFonts w:ascii="Arial" w:hAnsi="Arial" w:cs="Arial"/>
          <w:sz w:val="24"/>
          <w:szCs w:val="24"/>
        </w:rPr>
        <w:t>velocities in children with sickle cell disease: the impact of hydroxyurea therapy. J Stroke</w:t>
      </w:r>
      <w:r w:rsidR="00B8586D">
        <w:rPr>
          <w:rFonts w:ascii="Arial" w:hAnsi="Arial" w:cs="Arial"/>
          <w:sz w:val="24"/>
          <w:szCs w:val="24"/>
        </w:rPr>
        <w:t xml:space="preserve"> </w:t>
      </w:r>
      <w:r w:rsidRPr="00A413E4">
        <w:rPr>
          <w:rFonts w:ascii="Arial" w:hAnsi="Arial" w:cs="Arial"/>
          <w:sz w:val="24"/>
          <w:szCs w:val="24"/>
        </w:rPr>
        <w:t>Cerebrovasc Dis. 2018;27(2):425–431. doi:10.1016/j.jstrokecerebrovasdis.2017.09.020.</w:t>
      </w:r>
    </w:p>
    <w:p w14:paraId="5D6CE9B2"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37. Lagunju I, Brown BJ, Oyinlade AO, et al. Annual stroke incidence in Nigerian children</w:t>
      </w:r>
      <w:r w:rsidR="00B8586D">
        <w:rPr>
          <w:rFonts w:ascii="Arial" w:hAnsi="Arial" w:cs="Arial"/>
          <w:sz w:val="24"/>
          <w:szCs w:val="24"/>
        </w:rPr>
        <w:t xml:space="preserve"> </w:t>
      </w:r>
      <w:r w:rsidRPr="00A413E4">
        <w:rPr>
          <w:rFonts w:ascii="Arial" w:hAnsi="Arial" w:cs="Arial"/>
          <w:sz w:val="24"/>
          <w:szCs w:val="24"/>
        </w:rPr>
        <w:t>with sickle cell disease and elevated TCD velocities treated with hydroxyurea. Pediatr Blood</w:t>
      </w:r>
      <w:r w:rsidR="00B8586D">
        <w:rPr>
          <w:rFonts w:ascii="Arial" w:hAnsi="Arial" w:cs="Arial"/>
          <w:sz w:val="24"/>
          <w:szCs w:val="24"/>
        </w:rPr>
        <w:t xml:space="preserve"> </w:t>
      </w:r>
      <w:r w:rsidRPr="00A413E4">
        <w:rPr>
          <w:rFonts w:ascii="Arial" w:hAnsi="Arial" w:cs="Arial"/>
          <w:sz w:val="24"/>
          <w:szCs w:val="24"/>
        </w:rPr>
        <w:t>Cancer. 2019;66(3):e27252. doi:10.1002/pbc.27252.</w:t>
      </w:r>
    </w:p>
    <w:p w14:paraId="364E2E5A" w14:textId="77777777" w:rsidR="00E05D3F" w:rsidRPr="00A413E4" w:rsidRDefault="00E05D3F" w:rsidP="00E05D3F">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38. Ghafuri DL, Chaturvedi S, Rodeghier M, et al. Secondary benefit of maintaining normal</w:t>
      </w:r>
      <w:r w:rsidR="00B8586D">
        <w:rPr>
          <w:rFonts w:ascii="Arial" w:hAnsi="Arial" w:cs="Arial"/>
          <w:sz w:val="24"/>
          <w:szCs w:val="24"/>
        </w:rPr>
        <w:t xml:space="preserve"> </w:t>
      </w:r>
      <w:r w:rsidRPr="00A413E4">
        <w:rPr>
          <w:rFonts w:ascii="Arial" w:hAnsi="Arial" w:cs="Arial"/>
          <w:sz w:val="24"/>
          <w:szCs w:val="24"/>
        </w:rPr>
        <w:t>transcranial Doppler velocities when using hydroxyurea for prevention of severe sickle cell</w:t>
      </w:r>
      <w:r w:rsidR="00B8586D">
        <w:rPr>
          <w:rFonts w:ascii="Arial" w:hAnsi="Arial" w:cs="Arial"/>
          <w:sz w:val="24"/>
          <w:szCs w:val="24"/>
        </w:rPr>
        <w:t xml:space="preserve"> </w:t>
      </w:r>
      <w:r w:rsidRPr="00A413E4">
        <w:rPr>
          <w:rFonts w:ascii="Arial" w:hAnsi="Arial" w:cs="Arial"/>
          <w:sz w:val="24"/>
          <w:szCs w:val="24"/>
        </w:rPr>
        <w:t>anemia. Pediatr Blood Cancer. 2017;64(7):e26401. doi:10.1002/pbc.26401.</w:t>
      </w:r>
    </w:p>
    <w:p w14:paraId="7055009E" w14:textId="77777777" w:rsidR="005B15F2" w:rsidRDefault="00E05D3F" w:rsidP="00B8586D">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39. Lagunju IA, Brown BJ, Sodeinde OO. Stroke recurrence in Nigerian children with sickle</w:t>
      </w:r>
      <w:r w:rsidR="00B8586D">
        <w:rPr>
          <w:rFonts w:ascii="Arial" w:hAnsi="Arial" w:cs="Arial"/>
          <w:sz w:val="24"/>
          <w:szCs w:val="24"/>
        </w:rPr>
        <w:t xml:space="preserve"> </w:t>
      </w:r>
      <w:r w:rsidRPr="00A413E4">
        <w:rPr>
          <w:rFonts w:ascii="Arial" w:hAnsi="Arial" w:cs="Arial"/>
          <w:sz w:val="24"/>
          <w:szCs w:val="24"/>
        </w:rPr>
        <w:t>cell disease treated with hydroxyurea. The Nigerian Postgraduate Med J. 2013;20(3):181–187.</w:t>
      </w:r>
    </w:p>
    <w:p w14:paraId="0805AA02" w14:textId="77777777" w:rsidR="00F03FC9" w:rsidRDefault="00F03FC9">
      <w:pPr>
        <w:rPr>
          <w:rFonts w:ascii="Arial" w:hAnsi="Arial" w:cs="Arial"/>
          <w:sz w:val="24"/>
          <w:szCs w:val="24"/>
        </w:rPr>
      </w:pPr>
      <w:r>
        <w:rPr>
          <w:rFonts w:ascii="Arial" w:hAnsi="Arial" w:cs="Arial"/>
          <w:sz w:val="24"/>
          <w:szCs w:val="24"/>
        </w:rPr>
        <w:br w:type="page"/>
      </w:r>
    </w:p>
    <w:p w14:paraId="50EBBF7C" w14:textId="77777777" w:rsidR="00993F28" w:rsidRDefault="00993F28" w:rsidP="00F03FC9">
      <w:pPr>
        <w:autoSpaceDE w:val="0"/>
        <w:autoSpaceDN w:val="0"/>
        <w:adjustRightInd w:val="0"/>
        <w:spacing w:after="0" w:line="240" w:lineRule="auto"/>
        <w:rPr>
          <w:rFonts w:ascii="Arial" w:hAnsi="Arial" w:cs="Arial"/>
          <w:sz w:val="24"/>
          <w:szCs w:val="24"/>
        </w:rPr>
        <w:sectPr w:rsidR="00993F28">
          <w:pgSz w:w="11906" w:h="16838"/>
          <w:pgMar w:top="1440" w:right="1440" w:bottom="1440" w:left="1440" w:header="708" w:footer="708" w:gutter="0"/>
          <w:cols w:space="708"/>
          <w:docGrid w:linePitch="360"/>
        </w:sectPr>
      </w:pPr>
    </w:p>
    <w:tbl>
      <w:tblPr>
        <w:tblW w:w="16464"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276"/>
        <w:gridCol w:w="9188"/>
      </w:tblGrid>
      <w:tr w:rsidR="00993F28" w:rsidRPr="00993F28" w14:paraId="370E2830" w14:textId="77777777" w:rsidTr="00993F28">
        <w:trPr>
          <w:trHeight w:val="77"/>
          <w:tblHeader/>
          <w:tblCellSpacing w:w="15" w:type="dxa"/>
          <w:jc w:val="center"/>
        </w:trPr>
        <w:tc>
          <w:tcPr>
            <w:tcW w:w="0" w:type="auto"/>
            <w:gridSpan w:val="2"/>
            <w:tcBorders>
              <w:top w:val="nil"/>
              <w:left w:val="nil"/>
              <w:bottom w:val="nil"/>
              <w:right w:val="nil"/>
            </w:tcBorders>
            <w:shd w:val="clear" w:color="auto" w:fill="FFFFFF"/>
            <w:tcMar>
              <w:top w:w="120" w:type="dxa"/>
              <w:left w:w="120" w:type="dxa"/>
              <w:bottom w:w="120" w:type="dxa"/>
              <w:right w:w="120" w:type="dxa"/>
            </w:tcMar>
            <w:vAlign w:val="center"/>
            <w:hideMark/>
          </w:tcPr>
          <w:p w14:paraId="49720A9E" w14:textId="77777777" w:rsidR="00993F28" w:rsidRPr="00993F28" w:rsidRDefault="00993F28" w:rsidP="00993F28">
            <w:pPr>
              <w:autoSpaceDE w:val="0"/>
              <w:autoSpaceDN w:val="0"/>
              <w:adjustRightInd w:val="0"/>
              <w:spacing w:after="0" w:line="240" w:lineRule="auto"/>
              <w:rPr>
                <w:rFonts w:ascii="Arial" w:hAnsi="Arial" w:cs="Arial"/>
                <w:b/>
                <w:bCs/>
                <w:sz w:val="24"/>
                <w:szCs w:val="24"/>
              </w:rPr>
            </w:pPr>
            <w:r w:rsidRPr="00993F28">
              <w:rPr>
                <w:rFonts w:ascii="Arial" w:hAnsi="Arial" w:cs="Arial"/>
                <w:b/>
                <w:bCs/>
                <w:sz w:val="24"/>
                <w:szCs w:val="24"/>
              </w:rPr>
              <w:lastRenderedPageBreak/>
              <w:t>Table 1. Inclusion and exclusion criteria screening phase of SPRING trial.</w:t>
            </w:r>
          </w:p>
        </w:tc>
      </w:tr>
      <w:tr w:rsidR="00993F28" w:rsidRPr="00993F28" w14:paraId="24C64EF4" w14:textId="77777777" w:rsidTr="00993F28">
        <w:trPr>
          <w:trHeight w:val="89"/>
          <w:tblHeader/>
          <w:tblCellSpacing w:w="15" w:type="dxa"/>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289CA5" w14:textId="77777777" w:rsidR="00993F28" w:rsidRPr="00993F28" w:rsidRDefault="00993F28" w:rsidP="00993F28">
            <w:pPr>
              <w:autoSpaceDE w:val="0"/>
              <w:autoSpaceDN w:val="0"/>
              <w:adjustRightInd w:val="0"/>
              <w:spacing w:after="0" w:line="240" w:lineRule="auto"/>
              <w:rPr>
                <w:rFonts w:ascii="Arial" w:hAnsi="Arial" w:cs="Arial"/>
                <w:b/>
                <w:bCs/>
                <w:sz w:val="24"/>
                <w:szCs w:val="24"/>
              </w:rPr>
            </w:pPr>
            <w:r w:rsidRPr="00993F28">
              <w:rPr>
                <w:rFonts w:ascii="Arial" w:hAnsi="Arial" w:cs="Arial"/>
                <w:b/>
                <w:bCs/>
                <w:sz w:val="24"/>
                <w:szCs w:val="24"/>
              </w:rPr>
              <w:t>Inclusion Criteria for Screening: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0E2C4C" w14:textId="77777777" w:rsidR="00993F28" w:rsidRPr="00993F28" w:rsidRDefault="00993F28" w:rsidP="00993F28">
            <w:pPr>
              <w:autoSpaceDE w:val="0"/>
              <w:autoSpaceDN w:val="0"/>
              <w:adjustRightInd w:val="0"/>
              <w:spacing w:after="0" w:line="240" w:lineRule="auto"/>
              <w:rPr>
                <w:rFonts w:ascii="Arial" w:hAnsi="Arial" w:cs="Arial"/>
                <w:b/>
                <w:bCs/>
                <w:sz w:val="24"/>
                <w:szCs w:val="24"/>
              </w:rPr>
            </w:pPr>
            <w:r w:rsidRPr="00993F28">
              <w:rPr>
                <w:rFonts w:ascii="Arial" w:hAnsi="Arial" w:cs="Arial"/>
                <w:b/>
                <w:bCs/>
                <w:sz w:val="24"/>
                <w:szCs w:val="24"/>
              </w:rPr>
              <w:t>Exclusion Criteria for Screening:</w:t>
            </w:r>
          </w:p>
        </w:tc>
      </w:tr>
      <w:tr w:rsidR="00993F28" w:rsidRPr="00993F28" w14:paraId="37D1F0D3" w14:textId="77777777" w:rsidTr="00993F28">
        <w:trPr>
          <w:trHeight w:val="156"/>
          <w:tblCellSpacing w:w="15" w:type="dxa"/>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CFBD7B" w14:textId="77777777" w:rsidR="00993F28" w:rsidRPr="00993F28" w:rsidRDefault="00993F28" w:rsidP="00993F28">
            <w:pPr>
              <w:autoSpaceDE w:val="0"/>
              <w:autoSpaceDN w:val="0"/>
              <w:adjustRightInd w:val="0"/>
              <w:spacing w:after="0" w:line="240" w:lineRule="auto"/>
              <w:rPr>
                <w:rFonts w:ascii="Arial" w:hAnsi="Arial" w:cs="Arial"/>
                <w:sz w:val="24"/>
                <w:szCs w:val="24"/>
              </w:rPr>
            </w:pPr>
            <w:r w:rsidRPr="00993F28">
              <w:rPr>
                <w:rFonts w:ascii="Arial" w:hAnsi="Arial" w:cs="Arial"/>
                <w:sz w:val="24"/>
                <w:szCs w:val="24"/>
              </w:rPr>
              <w:t>•</w:t>
            </w:r>
            <w:r w:rsidRPr="00993F28">
              <w:rPr>
                <w:rFonts w:ascii="Arial" w:hAnsi="Arial" w:cs="Arial"/>
                <w:sz w:val="24"/>
                <w:szCs w:val="24"/>
              </w:rPr>
              <w:t> </w:t>
            </w:r>
            <w:r w:rsidRPr="00993F28">
              <w:rPr>
                <w:rFonts w:ascii="Arial" w:hAnsi="Arial" w:cs="Arial"/>
                <w:sz w:val="24"/>
                <w:szCs w:val="24"/>
              </w:rPr>
              <w:t>Age 5 through 12 years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A50587" w14:textId="77777777" w:rsidR="00993F28" w:rsidRPr="00993F28" w:rsidRDefault="00993F28" w:rsidP="00993F28">
            <w:pPr>
              <w:autoSpaceDE w:val="0"/>
              <w:autoSpaceDN w:val="0"/>
              <w:adjustRightInd w:val="0"/>
              <w:spacing w:after="0" w:line="240" w:lineRule="auto"/>
              <w:rPr>
                <w:rFonts w:ascii="Arial" w:hAnsi="Arial" w:cs="Arial"/>
                <w:sz w:val="24"/>
                <w:szCs w:val="24"/>
              </w:rPr>
            </w:pPr>
            <w:r w:rsidRPr="00993F28">
              <w:rPr>
                <w:rFonts w:ascii="Arial" w:hAnsi="Arial" w:cs="Arial"/>
                <w:sz w:val="24"/>
                <w:szCs w:val="24"/>
              </w:rPr>
              <w:t>•</w:t>
            </w:r>
            <w:r w:rsidRPr="00993F28">
              <w:rPr>
                <w:rFonts w:ascii="Arial" w:hAnsi="Arial" w:cs="Arial"/>
                <w:sz w:val="24"/>
                <w:szCs w:val="24"/>
              </w:rPr>
              <w:t> </w:t>
            </w:r>
            <w:r w:rsidRPr="00993F28">
              <w:rPr>
                <w:rFonts w:ascii="Arial" w:hAnsi="Arial" w:cs="Arial"/>
                <w:sz w:val="24"/>
                <w:szCs w:val="24"/>
              </w:rPr>
              <w:t>Prior overt stroke (a focal neurological deficit of acute onset) based on obtained history, focal neurological deficit on standardized neurological examination, or concern for moderate or severe neurological deficit based on a positive "10 questions" screening (an established tool in low-resource settings)</w:t>
            </w:r>
          </w:p>
        </w:tc>
      </w:tr>
      <w:tr w:rsidR="00993F28" w:rsidRPr="00993F28" w14:paraId="5BAB069E" w14:textId="77777777" w:rsidTr="00993F28">
        <w:trPr>
          <w:trHeight w:val="77"/>
          <w:tblCellSpacing w:w="15" w:type="dxa"/>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108DE5" w14:textId="77777777" w:rsidR="00993F28" w:rsidRPr="00993F28" w:rsidRDefault="00993F28" w:rsidP="00993F28">
            <w:pPr>
              <w:autoSpaceDE w:val="0"/>
              <w:autoSpaceDN w:val="0"/>
              <w:adjustRightInd w:val="0"/>
              <w:spacing w:after="0" w:line="240" w:lineRule="auto"/>
              <w:rPr>
                <w:rFonts w:ascii="Arial" w:hAnsi="Arial" w:cs="Arial"/>
                <w:sz w:val="24"/>
                <w:szCs w:val="24"/>
              </w:rPr>
            </w:pPr>
            <w:r w:rsidRPr="00993F28">
              <w:rPr>
                <w:rFonts w:ascii="Arial" w:hAnsi="Arial" w:cs="Arial"/>
                <w:sz w:val="24"/>
                <w:szCs w:val="24"/>
              </w:rPr>
              <w:t>•</w:t>
            </w:r>
            <w:r w:rsidRPr="00993F28">
              <w:rPr>
                <w:rFonts w:ascii="Arial" w:hAnsi="Arial" w:cs="Arial"/>
                <w:sz w:val="24"/>
                <w:szCs w:val="24"/>
              </w:rPr>
              <w:t> </w:t>
            </w:r>
            <w:r w:rsidRPr="00993F28">
              <w:rPr>
                <w:rFonts w:ascii="Arial" w:hAnsi="Arial" w:cs="Arial"/>
                <w:sz w:val="24"/>
                <w:szCs w:val="24"/>
              </w:rPr>
              <w:t>Diagnosis of hemoglobin SS or hemoglobin Sβ0 thalassemia confirmed by hemoglobin electrophoresis, high-performance liquid chromatography (HPLC), or isoelectric focusing (IEF)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20495A" w14:textId="77777777" w:rsidR="00993F28" w:rsidRPr="00993F28" w:rsidRDefault="00993F28" w:rsidP="00993F28">
            <w:pPr>
              <w:autoSpaceDE w:val="0"/>
              <w:autoSpaceDN w:val="0"/>
              <w:adjustRightInd w:val="0"/>
              <w:spacing w:after="0" w:line="240" w:lineRule="auto"/>
              <w:rPr>
                <w:rFonts w:ascii="Arial" w:hAnsi="Arial" w:cs="Arial"/>
                <w:sz w:val="24"/>
                <w:szCs w:val="24"/>
              </w:rPr>
            </w:pPr>
            <w:r w:rsidRPr="00993F28">
              <w:rPr>
                <w:rFonts w:ascii="Arial" w:hAnsi="Arial" w:cs="Arial"/>
                <w:sz w:val="24"/>
                <w:szCs w:val="24"/>
              </w:rPr>
              <w:t>•</w:t>
            </w:r>
            <w:r w:rsidRPr="00993F28">
              <w:rPr>
                <w:rFonts w:ascii="Arial" w:hAnsi="Arial" w:cs="Arial"/>
                <w:sz w:val="24"/>
                <w:szCs w:val="24"/>
              </w:rPr>
              <w:t> </w:t>
            </w:r>
            <w:r w:rsidRPr="00993F28">
              <w:rPr>
                <w:rFonts w:ascii="Arial" w:hAnsi="Arial" w:cs="Arial"/>
                <w:sz w:val="24"/>
                <w:szCs w:val="24"/>
              </w:rPr>
              <w:t>Hemoglobin &lt; 6 g/dL</w:t>
            </w:r>
          </w:p>
        </w:tc>
      </w:tr>
      <w:tr w:rsidR="00993F28" w:rsidRPr="00993F28" w14:paraId="3EE685A6" w14:textId="77777777" w:rsidTr="00993F28">
        <w:trPr>
          <w:trHeight w:val="167"/>
          <w:tblCellSpacing w:w="15" w:type="dxa"/>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29BE3A" w14:textId="77777777" w:rsidR="00993F28" w:rsidRPr="00993F28" w:rsidRDefault="00993F28" w:rsidP="00993F28">
            <w:pPr>
              <w:autoSpaceDE w:val="0"/>
              <w:autoSpaceDN w:val="0"/>
              <w:adjustRightInd w:val="0"/>
              <w:spacing w:after="0" w:line="240" w:lineRule="auto"/>
              <w:rPr>
                <w:rFonts w:ascii="Arial" w:hAnsi="Arial" w:cs="Arial"/>
                <w:sz w:val="24"/>
                <w:szCs w:val="24"/>
              </w:rPr>
            </w:pPr>
            <w:r w:rsidRPr="00993F28">
              <w:rPr>
                <w:rFonts w:ascii="Arial" w:hAnsi="Arial" w:cs="Arial"/>
                <w:sz w:val="24"/>
                <w:szCs w:val="24"/>
              </w:rPr>
              <w:t>•</w:t>
            </w:r>
            <w:r w:rsidRPr="00993F28">
              <w:rPr>
                <w:rFonts w:ascii="Arial" w:hAnsi="Arial" w:cs="Arial"/>
                <w:sz w:val="24"/>
                <w:szCs w:val="24"/>
              </w:rPr>
              <w:t> </w:t>
            </w:r>
            <w:r w:rsidRPr="00993F28">
              <w:rPr>
                <w:rFonts w:ascii="Arial" w:hAnsi="Arial" w:cs="Arial"/>
                <w:sz w:val="24"/>
                <w:szCs w:val="24"/>
              </w:rPr>
              <w:t>S variant with baseline hemoglobin &lt; 10 g/dL or other sickle cell syndromes apart from SC confirmed by hemoglobin electrophoresis, high-performance liquid chromatography (HPLC), or isoelectric focusing (IEF)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73A751" w14:textId="77777777" w:rsidR="00993F28" w:rsidRPr="00993F28" w:rsidRDefault="00993F28" w:rsidP="00993F28">
            <w:pPr>
              <w:autoSpaceDE w:val="0"/>
              <w:autoSpaceDN w:val="0"/>
              <w:adjustRightInd w:val="0"/>
              <w:spacing w:after="0" w:line="240" w:lineRule="auto"/>
              <w:rPr>
                <w:rFonts w:ascii="Arial" w:hAnsi="Arial" w:cs="Arial"/>
                <w:sz w:val="24"/>
                <w:szCs w:val="24"/>
              </w:rPr>
            </w:pPr>
            <w:r w:rsidRPr="00993F28">
              <w:rPr>
                <w:rFonts w:ascii="Arial" w:hAnsi="Arial" w:cs="Arial"/>
                <w:sz w:val="24"/>
                <w:szCs w:val="24"/>
              </w:rPr>
              <w:t>•</w:t>
            </w:r>
            <w:r w:rsidRPr="00993F28">
              <w:rPr>
                <w:rFonts w:ascii="Arial" w:hAnsi="Arial" w:cs="Arial"/>
                <w:sz w:val="24"/>
                <w:szCs w:val="24"/>
              </w:rPr>
              <w:t> </w:t>
            </w:r>
            <w:r w:rsidRPr="00993F28">
              <w:rPr>
                <w:rFonts w:ascii="Arial" w:hAnsi="Arial" w:cs="Arial"/>
                <w:sz w:val="24"/>
                <w:szCs w:val="24"/>
              </w:rPr>
              <w:t>Significant cytopenia (absolute neutrophil count &lt; 1.5 × 109/L, platelets &lt; 150 × 109/L, reticulocytes &lt; 80,000/μl when hemoglobin level is &gt; 9 g/dL)</w:t>
            </w:r>
          </w:p>
        </w:tc>
      </w:tr>
      <w:tr w:rsidR="00993F28" w:rsidRPr="00993F28" w14:paraId="3076E740" w14:textId="77777777" w:rsidTr="00993F28">
        <w:trPr>
          <w:trHeight w:val="200"/>
          <w:tblCellSpacing w:w="15" w:type="dxa"/>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A20620" w14:textId="77777777" w:rsidR="00993F28" w:rsidRPr="00993F28" w:rsidRDefault="00993F28" w:rsidP="00993F28">
            <w:pPr>
              <w:autoSpaceDE w:val="0"/>
              <w:autoSpaceDN w:val="0"/>
              <w:adjustRightInd w:val="0"/>
              <w:spacing w:after="0" w:line="240" w:lineRule="auto"/>
              <w:rPr>
                <w:rFonts w:ascii="Arial" w:hAnsi="Arial" w:cs="Arial"/>
                <w:sz w:val="24"/>
                <w:szCs w:val="24"/>
              </w:rPr>
            </w:pPr>
            <w:r w:rsidRPr="00993F28">
              <w:rPr>
                <w:rFonts w:ascii="Arial" w:hAnsi="Arial" w:cs="Arial"/>
                <w:sz w:val="24"/>
                <w:szCs w:val="24"/>
              </w:rPr>
              <w:t>•</w:t>
            </w:r>
            <w:r w:rsidRPr="00993F28">
              <w:rPr>
                <w:rFonts w:ascii="Arial" w:hAnsi="Arial" w:cs="Arial"/>
                <w:sz w:val="24"/>
                <w:szCs w:val="24"/>
              </w:rPr>
              <w:t> </w:t>
            </w:r>
            <w:r w:rsidRPr="00993F28">
              <w:rPr>
                <w:rFonts w:ascii="Arial" w:hAnsi="Arial" w:cs="Arial"/>
                <w:sz w:val="24"/>
                <w:szCs w:val="24"/>
              </w:rPr>
              <w:t>Written informed consent and assent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D1C4C7" w14:textId="77777777" w:rsidR="00993F28" w:rsidRPr="00993F28" w:rsidRDefault="00993F28" w:rsidP="00993F28">
            <w:pPr>
              <w:autoSpaceDE w:val="0"/>
              <w:autoSpaceDN w:val="0"/>
              <w:adjustRightInd w:val="0"/>
              <w:spacing w:after="0" w:line="240" w:lineRule="auto"/>
              <w:rPr>
                <w:rFonts w:ascii="Arial" w:hAnsi="Arial" w:cs="Arial"/>
                <w:sz w:val="24"/>
                <w:szCs w:val="24"/>
              </w:rPr>
            </w:pPr>
            <w:r w:rsidRPr="00993F28">
              <w:rPr>
                <w:rFonts w:ascii="Arial" w:hAnsi="Arial" w:cs="Arial"/>
                <w:sz w:val="24"/>
                <w:szCs w:val="24"/>
              </w:rPr>
              <w:t>•</w:t>
            </w:r>
            <w:r w:rsidRPr="00993F28">
              <w:rPr>
                <w:rFonts w:ascii="Arial" w:hAnsi="Arial" w:cs="Arial"/>
                <w:sz w:val="24"/>
                <w:szCs w:val="24"/>
              </w:rPr>
              <w:t> </w:t>
            </w:r>
            <w:r w:rsidRPr="00993F28">
              <w:rPr>
                <w:rFonts w:ascii="Arial" w:hAnsi="Arial" w:cs="Arial"/>
                <w:sz w:val="24"/>
                <w:szCs w:val="24"/>
              </w:rPr>
              <w:t>Treatment with hydroxyurea therapy in the previous three months</w:t>
            </w:r>
          </w:p>
        </w:tc>
      </w:tr>
      <w:tr w:rsidR="00993F28" w:rsidRPr="00993F28" w14:paraId="34F1EF87" w14:textId="77777777" w:rsidTr="00993F28">
        <w:trPr>
          <w:trHeight w:val="324"/>
          <w:tblCellSpacing w:w="15" w:type="dxa"/>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5C925DBC" w14:textId="77777777" w:rsidR="00993F28" w:rsidRPr="00993F28" w:rsidRDefault="00993F28" w:rsidP="00993F28">
            <w:pPr>
              <w:autoSpaceDE w:val="0"/>
              <w:autoSpaceDN w:val="0"/>
              <w:adjustRightInd w:val="0"/>
              <w:spacing w:after="0" w:line="240" w:lineRule="auto"/>
              <w:rPr>
                <w:rFonts w:ascii="Arial"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22ED2E" w14:textId="77777777" w:rsidR="00993F28" w:rsidRPr="00993F28" w:rsidRDefault="00993F28" w:rsidP="00993F28">
            <w:pPr>
              <w:autoSpaceDE w:val="0"/>
              <w:autoSpaceDN w:val="0"/>
              <w:adjustRightInd w:val="0"/>
              <w:spacing w:after="0" w:line="240" w:lineRule="auto"/>
              <w:rPr>
                <w:rFonts w:ascii="Arial" w:hAnsi="Arial" w:cs="Arial"/>
                <w:sz w:val="24"/>
                <w:szCs w:val="24"/>
              </w:rPr>
            </w:pPr>
            <w:r w:rsidRPr="00993F28">
              <w:rPr>
                <w:rFonts w:ascii="Arial" w:hAnsi="Arial" w:cs="Arial"/>
                <w:sz w:val="24"/>
                <w:szCs w:val="24"/>
              </w:rPr>
              <w:t>•</w:t>
            </w:r>
            <w:r w:rsidRPr="00993F28">
              <w:rPr>
                <w:rFonts w:ascii="Arial" w:hAnsi="Arial" w:cs="Arial"/>
                <w:sz w:val="24"/>
                <w:szCs w:val="24"/>
              </w:rPr>
              <w:t> </w:t>
            </w:r>
            <w:r w:rsidRPr="00993F28">
              <w:rPr>
                <w:rFonts w:ascii="Arial" w:hAnsi="Arial" w:cs="Arial"/>
                <w:sz w:val="24"/>
                <w:szCs w:val="24"/>
              </w:rPr>
              <w:t>A history of regular blood transfusion therapy</w:t>
            </w:r>
          </w:p>
        </w:tc>
      </w:tr>
      <w:tr w:rsidR="00993F28" w:rsidRPr="00993F28" w14:paraId="222E4422" w14:textId="77777777" w:rsidTr="00993F28">
        <w:trPr>
          <w:trHeight w:val="211"/>
          <w:tblCellSpacing w:w="15" w:type="dxa"/>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407EE496" w14:textId="77777777" w:rsidR="00993F28" w:rsidRPr="00993F28" w:rsidRDefault="00993F28" w:rsidP="00993F28">
            <w:pPr>
              <w:autoSpaceDE w:val="0"/>
              <w:autoSpaceDN w:val="0"/>
              <w:adjustRightInd w:val="0"/>
              <w:spacing w:after="0" w:line="240" w:lineRule="auto"/>
              <w:rPr>
                <w:rFonts w:ascii="Arial"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142076" w14:textId="77777777" w:rsidR="00993F28" w:rsidRPr="00993F28" w:rsidRDefault="00993F28" w:rsidP="00993F28">
            <w:pPr>
              <w:autoSpaceDE w:val="0"/>
              <w:autoSpaceDN w:val="0"/>
              <w:adjustRightInd w:val="0"/>
              <w:spacing w:after="0" w:line="240" w:lineRule="auto"/>
              <w:rPr>
                <w:rFonts w:ascii="Arial" w:hAnsi="Arial" w:cs="Arial"/>
                <w:sz w:val="24"/>
                <w:szCs w:val="24"/>
              </w:rPr>
            </w:pPr>
            <w:r w:rsidRPr="00993F28">
              <w:rPr>
                <w:rFonts w:ascii="Arial" w:hAnsi="Arial" w:cs="Arial"/>
                <w:sz w:val="24"/>
                <w:szCs w:val="24"/>
              </w:rPr>
              <w:t>•</w:t>
            </w:r>
            <w:r w:rsidRPr="00993F28">
              <w:rPr>
                <w:rFonts w:ascii="Arial" w:hAnsi="Arial" w:cs="Arial"/>
                <w:sz w:val="24"/>
                <w:szCs w:val="24"/>
              </w:rPr>
              <w:t> </w:t>
            </w:r>
            <w:r w:rsidRPr="00993F28">
              <w:rPr>
                <w:rFonts w:ascii="Arial" w:hAnsi="Arial" w:cs="Arial"/>
                <w:sz w:val="24"/>
                <w:szCs w:val="24"/>
              </w:rPr>
              <w:t>A history of a seizure disorder or diagnosis of epilepsy</w:t>
            </w:r>
          </w:p>
        </w:tc>
      </w:tr>
      <w:tr w:rsidR="00993F28" w:rsidRPr="00993F28" w14:paraId="512B1959" w14:textId="77777777" w:rsidTr="00993F28">
        <w:trPr>
          <w:trHeight w:val="200"/>
          <w:tblCellSpacing w:w="15" w:type="dxa"/>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F88A17" w14:textId="77777777" w:rsidR="00993F28" w:rsidRPr="00993F28" w:rsidRDefault="00993F28" w:rsidP="00993F28">
            <w:pPr>
              <w:autoSpaceDE w:val="0"/>
              <w:autoSpaceDN w:val="0"/>
              <w:adjustRightInd w:val="0"/>
              <w:spacing w:after="0" w:line="240" w:lineRule="auto"/>
              <w:rPr>
                <w:rFonts w:ascii="Arial" w:hAnsi="Arial" w:cs="Arial"/>
                <w:sz w:val="24"/>
                <w:szCs w:val="24"/>
              </w:rPr>
            </w:pPr>
            <w:r w:rsidRPr="00993F28">
              <w:rPr>
                <w:rFonts w:ascii="Arial" w:hAnsi="Arial" w:cs="Arial"/>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D687F8" w14:textId="77777777" w:rsidR="00993F28" w:rsidRPr="00993F28" w:rsidRDefault="00993F28" w:rsidP="00993F28">
            <w:pPr>
              <w:autoSpaceDE w:val="0"/>
              <w:autoSpaceDN w:val="0"/>
              <w:adjustRightInd w:val="0"/>
              <w:spacing w:after="0" w:line="240" w:lineRule="auto"/>
              <w:rPr>
                <w:rFonts w:ascii="Arial" w:hAnsi="Arial" w:cs="Arial"/>
                <w:sz w:val="24"/>
                <w:szCs w:val="24"/>
              </w:rPr>
            </w:pPr>
            <w:r w:rsidRPr="00993F28">
              <w:rPr>
                <w:rFonts w:ascii="Arial" w:hAnsi="Arial" w:cs="Arial"/>
                <w:sz w:val="24"/>
                <w:szCs w:val="24"/>
              </w:rPr>
              <w:t>•</w:t>
            </w:r>
            <w:r w:rsidRPr="00993F28">
              <w:rPr>
                <w:rFonts w:ascii="Arial" w:hAnsi="Arial" w:cs="Arial"/>
                <w:sz w:val="24"/>
                <w:szCs w:val="24"/>
              </w:rPr>
              <w:t> </w:t>
            </w:r>
            <w:r w:rsidRPr="00993F28">
              <w:rPr>
                <w:rFonts w:ascii="Arial" w:hAnsi="Arial" w:cs="Arial"/>
                <w:sz w:val="24"/>
                <w:szCs w:val="24"/>
              </w:rPr>
              <w:t>Other chronic comorbid diseases other than asthma or any other condition illness, which in the opinion of the site' 's Principal Investigator (PI) makes participation ill-advised or unsafe</w:t>
            </w:r>
          </w:p>
        </w:tc>
      </w:tr>
      <w:tr w:rsidR="00993F28" w:rsidRPr="00993F28" w14:paraId="5D1BCA74" w14:textId="77777777" w:rsidTr="00993F28">
        <w:trPr>
          <w:trHeight w:val="211"/>
          <w:tblCellSpacing w:w="15" w:type="dxa"/>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7D784684" w14:textId="77777777" w:rsidR="00993F28" w:rsidRPr="00993F28" w:rsidRDefault="00993F28" w:rsidP="00993F28">
            <w:pPr>
              <w:autoSpaceDE w:val="0"/>
              <w:autoSpaceDN w:val="0"/>
              <w:adjustRightInd w:val="0"/>
              <w:spacing w:after="0" w:line="240" w:lineRule="auto"/>
              <w:rPr>
                <w:rFonts w:ascii="Arial"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363855" w14:textId="77777777" w:rsidR="00993F28" w:rsidRPr="00993F28" w:rsidRDefault="00993F28" w:rsidP="00993F28">
            <w:pPr>
              <w:autoSpaceDE w:val="0"/>
              <w:autoSpaceDN w:val="0"/>
              <w:adjustRightInd w:val="0"/>
              <w:spacing w:after="0" w:line="240" w:lineRule="auto"/>
              <w:rPr>
                <w:rFonts w:ascii="Arial" w:hAnsi="Arial" w:cs="Arial"/>
                <w:sz w:val="24"/>
                <w:szCs w:val="24"/>
              </w:rPr>
            </w:pPr>
            <w:r w:rsidRPr="00993F28">
              <w:rPr>
                <w:rFonts w:ascii="Arial" w:hAnsi="Arial" w:cs="Arial"/>
                <w:sz w:val="24"/>
                <w:szCs w:val="24"/>
              </w:rPr>
              <w:t>•</w:t>
            </w:r>
            <w:r w:rsidRPr="00993F28">
              <w:rPr>
                <w:rFonts w:ascii="Arial" w:hAnsi="Arial" w:cs="Arial"/>
                <w:sz w:val="24"/>
                <w:szCs w:val="24"/>
              </w:rPr>
              <w:t> </w:t>
            </w:r>
            <w:r w:rsidRPr="00993F28">
              <w:rPr>
                <w:rFonts w:ascii="Arial" w:hAnsi="Arial" w:cs="Arial"/>
                <w:sz w:val="24"/>
                <w:szCs w:val="24"/>
              </w:rPr>
              <w:t>Participants of childbearing age who are pregnant or may become pregnant</w:t>
            </w:r>
          </w:p>
        </w:tc>
      </w:tr>
    </w:tbl>
    <w:p w14:paraId="04BB25D4" w14:textId="77777777" w:rsidR="009C0E89" w:rsidRDefault="009C0E89" w:rsidP="00F03FC9">
      <w:pPr>
        <w:autoSpaceDE w:val="0"/>
        <w:autoSpaceDN w:val="0"/>
        <w:adjustRightInd w:val="0"/>
        <w:spacing w:after="0" w:line="240" w:lineRule="auto"/>
        <w:rPr>
          <w:rFonts w:ascii="Arial" w:hAnsi="Arial" w:cs="Arial"/>
          <w:sz w:val="24"/>
          <w:szCs w:val="24"/>
        </w:rPr>
      </w:pPr>
    </w:p>
    <w:p w14:paraId="0C8BA695" w14:textId="77777777" w:rsidR="00993F28" w:rsidRPr="00993F28" w:rsidRDefault="00993F28" w:rsidP="00993F28">
      <w:pPr>
        <w:autoSpaceDE w:val="0"/>
        <w:autoSpaceDN w:val="0"/>
        <w:adjustRightInd w:val="0"/>
        <w:spacing w:after="0" w:line="240" w:lineRule="auto"/>
        <w:rPr>
          <w:rFonts w:ascii="Arial" w:hAnsi="Arial" w:cs="Arial"/>
          <w:sz w:val="24"/>
          <w:szCs w:val="24"/>
        </w:rPr>
      </w:pPr>
      <w:r w:rsidRPr="00993F28">
        <w:rPr>
          <w:rFonts w:ascii="Arial" w:hAnsi="Arial" w:cs="Arial"/>
          <w:sz w:val="24"/>
          <w:szCs w:val="24"/>
        </w:rPr>
        <w:lastRenderedPageBreak/>
        <w:t>Table 2. Inclusion and exclusion criteria for random allocation of participants to receive moderate or low-dose hydroxyurea therapy in SPRING trial.</w:t>
      </w:r>
    </w:p>
    <w:p w14:paraId="2A98F8C4" w14:textId="4CCC2809" w:rsidR="00993F28" w:rsidRPr="00993F28" w:rsidRDefault="00993F28">
      <w:pPr>
        <w:rPr>
          <w:rFonts w:ascii="Arial" w:hAnsi="Arial" w:cs="Arial"/>
          <w:sz w:val="24"/>
          <w:szCs w:val="24"/>
        </w:rPr>
      </w:pPr>
    </w:p>
    <w:tbl>
      <w:tblPr>
        <w:tblW w:w="148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880"/>
        <w:gridCol w:w="6996"/>
      </w:tblGrid>
      <w:tr w:rsidR="00993F28" w:rsidRPr="00993F28" w14:paraId="6B1B39C4" w14:textId="77777777" w:rsidTr="00993F28">
        <w:trPr>
          <w:trHeight w:val="152"/>
          <w:tblHeade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8C4487" w14:textId="77777777" w:rsidR="00993F28" w:rsidRPr="00993F28" w:rsidRDefault="00993F28" w:rsidP="00993F28">
            <w:pPr>
              <w:spacing w:after="0" w:line="240" w:lineRule="auto"/>
              <w:jc w:val="center"/>
              <w:rPr>
                <w:rFonts w:ascii="Arial" w:eastAsia="Times New Roman" w:hAnsi="Arial" w:cs="Arial"/>
                <w:b/>
                <w:bCs/>
                <w:color w:val="333333"/>
                <w:sz w:val="24"/>
                <w:szCs w:val="24"/>
                <w:lang w:eastAsia="en-GB"/>
              </w:rPr>
            </w:pPr>
            <w:r w:rsidRPr="00993F28">
              <w:rPr>
                <w:rFonts w:ascii="Arial" w:eastAsia="Times New Roman" w:hAnsi="Arial" w:cs="Arial"/>
                <w:b/>
                <w:bCs/>
                <w:color w:val="333333"/>
                <w:sz w:val="24"/>
                <w:szCs w:val="24"/>
                <w:lang w:eastAsia="en-GB"/>
              </w:rPr>
              <w:t>Inclusion Criteria for Randomization</w:t>
            </w:r>
          </w:p>
        </w:tc>
        <w:tc>
          <w:tcPr>
            <w:tcW w:w="69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2DDA44" w14:textId="77777777" w:rsidR="00993F28" w:rsidRPr="00993F28" w:rsidRDefault="00993F28" w:rsidP="00993F28">
            <w:pPr>
              <w:spacing w:after="0" w:line="240" w:lineRule="auto"/>
              <w:jc w:val="center"/>
              <w:rPr>
                <w:rFonts w:ascii="Arial" w:eastAsia="Times New Roman" w:hAnsi="Arial" w:cs="Arial"/>
                <w:b/>
                <w:bCs/>
                <w:color w:val="333333"/>
                <w:sz w:val="24"/>
                <w:szCs w:val="24"/>
                <w:lang w:eastAsia="en-GB"/>
              </w:rPr>
            </w:pPr>
            <w:r w:rsidRPr="00993F28">
              <w:rPr>
                <w:rFonts w:ascii="Arial" w:eastAsia="Times New Roman" w:hAnsi="Arial" w:cs="Arial"/>
                <w:b/>
                <w:bCs/>
                <w:color w:val="333333"/>
                <w:sz w:val="24"/>
                <w:szCs w:val="24"/>
                <w:lang w:eastAsia="en-GB"/>
              </w:rPr>
              <w:t>Exclusion Criteria for Randomization</w:t>
            </w:r>
          </w:p>
        </w:tc>
      </w:tr>
      <w:tr w:rsidR="00993F28" w:rsidRPr="00993F28" w14:paraId="258E4AAF" w14:textId="77777777" w:rsidTr="00993F28">
        <w:trPr>
          <w:trHeight w:val="304"/>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8416F5" w14:textId="77777777" w:rsidR="00993F28" w:rsidRPr="00993F28" w:rsidRDefault="00993F28" w:rsidP="00993F28">
            <w:pPr>
              <w:spacing w:after="0" w:line="240" w:lineRule="auto"/>
              <w:rPr>
                <w:rFonts w:ascii="Arial" w:eastAsia="Times New Roman" w:hAnsi="Arial" w:cs="Arial"/>
                <w:color w:val="333333"/>
                <w:sz w:val="24"/>
                <w:szCs w:val="24"/>
                <w:lang w:eastAsia="en-GB"/>
              </w:rPr>
            </w:pPr>
            <w:r w:rsidRPr="00993F28">
              <w:rPr>
                <w:rFonts w:ascii="Arial" w:eastAsia="Times New Roman" w:hAnsi="Arial" w:cs="Arial"/>
                <w:color w:val="333333"/>
                <w:sz w:val="24"/>
                <w:szCs w:val="24"/>
                <w:lang w:eastAsia="en-GB"/>
              </w:rPr>
              <w:t>•</w:t>
            </w:r>
            <w:r w:rsidRPr="00993F28">
              <w:rPr>
                <w:rFonts w:ascii="Arial" w:eastAsia="Times New Roman" w:hAnsi="Arial" w:cs="Arial"/>
                <w:color w:val="333333"/>
                <w:sz w:val="24"/>
                <w:szCs w:val="24"/>
                <w:lang w:eastAsia="en-GB"/>
              </w:rPr>
              <w:t> </w:t>
            </w:r>
            <w:r w:rsidRPr="00993F28">
              <w:rPr>
                <w:rFonts w:ascii="Arial" w:eastAsia="Times New Roman" w:hAnsi="Arial" w:cs="Arial"/>
                <w:color w:val="333333"/>
                <w:sz w:val="24"/>
                <w:szCs w:val="24"/>
                <w:lang w:eastAsia="en-GB"/>
              </w:rPr>
              <w:t>TCD velocity of ≥200 cm/second measured at least twice or least one measurement ≥ 220 cm/sec in the middle cerebral artery or</w:t>
            </w:r>
          </w:p>
        </w:tc>
        <w:tc>
          <w:tcPr>
            <w:tcW w:w="69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716721" w14:textId="77777777" w:rsidR="00993F28" w:rsidRPr="00993F28" w:rsidRDefault="00993F28" w:rsidP="00993F28">
            <w:pPr>
              <w:spacing w:after="0" w:line="240" w:lineRule="auto"/>
              <w:rPr>
                <w:rFonts w:ascii="Arial" w:eastAsia="Times New Roman" w:hAnsi="Arial" w:cs="Arial"/>
                <w:color w:val="333333"/>
                <w:sz w:val="24"/>
                <w:szCs w:val="24"/>
                <w:lang w:eastAsia="en-GB"/>
              </w:rPr>
            </w:pPr>
            <w:r w:rsidRPr="00993F28">
              <w:rPr>
                <w:rFonts w:ascii="Arial" w:eastAsia="Times New Roman" w:hAnsi="Arial" w:cs="Arial"/>
                <w:color w:val="333333"/>
                <w:sz w:val="24"/>
                <w:szCs w:val="24"/>
                <w:lang w:eastAsia="en-GB"/>
              </w:rPr>
              <w:t>•</w:t>
            </w:r>
            <w:r w:rsidRPr="00993F28">
              <w:rPr>
                <w:rFonts w:ascii="Arial" w:eastAsia="Times New Roman" w:hAnsi="Arial" w:cs="Arial"/>
                <w:color w:val="333333"/>
                <w:sz w:val="24"/>
                <w:szCs w:val="24"/>
                <w:lang w:eastAsia="en-GB"/>
              </w:rPr>
              <w:t> </w:t>
            </w:r>
            <w:r w:rsidRPr="00993F28">
              <w:rPr>
                <w:rFonts w:ascii="Arial" w:eastAsia="Times New Roman" w:hAnsi="Arial" w:cs="Arial"/>
                <w:color w:val="333333"/>
                <w:sz w:val="24"/>
                <w:szCs w:val="24"/>
                <w:lang w:eastAsia="en-GB"/>
              </w:rPr>
              <w:t>Any other condition illness or reason, which in the opinion of the site investigastor makes participation ill-advised or unsafe</w:t>
            </w:r>
          </w:p>
        </w:tc>
      </w:tr>
      <w:tr w:rsidR="00993F28" w:rsidRPr="00993F28" w14:paraId="3784F37A" w14:textId="77777777" w:rsidTr="00993F28">
        <w:trPr>
          <w:trHeight w:val="152"/>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D3F26A" w14:textId="77777777" w:rsidR="00993F28" w:rsidRPr="00993F28" w:rsidRDefault="00993F28" w:rsidP="00993F28">
            <w:pPr>
              <w:spacing w:after="0" w:line="240" w:lineRule="auto"/>
              <w:rPr>
                <w:rFonts w:ascii="Arial" w:eastAsia="Times New Roman" w:hAnsi="Arial" w:cs="Arial"/>
                <w:color w:val="333333"/>
                <w:sz w:val="24"/>
                <w:szCs w:val="24"/>
                <w:lang w:eastAsia="en-GB"/>
              </w:rPr>
            </w:pPr>
            <w:r w:rsidRPr="00993F28">
              <w:rPr>
                <w:rFonts w:ascii="Arial" w:eastAsia="Times New Roman" w:hAnsi="Arial" w:cs="Arial"/>
                <w:color w:val="333333"/>
                <w:sz w:val="24"/>
                <w:szCs w:val="24"/>
                <w:lang w:eastAsia="en-GB"/>
              </w:rPr>
              <w:t>•</w:t>
            </w:r>
            <w:r w:rsidRPr="00993F28">
              <w:rPr>
                <w:rFonts w:ascii="Arial" w:eastAsia="Times New Roman" w:hAnsi="Arial" w:cs="Arial"/>
                <w:color w:val="333333"/>
                <w:sz w:val="24"/>
                <w:szCs w:val="24"/>
                <w:lang w:eastAsia="en-GB"/>
              </w:rPr>
              <w:t> </w:t>
            </w:r>
            <w:r w:rsidRPr="00993F28">
              <w:rPr>
                <w:rFonts w:ascii="Arial" w:eastAsia="Times New Roman" w:hAnsi="Arial" w:cs="Arial"/>
                <w:color w:val="333333"/>
                <w:sz w:val="24"/>
                <w:szCs w:val="24"/>
                <w:lang w:eastAsia="en-GB"/>
              </w:rPr>
              <w:t>Ability to swallow a capsule</w:t>
            </w:r>
          </w:p>
        </w:tc>
        <w:tc>
          <w:tcPr>
            <w:tcW w:w="69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07BA5B" w14:textId="77777777" w:rsidR="00993F28" w:rsidRPr="00993F28" w:rsidRDefault="00993F28" w:rsidP="00993F28">
            <w:pPr>
              <w:spacing w:after="0" w:line="240" w:lineRule="auto"/>
              <w:rPr>
                <w:rFonts w:ascii="Arial" w:eastAsia="Times New Roman" w:hAnsi="Arial" w:cs="Arial"/>
                <w:color w:val="333333"/>
                <w:sz w:val="24"/>
                <w:szCs w:val="24"/>
                <w:lang w:eastAsia="en-GB"/>
              </w:rPr>
            </w:pPr>
            <w:r w:rsidRPr="00993F28">
              <w:rPr>
                <w:rFonts w:ascii="Arial" w:eastAsia="Times New Roman" w:hAnsi="Arial" w:cs="Arial"/>
                <w:color w:val="333333"/>
                <w:sz w:val="24"/>
                <w:szCs w:val="24"/>
                <w:lang w:eastAsia="en-GB"/>
              </w:rPr>
              <w:t>•</w:t>
            </w:r>
            <w:r w:rsidRPr="00993F28">
              <w:rPr>
                <w:rFonts w:ascii="Arial" w:eastAsia="Times New Roman" w:hAnsi="Arial" w:cs="Arial"/>
                <w:color w:val="333333"/>
                <w:sz w:val="24"/>
                <w:szCs w:val="24"/>
                <w:lang w:eastAsia="en-GB"/>
              </w:rPr>
              <w:t> </w:t>
            </w:r>
            <w:r w:rsidRPr="00993F28">
              <w:rPr>
                <w:rFonts w:ascii="Arial" w:eastAsia="Times New Roman" w:hAnsi="Arial" w:cs="Arial"/>
                <w:color w:val="333333"/>
                <w:sz w:val="24"/>
                <w:szCs w:val="24"/>
                <w:lang w:eastAsia="en-GB"/>
              </w:rPr>
              <w:t>Participants of childbearing age who are pregnant or may become pregnant</w:t>
            </w:r>
          </w:p>
        </w:tc>
      </w:tr>
      <w:tr w:rsidR="00993F28" w:rsidRPr="00993F28" w14:paraId="37E18BE2" w14:textId="77777777" w:rsidTr="00993F28">
        <w:trPr>
          <w:trHeight w:val="163"/>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7D4E90" w14:textId="77777777" w:rsidR="00993F28" w:rsidRPr="00993F28" w:rsidRDefault="00993F28" w:rsidP="00993F28">
            <w:pPr>
              <w:spacing w:after="0" w:line="240" w:lineRule="auto"/>
              <w:rPr>
                <w:rFonts w:ascii="Arial" w:eastAsia="Times New Roman" w:hAnsi="Arial" w:cs="Arial"/>
                <w:color w:val="333333"/>
                <w:sz w:val="24"/>
                <w:szCs w:val="24"/>
                <w:lang w:eastAsia="en-GB"/>
              </w:rPr>
            </w:pPr>
            <w:r w:rsidRPr="00993F28">
              <w:rPr>
                <w:rFonts w:ascii="Arial" w:eastAsia="Times New Roman" w:hAnsi="Arial" w:cs="Arial"/>
                <w:color w:val="333333"/>
                <w:sz w:val="24"/>
                <w:szCs w:val="24"/>
                <w:lang w:eastAsia="en-GB"/>
              </w:rPr>
              <w:t>•</w:t>
            </w:r>
            <w:r w:rsidRPr="00993F28">
              <w:rPr>
                <w:rFonts w:ascii="Arial" w:eastAsia="Times New Roman" w:hAnsi="Arial" w:cs="Arial"/>
                <w:color w:val="333333"/>
                <w:sz w:val="24"/>
                <w:szCs w:val="24"/>
                <w:lang w:eastAsia="en-GB"/>
              </w:rPr>
              <w:t> </w:t>
            </w:r>
            <w:r w:rsidRPr="00993F28">
              <w:rPr>
                <w:rFonts w:ascii="Arial" w:eastAsia="Times New Roman" w:hAnsi="Arial" w:cs="Arial"/>
                <w:color w:val="333333"/>
                <w:sz w:val="24"/>
                <w:szCs w:val="24"/>
                <w:lang w:eastAsia="en-GB"/>
              </w:rPr>
              <w:t>Acceptance of hydroxyurea and willingness to be followed monthly for at least 36 months</w:t>
            </w:r>
          </w:p>
        </w:tc>
        <w:tc>
          <w:tcPr>
            <w:tcW w:w="69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3BA97B" w14:textId="77777777" w:rsidR="00993F28" w:rsidRPr="00993F28" w:rsidRDefault="00993F28" w:rsidP="00993F28">
            <w:pPr>
              <w:spacing w:after="0" w:line="240" w:lineRule="auto"/>
              <w:rPr>
                <w:rFonts w:ascii="Arial" w:eastAsia="Times New Roman" w:hAnsi="Arial" w:cs="Arial"/>
                <w:color w:val="333333"/>
                <w:sz w:val="24"/>
                <w:szCs w:val="24"/>
                <w:lang w:eastAsia="en-GB"/>
              </w:rPr>
            </w:pPr>
            <w:r w:rsidRPr="00993F28">
              <w:rPr>
                <w:rFonts w:ascii="Arial" w:eastAsia="Times New Roman" w:hAnsi="Arial" w:cs="Arial"/>
                <w:color w:val="333333"/>
                <w:sz w:val="24"/>
                <w:szCs w:val="24"/>
                <w:lang w:eastAsia="en-GB"/>
              </w:rPr>
              <w:t>•</w:t>
            </w:r>
            <w:r w:rsidRPr="00993F28">
              <w:rPr>
                <w:rFonts w:ascii="Arial" w:eastAsia="Times New Roman" w:hAnsi="Arial" w:cs="Arial"/>
                <w:color w:val="333333"/>
                <w:sz w:val="24"/>
                <w:szCs w:val="24"/>
                <w:lang w:eastAsia="en-GB"/>
              </w:rPr>
              <w:t> </w:t>
            </w:r>
            <w:r w:rsidRPr="00993F28">
              <w:rPr>
                <w:rFonts w:ascii="Arial" w:eastAsia="Times New Roman" w:hAnsi="Arial" w:cs="Arial"/>
                <w:color w:val="333333"/>
                <w:sz w:val="24"/>
                <w:szCs w:val="24"/>
                <w:lang w:eastAsia="en-GB"/>
              </w:rPr>
              <w:t>Unable to commit to follow-up visits for the duration of the trial</w:t>
            </w:r>
          </w:p>
        </w:tc>
      </w:tr>
      <w:tr w:rsidR="00993F28" w:rsidRPr="00993F28" w14:paraId="0030A09D" w14:textId="77777777" w:rsidTr="00993F28">
        <w:trPr>
          <w:trHeight w:val="152"/>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C0306C" w14:textId="77777777" w:rsidR="00993F28" w:rsidRPr="00993F28" w:rsidRDefault="00993F28" w:rsidP="00993F28">
            <w:pPr>
              <w:spacing w:after="0" w:line="240" w:lineRule="auto"/>
              <w:rPr>
                <w:rFonts w:ascii="Arial" w:eastAsia="Times New Roman" w:hAnsi="Arial" w:cs="Arial"/>
                <w:color w:val="333333"/>
                <w:sz w:val="24"/>
                <w:szCs w:val="24"/>
                <w:lang w:eastAsia="en-GB"/>
              </w:rPr>
            </w:pPr>
            <w:r w:rsidRPr="00993F28">
              <w:rPr>
                <w:rFonts w:ascii="Arial" w:eastAsia="Times New Roman" w:hAnsi="Arial" w:cs="Arial"/>
                <w:color w:val="333333"/>
                <w:sz w:val="24"/>
                <w:szCs w:val="24"/>
                <w:lang w:eastAsia="en-GB"/>
              </w:rPr>
              <w:t>•</w:t>
            </w:r>
            <w:r w:rsidRPr="00993F28">
              <w:rPr>
                <w:rFonts w:ascii="Arial" w:eastAsia="Times New Roman" w:hAnsi="Arial" w:cs="Arial"/>
                <w:color w:val="333333"/>
                <w:sz w:val="24"/>
                <w:szCs w:val="24"/>
                <w:lang w:eastAsia="en-GB"/>
              </w:rPr>
              <w:t> </w:t>
            </w:r>
            <w:r w:rsidRPr="00993F28">
              <w:rPr>
                <w:rFonts w:ascii="Arial" w:eastAsia="Times New Roman" w:hAnsi="Arial" w:cs="Arial"/>
                <w:color w:val="333333"/>
                <w:sz w:val="24"/>
                <w:szCs w:val="24"/>
                <w:lang w:eastAsia="en-GB"/>
              </w:rPr>
              <w:t>Written informed consent and assent</w:t>
            </w:r>
          </w:p>
        </w:tc>
        <w:tc>
          <w:tcPr>
            <w:tcW w:w="69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0E787A" w14:textId="77777777" w:rsidR="00993F28" w:rsidRPr="00993F28" w:rsidRDefault="00993F28" w:rsidP="00993F28">
            <w:pPr>
              <w:spacing w:after="0" w:line="240" w:lineRule="auto"/>
              <w:rPr>
                <w:rFonts w:ascii="Arial" w:eastAsia="Times New Roman" w:hAnsi="Arial" w:cs="Arial"/>
                <w:color w:val="333333"/>
                <w:sz w:val="24"/>
                <w:szCs w:val="24"/>
                <w:lang w:eastAsia="en-GB"/>
              </w:rPr>
            </w:pPr>
            <w:r w:rsidRPr="00993F28">
              <w:rPr>
                <w:rFonts w:ascii="Arial" w:eastAsia="Times New Roman" w:hAnsi="Arial" w:cs="Arial"/>
                <w:color w:val="333333"/>
                <w:sz w:val="24"/>
                <w:szCs w:val="24"/>
                <w:lang w:eastAsia="en-GB"/>
              </w:rPr>
              <w:t> </w:t>
            </w:r>
          </w:p>
        </w:tc>
      </w:tr>
    </w:tbl>
    <w:p w14:paraId="1AA6F82E" w14:textId="091644E7" w:rsidR="00993F28" w:rsidRDefault="00993F28">
      <w:pPr>
        <w:rPr>
          <w:rFonts w:ascii="Arial" w:hAnsi="Arial" w:cs="Arial"/>
          <w:sz w:val="24"/>
          <w:szCs w:val="24"/>
        </w:rPr>
      </w:pPr>
      <w:r>
        <w:rPr>
          <w:rFonts w:ascii="Arial" w:hAnsi="Arial" w:cs="Arial"/>
          <w:sz w:val="24"/>
          <w:szCs w:val="24"/>
        </w:rPr>
        <w:br w:type="page"/>
      </w:r>
    </w:p>
    <w:p w14:paraId="365E06AB" w14:textId="77777777" w:rsidR="009C0E89" w:rsidRPr="00993F28" w:rsidRDefault="009C0E89">
      <w:pPr>
        <w:rPr>
          <w:rFonts w:ascii="Arial" w:hAnsi="Arial" w:cs="Arial"/>
          <w:sz w:val="24"/>
          <w:szCs w:val="24"/>
        </w:rPr>
      </w:pPr>
    </w:p>
    <w:p w14:paraId="60FF5A12" w14:textId="77777777" w:rsidR="00F03FC9" w:rsidRPr="00993F28" w:rsidRDefault="00F03FC9" w:rsidP="00F03FC9">
      <w:pPr>
        <w:autoSpaceDE w:val="0"/>
        <w:autoSpaceDN w:val="0"/>
        <w:adjustRightInd w:val="0"/>
        <w:spacing w:after="0" w:line="240" w:lineRule="auto"/>
        <w:rPr>
          <w:rFonts w:ascii="Arial" w:hAnsi="Arial" w:cs="Arial"/>
          <w:sz w:val="24"/>
          <w:szCs w:val="24"/>
        </w:rPr>
      </w:pPr>
    </w:p>
    <w:tbl>
      <w:tblPr>
        <w:tblW w:w="16225"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766"/>
        <w:gridCol w:w="2764"/>
        <w:gridCol w:w="11695"/>
      </w:tblGrid>
      <w:tr w:rsidR="00993F28" w:rsidRPr="00993F28" w14:paraId="55E6901F" w14:textId="77777777" w:rsidTr="00993F28">
        <w:trPr>
          <w:trHeight w:val="623"/>
          <w:tblHeader/>
          <w:tblCellSpacing w:w="15" w:type="dxa"/>
          <w:jc w:val="center"/>
        </w:trPr>
        <w:tc>
          <w:tcPr>
            <w:tcW w:w="0" w:type="auto"/>
            <w:gridSpan w:val="3"/>
            <w:tcBorders>
              <w:top w:val="nil"/>
              <w:left w:val="nil"/>
              <w:bottom w:val="nil"/>
              <w:right w:val="nil"/>
            </w:tcBorders>
            <w:shd w:val="clear" w:color="auto" w:fill="FFFFFF"/>
            <w:tcMar>
              <w:top w:w="120" w:type="dxa"/>
              <w:left w:w="120" w:type="dxa"/>
              <w:bottom w:w="120" w:type="dxa"/>
              <w:right w:w="120" w:type="dxa"/>
            </w:tcMar>
            <w:vAlign w:val="center"/>
            <w:hideMark/>
          </w:tcPr>
          <w:p w14:paraId="40E96C25" w14:textId="77777777" w:rsidR="00993F28" w:rsidRPr="00993F28" w:rsidRDefault="00993F28" w:rsidP="00993F28">
            <w:pPr>
              <w:pStyle w:val="NormalWeb"/>
              <w:shd w:val="clear" w:color="auto" w:fill="E9E9E9"/>
              <w:spacing w:before="240" w:beforeAutospacing="0" w:after="240" w:afterAutospacing="0" w:line="300" w:lineRule="atLeast"/>
              <w:rPr>
                <w:rFonts w:ascii="Arial" w:hAnsi="Arial" w:cs="Arial"/>
                <w:b/>
                <w:bCs/>
                <w:color w:val="000000"/>
              </w:rPr>
            </w:pPr>
            <w:r w:rsidRPr="00993F28">
              <w:rPr>
                <w:rStyle w:val="captionlabel"/>
                <w:rFonts w:ascii="Arial" w:hAnsi="Arial" w:cs="Arial"/>
                <w:b/>
                <w:bCs/>
                <w:color w:val="000000"/>
              </w:rPr>
              <w:t>Table 3. </w:t>
            </w:r>
            <w:r w:rsidRPr="00993F28">
              <w:rPr>
                <w:rFonts w:ascii="Arial" w:hAnsi="Arial" w:cs="Arial"/>
                <w:b/>
                <w:bCs/>
                <w:color w:val="000000"/>
              </w:rPr>
              <w:t>Qualifying Transcranial Doppler (TCD) assessment based on STOP criteria.</w:t>
            </w:r>
            <w:hyperlink r:id="rId7" w:history="1">
              <w:r w:rsidRPr="00993F28">
                <w:rPr>
                  <w:rStyle w:val="Hyperlink"/>
                  <w:rFonts w:ascii="Arial" w:hAnsi="Arial" w:cs="Arial"/>
                  <w:b/>
                  <w:bCs/>
                  <w:color w:val="10147E"/>
                </w:rPr>
                <w:t> </w:t>
              </w:r>
              <w:r w:rsidRPr="00993F28">
                <w:rPr>
                  <w:rStyle w:val="Hyperlink"/>
                  <w:rFonts w:ascii="Arial" w:hAnsi="Arial" w:cs="Arial"/>
                  <w:b/>
                  <w:bCs/>
                  <w:color w:val="10147E"/>
                  <w:vertAlign w:val="superscript"/>
                </w:rPr>
                <w:t>1</w:t>
              </w:r>
            </w:hyperlink>
          </w:p>
        </w:tc>
      </w:tr>
      <w:tr w:rsidR="00993F28" w:rsidRPr="00993F28" w14:paraId="2BA14AFB" w14:textId="77777777" w:rsidTr="00993F28">
        <w:trPr>
          <w:trHeight w:val="284"/>
          <w:tblHeader/>
          <w:tblCellSpacing w:w="15" w:type="dxa"/>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33D673" w14:textId="77777777" w:rsidR="00993F28" w:rsidRPr="00993F28" w:rsidRDefault="00993F28">
            <w:pPr>
              <w:jc w:val="center"/>
              <w:rPr>
                <w:rFonts w:ascii="Arial" w:hAnsi="Arial" w:cs="Arial"/>
                <w:b/>
                <w:bCs/>
                <w:sz w:val="24"/>
                <w:szCs w:val="24"/>
              </w:rPr>
            </w:pPr>
            <w:r w:rsidRPr="00993F28">
              <w:rPr>
                <w:rFonts w:ascii="Arial" w:hAnsi="Arial" w:cs="Arial"/>
                <w:b/>
                <w:bCs/>
                <w:sz w:val="24"/>
                <w:szCs w:val="24"/>
              </w:rPr>
              <w:t>Method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B69D72" w14:textId="77777777" w:rsidR="00993F28" w:rsidRPr="00993F28" w:rsidRDefault="00993F28">
            <w:pPr>
              <w:jc w:val="center"/>
              <w:rPr>
                <w:rFonts w:ascii="Arial" w:hAnsi="Arial" w:cs="Arial"/>
                <w:b/>
                <w:bCs/>
                <w:sz w:val="24"/>
                <w:szCs w:val="24"/>
              </w:rPr>
            </w:pPr>
            <w:r w:rsidRPr="00993F28">
              <w:rPr>
                <w:rFonts w:ascii="Arial" w:hAnsi="Arial" w:cs="Arial"/>
                <w:b/>
                <w:bCs/>
                <w:sz w:val="24"/>
                <w:szCs w:val="24"/>
              </w:rPr>
              <w:t>Threshold Range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C2E394" w14:textId="77777777" w:rsidR="00993F28" w:rsidRPr="00993F28" w:rsidRDefault="00993F28">
            <w:pPr>
              <w:jc w:val="center"/>
              <w:rPr>
                <w:rFonts w:ascii="Arial" w:hAnsi="Arial" w:cs="Arial"/>
                <w:b/>
                <w:bCs/>
                <w:sz w:val="24"/>
                <w:szCs w:val="24"/>
              </w:rPr>
            </w:pPr>
            <w:r w:rsidRPr="00993F28">
              <w:rPr>
                <w:rFonts w:ascii="Arial" w:hAnsi="Arial" w:cs="Arial"/>
                <w:b/>
                <w:bCs/>
                <w:sz w:val="24"/>
                <w:szCs w:val="24"/>
              </w:rPr>
              <w:t>Follow Up Assessment</w:t>
            </w:r>
          </w:p>
        </w:tc>
      </w:tr>
      <w:tr w:rsidR="00993F28" w:rsidRPr="00993F28" w14:paraId="0B196302" w14:textId="77777777" w:rsidTr="00993F28">
        <w:trPr>
          <w:trHeight w:val="401"/>
          <w:tblCellSpacing w:w="15" w:type="dxa"/>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C64B15" w14:textId="77777777" w:rsidR="00993F28" w:rsidRPr="00993F28" w:rsidRDefault="00993F28">
            <w:pPr>
              <w:rPr>
                <w:rFonts w:ascii="Arial" w:hAnsi="Arial" w:cs="Arial"/>
                <w:sz w:val="24"/>
                <w:szCs w:val="24"/>
              </w:rPr>
            </w:pPr>
            <w:r w:rsidRPr="00993F28">
              <w:rPr>
                <w:rFonts w:ascii="Arial" w:hAnsi="Arial" w:cs="Arial"/>
                <w:sz w:val="24"/>
                <w:szCs w:val="24"/>
              </w:rPr>
              <w:t>Non-imaging TCD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3B64E9" w14:textId="77777777" w:rsidR="00993F28" w:rsidRPr="00993F28" w:rsidRDefault="00993F28">
            <w:pPr>
              <w:rPr>
                <w:rFonts w:ascii="Arial" w:hAnsi="Arial" w:cs="Arial"/>
                <w:sz w:val="24"/>
                <w:szCs w:val="24"/>
              </w:rPr>
            </w:pPr>
            <w:r w:rsidRPr="00993F28">
              <w:rPr>
                <w:rFonts w:ascii="Arial" w:hAnsi="Arial" w:cs="Arial"/>
                <w:sz w:val="24"/>
                <w:szCs w:val="24"/>
              </w:rPr>
              <w:t>Normal Range &lt;170 cm/sec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9AF0ED" w14:textId="77777777" w:rsidR="00993F28" w:rsidRPr="00993F28" w:rsidRDefault="00993F28">
            <w:pPr>
              <w:rPr>
                <w:rFonts w:ascii="Arial" w:hAnsi="Arial" w:cs="Arial"/>
                <w:sz w:val="24"/>
                <w:szCs w:val="24"/>
              </w:rPr>
            </w:pPr>
            <w:r w:rsidRPr="00993F28">
              <w:rPr>
                <w:rFonts w:ascii="Arial" w:hAnsi="Arial" w:cs="Arial"/>
                <w:sz w:val="24"/>
                <w:szCs w:val="24"/>
              </w:rPr>
              <w:t>Repeat TCD 12 months after initial screening</w:t>
            </w:r>
          </w:p>
        </w:tc>
      </w:tr>
      <w:tr w:rsidR="00993F28" w:rsidRPr="00993F28" w14:paraId="4CCEDF73" w14:textId="77777777" w:rsidTr="00993F28">
        <w:trPr>
          <w:trHeight w:val="675"/>
          <w:tblCellSpacing w:w="15" w:type="dxa"/>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67F802F7" w14:textId="77777777" w:rsidR="00993F28" w:rsidRPr="00993F28" w:rsidRDefault="00993F28">
            <w:pPr>
              <w:rPr>
                <w:rFonts w:ascii="Arial"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96A342" w14:textId="77777777" w:rsidR="00993F28" w:rsidRPr="00993F28" w:rsidRDefault="00993F28">
            <w:pPr>
              <w:rPr>
                <w:rFonts w:ascii="Arial" w:hAnsi="Arial" w:cs="Arial"/>
                <w:sz w:val="24"/>
                <w:szCs w:val="24"/>
              </w:rPr>
            </w:pPr>
            <w:r w:rsidRPr="00993F28">
              <w:rPr>
                <w:rFonts w:ascii="Arial" w:hAnsi="Arial" w:cs="Arial"/>
                <w:sz w:val="24"/>
                <w:szCs w:val="24"/>
              </w:rPr>
              <w:t>High Conditional Range</w:t>
            </w:r>
            <w:r w:rsidRPr="00993F28">
              <w:rPr>
                <w:rFonts w:ascii="Arial" w:hAnsi="Arial" w:cs="Arial"/>
                <w:sz w:val="24"/>
                <w:szCs w:val="24"/>
              </w:rPr>
              <w:br/>
              <w:t>170-199 cm/sec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01F98A" w14:textId="77777777" w:rsidR="00993F28" w:rsidRPr="00993F28" w:rsidRDefault="00993F28">
            <w:pPr>
              <w:rPr>
                <w:rFonts w:ascii="Arial" w:hAnsi="Arial" w:cs="Arial"/>
                <w:sz w:val="24"/>
                <w:szCs w:val="24"/>
              </w:rPr>
            </w:pPr>
            <w:r w:rsidRPr="00993F28">
              <w:rPr>
                <w:rFonts w:ascii="Arial" w:hAnsi="Arial" w:cs="Arial"/>
                <w:sz w:val="24"/>
                <w:szCs w:val="24"/>
              </w:rPr>
              <w:t>Usual protocol of evaluation at study site, repeat TCD within three months of initial screening</w:t>
            </w:r>
          </w:p>
        </w:tc>
      </w:tr>
      <w:tr w:rsidR="00993F28" w:rsidRPr="00993F28" w14:paraId="5D2D8D99" w14:textId="77777777" w:rsidTr="00993F28">
        <w:trPr>
          <w:trHeight w:val="569"/>
          <w:tblCellSpacing w:w="15" w:type="dxa"/>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375F2116" w14:textId="77777777" w:rsidR="00993F28" w:rsidRPr="00993F28" w:rsidRDefault="00993F28">
            <w:pPr>
              <w:rPr>
                <w:rFonts w:ascii="Arial"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850875" w14:textId="77777777" w:rsidR="00993F28" w:rsidRPr="00993F28" w:rsidRDefault="00993F28">
            <w:pPr>
              <w:rPr>
                <w:rFonts w:ascii="Arial" w:hAnsi="Arial" w:cs="Arial"/>
                <w:sz w:val="24"/>
                <w:szCs w:val="24"/>
              </w:rPr>
            </w:pPr>
            <w:r w:rsidRPr="00993F28">
              <w:rPr>
                <w:rFonts w:ascii="Arial" w:hAnsi="Arial" w:cs="Arial"/>
                <w:sz w:val="24"/>
                <w:szCs w:val="24"/>
              </w:rPr>
              <w:t>Treatment Range ≥ 200 cm/sec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A24493" w14:textId="77777777" w:rsidR="00993F28" w:rsidRPr="00993F28" w:rsidRDefault="00993F28">
            <w:pPr>
              <w:rPr>
                <w:rFonts w:ascii="Arial" w:hAnsi="Arial" w:cs="Arial"/>
                <w:sz w:val="24"/>
                <w:szCs w:val="24"/>
              </w:rPr>
            </w:pPr>
            <w:r w:rsidRPr="00993F28">
              <w:rPr>
                <w:rFonts w:ascii="Arial" w:hAnsi="Arial" w:cs="Arial"/>
                <w:sz w:val="24"/>
                <w:szCs w:val="24"/>
              </w:rPr>
              <w:t>Repeat TCD within 4 weeks of initial screening. However, we will typically, repeat the TCD on the same day with a second TCD certified examiner to increase efficiency of enrollment</w:t>
            </w:r>
          </w:p>
        </w:tc>
      </w:tr>
    </w:tbl>
    <w:p w14:paraId="27352179" w14:textId="77777777" w:rsidR="00F03FC9" w:rsidRPr="00A413E4" w:rsidRDefault="00F03FC9" w:rsidP="00F03FC9">
      <w:pPr>
        <w:autoSpaceDE w:val="0"/>
        <w:autoSpaceDN w:val="0"/>
        <w:adjustRightInd w:val="0"/>
        <w:spacing w:after="0" w:line="240" w:lineRule="auto"/>
        <w:rPr>
          <w:rFonts w:ascii="Arial" w:hAnsi="Arial" w:cs="Arial"/>
          <w:sz w:val="24"/>
          <w:szCs w:val="24"/>
        </w:rPr>
      </w:pPr>
    </w:p>
    <w:p w14:paraId="3C51EE28" w14:textId="77777777" w:rsidR="009C0E89" w:rsidRDefault="009C0E89">
      <w:pPr>
        <w:rPr>
          <w:rFonts w:ascii="Arial" w:hAnsi="Arial" w:cs="Arial"/>
          <w:sz w:val="24"/>
          <w:szCs w:val="24"/>
        </w:rPr>
      </w:pPr>
      <w:r>
        <w:rPr>
          <w:rFonts w:ascii="Arial" w:hAnsi="Arial" w:cs="Arial"/>
          <w:sz w:val="24"/>
          <w:szCs w:val="24"/>
        </w:rPr>
        <w:br w:type="page"/>
      </w:r>
    </w:p>
    <w:p w14:paraId="41C209DB" w14:textId="5449CE4F" w:rsidR="00993F28" w:rsidRDefault="00993F28" w:rsidP="00993F28">
      <w:pPr>
        <w:pStyle w:val="Heading3"/>
        <w:shd w:val="clear" w:color="auto" w:fill="FFFFFF"/>
        <w:spacing w:before="240" w:beforeAutospacing="0" w:after="240" w:afterAutospacing="0" w:line="405" w:lineRule="atLeast"/>
        <w:rPr>
          <w:rFonts w:ascii="Trebuchet MS" w:hAnsi="Trebuchet MS" w:cs="Arial"/>
          <w:color w:val="000000"/>
          <w:sz w:val="20"/>
          <w:szCs w:val="20"/>
        </w:rPr>
      </w:pPr>
    </w:p>
    <w:tbl>
      <w:tblPr>
        <w:tblW w:w="16385"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075"/>
        <w:gridCol w:w="3055"/>
        <w:gridCol w:w="4487"/>
        <w:gridCol w:w="5768"/>
      </w:tblGrid>
      <w:tr w:rsidR="00993F28" w:rsidRPr="00993F28" w14:paraId="5CC55732" w14:textId="77777777" w:rsidTr="00993F28">
        <w:trPr>
          <w:trHeight w:val="749"/>
          <w:tblHeader/>
          <w:tblCellSpacing w:w="15" w:type="dxa"/>
          <w:jc w:val="center"/>
        </w:trPr>
        <w:tc>
          <w:tcPr>
            <w:tcW w:w="0" w:type="auto"/>
            <w:gridSpan w:val="4"/>
            <w:tcBorders>
              <w:top w:val="nil"/>
              <w:left w:val="nil"/>
              <w:bottom w:val="nil"/>
              <w:right w:val="nil"/>
            </w:tcBorders>
            <w:shd w:val="clear" w:color="auto" w:fill="FFFFFF"/>
            <w:tcMar>
              <w:top w:w="120" w:type="dxa"/>
              <w:left w:w="120" w:type="dxa"/>
              <w:bottom w:w="120" w:type="dxa"/>
              <w:right w:w="120" w:type="dxa"/>
            </w:tcMar>
            <w:vAlign w:val="center"/>
            <w:hideMark/>
          </w:tcPr>
          <w:p w14:paraId="4C00FBB6" w14:textId="77777777" w:rsidR="00993F28" w:rsidRPr="00993F28" w:rsidRDefault="00993F28">
            <w:pPr>
              <w:pStyle w:val="NormalWeb"/>
              <w:shd w:val="clear" w:color="auto" w:fill="E9E9E9"/>
              <w:spacing w:before="240" w:beforeAutospacing="0" w:after="240" w:afterAutospacing="0" w:line="300" w:lineRule="atLeast"/>
              <w:divId w:val="1556895037"/>
              <w:rPr>
                <w:rFonts w:ascii="Arial" w:hAnsi="Arial" w:cs="Arial"/>
                <w:b/>
                <w:bCs/>
                <w:color w:val="000000"/>
              </w:rPr>
            </w:pPr>
            <w:r w:rsidRPr="00993F28">
              <w:rPr>
                <w:rStyle w:val="captionlabel"/>
                <w:rFonts w:ascii="Arial" w:hAnsi="Arial" w:cs="Arial"/>
                <w:b/>
                <w:bCs/>
                <w:color w:val="000000"/>
              </w:rPr>
              <w:t>Table 4. </w:t>
            </w:r>
            <w:r w:rsidRPr="00993F28">
              <w:rPr>
                <w:rFonts w:ascii="Arial" w:hAnsi="Arial" w:cs="Arial"/>
                <w:b/>
                <w:bCs/>
                <w:color w:val="000000"/>
              </w:rPr>
              <w:t>Definitions for clinical stroke or transient ischemic attack with clinical signs.</w:t>
            </w:r>
            <w:hyperlink r:id="rId8" w:history="1">
              <w:r w:rsidRPr="00993F28">
                <w:rPr>
                  <w:rStyle w:val="Hyperlink"/>
                  <w:rFonts w:ascii="Arial" w:hAnsi="Arial" w:cs="Arial"/>
                  <w:b/>
                  <w:bCs/>
                  <w:color w:val="10147E"/>
                </w:rPr>
                <w:t> </w:t>
              </w:r>
              <w:r w:rsidRPr="00993F28">
                <w:rPr>
                  <w:rStyle w:val="Hyperlink"/>
                  <w:rFonts w:ascii="Arial" w:hAnsi="Arial" w:cs="Arial"/>
                  <w:b/>
                  <w:bCs/>
                  <w:color w:val="10147E"/>
                  <w:vertAlign w:val="superscript"/>
                </w:rPr>
                <w:t>7</w:t>
              </w:r>
            </w:hyperlink>
          </w:p>
        </w:tc>
      </w:tr>
      <w:tr w:rsidR="00993F28" w:rsidRPr="00993F28" w14:paraId="217E7946" w14:textId="77777777" w:rsidTr="00993F28">
        <w:trPr>
          <w:trHeight w:val="332"/>
          <w:tblHeader/>
          <w:tblCellSpacing w:w="15" w:type="dxa"/>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AF1074" w14:textId="77777777" w:rsidR="00993F28" w:rsidRPr="00993F28" w:rsidRDefault="00993F28">
            <w:pPr>
              <w:jc w:val="center"/>
              <w:rPr>
                <w:rFonts w:ascii="Arial" w:hAnsi="Arial" w:cs="Arial"/>
                <w:b/>
                <w:bCs/>
                <w:sz w:val="24"/>
                <w:szCs w:val="24"/>
              </w:rPr>
            </w:pPr>
            <w:r w:rsidRPr="00993F28">
              <w:rPr>
                <w:rFonts w:ascii="Arial" w:hAnsi="Arial" w:cs="Arial"/>
                <w:b/>
                <w:bCs/>
                <w:sz w:val="24"/>
                <w:szCs w:val="24"/>
              </w:rPr>
              <w:t>Transient ischemic attack (TIA)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16EC35" w14:textId="77777777" w:rsidR="00993F28" w:rsidRPr="00993F28" w:rsidRDefault="00993F28">
            <w:pPr>
              <w:jc w:val="center"/>
              <w:rPr>
                <w:rFonts w:ascii="Arial" w:hAnsi="Arial" w:cs="Arial"/>
                <w:b/>
                <w:bCs/>
                <w:sz w:val="24"/>
                <w:szCs w:val="24"/>
              </w:rPr>
            </w:pPr>
            <w:r w:rsidRPr="00993F28">
              <w:rPr>
                <w:rFonts w:ascii="Arial" w:hAnsi="Arial" w:cs="Arial"/>
                <w:b/>
                <w:bCs/>
                <w:sz w:val="24"/>
                <w:szCs w:val="24"/>
              </w:rPr>
              <w:t>Clinical Stroke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70A4B1" w14:textId="77777777" w:rsidR="00993F28" w:rsidRPr="00993F28" w:rsidRDefault="00993F28">
            <w:pPr>
              <w:jc w:val="center"/>
              <w:rPr>
                <w:rFonts w:ascii="Arial" w:hAnsi="Arial" w:cs="Arial"/>
                <w:b/>
                <w:bCs/>
                <w:sz w:val="24"/>
                <w:szCs w:val="24"/>
              </w:rPr>
            </w:pPr>
            <w:r w:rsidRPr="00993F28">
              <w:rPr>
                <w:rFonts w:ascii="Arial" w:hAnsi="Arial" w:cs="Arial"/>
                <w:b/>
                <w:bCs/>
                <w:sz w:val="24"/>
                <w:szCs w:val="24"/>
              </w:rPr>
              <w:t>Clinical Stroke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6AE274" w14:textId="77777777" w:rsidR="00993F28" w:rsidRPr="00993F28" w:rsidRDefault="00993F28">
            <w:pPr>
              <w:jc w:val="center"/>
              <w:rPr>
                <w:rFonts w:ascii="Arial" w:hAnsi="Arial" w:cs="Arial"/>
                <w:b/>
                <w:bCs/>
                <w:sz w:val="24"/>
                <w:szCs w:val="24"/>
              </w:rPr>
            </w:pPr>
            <w:r w:rsidRPr="00993F28">
              <w:rPr>
                <w:rFonts w:ascii="Arial" w:hAnsi="Arial" w:cs="Arial"/>
                <w:b/>
                <w:bCs/>
                <w:sz w:val="24"/>
                <w:szCs w:val="24"/>
              </w:rPr>
              <w:t>Neurological Deficit Due to Other Cause</w:t>
            </w:r>
          </w:p>
        </w:tc>
      </w:tr>
      <w:tr w:rsidR="00993F28" w:rsidRPr="00993F28" w14:paraId="0634FB50" w14:textId="77777777" w:rsidTr="00993F28">
        <w:trPr>
          <w:trHeight w:val="499"/>
          <w:tblCellSpacing w:w="15" w:type="dxa"/>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FF32F2" w14:textId="77777777" w:rsidR="00993F28" w:rsidRPr="00993F28" w:rsidRDefault="00993F28">
            <w:pPr>
              <w:rPr>
                <w:rFonts w:ascii="Arial" w:hAnsi="Arial" w:cs="Arial"/>
                <w:sz w:val="24"/>
                <w:szCs w:val="24"/>
              </w:rPr>
            </w:pPr>
            <w:r w:rsidRPr="00993F28">
              <w:rPr>
                <w:rFonts w:ascii="Arial" w:hAnsi="Arial" w:cs="Arial"/>
                <w:sz w:val="24"/>
                <w:szCs w:val="24"/>
              </w:rPr>
              <w:t>&lt; 24 hours</w:t>
            </w:r>
            <w:r w:rsidRPr="00993F28">
              <w:rPr>
                <w:rFonts w:ascii="Arial" w:hAnsi="Arial" w:cs="Arial"/>
                <w:sz w:val="24"/>
                <w:szCs w:val="24"/>
              </w:rPr>
              <w:br/>
              <w:t>Neurological Deficit*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523073" w14:textId="77777777" w:rsidR="00993F28" w:rsidRPr="00993F28" w:rsidRDefault="00993F28">
            <w:pPr>
              <w:rPr>
                <w:rFonts w:ascii="Arial" w:hAnsi="Arial" w:cs="Arial"/>
                <w:sz w:val="24"/>
                <w:szCs w:val="24"/>
              </w:rPr>
            </w:pPr>
            <w:r w:rsidRPr="00993F28">
              <w:rPr>
                <w:rFonts w:ascii="Arial" w:hAnsi="Arial" w:cs="Arial"/>
                <w:sz w:val="24"/>
                <w:szCs w:val="24"/>
              </w:rPr>
              <w:t>&gt; 24 hours</w:t>
            </w:r>
            <w:r w:rsidRPr="00993F28">
              <w:rPr>
                <w:rFonts w:ascii="Arial" w:hAnsi="Arial" w:cs="Arial"/>
                <w:sz w:val="24"/>
                <w:szCs w:val="24"/>
              </w:rPr>
              <w:br/>
              <w:t>Neurological Deficit*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199101" w14:textId="77777777" w:rsidR="00993F28" w:rsidRPr="00993F28" w:rsidRDefault="00993F28">
            <w:pPr>
              <w:rPr>
                <w:rFonts w:ascii="Arial" w:hAnsi="Arial" w:cs="Arial"/>
                <w:sz w:val="24"/>
                <w:szCs w:val="24"/>
              </w:rPr>
            </w:pPr>
            <w:r w:rsidRPr="00993F28">
              <w:rPr>
                <w:rFonts w:ascii="Arial" w:hAnsi="Arial" w:cs="Arial"/>
                <w:sz w:val="24"/>
                <w:szCs w:val="24"/>
              </w:rPr>
              <w:t>&gt; 24 hours</w:t>
            </w:r>
            <w:r w:rsidRPr="00993F28">
              <w:rPr>
                <w:rFonts w:ascii="Arial" w:hAnsi="Arial" w:cs="Arial"/>
                <w:sz w:val="24"/>
                <w:szCs w:val="24"/>
              </w:rPr>
              <w:br/>
              <w:t>Neurological Deficit*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DCBC6A" w14:textId="77777777" w:rsidR="00993F28" w:rsidRPr="00993F28" w:rsidRDefault="00993F28">
            <w:pPr>
              <w:rPr>
                <w:rFonts w:ascii="Arial" w:hAnsi="Arial" w:cs="Arial"/>
                <w:sz w:val="24"/>
                <w:szCs w:val="24"/>
              </w:rPr>
            </w:pPr>
            <w:r w:rsidRPr="00993F28">
              <w:rPr>
                <w:rFonts w:ascii="Arial" w:hAnsi="Arial" w:cs="Arial"/>
                <w:sz w:val="24"/>
                <w:szCs w:val="24"/>
              </w:rPr>
              <w:t>&gt; 24 hours</w:t>
            </w:r>
            <w:r w:rsidRPr="00993F28">
              <w:rPr>
                <w:rFonts w:ascii="Arial" w:hAnsi="Arial" w:cs="Arial"/>
                <w:sz w:val="24"/>
                <w:szCs w:val="24"/>
              </w:rPr>
              <w:br/>
              <w:t>Neurological Deficit*</w:t>
            </w:r>
          </w:p>
        </w:tc>
      </w:tr>
      <w:tr w:rsidR="00993F28" w:rsidRPr="00993F28" w14:paraId="1E9291AE" w14:textId="77777777" w:rsidTr="00993F28">
        <w:trPr>
          <w:trHeight w:val="843"/>
          <w:tblCellSpacing w:w="15" w:type="dxa"/>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99E682" w14:textId="77777777" w:rsidR="00993F28" w:rsidRPr="00993F28" w:rsidRDefault="00993F28">
            <w:pPr>
              <w:rPr>
                <w:rFonts w:ascii="Arial" w:hAnsi="Arial" w:cs="Arial"/>
                <w:sz w:val="24"/>
                <w:szCs w:val="24"/>
              </w:rPr>
            </w:pPr>
            <w:r w:rsidRPr="00993F28">
              <w:rPr>
                <w:rFonts w:ascii="Arial" w:hAnsi="Arial" w:cs="Arial"/>
                <w:sz w:val="24"/>
                <w:szCs w:val="24"/>
              </w:rPr>
              <w:t>Negative Head CT or MRI or no Head CT or MRI obtained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2CD6C7" w14:textId="77777777" w:rsidR="00993F28" w:rsidRPr="00993F28" w:rsidRDefault="00993F28">
            <w:pPr>
              <w:rPr>
                <w:rFonts w:ascii="Arial" w:hAnsi="Arial" w:cs="Arial"/>
                <w:sz w:val="24"/>
                <w:szCs w:val="24"/>
              </w:rPr>
            </w:pPr>
            <w:r w:rsidRPr="00993F28">
              <w:rPr>
                <w:rFonts w:ascii="Arial" w:hAnsi="Arial" w:cs="Arial"/>
                <w:sz w:val="24"/>
                <w:szCs w:val="24"/>
              </w:rPr>
              <w:t>Positive Head CT or MRI if obtained for clinical indications</w:t>
            </w:r>
            <w:r w:rsidRPr="00993F28">
              <w:rPr>
                <w:rFonts w:ascii="Arial" w:hAnsi="Arial" w:cs="Arial"/>
                <w:sz w:val="24"/>
                <w:szCs w:val="24"/>
              </w:rPr>
              <w:br/>
              <w:t>(abnormality on CT which could explain deficit)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386A0F" w14:textId="77777777" w:rsidR="00993F28" w:rsidRPr="00993F28" w:rsidRDefault="00993F28">
            <w:pPr>
              <w:rPr>
                <w:rFonts w:ascii="Arial" w:hAnsi="Arial" w:cs="Arial"/>
                <w:sz w:val="24"/>
                <w:szCs w:val="24"/>
              </w:rPr>
            </w:pPr>
            <w:r w:rsidRPr="00993F28">
              <w:rPr>
                <w:rFonts w:ascii="Arial" w:hAnsi="Arial" w:cs="Arial"/>
                <w:sz w:val="24"/>
                <w:szCs w:val="24"/>
              </w:rPr>
              <w:t>No Head CT or MRI or Negative Head CT or MRI or abnormality on CT or MRI does not explain a deficit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498C28" w14:textId="77777777" w:rsidR="00993F28" w:rsidRPr="00993F28" w:rsidRDefault="00993F28">
            <w:pPr>
              <w:rPr>
                <w:rFonts w:ascii="Arial" w:hAnsi="Arial" w:cs="Arial"/>
                <w:sz w:val="24"/>
                <w:szCs w:val="24"/>
              </w:rPr>
            </w:pPr>
            <w:r w:rsidRPr="00993F28">
              <w:rPr>
                <w:rFonts w:ascii="Arial" w:hAnsi="Arial" w:cs="Arial"/>
                <w:sz w:val="24"/>
                <w:szCs w:val="24"/>
              </w:rPr>
              <w:t>Based on investigations, physicians believe deficits are consistent with flaccid paralysis (polio), cerebral malaria, or other non-stroke etiology</w:t>
            </w:r>
          </w:p>
        </w:tc>
      </w:tr>
    </w:tbl>
    <w:p w14:paraId="77EB8E0F" w14:textId="77777777" w:rsidR="00993F28" w:rsidRPr="00993F28" w:rsidRDefault="00993F28" w:rsidP="002E5809">
      <w:pPr>
        <w:pStyle w:val="NormalWeb"/>
        <w:shd w:val="clear" w:color="auto" w:fill="FFFFFF"/>
        <w:spacing w:before="240" w:beforeAutospacing="0" w:after="240" w:afterAutospacing="0"/>
        <w:rPr>
          <w:rFonts w:ascii="Arial" w:hAnsi="Arial" w:cs="Arial"/>
          <w:color w:val="333333"/>
        </w:rPr>
      </w:pPr>
      <w:r w:rsidRPr="00993F28">
        <w:rPr>
          <w:rFonts w:ascii="Arial" w:hAnsi="Arial" w:cs="Arial"/>
          <w:color w:val="333333"/>
        </w:rPr>
        <w:t>* Neurological deficit in this setting means an abnormality consistent with a stroke. Usually, a stroke is associated with weakness of face, arm, or leg.</w:t>
      </w:r>
    </w:p>
    <w:p w14:paraId="22B5CB17" w14:textId="77777777" w:rsidR="00993F28" w:rsidRPr="00993F28" w:rsidRDefault="00993F28" w:rsidP="002E5809">
      <w:pPr>
        <w:pStyle w:val="NormalWeb"/>
        <w:shd w:val="clear" w:color="auto" w:fill="FFFFFF"/>
        <w:spacing w:before="240" w:beforeAutospacing="0" w:after="240" w:afterAutospacing="0"/>
        <w:rPr>
          <w:rFonts w:ascii="Arial" w:hAnsi="Arial" w:cs="Arial"/>
          <w:color w:val="333333"/>
        </w:rPr>
      </w:pPr>
      <w:r w:rsidRPr="00993F28">
        <w:rPr>
          <w:rFonts w:ascii="Arial" w:hAnsi="Arial" w:cs="Arial"/>
          <w:color w:val="333333"/>
        </w:rPr>
        <w:t>** The influence of blood transfusion on acute symptoms of stroke has not been well defined in SCD; some neurologic symptoms may last &lt; 24 hours after the treatment with blood transfusion therapy obscuring the diagnosis of stroke. Transfusion therapy may decrease the persistence of neurological findings. Neurological deficit in this setting means an abnormality consistent with a stroke.</w:t>
      </w:r>
    </w:p>
    <w:p w14:paraId="55DE100E" w14:textId="77777777" w:rsidR="00993F28" w:rsidRDefault="00993F28" w:rsidP="00F03FC9">
      <w:pPr>
        <w:autoSpaceDE w:val="0"/>
        <w:autoSpaceDN w:val="0"/>
        <w:adjustRightInd w:val="0"/>
        <w:spacing w:after="0" w:line="240" w:lineRule="auto"/>
        <w:rPr>
          <w:rFonts w:ascii="Arial" w:hAnsi="Arial" w:cs="Arial"/>
          <w:sz w:val="24"/>
          <w:szCs w:val="24"/>
        </w:rPr>
        <w:sectPr w:rsidR="00993F28" w:rsidSect="00993F28">
          <w:pgSz w:w="16838" w:h="11906" w:orient="landscape"/>
          <w:pgMar w:top="1440" w:right="1440" w:bottom="1440" w:left="1440" w:header="708" w:footer="708" w:gutter="0"/>
          <w:cols w:space="708"/>
          <w:docGrid w:linePitch="360"/>
        </w:sectPr>
      </w:pPr>
    </w:p>
    <w:p w14:paraId="6DC9B17A" w14:textId="7A958A0D" w:rsidR="009C0E89" w:rsidRDefault="009C0E89" w:rsidP="00F03FC9">
      <w:pPr>
        <w:autoSpaceDE w:val="0"/>
        <w:autoSpaceDN w:val="0"/>
        <w:adjustRightInd w:val="0"/>
        <w:spacing w:after="0" w:line="240" w:lineRule="auto"/>
        <w:rPr>
          <w:rFonts w:ascii="Arial" w:hAnsi="Arial" w:cs="Arial"/>
          <w:sz w:val="24"/>
          <w:szCs w:val="24"/>
        </w:rPr>
      </w:pPr>
    </w:p>
    <w:p w14:paraId="6DAA88A2" w14:textId="77777777" w:rsidR="009C0E89" w:rsidRDefault="009C0E89" w:rsidP="00F03FC9">
      <w:pPr>
        <w:autoSpaceDE w:val="0"/>
        <w:autoSpaceDN w:val="0"/>
        <w:adjustRightInd w:val="0"/>
        <w:spacing w:after="0" w:line="240" w:lineRule="auto"/>
        <w:rPr>
          <w:rFonts w:ascii="Arial" w:hAnsi="Arial" w:cs="Arial"/>
          <w:sz w:val="24"/>
          <w:szCs w:val="24"/>
        </w:rPr>
      </w:pPr>
    </w:p>
    <w:p w14:paraId="42489DAC" w14:textId="77777777" w:rsidR="00F03FC9" w:rsidRDefault="00F03FC9" w:rsidP="00F03FC9">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Figure 1. Preliminary data from the Primary Prevention of Stroke in Nigeria (SPIN) feasibility trial. The</w:t>
      </w:r>
      <w:r>
        <w:rPr>
          <w:rFonts w:ascii="Arial" w:hAnsi="Arial" w:cs="Arial"/>
          <w:sz w:val="24"/>
          <w:szCs w:val="24"/>
        </w:rPr>
        <w:t xml:space="preserve"> </w:t>
      </w:r>
      <w:r w:rsidRPr="00A413E4">
        <w:rPr>
          <w:rFonts w:ascii="Arial" w:hAnsi="Arial" w:cs="Arial"/>
          <w:sz w:val="24"/>
          <w:szCs w:val="24"/>
        </w:rPr>
        <w:t>data indicates 23 participants with SCA treated with moderate fixed-dose hydroxyurea at a dose of</w:t>
      </w:r>
      <w:r>
        <w:rPr>
          <w:rFonts w:ascii="Arial" w:hAnsi="Arial" w:cs="Arial"/>
          <w:sz w:val="24"/>
          <w:szCs w:val="24"/>
        </w:rPr>
        <w:t xml:space="preserve"> </w:t>
      </w:r>
      <w:r w:rsidRPr="00A413E4">
        <w:rPr>
          <w:rFonts w:ascii="Arial" w:hAnsi="Arial" w:cs="Arial"/>
          <w:sz w:val="24"/>
          <w:szCs w:val="24"/>
        </w:rPr>
        <w:t>20 mg/kg/day and followed with serial TCDs, TCD velocity declined significantly after three months</w:t>
      </w:r>
      <w:r>
        <w:rPr>
          <w:rFonts w:ascii="Arial" w:hAnsi="Arial" w:cs="Arial"/>
          <w:sz w:val="24"/>
          <w:szCs w:val="24"/>
        </w:rPr>
        <w:t xml:space="preserve"> </w:t>
      </w:r>
      <w:r w:rsidRPr="00A413E4">
        <w:rPr>
          <w:rFonts w:ascii="Arial" w:hAnsi="Arial" w:cs="Arial"/>
          <w:sz w:val="24"/>
          <w:szCs w:val="24"/>
        </w:rPr>
        <w:t>and was maintained at 12 months.</w:t>
      </w:r>
    </w:p>
    <w:p w14:paraId="76D59BD5" w14:textId="77777777" w:rsidR="009C0E89" w:rsidRDefault="009C0E89" w:rsidP="00F03FC9">
      <w:pPr>
        <w:autoSpaceDE w:val="0"/>
        <w:autoSpaceDN w:val="0"/>
        <w:adjustRightInd w:val="0"/>
        <w:spacing w:after="0" w:line="240" w:lineRule="auto"/>
        <w:rPr>
          <w:rFonts w:ascii="Arial" w:hAnsi="Arial" w:cs="Arial"/>
          <w:sz w:val="24"/>
          <w:szCs w:val="24"/>
        </w:rPr>
      </w:pPr>
    </w:p>
    <w:p w14:paraId="7BC83E19" w14:textId="77777777" w:rsidR="009C0E89" w:rsidRPr="00A413E4" w:rsidRDefault="009C0E89" w:rsidP="009C0E89">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Figure 2. A pooled analysis of the impact of hydroxyurea and decreasing transcranial Doppler (published</w:t>
      </w:r>
      <w:r>
        <w:rPr>
          <w:rFonts w:ascii="Arial" w:hAnsi="Arial" w:cs="Arial"/>
          <w:sz w:val="24"/>
          <w:szCs w:val="24"/>
        </w:rPr>
        <w:t xml:space="preserve"> </w:t>
      </w:r>
      <w:r w:rsidRPr="00A413E4">
        <w:rPr>
          <w:rFonts w:ascii="Arial" w:hAnsi="Arial" w:cs="Arial"/>
          <w:sz w:val="24"/>
          <w:szCs w:val="24"/>
        </w:rPr>
        <w:t>in Blood 2016, 127: 829-838, online): A pooled analysis of 8 studies documenting TCD measurement</w:t>
      </w:r>
      <w:r>
        <w:rPr>
          <w:rFonts w:ascii="Arial" w:hAnsi="Arial" w:cs="Arial"/>
          <w:sz w:val="24"/>
          <w:szCs w:val="24"/>
        </w:rPr>
        <w:t xml:space="preserve"> </w:t>
      </w:r>
      <w:r w:rsidRPr="00A413E4">
        <w:rPr>
          <w:rFonts w:ascii="Arial" w:hAnsi="Arial" w:cs="Arial"/>
          <w:sz w:val="24"/>
          <w:szCs w:val="24"/>
        </w:rPr>
        <w:t>before and after hydroxyurea therapy. The pooled analysis is based on the random-effect model</w:t>
      </w:r>
      <w:r>
        <w:rPr>
          <w:rFonts w:ascii="Arial" w:hAnsi="Arial" w:cs="Arial"/>
          <w:sz w:val="24"/>
          <w:szCs w:val="24"/>
        </w:rPr>
        <w:t xml:space="preserve"> </w:t>
      </w:r>
      <w:r w:rsidRPr="00A413E4">
        <w:rPr>
          <w:rFonts w:ascii="Arial" w:hAnsi="Arial" w:cs="Arial"/>
          <w:sz w:val="24"/>
          <w:szCs w:val="24"/>
        </w:rPr>
        <w:t>demonstrating the average drop in TCD measurement after starting hydroxyurea therapy of 25 cm per</w:t>
      </w:r>
    </w:p>
    <w:p w14:paraId="4C0351DF" w14:textId="77777777" w:rsidR="009C0E89" w:rsidRPr="00A413E4" w:rsidRDefault="009C0E89" w:rsidP="009C0E89">
      <w:pPr>
        <w:autoSpaceDE w:val="0"/>
        <w:autoSpaceDN w:val="0"/>
        <w:adjustRightInd w:val="0"/>
        <w:spacing w:after="0" w:line="240" w:lineRule="auto"/>
        <w:rPr>
          <w:rFonts w:ascii="Arial" w:hAnsi="Arial" w:cs="Arial"/>
          <w:sz w:val="24"/>
          <w:szCs w:val="24"/>
        </w:rPr>
      </w:pPr>
      <w:r w:rsidRPr="00A413E4">
        <w:rPr>
          <w:rFonts w:ascii="Arial" w:hAnsi="Arial" w:cs="Arial"/>
          <w:sz w:val="24"/>
          <w:szCs w:val="24"/>
        </w:rPr>
        <w:t>second.27–32 The figure also includes the observation that the decrease in TCD measurements can be</w:t>
      </w:r>
      <w:r>
        <w:rPr>
          <w:rFonts w:ascii="Arial" w:hAnsi="Arial" w:cs="Arial"/>
          <w:sz w:val="24"/>
          <w:szCs w:val="24"/>
        </w:rPr>
        <w:t xml:space="preserve"> </w:t>
      </w:r>
      <w:r w:rsidRPr="00A413E4">
        <w:rPr>
          <w:rFonts w:ascii="Arial" w:hAnsi="Arial" w:cs="Arial"/>
          <w:sz w:val="24"/>
          <w:szCs w:val="24"/>
        </w:rPr>
        <w:t>seen as early as three months after starting hydroxyurea therapy with a sustained impact of hydroxyurea</w:t>
      </w:r>
      <w:r>
        <w:rPr>
          <w:rFonts w:ascii="Arial" w:hAnsi="Arial" w:cs="Arial"/>
          <w:sz w:val="24"/>
          <w:szCs w:val="24"/>
        </w:rPr>
        <w:t xml:space="preserve"> </w:t>
      </w:r>
      <w:r w:rsidRPr="00A413E4">
        <w:rPr>
          <w:rFonts w:ascii="Arial" w:hAnsi="Arial" w:cs="Arial"/>
          <w:sz w:val="24"/>
          <w:szCs w:val="24"/>
        </w:rPr>
        <w:t>therapy on decreasing TCD measurements for at least 36 months. The black diamond represents</w:t>
      </w:r>
      <w:r>
        <w:rPr>
          <w:rFonts w:ascii="Arial" w:hAnsi="Arial" w:cs="Arial"/>
          <w:sz w:val="24"/>
          <w:szCs w:val="24"/>
        </w:rPr>
        <w:t xml:space="preserve"> </w:t>
      </w:r>
      <w:r w:rsidRPr="00A413E4">
        <w:rPr>
          <w:rFonts w:ascii="Arial" w:hAnsi="Arial" w:cs="Arial"/>
          <w:sz w:val="24"/>
          <w:szCs w:val="24"/>
        </w:rPr>
        <w:t>the results of random-effect models. The edges of the diamonds represent the 95% CI of the metaanalyses</w:t>
      </w:r>
      <w:r>
        <w:rPr>
          <w:rFonts w:ascii="Arial" w:hAnsi="Arial" w:cs="Arial"/>
          <w:sz w:val="24"/>
          <w:szCs w:val="24"/>
        </w:rPr>
        <w:t xml:space="preserve"> </w:t>
      </w:r>
      <w:r w:rsidRPr="00A413E4">
        <w:rPr>
          <w:rFonts w:ascii="Arial" w:hAnsi="Arial" w:cs="Arial"/>
          <w:sz w:val="24"/>
          <w:szCs w:val="24"/>
        </w:rPr>
        <w:t>for the random-effect models.24</w:t>
      </w:r>
    </w:p>
    <w:p w14:paraId="3668BD8A" w14:textId="77777777" w:rsidR="009C0E89" w:rsidRPr="00A413E4" w:rsidRDefault="009C0E89" w:rsidP="00F03FC9">
      <w:pPr>
        <w:autoSpaceDE w:val="0"/>
        <w:autoSpaceDN w:val="0"/>
        <w:adjustRightInd w:val="0"/>
        <w:spacing w:after="0" w:line="240" w:lineRule="auto"/>
        <w:rPr>
          <w:rFonts w:ascii="Arial" w:hAnsi="Arial" w:cs="Arial"/>
          <w:sz w:val="24"/>
          <w:szCs w:val="24"/>
        </w:rPr>
      </w:pPr>
    </w:p>
    <w:p w14:paraId="6B3C35B1" w14:textId="77777777" w:rsidR="00F03FC9" w:rsidRPr="00A413E4" w:rsidRDefault="00F03FC9" w:rsidP="00E05D3F">
      <w:pPr>
        <w:rPr>
          <w:rFonts w:ascii="Arial" w:hAnsi="Arial" w:cs="Arial"/>
          <w:sz w:val="24"/>
          <w:szCs w:val="24"/>
        </w:rPr>
      </w:pPr>
    </w:p>
    <w:sectPr w:rsidR="00F03FC9" w:rsidRPr="00A413E4" w:rsidSect="00993F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F09E9" w14:textId="77777777" w:rsidR="000B5CE7" w:rsidRDefault="000B5CE7" w:rsidP="00993F28">
      <w:pPr>
        <w:spacing w:after="0" w:line="240" w:lineRule="auto"/>
      </w:pPr>
      <w:r>
        <w:separator/>
      </w:r>
    </w:p>
  </w:endnote>
  <w:endnote w:type="continuationSeparator" w:id="0">
    <w:p w14:paraId="011523DA" w14:textId="77777777" w:rsidR="000B5CE7" w:rsidRDefault="000B5CE7" w:rsidP="00993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D4CB1" w14:textId="77777777" w:rsidR="000B5CE7" w:rsidRDefault="000B5CE7" w:rsidP="00993F28">
      <w:pPr>
        <w:spacing w:after="0" w:line="240" w:lineRule="auto"/>
      </w:pPr>
      <w:r>
        <w:separator/>
      </w:r>
    </w:p>
  </w:footnote>
  <w:footnote w:type="continuationSeparator" w:id="0">
    <w:p w14:paraId="39E0ABEF" w14:textId="77777777" w:rsidR="000B5CE7" w:rsidRDefault="000B5CE7" w:rsidP="00993F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D3F"/>
    <w:rsid w:val="000B5CE7"/>
    <w:rsid w:val="002E5809"/>
    <w:rsid w:val="00345B4F"/>
    <w:rsid w:val="00373BFB"/>
    <w:rsid w:val="005B15F2"/>
    <w:rsid w:val="00993F28"/>
    <w:rsid w:val="009C0E89"/>
    <w:rsid w:val="00A22332"/>
    <w:rsid w:val="00A413E4"/>
    <w:rsid w:val="00AD05A3"/>
    <w:rsid w:val="00B8586D"/>
    <w:rsid w:val="00D70A86"/>
    <w:rsid w:val="00E05D3F"/>
    <w:rsid w:val="00F03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9E492"/>
  <w15:chartTrackingRefBased/>
  <w15:docId w15:val="{F49642E0-B414-4437-B793-67FA5B39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93F2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5D3F"/>
    <w:rPr>
      <w:color w:val="0563C1" w:themeColor="hyperlink"/>
      <w:u w:val="single"/>
    </w:rPr>
  </w:style>
  <w:style w:type="paragraph" w:styleId="NormalWeb">
    <w:name w:val="Normal (Web)"/>
    <w:basedOn w:val="Normal"/>
    <w:uiPriority w:val="99"/>
    <w:unhideWhenUsed/>
    <w:rsid w:val="00993F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ptionlabel">
    <w:name w:val="captionlabel"/>
    <w:basedOn w:val="DefaultParagraphFont"/>
    <w:rsid w:val="00993F28"/>
  </w:style>
  <w:style w:type="character" w:customStyle="1" w:styleId="ref-lnk">
    <w:name w:val="ref-lnk"/>
    <w:basedOn w:val="DefaultParagraphFont"/>
    <w:rsid w:val="00993F28"/>
  </w:style>
  <w:style w:type="paragraph" w:styleId="Header">
    <w:name w:val="header"/>
    <w:basedOn w:val="Normal"/>
    <w:link w:val="HeaderChar"/>
    <w:uiPriority w:val="99"/>
    <w:unhideWhenUsed/>
    <w:rsid w:val="00993F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F28"/>
  </w:style>
  <w:style w:type="paragraph" w:styleId="Footer">
    <w:name w:val="footer"/>
    <w:basedOn w:val="Normal"/>
    <w:link w:val="FooterChar"/>
    <w:uiPriority w:val="99"/>
    <w:unhideWhenUsed/>
    <w:rsid w:val="00993F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F28"/>
  </w:style>
  <w:style w:type="character" w:customStyle="1" w:styleId="Heading3Char">
    <w:name w:val="Heading 3 Char"/>
    <w:basedOn w:val="DefaultParagraphFont"/>
    <w:link w:val="Heading3"/>
    <w:uiPriority w:val="9"/>
    <w:rsid w:val="00993F28"/>
    <w:rPr>
      <w:rFonts w:ascii="Times New Roman" w:eastAsia="Times New Roman" w:hAnsi="Times New Roman" w:cs="Times New Roman"/>
      <w:b/>
      <w:bCs/>
      <w:sz w:val="27"/>
      <w:szCs w:val="27"/>
      <w:lang w:eastAsia="en-GB"/>
    </w:rPr>
  </w:style>
  <w:style w:type="character" w:customStyle="1" w:styleId="index">
    <w:name w:val="index"/>
    <w:basedOn w:val="DefaultParagraphFont"/>
    <w:rsid w:val="00993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50413">
      <w:bodyDiv w:val="1"/>
      <w:marLeft w:val="0"/>
      <w:marRight w:val="0"/>
      <w:marTop w:val="0"/>
      <w:marBottom w:val="0"/>
      <w:divBdr>
        <w:top w:val="none" w:sz="0" w:space="0" w:color="auto"/>
        <w:left w:val="none" w:sz="0" w:space="0" w:color="auto"/>
        <w:bottom w:val="none" w:sz="0" w:space="0" w:color="auto"/>
        <w:right w:val="none" w:sz="0" w:space="0" w:color="auto"/>
      </w:divBdr>
      <w:divsChild>
        <w:div w:id="320276431">
          <w:marLeft w:val="30"/>
          <w:marRight w:val="30"/>
          <w:marTop w:val="105"/>
          <w:marBottom w:val="300"/>
          <w:divBdr>
            <w:top w:val="none" w:sz="0" w:space="0" w:color="auto"/>
            <w:left w:val="none" w:sz="0" w:space="0" w:color="auto"/>
            <w:bottom w:val="none" w:sz="0" w:space="0" w:color="auto"/>
            <w:right w:val="none" w:sz="0" w:space="0" w:color="auto"/>
          </w:divBdr>
        </w:div>
      </w:divsChild>
    </w:div>
    <w:div w:id="298414181">
      <w:bodyDiv w:val="1"/>
      <w:marLeft w:val="0"/>
      <w:marRight w:val="0"/>
      <w:marTop w:val="0"/>
      <w:marBottom w:val="0"/>
      <w:divBdr>
        <w:top w:val="none" w:sz="0" w:space="0" w:color="auto"/>
        <w:left w:val="none" w:sz="0" w:space="0" w:color="auto"/>
        <w:bottom w:val="none" w:sz="0" w:space="0" w:color="auto"/>
        <w:right w:val="none" w:sz="0" w:space="0" w:color="auto"/>
      </w:divBdr>
      <w:divsChild>
        <w:div w:id="1651982939">
          <w:marLeft w:val="30"/>
          <w:marRight w:val="30"/>
          <w:marTop w:val="105"/>
          <w:marBottom w:val="300"/>
          <w:divBdr>
            <w:top w:val="none" w:sz="0" w:space="0" w:color="auto"/>
            <w:left w:val="none" w:sz="0" w:space="0" w:color="auto"/>
            <w:bottom w:val="none" w:sz="0" w:space="0" w:color="auto"/>
            <w:right w:val="none" w:sz="0" w:space="0" w:color="auto"/>
          </w:divBdr>
        </w:div>
      </w:divsChild>
    </w:div>
    <w:div w:id="429400022">
      <w:bodyDiv w:val="1"/>
      <w:marLeft w:val="0"/>
      <w:marRight w:val="0"/>
      <w:marTop w:val="0"/>
      <w:marBottom w:val="0"/>
      <w:divBdr>
        <w:top w:val="none" w:sz="0" w:space="0" w:color="auto"/>
        <w:left w:val="none" w:sz="0" w:space="0" w:color="auto"/>
        <w:bottom w:val="none" w:sz="0" w:space="0" w:color="auto"/>
        <w:right w:val="none" w:sz="0" w:space="0" w:color="auto"/>
      </w:divBdr>
    </w:div>
    <w:div w:id="790124866">
      <w:bodyDiv w:val="1"/>
      <w:marLeft w:val="0"/>
      <w:marRight w:val="0"/>
      <w:marTop w:val="0"/>
      <w:marBottom w:val="0"/>
      <w:divBdr>
        <w:top w:val="none" w:sz="0" w:space="0" w:color="auto"/>
        <w:left w:val="none" w:sz="0" w:space="0" w:color="auto"/>
        <w:bottom w:val="none" w:sz="0" w:space="0" w:color="auto"/>
        <w:right w:val="none" w:sz="0" w:space="0" w:color="auto"/>
      </w:divBdr>
      <w:divsChild>
        <w:div w:id="1082793745">
          <w:marLeft w:val="0"/>
          <w:marRight w:val="0"/>
          <w:marTop w:val="0"/>
          <w:marBottom w:val="0"/>
          <w:divBdr>
            <w:top w:val="none" w:sz="0" w:space="0" w:color="auto"/>
            <w:left w:val="none" w:sz="0" w:space="0" w:color="auto"/>
            <w:bottom w:val="none" w:sz="0" w:space="0" w:color="auto"/>
            <w:right w:val="none" w:sz="0" w:space="0" w:color="auto"/>
          </w:divBdr>
        </w:div>
        <w:div w:id="1556895037">
          <w:marLeft w:val="30"/>
          <w:marRight w:val="30"/>
          <w:marTop w:val="105"/>
          <w:marBottom w:val="300"/>
          <w:divBdr>
            <w:top w:val="none" w:sz="0" w:space="0" w:color="auto"/>
            <w:left w:val="none" w:sz="0" w:space="0" w:color="auto"/>
            <w:bottom w:val="none" w:sz="0" w:space="0" w:color="auto"/>
            <w:right w:val="none" w:sz="0" w:space="0" w:color="auto"/>
          </w:divBdr>
        </w:div>
        <w:div w:id="1436711565">
          <w:marLeft w:val="0"/>
          <w:marRight w:val="0"/>
          <w:marTop w:val="0"/>
          <w:marBottom w:val="0"/>
          <w:divBdr>
            <w:top w:val="none" w:sz="0" w:space="0" w:color="auto"/>
            <w:left w:val="none" w:sz="0" w:space="0" w:color="auto"/>
            <w:bottom w:val="none" w:sz="0" w:space="0" w:color="auto"/>
            <w:right w:val="none" w:sz="0" w:space="0" w:color="auto"/>
          </w:divBdr>
          <w:divsChild>
            <w:div w:id="504513645">
              <w:marLeft w:val="0"/>
              <w:marRight w:val="0"/>
              <w:marTop w:val="0"/>
              <w:marBottom w:val="0"/>
              <w:divBdr>
                <w:top w:val="none" w:sz="0" w:space="0" w:color="auto"/>
                <w:left w:val="none" w:sz="0" w:space="0" w:color="auto"/>
                <w:bottom w:val="none" w:sz="0" w:space="0" w:color="auto"/>
                <w:right w:val="none" w:sz="0" w:space="0" w:color="auto"/>
              </w:divBdr>
            </w:div>
            <w:div w:id="39258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09401">
      <w:bodyDiv w:val="1"/>
      <w:marLeft w:val="0"/>
      <w:marRight w:val="0"/>
      <w:marTop w:val="0"/>
      <w:marBottom w:val="0"/>
      <w:divBdr>
        <w:top w:val="none" w:sz="0" w:space="0" w:color="auto"/>
        <w:left w:val="none" w:sz="0" w:space="0" w:color="auto"/>
        <w:bottom w:val="none" w:sz="0" w:space="0" w:color="auto"/>
        <w:right w:val="none" w:sz="0" w:space="0" w:color="auto"/>
      </w:divBdr>
      <w:divsChild>
        <w:div w:id="584994887">
          <w:marLeft w:val="30"/>
          <w:marRight w:val="30"/>
          <w:marTop w:val="105"/>
          <w:marBottom w:val="300"/>
          <w:divBdr>
            <w:top w:val="none" w:sz="0" w:space="0" w:color="auto"/>
            <w:left w:val="none" w:sz="0" w:space="0" w:color="auto"/>
            <w:bottom w:val="none" w:sz="0" w:space="0" w:color="auto"/>
            <w:right w:val="none" w:sz="0" w:space="0" w:color="auto"/>
          </w:divBdr>
        </w:div>
      </w:divsChild>
    </w:div>
    <w:div w:id="1986005828">
      <w:bodyDiv w:val="1"/>
      <w:marLeft w:val="0"/>
      <w:marRight w:val="0"/>
      <w:marTop w:val="0"/>
      <w:marBottom w:val="0"/>
      <w:divBdr>
        <w:top w:val="none" w:sz="0" w:space="0" w:color="auto"/>
        <w:left w:val="none" w:sz="0" w:space="0" w:color="auto"/>
        <w:bottom w:val="none" w:sz="0" w:space="0" w:color="auto"/>
        <w:right w:val="none" w:sz="0" w:space="0" w:color="auto"/>
      </w:divBdr>
      <w:divsChild>
        <w:div w:id="487014742">
          <w:marLeft w:val="30"/>
          <w:marRight w:val="30"/>
          <w:marTop w:val="105"/>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libproxy.ucl.ac.uk/doi/full/10.1080/08880018.2020.1810183" TargetMode="External"/><Relationship Id="rId3" Type="http://schemas.openxmlformats.org/officeDocument/2006/relationships/webSettings" Target="webSettings.xml"/><Relationship Id="rId7" Type="http://schemas.openxmlformats.org/officeDocument/2006/relationships/hyperlink" Target="https://www-tandfonline-com.libproxy.ucl.ac.uk/doi/full/10.1080/08880018.2020.181018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debaun@vumc.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7250</Words>
  <Characters>41325</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48479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Kirkham, Fenella</dc:creator>
  <cp:keywords/>
  <dc:description/>
  <cp:lastModifiedBy>Timothy Wright</cp:lastModifiedBy>
  <cp:revision>2</cp:revision>
  <dcterms:created xsi:type="dcterms:W3CDTF">2021-01-21T14:54:00Z</dcterms:created>
  <dcterms:modified xsi:type="dcterms:W3CDTF">2021-01-21T14:54:00Z</dcterms:modified>
</cp:coreProperties>
</file>