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BC25" w14:textId="66B6DC8C" w:rsidR="0093782F" w:rsidRDefault="00BA3FE3" w:rsidP="00990232">
      <w:pPr>
        <w:spacing w:line="360" w:lineRule="auto"/>
        <w:jc w:val="both"/>
      </w:pPr>
      <w:r>
        <w:rPr>
          <w:b/>
        </w:rPr>
        <w:t xml:space="preserve">Title: </w:t>
      </w:r>
      <w:r w:rsidR="00910CF8" w:rsidRPr="00910CF8">
        <w:t>A multi-centre randomised controlled trial on virtual chromoendoscopy in the detection of neoplasia during colitis surveillance high definition colonoscopy (The VIRTUOSO Trial)</w:t>
      </w:r>
    </w:p>
    <w:p w14:paraId="44EA903D" w14:textId="77777777" w:rsidR="00BA3FE3" w:rsidRDefault="00BA3FE3" w:rsidP="00990232">
      <w:pPr>
        <w:spacing w:line="360" w:lineRule="auto"/>
        <w:jc w:val="both"/>
      </w:pPr>
    </w:p>
    <w:p w14:paraId="75AC41DC" w14:textId="77777777" w:rsidR="00BA3FE3" w:rsidRPr="00907B98" w:rsidRDefault="00BA3FE3" w:rsidP="00BA3FE3">
      <w:pPr>
        <w:rPr>
          <w:b/>
        </w:rPr>
      </w:pPr>
      <w:r>
        <w:rPr>
          <w:b/>
        </w:rPr>
        <w:t>Corresponding author</w:t>
      </w:r>
      <w:r w:rsidRPr="00907B98">
        <w:rPr>
          <w:b/>
        </w:rPr>
        <w:t>:</w:t>
      </w:r>
    </w:p>
    <w:p w14:paraId="6C677C9F" w14:textId="77777777" w:rsidR="00BA3FE3" w:rsidRPr="00907B98" w:rsidRDefault="00BA3FE3" w:rsidP="00BA3FE3">
      <w:pPr>
        <w:rPr>
          <w:b/>
        </w:rPr>
      </w:pPr>
    </w:p>
    <w:p w14:paraId="5924C896" w14:textId="77777777" w:rsidR="00BA3FE3" w:rsidRPr="00907B98" w:rsidRDefault="00BA3FE3" w:rsidP="00BA3FE3">
      <w:r w:rsidRPr="00907B98">
        <w:t>Professor Pradeep Bhandari</w:t>
      </w:r>
    </w:p>
    <w:p w14:paraId="733000D3" w14:textId="77777777" w:rsidR="00BA3FE3" w:rsidRPr="00907B98" w:rsidRDefault="00BA3FE3" w:rsidP="00BA3FE3">
      <w:r w:rsidRPr="00907B98">
        <w:t>Department of Gastroenterology</w:t>
      </w:r>
    </w:p>
    <w:p w14:paraId="139C92CB" w14:textId="77777777" w:rsidR="00BA3FE3" w:rsidRPr="00907B98" w:rsidRDefault="00BA3FE3" w:rsidP="00BA3FE3">
      <w:r w:rsidRPr="00907B98">
        <w:t>Queen Alexandra Hospital</w:t>
      </w:r>
    </w:p>
    <w:p w14:paraId="78B83E33" w14:textId="77777777" w:rsidR="00BA3FE3" w:rsidRPr="00907B98" w:rsidRDefault="00BA3FE3" w:rsidP="00BA3FE3">
      <w:r w:rsidRPr="00907B98">
        <w:t>Portsmouth Hospitals NHS Trust</w:t>
      </w:r>
    </w:p>
    <w:p w14:paraId="4F371D2B" w14:textId="77777777" w:rsidR="00BA3FE3" w:rsidRPr="00907B98" w:rsidRDefault="00BA3FE3" w:rsidP="00BA3FE3">
      <w:r w:rsidRPr="00907B98">
        <w:t>Portsmouth</w:t>
      </w:r>
    </w:p>
    <w:p w14:paraId="1066D12B" w14:textId="77777777" w:rsidR="00BA3FE3" w:rsidRPr="00907B98" w:rsidRDefault="00BA3FE3" w:rsidP="00BA3FE3">
      <w:r w:rsidRPr="00907B98">
        <w:t>PO6 3LY</w:t>
      </w:r>
    </w:p>
    <w:p w14:paraId="53730A3A" w14:textId="77777777" w:rsidR="00BA3FE3" w:rsidRPr="00907B98" w:rsidRDefault="00BA3FE3" w:rsidP="00BA3FE3">
      <w:r w:rsidRPr="00907B98">
        <w:t>United Kingdom</w:t>
      </w:r>
    </w:p>
    <w:p w14:paraId="7F5C4854" w14:textId="77777777" w:rsidR="00BA3FE3" w:rsidRDefault="00BA3FE3" w:rsidP="00BA3FE3">
      <w:r w:rsidRPr="00907B98">
        <w:t xml:space="preserve">E-mail address: </w:t>
      </w:r>
      <w:hyperlink r:id="rId8" w:history="1">
        <w:r w:rsidRPr="00907B98">
          <w:rPr>
            <w:rStyle w:val="Hyperlink"/>
          </w:rPr>
          <w:t>pradeep.bhandari@porthosp.nhs.uk</w:t>
        </w:r>
      </w:hyperlink>
    </w:p>
    <w:p w14:paraId="124FC8FC" w14:textId="77777777" w:rsidR="00BA3FE3" w:rsidRPr="00907B98" w:rsidRDefault="00BA3FE3" w:rsidP="00BA3FE3">
      <w:pPr>
        <w:rPr>
          <w:b/>
        </w:rPr>
      </w:pPr>
      <w:r>
        <w:t>Telephone number: 023 9228 6000 Ext 1207</w:t>
      </w:r>
    </w:p>
    <w:p w14:paraId="19DE38CD" w14:textId="77777777" w:rsidR="00BA3FE3" w:rsidRDefault="00BA3FE3" w:rsidP="00BA3FE3">
      <w:pPr>
        <w:rPr>
          <w:b/>
        </w:rPr>
      </w:pPr>
    </w:p>
    <w:p w14:paraId="7D35CE5C" w14:textId="77777777" w:rsidR="00BA3FE3" w:rsidRDefault="00BA3FE3" w:rsidP="00BA3FE3">
      <w:pPr>
        <w:rPr>
          <w:b/>
        </w:rPr>
      </w:pPr>
    </w:p>
    <w:p w14:paraId="143AA0FA" w14:textId="77777777" w:rsidR="00BA3FE3" w:rsidRPr="00907B98" w:rsidRDefault="00BA3FE3" w:rsidP="00BA3FE3">
      <w:pPr>
        <w:rPr>
          <w:b/>
          <w:bCs/>
        </w:rPr>
      </w:pPr>
      <w:r w:rsidRPr="00907B98">
        <w:rPr>
          <w:b/>
        </w:rPr>
        <w:t>A</w:t>
      </w:r>
      <w:r w:rsidRPr="00907B98">
        <w:rPr>
          <w:b/>
          <w:bCs/>
        </w:rPr>
        <w:t>uthors:</w:t>
      </w:r>
    </w:p>
    <w:p w14:paraId="283E4C8C" w14:textId="2F300983" w:rsidR="00BA3FE3" w:rsidRPr="00907B98" w:rsidRDefault="00BA3FE3" w:rsidP="00BA3FE3">
      <w:pPr>
        <w:rPr>
          <w:bCs/>
          <w:vertAlign w:val="superscript"/>
        </w:rPr>
      </w:pPr>
      <w:r w:rsidRPr="00907B98">
        <w:rPr>
          <w:bCs/>
        </w:rPr>
        <w:t>Kesavan Kandiah</w:t>
      </w:r>
      <w:r w:rsidRPr="00907B98">
        <w:rPr>
          <w:bCs/>
          <w:vertAlign w:val="superscript"/>
        </w:rPr>
        <w:t>1</w:t>
      </w:r>
      <w:r w:rsidR="000365AB">
        <w:rPr>
          <w:bCs/>
          <w:vertAlign w:val="superscript"/>
        </w:rPr>
        <w:t>,7</w:t>
      </w:r>
    </w:p>
    <w:p w14:paraId="790B5366" w14:textId="77777777" w:rsidR="00BA3FE3" w:rsidRPr="00BA3FE3" w:rsidRDefault="00BA3FE3" w:rsidP="00BA3FE3">
      <w:pPr>
        <w:rPr>
          <w:bCs/>
          <w:vertAlign w:val="superscript"/>
        </w:rPr>
      </w:pPr>
      <w:r w:rsidRPr="00907B98">
        <w:rPr>
          <w:bCs/>
        </w:rPr>
        <w:t>Sharmila Subramaniam</w:t>
      </w:r>
      <w:r w:rsidRPr="00907B98">
        <w:rPr>
          <w:bCs/>
          <w:vertAlign w:val="superscript"/>
        </w:rPr>
        <w:t>1</w:t>
      </w:r>
    </w:p>
    <w:p w14:paraId="428B6744" w14:textId="77777777" w:rsidR="00BA3FE3" w:rsidRDefault="00BA3FE3" w:rsidP="00BA3FE3">
      <w:pPr>
        <w:rPr>
          <w:bCs/>
        </w:rPr>
      </w:pPr>
      <w:r>
        <w:rPr>
          <w:bCs/>
        </w:rPr>
        <w:t>Sreedhari Thayalasekaran</w:t>
      </w:r>
      <w:r w:rsidRPr="000B0E9D">
        <w:rPr>
          <w:bCs/>
          <w:vertAlign w:val="superscript"/>
        </w:rPr>
        <w:t>1</w:t>
      </w:r>
    </w:p>
    <w:p w14:paraId="7905753D" w14:textId="77777777" w:rsidR="00BA3FE3" w:rsidRPr="00907B98" w:rsidRDefault="00BA3FE3" w:rsidP="00BA3FE3">
      <w:pPr>
        <w:rPr>
          <w:bCs/>
          <w:vertAlign w:val="superscript"/>
        </w:rPr>
      </w:pPr>
      <w:r w:rsidRPr="00907B98">
        <w:rPr>
          <w:bCs/>
        </w:rPr>
        <w:t>Fergus James Quentin Chedgy</w:t>
      </w:r>
      <w:r w:rsidRPr="00907B98">
        <w:rPr>
          <w:bCs/>
          <w:vertAlign w:val="superscript"/>
        </w:rPr>
        <w:t>1</w:t>
      </w:r>
    </w:p>
    <w:p w14:paraId="616FA7AF" w14:textId="77777777" w:rsidR="00BA3FE3" w:rsidRPr="00907B98" w:rsidRDefault="00BA3FE3" w:rsidP="00BA3FE3">
      <w:pPr>
        <w:rPr>
          <w:bCs/>
        </w:rPr>
      </w:pPr>
      <w:r w:rsidRPr="00907B98">
        <w:rPr>
          <w:bCs/>
        </w:rPr>
        <w:t>Gaius Longcroft-Wheaton</w:t>
      </w:r>
      <w:r w:rsidRPr="00907B98">
        <w:rPr>
          <w:bCs/>
          <w:vertAlign w:val="superscript"/>
        </w:rPr>
        <w:t>1</w:t>
      </w:r>
    </w:p>
    <w:p w14:paraId="1380CE9A" w14:textId="77777777" w:rsidR="00BA3FE3" w:rsidRDefault="00BA3FE3" w:rsidP="00BA3FE3">
      <w:pPr>
        <w:rPr>
          <w:bCs/>
        </w:rPr>
      </w:pPr>
      <w:r>
        <w:rPr>
          <w:bCs/>
        </w:rPr>
        <w:t>Carol</w:t>
      </w:r>
      <w:r w:rsidR="00E2030F">
        <w:rPr>
          <w:bCs/>
        </w:rPr>
        <w:t>e</w:t>
      </w:r>
      <w:r>
        <w:rPr>
          <w:bCs/>
        </w:rPr>
        <w:t xml:space="preserve"> Fogg</w:t>
      </w:r>
      <w:r w:rsidR="00E2030F" w:rsidRPr="000B0E9D">
        <w:rPr>
          <w:bCs/>
          <w:vertAlign w:val="superscript"/>
        </w:rPr>
        <w:t>3</w:t>
      </w:r>
    </w:p>
    <w:p w14:paraId="4F829E3F" w14:textId="77777777" w:rsidR="00BA3FE3" w:rsidRDefault="00BA3FE3" w:rsidP="00BA3FE3">
      <w:pPr>
        <w:rPr>
          <w:bCs/>
        </w:rPr>
      </w:pPr>
      <w:r>
        <w:rPr>
          <w:bCs/>
        </w:rPr>
        <w:t>James Brown</w:t>
      </w:r>
      <w:r w:rsidR="00E2030F" w:rsidRPr="000B0E9D">
        <w:rPr>
          <w:bCs/>
          <w:vertAlign w:val="superscript"/>
        </w:rPr>
        <w:t>2</w:t>
      </w:r>
    </w:p>
    <w:p w14:paraId="60FDA87B" w14:textId="6C44EBF8" w:rsidR="00BA3FE3" w:rsidRDefault="00BA3FE3" w:rsidP="00BA3FE3">
      <w:pPr>
        <w:rPr>
          <w:bCs/>
        </w:rPr>
      </w:pPr>
      <w:r>
        <w:rPr>
          <w:bCs/>
        </w:rPr>
        <w:t>Samuel Smith</w:t>
      </w:r>
      <w:r w:rsidR="00E2030F" w:rsidRPr="000B0E9D">
        <w:rPr>
          <w:bCs/>
          <w:vertAlign w:val="superscript"/>
        </w:rPr>
        <w:t>4,5</w:t>
      </w:r>
      <w:r w:rsidR="000365AB">
        <w:rPr>
          <w:bCs/>
          <w:vertAlign w:val="superscript"/>
        </w:rPr>
        <w:t>,6</w:t>
      </w:r>
      <w:bookmarkStart w:id="0" w:name="_GoBack"/>
      <w:bookmarkEnd w:id="0"/>
    </w:p>
    <w:p w14:paraId="7E356F77" w14:textId="68A4AFF6" w:rsidR="00BA3FE3" w:rsidRDefault="00FA098A" w:rsidP="00BA3FE3">
      <w:pPr>
        <w:rPr>
          <w:bCs/>
        </w:rPr>
      </w:pPr>
      <w:r>
        <w:rPr>
          <w:bCs/>
        </w:rPr>
        <w:t>Marietta Iac</w:t>
      </w:r>
      <w:r w:rsidR="00BA3FE3">
        <w:rPr>
          <w:bCs/>
        </w:rPr>
        <w:t>u</w:t>
      </w:r>
      <w:r>
        <w:rPr>
          <w:bCs/>
        </w:rPr>
        <w:t>c</w:t>
      </w:r>
      <w:r w:rsidR="00BA3FE3">
        <w:rPr>
          <w:bCs/>
        </w:rPr>
        <w:t>ci</w:t>
      </w:r>
      <w:r w:rsidR="00E2030F" w:rsidRPr="00644735">
        <w:rPr>
          <w:bCs/>
          <w:vertAlign w:val="superscript"/>
        </w:rPr>
        <w:t>4,5</w:t>
      </w:r>
      <w:r w:rsidR="000365AB">
        <w:rPr>
          <w:bCs/>
          <w:vertAlign w:val="superscript"/>
        </w:rPr>
        <w:t>,6</w:t>
      </w:r>
    </w:p>
    <w:p w14:paraId="630220F0" w14:textId="77777777" w:rsidR="00BA3FE3" w:rsidRPr="00907B98" w:rsidRDefault="00BA3FE3" w:rsidP="00BA3FE3">
      <w:pPr>
        <w:rPr>
          <w:bCs/>
        </w:rPr>
      </w:pPr>
      <w:r w:rsidRPr="00907B98">
        <w:rPr>
          <w:bCs/>
        </w:rPr>
        <w:t>Pradeep Bhandari</w:t>
      </w:r>
      <w:r w:rsidRPr="00907B98">
        <w:rPr>
          <w:bCs/>
          <w:vertAlign w:val="superscript"/>
        </w:rPr>
        <w:t>1</w:t>
      </w:r>
    </w:p>
    <w:p w14:paraId="63B68900" w14:textId="77777777" w:rsidR="00BA3FE3" w:rsidRDefault="00BA3FE3" w:rsidP="00990232">
      <w:pPr>
        <w:spacing w:line="360" w:lineRule="auto"/>
        <w:jc w:val="both"/>
      </w:pPr>
    </w:p>
    <w:p w14:paraId="6CB2C1D4" w14:textId="77777777" w:rsidR="00BA3FE3" w:rsidRDefault="00BA3FE3" w:rsidP="000B0E9D">
      <w:pPr>
        <w:contextualSpacing/>
        <w:rPr>
          <w:i/>
        </w:rPr>
      </w:pPr>
      <w:r w:rsidRPr="00907B98">
        <w:rPr>
          <w:i/>
          <w:vertAlign w:val="superscript"/>
        </w:rPr>
        <w:t>1</w:t>
      </w:r>
      <w:r w:rsidR="000B0E9D">
        <w:rPr>
          <w:i/>
          <w:vertAlign w:val="superscript"/>
        </w:rPr>
        <w:t xml:space="preserve"> </w:t>
      </w:r>
      <w:r w:rsidRPr="00907B98">
        <w:rPr>
          <w:i/>
        </w:rPr>
        <w:t>Department of Gastroenterology, Queen Alexandra Hospital, Portsmouth Hospitals NHS Trust, Portsmouth, United Kingdom;</w:t>
      </w:r>
    </w:p>
    <w:p w14:paraId="20C2D362" w14:textId="77777777" w:rsidR="00BA3FE3" w:rsidRDefault="00BA3FE3" w:rsidP="000B0E9D">
      <w:pPr>
        <w:contextualSpacing/>
        <w:rPr>
          <w:i/>
          <w:iCs/>
        </w:rPr>
      </w:pPr>
      <w:r w:rsidRPr="000B0E9D">
        <w:rPr>
          <w:i/>
          <w:vertAlign w:val="superscript"/>
        </w:rPr>
        <w:t>2</w:t>
      </w:r>
      <w:r w:rsidR="000B0E9D">
        <w:rPr>
          <w:i/>
          <w:vertAlign w:val="superscript"/>
        </w:rPr>
        <w:t xml:space="preserve"> </w:t>
      </w:r>
      <w:r w:rsidRPr="00BA3FE3">
        <w:rPr>
          <w:i/>
          <w:iCs/>
        </w:rPr>
        <w:t>School of Pharmacy and Biomedical Sciences, University of Portsmouth, Portsmouth, United Kingdom</w:t>
      </w:r>
    </w:p>
    <w:p w14:paraId="6D3429B2" w14:textId="77777777" w:rsidR="00E2030F" w:rsidRDefault="00E2030F" w:rsidP="000B0E9D">
      <w:pPr>
        <w:contextualSpacing/>
        <w:rPr>
          <w:i/>
          <w:iCs/>
        </w:rPr>
      </w:pPr>
      <w:r w:rsidRPr="000B0E9D">
        <w:rPr>
          <w:i/>
          <w:iCs/>
          <w:vertAlign w:val="superscript"/>
        </w:rPr>
        <w:t>3</w:t>
      </w:r>
      <w:r w:rsidR="000B0E9D">
        <w:rPr>
          <w:i/>
          <w:iCs/>
        </w:rPr>
        <w:t xml:space="preserve"> </w:t>
      </w:r>
      <w:r>
        <w:rPr>
          <w:i/>
          <w:iCs/>
        </w:rPr>
        <w:t>University of Portsmouth, Portsmouth, United Kingdom;</w:t>
      </w:r>
    </w:p>
    <w:p w14:paraId="05307C5E" w14:textId="5ECF687B" w:rsidR="00E2030F" w:rsidRDefault="00E2030F" w:rsidP="000B0E9D">
      <w:pPr>
        <w:contextualSpacing/>
        <w:rPr>
          <w:i/>
        </w:rPr>
      </w:pPr>
      <w:r w:rsidRPr="000B0E9D">
        <w:rPr>
          <w:i/>
          <w:iCs/>
          <w:vertAlign w:val="superscript"/>
        </w:rPr>
        <w:t>4</w:t>
      </w:r>
      <w:r>
        <w:rPr>
          <w:i/>
          <w:iCs/>
        </w:rPr>
        <w:t xml:space="preserve"> </w:t>
      </w:r>
      <w:r w:rsidR="000365AB" w:rsidRPr="000365AB">
        <w:rPr>
          <w:i/>
          <w:lang w:val="en-US"/>
        </w:rPr>
        <w:t>Institute of Immunology and Immunotherapy,</w:t>
      </w:r>
      <w:r w:rsidR="000365AB">
        <w:rPr>
          <w:i/>
          <w:lang w:val="en-US"/>
        </w:rPr>
        <w:t xml:space="preserve"> </w:t>
      </w:r>
      <w:r w:rsidR="000365AB">
        <w:rPr>
          <w:i/>
        </w:rPr>
        <w:t>N</w:t>
      </w:r>
      <w:r w:rsidR="000365AB" w:rsidRPr="000365AB">
        <w:rPr>
          <w:i/>
        </w:rPr>
        <w:t>I</w:t>
      </w:r>
      <w:r w:rsidR="000365AB">
        <w:rPr>
          <w:i/>
        </w:rPr>
        <w:t>H</w:t>
      </w:r>
      <w:r w:rsidR="000365AB" w:rsidRPr="000365AB">
        <w:rPr>
          <w:i/>
        </w:rPr>
        <w:t>R Wellcome trust Clinical Research Facilities</w:t>
      </w:r>
    </w:p>
    <w:p w14:paraId="55E82846" w14:textId="01BFBA4C" w:rsidR="000365AB" w:rsidRPr="000365AB" w:rsidRDefault="000365AB" w:rsidP="000B0E9D">
      <w:pPr>
        <w:contextualSpacing/>
        <w:rPr>
          <w:i/>
        </w:rPr>
      </w:pPr>
      <w:r w:rsidRPr="000365AB">
        <w:rPr>
          <w:i/>
          <w:vertAlign w:val="superscript"/>
        </w:rPr>
        <w:t>5</w:t>
      </w:r>
      <w:r>
        <w:rPr>
          <w:i/>
        </w:rPr>
        <w:t xml:space="preserve"> </w:t>
      </w:r>
      <w:r w:rsidRPr="000365AB">
        <w:rPr>
          <w:i/>
          <w:lang w:val="en-US"/>
        </w:rPr>
        <w:t>NIHR Birmingham Biomedical Research Centre, University Hospitals NHS Foundation Trust, University of Birmingham, UK</w:t>
      </w:r>
    </w:p>
    <w:p w14:paraId="0DED9133" w14:textId="04A67AC0" w:rsidR="000365AB" w:rsidRPr="00BA3FE3" w:rsidRDefault="000365AB" w:rsidP="000B0E9D">
      <w:pPr>
        <w:contextualSpacing/>
        <w:rPr>
          <w:i/>
        </w:rPr>
      </w:pPr>
      <w:r>
        <w:rPr>
          <w:i/>
          <w:vertAlign w:val="superscript"/>
        </w:rPr>
        <w:t>6</w:t>
      </w:r>
      <w:r w:rsidR="00E2030F">
        <w:rPr>
          <w:i/>
        </w:rPr>
        <w:t xml:space="preserve"> University Hospitals Birmingham NHS Foundation Trust, Birmingham, United Kingdom</w:t>
      </w:r>
    </w:p>
    <w:p w14:paraId="74E2EA9C" w14:textId="7E04819E" w:rsidR="00FA098A" w:rsidRPr="00BA3FE3" w:rsidRDefault="000365AB" w:rsidP="00FA098A">
      <w:pPr>
        <w:contextualSpacing/>
        <w:rPr>
          <w:i/>
        </w:rPr>
      </w:pPr>
      <w:r>
        <w:rPr>
          <w:i/>
          <w:vertAlign w:val="superscript"/>
        </w:rPr>
        <w:t>7</w:t>
      </w:r>
      <w:r w:rsidR="00FA098A">
        <w:rPr>
          <w:i/>
        </w:rPr>
        <w:t xml:space="preserve"> Department of Gastroenterology, St George’s University Hospitals NHS Foundation Trust, London, United Kingdom</w:t>
      </w:r>
    </w:p>
    <w:p w14:paraId="4E59438F" w14:textId="77777777" w:rsidR="00CD6416" w:rsidRDefault="00CD6416" w:rsidP="000B0E9D">
      <w:pPr>
        <w:spacing w:line="360" w:lineRule="auto"/>
      </w:pPr>
    </w:p>
    <w:p w14:paraId="51819ABE" w14:textId="643A8BDB" w:rsidR="00CD6416" w:rsidRDefault="00CD6416" w:rsidP="00CD6416">
      <w:r>
        <w:rPr>
          <w:b/>
        </w:rPr>
        <w:t xml:space="preserve">Word count: </w:t>
      </w:r>
      <w:r w:rsidR="00A44539">
        <w:t>3921</w:t>
      </w:r>
      <w:r w:rsidR="00C12739">
        <w:rPr>
          <w:b/>
        </w:rPr>
        <w:t xml:space="preserve"> </w:t>
      </w:r>
      <w:r w:rsidRPr="005E6D84">
        <w:t>words</w:t>
      </w:r>
    </w:p>
    <w:p w14:paraId="741A4409" w14:textId="77777777" w:rsidR="00CD6416" w:rsidRDefault="00CD6416" w:rsidP="00CD6416"/>
    <w:p w14:paraId="2EB10562" w14:textId="42EFBF00" w:rsidR="00CD6416" w:rsidRPr="00007B49" w:rsidRDefault="00CD6416" w:rsidP="00CD6416">
      <w:r w:rsidRPr="00007B49">
        <w:rPr>
          <w:b/>
        </w:rPr>
        <w:t>Abbreviations:</w:t>
      </w:r>
      <w:r w:rsidRPr="00007B49">
        <w:t xml:space="preserve"> </w:t>
      </w:r>
      <w:r w:rsidR="00C12739">
        <w:t xml:space="preserve">Crohn’s colitis (CC), colorectal cancer (CRC), high definition white light (HDWL), high definition virtual chromoendoscopy (HDV), inflammatory bowel </w:t>
      </w:r>
      <w:r w:rsidR="00C12739">
        <w:lastRenderedPageBreak/>
        <w:t xml:space="preserve">disease (IBD), </w:t>
      </w:r>
      <w:r w:rsidR="00B2467D">
        <w:t>Intra</w:t>
      </w:r>
      <w:r w:rsidR="00FA098A">
        <w:t xml:space="preserve">epithelial neoplasia (IEN), </w:t>
      </w:r>
      <w:r w:rsidR="00BD56BA">
        <w:t xml:space="preserve">Narrow Band Imaging (NBI), </w:t>
      </w:r>
      <w:r w:rsidR="00C12739">
        <w:t>neoplasia detection rate (NDR),</w:t>
      </w:r>
      <w:r w:rsidR="00BD56BA">
        <w:t xml:space="preserve"> sessile serrated lesions (SSL),</w:t>
      </w:r>
      <w:r w:rsidR="00C12739">
        <w:t xml:space="preserve"> ulcerative colitis (UC)</w:t>
      </w:r>
    </w:p>
    <w:p w14:paraId="58283AAB" w14:textId="77777777" w:rsidR="00A97364" w:rsidRPr="00177CDB" w:rsidRDefault="00A97364" w:rsidP="00A97364">
      <w:pPr>
        <w:spacing w:line="360" w:lineRule="auto"/>
      </w:pPr>
      <w:r>
        <w:br w:type="column"/>
      </w:r>
      <w:r>
        <w:rPr>
          <w:b/>
        </w:rPr>
        <w:t>ABSTRACT</w:t>
      </w:r>
      <w:r w:rsidRPr="00177CDB">
        <w:t xml:space="preserve">: </w:t>
      </w:r>
    </w:p>
    <w:p w14:paraId="1A5FA98F" w14:textId="77777777" w:rsidR="00A97364" w:rsidRPr="00177CDB" w:rsidRDefault="00A97364" w:rsidP="00A97364"/>
    <w:p w14:paraId="62F89AF4" w14:textId="77777777" w:rsidR="00A97364" w:rsidRPr="00177CDB" w:rsidRDefault="00A97364" w:rsidP="00A97364"/>
    <w:p w14:paraId="765D71D5" w14:textId="77777777" w:rsidR="00A97364" w:rsidRPr="00DB1223" w:rsidRDefault="00A97364" w:rsidP="00A97364">
      <w:pPr>
        <w:jc w:val="both"/>
      </w:pPr>
      <w:r w:rsidRPr="00DB1223">
        <w:t>BACKGROUND:</w:t>
      </w:r>
    </w:p>
    <w:p w14:paraId="79E4E77F" w14:textId="5F261ABA" w:rsidR="00A97364" w:rsidRDefault="004C4768" w:rsidP="00A97364">
      <w:pPr>
        <w:jc w:val="both"/>
      </w:pPr>
      <w:r>
        <w:t xml:space="preserve">Longstanding colonic inflammatory bowel disease (IBD) increases the risk of developing colorectal cancer. </w:t>
      </w:r>
      <w:r w:rsidR="00FB5CC0">
        <w:t xml:space="preserve">The utility of chromoendoscopy with standard definition white light technology has been established. However, the use of high definition virtual chromoendoscopy (HDV) in colitis surveillance </w:t>
      </w:r>
      <w:r w:rsidR="005A101E">
        <w:t>remains undefined</w:t>
      </w:r>
      <w:r w:rsidR="00FB5CC0">
        <w:t>.</w:t>
      </w:r>
    </w:p>
    <w:p w14:paraId="5D91DB5C" w14:textId="77777777" w:rsidR="004C4768" w:rsidRDefault="004C4768" w:rsidP="00A97364">
      <w:pPr>
        <w:jc w:val="both"/>
      </w:pPr>
    </w:p>
    <w:p w14:paraId="3F994BBD" w14:textId="77777777" w:rsidR="004C4768" w:rsidRPr="00DB1223" w:rsidRDefault="004C4768" w:rsidP="00A97364">
      <w:pPr>
        <w:jc w:val="both"/>
      </w:pPr>
    </w:p>
    <w:p w14:paraId="76FB5A0A" w14:textId="77777777" w:rsidR="00A97364" w:rsidRPr="00DB1223" w:rsidRDefault="00A97364" w:rsidP="00A97364">
      <w:pPr>
        <w:jc w:val="both"/>
      </w:pPr>
      <w:r w:rsidRPr="00DB1223">
        <w:t>OBJECTIVE:</w:t>
      </w:r>
    </w:p>
    <w:p w14:paraId="23BA1D4F" w14:textId="2960B078" w:rsidR="00DA1D3F" w:rsidRDefault="00FB5CC0" w:rsidP="00A97364">
      <w:pPr>
        <w:jc w:val="both"/>
      </w:pPr>
      <w:r>
        <w:t xml:space="preserve">To </w:t>
      </w:r>
      <w:r w:rsidR="00757982">
        <w:t>compare</w:t>
      </w:r>
      <w:r>
        <w:t xml:space="preserve"> the performance of HDV</w:t>
      </w:r>
      <w:r w:rsidR="0057196E">
        <w:t xml:space="preserve"> (i-s</w:t>
      </w:r>
      <w:r w:rsidR="00176A6E">
        <w:t>can OE Mode 2)</w:t>
      </w:r>
      <w:r>
        <w:t xml:space="preserve"> w</w:t>
      </w:r>
      <w:r w:rsidR="00757982">
        <w:t>ith</w:t>
      </w:r>
      <w:r>
        <w:t xml:space="preserve"> high definition white light (HDWL)</w:t>
      </w:r>
      <w:r w:rsidR="00757982">
        <w:t xml:space="preserve"> for detection of neoplasia</w:t>
      </w:r>
      <w:r>
        <w:t xml:space="preserve"> in IBD </w:t>
      </w:r>
      <w:r w:rsidR="00DC1B8F">
        <w:t xml:space="preserve">patients </w:t>
      </w:r>
      <w:r>
        <w:t>undergoing surveillance colonoscopy</w:t>
      </w:r>
      <w:r w:rsidR="00DC1B8F">
        <w:t>.</w:t>
      </w:r>
      <w:r>
        <w:t xml:space="preserve"> </w:t>
      </w:r>
      <w:r w:rsidR="005A101E">
        <w:t>Additionally w</w:t>
      </w:r>
      <w:r w:rsidR="00DC1B8F">
        <w:t xml:space="preserve">e </w:t>
      </w:r>
      <w:r w:rsidR="00A859E4">
        <w:t>assessed</w:t>
      </w:r>
      <w:r w:rsidR="00DC1B8F">
        <w:t xml:space="preserve"> the </w:t>
      </w:r>
      <w:r w:rsidR="005A101E">
        <w:t>utility</w:t>
      </w:r>
      <w:r w:rsidR="00DC1B8F">
        <w:t xml:space="preserve"> of protocol guided quadrantic non</w:t>
      </w:r>
      <w:r w:rsidR="00DA1D3F">
        <w:t>-</w:t>
      </w:r>
      <w:r w:rsidR="00DC1B8F">
        <w:t>targeted biopsies.</w:t>
      </w:r>
    </w:p>
    <w:p w14:paraId="360313ED" w14:textId="77777777" w:rsidR="00FB5CC0" w:rsidRPr="00DB1223" w:rsidRDefault="00FB5CC0" w:rsidP="00A97364">
      <w:pPr>
        <w:jc w:val="both"/>
      </w:pPr>
    </w:p>
    <w:p w14:paraId="2F2035BA" w14:textId="77777777" w:rsidR="00A97364" w:rsidRPr="00CF37EC" w:rsidRDefault="00A97364" w:rsidP="00A97364">
      <w:pPr>
        <w:jc w:val="both"/>
      </w:pPr>
      <w:r w:rsidRPr="00CF37EC">
        <w:t>DESIGN:</w:t>
      </w:r>
    </w:p>
    <w:p w14:paraId="01B9F71E" w14:textId="365819B6" w:rsidR="00A97364" w:rsidRPr="00CF37EC" w:rsidRDefault="00FB5CC0" w:rsidP="00A97364">
      <w:pPr>
        <w:jc w:val="both"/>
      </w:pPr>
      <w:r w:rsidRPr="00CF37EC">
        <w:t xml:space="preserve">A </w:t>
      </w:r>
      <w:r w:rsidR="00E70D43" w:rsidRPr="00CF37EC">
        <w:t xml:space="preserve">multi-operator </w:t>
      </w:r>
      <w:r w:rsidRPr="00CF37EC">
        <w:t xml:space="preserve">randomised controlled trial </w:t>
      </w:r>
      <w:r w:rsidR="00C37BAD" w:rsidRPr="00CF37EC">
        <w:t xml:space="preserve">was carried out in two centres in the United Kingdom. 188 patients </w:t>
      </w:r>
      <w:r w:rsidR="00F44D11" w:rsidRPr="006C556F">
        <w:t>(</w:t>
      </w:r>
      <w:r w:rsidR="00F44D11">
        <w:t>101 male</w:t>
      </w:r>
      <w:r w:rsidR="00F44D11" w:rsidRPr="006C556F">
        <w:t xml:space="preserve">, mean age </w:t>
      </w:r>
      <w:r w:rsidR="00AE29BC">
        <w:t>54</w:t>
      </w:r>
      <w:r w:rsidR="00F44D11" w:rsidRPr="006C556F">
        <w:t xml:space="preserve">) </w:t>
      </w:r>
      <w:r w:rsidR="00C37BAD" w:rsidRPr="00CF37EC">
        <w:t>with long</w:t>
      </w:r>
      <w:r w:rsidRPr="00CF37EC">
        <w:t xml:space="preserve"> </w:t>
      </w:r>
      <w:r w:rsidR="00C37BAD" w:rsidRPr="00CF37EC">
        <w:t>standing ulcerative or Crohn’s colitis were randomised</w:t>
      </w:r>
      <w:r w:rsidR="00AF750B" w:rsidRPr="00CF37EC">
        <w:t>,</w:t>
      </w:r>
      <w:r w:rsidR="00C37BAD" w:rsidRPr="00CF37EC">
        <w:t xml:space="preserve"> </w:t>
      </w:r>
      <w:r w:rsidR="00AF750B" w:rsidRPr="00CF37EC">
        <w:t xml:space="preserve">prior to starting the surveillance </w:t>
      </w:r>
      <w:r w:rsidR="00C37BAD" w:rsidRPr="00CF37EC">
        <w:t>colonoscopy</w:t>
      </w:r>
      <w:r w:rsidR="00AF750B" w:rsidRPr="00CF37EC">
        <w:t>, to</w:t>
      </w:r>
      <w:r w:rsidR="00C37BAD" w:rsidRPr="00CF37EC">
        <w:t xml:space="preserve"> using either HDV (n=94) or HDWL (n=94) on withdrawal. Targeted and </w:t>
      </w:r>
      <w:r w:rsidR="00DA1D3F" w:rsidRPr="00CF37EC">
        <w:t>quadrantic non-targeted</w:t>
      </w:r>
      <w:r w:rsidR="00C37BAD" w:rsidRPr="00CF37EC">
        <w:t xml:space="preserve"> biopsies were taken</w:t>
      </w:r>
      <w:r w:rsidR="0057196E" w:rsidRPr="00CF37EC">
        <w:t xml:space="preserve"> in both arms per randomisation protocol.</w:t>
      </w:r>
      <w:r w:rsidR="002B0767">
        <w:t xml:space="preserve"> The primary outcome was the difference in neoplasia detection rate (NDR) between HDV and HDWL.</w:t>
      </w:r>
    </w:p>
    <w:p w14:paraId="5649E581" w14:textId="77777777" w:rsidR="00A97364" w:rsidRPr="00CF37EC" w:rsidRDefault="00A97364" w:rsidP="00A97364">
      <w:pPr>
        <w:jc w:val="both"/>
      </w:pPr>
    </w:p>
    <w:p w14:paraId="6BF67B20" w14:textId="77777777" w:rsidR="00A97364" w:rsidRPr="00CF37EC" w:rsidRDefault="00A97364" w:rsidP="00A97364">
      <w:pPr>
        <w:jc w:val="both"/>
      </w:pPr>
      <w:r w:rsidRPr="00CF37EC">
        <w:t>RESULTS:</w:t>
      </w:r>
    </w:p>
    <w:p w14:paraId="69DE75BB" w14:textId="34DE6646" w:rsidR="00A97364" w:rsidRPr="00CF37EC" w:rsidRDefault="00A50FDD" w:rsidP="00A97364">
      <w:pPr>
        <w:jc w:val="both"/>
      </w:pPr>
      <w:r w:rsidRPr="00CF37EC">
        <w:t xml:space="preserve">There was no significant </w:t>
      </w:r>
      <w:r w:rsidR="00D419C4" w:rsidRPr="00CF37EC">
        <w:t>difference between HDWL and HDV</w:t>
      </w:r>
      <w:r w:rsidRPr="00CF37EC">
        <w:t xml:space="preserve"> for neoplasia detection. The </w:t>
      </w:r>
      <w:r w:rsidR="002B0767">
        <w:t>NDR</w:t>
      </w:r>
      <w:r w:rsidRPr="00CF37EC">
        <w:t xml:space="preserve"> was not significantly different for HDWL (24.2%) and HDV</w:t>
      </w:r>
      <w:r w:rsidR="004231E5" w:rsidRPr="00CF37EC">
        <w:t xml:space="preserve"> (14.9%) (p=0.14</w:t>
      </w:r>
      <w:r w:rsidRPr="00CF37EC">
        <w:t xml:space="preserve">).  </w:t>
      </w:r>
      <w:r w:rsidR="006916F8" w:rsidRPr="00CF37EC">
        <w:t xml:space="preserve">All </w:t>
      </w:r>
      <w:r w:rsidR="00B2467D">
        <w:t>intra</w:t>
      </w:r>
      <w:r w:rsidR="00FA098A">
        <w:t>epithelial neoplasia (IEN)</w:t>
      </w:r>
      <w:r w:rsidR="006916F8" w:rsidRPr="00CF37EC">
        <w:t xml:space="preserve"> detected cont</w:t>
      </w:r>
      <w:r w:rsidR="00C7247F">
        <w:t xml:space="preserve">ained low-grade dysplasia only. </w:t>
      </w:r>
      <w:r w:rsidRPr="00CF37EC">
        <w:t xml:space="preserve">A total of 6751 </w:t>
      </w:r>
      <w:r w:rsidR="006916F8" w:rsidRPr="00CF37EC">
        <w:t>non-targeted</w:t>
      </w:r>
      <w:r w:rsidRPr="00CF37EC">
        <w:t xml:space="preserve"> biopsies detected 1 </w:t>
      </w:r>
      <w:r w:rsidR="00FA098A">
        <w:t>IEN</w:t>
      </w:r>
      <w:r w:rsidRPr="00CF37EC">
        <w:t xml:space="preserve"> only. The withdrawal time was similar in both arms of the study; median of 24 minutes </w:t>
      </w:r>
      <w:r w:rsidR="00176A6E" w:rsidRPr="00CF37EC">
        <w:t>(</w:t>
      </w:r>
      <w:r w:rsidR="00671A4E" w:rsidRPr="00CF37EC">
        <w:t>HDWL</w:t>
      </w:r>
      <w:r w:rsidR="00176A6E" w:rsidRPr="00CF37EC">
        <w:t>)</w:t>
      </w:r>
      <w:r w:rsidR="00D166D8" w:rsidRPr="00CF37EC">
        <w:t xml:space="preserve"> </w:t>
      </w:r>
      <w:r w:rsidR="00176A6E" w:rsidRPr="00CF37EC">
        <w:t>vs 25.5 minutes (</w:t>
      </w:r>
      <w:r w:rsidR="00D166D8" w:rsidRPr="00CF37EC">
        <w:t>HDV</w:t>
      </w:r>
      <w:r w:rsidR="00176A6E" w:rsidRPr="00CF37EC">
        <w:t>)</w:t>
      </w:r>
      <w:r w:rsidRPr="00CF37EC">
        <w:t>.</w:t>
      </w:r>
    </w:p>
    <w:p w14:paraId="1657718F" w14:textId="77777777" w:rsidR="00E70D43" w:rsidRPr="00DB1223" w:rsidRDefault="00E70D43" w:rsidP="00A97364">
      <w:pPr>
        <w:jc w:val="both"/>
      </w:pPr>
    </w:p>
    <w:p w14:paraId="33AC40A2" w14:textId="77777777" w:rsidR="00A97364" w:rsidRDefault="00A97364" w:rsidP="00A97364">
      <w:pPr>
        <w:jc w:val="both"/>
      </w:pPr>
      <w:r w:rsidRPr="00DB1223">
        <w:t>CONCLUSION:</w:t>
      </w:r>
    </w:p>
    <w:p w14:paraId="72385DD7" w14:textId="1187370F" w:rsidR="00DA1D3F" w:rsidRDefault="00345D0E" w:rsidP="00A97364">
      <w:pPr>
        <w:jc w:val="both"/>
      </w:pPr>
      <w:r>
        <w:t>HDV and HDWL</w:t>
      </w:r>
      <w:r w:rsidR="00176A6E">
        <w:t xml:space="preserve"> did not differ significantly in the detection of neoplasia</w:t>
      </w:r>
      <w:r>
        <w:t xml:space="preserve">. </w:t>
      </w:r>
      <w:r w:rsidR="009419A6">
        <w:t>Almost all neoplasia were detected on targeted biopsy or resection</w:t>
      </w:r>
      <w:r w:rsidR="00783280">
        <w:t>. Quadrantic non-targeted biopsies have negligible additional gain.</w:t>
      </w:r>
    </w:p>
    <w:p w14:paraId="7774FCE2" w14:textId="77777777" w:rsidR="00345D0E" w:rsidRPr="00177CDB" w:rsidRDefault="00345D0E" w:rsidP="00A97364">
      <w:pPr>
        <w:jc w:val="both"/>
      </w:pPr>
    </w:p>
    <w:p w14:paraId="5E166D00" w14:textId="77777777" w:rsidR="00A97364" w:rsidRDefault="00A97364" w:rsidP="00A97364">
      <w:r>
        <w:rPr>
          <w:b/>
        </w:rPr>
        <w:t>KEYWORDS</w:t>
      </w:r>
      <w:r>
        <w:t xml:space="preserve">: </w:t>
      </w:r>
      <w:r w:rsidR="00345D0E">
        <w:t>inflammatory bowel disease, dysplasia surveillance, e</w:t>
      </w:r>
      <w:r>
        <w:t xml:space="preserve">ndoscopy, </w:t>
      </w:r>
      <w:r w:rsidR="00345D0E">
        <w:t>ulcerative colitis</w:t>
      </w:r>
      <w:r>
        <w:t xml:space="preserve">, </w:t>
      </w:r>
      <w:r w:rsidR="00345D0E">
        <w:t>Crohn’s colitis</w:t>
      </w:r>
      <w:r>
        <w:t xml:space="preserve">, </w:t>
      </w:r>
      <w:r w:rsidR="00345D0E">
        <w:t>colonoscopy</w:t>
      </w:r>
      <w:r>
        <w:t>, endoscopic procedures</w:t>
      </w:r>
    </w:p>
    <w:p w14:paraId="1D607F6E" w14:textId="77777777" w:rsidR="00A97364" w:rsidRDefault="00A97364" w:rsidP="00A97364"/>
    <w:p w14:paraId="1A055E0E" w14:textId="77777777" w:rsidR="00873518" w:rsidRDefault="00873518" w:rsidP="00990232">
      <w:pPr>
        <w:spacing w:line="360" w:lineRule="auto"/>
        <w:jc w:val="both"/>
      </w:pPr>
    </w:p>
    <w:p w14:paraId="5AF5F050" w14:textId="77777777" w:rsidR="00A97364" w:rsidRDefault="00A97364" w:rsidP="00990232">
      <w:pPr>
        <w:spacing w:line="360" w:lineRule="auto"/>
        <w:jc w:val="both"/>
      </w:pPr>
    </w:p>
    <w:p w14:paraId="281113DE" w14:textId="77777777" w:rsidR="00A97364" w:rsidRDefault="00A97364" w:rsidP="00990232">
      <w:pPr>
        <w:spacing w:line="360" w:lineRule="auto"/>
        <w:jc w:val="both"/>
      </w:pPr>
    </w:p>
    <w:p w14:paraId="3233E738" w14:textId="77777777" w:rsidR="00145E9B" w:rsidRDefault="00E27448" w:rsidP="00145E9B">
      <w:pPr>
        <w:rPr>
          <w:b/>
        </w:rPr>
      </w:pPr>
      <w:r>
        <w:br w:type="column"/>
      </w:r>
      <w:r w:rsidR="00145E9B" w:rsidRPr="00004BFA">
        <w:rPr>
          <w:b/>
        </w:rPr>
        <w:t>SIGNIFICANCE OF THE STUDY</w:t>
      </w:r>
    </w:p>
    <w:p w14:paraId="0C3A1255" w14:textId="77777777" w:rsidR="00145E9B" w:rsidRDefault="00145E9B" w:rsidP="00145E9B">
      <w:pPr>
        <w:rPr>
          <w:b/>
        </w:rPr>
      </w:pPr>
    </w:p>
    <w:p w14:paraId="2ADE0931" w14:textId="77777777" w:rsidR="00145E9B" w:rsidRDefault="00145E9B" w:rsidP="00145E9B"/>
    <w:p w14:paraId="23136D20" w14:textId="77777777" w:rsidR="00145E9B" w:rsidRDefault="00145E9B" w:rsidP="00145E9B">
      <w:pPr>
        <w:jc w:val="both"/>
      </w:pPr>
      <w:r>
        <w:t>What is already known about this subject?</w:t>
      </w:r>
    </w:p>
    <w:p w14:paraId="3B4E33AD" w14:textId="77777777" w:rsidR="00145E9B" w:rsidRDefault="00145E9B" w:rsidP="00145E9B">
      <w:pPr>
        <w:jc w:val="both"/>
      </w:pPr>
    </w:p>
    <w:p w14:paraId="42213F87" w14:textId="77777777" w:rsidR="00145E9B" w:rsidRDefault="00145E9B" w:rsidP="00145E9B">
      <w:pPr>
        <w:pStyle w:val="ListParagraph"/>
        <w:numPr>
          <w:ilvl w:val="0"/>
          <w:numId w:val="8"/>
        </w:numPr>
        <w:ind w:left="426" w:hanging="426"/>
        <w:jc w:val="both"/>
      </w:pPr>
      <w:r>
        <w:t>Longstanding ulcerative and Crohn’s colitis increases the risk of developing colorectal cancer (CRC)</w:t>
      </w:r>
      <w:r w:rsidR="005F1C15">
        <w:t>.</w:t>
      </w:r>
    </w:p>
    <w:p w14:paraId="108EE30E" w14:textId="77777777" w:rsidR="00145E9B" w:rsidRDefault="00145E9B" w:rsidP="00145E9B">
      <w:pPr>
        <w:pStyle w:val="ListParagraph"/>
        <w:ind w:left="426"/>
        <w:jc w:val="both"/>
      </w:pPr>
    </w:p>
    <w:p w14:paraId="54A94EBA" w14:textId="77777777" w:rsidR="00145E9B" w:rsidRPr="00BE6B14" w:rsidRDefault="00145E9B" w:rsidP="00145E9B">
      <w:pPr>
        <w:pStyle w:val="ListParagraph"/>
        <w:numPr>
          <w:ilvl w:val="0"/>
          <w:numId w:val="8"/>
        </w:numPr>
        <w:ind w:left="426" w:hanging="426"/>
        <w:jc w:val="both"/>
      </w:pPr>
      <w:r>
        <w:t>Surveillance colonoscopy is recommended by national and international guidelines to reduce the risk of developing CRC</w:t>
      </w:r>
      <w:r w:rsidR="005F1C15">
        <w:t>.</w:t>
      </w:r>
    </w:p>
    <w:p w14:paraId="7E3E09B6" w14:textId="77777777" w:rsidR="00145E9B" w:rsidRPr="00004BFA" w:rsidRDefault="00145E9B" w:rsidP="00145E9B">
      <w:pPr>
        <w:jc w:val="both"/>
      </w:pPr>
    </w:p>
    <w:p w14:paraId="2D078AA6" w14:textId="77777777" w:rsidR="00145E9B" w:rsidRDefault="00145E9B" w:rsidP="00145E9B">
      <w:pPr>
        <w:pStyle w:val="ListParagraph"/>
        <w:numPr>
          <w:ilvl w:val="0"/>
          <w:numId w:val="8"/>
        </w:numPr>
        <w:ind w:left="426" w:hanging="426"/>
        <w:jc w:val="both"/>
      </w:pPr>
      <w:r>
        <w:t>Chromoendoscopy using standard definition endoscopes have been shown to improve neoplasia detection rate, but the uptake of this technique has been low.</w:t>
      </w:r>
    </w:p>
    <w:p w14:paraId="155EBBC7" w14:textId="77777777" w:rsidR="00145E9B" w:rsidRDefault="00145E9B" w:rsidP="00B32309">
      <w:pPr>
        <w:jc w:val="both"/>
      </w:pPr>
    </w:p>
    <w:p w14:paraId="6E5680FB" w14:textId="20EE480D" w:rsidR="00145E9B" w:rsidRDefault="00145E9B" w:rsidP="00145E9B">
      <w:pPr>
        <w:pStyle w:val="ListParagraph"/>
        <w:numPr>
          <w:ilvl w:val="0"/>
          <w:numId w:val="8"/>
        </w:numPr>
        <w:ind w:left="426" w:hanging="426"/>
        <w:jc w:val="both"/>
      </w:pPr>
      <w:r>
        <w:t>The role of high definition white light</w:t>
      </w:r>
      <w:r w:rsidR="000D276D">
        <w:t xml:space="preserve"> (HDWL)</w:t>
      </w:r>
      <w:r>
        <w:t xml:space="preserve"> endoscopy and a novel </w:t>
      </w:r>
      <w:r w:rsidR="000D276D">
        <w:t xml:space="preserve">high definition </w:t>
      </w:r>
      <w:r w:rsidR="0057196E">
        <w:t>virtual chromoendoscopy (i-s</w:t>
      </w:r>
      <w:r>
        <w:t>can OE</w:t>
      </w:r>
      <w:r w:rsidR="007C4A0A">
        <w:t xml:space="preserve"> Mode </w:t>
      </w:r>
      <w:r>
        <w:t xml:space="preserve">2) is not </w:t>
      </w:r>
      <w:r w:rsidR="00277B1E">
        <w:t>known</w:t>
      </w:r>
      <w:r w:rsidR="005F1C15">
        <w:t>.</w:t>
      </w:r>
    </w:p>
    <w:p w14:paraId="079F0629" w14:textId="77777777" w:rsidR="00145E9B" w:rsidRPr="00004BFA" w:rsidRDefault="00145E9B" w:rsidP="00145E9B">
      <w:pPr>
        <w:jc w:val="both"/>
      </w:pPr>
    </w:p>
    <w:p w14:paraId="7ABC18CD" w14:textId="77777777" w:rsidR="00145E9B" w:rsidRDefault="00145E9B" w:rsidP="00145E9B">
      <w:pPr>
        <w:jc w:val="both"/>
      </w:pPr>
    </w:p>
    <w:p w14:paraId="1D105C5F" w14:textId="77777777" w:rsidR="00145E9B" w:rsidRDefault="00145E9B" w:rsidP="00145E9B">
      <w:pPr>
        <w:jc w:val="both"/>
      </w:pPr>
      <w:r>
        <w:t>What are the new findings?</w:t>
      </w:r>
    </w:p>
    <w:p w14:paraId="17B47192" w14:textId="77777777" w:rsidR="00145E9B" w:rsidRDefault="00145E9B" w:rsidP="00145E9B">
      <w:pPr>
        <w:jc w:val="both"/>
      </w:pPr>
    </w:p>
    <w:p w14:paraId="0075A557" w14:textId="37505795" w:rsidR="00145E9B" w:rsidRPr="00E438DC" w:rsidRDefault="00783280" w:rsidP="00145E9B">
      <w:pPr>
        <w:pStyle w:val="ListParagraph"/>
        <w:numPr>
          <w:ilvl w:val="0"/>
          <w:numId w:val="9"/>
        </w:numPr>
        <w:jc w:val="both"/>
      </w:pPr>
      <w:r w:rsidRPr="00E438DC">
        <w:t xml:space="preserve">Our RCT </w:t>
      </w:r>
      <w:r w:rsidR="00B41A0A" w:rsidRPr="00E438DC">
        <w:t>did not</w:t>
      </w:r>
      <w:r w:rsidR="00D55C21" w:rsidRPr="00E438DC">
        <w:t xml:space="preserve"> demonstrate the superiority of HDV over</w:t>
      </w:r>
      <w:r w:rsidR="00DA1D3F" w:rsidRPr="00E438DC">
        <w:t xml:space="preserve"> HDWL.</w:t>
      </w:r>
    </w:p>
    <w:p w14:paraId="3C54B008" w14:textId="77777777" w:rsidR="00145E9B" w:rsidRPr="00E438DC" w:rsidRDefault="00145E9B" w:rsidP="00145E9B">
      <w:pPr>
        <w:jc w:val="both"/>
      </w:pPr>
    </w:p>
    <w:p w14:paraId="17F1E9F1" w14:textId="5FF54E08" w:rsidR="00145E9B" w:rsidRPr="00E438DC" w:rsidRDefault="00F04572" w:rsidP="00145E9B">
      <w:pPr>
        <w:pStyle w:val="ListParagraph"/>
        <w:numPr>
          <w:ilvl w:val="0"/>
          <w:numId w:val="9"/>
        </w:numPr>
        <w:jc w:val="both"/>
      </w:pPr>
      <w:r w:rsidRPr="00E438DC">
        <w:t xml:space="preserve">The control group (HDWL) outperformed the </w:t>
      </w:r>
      <w:r w:rsidR="00DF09BF" w:rsidRPr="00E438DC">
        <w:t>intervention group (HDV) where t</w:t>
      </w:r>
      <w:r w:rsidR="00C02135" w:rsidRPr="00E438DC">
        <w:t>argeted biopsies with</w:t>
      </w:r>
      <w:r w:rsidR="000D276D" w:rsidRPr="00E438DC">
        <w:t xml:space="preserve"> HDWL </w:t>
      </w:r>
      <w:r w:rsidR="00C02135" w:rsidRPr="00E438DC">
        <w:t>alone can detect all the neop</w:t>
      </w:r>
      <w:r w:rsidR="006C4BAD" w:rsidRPr="00E438DC">
        <w:t>lasia in c</w:t>
      </w:r>
      <w:r w:rsidR="00C02135" w:rsidRPr="00E438DC">
        <w:t>olitic bowel</w:t>
      </w:r>
      <w:r w:rsidR="00E10E2C" w:rsidRPr="00E438DC">
        <w:t>.</w:t>
      </w:r>
    </w:p>
    <w:p w14:paraId="36A888FC" w14:textId="77777777" w:rsidR="00145E9B" w:rsidRPr="00E438DC" w:rsidRDefault="00145E9B" w:rsidP="00145E9B">
      <w:pPr>
        <w:jc w:val="both"/>
      </w:pPr>
    </w:p>
    <w:p w14:paraId="7A9BFB7E" w14:textId="1E20E945" w:rsidR="00145E9B" w:rsidRPr="00BE6B14" w:rsidRDefault="000D276D" w:rsidP="00145E9B">
      <w:pPr>
        <w:pStyle w:val="ListParagraph"/>
        <w:numPr>
          <w:ilvl w:val="0"/>
          <w:numId w:val="9"/>
        </w:numPr>
        <w:jc w:val="both"/>
      </w:pPr>
      <w:r>
        <w:t xml:space="preserve">The yield of </w:t>
      </w:r>
      <w:r w:rsidR="00E10E2C">
        <w:t>quadrantic non-targeted</w:t>
      </w:r>
      <w:r>
        <w:t xml:space="preserve"> biopsies in detecting neoplasia is extremely low.</w:t>
      </w:r>
      <w:r w:rsidR="001C3589">
        <w:t xml:space="preserve"> A total of 6751 </w:t>
      </w:r>
      <w:r w:rsidR="00E10E2C">
        <w:t>non-targeted</w:t>
      </w:r>
      <w:r w:rsidR="001C3589">
        <w:t xml:space="preserve"> colonic biopsies detected 1 neoplasia in this study.</w:t>
      </w:r>
    </w:p>
    <w:p w14:paraId="4D0C09B5" w14:textId="77777777" w:rsidR="00145E9B" w:rsidRDefault="00145E9B" w:rsidP="00145E9B">
      <w:pPr>
        <w:pStyle w:val="ListParagraph"/>
        <w:ind w:left="0"/>
        <w:jc w:val="both"/>
      </w:pPr>
    </w:p>
    <w:p w14:paraId="61DD452F" w14:textId="77777777" w:rsidR="00145E9B" w:rsidRDefault="00145E9B" w:rsidP="00145E9B">
      <w:pPr>
        <w:pStyle w:val="ListParagraph"/>
        <w:ind w:left="0"/>
      </w:pPr>
    </w:p>
    <w:p w14:paraId="00B41384" w14:textId="77777777" w:rsidR="00145E9B" w:rsidRDefault="00145E9B" w:rsidP="00145E9B">
      <w:pPr>
        <w:pStyle w:val="ListParagraph"/>
        <w:ind w:left="0"/>
      </w:pPr>
      <w:r>
        <w:t>How might it impact on clinical practice in the foreseeable future?</w:t>
      </w:r>
    </w:p>
    <w:p w14:paraId="175D5099" w14:textId="77777777" w:rsidR="00145E9B" w:rsidRDefault="00145E9B" w:rsidP="00145E9B">
      <w:pPr>
        <w:pStyle w:val="ListParagraph"/>
        <w:ind w:left="0"/>
      </w:pPr>
    </w:p>
    <w:p w14:paraId="71E9C669" w14:textId="77777777" w:rsidR="00A97364" w:rsidRDefault="00C02135" w:rsidP="00EE354D">
      <w:pPr>
        <w:pStyle w:val="ListParagraph"/>
        <w:numPr>
          <w:ilvl w:val="0"/>
          <w:numId w:val="10"/>
        </w:numPr>
        <w:spacing w:line="360" w:lineRule="auto"/>
        <w:ind w:left="284" w:hanging="284"/>
        <w:jc w:val="both"/>
      </w:pPr>
      <w:r>
        <w:t xml:space="preserve">Targeted biopsies with </w:t>
      </w:r>
      <w:r w:rsidR="00DA1D3F">
        <w:t>HDWL</w:t>
      </w:r>
      <w:r w:rsidR="001C3589">
        <w:t xml:space="preserve"> endoscopy systems may be adequate in detecting neoplasia in the colitis surveillance population. </w:t>
      </w:r>
    </w:p>
    <w:p w14:paraId="306DA4C4" w14:textId="77777777" w:rsidR="00A97364" w:rsidRDefault="00A97364" w:rsidP="00990232">
      <w:pPr>
        <w:spacing w:line="360" w:lineRule="auto"/>
        <w:jc w:val="both"/>
      </w:pPr>
    </w:p>
    <w:p w14:paraId="7956C3BF" w14:textId="77777777" w:rsidR="001C3589" w:rsidRDefault="001C3589" w:rsidP="00990232">
      <w:pPr>
        <w:spacing w:line="360" w:lineRule="auto"/>
        <w:jc w:val="both"/>
        <w:rPr>
          <w:b/>
        </w:rPr>
      </w:pPr>
    </w:p>
    <w:p w14:paraId="10A080B5" w14:textId="77777777" w:rsidR="001C3589" w:rsidRDefault="001C3589" w:rsidP="00990232">
      <w:pPr>
        <w:spacing w:line="360" w:lineRule="auto"/>
        <w:jc w:val="both"/>
        <w:rPr>
          <w:b/>
        </w:rPr>
      </w:pPr>
    </w:p>
    <w:p w14:paraId="78765F37" w14:textId="77777777" w:rsidR="001C3589" w:rsidRDefault="001C3589" w:rsidP="00990232">
      <w:pPr>
        <w:spacing w:line="360" w:lineRule="auto"/>
        <w:jc w:val="both"/>
        <w:rPr>
          <w:b/>
        </w:rPr>
      </w:pPr>
    </w:p>
    <w:p w14:paraId="702FBB69" w14:textId="77777777" w:rsidR="001C3589" w:rsidRDefault="001C3589" w:rsidP="00990232">
      <w:pPr>
        <w:spacing w:line="360" w:lineRule="auto"/>
        <w:jc w:val="both"/>
        <w:rPr>
          <w:b/>
        </w:rPr>
      </w:pPr>
    </w:p>
    <w:p w14:paraId="7235A3DA" w14:textId="77777777" w:rsidR="001C3589" w:rsidRDefault="001C3589" w:rsidP="00990232">
      <w:pPr>
        <w:spacing w:line="360" w:lineRule="auto"/>
        <w:jc w:val="both"/>
        <w:rPr>
          <w:b/>
        </w:rPr>
      </w:pPr>
    </w:p>
    <w:p w14:paraId="0EDBD404" w14:textId="77777777" w:rsidR="001C3589" w:rsidRDefault="001C3589" w:rsidP="00990232">
      <w:pPr>
        <w:spacing w:line="360" w:lineRule="auto"/>
        <w:jc w:val="both"/>
        <w:rPr>
          <w:b/>
        </w:rPr>
      </w:pPr>
    </w:p>
    <w:p w14:paraId="22614DA2" w14:textId="77777777" w:rsidR="001C3589" w:rsidRDefault="001C3589" w:rsidP="00990232">
      <w:pPr>
        <w:spacing w:line="360" w:lineRule="auto"/>
        <w:jc w:val="both"/>
        <w:rPr>
          <w:b/>
        </w:rPr>
      </w:pPr>
    </w:p>
    <w:p w14:paraId="09EC11D4" w14:textId="77777777" w:rsidR="001C3589" w:rsidRDefault="001C3589" w:rsidP="00990232">
      <w:pPr>
        <w:spacing w:line="360" w:lineRule="auto"/>
        <w:jc w:val="both"/>
        <w:rPr>
          <w:b/>
        </w:rPr>
      </w:pPr>
    </w:p>
    <w:p w14:paraId="40749A8D" w14:textId="77777777" w:rsidR="00C02135" w:rsidRDefault="00C02135" w:rsidP="00990232">
      <w:pPr>
        <w:spacing w:line="360" w:lineRule="auto"/>
        <w:jc w:val="both"/>
        <w:rPr>
          <w:b/>
        </w:rPr>
      </w:pPr>
    </w:p>
    <w:p w14:paraId="5459F753" w14:textId="77777777" w:rsidR="00C02135" w:rsidRDefault="00C02135" w:rsidP="00990232">
      <w:pPr>
        <w:spacing w:line="360" w:lineRule="auto"/>
        <w:jc w:val="both"/>
        <w:rPr>
          <w:b/>
        </w:rPr>
      </w:pPr>
    </w:p>
    <w:p w14:paraId="1A721EC5" w14:textId="77777777" w:rsidR="00873518" w:rsidRDefault="001C13B0" w:rsidP="00990232">
      <w:pPr>
        <w:spacing w:line="360" w:lineRule="auto"/>
        <w:jc w:val="both"/>
      </w:pPr>
      <w:r>
        <w:rPr>
          <w:b/>
        </w:rPr>
        <w:t>INTRODUCTION</w:t>
      </w:r>
    </w:p>
    <w:p w14:paraId="27132976" w14:textId="77777777" w:rsidR="00873518" w:rsidRDefault="00873518" w:rsidP="00990232">
      <w:pPr>
        <w:spacing w:line="360" w:lineRule="auto"/>
        <w:jc w:val="both"/>
      </w:pPr>
    </w:p>
    <w:p w14:paraId="252A48B2" w14:textId="77777777" w:rsidR="0064543D" w:rsidRPr="009002C0" w:rsidRDefault="00873518" w:rsidP="00990232">
      <w:pPr>
        <w:spacing w:line="360" w:lineRule="auto"/>
        <w:jc w:val="both"/>
      </w:pPr>
      <w:r>
        <w:t>Longstanding colonic inflammatory bowel disease (IBD) increases the risk of developing colorectal cancer (CRC). The estimated prevalence of CRC</w:t>
      </w:r>
      <w:r w:rsidR="005E2615">
        <w:t xml:space="preserve"> in patients with longstanding ulcerative colitis (UC) is </w:t>
      </w:r>
      <w:r w:rsidR="005E2615" w:rsidRPr="005E2615">
        <w:t>3.7% (95% CI 3.2–4.2%)</w:t>
      </w:r>
      <w:r w:rsidR="005E2615">
        <w:t xml:space="preserve">. </w:t>
      </w:r>
      <w:r w:rsidR="000C34EC">
        <w:fldChar w:fldCharType="begin" w:fldLock="1"/>
      </w:r>
      <w:r w:rsidR="00DD4D3C">
        <w:instrText>ADDIN CSL_CITATION {"citationItems":[{"id":"ITEM-1","itemData":{"DOI":"10.1136/GUT.48.4.526","ISSN":"0017-5749","PMID":"11247898","abstract":"BACKGROUND AND AIMS Controversy surrounds the risk of colorectal cancer (CRC) in ulcerative colitis (UC). Many studies have investigated this risk and reported widely varying rates. METHODS A literature search using Medline with the explosion of references identified 194 studies. Of these, 116 met our inclusion criteria from which the number of patients and cancers detected could be extracted. Overall pooled estimates, with 95% confidence intervals (CI), of cancer prevalence and incidence were obtained using a random effects model on either the log odds or log incidence scale, as appropriate. RESULTS The overall prevalence of CRC in any UC patient, based on 116 studies, was estimated to be 3.7% (95% CI 3.2-4.2%). Of the 116 studies, 41 reported colitis duration. From these the overall incidence rate was 3/1000 person years duration (pyd), (95% CI 2/1000 to 4/1000). The overall incidence rate for any child was 6/1000 pyd (95% CI 3/1000 to 13/1000). Of the 41 studies, 19 reported results stratified into 10 year intervals of disease duration. For the first 10 years the incidence rate was 2/1000 pyd (95% CI 1/1000 to 2/1000), for the second decade the incidence rate was estimated to be 7/1000 pyd (95% CI 4/1000 to 12/1000), and in the third decade the incidence rate was 12/1000 pyd (95% CI 7/1000 to 19/1000). These incidence rates corresponded to cumulative probabilities of 2% by 10 years, 8% by 20 years, and 18% by 30 years. The worldwide cancer incidence rates varied geographically, being 5/1000 pyd in the USA, 4/1000 pyd in the UK, and 2/1000 pyd in Scandinavia and other countries. Over time the cancer risk has increased since 1955 but this finding was not significant (p=0.8). CONCLUSIONS Using new meta-analysis techniques we determined the risk of CRC in UC by decade of disease and defined the risk in pancolitics and children. We found a non-significant increase in risk over time and estimated how risk varies with geography.","author":[{"dropping-particle":"","family":"Eaden","given":"J A","non-dropping-particle":"","parse-names":false,"suffix":""},{"dropping-particle":"","family":"Abrams","given":"K R","non-dropping-particle":"","parse-names":false,"suffix":""},{"dropping-particle":"","family":"Mayberry","given":"J F","non-dropping-particle":"","parse-names":false,"suffix":""}],"container-title":"Gut","id":"ITEM-1","issue":"4","issued":{"date-parts":[["2001","4"]]},"page":"526-35","publisher":"BMJ Publishing Group","title":"The risk of colorectal cancer in ulcerative colitis: a meta-analysis.","type":"article-journal","volume":"48"},"uris":["http://www.mendeley.com/documents/?uuid=b59f3f39-abaf-3af2-b8be-41616ba2ddcf"]}],"mendeley":{"formattedCitation":"[1]","plainTextFormattedCitation":"[1]","previouslyFormattedCitation":"[1]"},"properties":{"noteIndex":0},"schema":"https://github.com/citation-style-language/schema/raw/master/csl-citation.json"}</w:instrText>
      </w:r>
      <w:r w:rsidR="000C34EC">
        <w:fldChar w:fldCharType="separate"/>
      </w:r>
      <w:r w:rsidR="000C34EC" w:rsidRPr="000C34EC">
        <w:rPr>
          <w:noProof/>
        </w:rPr>
        <w:t>[1]</w:t>
      </w:r>
      <w:r w:rsidR="000C34EC">
        <w:fldChar w:fldCharType="end"/>
      </w:r>
      <w:r w:rsidR="000C34EC">
        <w:t xml:space="preserve"> </w:t>
      </w:r>
      <w:r w:rsidR="00DD4D3C">
        <w:t>T</w:t>
      </w:r>
      <w:r w:rsidR="000C34EC">
        <w:t xml:space="preserve">he risk of developing CRC </w:t>
      </w:r>
      <w:r w:rsidR="00DD4D3C">
        <w:t xml:space="preserve">is similarly high </w:t>
      </w:r>
      <w:r w:rsidR="000C34EC">
        <w:t>in patients with</w:t>
      </w:r>
      <w:r w:rsidR="00DD4D3C">
        <w:t xml:space="preserve"> longstanding Crohn’s colitis</w:t>
      </w:r>
      <w:r w:rsidR="00364591">
        <w:t xml:space="preserve"> (CC)</w:t>
      </w:r>
      <w:r w:rsidR="00DD4D3C">
        <w:t>.</w:t>
      </w:r>
      <w:r w:rsidR="00DD4D3C">
        <w:fldChar w:fldCharType="begin" w:fldLock="1"/>
      </w:r>
      <w:r w:rsidR="00E92292">
        <w:instrText>ADDIN CSL_CITATION {"citationItems":[{"id":"ITEM-1","itemData":{"ISSN":"0017-5749","PMID":"8200559","abstract":"The colorectal cancer risk in Crohn's disease eliminating all known biases was assessed in a cohort of 281 patients with Crohn's disease who resided in the West Midlands at the time of diagnosis, and were first seen within five years of onset of symptoms between 1945-1975. All patients were 15 years of age or more at onset and were followed up from 12-35 years (total 5213 person years at risk (PYR)). The colorectal cancer risk in the series compared with the risk in the general population was computed by applying sex and age specific PYRs to the date of death or end of the study period 31 December 1991. There were six colonic and two rectal cancers. Six of the eight colorectal cancers were diagnosed 20 or more years after the onset of Crohn's disease. The relative risk (RR) of colorectal cancer for the series as a whole was 3.4 (p &lt; 0.001), with a fivefold excess in the colon, but no significant excess in the rectum. Patients with extensive colitis showed an 18-fold increase in risk (RR = 18.2, p &lt; 0.001), which decreased with increasing age at onset. This study shows that there is a statistical excess risk of developing colorectal cancer in patients who develop their Crohn's disease at a young age of onset (less than 30 years of age).","author":[{"dropping-particle":"","family":"Gillen","given":"C D","non-dropping-particle":"","parse-names":false,"suffix":""},{"dropping-particle":"","family":"Andrews","given":"H A","non-dropping-particle":"","parse-names":false,"suffix":""},{"dropping-particle":"","family":"Prior","given":"P","non-dropping-particle":"","parse-names":false,"suffix":""},{"dropping-particle":"","family":"Allan","given":"R N","non-dropping-particle":"","parse-names":false,"suffix":""}],"container-title":"Gut","id":"ITEM-1","issue":"5","issued":{"date-parts":[["1994","5"]]},"page":"651-5","publisher":"BMJ Publishing Group","title":"Crohn's disease and colorectal cancer.","type":"article-journal","volume":"35"},"uris":["http://www.mendeley.com/documents/?uuid=8e446d68-2a0d-39bf-8b28-c3ef39092257"]}],"mendeley":{"formattedCitation":"[2]","plainTextFormattedCitation":"[2]","previouslyFormattedCitation":"[2]"},"properties":{"noteIndex":0},"schema":"https://github.com/citation-style-language/schema/raw/master/csl-citation.json"}</w:instrText>
      </w:r>
      <w:r w:rsidR="00DD4D3C">
        <w:fldChar w:fldCharType="separate"/>
      </w:r>
      <w:r w:rsidR="00DD4D3C" w:rsidRPr="00DD4D3C">
        <w:rPr>
          <w:noProof/>
        </w:rPr>
        <w:t>[2]</w:t>
      </w:r>
      <w:r w:rsidR="00DD4D3C">
        <w:fldChar w:fldCharType="end"/>
      </w:r>
      <w:r w:rsidR="00DD4D3C">
        <w:t xml:space="preserve"> </w:t>
      </w:r>
      <w:r w:rsidR="009002C0">
        <w:t>The duration of the disease is directly proportional to the rates of developing CRC, with</w:t>
      </w:r>
      <w:r w:rsidR="009002C0" w:rsidRPr="009002C0">
        <w:rPr>
          <w:lang w:val="en-US"/>
        </w:rPr>
        <w:t xml:space="preserve"> a </w:t>
      </w:r>
      <w:r w:rsidR="00F9328B">
        <w:rPr>
          <w:lang w:val="en-US"/>
        </w:rPr>
        <w:t xml:space="preserve">variable </w:t>
      </w:r>
      <w:r w:rsidR="009002C0" w:rsidRPr="009002C0">
        <w:rPr>
          <w:lang w:val="en-US"/>
        </w:rPr>
        <w:t xml:space="preserve">cumulative incidence of </w:t>
      </w:r>
      <w:r w:rsidR="00F9328B">
        <w:rPr>
          <w:lang w:val="en-US"/>
        </w:rPr>
        <w:t>1-</w:t>
      </w:r>
      <w:r w:rsidR="009002C0" w:rsidRPr="009002C0">
        <w:rPr>
          <w:lang w:val="en-US"/>
        </w:rPr>
        <w:t>2% by 10 years,</w:t>
      </w:r>
      <w:r w:rsidR="009002C0">
        <w:rPr>
          <w:lang w:val="en-US"/>
        </w:rPr>
        <w:t xml:space="preserve"> </w:t>
      </w:r>
      <w:r w:rsidR="00F9328B">
        <w:rPr>
          <w:lang w:val="en-US"/>
        </w:rPr>
        <w:t>4-</w:t>
      </w:r>
      <w:r w:rsidR="009002C0" w:rsidRPr="009002C0">
        <w:rPr>
          <w:lang w:val="en-US"/>
        </w:rPr>
        <w:t xml:space="preserve">8% by 20 years and </w:t>
      </w:r>
      <w:r w:rsidR="00F9328B">
        <w:rPr>
          <w:lang w:val="en-US"/>
        </w:rPr>
        <w:t>14-</w:t>
      </w:r>
      <w:r w:rsidR="009002C0" w:rsidRPr="009002C0">
        <w:rPr>
          <w:lang w:val="en-US"/>
        </w:rPr>
        <w:t>18% by 30 years</w:t>
      </w:r>
      <w:r w:rsidR="009002C0">
        <w:rPr>
          <w:lang w:val="en-US"/>
        </w:rPr>
        <w:t>.</w:t>
      </w:r>
      <w:r w:rsidR="009002C0">
        <w:rPr>
          <w:lang w:val="en-US"/>
        </w:rPr>
        <w:fldChar w:fldCharType="begin" w:fldLock="1"/>
      </w:r>
      <w:r w:rsidR="009002C0">
        <w:rPr>
          <w:lang w:val="en-US"/>
        </w:rPr>
        <w:instrText>ADDIN CSL_CITATION {"citationItems":[{"id":"ITEM-1","itemData":{"DOI":"10.1136/GUT.48.4.526","ISSN":"0017-5749","PMID":"11247898","abstract":"BACKGROUND AND AIMS Controversy surrounds the risk of colorectal cancer (CRC) in ulcerative colitis (UC). Many studies have investigated this risk and reported widely varying rates. METHODS A literature search using Medline with the explosion of references identified 194 studies. Of these, 116 met our inclusion criteria from which the number of patients and cancers detected could be extracted. Overall pooled estimates, with 95% confidence intervals (CI), of cancer prevalence and incidence were obtained using a random effects model on either the log odds or log incidence scale, as appropriate. RESULTS The overall prevalence of CRC in any UC patient, based on 116 studies, was estimated to be 3.7% (95% CI 3.2-4.2%). Of the 116 studies, 41 reported colitis duration. From these the overall incidence rate was 3/1000 person years duration (pyd), (95% CI 2/1000 to 4/1000). The overall incidence rate for any child was 6/1000 pyd (95% CI 3/1000 to 13/1000). Of the 41 studies, 19 reported results stratified into 10 year intervals of disease duration. For the first 10 years the incidence rate was 2/1000 pyd (95% CI 1/1000 to 2/1000), for the second decade the incidence rate was estimated to be 7/1000 pyd (95% CI 4/1000 to 12/1000), and in the third decade the incidence rate was 12/1000 pyd (95% CI 7/1000 to 19/1000). These incidence rates corresponded to cumulative probabilities of 2% by 10 years, 8% by 20 years, and 18% by 30 years. The worldwide cancer incidence rates varied geographically, being 5/1000 pyd in the USA, 4/1000 pyd in the UK, and 2/1000 pyd in Scandinavia and other countries. Over time the cancer risk has increased since 1955 but this finding was not significant (p=0.8). CONCLUSIONS Using new meta-analysis techniques we determined the risk of CRC in UC by decade of disease and defined the risk in pancolitics and children. We found a non-significant increase in risk over time and estimated how risk varies with geography.","author":[{"dropping-particle":"","family":"Eaden","given":"J A","non-dropping-particle":"","parse-names":false,"suffix":""},{"dropping-particle":"","family":"Abrams","given":"K R","non-dropping-particle":"","parse-names":false,"suffix":""},{"dropping-particle":"","family":"Mayberry","given":"J F","non-dropping-particle":"","parse-names":false,"suffix":""}],"container-title":"Gut","id":"ITEM-1","issue":"4","issued":{"date-parts":[["2001","4"]]},"page":"526-35","publisher":"BMJ Publishing Group","title":"The risk of colorectal cancer in ulcerative colitis: a meta-analysis.","type":"article-journal","volume":"48"},"uris":["http://www.mendeley.com/documents/?uuid=b59f3f39-abaf-3af2-b8be-41616ba2ddcf"]}],"mendeley":{"formattedCitation":"[1]","plainTextFormattedCitation":"[1]","previouslyFormattedCitation":"[1]"},"properties":{"noteIndex":0},"schema":"https://github.com/citation-style-language/schema/raw/master/csl-citation.json"}</w:instrText>
      </w:r>
      <w:r w:rsidR="009002C0">
        <w:rPr>
          <w:lang w:val="en-US"/>
        </w:rPr>
        <w:fldChar w:fldCharType="separate"/>
      </w:r>
      <w:r w:rsidR="009002C0" w:rsidRPr="009002C0">
        <w:rPr>
          <w:noProof/>
          <w:lang w:val="en-US"/>
        </w:rPr>
        <w:t>[1]</w:t>
      </w:r>
      <w:r w:rsidR="009002C0">
        <w:rPr>
          <w:lang w:val="en-US"/>
        </w:rPr>
        <w:fldChar w:fldCharType="end"/>
      </w:r>
      <w:r w:rsidR="00F9328B">
        <w:rPr>
          <w:lang w:val="en-US"/>
        </w:rPr>
        <w:fldChar w:fldCharType="begin" w:fldLock="1"/>
      </w:r>
      <w:r w:rsidR="00586716">
        <w:rPr>
          <w:lang w:val="en-US"/>
        </w:rPr>
        <w:instrText>ADDIN CSL_CITATION {"citationItems":[{"id":"ITEM-1","itemData":{"DOI":"10.1053/j.gastro.2012.04.054","ISSN":"00165085","PMID":"22609382","abstract":"BACKGROUND &amp; AIMS The relationship between inflammatory bowel disease (IBD) and the incidence and mortality of colorectal adenocarcinoma (CRC) has not been evaluated recently. METHODS We calculated the incidence and standardized incidence and mortality rate ratios of CRC among adult individuals with intact colons using Kaiser Permanente of Northern California's database of members with IBD and general membership data for the period of 1998 to June 2010 (data through 2008 were used to calculate mortality). We also evaluated trends in medication use and rates of cancer detection over time. RESULTS We identified 29 cancers among persons with Crohn's disease (CD) and 53 among persons with ulcerative colitis (UC). Overall, the incidence rates of cancer among individuals with CD, UC, or in the general membership were 75.0, 76.0, and 47.1, respectively, per 100,000 person-years. In the general population, the incidence of CRC was 21% higher in 2007-2010 than in 1998-2001 (P for trend, &lt;.0001), coincident with the growth of CRC screening programs. The incidence of CRC among individuals with CD or UC was 60% higher than in the general population (95% confidence interval [CI] for CD, 20%-200%; 95% CI for UC, 30%-200%) and was stable over time (P for trend was as follows: CD, .98; UC, .40). During 1998-2008, the standardized mortality ratio for CRC in individuals with CD was 2.3 (95% CI, 1.6-3.0) and 2.0 in those with UC (95% CI, 1.3-2.7). Over the study period, anti-tumor necrosis factor agents replaced other therapies for CD and UC; the rate of colonoscopy increased by 33% among patients with CD and decreased by 9% in those with UC. CONCLUSIONS From 1998 to 2010, the incidence of CRC in patients with IBD was 60% higher than in the general population and essentially stable over time.","author":[{"dropping-particle":"","family":"Herrinton","given":"Lisa J.","non-dropping-particle":"","parse-names":false,"suffix":""},{"dropping-particle":"","family":"Liu","given":"Liyan","non-dropping-particle":"","parse-names":false,"suffix":""},{"dropping-particle":"","family":"Levin","given":"Theodore R.","non-dropping-particle":"","parse-names":false,"suffix":""},{"dropping-particle":"","family":"Allison","given":"James E.","non-dropping-particle":"","parse-names":false,"suffix":""},{"dropping-particle":"","family":"Lewis","given":"James D.","non-dropping-particle":"","parse-names":false,"suffix":""},{"dropping-particle":"","family":"Velayos","given":"Fernando","non-dropping-particle":"","parse-names":false,"suffix":""}],"container-title":"Gastroenterology","id":"ITEM-1","issue":"2","issued":{"date-parts":[["2012","8"]]},"page":"382-389","title":"Incidence and Mortality of Colorectal Adenocarcinoma in Persons With Inflammatory Bowel Disease From 1998 to 2010","type":"article-journal","volume":"143"},"uris":["http://www.mendeley.com/documents/?uuid=23e21785-5bf0-3060-bb7a-ea3cb6243798"]}],"mendeley":{"formattedCitation":"[3]","plainTextFormattedCitation":"[3]","previouslyFormattedCitation":"[3]"},"properties":{"noteIndex":0},"schema":"https://github.com/citation-style-language/schema/raw/master/csl-citation.json"}</w:instrText>
      </w:r>
      <w:r w:rsidR="00F9328B">
        <w:rPr>
          <w:lang w:val="en-US"/>
        </w:rPr>
        <w:fldChar w:fldCharType="separate"/>
      </w:r>
      <w:r w:rsidR="00F9328B" w:rsidRPr="00F9328B">
        <w:rPr>
          <w:noProof/>
          <w:lang w:val="en-US"/>
        </w:rPr>
        <w:t>[3]</w:t>
      </w:r>
      <w:r w:rsidR="00F9328B">
        <w:rPr>
          <w:lang w:val="en-US"/>
        </w:rPr>
        <w:fldChar w:fldCharType="end"/>
      </w:r>
      <w:r w:rsidR="009002C0">
        <w:rPr>
          <w:lang w:val="en-US"/>
        </w:rPr>
        <w:t xml:space="preserve"> </w:t>
      </w:r>
      <w:r w:rsidR="00DD4D3C">
        <w:t xml:space="preserve">Therefore, national and international guidelines recommend patients with colonic IBD of 8 to 10 years duration to be enrolled in an endoscopic surveillance programme. </w:t>
      </w:r>
      <w:r w:rsidR="00E92292">
        <w:fldChar w:fldCharType="begin" w:fldLock="1"/>
      </w:r>
      <w:r w:rsidR="00586716">
        <w:instrText>ADDIN CSL_CITATION {"citationItems":[{"id":"ITEM-1","itemData":{"DOI":"10.1136/gut.2009.179804","ISSN":"0017-5749","PMID":"20427401","abstract":"The British Society of Gastroenterology (BSG) and the Association of Coloproctology for Great Britain and Ireland (ACPGBI) commissioned this update of the 2002 guidance. The aim, as before, is to provide guidance on the appropriateness, method and frequency of screening for people at moderate and high risk from colorectal cancer. This guidance provides some new recommendations for those with inflammatory bowel disease and for those at moderate risk resulting from a family history of colorectal cancer. In other areas guidance is relatively unchanged, but the recent literature was reviewed and is included where appropriate.","author":[{"dropping-particle":"","family":"Cairns","given":"S. R.","non-dropping-particle":"","parse-names":false,"suffix":""},{"dropping-particle":"","family":"Scholefield","given":"J. H.","non-dropping-particle":"","parse-names":false,"suffix":""},{"dropping-particle":"","family":"Steele","given":"R. J.","non-dropping-particle":"","parse-names":false,"suffix":""},{"dropping-particle":"","family":"Dunlop","given":"M. G.","non-dropping-particle":"","parse-names":false,"suffix":""},{"dropping-particle":"","family":"Thomas","given":"H. J. W.","non-dropping-particle":"","parse-names":false,"suffix":""},{"dropping-particle":"","family":"Evans","given":"G. D.","non-dropping-particle":"","parse-names":false,"suffix":""},{"dropping-particle":"","family":"Eaden","given":"J. A.","non-dropping-particle":"","parse-names":false,"suffix":""},{"dropping-particle":"","family":"Rutter","given":"M. D.","non-dropping-particle":"","parse-names":false,"suffix":""},{"dropping-particle":"","family":"Atkin","given":"W. P.","non-dropping-particle":"","parse-names":false,"suffix":""},{"dropping-particle":"","family":"Saunders","given":"B. P.","non-dropping-particle":"","parse-names":false,"suffix":""},{"dropping-particle":"","family":"Lucassen","given":"A.","non-dropping-particle":"","parse-names":false,"suffix":""},{"dropping-particle":"","family":"Jenkins","given":"P.","non-dropping-particle":"","parse-names":false,"suffix":""},{"dropping-particle":"","family":"Fairclough","given":"P. D.","non-dropping-particle":"","parse-names":false,"suffix":""},{"dropping-particle":"","family":"Woodhouse","given":"C. R. J.","non-dropping-particle":"","parse-names":false,"suffix":""},{"dropping-particle":"","family":"British Society of Gastroenterology","given":"","non-dropping-particle":"","parse-names":false,"suffix":""},{"dropping-particle":"","family":"Association of Coloproctology for Great Britain and Ireland","given":"","non-dropping-particle":"","parse-names":false,"suffix":""}],"container-title":"Gut","id":"ITEM-1","issue":"5","issued":{"date-parts":[["2010","5","1"]]},"page":"666-689","title":"Guidelines for colorectal cancer screening and surveillance in moderate and high risk groups (update from 2002)","type":"article-journal","volume":"59"},"uris":["http://www.mendeley.com/documents/?uuid=e89ee9cc-5217-3aca-9524-a8ff6bdd4d1c"]}],"mendeley":{"formattedCitation":"[4]","plainTextFormattedCitation":"[4]","previouslyFormattedCitation":"[4]"},"properties":{"noteIndex":0},"schema":"https://github.com/citation-style-language/schema/raw/master/csl-citation.json"}</w:instrText>
      </w:r>
      <w:r w:rsidR="00E92292">
        <w:fldChar w:fldCharType="separate"/>
      </w:r>
      <w:r w:rsidR="00F9328B" w:rsidRPr="00F9328B">
        <w:rPr>
          <w:noProof/>
        </w:rPr>
        <w:t>[4]</w:t>
      </w:r>
      <w:r w:rsidR="00E92292">
        <w:fldChar w:fldCharType="end"/>
      </w:r>
      <w:r w:rsidR="00586716">
        <w:fldChar w:fldCharType="begin" w:fldLock="1"/>
      </w:r>
      <w:r w:rsidR="00C1119F">
        <w:instrText>ADDIN CSL_CITATION {"citationItems":[{"id":"ITEM-1","itemData":{"DOI":"10.1093/ecco-jcc/jjy113","ISSN":"1873-9946","PMID":"30137275","author":[{"dropping-particle":"","family":"Maaser","given":"Christian","non-dropping-particle":"","parse-names":false,"suffix":""},{"dropping-particle":"","family":"Sturm","given":"Andreas","non-dropping-particle":"","parse-names":false,"suffix":""},{"dropping-particle":"","family":"Vavricka","given":"Stephan R","non-dropping-particle":"","parse-names":false,"suffix":""},{"dropping-particle":"","family":"Kucharzik","given":"Torsten","non-dropping-particle":"","parse-names":false,"suffix":""},{"dropping-particle":"","family":"Fiorino","given":"Gionata","non-dropping-particle":"","parse-names":false,"suffix":""},{"dropping-particle":"","family":"Annese","given":"Vito","non-dropping-particle":"","parse-names":false,"suffix":""},{"dropping-particle":"","family":"Calabrese","given":"Emma","non-dropping-particle":"","parse-names":false,"suffix":""},{"dropping-particle":"","family":"Baumgart","given":"Daniel C","non-dropping-particle":"","parse-names":false,"suffix":""},{"dropping-particle":"","family":"Bettenworth","given":"Dominik","non-dropping-particle":"","parse-names":false,"suffix":""},{"dropping-particle":"","family":"Borralho Nunes","given":"Paula","non-dropping-particle":"","parse-names":false,"suffix":""},{"dropping-particle":"","family":"Burisch","given":"Johan","non-dropping-particle":"","parse-names":false,"suffix":""},{"dropping-particle":"","family":"Castiglione","given":"Fabiana","non-dropping-particle":"","parse-names":false,"suffix":""},{"dropping-particle":"","family":"Eliakim","given":"Rami","non-dropping-particle":"","parse-names":false,"suffix":""},{"dropping-particle":"","family":"Ellul","given":"Pierre","non-dropping-particle":"","parse-names":false,"suffix":""},{"dropping-particle":"","family":"González-Lama","given":"Yago","non-dropping-particle":"","parse-names":false,"suffix":""},{"dropping-particle":"","family":"Gordon","given":"Hannah","non-dropping-particle":"","parse-names":false,"suffix":""},{"dropping-particle":"","family":"Halligan","given":"Steve","non-dropping-particle":"","parse-names":false,"suffix":""},{"dropping-particle":"","family":"Katsanos","given":"Konstantinos","non-dropping-particle":"","parse-names":false,"suffix":""},{"dropping-particle":"","family":"Kopylov","given":"Uri","non-dropping-particle":"","parse-names":false,"suffix":""},{"dropping-particle":"","family":"Kotze","given":"Paulo G","non-dropping-particle":"","parse-names":false,"suffix":""},{"dropping-particle":"","family":"Krustiņš","given":"Eduards","non-dropping-particle":"","parse-names":false,"suffix":""},{"dropping-particle":"","family":"Laghi","given":"Andrea","non-dropping-particle":"","parse-names":false,"suffix":""},{"dropping-particle":"","family":"Limdi","given":"Jimmy K","non-dropping-particle":"","parse-names":false,"suffix":""},{"dropping-particle":"","family":"Rieder","given":"Florian","non-dropping-particle":"","parse-names":false,"suffix":""},{"dropping-particle":"","family":"Rimola","given":"Jordi","non-dropping-particle":"","parse-names":false,"suffix":""},{"dropping-particle":"","family":"Taylor","given":"Stuart A","non-dropping-particle":"","parse-names":false,"suffix":""},{"dropping-particle":"","family":"Tolan","given":"Damian","non-dropping-particle":"","parse-names":false,"suffix":""},{"dropping-particle":"","family":"Rheenen","given":"Patrick","non-dropping-particle":"van","parse-names":false,"suffix":""},{"dropping-particle":"","family":"Verstockt","given":"Bram","non-dropping-particle":"","parse-names":false,"suffix":""},{"dropping-particle":"","family":"Stoker","given":"Jaap","non-dropping-particle":"","parse-names":false,"suffix":""},{"dropping-particle":"","family":"European Crohn’s and Colitis Organisation [ECCO] and the European Society of Gastrointestinal and Abdominal Radiology [ESGAR]","given":"","non-dropping-particle":"","parse-names":false,"suffix":""}],"container-title":"Journal of Crohn's and Colitis","id":"ITEM-1","issue":"2","issued":{"date-parts":[["2019","2","1"]]},"page":"144-164K","title":"ECCO-ESGAR Guideline for Diagnostic Assessment in IBD Part 1: Initial diagnosis, monitoring of known IBD, detection of complications","type":"article-journal","volume":"13"},"uris":["http://www.mendeley.com/documents/?uuid=09a44182-d3b6-35e4-b503-019fc30ffdfe"]}],"mendeley":{"formattedCitation":"[5]","plainTextFormattedCitation":"[5]","previouslyFormattedCitation":"[5]"},"properties":{"noteIndex":0},"schema":"https://github.com/citation-style-language/schema/raw/master/csl-citation.json"}</w:instrText>
      </w:r>
      <w:r w:rsidR="00586716">
        <w:fldChar w:fldCharType="separate"/>
      </w:r>
      <w:r w:rsidR="00F47528" w:rsidRPr="00F47528">
        <w:rPr>
          <w:noProof/>
        </w:rPr>
        <w:t>[5]</w:t>
      </w:r>
      <w:r w:rsidR="00586716">
        <w:fldChar w:fldCharType="end"/>
      </w:r>
    </w:p>
    <w:p w14:paraId="62338A50" w14:textId="77777777" w:rsidR="0064543D" w:rsidRDefault="0064543D" w:rsidP="00990232">
      <w:pPr>
        <w:spacing w:line="360" w:lineRule="auto"/>
        <w:jc w:val="both"/>
      </w:pPr>
    </w:p>
    <w:p w14:paraId="6E4DFAFF" w14:textId="77777777" w:rsidR="00BA616C" w:rsidRPr="005E2615" w:rsidRDefault="0064543D" w:rsidP="00990232">
      <w:pPr>
        <w:spacing w:line="360" w:lineRule="auto"/>
        <w:jc w:val="both"/>
      </w:pPr>
      <w:r>
        <w:t xml:space="preserve">These guidelines recommend surveillance colonoscopy using chromoendoscopy with targeted biopsy as standard practice. </w:t>
      </w:r>
      <w:r w:rsidR="00CE7541">
        <w:t xml:space="preserve">Several studies have demonstrated up to 3-fold increase in neoplasia detection (per patient basis) </w:t>
      </w:r>
      <w:r w:rsidR="004204A6">
        <w:t>using</w:t>
      </w:r>
      <w:r w:rsidR="00CE7541">
        <w:t xml:space="preserve"> chromoendoscopy </w:t>
      </w:r>
      <w:r w:rsidR="004204A6">
        <w:t>when</w:t>
      </w:r>
      <w:r w:rsidR="00CE7541">
        <w:t xml:space="preserve"> compared with standard definition white light endoscopy.</w:t>
      </w:r>
      <w:r w:rsidR="0036669E">
        <w:fldChar w:fldCharType="begin" w:fldLock="1"/>
      </w:r>
      <w:r w:rsidR="00C1119F">
        <w:instrText>ADDIN CSL_CITATION {"citationItems":[{"id":"ITEM-1","itemData":{"DOI":"10.1136/GUT.2003.016386","ISSN":"0017-5749","PMID":"14724160","abstract":"BACKGROUND AND AIMS Colonoscopic surveillance for cancer in longstanding extensive ulcerative colitis relies heavily on non-targeted mucosal biopsies. Chromoendoscopy can aid detection of subtle mucosal abnormalities. We hypothesised that routine pancolonic indigo carmine dye spraying would improve the macroscopic detection of dysplasia and reduce the dependence on non-targeted biopsies. PATIENTS AND METHODS One hundred patients with longstanding extensive ulcerative colitis attending for colonoscopic surveillance underwent \"back to back\" colonoscopies. During the first examination, visible abnormalities were biopsied, and quadrantic non-targeted biopsies were taken every 10 cm. Pancolonic indigo carmine (0.1%) was used during the second colonoscopic examination, and any additional visible abnormalities were biopsied. RESULTS Median extubation times for the first and second colonoscopies were 11 and 10 minutes, respectively. The non-targeted biopsy protocol detected no dysplasia in 2904 biopsies. Forty three mucosal abnormalities (20 patients) were detected during the pre-dye spray colonoscopy of which two (two patients) were dysplastic: both were considered to be dysplasia associated lesions/masses. A total of 114 additional abnormalities (55 patients) were detected following dye spraying, of which seven (five patients) were dysplastic: all were considered to be adenomas. There was a strong trend towards statistically increased dysplasia detection following dye spraying (p = 0.06, paired exact test). The targeted biopsy protocol detected dysplasia in significantly more patients than the non-targeted protocol (p = 0.02, paired exact test). CONCLUSIONS No dysplasia was detected in 2904 non-targeted biopsies. In comparison, a targeted biopsy protocol with pancolonic chromoendoscopy required fewer biopsies (157) yet detected nine dysplastic lesions, seven of which were only visible after indigo carmine application. Careful mucosal examination aided by pancolonic chromoendoscopy and targeted biopsies of suspicious lesions may be a more effective surveillance methodology than taking multiple non-targeted biopsies.","author":[{"dropping-particle":"","family":"Rutter","given":"M D","non-dropping-particle":"","parse-names":false,"suffix":""},{"dropping-particle":"","family":"Saunders","given":"B P","non-dropping-particle":"","parse-names":false,"suffix":""},{"dropping-particle":"","family":"Schofield","given":"G","non-dropping-particle":"","parse-names":false,"suffix":""},{"dropping-particle":"","family":"Forbes","given":"A","non-dropping-particle":"","parse-names":false,"suffix":""},{"dropping-particle":"","family":"Price","given":"A B","non-dropping-particle":"","parse-names":false,"suffix":""},{"dropping-particle":"","family":"Talbot","given":"I C","non-dropping-particle":"","parse-names":false,"suffix":""}],"container-title":"Gut","id":"ITEM-1","issue":"2","issued":{"date-parts":[["2004","2"]]},"page":"256-60","publisher":"BMJ Publishing Group","title":"Pancolonic indigo carmine dye spraying for the detection of dysplasia in ulcerative colitis.","type":"article-journal","volume":"53"},"uris":["http://www.mendeley.com/documents/?uuid=387e7586-629b-34fd-91d7-b4703d471df5"]},{"id":"ITEM-2","itemData":{"DOI":"10.1111/j.1572-0241.2008.01934.x","ISSN":"00029270","PMID":"18844620","abstract":"OBJECTIVES Patients with extensive, longstanding chronic ulcerative or Crohn's colitis face greater risks of developing colorectal cancer. Current standard surveillance relies on detecting dysplasia using random sampling at colonoscopy but may fail to detect dysplasia in many patients. Dye spraying techniques have been reported to aid in detecting otherwise subtle mucosal abnormalities in the setting of colitis. We prospectively compared dye-spray technique using methylene blue to standard colonoscopic surveillance in detecting dysplasia. METHODS One hundred fifteen patients were referred to the Chromoendoscopy Study Group and prospectively screened for the study. One hundred two (64 M, 38 F) (79 UC 23 CC) patients meeting the inclusion criteria were enrolled. Following a standard bowel preparation, each patient was examined using standard office endoscopic equipment by three methods: (a) standard surveillance colonoscopy with four random biopsies every 10 cm (for a total of at least 32 samples); (b) a targeted biopsy protocol; and finally (c) methylene blue (0.01%) dye spray was segmentally applied throughout the colon and any pit-pattern abnormality or lesion rendered visible by the dye spray was targeted and biopsied. Each patient had a single examination, which included two passes of the colonoscope. Specimens were reviewed in a blinded fashion by a single gastrointestinal pathologist. The three methods were then compared with each patient serving as his or her own control. RESULTS Targeted biopsies with dye spray revealed significantly more dysplasia (16 patients with low grade and 1 patient with high grade) than random biopsies (3 patients with low-grade dysplasia) (P= 0.001) and more than targeted nondye spray (8 patients with low-grade and 1 patient with high-grade dysplasia) (P= 0.057). Targeted biopsies with and without dye spray detected dysplasia in 20 patients compared with 3 using Method (a) (P= 0.0002, two-tailed exact McNemar's Test). There were no adverse events. CONCLUSIONS Colonoscopic surveillance of chronic colitis patients using methylene blue dye-spray targeted biopsies results in improved dysplasia yield compared to conventional random and targeted biopsy methods. Accordingly, this technique warrants incorporation into clinical practice in this setting and consideration as a standard of care for these patients. The value of multiple random biopsies as a surveillance technique should be revisited.","author":[{"dropping-particle":"","family":"Marion","given":"James F.","non-dropping-particle":"","parse-names":false,"suffix":""},{"dropping-particle":"","family":"Waye","given":"Jerome D.","non-dropping-particle":"","parse-names":false,"suffix":""},{"dropping-particle":"","family":"Present","given":"Daniel H.","non-dropping-particle":"","parse-names":false,"suffix":""},{"dropping-particle":"","family":"Israel","given":"Yuriy","non-dropping-particle":"","parse-names":false,"suffix":""},{"dropping-particle":"","family":"Bodian","given":"Carol","non-dropping-particle":"","parse-names":false,"suffix":""},{"dropping-particle":"","family":"Harpaz","given":"Noam","non-dropping-particle":"","parse-names":false,"suffix":""},{"dropping-particle":"","family":"Chapman","given":"Mark","non-dropping-particle":"","parse-names":false,"suffix":""},{"dropping-particle":"","family":"Itzkowitz","given":"Steven","non-dropping-particle":"","parse-names":false,"suffix":""},{"dropping-particle":"","family":"Steinlauf","given":"Adam F.","non-dropping-particle":"","parse-names":false,"suffix":""},{"dropping-particle":"","family":"Abreu","given":"Maria T.","non-dropping-particle":"","parse-names":false,"suffix":""},{"dropping-particle":"","family":"Ullman","given":"Thomas A.","non-dropping-particle":"","parse-names":false,"suffix":""},{"dropping-particle":"","family":"Aisenberg","given":"James","non-dropping-particle":"","parse-names":false,"suffix":""},{"dropping-particle":"","family":"Mayer","given":"Lloyd","non-dropping-particle":"","parse-names":false,"suffix":""},{"dropping-particle":"","family":"Chromoendoscopy Study Group at Mount Sinai School of Medicine","given":"","non-dropping-particle":"","parse-names":false,"suffix":""}],"container-title":"The American Journal of Gastroenterology","id":"ITEM-2","issue":"9","issued":{"date-parts":[["2008","9"]]},"page":"2342-2349","title":"Chromoendoscopy-Targeted Biopsies Are Superior to Standard Colonoscopic Surveillance for Detecting Dysplasia in Inflammatory Bowel Disease Patients: A Prospective Endoscopic Trial","type":"article-journal","volume":"103"},"uris":["http://www.mendeley.com/documents/?uuid=7acfd655-b158-33a9-8b2f-dc271fd9da34"]},{"id":"ITEM-3","itemData":{"DOI":"10.1053/gast.2003.50146","ISSN":"00165085","PMID":"12671882","abstract":"BACKGROUND &amp; AIMS Timely diagnosis of intraepithelial neoplasias (IN) and colitis-associated colon carcinomas (CRC) is crucially important for the treatment of ulcerative colitis (UC). We performed a randomized, controlled trial to test whether chromoendoscopy (CE) might facilitate early detection of IN and CRC in UC. METHODS A total of 263 patients with long-standing UC (&gt;or=8 years) were screened for potential inclusion in the study, 165 of whom were randomized at a 1:1 ratio to undergo conventional colonoscopy or colonoscopy with CE using 0.1% methylene blue. Five mucosal biopsy specimens were taken every 10 cm between the rectum and cecum. Circumscript lesions in the colon were evaluated according to a modified pit pattern classification. RESULTS In the CE group, there was a significantly better correlation between the endoscopic assessment of degree (P = 0.0002) and extent (89% vs. 52%; P &lt; 0.0001) of colonic inflammation and the histopathologic findings compared with the conventional colonoscopy group. More targeted biopsies were possible, and significantly more IN were detected in the CE group (32 vs. 10; P = 0.003). Using the modified pit pattern classification, both the sensitivity and specificity for differentiation between non-neoplastic and neoplastic lesions were 93%. CONCLUSIONS Based on our prospective randomized trial, CE permits more accurate diagnosis of the extent and severity of the inflammatory activity in UC compared with conventional colonoscopy. In addition, CE with methylene blue is a novel tool for the early detection of IN and CRC in patients with UC. These findings have important implications for medical and surgical interventions.","author":[{"dropping-particle":"","family":"Kiesslich","given":"Ralf","non-dropping-particle":"","parse-names":false,"suffix":""},{"dropping-particle":"","family":"Fritsch","given":"Johannes","non-dropping-particle":"","parse-names":false,"suffix":""},{"dropping-particle":"","family":"Holtmann","given":"Martin","non-dropping-particle":"","parse-names":false,"suffix":""},{"dropping-particle":"","family":"Koehler","given":"Heinz H.","non-dropping-particle":"","parse-names":false,"suffix":""},{"dropping-particle":"","family":"Stolte","given":"Manfred","non-dropping-particle":"","parse-names":false,"suffix":""},{"dropping-particle":"","family":"Kanzler","given":"Stephan","non-dropping-particle":"","parse-names":false,"suffix":""},{"dropping-particle":"","family":"Nafe","given":"Bernhard","non-dropping-particle":"","parse-names":false,"suffix":""},{"dropping-particle":"","family":"Jung","given":"Michael","non-dropping-particle":"","parse-names":false,"suffix":""},{"dropping-particle":"","family":"Galle","given":"Peter R.","non-dropping-particle":"","parse-names":false,"suffix":""},{"dropping-particle":"","family":"Neurath","given":"Markus F.","non-dropping-particle":"","parse-names":false,"suffix":""}],"container-title":"Gastroenterology","id":"ITEM-3","issue":"4","issued":{"date-parts":[["2003","4"]]},"page":"880-888","title":"Methylene blue-aided chromoendoscopy for the detection of intraepithelial neoplasia and colon cancer in ulcerative colitis","type":"article-journal","volume":"124"},"uris":["http://www.mendeley.com/documents/?uuid=a184b051-34d9-375d-8e2d-ba75527bf34b"]},{"id":"ITEM-4","itemData":{"DOI":"10.1053/j.gastro.2007.01.048","ISSN":"00165085","PMID":"17383417","abstract":"BACKGROUND AND AIMS Because of the large number of biopsy specimens, surveillance colonoscopy in ulcerative colitis (UC) is currently time consuming and significant flat lesions still may be missed. In this study we assessed the value of combined chromoscopy and endomicroscopy for the diagnosis of intraepithelial neoplasias in a randomized controlled trial. METHODS A total of 161 patients with long-term UC in clinical remission were randomized at a 1:1 ratio to undergo conventional colonoscopy or chromoscopy with endomicroscopy. Eight patients were excluded because of insufficient bowel preparation. In the conventional colonoscopic group (n = 73), random biopsy examinations and targeted biopsy examinations were performed. In the endomicroscopy group (n = 80), circumscribed mucosal lesions were identified by chromoscopy and evaluated for targeted biopsy examination by endomicroscopy. The primary outcome analysis was based on the detection of neoplasias. RESULTS By using chromoscopy with endomicroscopy, 4.75-fold more neoplasias could be detected (P = .005) than with conventional colonoscopy, although 50% fewer biopsy specimens (P = .008) were required. If only circumscribed lesions would have been biopsied in the first group, the total number of biopsy specimens could have been reduced by more than 90%. A total of 5580 confocal endomicroscopic images from 134 circumscribed lesions were compared with histologic results. The presence of neoplastic changes could be predicted by endomicroscopy with high accuracy (sensitivity, 94.7%; specificity, 98.3%; accuracy, 97.8%). CONCLUSIONS Endomicroscopy based on in vivo histology can determine if UC lesions identified by chromoscopy should undergo biopsy examination, thereby increasing the diagnostic yield and reducing the need for biopsy examinations. Thus, chromoscopy-guided endomicroscopy may lead to significant improvements in the clinical management of UC.","author":[{"dropping-particle":"","family":"Kiesslich","given":"Ralf","non-dropping-particle":"","parse-names":false,"suffix":""},{"dropping-particle":"","family":"Goetz","given":"Martin","non-dropping-particle":"","parse-names":false,"suffix":""},{"dropping-particle":"","family":"Lammersdorf","given":"Katharina","non-dropping-particle":"","parse-names":false,"suffix":""},{"dropping-particle":"","family":"Schneider","given":"Constantin","non-dropping-particle":"","parse-names":false,"suffix":""},{"dropping-particle":"","family":"Burg","given":"Juergen","non-dropping-particle":"","parse-names":false,"suffix":""},{"dropping-particle":"","family":"Stolte","given":"Manfred","non-dropping-particle":"","parse-names":false,"suffix":""},{"dropping-particle":"","family":"Vieth","given":"Michael","non-dropping-particle":"","parse-names":false,"suffix":""},{"dropping-particle":"","family":"Nafe","given":"Bernhard","non-dropping-particle":"","parse-names":false,"suffix":""},{"dropping-particle":"","family":"Galle","given":"Peter R.","non-dropping-particle":"","parse-names":false,"suffix":""},{"dropping-particle":"","family":"Neurath","given":"Markus F.","non-dropping-particle":"","parse-names":false,"suffix":""}],"container-title":"Gastroenterology","id":"ITEM-4","issue":"3","issued":{"date-parts":[["2007","3"]]},"page":"874-882","title":"Chromoscopy-Guided Endomicroscopy Increases the Diagnostic Yield of Intraepithelial Neoplasia in Ulcerative Colitis","type":"article-journal","volume":"132"},"uris":["http://www.mendeley.com/documents/?uuid=dfba6cc5-4122-3c18-8e7d-339f2e18635c"]}],"mendeley":{"formattedCitation":"[6–9]","plainTextFormattedCitation":"[6–9]","previouslyFormattedCitation":"[6–9]"},"properties":{"noteIndex":0},"schema":"https://github.com/citation-style-language/schema/raw/master/csl-citation.json"}</w:instrText>
      </w:r>
      <w:r w:rsidR="0036669E">
        <w:fldChar w:fldCharType="separate"/>
      </w:r>
      <w:r w:rsidR="00F47528" w:rsidRPr="00F47528">
        <w:rPr>
          <w:noProof/>
        </w:rPr>
        <w:t>[6–9]</w:t>
      </w:r>
      <w:r w:rsidR="0036669E">
        <w:fldChar w:fldCharType="end"/>
      </w:r>
      <w:r w:rsidR="00CE7541">
        <w:t xml:space="preserve"> Despite the high</w:t>
      </w:r>
      <w:r w:rsidR="004204A6">
        <w:t>er</w:t>
      </w:r>
      <w:r w:rsidR="00CE7541">
        <w:t xml:space="preserve"> neoplasia yield by chromoendoscopy, the t</w:t>
      </w:r>
      <w:r w:rsidR="0036669E">
        <w:t>echnique has not been widely ado</w:t>
      </w:r>
      <w:r w:rsidR="00CE7541">
        <w:t>pted by endoscopists. This is partly due to the perceived additional time taken to carry out chromoendoscopy,</w:t>
      </w:r>
      <w:r w:rsidR="00BA616C">
        <w:t xml:space="preserve"> </w:t>
      </w:r>
      <w:r w:rsidR="00CE7541">
        <w:t xml:space="preserve">lack of validated </w:t>
      </w:r>
      <w:r w:rsidR="005D0A36">
        <w:t>standards</w:t>
      </w:r>
      <w:r w:rsidR="004204A6">
        <w:t xml:space="preserve"> and training</w:t>
      </w:r>
      <w:r w:rsidR="005D0A36">
        <w:t xml:space="preserve"> o</w:t>
      </w:r>
      <w:r w:rsidR="00BA616C">
        <w:t>n the chromoendoscopy technique and inability to use the dyes in the presence of poor bowel prep</w:t>
      </w:r>
      <w:r w:rsidR="007A5C98">
        <w:t>aration</w:t>
      </w:r>
      <w:r w:rsidR="00BA616C">
        <w:t>.</w:t>
      </w:r>
      <w:r w:rsidR="00785103">
        <w:t xml:space="preserve"> </w:t>
      </w:r>
      <w:r w:rsidR="00F47528">
        <w:fldChar w:fldCharType="begin" w:fldLock="1"/>
      </w:r>
      <w:r w:rsidR="00C1119F">
        <w:instrText>ADDIN CSL_CITATION {"citationItems":[{"id":"ITEM-1","itemData":{"DOI":"10.1016/j.gie.2017.07.045","ISSN":"1097-6779","PMID":"28818507","abstract":"BACKGROUND AND AIMS Varying recommendations regarding the detection and management of dysplasia can lead to uncertainty and may impede the uptake of strategies that could improve surveillance in patients with inflammatory bowel disease (IBD). An educational event was held to assist in disseminating the recently published Surveillance for Colorectal Endoscopic Neoplasia Detection and Management in Inflammatory Bowel Disease Patients: International Consensus Recommendations (SCENIC). METHODS Specialists in IBD and endoscopy led the Optimizing Quality of Endoscopy in IBD course. The American Society for Gastrointestinal Endoscopy (ASGE) organized the course, and the Crohn's and Colitis Foundation of America (CCFA) provided endorsement. One was held in March 2015 at the ASGE Institute for Training and Technology in Chicago, Illinois, and the second in September 2016 preceding the ASGE Endofest in Chandler, Arizona. The program included interactive case-based discussions and didactic presentations on topics including the rationale and current approach of surveillance in IBD; endoscopic characterization and nomenclature of active and quiescent disease; detection of dysplasia during IBD surveillance; role of image-enhanced endoscopy in IBD surveillance, with a focus on chromoendoscopy technique; and management of dysplasia in IBD. Participants were surveyed before and after the course to assess their perspectives and practice. RESULTS Eighteen presenters or panel members and approximately 92 IBD and endoscopist physician leaders attended the meeting. Most attendees were aged 30 to 49 years (88.1%), had been in practice less than 10 years (89.7%), were from academic medical centers (90.7%), and spent &gt;50% of their time caring for patients with IBD (59.7%). Recommended quality improvements for endoscopy in IBD included the use of endoscopic scoring systems to describe disease activity, the use of a modified Paris classification to characterize visible dysplastic lesions (polypoid, nonpolypoid with description of presence of ulcer and distinct or indistinct borders), the use of chromoendoscopy for dysplasia detection, and the endoscopic removal of visible dysplastic lesions. In the follow-up survey, participants were asked to indicate whether they had changed their practice as a result of attending the course. Ninety-three percent (93%) indicated they had changed their practice. For dysplasia detection, the use of chromoendoscopy increased: 51.7% of respondents r…","author":[{"dropping-particle":"","family":"Kaltenbach","given":"Tonya R","non-dropping-particle":"","parse-names":false,"suffix":""},{"dropping-particle":"","family":"Soetikno","given":"Roy M","non-dropping-particle":"","parse-names":false,"suffix":""},{"dropping-particle":"","family":"DeVivo","given":"Rebecca","non-dropping-particle":"","parse-names":false,"suffix":""},{"dropping-particle":"","family":"Laine","given":"Loren A","non-dropping-particle":"","parse-names":false,"suffix":""},{"dropping-particle":"","family":"Barkun","given":"Alan","non-dropping-particle":"","parse-names":false,"suffix":""},{"dropping-particle":"","family":"McQuaid","given":"Kenneth R","non-dropping-particle":"","parse-names":false,"suffix":""},{"dropping-particle":"","family":"Optimizing Quality of Endoscopy in IBD Group","given":"Adam","non-dropping-particle":"","parse-names":false,"suffix":""},{"dropping-particle":"","family":"Chiorean","given":"Michael","non-dropping-particle":"","parse-names":false,"suffix":""},{"dropping-particle":"","family":"East","given":"James E.","non-dropping-particle":"","parse-names":false,"suffix":""},{"dropping-particle":"","family":"Farraye","given":"Francis A.","non-dropping-particle":"","parse-names":false,"suffix":""},{"dropping-particle":"","family":"Leighton","given":"Jonathan A.","non-dropping-particle":"","parse-names":false,"suffix":""},{"dropping-particle":"","family":"Levesque","given":"Barrett G.","non-dropping-particle":"","parse-names":false,"suffix":""},{"dropping-particle":"","family":"Lichtenstein","given":"Gary R.","non-dropping-particle":"","parse-names":false,"suffix":""},{"dropping-particle":"","family":"Marion","given":"James F.","non-dropping-particle":"","parse-names":false,"suffix":""},{"dropping-particle":"","family":"Matsumoto","given":"Takayuki","non-dropping-particle":"","parse-names":false,"suffix":""},{"dropping-particle":"","family":"Mönkemüller","given":"Klaus","non-dropping-particle":"","parse-names":false,"suffix":""},{"dropping-particle":"","family":"Picco","given":"Michael F.","non-dropping-particle":"","parse-names":false,"suffix":""},{"dropping-particle":"","family":"Odze","given":"Robert","non-dropping-particle":"","parse-names":false,"suffix":""},{"dropping-particle":"","family":"Raju","given":"Gottumukkala S.","non-dropping-particle":"","parse-names":false,"suffix":""},{"dropping-particle":"","family":"Rutter","given":"Matt","non-dropping-particle":"","parse-names":false,"suffix":""},{"dropping-particle":"","family":"Rex","given":"Douglas K.","non-dropping-particle":"","parse-names":false,"suffix":""},{"dropping-particle":"","family":"Shen","given":"Bo","non-dropping-particle":"","parse-names":false,"suffix":""},{"dropping-particle":"","family":"Shergill","given":"Amandeep","non-dropping-particle":"","parse-names":false,"suffix":""},{"dropping-particle":"","family":"Subramanian","given":"Venkat","non-dropping-particle":"","parse-names":false,"suffix":""}],"container-title":"Gastrointestinal endoscopy","id":"ITEM-1","issue":"6","issued":{"date-parts":[["2017","12","1"]]},"page":"1107-1117.e1","publisher":"Elsevier","title":"Optimizing the quality of endoscopy in inflammatory bowel disease: focus on surveillance and management of colorectal dysplasia using interactive image- and video-based teaching.","type":"article-journal","volume":"86"},"uris":["http://www.mendeley.com/documents/?uuid=d3a3aac8-73b9-30e3-b71d-73c8e491dc32"]}],"mendeley":{"formattedCitation":"[10]","plainTextFormattedCitation":"[10]","previouslyFormattedCitation":"[10]"},"properties":{"noteIndex":0},"schema":"https://github.com/citation-style-language/schema/raw/master/csl-citation.json"}</w:instrText>
      </w:r>
      <w:r w:rsidR="00F47528">
        <w:fldChar w:fldCharType="separate"/>
      </w:r>
      <w:r w:rsidR="00F47528" w:rsidRPr="00F47528">
        <w:rPr>
          <w:noProof/>
        </w:rPr>
        <w:t>[10]</w:t>
      </w:r>
      <w:r w:rsidR="00F47528">
        <w:fldChar w:fldCharType="end"/>
      </w:r>
    </w:p>
    <w:p w14:paraId="40A303F8" w14:textId="77777777" w:rsidR="003D5A6F" w:rsidRPr="005E2615" w:rsidRDefault="003D5A6F" w:rsidP="00990232">
      <w:pPr>
        <w:spacing w:line="360" w:lineRule="auto"/>
        <w:jc w:val="both"/>
      </w:pPr>
    </w:p>
    <w:p w14:paraId="48DC1A55" w14:textId="77777777" w:rsidR="00873518" w:rsidRDefault="00873518" w:rsidP="00990232">
      <w:pPr>
        <w:spacing w:line="360" w:lineRule="auto"/>
        <w:jc w:val="both"/>
      </w:pPr>
    </w:p>
    <w:p w14:paraId="3EEB1588" w14:textId="77777777" w:rsidR="007A5C98" w:rsidRDefault="00105156" w:rsidP="00990232">
      <w:pPr>
        <w:spacing w:line="360" w:lineRule="auto"/>
        <w:jc w:val="both"/>
      </w:pPr>
      <w:r>
        <w:t xml:space="preserve">The seminal trials showing the efficacy of chromoendoscopy in the detection of neoplasia in colitis were conducted using standard definition white light technology. </w:t>
      </w:r>
      <w:r w:rsidR="002B27BE">
        <w:t>Carrying out s</w:t>
      </w:r>
      <w:r>
        <w:t>urveillance</w:t>
      </w:r>
      <w:r w:rsidR="004F21C9">
        <w:t xml:space="preserve"> </w:t>
      </w:r>
      <w:r w:rsidR="002B27BE">
        <w:t xml:space="preserve">colonoscopy </w:t>
      </w:r>
      <w:r w:rsidR="004F21C9">
        <w:t>using high definiti</w:t>
      </w:r>
      <w:r w:rsidR="002B27BE">
        <w:t xml:space="preserve">on white light (HDWL) </w:t>
      </w:r>
      <w:r w:rsidR="004F21C9">
        <w:t xml:space="preserve">has been demonstrated to </w:t>
      </w:r>
      <w:r w:rsidR="00EF556C">
        <w:t>have a higher neoplasia detection rate</w:t>
      </w:r>
      <w:r w:rsidR="004F21C9">
        <w:t xml:space="preserve"> when compared with standard definition white light.</w:t>
      </w:r>
      <w:r w:rsidR="00EF556C">
        <w:fldChar w:fldCharType="begin" w:fldLock="1"/>
      </w:r>
      <w:r w:rsidR="00F47528">
        <w:instrText>ADDIN CSL_CITATION {"citationItems":[{"id":"ITEM-1","itemData":{"DOI":"10.1136/gut.2011.239301.462","ISSN":"0017-5749","abstract":"Introduction Dysplasia in colonic inflammatory bowel disease (IBD) is often multifocal and flat, making it easy for significant lesions to be overlooked. Dye spraying the mucosal surface is believed to enhance visualisation of subtle mucosal abnormalities, but is cumbersome and messy and has poor uptake among endoscopists. High definition (HD) colonoscopy improves adenoma detection rates by improving the ability to detect subtle mucosal changes and is as good as chromoendoscopy in polyp detection. The utility of high definition colonoscopy in dysplasia detection in patients with IBD has not been reported so far. The authors aimed to compare the yield of dysplastic lesions detected by standard definition white light endoscopy (SD) with high definition endoscopy (HD).\n\nMethods Details of consecutive patients with long standing (&gt;7 years) colonic IBD who underwent surveillance colonoscopy at Nottingham University Hospitals between September 2008 and February 2010 were extracted from the endoscopy database. Details of diagnosis, duration of disease and outcomes of the colonoscopy were then collected from the electronic patient records and patient notes. The colonoscopies were done at 2 sites, of which one had only HD systems and the other SD. SPSS v17 was used for the data analysis.\n\nResults 360 colonoscopies were done on 353 patients. There were 162 colonoscopies (102 UC and 60 CD) in the SD group and 208 colonoscopies (146 UC and 62 CD), in the HD group. The groups were well matched for mean age of patients, duration of disease, gender and number of biopsies taken. [Table 1][1] gives information on the number and characterisation of dysplastic lesions detected.\n\nView this table:\n\nTable 1 \nPTH-061 Dysplastic lesions detected by standard and high definition colonoscopy\n\n\n\nConclusion HD colonoscopy is superior to SD colonoscopy in targeted detection of dysplastic lesions during surveillance colonoscopy of patients with colonic IBD in routine clinical practice. HD colonoscopy could facilitate endoscopic resection in these patients. Randomised controlled studies are required to confirm these findings.\n\n [1]: #T1","author":[{"dropping-particle":"","family":"Subramanian","given":"V.","non-dropping-particle":"","parse-names":false,"suffix":""},{"dropping-particle":"","family":"Telakis","given":"E.","non-dropping-particle":"","parse-names":false,"suffix":""},{"dropping-particle":"","family":"Ramappa","given":"V.","non-dropping-particle":"","parse-names":false,"suffix":""},{"dropping-particle":"","family":"Mannath","given":"J.","non-dropping-particle":"","parse-names":false,"suffix":""},{"dropping-particle":"","family":"Jawhari","given":"A.","non-dropping-particle":"","parse-names":false,"suffix":""},{"dropping-particle":"","family":"Ragunath","given":"K.","non-dropping-particle":"","parse-names":false,"suffix":""},{"dropping-particle":"","family":"Hawkey","given":"C. J.","non-dropping-particle":"","parse-names":false,"suffix":""}],"container-title":"Gut","id":"ITEM-1","issue":"Suppl 1","issued":{"date-parts":[["2011","4","1"]]},"page":"A219-A219","publisher":"BMJ Publishing Group","title":"Comparison of high definition with standard white light endoscopy for detection of dysplastic lesions during surveillance colonoscopy in patients with inflammatory bowel disease","type":"article-journal","volume":"60"},"uris":["http://www.mendeley.com/documents/?uuid=01598454-c0be-3d06-8fff-67e30886df4d"]}],"mendeley":{"formattedCitation":"[11]","plainTextFormattedCitation":"[11]","previouslyFormattedCitation":"[11]"},"properties":{"noteIndex":0},"schema":"https://github.com/citation-style-language/schema/raw/master/csl-citation.json"}</w:instrText>
      </w:r>
      <w:r w:rsidR="00EF556C">
        <w:fldChar w:fldCharType="separate"/>
      </w:r>
      <w:r w:rsidR="00586716" w:rsidRPr="00586716">
        <w:rPr>
          <w:noProof/>
        </w:rPr>
        <w:t>[11]</w:t>
      </w:r>
      <w:r w:rsidR="00EF556C">
        <w:fldChar w:fldCharType="end"/>
      </w:r>
      <w:r w:rsidR="004F21C9">
        <w:t xml:space="preserve"> </w:t>
      </w:r>
      <w:r w:rsidR="00763842">
        <w:t>The per-</w:t>
      </w:r>
      <w:r w:rsidR="00695AEA">
        <w:t>patient neoplasia detection rate</w:t>
      </w:r>
      <w:r w:rsidR="00EF556C">
        <w:t xml:space="preserve"> (NDR) using HDWL</w:t>
      </w:r>
      <w:r w:rsidR="00695AEA">
        <w:t xml:space="preserve"> in two r</w:t>
      </w:r>
      <w:r w:rsidR="00BA616C">
        <w:t>ecent</w:t>
      </w:r>
      <w:r w:rsidR="00695AEA">
        <w:t xml:space="preserve"> trials were between 0.12 </w:t>
      </w:r>
      <w:r w:rsidR="00763842">
        <w:t>–</w:t>
      </w:r>
      <w:r w:rsidR="00695AEA">
        <w:t xml:space="preserve"> </w:t>
      </w:r>
      <w:r w:rsidR="00EF556C">
        <w:t>0.26, an improvement from the per-patient NDR of 0.07 with chromoendoscopy using standard definition white light</w:t>
      </w:r>
      <w:r w:rsidR="00011E89">
        <w:t xml:space="preserve"> in the older studies</w:t>
      </w:r>
      <w:r w:rsidR="00BA616C">
        <w:t>.</w:t>
      </w:r>
      <w:r w:rsidR="00763842">
        <w:fldChar w:fldCharType="begin" w:fldLock="1"/>
      </w:r>
      <w:r w:rsidR="005F2F01">
        <w:instrText>ADDIN CSL_CITATION {"citationItems":[{"id":"ITEM-1","itemData":{"DOI":"10.1136/gutjnl-2015-309861.28","ISSN":"0017-5749","abstract":"Introduction Patients with ulcerative colitis (UC) have an increased risk for colorectal cancer. The yield of surveillance can be improved by addition of newer endoscopic methods like chromoendoscopy (CE)1and HDWLE when compared to standard definition endoscopy.2There are no studies comparing HDCE and HDWLE. The aim of this trial is to compare the rate of detection of dysplasia in patients with long standing UC with HDWLE compared to HDCE.\n\nMethod Parallel group randomised controlled trial (clinicaltrials.gov number [NCT02138318][1]) in which patients with long standing UC (&gt;10 years) requiring surveillance colonoscopy were randomised to either HDWLE or HDCE (with 0.2% indigo carmine spray). HD scopes (Olympus CF260L or 290L) and processors (Olympus Spectrum CV260 or Elite CV290) and HD monitors were used for all procedures. Time to reach caecum and withdrawal time was recorded. Presence of dysplasia was confirmed by two expert GI histopathologists. Data was analysed according to the number of patients who had dysplastic endoscopic lesions detected (per patient analysis) and also to the number of dysplastic lesions (per lesion analysis).\n\nResults In total 53 patients were randomised to HDWLE and 50 to the HDCE arm. Baseline characteristics including duration of disease, bowel preparation, endoscopists, concomitant PSC and previous dysplasia were similar in both arms. A total of 14 dysplastic lesions (1 with high grade and 13 with low grade dysplasia) were detected in 11 patients (22%) in the HDCE arm and 6 dysplastic lesions (all low grade dysplasia) in 5 patients (9.4%) in the HDWLE arm. HDCE was significantly better (p = 0.04) than HDWLE on a per patient basis for the detection of endoscopically visible dysplastic lesions. HDCE (0.26 ± 0.6) detected more dysplastic lesions per-patient than HDWLE (0.12 ± 0.4). Withdrawal time was significantly (p &lt; 0.001) higher in HDCE (21.2 ± 5.8 min) compared to HDWLE (13.6 ± 3.3 min).\n\nConclusion HDCE significantly improves the detection of dysplastic lesions in patients undergoing surveillance endoscopy for UC and should be the procedure of choice in these patients. On average it increases procedure time by 8 min over HDWLE.\n\nDisclosure of interest None Declared.\n\nReferences \n\n1.  Subramanian V, Mannath J, Ragunath K, Hawkey CJ. Meta-analysis: the diagnostic yield of chromoendoscopy for detecting dysplasia in patients with colonic inflammatory bowel disease. Aliment Pharmacol Ther. 2011;33:304–312\n\n2.  Subramanian…","author":[{"dropping-particle":"","family":"Mohammed","given":"N","non-dropping-particle":"","parse-names":false,"suffix":""},{"dropping-particle":"","family":"Kant","given":"P","non-dropping-particle":"","parse-names":false,"suffix":""},{"dropping-particle":"","family":"Abid","given":"F","non-dropping-particle":"","parse-names":false,"suffix":""},{"dropping-particle":"","family":"Rotimi","given":"O","non-dropping-particle":"","parse-names":false,"suffix":""},{"dropping-particle":"","family":"Prasad","given":"P","non-dropping-particle":"","parse-names":false,"suffix":""},{"dropping-particle":"","family":"Hamlin","given":"J","non-dropping-particle":"","parse-names":false,"suffix":""},{"dropping-particle":"","family":"Everett","given":"S","non-dropping-particle":"","parse-names":false,"suffix":""},{"dropping-particle":"","family":"Rembacken","given":"B","non-dropping-particle":"","parse-names":false,"suffix":""},{"dropping-particle":"","family":"Hull","given":"M","non-dropping-particle":"","parse-names":false,"suffix":""},{"dropping-particle":"","family":"Subramanian","given":"V","non-dropping-particle":"","parse-names":false,"suffix":""}],"container-title":"Gut","id":"ITEM-1","issue":"Suppl 1","issued":{"date-parts":[["2015","6","22"]]},"page":"A14.2-A15","publisher":"BMJ Publishing Group","title":"OC-028 High definition white light endoscopy (HDWLE) versus high definition with chromoendoscopy (HDCE) in the detection of dysplasia in long standing ulcerative colitis: a randomised controlled trial","type":"article-journal","volume":"64"},"uris":["http://www.mendeley.com/documents/?uuid=7de0d704-f7c6-3fdc-9e3e-e01a5f6e00d4"]},{"id":"ITEM-2","itemData":{"DOI":"10.1038/ajg.2017.417","author":[{"dropping-particle":"","family":"Iacucci","given":"Marietta","non-dropping-particle":"","parse-names":false,"suffix":""},{"dropping-particle":"","family":"Kaplan","given":"Gilaad G","non-dropping-particle":"","parse-names":false,"suffix":""},{"dropping-particle":"","family":"Panaccione","given":"Remo","non-dropping-particle":"","parse-names":false,"suffix":""},{"dropping-particle":"","family":"Akinola","given":"Oluseyi","non-dropping-particle":"","parse-names":false,"suffix":""},{"dropping-particle":"","family":"Cord Lethebe","given":"Brendan","non-dropping-particle":"","parse-names":false,"suffix":""},{"dropping-particle":"","family":"Lowerison","given":"Mark","non-dropping-particle":"","parse-names":false,"suffix":""},{"dropping-particle":"","family":"Leung","given":"Yvette","non-dropping-particle":"","parse-names":false,"suffix":""},{"dropping-particle":"","family":"Novak","given":"Kerri L","non-dropping-particle":"","parse-names":false,"suffix":""},{"dropping-particle":"","family":"Seow","given":"Cynthia H","non-dropping-particle":"","parse-names":false,"suffix":""},{"dropping-particle":"","family":"Urbanski","given":"Stefan","non-dropping-particle":"","parse-names":false,"suffix":""},{"dropping-particle":"","family":"Minoo","given":"Parham","non-dropping-particle":"","parse-names":false,"suffix":""},{"dropping-particle":"","family":"Gui","given":"Xianyong","non-dropping-particle":"","parse-names":false,"suffix":""},{"dropping-particle":"","family":"Ghosh","given":"Subrata","non-dropping-particle":"","parse-names":false,"suffix":""}],"id":"ITEM-2","issued":{"date-parts":[["2018"]]},"title":"A Randomized Trial Comparing High Definition Colonoscopy Alone With High Definition Dye Spraying and Electronic Virtual Chromoendoscopy for Detection of Colonic Neoplastic Lesions During IBD Surveillance Colonoscopy","type":"article-journal"},"uris":["http://www.mendeley.com/documents/?uuid=511fbd82-11df-3b2d-851e-f0bed936e7fa"]},{"id":"ITEM-3","itemData":{"DOI":"10.1136/GUT.2003.016386","ISSN":"0017-5749","PMID":"14724160","abstract":"BACKGROUND AND AIMS Colonoscopic surveillance for cancer in longstanding extensive ulcerative colitis relies heavily on non-targeted mucosal biopsies. Chromoendoscopy can aid detection of subtle mucosal abnormalities. We hypothesised that routine pancolonic indigo carmine dye spraying would improve the macroscopic detection of dysplasia and reduce the dependence on non-targeted biopsies. PATIENTS AND METHODS One hundred patients with longstanding extensive ulcerative colitis attending for colonoscopic surveillance underwent \"back to back\" colonoscopies. During the first examination, visible abnormalities were biopsied, and quadrantic non-targeted biopsies were taken every 10 cm. Pancolonic indigo carmine (0.1%) was used during the second colonoscopic examination, and any additional visible abnormalities were biopsied. RESULTS Median extubation times for the first and second colonoscopies were 11 and 10 minutes, respectively. The non-targeted biopsy protocol detected no dysplasia in 2904 biopsies. Forty three mucosal abnormalities (20 patients) were detected during the pre-dye spray colonoscopy of which two (two patients) were dysplastic: both were considered to be dysplasia associated lesions/masses. A total of 114 additional abnormalities (55 patients) were detected following dye spraying, of which seven (five patients) were dysplastic: all were considered to be adenomas. There was a strong trend towards statistically increased dysplasia detection following dye spraying (p = 0.06, paired exact test). The targeted biopsy protocol detected dysplasia in significantly more patients than the non-targeted protocol (p = 0.02, paired exact test). CONCLUSIONS No dysplasia was detected in 2904 non-targeted biopsies. In comparison, a targeted biopsy protocol with pancolonic chromoendoscopy required fewer biopsies (157) yet detected nine dysplastic lesions, seven of which were only visible after indigo carmine application. Careful mucosal examination aided by pancolonic chromoendoscopy and targeted biopsies of suspicious lesions may be a more effective surveillance methodology than taking multiple non-targeted biopsies.","author":[{"dropping-particle":"","family":"Rutter","given":"M D","non-dropping-particle":"","parse-names":false,"suffix":""},{"dropping-particle":"","family":"Saunders","given":"B P","non-dropping-particle":"","parse-names":false,"suffix":""},{"dropping-particle":"","family":"Schofield","given":"G","non-dropping-particle":"","parse-names":false,"suffix":""},{"dropping-particle":"","family":"Forbes","given":"A","non-dropping-particle":"","parse-names":false,"suffix":""},{"dropping-particle":"","family":"Price","given":"A B","non-dropping-particle":"","parse-names":false,"suffix":""},{"dropping-particle":"","family":"Talbot","given":"I C","non-dropping-particle":"","parse-names":false,"suffix":""}],"container-title":"Gut","id":"ITEM-3","issue":"2","issued":{"date-parts":[["2004","2"]]},"page":"256-60","publisher":"BMJ Publishing Group","title":"Pancolonic indigo carmine dye spraying for the detection of dysplasia in ulcerative colitis.","type":"article-journal","volume":"53"},"uris":["http://www.mendeley.com/documents/?uuid=387e7586-629b-34fd-91d7-b4703d471df5"]},{"id":"ITEM-4","itemData":{"DOI":"10.1111/apt.15493","ISSN":"02692813","author":[{"dropping-particle":"","family":"Iannone","given":"Andrea","non-dropping-particle":"","parse-names":false,"suffix":""},{"dropping-particle":"","family":"Ruospo","given":"Marinella","non-dropping-particle":"","parse-names":false,"suffix":""},{"dropping-particle":"","family":"Palmer","given":"Suetonia C.","non-dropping-particle":"","parse-names":false,"suffix":""},{"dropping-particle":"","family":"Principi","given":"Mariabeatrice","non-dropping-particle":"","parse-names":false,"suffix":""},{"dropping-particle":"","family":"Barone","given":"Michele","non-dropping-particle":"","parse-names":false,"suffix":""},{"dropping-particle":"","family":"Leo","given":"Alfredo","non-dropping-particle":"Di","parse-names":false,"suffix":""},{"dropping-particle":"","family":"Strippoli","given":"Giovanni F. M.","non-dropping-particle":"","parse-names":false,"suffix":""}],"container-title":"Alimentary Pharmacology &amp; Therapeutics","id":"ITEM-4","issue":"8","issued":{"date-parts":[["2019","10","1"]]},"page":"858-871","publisher":"John Wiley &amp; Sons, Ltd (10.1111)","title":"Systematic review with network meta-analysis: endoscopic techniques for dysplasia surveillance in inflammatory bowel disease","type":"article-journal","volume":"50"},"uris":["http://www.mendeley.com/documents/?uuid=d49e7bf2-d394-348f-a90c-c36c4851339a"]}],"mendeley":{"formattedCitation":"[6,12–14]","plainTextFormattedCitation":"[6,12–14]","previouslyFormattedCitation":"[6,12–14]"},"properties":{"noteIndex":0},"schema":"https://github.com/citation-style-language/schema/raw/master/csl-citation.json"}</w:instrText>
      </w:r>
      <w:r w:rsidR="00763842">
        <w:fldChar w:fldCharType="separate"/>
      </w:r>
      <w:r w:rsidR="00C1119F" w:rsidRPr="00C1119F">
        <w:rPr>
          <w:noProof/>
        </w:rPr>
        <w:t>[6,12–14]</w:t>
      </w:r>
      <w:r w:rsidR="00763842">
        <w:fldChar w:fldCharType="end"/>
      </w:r>
      <w:r>
        <w:t xml:space="preserve"> </w:t>
      </w:r>
    </w:p>
    <w:p w14:paraId="5BA5D666" w14:textId="77777777" w:rsidR="00EF556C" w:rsidRDefault="00EF556C" w:rsidP="00990232">
      <w:pPr>
        <w:spacing w:line="360" w:lineRule="auto"/>
        <w:jc w:val="both"/>
      </w:pPr>
    </w:p>
    <w:p w14:paraId="041EF8A6" w14:textId="47AD7705" w:rsidR="00F075C3" w:rsidRDefault="00211A04" w:rsidP="00990232">
      <w:pPr>
        <w:spacing w:line="360" w:lineRule="auto"/>
        <w:jc w:val="both"/>
      </w:pPr>
      <w:r>
        <w:t>Advances in technology ha</w:t>
      </w:r>
      <w:r w:rsidR="007A5C98">
        <w:t>ve</w:t>
      </w:r>
      <w:r>
        <w:t xml:space="preserve"> led to the development of</w:t>
      </w:r>
      <w:r w:rsidR="000D7C1B">
        <w:t>, dye-free virtual chromoendoscopy technolog</w:t>
      </w:r>
      <w:r w:rsidR="007A5C98">
        <w:t>ies</w:t>
      </w:r>
      <w:r w:rsidR="00B56E43">
        <w:t xml:space="preserve"> such as </w:t>
      </w:r>
      <w:r w:rsidR="0057196E">
        <w:rPr>
          <w:lang w:val="en-US"/>
        </w:rPr>
        <w:t>HD i-scan</w:t>
      </w:r>
      <w:r w:rsidR="00B56E43" w:rsidRPr="00B56E43">
        <w:rPr>
          <w:lang w:val="en-US"/>
        </w:rPr>
        <w:t xml:space="preserve"> (Pentax, Tokyo, Japan)</w:t>
      </w:r>
      <w:r w:rsidR="00B56E43">
        <w:rPr>
          <w:lang w:val="en-US"/>
        </w:rPr>
        <w:t>, and</w:t>
      </w:r>
      <w:r w:rsidR="00B56E43" w:rsidRPr="00B56E43">
        <w:t xml:space="preserve"> </w:t>
      </w:r>
      <w:r w:rsidR="00B56E43">
        <w:t>NBI</w:t>
      </w:r>
      <w:r w:rsidR="00B71BFA">
        <w:t xml:space="preserve"> (Olympus, Tokyo, Japan</w:t>
      </w:r>
      <w:r w:rsidR="00B56E43">
        <w:t>)</w:t>
      </w:r>
      <w:r>
        <w:t>. These technologies</w:t>
      </w:r>
      <w:r w:rsidR="00B56E43">
        <w:t xml:space="preserve"> enhance the </w:t>
      </w:r>
      <w:r>
        <w:t>mucosal surface details</w:t>
      </w:r>
      <w:r w:rsidR="00B56E43">
        <w:t xml:space="preserve">, thereby theoretically improving the detection of neoplasia. However, two </w:t>
      </w:r>
      <w:r w:rsidR="00DD07D8">
        <w:t>randomised controlled trials assessing the effectiveness of virtual chromoendoscopy</w:t>
      </w:r>
      <w:r w:rsidR="00B56E43">
        <w:t xml:space="preserve"> over</w:t>
      </w:r>
      <w:r w:rsidR="00105156">
        <w:t xml:space="preserve"> dye spray chromoendoscopy</w:t>
      </w:r>
      <w:r w:rsidR="00DD07D8">
        <w:t xml:space="preserve"> have</w:t>
      </w:r>
      <w:r w:rsidR="00105156">
        <w:t xml:space="preserve"> been inconclusive</w:t>
      </w:r>
      <w:r w:rsidR="00DD07D8">
        <w:t>.</w:t>
      </w:r>
      <w:r w:rsidR="00105156">
        <w:t xml:space="preserve"> </w:t>
      </w:r>
      <w:r w:rsidR="00105156">
        <w:fldChar w:fldCharType="begin" w:fldLock="1"/>
      </w:r>
      <w:r w:rsidR="005F2F01">
        <w:instrText>ADDIN CSL_CITATION {"citationItems":[{"id":"ITEM-1","itemData":{"DOI":"10.1136/gutjnl-2016-313213","ISSN":"1468-3288","PMID":"28698230","abstract":"BACKGROUND Patients with long-standing UC have an increased risk for the development of colonic neoplastic lesions. Chromoendoscopy (CE) has been proven to enhance neoplasia detection while the role of virtual chromoendoscopy (VC) is still to be defined. OBJECTIVE To compare the performance of CE to VC for the detection of neoplastic lesions in patients with long-standing UC. DESIGN A multicentre prospective randomised controlled trial. 131 patients with long-standing UC were randomised between CE with methylene blue 0.1% (n=66) or VC with narrow band imaging (NBI) (n=65). Biopsies were taken from visible lesions and surrounding mucosa. No random biopsies were performed. The primary outcome was the difference in total number of neoplastic lesions detected in each group. RESULTS There was no significant difference between NBI and CE for neoplasia detection. Mean number of neoplastic lesions per colonoscopy was 0.47 for CE and 0.32 for NBI (p=0.992). The neoplasia detection rate was not different between CE (21.2%) and NBI (21.5%) (OR 1.02 (95% CI 0.44 to 2.35, p=0.964). Biopsies from the surrounding mucosa yielded no diagnosis or dysplasia. The per lesion neoplasia detection was 17.4% for CE and 16.3% for NBI (OR 1.09 (95% CI 0.59 to 1.99, p=0.793). The total procedural time was on average 7 min shorter in the NBI group. CONCLUSION CE and NBI do not differ significantly for detection of colitis-associated neoplasia. Given the longer withdrawal time for CE and easier applicability, NBI may possibly replace classical CE. TRIAL REGISTRATION NUMBER NCT01882205; Results.","author":[{"dropping-particle":"","family":"Bisschops","given":"Raf","non-dropping-particle":"","parse-names":false,"suffix":""},{"dropping-particle":"","family":"Bessissow","given":"Talat","non-dropping-particle":"","parse-names":false,"suffix":""},{"dropping-particle":"","family":"Joseph","given":"Joseph A","non-dropping-particle":"","parse-names":false,"suffix":""},{"dropping-particle":"","family":"Baert","given":"Filip","non-dropping-particle":"","parse-names":false,"suffix":""},{"dropping-particle":"","family":"Ferrante","given":"Marc","non-dropping-particle":"","parse-names":false,"suffix":""},{"dropping-particle":"","family":"Ballet","given":"Vera","non-dropping-particle":"","parse-names":false,"suffix":""},{"dropping-particle":"","family":"Willekens","given":"Hilde","non-dropping-particle":"","parse-names":false,"suffix":""},{"dropping-particle":"","family":"Demedts","given":"Ingrid","non-dropping-particle":"","parse-names":false,"suffix":""},{"dropping-particle":"","family":"Geboes","given":"Karel","non-dropping-particle":"","parse-names":false,"suffix":""},{"dropping-particle":"","family":"Hertogh","given":"Gert","non-dropping-particle":"De","parse-names":false,"suffix":""},{"dropping-particle":"","family":"Vermeire","given":"Séverine","non-dropping-particle":"","parse-names":false,"suffix":""},{"dropping-particle":"","family":"Rutgeerts","given":"Paul","non-dropping-particle":"","parse-names":false,"suffix":""},{"dropping-particle":"","family":"Assche","given":"Gert","non-dropping-particle":"Van","parse-names":false,"suffix":""}],"container-title":"Gut","id":"ITEM-1","issue":"6","issued":{"date-parts":[["2018","6","1"]]},"page":"1087-1094","publisher":"BMJ Publishing Group","title":"Chromoendoscopy versus narrow band imaging in UC: a prospective randomised controlled trial.","type":"article-journal","volume":"67"},"uris":["http://www.mendeley.com/documents/?uuid=5b1f6d30-fd1d-388a-85fe-911555be3f2c"]},{"id":"ITEM-2","itemData":{"DOI":"10.1038/ajg.2017.417","author":[{"dropping-particle":"","family":"Iacucci","given":"Marietta","non-dropping-particle":"","parse-names":false,"suffix":""},{"dropping-particle":"","family":"Kaplan","given":"Gilaad G","non-dropping-particle":"","parse-names":false,"suffix":""},{"dropping-particle":"","family":"Panaccione","given":"Remo","non-dropping-particle":"","parse-names":false,"suffix":""},{"dropping-particle":"","family":"Akinola","given":"Oluseyi","non-dropping-particle":"","parse-names":false,"suffix":""},{"dropping-particle":"","family":"Cord Lethebe","given":"Brendan","non-dropping-particle":"","parse-names":false,"suffix":""},{"dropping-particle":"","family":"Lowerison","given":"Mark","non-dropping-particle":"","parse-names":false,"suffix":""},{"dropping-particle":"","family":"Leung","given":"Yvette","non-dropping-particle":"","parse-names":false,"suffix":""},{"dropping-particle":"","family":"Novak","given":"Kerri L","non-dropping-particle":"","parse-names":false,"suffix":""},{"dropping-particle":"","family":"Seow","given":"Cynthia H","non-dropping-particle":"","parse-names":false,"suffix":""},{"dropping-particle":"","family":"Urbanski","given":"Stefan","non-dropping-particle":"","parse-names":false,"suffix":""},{"dropping-particle":"","family":"Minoo","given":"Parham","non-dropping-particle":"","parse-names":false,"suffix":""},{"dropping-particle":"","family":"Gui","given":"Xianyong","non-dropping-particle":"","parse-names":false,"suffix":""},{"dropping-particle":"","family":"Ghosh","given":"Subrata","non-dropping-particle":"","parse-names":false,"suffix":""}],"id":"ITEM-2","issued":{"date-parts":[["2018"]]},"title":"A Randomized Trial Comparing High Definition Colonoscopy Alone With High Definition Dye Spraying and Electronic Virtual Chromoendoscopy for Detection of Colonic Neoplastic Lesions During IBD Surveillance Colonoscopy","type":"article-journal"},"uris":["http://www.mendeley.com/documents/?uuid=511fbd82-11df-3b2d-851e-f0bed936e7fa"]}],"mendeley":{"formattedCitation":"[13,15]","plainTextFormattedCitation":"[13,15]","previouslyFormattedCitation":"[13,15]"},"properties":{"noteIndex":0},"schema":"https://github.com/citation-style-language/schema/raw/master/csl-citation.json"}</w:instrText>
      </w:r>
      <w:r w:rsidR="00105156">
        <w:fldChar w:fldCharType="separate"/>
      </w:r>
      <w:r w:rsidR="00C1119F" w:rsidRPr="00C1119F">
        <w:rPr>
          <w:noProof/>
        </w:rPr>
        <w:t>[13,15]</w:t>
      </w:r>
      <w:r w:rsidR="00105156">
        <w:fldChar w:fldCharType="end"/>
      </w:r>
      <w:r w:rsidR="00105156">
        <w:t xml:space="preserve"> </w:t>
      </w:r>
    </w:p>
    <w:p w14:paraId="3335B9DE" w14:textId="77777777" w:rsidR="0056745A" w:rsidRDefault="0056745A" w:rsidP="00990232">
      <w:pPr>
        <w:spacing w:line="360" w:lineRule="auto"/>
        <w:jc w:val="both"/>
      </w:pPr>
    </w:p>
    <w:p w14:paraId="2F285104" w14:textId="35B54941" w:rsidR="000C42A6" w:rsidRDefault="0057196E" w:rsidP="00BA543C">
      <w:pPr>
        <w:spacing w:line="360" w:lineRule="auto"/>
        <w:jc w:val="both"/>
      </w:pPr>
      <w:r>
        <w:t>The i-s</w:t>
      </w:r>
      <w:r w:rsidR="002C4F43">
        <w:t>can OE</w:t>
      </w:r>
      <w:r w:rsidR="00211A04">
        <w:t>-</w:t>
      </w:r>
      <w:r w:rsidR="000C42A6">
        <w:t xml:space="preserve"> Mode </w:t>
      </w:r>
      <w:r w:rsidR="00211A04">
        <w:t>2</w:t>
      </w:r>
      <w:r w:rsidR="002C4F43">
        <w:t xml:space="preserve"> (Pentax, Toky</w:t>
      </w:r>
      <w:r w:rsidR="0005704D">
        <w:t xml:space="preserve">o, Japan) </w:t>
      </w:r>
      <w:r w:rsidR="0005514E">
        <w:t xml:space="preserve">is a high definition virtual chromoendoscopy (HDV) system that </w:t>
      </w:r>
      <w:r w:rsidR="0005704D">
        <w:t xml:space="preserve">uses a combination of bandwidth-limiting </w:t>
      </w:r>
      <w:r w:rsidR="00211A04">
        <w:t>filter</w:t>
      </w:r>
      <w:r w:rsidR="0005704D">
        <w:t xml:space="preserve"> and digital </w:t>
      </w:r>
      <w:r w:rsidR="00211A04">
        <w:t>post</w:t>
      </w:r>
      <w:r w:rsidR="0005704D">
        <w:t xml:space="preserve"> processing technol</w:t>
      </w:r>
      <w:r w:rsidR="0005514E">
        <w:t xml:space="preserve">ogy. This technology </w:t>
      </w:r>
      <w:r w:rsidR="000C42A6">
        <w:t xml:space="preserve">uses red light emission as well as emission at 415 nm and 540 nm to </w:t>
      </w:r>
      <w:r w:rsidR="0005514E">
        <w:t>enhance the surface of mucosa and the underlying blood vessels whilst maintaining a bright overall appearance, thus making it potentially efficient in detecting mucosal lesions</w:t>
      </w:r>
      <w:r w:rsidR="005939E6">
        <w:t xml:space="preserve"> in the colon.</w:t>
      </w:r>
    </w:p>
    <w:p w14:paraId="38B8D85A" w14:textId="77777777" w:rsidR="002C4F43" w:rsidRDefault="00BA543C" w:rsidP="00990232">
      <w:pPr>
        <w:spacing w:line="360" w:lineRule="auto"/>
        <w:jc w:val="both"/>
      </w:pPr>
      <w:r w:rsidRPr="00BA543C">
        <w:t xml:space="preserve"> </w:t>
      </w:r>
    </w:p>
    <w:p w14:paraId="2650BCA1" w14:textId="77777777" w:rsidR="0056745A" w:rsidRDefault="00F915FB" w:rsidP="00990232">
      <w:pPr>
        <w:spacing w:line="360" w:lineRule="auto"/>
        <w:jc w:val="both"/>
      </w:pPr>
      <w:r>
        <w:t xml:space="preserve">The aim of this study was to evaluate </w:t>
      </w:r>
      <w:r w:rsidR="008D4244">
        <w:t>the performance of</w:t>
      </w:r>
      <w:r w:rsidR="006541AC">
        <w:t xml:space="preserve"> HDV</w:t>
      </w:r>
      <w:r w:rsidR="008D4244">
        <w:t xml:space="preserve"> when compared to HDWL in patients with longstanding colonic IBD undergoing surveil</w:t>
      </w:r>
      <w:r w:rsidR="0022667C">
        <w:t xml:space="preserve">lance colonoscopy for neoplasia and to evaluate the </w:t>
      </w:r>
      <w:r w:rsidR="00910B02">
        <w:t xml:space="preserve">additional </w:t>
      </w:r>
      <w:r w:rsidR="0022667C">
        <w:t xml:space="preserve">yield of </w:t>
      </w:r>
      <w:r w:rsidR="00FB150A">
        <w:t xml:space="preserve">neoplasia detection with </w:t>
      </w:r>
      <w:r w:rsidR="00910B02">
        <w:t xml:space="preserve">protocol guided quadrantic but non targeted </w:t>
      </w:r>
      <w:r w:rsidR="00FB150A">
        <w:t>colonic biopsies.</w:t>
      </w:r>
    </w:p>
    <w:p w14:paraId="02612E5B" w14:textId="77777777" w:rsidR="0056745A" w:rsidRDefault="0056745A" w:rsidP="00990232">
      <w:pPr>
        <w:spacing w:line="360" w:lineRule="auto"/>
        <w:jc w:val="both"/>
      </w:pPr>
    </w:p>
    <w:p w14:paraId="653BFF92" w14:textId="77777777" w:rsidR="0056745A" w:rsidRDefault="0056745A" w:rsidP="00990232">
      <w:pPr>
        <w:spacing w:line="360" w:lineRule="auto"/>
        <w:jc w:val="both"/>
      </w:pPr>
    </w:p>
    <w:p w14:paraId="49C86BD1" w14:textId="77777777" w:rsidR="0056745A" w:rsidRDefault="001C13B0" w:rsidP="00990232">
      <w:pPr>
        <w:spacing w:line="360" w:lineRule="auto"/>
        <w:jc w:val="both"/>
        <w:rPr>
          <w:b/>
        </w:rPr>
      </w:pPr>
      <w:r>
        <w:rPr>
          <w:b/>
        </w:rPr>
        <w:t>METHODS</w:t>
      </w:r>
    </w:p>
    <w:p w14:paraId="28DD115C" w14:textId="77777777" w:rsidR="001C13B0" w:rsidRDefault="001C13B0" w:rsidP="00990232">
      <w:pPr>
        <w:spacing w:line="360" w:lineRule="auto"/>
        <w:jc w:val="both"/>
        <w:rPr>
          <w:b/>
        </w:rPr>
      </w:pPr>
    </w:p>
    <w:p w14:paraId="43EFC77F" w14:textId="77777777" w:rsidR="001C13B0" w:rsidRPr="001C13B0" w:rsidRDefault="001C13B0" w:rsidP="00990232">
      <w:pPr>
        <w:spacing w:line="360" w:lineRule="auto"/>
        <w:jc w:val="both"/>
        <w:rPr>
          <w:b/>
        </w:rPr>
      </w:pPr>
      <w:r>
        <w:rPr>
          <w:b/>
        </w:rPr>
        <w:t>Study design</w:t>
      </w:r>
    </w:p>
    <w:p w14:paraId="60C51B24" w14:textId="77777777" w:rsidR="0056745A" w:rsidRDefault="0056745A" w:rsidP="00990232">
      <w:pPr>
        <w:spacing w:line="360" w:lineRule="auto"/>
        <w:jc w:val="both"/>
      </w:pPr>
    </w:p>
    <w:p w14:paraId="04AF2347" w14:textId="36861CE6" w:rsidR="001F1C13" w:rsidRPr="001F1C13" w:rsidRDefault="00603DFA" w:rsidP="00990232">
      <w:pPr>
        <w:spacing w:line="360" w:lineRule="auto"/>
        <w:jc w:val="both"/>
        <w:rPr>
          <w:bCs/>
        </w:rPr>
      </w:pPr>
      <w:r>
        <w:t xml:space="preserve">This was a multi-centre </w:t>
      </w:r>
      <w:r w:rsidR="001F1C13">
        <w:t xml:space="preserve">prospective </w:t>
      </w:r>
      <w:r>
        <w:t xml:space="preserve">randomised controlled trial (Clinical Trial.gov ID </w:t>
      </w:r>
      <w:r w:rsidRPr="00603DFA">
        <w:t>NCT02822352</w:t>
      </w:r>
      <w:r w:rsidR="002E6A01">
        <w:t>)</w:t>
      </w:r>
      <w:r w:rsidR="001F1C13">
        <w:t>.</w:t>
      </w:r>
      <w:r w:rsidR="00084EF8">
        <w:t xml:space="preserve"> </w:t>
      </w:r>
      <w:r w:rsidR="001F1C13">
        <w:t xml:space="preserve">The study </w:t>
      </w:r>
      <w:r w:rsidR="00F57B5C">
        <w:t>participants</w:t>
      </w:r>
      <w:r w:rsidR="001F1C13">
        <w:t xml:space="preserve"> were recruited from two centres in the United Kingdom (Queen Alexandra Hospital, Portsmouth and University Hospital Birmingham, Birmingham) betwee</w:t>
      </w:r>
      <w:r w:rsidR="00084EF8">
        <w:t>n August 2016 and February 2018 (</w:t>
      </w:r>
      <w:r w:rsidR="002361C9">
        <w:t xml:space="preserve">see </w:t>
      </w:r>
      <w:r w:rsidR="00084EF8">
        <w:t>Supplement 1 – Study Protocol).</w:t>
      </w:r>
      <w:r w:rsidR="001F1C13">
        <w:t xml:space="preserve"> Ethical approval for the study was obtained (REC reference no: </w:t>
      </w:r>
      <w:r w:rsidR="001F1C13" w:rsidRPr="001F1C13">
        <w:rPr>
          <w:bCs/>
        </w:rPr>
        <w:t>16/SC/0116</w:t>
      </w:r>
      <w:r w:rsidR="001F1C13">
        <w:rPr>
          <w:bCs/>
        </w:rPr>
        <w:t xml:space="preserve">) and the study was adopted on to the National Institute of Health Research (NIHR) portfolio (UKCRN ID: </w:t>
      </w:r>
      <w:r w:rsidR="001F1C13" w:rsidRPr="001F1C13">
        <w:rPr>
          <w:bCs/>
        </w:rPr>
        <w:t>317157</w:t>
      </w:r>
      <w:r w:rsidR="001F1C13">
        <w:rPr>
          <w:bCs/>
        </w:rPr>
        <w:t>).</w:t>
      </w:r>
      <w:r w:rsidR="00084EF8">
        <w:rPr>
          <w:bCs/>
        </w:rPr>
        <w:t xml:space="preserve"> </w:t>
      </w:r>
    </w:p>
    <w:p w14:paraId="4DE8FD2F" w14:textId="77777777" w:rsidR="001F1C13" w:rsidRPr="001F1C13" w:rsidRDefault="001F1C13" w:rsidP="00990232">
      <w:pPr>
        <w:spacing w:line="360" w:lineRule="auto"/>
        <w:jc w:val="both"/>
      </w:pPr>
    </w:p>
    <w:p w14:paraId="7E45DC39" w14:textId="77777777" w:rsidR="00603DFA" w:rsidRPr="00603DFA" w:rsidRDefault="001F1C13" w:rsidP="00990232">
      <w:pPr>
        <w:spacing w:line="360" w:lineRule="auto"/>
        <w:jc w:val="both"/>
      </w:pPr>
      <w:r>
        <w:t xml:space="preserve"> </w:t>
      </w:r>
    </w:p>
    <w:p w14:paraId="591E62FA" w14:textId="77777777" w:rsidR="001654AB" w:rsidRDefault="001654AB" w:rsidP="00990232">
      <w:pPr>
        <w:spacing w:line="360" w:lineRule="auto"/>
        <w:jc w:val="both"/>
        <w:rPr>
          <w:b/>
        </w:rPr>
      </w:pPr>
      <w:r>
        <w:rPr>
          <w:b/>
        </w:rPr>
        <w:t xml:space="preserve">Patient </w:t>
      </w:r>
      <w:r w:rsidR="00BF4C9B">
        <w:rPr>
          <w:b/>
        </w:rPr>
        <w:t xml:space="preserve">and public </w:t>
      </w:r>
      <w:r>
        <w:rPr>
          <w:b/>
        </w:rPr>
        <w:t>involvement</w:t>
      </w:r>
    </w:p>
    <w:p w14:paraId="35516E5A" w14:textId="77777777" w:rsidR="00447AA7" w:rsidRDefault="00447AA7" w:rsidP="00447AA7">
      <w:pPr>
        <w:spacing w:line="360" w:lineRule="auto"/>
        <w:jc w:val="both"/>
        <w:rPr>
          <w:b/>
        </w:rPr>
      </w:pPr>
    </w:p>
    <w:p w14:paraId="7C39C7C4" w14:textId="07DFC525" w:rsidR="001654AB" w:rsidRPr="00E438DC" w:rsidRDefault="00447AA7" w:rsidP="001D7916">
      <w:pPr>
        <w:spacing w:line="360" w:lineRule="auto"/>
        <w:jc w:val="both"/>
      </w:pPr>
      <w:r w:rsidRPr="00E438DC">
        <w:t>Patients and a member of public were involved in the trial development stage.</w:t>
      </w:r>
      <w:r w:rsidR="001D7916" w:rsidRPr="00E438DC">
        <w:t xml:space="preserve"> </w:t>
      </w:r>
      <w:r w:rsidR="001D7916" w:rsidRPr="00E438DC">
        <w:rPr>
          <w:iCs/>
        </w:rPr>
        <w:t>The group are representative of the local population eligible for the trial, and included patients or carers with bowel disease</w:t>
      </w:r>
      <w:r w:rsidR="001D7916" w:rsidRPr="00E438DC">
        <w:t>.</w:t>
      </w:r>
      <w:r w:rsidRPr="00E438DC">
        <w:t xml:space="preserve"> </w:t>
      </w:r>
      <w:r w:rsidR="001D7916" w:rsidRPr="00E438DC">
        <w:t>We discussed t</w:t>
      </w:r>
      <w:r w:rsidRPr="00E438DC">
        <w:t>he trial questions, acceptability of trial design</w:t>
      </w:r>
      <w:r w:rsidR="001D7916" w:rsidRPr="00E438DC">
        <w:t>s including parallel group versus cross-over</w:t>
      </w:r>
      <w:r w:rsidRPr="00E438DC">
        <w:t xml:space="preserve"> and methods of recruitment</w:t>
      </w:r>
      <w:r w:rsidR="001D7916" w:rsidRPr="00E438DC">
        <w:t>.</w:t>
      </w:r>
      <w:r w:rsidRPr="00E438DC">
        <w:t xml:space="preserve"> </w:t>
      </w:r>
      <w:r w:rsidR="001D7916" w:rsidRPr="00E438DC">
        <w:t>This group also reviewed patient-facing documents such as the informed consent and information sheet.</w:t>
      </w:r>
    </w:p>
    <w:p w14:paraId="4FB1AA1B" w14:textId="77777777" w:rsidR="00BF4C9B" w:rsidRPr="00A95E37" w:rsidRDefault="00BF4C9B" w:rsidP="00990232">
      <w:pPr>
        <w:spacing w:line="360" w:lineRule="auto"/>
        <w:jc w:val="both"/>
      </w:pPr>
    </w:p>
    <w:p w14:paraId="6DD7AA0B" w14:textId="77777777" w:rsidR="0056745A" w:rsidRDefault="00CA45EE" w:rsidP="00990232">
      <w:pPr>
        <w:spacing w:line="360" w:lineRule="auto"/>
        <w:jc w:val="both"/>
      </w:pPr>
      <w:r>
        <w:rPr>
          <w:b/>
        </w:rPr>
        <w:t>Patients</w:t>
      </w:r>
    </w:p>
    <w:p w14:paraId="05A358D8" w14:textId="77777777" w:rsidR="00CA45EE" w:rsidRDefault="00CA45EE" w:rsidP="00990232">
      <w:pPr>
        <w:spacing w:line="360" w:lineRule="auto"/>
        <w:jc w:val="both"/>
      </w:pPr>
    </w:p>
    <w:p w14:paraId="6693F8DC" w14:textId="77777777" w:rsidR="00CA45EE" w:rsidRDefault="00153791" w:rsidP="00990232">
      <w:pPr>
        <w:spacing w:line="360" w:lineRule="auto"/>
        <w:jc w:val="both"/>
      </w:pPr>
      <w:r>
        <w:t>All consecutive</w:t>
      </w:r>
      <w:r w:rsidR="00364591">
        <w:t xml:space="preserve"> IBD patients</w:t>
      </w:r>
      <w:r w:rsidR="003D2DB4">
        <w:t xml:space="preserve"> above the age of 18 years</w:t>
      </w:r>
      <w:r w:rsidR="00364591">
        <w:t xml:space="preserve"> with longstanding colitis (UC: </w:t>
      </w:r>
      <w:r w:rsidR="00466541" w:rsidRPr="00466541">
        <w:rPr>
          <w:lang w:val="en-US"/>
        </w:rPr>
        <w:t xml:space="preserve">8 years after onset of symptoms for patients with </w:t>
      </w:r>
      <w:r w:rsidR="00466541">
        <w:rPr>
          <w:lang w:val="en-US"/>
        </w:rPr>
        <w:t>subtotal or</w:t>
      </w:r>
      <w:r w:rsidR="00466541" w:rsidRPr="00466541">
        <w:rPr>
          <w:lang w:val="en-US"/>
        </w:rPr>
        <w:t xml:space="preserve"> </w:t>
      </w:r>
      <w:r w:rsidR="00466541">
        <w:rPr>
          <w:lang w:val="en-US"/>
        </w:rPr>
        <w:t xml:space="preserve">total </w:t>
      </w:r>
      <w:r w:rsidR="00466541" w:rsidRPr="00466541">
        <w:rPr>
          <w:lang w:val="en-US"/>
        </w:rPr>
        <w:t>colitis, and 10 years after onset of symptoms for patients with</w:t>
      </w:r>
      <w:r w:rsidR="00466541">
        <w:rPr>
          <w:lang w:val="en-US"/>
        </w:rPr>
        <w:t xml:space="preserve"> </w:t>
      </w:r>
      <w:r w:rsidR="00466541" w:rsidRPr="00466541">
        <w:rPr>
          <w:lang w:val="en-US"/>
        </w:rPr>
        <w:t>left-sided colitis</w:t>
      </w:r>
      <w:r w:rsidR="00466541">
        <w:rPr>
          <w:lang w:val="en-US"/>
        </w:rPr>
        <w:t>, CC: 8 years after diagnosis)</w:t>
      </w:r>
      <w:r w:rsidR="00466541" w:rsidRPr="00466541">
        <w:t xml:space="preserve"> </w:t>
      </w:r>
      <w:r w:rsidR="00364591">
        <w:t xml:space="preserve">referred for a surveillance colonoscopy and </w:t>
      </w:r>
      <w:r w:rsidR="003D2DB4">
        <w:t>who were able to provide consent</w:t>
      </w:r>
      <w:r>
        <w:t xml:space="preserve"> were invited to participate.</w:t>
      </w:r>
    </w:p>
    <w:p w14:paraId="55BEF812" w14:textId="77777777" w:rsidR="00E07C40" w:rsidRDefault="00E07C40" w:rsidP="00990232">
      <w:pPr>
        <w:spacing w:line="360" w:lineRule="auto"/>
        <w:jc w:val="both"/>
      </w:pPr>
    </w:p>
    <w:p w14:paraId="1A3FB6D0" w14:textId="4BBD17FF" w:rsidR="00E07C40" w:rsidRPr="00E438DC" w:rsidRDefault="00E07C40" w:rsidP="00990232">
      <w:pPr>
        <w:spacing w:line="360" w:lineRule="auto"/>
        <w:jc w:val="both"/>
        <w:rPr>
          <w:rFonts w:cs="Arial"/>
          <w:bCs/>
          <w:lang w:val="en-US"/>
        </w:rPr>
      </w:pPr>
      <w:r w:rsidRPr="00E438DC">
        <w:t xml:space="preserve">Exclusion criteria were persistent coagulopathy, known colonic neoplasia, pregnant women, </w:t>
      </w:r>
      <w:r w:rsidR="00B03E94" w:rsidRPr="00E438DC">
        <w:t xml:space="preserve">fulminant colitis and inability to consent. </w:t>
      </w:r>
      <w:r w:rsidR="00632F85" w:rsidRPr="00E438DC">
        <w:t xml:space="preserve">Persistent coagulopathy was defined as patients who were on warfarin and had an INR of &gt;1.5 despite cessation of the drug or had not stopped their direct oral anticoagulants as per the British Society of Gastroenterology (BSG) and European Society of Gastrointestinal Endoscopy </w:t>
      </w:r>
      <w:r w:rsidR="00D52507" w:rsidRPr="00E438DC">
        <w:t xml:space="preserve">(ESGE) </w:t>
      </w:r>
      <w:r w:rsidR="00632F85" w:rsidRPr="00E438DC">
        <w:t xml:space="preserve">guidelines on endoscopy in patients on anticoagulant therapy. </w:t>
      </w:r>
      <w:r w:rsidR="00AA086F" w:rsidRPr="00E438DC">
        <w:fldChar w:fldCharType="begin" w:fldLock="1"/>
      </w:r>
      <w:r w:rsidR="00DE25CA" w:rsidRPr="00E438DC">
        <w:instrText>ADDIN CSL_CITATION {"citationItems":[{"id":"ITEM-1","itemData":{"DOI":"10.1136/gutjnl-2015-311110","author":[{"dropping-particle":"","family":"Veitch","given":"Andrew M","non-dropping-particle":"","parse-names":false,"suffix":""},{"dropping-particle":"","family":"Vanbiervliet","given":"Geoffroy","non-dropping-particle":"","parse-names":false,"suffix":""},{"dropping-particle":"","family":"Gershlick","given":"Anthony H","non-dropping-particle":"","parse-names":false,"suffix":""},{"dropping-particle":"","family":"Boustiere","given":"Christian","non-dropping-particle":"","parse-names":false,"suffix":""},{"dropping-particle":"","family":"Baglin","given":"Trevor P","non-dropping-particle":"","parse-names":false,"suffix":""},{"dropping-particle":"","family":"Smith","given":"Lesley-Ann","non-dropping-particle":"","parse-names":false,"suffix":""},{"dropping-particle":"","family":"Radaelli","given":"Franco","non-dropping-particle":"","parse-names":false,"suffix":""},{"dropping-particle":"","family":"Knight","given":"Evelyn","non-dropping-particle":"","parse-names":false,"suffix":""},{"dropping-particle":"","family":"Gralnek","given":"Ian M","non-dropping-particle":"","parse-names":false,"suffix":""},{"dropping-particle":"","family":"Hassan","given":"Cesare","non-dropping-particle":"","parse-names":false,"suffix":""},{"dropping-particle":"","family":"Dumonceau","given":"Jean-Marc","non-dropping-particle":"","parse-names":false,"suffix":""}],"id":"ITEM-1","issued":{"date-parts":[["2016"]]},"title":"Endoscopy in patients on antiplatelet or anticoagulant therapy, including direct oral anticoagulants: British Society of Gastroenterology (BSG) and European Society of Gastrointestinal Endoscopy (ESGE) guidelines","type":"article-journal"},"uris":["http://www.mendeley.com/documents/?uuid=1b29c59a-5879-3a3b-aeb9-d4a826bc8aec"]}],"mendeley":{"formattedCitation":"[16]","plainTextFormattedCitation":"[16]","previouslyFormattedCitation":"[16]"},"properties":{"noteIndex":0},"schema":"https://github.com/citation-style-language/schema/raw/master/csl-citation.json"}</w:instrText>
      </w:r>
      <w:r w:rsidR="00AA086F" w:rsidRPr="00E438DC">
        <w:fldChar w:fldCharType="separate"/>
      </w:r>
      <w:r w:rsidR="00AA086F" w:rsidRPr="00E438DC">
        <w:rPr>
          <w:noProof/>
        </w:rPr>
        <w:t>[16]</w:t>
      </w:r>
      <w:r w:rsidR="00AA086F" w:rsidRPr="00E438DC">
        <w:fldChar w:fldCharType="end"/>
      </w:r>
    </w:p>
    <w:p w14:paraId="19550F19" w14:textId="77777777" w:rsidR="000D11C0" w:rsidRDefault="000D11C0" w:rsidP="00990232">
      <w:pPr>
        <w:spacing w:line="360" w:lineRule="auto"/>
        <w:jc w:val="both"/>
        <w:rPr>
          <w:rFonts w:cs="Arial"/>
          <w:bCs/>
          <w:lang w:val="en-US"/>
        </w:rPr>
      </w:pPr>
    </w:p>
    <w:p w14:paraId="6F30FB22" w14:textId="77777777" w:rsidR="000D11C0" w:rsidRDefault="000D11C0" w:rsidP="00990232">
      <w:pPr>
        <w:spacing w:line="360" w:lineRule="auto"/>
        <w:jc w:val="both"/>
        <w:rPr>
          <w:rFonts w:cs="Arial"/>
          <w:bCs/>
          <w:lang w:val="en-US"/>
        </w:rPr>
      </w:pPr>
    </w:p>
    <w:p w14:paraId="451F4B60" w14:textId="77777777" w:rsidR="00021BAC" w:rsidRPr="00021BAC" w:rsidRDefault="005939E6" w:rsidP="00990232">
      <w:pPr>
        <w:spacing w:line="360" w:lineRule="auto"/>
        <w:jc w:val="both"/>
        <w:rPr>
          <w:lang w:val="en-US"/>
        </w:rPr>
      </w:pPr>
      <w:r>
        <w:rPr>
          <w:rFonts w:cs="Arial"/>
          <w:b/>
          <w:bCs/>
          <w:lang w:val="en-US"/>
        </w:rPr>
        <w:t>Procedure</w:t>
      </w:r>
    </w:p>
    <w:p w14:paraId="5C9B7DD0" w14:textId="77777777" w:rsidR="0056745A" w:rsidRDefault="0056745A" w:rsidP="00990232">
      <w:pPr>
        <w:spacing w:line="360" w:lineRule="auto"/>
        <w:jc w:val="both"/>
      </w:pPr>
    </w:p>
    <w:p w14:paraId="490ECAA8" w14:textId="77777777" w:rsidR="00B03E94" w:rsidRDefault="005E2009" w:rsidP="00B03E94">
      <w:pPr>
        <w:spacing w:line="360" w:lineRule="auto"/>
        <w:jc w:val="both"/>
        <w:rPr>
          <w:rFonts w:cs="Arial"/>
          <w:bCs/>
          <w:lang w:val="en-US"/>
        </w:rPr>
      </w:pPr>
      <w:r>
        <w:t xml:space="preserve">All </w:t>
      </w:r>
      <w:r w:rsidR="000108A3">
        <w:t>patients</w:t>
      </w:r>
      <w:r>
        <w:t xml:space="preserve"> received standard polyethylene glycol-based bowel preparation prior to the procedure. The patients were consented for the study following consent </w:t>
      </w:r>
      <w:r w:rsidR="005B6C5D">
        <w:t xml:space="preserve">for the surveillance colonoscopy. Thereafter, demographic and clinical data were obtained. </w:t>
      </w:r>
      <w:r w:rsidR="000108A3">
        <w:t>Patients</w:t>
      </w:r>
      <w:r w:rsidR="00EB1033">
        <w:t xml:space="preserve"> were randomised on a 1:1 ratio to </w:t>
      </w:r>
      <w:r w:rsidR="00EB1033" w:rsidRPr="00EB1033">
        <w:rPr>
          <w:lang w:val="en-US"/>
        </w:rPr>
        <w:t>two study arms</w:t>
      </w:r>
      <w:r w:rsidR="00EB1033">
        <w:rPr>
          <w:lang w:val="en-US"/>
        </w:rPr>
        <w:t xml:space="preserve"> via an on</w:t>
      </w:r>
      <w:r w:rsidR="003C6182">
        <w:rPr>
          <w:lang w:val="en-US"/>
        </w:rPr>
        <w:t>line randomis</w:t>
      </w:r>
      <w:r w:rsidR="00EB1033">
        <w:rPr>
          <w:lang w:val="en-US"/>
        </w:rPr>
        <w:t>ation platform (Sealed Envelope Ltd</w:t>
      </w:r>
      <w:r w:rsidR="003C6182">
        <w:rPr>
          <w:lang w:val="en-US"/>
        </w:rPr>
        <w:t>, United Kingdom</w:t>
      </w:r>
      <w:r w:rsidR="00EB1033">
        <w:rPr>
          <w:lang w:val="en-US"/>
        </w:rPr>
        <w:t>)</w:t>
      </w:r>
      <w:r w:rsidR="00EB1033" w:rsidRPr="00EB1033">
        <w:rPr>
          <w:lang w:val="en-US"/>
        </w:rPr>
        <w:t xml:space="preserve"> using random </w:t>
      </w:r>
      <w:r w:rsidR="00EB1033" w:rsidRPr="00E438DC">
        <w:rPr>
          <w:lang w:val="en-US"/>
        </w:rPr>
        <w:t>permuted blocks of randomly varying sizes</w:t>
      </w:r>
      <w:r w:rsidR="008E2A26" w:rsidRPr="00E438DC">
        <w:rPr>
          <w:lang w:val="en-US"/>
        </w:rPr>
        <w:t xml:space="preserve"> prior to commencing the surveillance colonoscopy. </w:t>
      </w:r>
      <w:r w:rsidR="00B03E94" w:rsidRPr="00E438DC">
        <w:rPr>
          <w:rFonts w:cs="Arial"/>
          <w:bCs/>
          <w:lang w:val="en-US"/>
        </w:rPr>
        <w:t xml:space="preserve">The disease activity and bowel preparation were assessed during the insertion phase of the surveillance colonoscopy. Patients with </w:t>
      </w:r>
      <w:r w:rsidR="00B03E94" w:rsidRPr="00E438DC">
        <w:t xml:space="preserve">active colitis [defined as modified Baron’s score of &lt;3 and Simple Endoscopic Score for Crohn’s Disease (SES-CD) of &lt;6], and poor bowel preparation (defined as </w:t>
      </w:r>
      <w:r w:rsidR="00B03E94" w:rsidRPr="00E438DC">
        <w:rPr>
          <w:rFonts w:cs="Arial"/>
          <w:bCs/>
          <w:lang w:val="en-US"/>
        </w:rPr>
        <w:t>&gt;20 % of the mucosa obscured by solid stool after suction) were withdrawn from the study.</w:t>
      </w:r>
    </w:p>
    <w:p w14:paraId="54366988" w14:textId="1092B846" w:rsidR="005E2009" w:rsidRPr="00EB1033" w:rsidRDefault="005E2009" w:rsidP="00990232">
      <w:pPr>
        <w:spacing w:line="360" w:lineRule="auto"/>
        <w:jc w:val="both"/>
        <w:rPr>
          <w:lang w:val="en-US"/>
        </w:rPr>
      </w:pPr>
    </w:p>
    <w:p w14:paraId="467B5F7F" w14:textId="77777777" w:rsidR="005B6C5D" w:rsidRDefault="005B6C5D" w:rsidP="00990232">
      <w:pPr>
        <w:spacing w:line="360" w:lineRule="auto"/>
        <w:jc w:val="both"/>
      </w:pPr>
    </w:p>
    <w:p w14:paraId="060B63DB" w14:textId="5D7B9214" w:rsidR="0056745A" w:rsidRPr="00E438DC" w:rsidRDefault="00590BB6" w:rsidP="00990232">
      <w:pPr>
        <w:spacing w:line="360" w:lineRule="auto"/>
        <w:jc w:val="both"/>
      </w:pPr>
      <w:r w:rsidRPr="00E438DC">
        <w:t>All colonoscopies were carried out using i10 series Pentax colonoscopes</w:t>
      </w:r>
      <w:r w:rsidR="00430FA6" w:rsidRPr="00E438DC">
        <w:t xml:space="preserve"> without zoom</w:t>
      </w:r>
      <w:r w:rsidRPr="00E438DC">
        <w:t xml:space="preserve"> and </w:t>
      </w:r>
      <w:r w:rsidR="00430FA6" w:rsidRPr="00E438DC">
        <w:t>OPTIVISTA EPK-i7010 high-definition video processors (Pentax, Germany</w:t>
      </w:r>
      <w:r w:rsidR="003C6182" w:rsidRPr="00E438DC">
        <w:t>), which were,</w:t>
      </w:r>
      <w:r w:rsidR="00044DEB" w:rsidRPr="00E438DC">
        <w:t xml:space="preserve"> connected to high definition monitors</w:t>
      </w:r>
      <w:r w:rsidR="00BA6ADD" w:rsidRPr="00E438DC">
        <w:t>.</w:t>
      </w:r>
      <w:r w:rsidR="005E2009" w:rsidRPr="00E438DC">
        <w:t xml:space="preserve"> </w:t>
      </w:r>
      <w:r w:rsidR="005B6C5D" w:rsidRPr="00E438DC">
        <w:t xml:space="preserve">The colonoscopies were undertaken by 6 dedicated endoscopists </w:t>
      </w:r>
      <w:r w:rsidR="00650B67" w:rsidRPr="00E438DC">
        <w:t xml:space="preserve">who have been trained to perform IBD surveillance colonoscopy by the two senior endoscopists in the study (PB and MI). </w:t>
      </w:r>
      <w:r w:rsidR="008912D7" w:rsidRPr="00E438DC">
        <w:t xml:space="preserve">All the endoscopists involved had carried out more than a 100 cases using HDV and HDWL prior to the commencement of the study. </w:t>
      </w:r>
      <w:r w:rsidR="00650B67" w:rsidRPr="00E438DC">
        <w:t xml:space="preserve">The procedures were performed with the </w:t>
      </w:r>
      <w:r w:rsidR="000108A3" w:rsidRPr="00E438DC">
        <w:t>patients</w:t>
      </w:r>
      <w:r w:rsidR="00650B67" w:rsidRPr="00E438DC">
        <w:t xml:space="preserve"> under conscious sedation using intravenous midazolam and fentanyl.</w:t>
      </w:r>
      <w:r w:rsidR="00EB1033" w:rsidRPr="00E438DC">
        <w:t xml:space="preserve"> </w:t>
      </w:r>
    </w:p>
    <w:p w14:paraId="7E027E6E" w14:textId="77777777" w:rsidR="0056745A" w:rsidRDefault="0056745A" w:rsidP="00990232">
      <w:pPr>
        <w:spacing w:line="360" w:lineRule="auto"/>
        <w:jc w:val="both"/>
      </w:pPr>
    </w:p>
    <w:p w14:paraId="40B932CE" w14:textId="4673FA40" w:rsidR="0047496D" w:rsidRPr="00E438DC" w:rsidRDefault="00044DEB" w:rsidP="00990232">
      <w:pPr>
        <w:spacing w:line="360" w:lineRule="auto"/>
        <w:jc w:val="both"/>
      </w:pPr>
      <w:r w:rsidRPr="00E438DC">
        <w:t>Intubation up to</w:t>
      </w:r>
      <w:r w:rsidR="003C6182" w:rsidRPr="00E438DC">
        <w:t xml:space="preserve"> the</w:t>
      </w:r>
      <w:r w:rsidRPr="00E438DC">
        <w:t xml:space="preserve"> caecum was carried out using HDWL in both arms. Once the caecum was reached, withdrawal was</w:t>
      </w:r>
      <w:r w:rsidR="0057196E" w:rsidRPr="00E438DC">
        <w:t xml:space="preserve"> carried out using i-s</w:t>
      </w:r>
      <w:r w:rsidR="000108A3" w:rsidRPr="00E438DC">
        <w:t xml:space="preserve">can OE </w:t>
      </w:r>
      <w:r w:rsidR="000C42A6" w:rsidRPr="00E438DC">
        <w:t xml:space="preserve">Mode </w:t>
      </w:r>
      <w:r w:rsidR="000108A3" w:rsidRPr="00E438DC">
        <w:t>2 for patients randomise</w:t>
      </w:r>
      <w:r w:rsidR="003C6182" w:rsidRPr="00E438DC">
        <w:t>d</w:t>
      </w:r>
      <w:r w:rsidR="000108A3" w:rsidRPr="00E438DC">
        <w:t xml:space="preserve"> to the HDV arm. For patients in the HDWL arm, withdrawal was carried out using HDWL only. </w:t>
      </w:r>
      <w:r w:rsidR="00FD3949" w:rsidRPr="00E438DC">
        <w:t>A research nurse who was present for the whole duration of the procedure documented the times for the start of the procedure, caecal intubation and the end of the procedure where the colonoscope has been completely withdrawn from the patient</w:t>
      </w:r>
      <w:r w:rsidR="00FB4D17" w:rsidRPr="00E438DC">
        <w:t xml:space="preserve"> using an electronic clock</w:t>
      </w:r>
      <w:r w:rsidR="00FD3949" w:rsidRPr="00E438DC">
        <w:t>.</w:t>
      </w:r>
    </w:p>
    <w:p w14:paraId="1BDED198" w14:textId="77777777" w:rsidR="0047496D" w:rsidRDefault="0047496D" w:rsidP="00990232">
      <w:pPr>
        <w:spacing w:line="360" w:lineRule="auto"/>
        <w:jc w:val="both"/>
      </w:pPr>
    </w:p>
    <w:p w14:paraId="4E1B7601" w14:textId="77777777" w:rsidR="0047496D" w:rsidRDefault="0047496D" w:rsidP="00990232">
      <w:pPr>
        <w:spacing w:line="360" w:lineRule="auto"/>
        <w:jc w:val="both"/>
        <w:rPr>
          <w:b/>
        </w:rPr>
      </w:pPr>
      <w:r>
        <w:rPr>
          <w:b/>
        </w:rPr>
        <w:t>Biopsy protocol</w:t>
      </w:r>
    </w:p>
    <w:p w14:paraId="0E8AF0A3" w14:textId="77777777" w:rsidR="0047496D" w:rsidRDefault="0047496D" w:rsidP="00990232">
      <w:pPr>
        <w:spacing w:line="360" w:lineRule="auto"/>
        <w:jc w:val="both"/>
        <w:rPr>
          <w:b/>
        </w:rPr>
      </w:pPr>
    </w:p>
    <w:p w14:paraId="033E62C1" w14:textId="6C0A7D65" w:rsidR="0056745A" w:rsidRPr="00E438DC" w:rsidRDefault="008E5A76" w:rsidP="00990232">
      <w:pPr>
        <w:spacing w:line="360" w:lineRule="auto"/>
        <w:jc w:val="both"/>
      </w:pPr>
      <w:r w:rsidRPr="00E438DC">
        <w:t xml:space="preserve">The assessment for lesions was carried out on withdrawal of the endoscope from the caecum. </w:t>
      </w:r>
      <w:r w:rsidR="000108A3" w:rsidRPr="00E438DC">
        <w:t>The size, location and Paris classification of all lesions detected</w:t>
      </w:r>
      <w:r w:rsidR="00CD09EE" w:rsidRPr="00E438DC">
        <w:t xml:space="preserve"> in both arms of the study</w:t>
      </w:r>
      <w:r w:rsidR="000108A3" w:rsidRPr="00E438DC">
        <w:t xml:space="preserve"> were documented. These lesions were </w:t>
      </w:r>
      <w:r w:rsidR="00757982" w:rsidRPr="00E438DC">
        <w:t>either resected or targeted biopsies were taken.</w:t>
      </w:r>
      <w:r w:rsidR="00AB481C" w:rsidRPr="00E438DC">
        <w:t xml:space="preserve"> No additional imaging technologies or techniques were used to assess the lesions prior to resection or biopsy. </w:t>
      </w:r>
      <w:r w:rsidR="00757982" w:rsidRPr="00E438DC">
        <w:t xml:space="preserve"> </w:t>
      </w:r>
      <w:r w:rsidRPr="00E438DC">
        <w:t xml:space="preserve">In addition, </w:t>
      </w:r>
      <w:r w:rsidR="00794AE8" w:rsidRPr="00E438DC">
        <w:t>quadrant</w:t>
      </w:r>
      <w:r w:rsidR="00757982" w:rsidRPr="00E438DC">
        <w:t>ic</w:t>
      </w:r>
      <w:r w:rsidR="00794AE8" w:rsidRPr="00E438DC">
        <w:t xml:space="preserve"> </w:t>
      </w:r>
      <w:r w:rsidR="00CD09EE" w:rsidRPr="00E438DC">
        <w:t>non</w:t>
      </w:r>
      <w:r w:rsidR="00DA1D3F" w:rsidRPr="00E438DC">
        <w:t>-</w:t>
      </w:r>
      <w:r w:rsidR="00CD09EE" w:rsidRPr="00E438DC">
        <w:t xml:space="preserve">targeted </w:t>
      </w:r>
      <w:r w:rsidR="00794AE8" w:rsidRPr="00E438DC">
        <w:t xml:space="preserve">biopsies </w:t>
      </w:r>
      <w:r w:rsidRPr="00E438DC">
        <w:t xml:space="preserve">were taken </w:t>
      </w:r>
      <w:r w:rsidR="00794AE8" w:rsidRPr="00E438DC">
        <w:t>every 10cm in all pat</w:t>
      </w:r>
      <w:r w:rsidRPr="00E438DC">
        <w:t>ients in both arms of the study, starting at the caecum.</w:t>
      </w:r>
    </w:p>
    <w:p w14:paraId="0B5F28CF" w14:textId="77777777" w:rsidR="006B2F88" w:rsidRDefault="006B2F88" w:rsidP="00990232">
      <w:pPr>
        <w:spacing w:line="360" w:lineRule="auto"/>
        <w:jc w:val="both"/>
      </w:pPr>
    </w:p>
    <w:p w14:paraId="5CAD447F" w14:textId="77777777" w:rsidR="006B2F88" w:rsidRDefault="006B2F88" w:rsidP="00990232">
      <w:pPr>
        <w:spacing w:line="360" w:lineRule="auto"/>
        <w:jc w:val="both"/>
      </w:pPr>
      <w:r>
        <w:rPr>
          <w:b/>
        </w:rPr>
        <w:t>Histopathological assessment</w:t>
      </w:r>
    </w:p>
    <w:p w14:paraId="7E29AEEA" w14:textId="77777777" w:rsidR="006B2F88" w:rsidRDefault="006B2F88" w:rsidP="00990232">
      <w:pPr>
        <w:spacing w:line="360" w:lineRule="auto"/>
        <w:jc w:val="both"/>
      </w:pPr>
    </w:p>
    <w:p w14:paraId="2028426B" w14:textId="6B9395C8" w:rsidR="006B2F88" w:rsidRDefault="006B2F88" w:rsidP="00990232">
      <w:pPr>
        <w:spacing w:line="360" w:lineRule="auto"/>
        <w:jc w:val="both"/>
      </w:pPr>
      <w:r>
        <w:t xml:space="preserve">Pathological specimens were analysed by the pathologist of each centre for the presence of neoplasia. A second pathologist expert in gastrointestinal pathology reviewed all specimens containing neoplasia. The following pathological diagnoses were considered to be neoplastic: adenoma, any grade of dysplasia, </w:t>
      </w:r>
      <w:r w:rsidR="005818BE">
        <w:t>serrated or adenocarcinoma.</w:t>
      </w:r>
      <w:r w:rsidR="00C75ADD">
        <w:t xml:space="preserve"> Hyperplastic, regenerative</w:t>
      </w:r>
      <w:r w:rsidR="005751E8">
        <w:t>, inflammatory</w:t>
      </w:r>
      <w:r w:rsidR="006B1A78">
        <w:t xml:space="preserve"> and pseudo-</w:t>
      </w:r>
      <w:r w:rsidR="00C75ADD">
        <w:t xml:space="preserve"> polyps were considered as non</w:t>
      </w:r>
      <w:r w:rsidR="00C077C3">
        <w:t>-</w:t>
      </w:r>
      <w:r w:rsidR="00C75ADD">
        <w:t>neoplastic.</w:t>
      </w:r>
    </w:p>
    <w:p w14:paraId="4388BCA4" w14:textId="77777777" w:rsidR="00A433FC" w:rsidRDefault="00A433FC" w:rsidP="00990232">
      <w:pPr>
        <w:spacing w:line="360" w:lineRule="auto"/>
        <w:jc w:val="both"/>
      </w:pPr>
    </w:p>
    <w:p w14:paraId="6FB9BB23" w14:textId="77777777" w:rsidR="00A433FC" w:rsidRDefault="00A433FC" w:rsidP="00990232">
      <w:pPr>
        <w:spacing w:line="360" w:lineRule="auto"/>
        <w:jc w:val="both"/>
      </w:pPr>
      <w:r>
        <w:rPr>
          <w:b/>
        </w:rPr>
        <w:t>STATISTICAL ANALYSIS</w:t>
      </w:r>
    </w:p>
    <w:p w14:paraId="434D2C92" w14:textId="77777777" w:rsidR="00A433FC" w:rsidRDefault="00A433FC" w:rsidP="00990232">
      <w:pPr>
        <w:spacing w:line="360" w:lineRule="auto"/>
        <w:jc w:val="both"/>
      </w:pPr>
    </w:p>
    <w:p w14:paraId="02B3A473" w14:textId="0A588E75" w:rsidR="00A433FC" w:rsidRDefault="00BF0A17" w:rsidP="00990232">
      <w:pPr>
        <w:spacing w:line="360" w:lineRule="auto"/>
        <w:jc w:val="both"/>
      </w:pPr>
      <w:r w:rsidRPr="006B1A78">
        <w:t>In previous studies using the older virtual chromoendoscopy technolog</w:t>
      </w:r>
      <w:r w:rsidR="00720169">
        <w:t>ies</w:t>
      </w:r>
      <w:r w:rsidRPr="006B1A78">
        <w:t xml:space="preserve">, the </w:t>
      </w:r>
      <w:r w:rsidR="002B5021" w:rsidRPr="006B1A78">
        <w:t>NDR</w:t>
      </w:r>
      <w:r w:rsidRPr="006B1A78">
        <w:t xml:space="preserve"> using HDV </w:t>
      </w:r>
      <w:r w:rsidR="00241C7E" w:rsidRPr="006B1A78">
        <w:t>has been reported to be between</w:t>
      </w:r>
      <w:r w:rsidRPr="006B1A78">
        <w:t xml:space="preserve"> 12-39%.</w:t>
      </w:r>
      <w:r w:rsidRPr="006B1A78">
        <w:rPr>
          <w:vertAlign w:val="superscript"/>
        </w:rPr>
        <w:t xml:space="preserve"> </w:t>
      </w:r>
      <w:r w:rsidRPr="00720169">
        <w:rPr>
          <w:highlight w:val="yellow"/>
          <w:vertAlign w:val="superscript"/>
        </w:rPr>
        <w:fldChar w:fldCharType="begin" w:fldLock="1"/>
      </w:r>
      <w:r w:rsidR="00DE25CA">
        <w:rPr>
          <w:vertAlign w:val="superscript"/>
        </w:rPr>
        <w:instrText>ADDIN CSL_CITATION {"citationItems":[{"id":"ITEM-1","itemData":{"DOI":"10.1055/s-2007-966214","ISSN":"1438-8812","PMID":"17385106","abstract":"BACKGROUND AND STUDY AIM Patients with longstanding ulcerative colitis are at increased risk of developing colorectal cancer. Colonoscopic surveillance is advised, but the detection of neoplasia by conventional colonoscopy is difficult. The aim of this study was to compare the accuracy of narrow-band imaging (NBI), a new imaging technique, with standard colonoscopy for the detection of neoplasia in patients with longstanding ulcerative colitis. PATIENTS AND METHODS This was a prospective, randomized, crossover study of 42 patients with longstanding ulcerative colitis. All participants underwent NBI and conventional colonoscopy with at least 3 weeks between the procedures. Randomization determined the order of the examinations. Targeted biopsies were taken during both procedures; additional random biopsies were taken at conventional colonoscopy only. The number of patients with neoplasia detected by targeted biopsies was used to assess the sensitivity for each technique. RESULTS With NBI, 52 suspicious lesions were detected in 17 patients, compared with 28 suspicious lesions in 13 patients detected during conventional colonoscopy. Histopathological evaluation of targeted biopsies revealed 11 patients with neoplasia: in four patients the neoplasia was detected by both techniques, in four patients neoplasia was detected only by NBI, and in three patients neoplasia was detected only by conventional colonoscopy ( P = 0.705). Aside from targeted biopsies, 1522 random biopsies were taken. These revealed one additional patient with dysplasia that was not detected by either technique. CONCLUSIONS The sensitivity of the studied first-generation NBI system for the detection of patients with neoplasia seems to be comparable to conventional colonoscopy, although more suspicious lesions were found during NBI. We believe that it is still too early to stop taking additional random biopsies at surveillance colonoscopy in patients with ulcerative colitis.","author":[{"dropping-particle":"","family":"Dekker","given":"E","non-dropping-particle":"","parse-names":false,"suffix":""},{"dropping-particle":"","family":"Broek","given":"F J","non-dropping-particle":"van den","parse-names":false,"suffix":""},{"dropping-particle":"","family":"Reitsma","given":"J B","non-dropping-particle":"","parse-names":false,"suffix":""},{"dropping-particle":"","family":"Hardwick","given":"J C","non-dropping-particle":"","parse-names":false,"suffix":""},{"dropping-particle":"","family":"Offerhaus","given":"G J","non-dropping-particle":"","parse-names":false,"suffix":""},{"dropping-particle":"","family":"Deventer","given":"S J","non-dropping-particle":"van","parse-names":false,"suffix":""},{"dropping-particle":"","family":"Hommes","given":"D W","non-dropping-particle":"","parse-names":false,"suffix":""},{"dropping-particle":"","family":"Fockens","given":"P","non-dropping-particle":"","parse-names":false,"suffix":""}],"container-title":"Endoscopy","id":"ITEM-1","issue":"3","issued":{"date-parts":[["2007","3"]]},"page":"216-21","title":"Narrow-band imaging compared with conventional colonoscopy for the detection of dysplasia in patients with longstanding ulcerative colitis.","type":"article-journal","volume":"39"},"uris":["http://www.mendeley.com/documents/?uuid=24a20ce8-eb9a-3f63-89c6-93c0570b22ce"]},{"id":"ITEM-2","itemData":{"DOI":"10.1136/gut.2008.153601","ISSN":"0017-5749","PMID":"18838485","abstract":"OBJECTIVE Colonoscopy is the accepted gold standard for screening of neoplastic colorectal lesions, but the substantial miss rate remains a challenge. Computed virtual chromoendoscopy with the Fujinon intelligent colour enhancement (FICE) system is a new dyeless imaging technique that might allow higher rates of adenoma detection. METHODS This is a prospective randomised five tertiary care centre trial of colonoscopy in the FICE mode versus standard colonoscopy with targeted indigocarmine chromoscopy (control group) in consecutive patients attending for routine colonoscopy. Histopathology of detected lesions was confirmed by evaluation of endoscopic resection or biopsy specimens. RESULTS 871 patients were enrolled, and 764 patients (344 female, mean age 64 years) were subjected to final analysis (368 in the FICE group, 396 in the control group). In total, 236 adenomas (mean of 0.64 per case) were detected in the FICE group and 271 adenomas (mean of 0.68 per case) in the control group (p = 0.92). There was no statistically significant difference in the percentage of patients with &gt;or=1 adenoma between the control group (35.4%) and the FICE group (35.6%) (p = 1.0). For the differential diagnosis of adenomas and non-neoplastic polyps, the sensitivity of FICE (92.7%) was comparable with that of indigocarmine (90.4%) (p = 0.44). CONCLUSIONS At colonoscopy, adenoma detection rates are not improved by virtual chromoendoscopy with the FICE system compared with white light endoscopy with targeted indigocarmine spraying. However, FICE can effectively substitute for chromoscopy concerning the differentiation of neoplastic and non-neoplastic lesions.","author":[{"dropping-particle":"","family":"Pohl","given":"J","non-dropping-particle":"","parse-names":false,"suffix":""},{"dropping-particle":"","family":"Lotterer","given":"E","non-dropping-particle":"","parse-names":false,"suffix":""},{"dropping-particle":"","family":"Balzer","given":"C","non-dropping-particle":"","parse-names":false,"suffix":""},{"dropping-particle":"","family":"Sackmann","given":"M","non-dropping-particle":"","parse-names":false,"suffix":""},{"dropping-particle":"","family":"Schmidt","given":"K-D","non-dropping-particle":"","parse-names":false,"suffix":""},{"dropping-particle":"","family":"Gossner","given":"L","non-dropping-particle":"","parse-names":false,"suffix":""},{"dropping-particle":"","family":"Schaab","given":"C","non-dropping-particle":"","parse-names":false,"suffix":""},{"dropping-particle":"","family":"Frieling","given":"T","non-dropping-particle":"","parse-names":false,"suffix":""},{"dropping-particle":"","family":"Medve","given":"M","non-dropping-particle":"","parse-names":false,"suffix":""},{"dropping-particle":"","family":"Mayer","given":"G","non-dropping-particle":"","parse-names":false,"suffix":""},{"dropping-particle":"","family":"Nguyen-Tat","given":"M","non-dropping-particle":"","parse-names":false,"suffix":""},{"dropping-particle":"","family":"Ell","given":"C","non-dropping-particle":"","parse-names":false,"suffix":""}],"container-title":"Gut","id":"ITEM-2","issue":"1","issued":{"date-parts":[["2009","1","1"]]},"page":"73-78","title":"Computed virtual chromoendoscopy versus standard colonoscopy with targeted indigocarmine chromoscopy: a randomised multicentre trial","type":"article-journal","volume":"58"},"uris":["http://www.mendeley.com/documents/?uuid=12977abe-0b7b-3ec8-b529-3ebc3a881666"]},{"id":"ITEM-3","itemData":{"DOI":"10.1016/j.gie.2011.05.013","ISSN":"1097-6779","PMID":"21802681","abstract":"BACKGROUND Narrow-band imaging (NBI) is a novel technique that may represent an alternative method to chromoendoscopy (CE) for the detection of colitis-associated intraepithelial neoplasia (IN) in patients with long-standing inflammatory bowel disease (IBD). OBJECTIVE To compare NBI with CE for the detection of IN. DESIGN Prospective, randomized, crossover study. SETTING Academic hospital. PATIENTS Patients with clinically inactive colonic IBD (≥8 years). INTERVENTION Patients underwent both CE and NBI in randomized order. Targeted biopsy specimens from abnormal areas were obtained. Pathological examination was regarded as the reference standard. MAIN OUTCOME MEASUREMENTS Number of false-positive and true-positive lesions in patients undergoing CE and NBI were compared as well as the proportion of patients with missed IN lesions. RESULTS Eighty patients were screened, of whom 20 were excluded. Mean ± standard deviation withdrawal time for CE was significantly longer than that for NBI (26.87 ± 9.89 minutes vs 15.74 ± 5.62 minutes, P &lt; .01). Thirteen patients had at least 1 IN lesion on 1 of the examinations. In the per-lesion analysis, NBI resulted in a significantly inferior false-positive biopsy rate (P = .001) and a similar true-positive rate. The percentage of missed IN lesions and patients was superior with NBI, albeit without reaching statistical significance. LIMITATIONS Lesions were sampled immediately after detection, which precluded the possibility of paired analysis. CONCLUSIONS NBI appears to be a less time-consuming and equally effective alternative to CE for the detection of IN. However, given the NBI lesion and patient miss rates, it cannot be recommended as the standard technique.","author":[{"dropping-particle":"","family":"Pellisé","given":"Maria","non-dropping-particle":"","parse-names":false,"suffix":""},{"dropping-particle":"","family":"López-Cerón","given":"Maria","non-dropping-particle":"","parse-names":false,"suffix":""},{"dropping-particle":"","family":"Rodríguez de Miguel","given":"Cristina","non-dropping-particle":"","parse-names":false,"suffix":""},{"dropping-particle":"","family":"Jimeno","given":"Mireya","non-dropping-particle":"","parse-names":false,"suffix":""},{"dropping-particle":"","family":"Zabalza","given":"Michel","non-dropping-particle":"","parse-names":false,"suffix":""},{"dropping-particle":"","family":"Ricart","given":"Elena","non-dropping-particle":"","parse-names":false,"suffix":""},{"dropping-particle":"","family":"Aceituno","given":"Montserrat","non-dropping-particle":"","parse-names":false,"suffix":""},{"dropping-particle":"","family":"Fernández-Esparrach","given":"Glòria","non-dropping-particle":"","parse-names":false,"suffix":""},{"dropping-particle":"","family":"Ginès","given":"Angels","non-dropping-particle":"","parse-names":false,"suffix":""},{"dropping-particle":"","family":"Sendino","given":"Oriol","non-dropping-particle":"","parse-names":false,"suffix":""},{"dropping-particle":"","family":"Cuatrecasas","given":"Miriam","non-dropping-particle":"","parse-names":false,"suffix":""},{"dropping-particle":"","family":"Llach","given":"Josep","non-dropping-particle":"","parse-names":false,"suffix":""},{"dropping-particle":"","family":"Panés","given":"Julián","non-dropping-particle":"","parse-names":false,"suffix":""}],"container-title":"Gastrointestinal endoscopy","id":"ITEM-3","issue":"4","issued":{"date-parts":[["2011","10"]]},"page":"840-8","title":"Narrow-band imaging as an alternative to chromoendoscopy for the detection of dysplasia in long-standing inflammatory bowel disease: a prospective, randomized, crossover study.","type":"article-journal","volume":"74"},"uris":["http://www.mendeley.com/documents/?uuid=7b52c094-49af-3c2e-a2d4-b5b50f6040d1"]}],"mendeley":{"formattedCitation":"[17–19]","plainTextFormattedCitation":"[17–19]","previouslyFormattedCitation":"[17–19]"},"properties":{"noteIndex":0},"schema":"https://github.com/citation-style-language/schema/raw/master/csl-citation.json"}</w:instrText>
      </w:r>
      <w:r w:rsidRPr="00720169">
        <w:rPr>
          <w:highlight w:val="yellow"/>
          <w:vertAlign w:val="superscript"/>
        </w:rPr>
        <w:fldChar w:fldCharType="separate"/>
      </w:r>
      <w:r w:rsidR="00AA086F" w:rsidRPr="00AA086F">
        <w:rPr>
          <w:noProof/>
        </w:rPr>
        <w:t>[17–19]</w:t>
      </w:r>
      <w:r w:rsidRPr="00720169">
        <w:rPr>
          <w:highlight w:val="yellow"/>
          <w:vertAlign w:val="superscript"/>
        </w:rPr>
        <w:fldChar w:fldCharType="end"/>
      </w:r>
      <w:r w:rsidRPr="006B1A78">
        <w:t xml:space="preserve"> </w:t>
      </w:r>
      <w:r w:rsidR="0087325A">
        <w:t>W</w:t>
      </w:r>
      <w:r w:rsidRPr="00EA3A78">
        <w:t xml:space="preserve">e </w:t>
      </w:r>
      <w:r>
        <w:t>have used an</w:t>
      </w:r>
      <w:r w:rsidRPr="00EA3A78">
        <w:t xml:space="preserve"> expected </w:t>
      </w:r>
      <w:r w:rsidR="002B5021">
        <w:t>NDR</w:t>
      </w:r>
      <w:r>
        <w:t xml:space="preserve"> in the HDV arm of 24% and of 9% in the HDWL (control) arm.</w:t>
      </w:r>
      <w:r w:rsidR="005A108B">
        <w:t xml:space="preserve"> With a significance level (alpha) of 5% and power of 80%, </w:t>
      </w:r>
      <w:r w:rsidR="009C67EC">
        <w:t>the number needed wa</w:t>
      </w:r>
      <w:r w:rsidR="005A108B" w:rsidRPr="006867DD">
        <w:t xml:space="preserve">s </w:t>
      </w:r>
      <w:r w:rsidR="005A108B">
        <w:t xml:space="preserve">93 </w:t>
      </w:r>
      <w:r w:rsidR="00241C7E">
        <w:t xml:space="preserve">in each </w:t>
      </w:r>
      <w:r w:rsidR="005A108B" w:rsidRPr="006867DD">
        <w:t>group, leading to a total of</w:t>
      </w:r>
      <w:r w:rsidR="005A108B">
        <w:t xml:space="preserve"> 186. However, we anticipate</w:t>
      </w:r>
      <w:r w:rsidR="0087325A">
        <w:t>d</w:t>
      </w:r>
      <w:r w:rsidR="005A108B">
        <w:t xml:space="preserve"> </w:t>
      </w:r>
      <w:r w:rsidR="00C077C3">
        <w:t xml:space="preserve">a </w:t>
      </w:r>
      <w:r w:rsidR="005A108B">
        <w:t xml:space="preserve">10% </w:t>
      </w:r>
      <w:r w:rsidR="00720169">
        <w:t>attrition</w:t>
      </w:r>
      <w:r w:rsidR="0087325A">
        <w:t xml:space="preserve"> rate</w:t>
      </w:r>
      <w:r w:rsidR="005D5476">
        <w:t xml:space="preserve"> </w:t>
      </w:r>
      <w:r w:rsidR="005A108B">
        <w:t>after the colonoscopy has been started</w:t>
      </w:r>
      <w:r w:rsidR="00C81906">
        <w:t xml:space="preserve"> (e.g. poor bowel preparation, endoscopically confirmed moderate to severe colitis)</w:t>
      </w:r>
      <w:r w:rsidR="005A108B">
        <w:t xml:space="preserve">. To </w:t>
      </w:r>
      <w:r w:rsidR="00720169">
        <w:t xml:space="preserve">adjust </w:t>
      </w:r>
      <w:r w:rsidR="005A108B">
        <w:t xml:space="preserve">for this, we </w:t>
      </w:r>
      <w:r w:rsidR="0087325A">
        <w:t>decided to recruit</w:t>
      </w:r>
      <w:r w:rsidR="005A108B">
        <w:t xml:space="preserve"> 204 patients.</w:t>
      </w:r>
    </w:p>
    <w:p w14:paraId="40B88739" w14:textId="77777777" w:rsidR="005A108B" w:rsidRDefault="005A108B" w:rsidP="00990232">
      <w:pPr>
        <w:spacing w:line="360" w:lineRule="auto"/>
        <w:jc w:val="both"/>
      </w:pPr>
    </w:p>
    <w:p w14:paraId="02287F70" w14:textId="77777777" w:rsidR="005A108B" w:rsidRDefault="00A85ED5" w:rsidP="00990232">
      <w:pPr>
        <w:spacing w:line="360" w:lineRule="auto"/>
        <w:jc w:val="both"/>
        <w:rPr>
          <w:lang w:val="en-US"/>
        </w:rPr>
      </w:pPr>
      <w:r w:rsidRPr="00A85ED5">
        <w:rPr>
          <w:lang w:val="en-US"/>
        </w:rPr>
        <w:t>The rate of neoplastic lesions detected with either endoscopic</w:t>
      </w:r>
      <w:r w:rsidR="00716FB9">
        <w:rPr>
          <w:lang w:val="en-US"/>
        </w:rPr>
        <w:t xml:space="preserve"> </w:t>
      </w:r>
      <w:r w:rsidR="00C81906">
        <w:rPr>
          <w:lang w:val="en-US"/>
        </w:rPr>
        <w:t>technique</w:t>
      </w:r>
      <w:r w:rsidRPr="00A85ED5">
        <w:rPr>
          <w:lang w:val="en-US"/>
        </w:rPr>
        <w:t xml:space="preserve"> was analysed using a statistics software program</w:t>
      </w:r>
      <w:r w:rsidR="00716FB9">
        <w:rPr>
          <w:lang w:val="en-US"/>
        </w:rPr>
        <w:t xml:space="preserve"> </w:t>
      </w:r>
      <w:r w:rsidR="00B262B8">
        <w:rPr>
          <w:lang w:val="en-US"/>
        </w:rPr>
        <w:t>(SPSS V.24</w:t>
      </w:r>
      <w:r w:rsidRPr="00A85ED5">
        <w:rPr>
          <w:lang w:val="en-US"/>
        </w:rPr>
        <w:t>.0</w:t>
      </w:r>
      <w:r w:rsidR="00B262B8">
        <w:rPr>
          <w:lang w:val="en-US"/>
        </w:rPr>
        <w:t>, IBM Corp, Armonk, New York</w:t>
      </w:r>
      <w:r w:rsidRPr="00A85ED5">
        <w:rPr>
          <w:lang w:val="en-US"/>
        </w:rPr>
        <w:t>). The analyses were conducted on a ‘per patient’</w:t>
      </w:r>
      <w:r w:rsidR="00716FB9">
        <w:rPr>
          <w:lang w:val="en-US"/>
        </w:rPr>
        <w:t xml:space="preserve"> </w:t>
      </w:r>
      <w:r w:rsidRPr="00A85ED5">
        <w:rPr>
          <w:lang w:val="en-US"/>
        </w:rPr>
        <w:t>and ‘per lesion’ basis. The ‘per patient’ analysis was done by</w:t>
      </w:r>
      <w:r w:rsidR="00B262B8">
        <w:rPr>
          <w:lang w:val="en-US"/>
        </w:rPr>
        <w:t xml:space="preserve"> </w:t>
      </w:r>
      <w:r w:rsidRPr="00A85ED5">
        <w:rPr>
          <w:lang w:val="en-US"/>
        </w:rPr>
        <w:t>calculating the percentage of patients in whom true neoplastic</w:t>
      </w:r>
      <w:r w:rsidR="00B262B8">
        <w:rPr>
          <w:lang w:val="en-US"/>
        </w:rPr>
        <w:t xml:space="preserve"> </w:t>
      </w:r>
      <w:r w:rsidRPr="00A85ED5">
        <w:rPr>
          <w:lang w:val="en-US"/>
        </w:rPr>
        <w:t>lesions were detected from biopsies of endoscopically suspicious</w:t>
      </w:r>
      <w:r w:rsidR="00B262B8">
        <w:rPr>
          <w:lang w:val="en-US"/>
        </w:rPr>
        <w:t xml:space="preserve"> </w:t>
      </w:r>
      <w:r w:rsidRPr="00A85ED5">
        <w:rPr>
          <w:lang w:val="en-US"/>
        </w:rPr>
        <w:t>lesions. On the other hand, in ‘per lesion’ analysis, the</w:t>
      </w:r>
      <w:r w:rsidR="00B262B8">
        <w:rPr>
          <w:lang w:val="en-US"/>
        </w:rPr>
        <w:t xml:space="preserve"> </w:t>
      </w:r>
      <w:r w:rsidRPr="00A85ED5">
        <w:rPr>
          <w:lang w:val="en-US"/>
        </w:rPr>
        <w:t>percentage of neoplastic lesion among all endoscopically suspicious</w:t>
      </w:r>
      <w:r w:rsidR="00B262B8">
        <w:rPr>
          <w:lang w:val="en-US"/>
        </w:rPr>
        <w:t xml:space="preserve"> </w:t>
      </w:r>
      <w:r w:rsidRPr="00A85ED5">
        <w:rPr>
          <w:lang w:val="en-US"/>
        </w:rPr>
        <w:t>lesions was calculated. Fisher’s exact test and χ2 test, where</w:t>
      </w:r>
      <w:r>
        <w:rPr>
          <w:lang w:val="en-US"/>
        </w:rPr>
        <w:t xml:space="preserve"> </w:t>
      </w:r>
      <w:r w:rsidRPr="00A85ED5">
        <w:rPr>
          <w:lang w:val="en-US"/>
        </w:rPr>
        <w:t>deemed appropriate, were applied for dichotomous variables. A</w:t>
      </w:r>
      <w:r w:rsidR="00B262B8">
        <w:rPr>
          <w:lang w:val="en-US"/>
        </w:rPr>
        <w:t xml:space="preserve"> </w:t>
      </w:r>
      <w:r w:rsidRPr="00A85ED5">
        <w:rPr>
          <w:lang w:val="en-US"/>
        </w:rPr>
        <w:t>Mann-Whitney U test or Student’s t-test was used for continuous</w:t>
      </w:r>
      <w:r w:rsidR="00B262B8">
        <w:rPr>
          <w:lang w:val="en-US"/>
        </w:rPr>
        <w:t xml:space="preserve"> </w:t>
      </w:r>
      <w:r w:rsidRPr="00A85ED5">
        <w:rPr>
          <w:lang w:val="en-US"/>
        </w:rPr>
        <w:t>variables. p -Values&lt;0.05 were considered significant for</w:t>
      </w:r>
      <w:r w:rsidR="00B262B8">
        <w:rPr>
          <w:lang w:val="en-US"/>
        </w:rPr>
        <w:t xml:space="preserve"> </w:t>
      </w:r>
      <w:r w:rsidRPr="00A85ED5">
        <w:rPr>
          <w:lang w:val="en-US"/>
        </w:rPr>
        <w:t>the analysis.</w:t>
      </w:r>
    </w:p>
    <w:p w14:paraId="66AD9B1D" w14:textId="77777777" w:rsidR="006F6B88" w:rsidRDefault="006F6B88" w:rsidP="00990232">
      <w:pPr>
        <w:spacing w:line="360" w:lineRule="auto"/>
        <w:jc w:val="both"/>
        <w:rPr>
          <w:lang w:val="en-US"/>
        </w:rPr>
      </w:pPr>
    </w:p>
    <w:p w14:paraId="2D24A6EB" w14:textId="77777777" w:rsidR="00990232" w:rsidRDefault="00990232" w:rsidP="00990232">
      <w:pPr>
        <w:spacing w:line="360" w:lineRule="auto"/>
        <w:jc w:val="both"/>
        <w:rPr>
          <w:lang w:val="en-US"/>
        </w:rPr>
      </w:pPr>
    </w:p>
    <w:p w14:paraId="722447C1" w14:textId="77777777" w:rsidR="00990232" w:rsidRDefault="00990232" w:rsidP="00990232">
      <w:pPr>
        <w:spacing w:line="360" w:lineRule="auto"/>
        <w:jc w:val="both"/>
        <w:rPr>
          <w:lang w:val="en-US"/>
        </w:rPr>
      </w:pPr>
    </w:p>
    <w:p w14:paraId="74E1B4C4" w14:textId="77777777" w:rsidR="00990232" w:rsidRPr="00B262B8" w:rsidRDefault="00990232" w:rsidP="00990232">
      <w:pPr>
        <w:spacing w:line="360" w:lineRule="auto"/>
        <w:jc w:val="both"/>
        <w:rPr>
          <w:lang w:val="en-US"/>
        </w:rPr>
      </w:pPr>
    </w:p>
    <w:p w14:paraId="11E0B493" w14:textId="77777777" w:rsidR="0056745A" w:rsidRPr="00E31F6F" w:rsidRDefault="00E31F6F" w:rsidP="00990232">
      <w:pPr>
        <w:spacing w:line="360" w:lineRule="auto"/>
        <w:jc w:val="both"/>
        <w:rPr>
          <w:b/>
        </w:rPr>
      </w:pPr>
      <w:r w:rsidRPr="00E31F6F">
        <w:rPr>
          <w:b/>
        </w:rPr>
        <w:t>RESULTS</w:t>
      </w:r>
    </w:p>
    <w:p w14:paraId="747C1822" w14:textId="77777777" w:rsidR="0056745A" w:rsidRDefault="0056745A" w:rsidP="00990232">
      <w:pPr>
        <w:spacing w:line="360" w:lineRule="auto"/>
        <w:jc w:val="both"/>
      </w:pPr>
    </w:p>
    <w:p w14:paraId="57B6BB0C" w14:textId="77777777" w:rsidR="00E31F6F" w:rsidRDefault="00A4043F" w:rsidP="00990232">
      <w:pPr>
        <w:spacing w:line="360" w:lineRule="auto"/>
        <w:jc w:val="both"/>
      </w:pPr>
      <w:r>
        <w:t xml:space="preserve">We enrolled </w:t>
      </w:r>
      <w:r w:rsidR="00302C85">
        <w:t>204 patients in the study between August 2016</w:t>
      </w:r>
      <w:r>
        <w:t xml:space="preserve"> </w:t>
      </w:r>
      <w:r w:rsidR="00302C85">
        <w:t>and February 2018. 16 patients were excluded after randomisation due to poor bowel preparation, severe colitis, impassable inflammatory stricture, unresolvable looping, impassable diverticular stricture and withdrawal of consent. (Figure 1).</w:t>
      </w:r>
      <w:r>
        <w:t xml:space="preserve"> A total of 184 patients (92 in the HDWL and 92 in the HDV arms)</w:t>
      </w:r>
      <w:r w:rsidR="0054398B">
        <w:t xml:space="preserve"> were included in the final analysis. The </w:t>
      </w:r>
      <w:r w:rsidR="00461EC5">
        <w:t>baseline characteristics of patients</w:t>
      </w:r>
      <w:r w:rsidR="00F968CF">
        <w:t xml:space="preserve"> in</w:t>
      </w:r>
      <w:r w:rsidR="00461EC5">
        <w:t xml:space="preserve"> both arms did not differ (Table 1).</w:t>
      </w:r>
      <w:r w:rsidR="009A7BFA">
        <w:t xml:space="preserve"> There were no adverse events in this study.</w:t>
      </w:r>
    </w:p>
    <w:p w14:paraId="1832AE61" w14:textId="77777777" w:rsidR="00461EC5" w:rsidRDefault="00461EC5" w:rsidP="00990232">
      <w:pPr>
        <w:spacing w:line="360" w:lineRule="auto"/>
        <w:jc w:val="both"/>
      </w:pPr>
    </w:p>
    <w:p w14:paraId="6B586BBE" w14:textId="77777777" w:rsidR="00461EC5" w:rsidRDefault="00461EC5" w:rsidP="00990232">
      <w:pPr>
        <w:spacing w:line="360" w:lineRule="auto"/>
        <w:jc w:val="both"/>
      </w:pPr>
      <w:r>
        <w:rPr>
          <w:b/>
        </w:rPr>
        <w:t>Primary end point</w:t>
      </w:r>
    </w:p>
    <w:p w14:paraId="3A2A542E" w14:textId="77777777" w:rsidR="00461EC5" w:rsidRDefault="00461EC5" w:rsidP="00990232">
      <w:pPr>
        <w:spacing w:line="360" w:lineRule="auto"/>
        <w:jc w:val="both"/>
      </w:pPr>
    </w:p>
    <w:p w14:paraId="04EC41CE" w14:textId="17E61704" w:rsidR="0056745A" w:rsidRDefault="005E4E84" w:rsidP="00990232">
      <w:pPr>
        <w:spacing w:line="360" w:lineRule="auto"/>
        <w:jc w:val="both"/>
      </w:pPr>
      <w:r>
        <w:t>A total of 27 neoplastic lesions were detected in 22 patients in the HDWL arm (n=92) and 25 neoplastic lesions were detected in 14 patients in the HDV arm (n</w:t>
      </w:r>
      <w:r w:rsidR="001F1ECA">
        <w:t>=</w:t>
      </w:r>
      <w:r>
        <w:t xml:space="preserve">92).  </w:t>
      </w:r>
      <w:r w:rsidR="000473E6">
        <w:t xml:space="preserve">The </w:t>
      </w:r>
      <w:r w:rsidR="002B5021">
        <w:t>NDR</w:t>
      </w:r>
      <w:r w:rsidR="000473E6">
        <w:t xml:space="preserve"> was slightly higher in the HDWL arm (23.4%) when compared to the HDV arm (14.9%)</w:t>
      </w:r>
      <w:r w:rsidR="00DC3D6B">
        <w:t xml:space="preserve"> </w:t>
      </w:r>
      <w:r w:rsidR="00241C7E">
        <w:t xml:space="preserve">but </w:t>
      </w:r>
      <w:r w:rsidR="00DC3D6B">
        <w:t xml:space="preserve">the difference </w:t>
      </w:r>
      <w:r w:rsidR="001F1ECA">
        <w:t>was</w:t>
      </w:r>
      <w:r w:rsidR="00D2213C">
        <w:t xml:space="preserve"> </w:t>
      </w:r>
      <w:r w:rsidR="00DC3D6B">
        <w:t>not sta</w:t>
      </w:r>
      <w:r w:rsidR="00745AD0">
        <w:t>tistically significant (p=0.14)</w:t>
      </w:r>
      <w:r w:rsidR="005751E8">
        <w:t>.</w:t>
      </w:r>
      <w:r w:rsidR="00745AD0">
        <w:t xml:space="preserve"> (Table 2)</w:t>
      </w:r>
      <w:r w:rsidR="006D72F8">
        <w:t xml:space="preserve"> An example of a neoplastic lesion detected using HDWL and HDV is shown in Figure 2.</w:t>
      </w:r>
      <w:r w:rsidR="00DC3D6B">
        <w:t xml:space="preserve"> The number of patients in each arm with neoplastic lesions and the characteristics of the lesions detected are detailed</w:t>
      </w:r>
      <w:r w:rsidR="00745AD0">
        <w:t xml:space="preserve"> in Table 3</w:t>
      </w:r>
      <w:r w:rsidR="00DC3D6B">
        <w:t>.</w:t>
      </w:r>
    </w:p>
    <w:p w14:paraId="76A52E2F" w14:textId="77777777" w:rsidR="00CB750A" w:rsidRDefault="00CB750A" w:rsidP="00990232">
      <w:pPr>
        <w:spacing w:line="360" w:lineRule="auto"/>
        <w:jc w:val="both"/>
      </w:pPr>
    </w:p>
    <w:p w14:paraId="39E9C3AD" w14:textId="77777777" w:rsidR="0056745A" w:rsidRDefault="000D6216" w:rsidP="00990232">
      <w:pPr>
        <w:spacing w:line="360" w:lineRule="auto"/>
        <w:jc w:val="both"/>
      </w:pPr>
      <w:r>
        <w:rPr>
          <w:b/>
        </w:rPr>
        <w:t>Secondary end points</w:t>
      </w:r>
    </w:p>
    <w:p w14:paraId="58048E66" w14:textId="77777777" w:rsidR="000D6216" w:rsidRDefault="000D6216" w:rsidP="00990232">
      <w:pPr>
        <w:spacing w:line="360" w:lineRule="auto"/>
        <w:jc w:val="both"/>
      </w:pPr>
    </w:p>
    <w:p w14:paraId="41D7D4FE" w14:textId="2F5A5E9A" w:rsidR="00B84C23" w:rsidRDefault="000D6216" w:rsidP="00990232">
      <w:pPr>
        <w:spacing w:line="360" w:lineRule="auto"/>
        <w:jc w:val="both"/>
        <w:rPr>
          <w:rFonts w:cs="Arial"/>
          <w:bCs/>
          <w:lang w:val="en-US"/>
        </w:rPr>
      </w:pPr>
      <w:r>
        <w:rPr>
          <w:rFonts w:cs="Arial"/>
          <w:bCs/>
          <w:lang w:val="en-US"/>
        </w:rPr>
        <w:t xml:space="preserve">The mean neoplasia per patient in the HDWL arm was </w:t>
      </w:r>
      <w:r w:rsidR="00B84C23">
        <w:rPr>
          <w:rFonts w:cs="Arial"/>
          <w:bCs/>
          <w:lang w:val="en-US"/>
        </w:rPr>
        <w:t>0.29 and in the HDV arm was 0.26</w:t>
      </w:r>
      <w:r w:rsidR="00D55C21">
        <w:rPr>
          <w:rFonts w:cs="Arial"/>
          <w:bCs/>
          <w:lang w:val="en-US"/>
        </w:rPr>
        <w:t>. T</w:t>
      </w:r>
      <w:r w:rsidR="00241C7E">
        <w:rPr>
          <w:rFonts w:cs="Arial"/>
          <w:bCs/>
          <w:lang w:val="en-US"/>
        </w:rPr>
        <w:t>his difference was not statistically significant</w:t>
      </w:r>
      <w:r w:rsidR="005751E8">
        <w:rPr>
          <w:rFonts w:cs="Arial"/>
          <w:bCs/>
          <w:lang w:val="en-US"/>
        </w:rPr>
        <w:t xml:space="preserve"> </w:t>
      </w:r>
      <w:r w:rsidR="00B84C23">
        <w:rPr>
          <w:rFonts w:cs="Arial"/>
          <w:bCs/>
          <w:lang w:val="en-US"/>
        </w:rPr>
        <w:t xml:space="preserve">(p=0.75). The number of </w:t>
      </w:r>
      <w:r w:rsidR="00D55C21">
        <w:rPr>
          <w:rFonts w:cs="Arial"/>
          <w:bCs/>
          <w:lang w:val="en-US"/>
        </w:rPr>
        <w:t>non</w:t>
      </w:r>
      <w:r w:rsidR="00DA1D3F">
        <w:rPr>
          <w:rFonts w:cs="Arial"/>
          <w:bCs/>
          <w:lang w:val="en-US"/>
        </w:rPr>
        <w:t>-</w:t>
      </w:r>
      <w:r w:rsidR="00D55C21">
        <w:rPr>
          <w:rFonts w:cs="Arial"/>
          <w:bCs/>
          <w:lang w:val="en-US"/>
        </w:rPr>
        <w:t xml:space="preserve">targeted quadrantic </w:t>
      </w:r>
      <w:r w:rsidR="00B84C23">
        <w:rPr>
          <w:rFonts w:cs="Arial"/>
          <w:bCs/>
          <w:lang w:val="en-US"/>
        </w:rPr>
        <w:t xml:space="preserve">biopsies taken in the HDWL and HDV arm were 3373 and 3378 respectively. The mean </w:t>
      </w:r>
      <w:r w:rsidR="005751E8">
        <w:rPr>
          <w:rFonts w:cs="Arial"/>
          <w:bCs/>
          <w:lang w:val="en-US"/>
        </w:rPr>
        <w:t>number of biopsies taken per patient was</w:t>
      </w:r>
      <w:r w:rsidR="00B84C23">
        <w:rPr>
          <w:rFonts w:cs="Arial"/>
          <w:bCs/>
          <w:lang w:val="en-US"/>
        </w:rPr>
        <w:t xml:space="preserve"> 35.9 in each arm. Only 1 neoplasia (low grade dysplasia within a segment </w:t>
      </w:r>
      <w:r w:rsidR="008C1595">
        <w:rPr>
          <w:rFonts w:cs="Arial"/>
          <w:bCs/>
          <w:lang w:val="en-US"/>
        </w:rPr>
        <w:t xml:space="preserve">of </w:t>
      </w:r>
      <w:r w:rsidR="00B84C23">
        <w:rPr>
          <w:rFonts w:cs="Arial"/>
          <w:bCs/>
          <w:lang w:val="en-US"/>
        </w:rPr>
        <w:t xml:space="preserve">active colitis in the HDWL arm) was detected on </w:t>
      </w:r>
      <w:r w:rsidR="00546B08">
        <w:rPr>
          <w:rFonts w:cs="Arial"/>
          <w:bCs/>
          <w:lang w:val="en-US"/>
        </w:rPr>
        <w:t>quadrantic non-targeted</w:t>
      </w:r>
      <w:r w:rsidR="00B84C23">
        <w:rPr>
          <w:rFonts w:cs="Arial"/>
          <w:bCs/>
          <w:lang w:val="en-US"/>
        </w:rPr>
        <w:t xml:space="preserve"> biopsies in this study</w:t>
      </w:r>
      <w:r w:rsidR="00241C7E">
        <w:rPr>
          <w:rFonts w:cs="Arial"/>
          <w:bCs/>
          <w:lang w:val="en-US"/>
        </w:rPr>
        <w:t xml:space="preserve"> otherwise all neoplasias were detected on targeted biopsy.</w:t>
      </w:r>
    </w:p>
    <w:p w14:paraId="1012EA5F" w14:textId="77777777" w:rsidR="00B84C23" w:rsidRDefault="00B84C23" w:rsidP="00990232">
      <w:pPr>
        <w:spacing w:line="360" w:lineRule="auto"/>
        <w:jc w:val="both"/>
        <w:rPr>
          <w:rFonts w:cs="Arial"/>
          <w:bCs/>
          <w:lang w:val="en-US"/>
        </w:rPr>
      </w:pPr>
    </w:p>
    <w:p w14:paraId="40B5E6AC" w14:textId="77777777" w:rsidR="006244CF" w:rsidRDefault="006244CF" w:rsidP="00990232">
      <w:pPr>
        <w:spacing w:line="360" w:lineRule="auto"/>
        <w:jc w:val="both"/>
        <w:rPr>
          <w:rFonts w:cs="Arial"/>
          <w:bCs/>
          <w:lang w:val="en-US"/>
        </w:rPr>
      </w:pPr>
      <w:r>
        <w:rPr>
          <w:rFonts w:cs="Arial"/>
          <w:bCs/>
          <w:lang w:val="en-US"/>
        </w:rPr>
        <w:t>The number of sessile serrated lesions</w:t>
      </w:r>
      <w:r w:rsidR="008D1EE2">
        <w:rPr>
          <w:rFonts w:cs="Arial"/>
          <w:bCs/>
          <w:lang w:val="en-US"/>
        </w:rPr>
        <w:t xml:space="preserve"> (SSL)</w:t>
      </w:r>
      <w:r>
        <w:rPr>
          <w:rFonts w:cs="Arial"/>
          <w:bCs/>
          <w:lang w:val="en-US"/>
        </w:rPr>
        <w:t xml:space="preserve"> detected was 13 in the </w:t>
      </w:r>
      <w:r w:rsidR="00BD56BA">
        <w:rPr>
          <w:rFonts w:cs="Arial"/>
          <w:bCs/>
          <w:lang w:val="en-US"/>
        </w:rPr>
        <w:t>HDWL</w:t>
      </w:r>
      <w:r>
        <w:rPr>
          <w:rFonts w:cs="Arial"/>
          <w:bCs/>
          <w:lang w:val="en-US"/>
        </w:rPr>
        <w:t xml:space="preserve"> </w:t>
      </w:r>
      <w:r w:rsidR="00C12739">
        <w:rPr>
          <w:rFonts w:cs="Arial"/>
          <w:bCs/>
          <w:lang w:val="en-US"/>
        </w:rPr>
        <w:t>arm</w:t>
      </w:r>
      <w:r w:rsidR="00BD56BA">
        <w:rPr>
          <w:rFonts w:cs="Arial"/>
          <w:bCs/>
          <w:lang w:val="en-US"/>
        </w:rPr>
        <w:t xml:space="preserve"> and 4 in the HDV</w:t>
      </w:r>
      <w:r>
        <w:rPr>
          <w:rFonts w:cs="Arial"/>
          <w:bCs/>
          <w:lang w:val="en-US"/>
        </w:rPr>
        <w:t xml:space="preserve"> </w:t>
      </w:r>
      <w:r w:rsidR="00C12739">
        <w:rPr>
          <w:rFonts w:cs="Arial"/>
          <w:bCs/>
          <w:lang w:val="en-US"/>
        </w:rPr>
        <w:t>arm of the study</w:t>
      </w:r>
      <w:r>
        <w:rPr>
          <w:rFonts w:cs="Arial"/>
          <w:bCs/>
          <w:lang w:val="en-US"/>
        </w:rPr>
        <w:t xml:space="preserve">. </w:t>
      </w:r>
      <w:r w:rsidR="008D1EE2">
        <w:rPr>
          <w:rFonts w:cs="Arial"/>
          <w:bCs/>
          <w:lang w:val="en-US"/>
        </w:rPr>
        <w:t xml:space="preserve">These lesions were all located in the right colon; 9 in the transverse colon, 7 in the ascending colon and 1 in the caecum. On a per patient analysis, SSLs were seen more frequently in </w:t>
      </w:r>
      <w:r w:rsidR="00BD56BA">
        <w:rPr>
          <w:rFonts w:cs="Arial"/>
          <w:bCs/>
          <w:lang w:val="en-US"/>
        </w:rPr>
        <w:t>the HDWL</w:t>
      </w:r>
      <w:r w:rsidR="008D1EE2">
        <w:rPr>
          <w:rFonts w:cs="Arial"/>
          <w:bCs/>
          <w:lang w:val="en-US"/>
        </w:rPr>
        <w:t xml:space="preserve"> </w:t>
      </w:r>
      <w:r w:rsidR="00C12739">
        <w:rPr>
          <w:rFonts w:cs="Arial"/>
          <w:bCs/>
          <w:lang w:val="en-US"/>
        </w:rPr>
        <w:t>arm</w:t>
      </w:r>
      <w:r w:rsidR="008D1EE2">
        <w:rPr>
          <w:rFonts w:cs="Arial"/>
          <w:bCs/>
          <w:lang w:val="en-US"/>
        </w:rPr>
        <w:t xml:space="preserve"> (8</w:t>
      </w:r>
      <w:r w:rsidR="00D55C21">
        <w:rPr>
          <w:rFonts w:cs="Arial"/>
          <w:bCs/>
          <w:lang w:val="en-US"/>
        </w:rPr>
        <w:t>/98</w:t>
      </w:r>
      <w:r w:rsidR="008D1EE2">
        <w:rPr>
          <w:rFonts w:cs="Arial"/>
          <w:bCs/>
          <w:lang w:val="en-US"/>
        </w:rPr>
        <w:t xml:space="preserve"> vs 4</w:t>
      </w:r>
      <w:r w:rsidR="00D55C21">
        <w:rPr>
          <w:rFonts w:cs="Arial"/>
          <w:bCs/>
          <w:lang w:val="en-US"/>
        </w:rPr>
        <w:t>/98</w:t>
      </w:r>
      <w:r w:rsidR="008D1EE2">
        <w:rPr>
          <w:rFonts w:cs="Arial"/>
          <w:bCs/>
          <w:lang w:val="en-US"/>
        </w:rPr>
        <w:t xml:space="preserve"> patients).</w:t>
      </w:r>
    </w:p>
    <w:p w14:paraId="1D5F3C1D" w14:textId="77777777" w:rsidR="008D1EE2" w:rsidRDefault="008D1EE2" w:rsidP="00990232">
      <w:pPr>
        <w:spacing w:line="360" w:lineRule="auto"/>
        <w:jc w:val="both"/>
        <w:rPr>
          <w:rFonts w:cs="Arial"/>
          <w:bCs/>
          <w:lang w:val="en-US"/>
        </w:rPr>
      </w:pPr>
    </w:p>
    <w:p w14:paraId="6627515A" w14:textId="263C2219" w:rsidR="002B3ED3" w:rsidRPr="001A6423" w:rsidRDefault="006D670C" w:rsidP="00990232">
      <w:pPr>
        <w:spacing w:line="360" w:lineRule="auto"/>
        <w:jc w:val="both"/>
        <w:rPr>
          <w:rFonts w:cs="Arial"/>
          <w:bCs/>
          <w:lang w:val="en-US"/>
        </w:rPr>
      </w:pPr>
      <w:r w:rsidRPr="001A6423">
        <w:rPr>
          <w:rFonts w:cs="Arial"/>
          <w:bCs/>
          <w:lang w:val="en-US"/>
        </w:rPr>
        <w:t xml:space="preserve">There was no difference in the total withdrawal time in either arm of the study; </w:t>
      </w:r>
      <w:r w:rsidRPr="001A6423">
        <w:rPr>
          <w:rFonts w:cs="Arial"/>
          <w:bCs/>
        </w:rPr>
        <w:t>24.0 (IQR 20.0 – 30.0) minutes in the HDWL arm and 25.5 (IQR 21.0 – 31.0) minutes in the HDV arm (p=0.216).</w:t>
      </w:r>
      <w:r w:rsidR="00D977D9" w:rsidRPr="001A6423">
        <w:rPr>
          <w:rFonts w:cs="Arial"/>
          <w:bCs/>
        </w:rPr>
        <w:t xml:space="preserve"> </w:t>
      </w:r>
      <w:r w:rsidR="000D3703" w:rsidRPr="001A6423">
        <w:rPr>
          <w:rFonts w:cs="Arial"/>
          <w:bCs/>
        </w:rPr>
        <w:t>The difference in the mean total withdrawal time in patients where targeted lesions were biopsied or resected in either study arm was not statistically significant; 29.0 (IQR 22.8 – 31.3) minutes in the HDWL arm and 31.6 (IQR 25.0 – 37.0) minutes in the HDV arm (p=0.11).</w:t>
      </w:r>
    </w:p>
    <w:p w14:paraId="0745F7BA" w14:textId="77777777" w:rsidR="00BB63B6" w:rsidRPr="00BB63B6" w:rsidRDefault="00BB63B6" w:rsidP="00990232">
      <w:pPr>
        <w:spacing w:line="360" w:lineRule="auto"/>
        <w:jc w:val="both"/>
        <w:rPr>
          <w:rFonts w:cs="Arial"/>
          <w:bCs/>
          <w:lang w:val="en-US"/>
        </w:rPr>
      </w:pPr>
    </w:p>
    <w:p w14:paraId="0D68E2A2" w14:textId="77777777" w:rsidR="002B3ED3" w:rsidRDefault="002B3ED3" w:rsidP="00990232">
      <w:pPr>
        <w:spacing w:line="360" w:lineRule="auto"/>
        <w:jc w:val="both"/>
      </w:pPr>
    </w:p>
    <w:p w14:paraId="0BCB1AC6" w14:textId="77777777" w:rsidR="00EE6321" w:rsidRDefault="00EE6321" w:rsidP="00990232">
      <w:pPr>
        <w:spacing w:line="360" w:lineRule="auto"/>
        <w:jc w:val="both"/>
      </w:pPr>
      <w:r>
        <w:rPr>
          <w:b/>
        </w:rPr>
        <w:t>Discussion</w:t>
      </w:r>
    </w:p>
    <w:p w14:paraId="09CEE112" w14:textId="77777777" w:rsidR="00EE6321" w:rsidRDefault="00EE6321" w:rsidP="00990232">
      <w:pPr>
        <w:spacing w:line="360" w:lineRule="auto"/>
        <w:jc w:val="both"/>
      </w:pPr>
    </w:p>
    <w:p w14:paraId="609D196C" w14:textId="77777777" w:rsidR="009670B0" w:rsidRDefault="002B3ED3" w:rsidP="00990232">
      <w:pPr>
        <w:spacing w:line="360" w:lineRule="auto"/>
        <w:jc w:val="both"/>
      </w:pPr>
      <w:r>
        <w:t xml:space="preserve">In this </w:t>
      </w:r>
      <w:r w:rsidR="0059224B">
        <w:t xml:space="preserve">multi-operator </w:t>
      </w:r>
      <w:r>
        <w:t xml:space="preserve">multi-centre randomised control trial, we did not </w:t>
      </w:r>
      <w:r w:rsidR="009670B0">
        <w:t>demonstrate</w:t>
      </w:r>
      <w:r>
        <w:t xml:space="preserve"> a significant difference between HDV and HDWL in the detection of neoplasia in patients with longstanding IBD. </w:t>
      </w:r>
      <w:r w:rsidR="00062982">
        <w:t>Furthermore, w</w:t>
      </w:r>
      <w:r w:rsidR="009670B0">
        <w:t>e did not find a</w:t>
      </w:r>
      <w:r w:rsidR="003B59D4">
        <w:t xml:space="preserve">ny </w:t>
      </w:r>
      <w:r w:rsidR="009670B0">
        <w:t xml:space="preserve">difference in the total number of neoplasia and the ratio of non-neoplastic to neoplastic lesions detected in either arm of the study.  To our knowledge, this is the first </w:t>
      </w:r>
      <w:r w:rsidR="0059224B">
        <w:t xml:space="preserve">multi-centre </w:t>
      </w:r>
      <w:r w:rsidR="009670B0">
        <w:t xml:space="preserve">randomised control trial assessing the </w:t>
      </w:r>
      <w:r w:rsidR="003D38C9">
        <w:t xml:space="preserve">utility of </w:t>
      </w:r>
      <w:r w:rsidR="003B59D4">
        <w:t>a novel i-scan OE</w:t>
      </w:r>
      <w:r w:rsidR="001617B6">
        <w:t xml:space="preserve"> Mode </w:t>
      </w:r>
      <w:r w:rsidR="003B59D4">
        <w:t xml:space="preserve">2 </w:t>
      </w:r>
      <w:r w:rsidR="003D38C9">
        <w:t xml:space="preserve">in the detection of neoplasia </w:t>
      </w:r>
      <w:r w:rsidR="003B59D4">
        <w:t>during colitis surveillance</w:t>
      </w:r>
      <w:r w:rsidR="003D38C9">
        <w:t>.</w:t>
      </w:r>
    </w:p>
    <w:p w14:paraId="05E532AF" w14:textId="77777777" w:rsidR="009670B0" w:rsidRDefault="009670B0" w:rsidP="00990232">
      <w:pPr>
        <w:spacing w:line="360" w:lineRule="auto"/>
        <w:jc w:val="both"/>
      </w:pPr>
    </w:p>
    <w:p w14:paraId="44D60D02" w14:textId="1AA607E5" w:rsidR="00EF7014" w:rsidRDefault="00062982" w:rsidP="00990232">
      <w:pPr>
        <w:spacing w:line="360" w:lineRule="auto"/>
        <w:jc w:val="both"/>
      </w:pPr>
      <w:r>
        <w:t xml:space="preserve">The </w:t>
      </w:r>
      <w:r w:rsidR="002B5021">
        <w:t>NDR</w:t>
      </w:r>
      <w:r>
        <w:t xml:space="preserve"> in this study was similar to other studies investigating the utility of </w:t>
      </w:r>
      <w:r w:rsidR="00E51CCE">
        <w:t>NBI</w:t>
      </w:r>
      <w:r>
        <w:t>.</w:t>
      </w:r>
      <w:r>
        <w:fldChar w:fldCharType="begin" w:fldLock="1"/>
      </w:r>
      <w:r w:rsidR="00DE25CA">
        <w:instrText>ADDIN CSL_CITATION {"citationItems":[{"id":"ITEM-1","itemData":{"DOI":"10.1038/ajg.2017.417","ISSN":"0002-9270","PMID":"29134964","abstract":"OBJECTIVES Dye spraying chromoendoscopy (DCE) is recommended for the detection of colonic neoplastic lesions in inflammatory bowel disease (IBD). The majority of neoplastic lesions are visible endoscopically and therefore targeted biopsies are appropriate for surveillance colonoscopy. To compare three different techniques for surveillance colonoscopy to detect colonic neoplastic lesions in IBD patients: high definition (HD), (DCE), or virtual chromoendoscopy (VCE) using iSCAN image enhanced colonoscopy. METHODS A randomized non-inferiority trial was conducted to determine the detection rates of neoplastic lesions in IBD patients with longstanding colitis. Patients with inactive disease were enrolled into three arms of the study. Endoscopic neoplastic lesions were classified by the Paris classification and Kudo pit pattern, then histologically classified by the Vienna classification. RESULTS A total of 270 patients (55% men; age range 20-77 years, median age 49 years) were assessed by HD (n=90), VCE (n=90), or DCE (n=90). Neoplastic lesion detection rates in the VCE arm was non-inferior to the DCE arm. HD was non-inferior to either DCE or VCE for detection of all neoplastic lesions. In the lesions detected, location at right colon and the Kudo pit pattern were predictive of neoplastic lesions (OR 6.52 (1.98-22.5 and OR 21.50 (8.65-60.10), respectively). CONCLUSIONS In this randomized trial, VCE or HD-WLE is not inferior to dye spraying colonoscopy for detection of colonic neoplastic lesions during surveillance colonoscopy. In fact, in this study HD-WLE alone was sufficient for detection of dysplasia, adenocarcinoma or all neoplastic lesions.","author":[{"dropping-particle":"","family":"Iacucci","given":"Marietta","non-dropping-particle":"","parse-names":false,"suffix":""},{"dropping-particle":"","family":"Kaplan","given":"Gilaad G","non-dropping-particle":"","parse-names":false,"suffix":""},{"dropping-particle":"","family":"Panaccione","given":"Remo","non-dropping-particle":"","parse-names":false,"suffix":""},{"dropping-particle":"","family":"Akinola","given":"Oluseyi","non-dropping-particle":"","parse-names":false,"suffix":""},{"dropping-particle":"","family":"Lethebe","given":"Brendan Cord","non-dropping-particle":"","parse-names":false,"suffix":""},{"dropping-particle":"","family":"Lowerison","given":"Mark","non-dropping-particle":"","parse-names":false,"suffix":""},{"dropping-particle":"","family":"Leung","given":"Yvette","non-dropping-particle":"","parse-names":false,"suffix":""},{"dropping-particle":"","family":"Novak","given":"Kerri L","non-dropping-particle":"","parse-names":false,"suffix":""},{"dropping-particle":"","family":"Seow","given":"Cynthia H","non-dropping-particle":"","parse-names":false,"suffix":""},{"dropping-particle":"","family":"Urbanski","given":"Stefan","non-dropping-particle":"","parse-names":false,"suffix":""},{"dropping-particle":"","family":"Minoo","given":"Parham","non-dropping-particle":"","parse-names":false,"suffix":""},{"dropping-particle":"","family":"Gui","given":"Xianyong","non-dropping-particle":"","parse-names":false,"suffix":""},{"dropping-particle":"","family":"Ghosh","given":"Subrata","non-dropping-particle":"","parse-names":false,"suffix":""}],"container-title":"The American Journal of Gastroenterology","id":"ITEM-1","issue":"2","issued":{"date-parts":[["2018","2","14"]]},"page":"225-234","title":"A Randomized Trial Comparing High Definition Colonoscopy Alone With High Definition Dye Spraying and Electronic Virtual Chromoendoscopy for Detection of Colonic Neoplastic Lesions During IBD Surveillance Colonoscopy","type":"article-journal","volume":"113"},"uris":["http://www.mendeley.com/documents/?uuid=aeb98149-45d0-3b6a-a42e-824c8221d12d"]},{"id":"ITEM-2","itemData":{"DOI":"10.1136/gutjnl-2016-313213","ISSN":"1468-3288","PMID":"28698230","abstract":"BACKGROUND Patients with long-standing UC have an increased risk for the development of colonic neoplastic lesions. Chromoendoscopy (CE) has been proven to enhance neoplasia detection while the role of virtual chromoendoscopy (VC) is still to be defined. OBJECTIVE To compare the performance of CE to VC for the detection of neoplastic lesions in patients with long-standing UC. DESIGN A multicentre prospective randomised controlled trial. 131 patients with long-standing UC were randomised between CE with methylene blue 0.1% (n=66) or VC with narrow band imaging (NBI) (n=65). Biopsies were taken from visible lesions and surrounding mucosa. No random biopsies were performed. The primary outcome was the difference in total number of neoplastic lesions detected in each group. RESULTS There was no significant difference between NBI and CE for neoplasia detection. Mean number of neoplastic lesions per colonoscopy was 0.47 for CE and 0.32 for NBI (p=0.992). The neoplasia detection rate was not different between CE (21.2%) and NBI (21.5%) (OR 1.02 (95% CI 0.44 to 2.35, p=0.964). Biopsies from the surrounding mucosa yielded no diagnosis or dysplasia. The per lesion neoplasia detection was 17.4% for CE and 16.3% for NBI (OR 1.09 (95% CI 0.59 to 1.99, p=0.793). The total procedural time was on average 7 min shorter in the NBI group. CONCLUSION CE and NBI do not differ significantly for detection of colitis-associated neoplasia. Given the longer withdrawal time for CE and easier applicability, NBI may possibly replace classical CE. TRIAL REGISTRATION NUMBER NCT01882205; Results.","author":[{"dropping-particle":"","family":"Bisschops","given":"Raf","non-dropping-particle":"","parse-names":false,"suffix":""},{"dropping-particle":"","family":"Bessissow","given":"Talat","non-dropping-particle":"","parse-names":false,"suffix":""},{"dropping-particle":"","family":"Joseph","given":"Joseph A","non-dropping-particle":"","parse-names":false,"suffix":""},{"dropping-particle":"","family":"Baert","given":"Filip","non-dropping-particle":"","parse-names":false,"suffix":""},{"dropping-particle":"","family":"Ferrante","given":"Marc","non-dropping-particle":"","parse-names":false,"suffix":""},{"dropping-particle":"","family":"Ballet","given":"Vera","non-dropping-particle":"","parse-names":false,"suffix":""},{"dropping-particle":"","family":"Willekens","given":"Hilde","non-dropping-particle":"","parse-names":false,"suffix":""},{"dropping-particle":"","family":"Demedts","given":"Ingrid","non-dropping-particle":"","parse-names":false,"suffix":""},{"dropping-particle":"","family":"Geboes","given":"Karel","non-dropping-particle":"","parse-names":false,"suffix":""},{"dropping-particle":"","family":"Hertogh","given":"Gert","non-dropping-particle":"De","parse-names":false,"suffix":""},{"dropping-particle":"","family":"Vermeire","given":"Séverine","non-dropping-particle":"","parse-names":false,"suffix":""},{"dropping-particle":"","family":"Rutgeerts","given":"Paul","non-dropping-particle":"","parse-names":false,"suffix":""},{"dropping-particle":"","family":"Assche","given":"Gert","non-dropping-particle":"Van","parse-names":false,"suffix":""}],"container-title":"Gut","id":"ITEM-2","issue":"6","issued":{"date-parts":[["2018","6","1"]]},"page":"1087-1094","publisher":"BMJ Publishing Group","title":"Chromoendoscopy versus narrow band imaging in UC: a prospective randomised controlled trial.","type":"article-journal","volume":"67"},"uris":["http://www.mendeley.com/documents/?uuid=5b1f6d30-fd1d-388a-85fe-911555be3f2c"]}],"mendeley":{"formattedCitation":"[15,20]","plainTextFormattedCitation":"[15,20]","previouslyFormattedCitation":"[15,20]"},"properties":{"noteIndex":0},"schema":"https://github.com/citation-style-language/schema/raw/master/csl-citation.json"}</w:instrText>
      </w:r>
      <w:r>
        <w:fldChar w:fldCharType="separate"/>
      </w:r>
      <w:r w:rsidR="00AA086F" w:rsidRPr="00AA086F">
        <w:rPr>
          <w:noProof/>
        </w:rPr>
        <w:t>[15,20]</w:t>
      </w:r>
      <w:r>
        <w:fldChar w:fldCharType="end"/>
      </w:r>
      <w:r>
        <w:t xml:space="preserve"> </w:t>
      </w:r>
      <w:r w:rsidR="00E51CCE">
        <w:t>However, unlike these studies,</w:t>
      </w:r>
      <w:r w:rsidR="0059224B">
        <w:t xml:space="preserve"> </w:t>
      </w:r>
      <w:r w:rsidR="00F22159">
        <w:t>a large</w:t>
      </w:r>
      <w:r w:rsidR="00E51CCE">
        <w:t>r</w:t>
      </w:r>
      <w:r w:rsidR="00F22159">
        <w:t xml:space="preserve"> </w:t>
      </w:r>
      <w:r w:rsidR="00E51CCE">
        <w:t xml:space="preserve">proportion </w:t>
      </w:r>
      <w:r w:rsidR="0059224B">
        <w:t xml:space="preserve">of the neoplastic lesions detected </w:t>
      </w:r>
      <w:r w:rsidR="00E51CCE">
        <w:t xml:space="preserve">in </w:t>
      </w:r>
      <w:r w:rsidR="0040722E">
        <w:t xml:space="preserve">our </w:t>
      </w:r>
      <w:r w:rsidR="00E51CCE">
        <w:t xml:space="preserve">study </w:t>
      </w:r>
      <w:r w:rsidR="0059224B">
        <w:t>were flat (Paris IIa/IIb)</w:t>
      </w:r>
      <w:r w:rsidR="00F32D49">
        <w:t>:</w:t>
      </w:r>
      <w:r w:rsidR="00E53089">
        <w:t xml:space="preserve"> 81% vs 32%-58%</w:t>
      </w:r>
      <w:r w:rsidR="00572550">
        <w:t xml:space="preserve"> in previously reported literature</w:t>
      </w:r>
      <w:r w:rsidR="0059224B">
        <w:t xml:space="preserve">. </w:t>
      </w:r>
      <w:r w:rsidR="00F22159">
        <w:t xml:space="preserve">This is possibly due to the overall bright appearance of the mucosa in both arms of this study that is not usually seen </w:t>
      </w:r>
      <w:r w:rsidR="003B59D4">
        <w:t xml:space="preserve">easily with </w:t>
      </w:r>
      <w:r w:rsidR="00F22159">
        <w:t xml:space="preserve">narrow band </w:t>
      </w:r>
      <w:r w:rsidR="00D80994">
        <w:t>technologies due</w:t>
      </w:r>
      <w:r w:rsidR="003B59D4">
        <w:t xml:space="preserve"> to the darkening effects of these technologies.</w:t>
      </w:r>
      <w:r w:rsidR="000D3703" w:rsidRPr="001A6423">
        <w:t xml:space="preserve"> </w:t>
      </w:r>
      <w:r w:rsidR="0002442E" w:rsidRPr="001A6423">
        <w:t xml:space="preserve">In addition, more </w:t>
      </w:r>
      <w:r w:rsidR="00C270ED">
        <w:t>IENs</w:t>
      </w:r>
      <w:r w:rsidR="0002442E" w:rsidRPr="001A6423">
        <w:t xml:space="preserve"> were detected with HDV and HDWL detected more SSLs. SSLs tend to have mucous caps thereby obscuring the surface patterns altogether. With HDV, faecal residue and mucous have the same colour. The small numbers of these lesions make it difficult to make meaningful statistical conclusions.</w:t>
      </w:r>
    </w:p>
    <w:p w14:paraId="62BDF0B9" w14:textId="77777777" w:rsidR="00EF7014" w:rsidRDefault="00EF7014" w:rsidP="00990232">
      <w:pPr>
        <w:spacing w:line="360" w:lineRule="auto"/>
        <w:jc w:val="both"/>
      </w:pPr>
    </w:p>
    <w:p w14:paraId="5222DBAF" w14:textId="48016BA2" w:rsidR="00F22159" w:rsidRPr="001A6423" w:rsidRDefault="000462D2" w:rsidP="00990232">
      <w:pPr>
        <w:spacing w:line="360" w:lineRule="auto"/>
        <w:jc w:val="both"/>
      </w:pPr>
      <w:r w:rsidRPr="001A6423">
        <w:t xml:space="preserve">This study did not compare chromoendoscopy versus HDWL. However, previous guidelines including SCENIC recommend the use of chromoendoscopy based on the evidence from a single observational study that found that the NDR with HDWL alone was 9% and when used with chromoendoscopy, the NDR was 21%. </w:t>
      </w:r>
      <w:r w:rsidR="00D30F5D">
        <w:t xml:space="preserve">[21,22] </w:t>
      </w:r>
      <w:r w:rsidRPr="001A6423">
        <w:t xml:space="preserve">The findings in our RCT show that HDWL on its own has an NDR of 23.4%. This detection rate is comparable to other established techniques in colitis surveillance colonoscopy including high definition chromoendoscopy. </w:t>
      </w:r>
      <w:r w:rsidRPr="001A6423">
        <w:fldChar w:fldCharType="begin" w:fldLock="1"/>
      </w:r>
      <w:r w:rsidRPr="001A6423">
        <w:instrText>ADDIN CSL_CITATION {"citationItems":[{"id":"ITEM-1","itemData":{"DOI":"10.1038/ajg.2017.417","ISSN":"0002-9270","PMID":"29134964","abstract":"OBJECTIVES Dye spraying chromoendoscopy (DCE) is recommended for the detection of colonic neoplastic lesions in inflammatory bowel disease (IBD). The majority of neoplastic lesions are visible endoscopically and therefore targeted biopsies are appropriate for surveillance colonoscopy. To compare three different techniques for surveillance colonoscopy to detect colonic neoplastic lesions in IBD patients: high definition (HD), (DCE), or virtual chromoendoscopy (VCE) using iSCAN image enhanced colonoscopy. METHODS A randomized non-inferiority trial was conducted to determine the detection rates of neoplastic lesions in IBD patients with longstanding colitis. Patients with inactive disease were enrolled into three arms of the study. Endoscopic neoplastic lesions were classified by the Paris classification and Kudo pit pattern, then histologically classified by the Vienna classification. RESULTS A total of 270 patients (55% men; age range 20-77 years, median age 49 years) were assessed by HD (n=90), VCE (n=90), or DCE (n=90). Neoplastic lesion detection rates in the VCE arm was non-inferior to the DCE arm. HD was non-inferior to either DCE or VCE for detection of all neoplastic lesions. In the lesions detected, location at right colon and the Kudo pit pattern were predictive of neoplastic lesions (OR 6.52 (1.98-22.5 and OR 21.50 (8.65-60.10), respectively). CONCLUSIONS In this randomized trial, VCE or HD-WLE is not inferior to dye spraying colonoscopy for detection of colonic neoplastic lesions during surveillance colonoscopy. In fact, in this study HD-WLE alone was sufficient for detection of dysplasia, adenocarcinoma or all neoplastic lesions.","author":[{"dropping-particle":"","family":"Iacucci","given":"Marietta","non-dropping-particle":"","parse-names":false,"suffix":""},{"dropping-particle":"","family":"Kaplan","given":"Gilaad G","non-dropping-particle":"","parse-names":false,"suffix":""},{"dropping-particle":"","family":"Panaccione","given":"Remo","non-dropping-particle":"","parse-names":false,"suffix":""},{"dropping-particle":"","family":"Akinola","given":"Oluseyi","non-dropping-particle":"","parse-names":false,"suffix":""},{"dropping-particle":"","family":"Lethebe","given":"Brendan Cord","non-dropping-particle":"","parse-names":false,"suffix":""},{"dropping-particle":"","family":"Lowerison","given":"Mark","non-dropping-particle":"","parse-names":false,"suffix":""},{"dropping-particle":"","family":"Leung","given":"Yvette","non-dropping-particle":"","parse-names":false,"suffix":""},{"dropping-particle":"","family":"Novak","given":"Kerri L","non-dropping-particle":"","parse-names":false,"suffix":""},{"dropping-particle":"","family":"Seow","given":"Cynthia H","non-dropping-particle":"","parse-names":false,"suffix":""},{"dropping-particle":"","family":"Urbanski","given":"Stefan","non-dropping-particle":"","parse-names":false,"suffix":""},{"dropping-particle":"","family":"Minoo","given":"Parham","non-dropping-particle":"","parse-names":false,"suffix":""},{"dropping-particle":"","family":"Gui","given":"Xianyong","non-dropping-particle":"","parse-names":false,"suffix":""},{"dropping-particle":"","family":"Ghosh","given":"Subrata","non-dropping-particle":"","parse-names":false,"suffix":""}],"container-title":"The American Journal of Gastroenterology","id":"ITEM-1","issue":"2","issued":{"date-parts":[["2018","2","14"]]},"page":"225-234","title":"A Randomized Trial Comparing High Definition Colonoscopy Alone With High Definition Dye Spraying and Electronic Virtual Chromoendoscopy for Detection of Colonic Neoplastic Lesions During IBD Surveillance Colonoscopy","type":"article-journal","volume":"113"},"uris":["http://www.mendeley.com/documents/?uuid=aeb98149-45d0-3b6a-a42e-824c8221d12d"]},{"id":"ITEM-2","itemData":{"DOI":"10.1136/gutjnl-2016-313213","ISSN":"1468-3288","PMID":"28698230","abstract":"BACKGROUND Patients with long-standing UC have an increased risk for the development of colonic neoplastic lesions. Chromoendoscopy (CE) has been proven to enhance neoplasia detection while the role of virtual chromoendoscopy (VC) is still to be defined. OBJECTIVE To compare the performance of CE to VC for the detection of neoplastic lesions in patients with long-standing UC. DESIGN A multicentre prospective randomised controlled trial. 131 patients with long-standing UC were randomised between CE with methylene blue 0.1% (n=66) or VC with narrow band imaging (NBI) (n=65). Biopsies were taken from visible lesions and surrounding mucosa. No random biopsies were performed. The primary outcome was the difference in total number of neoplastic lesions detected in each group. RESULTS There was no significant difference between NBI and CE for neoplasia detection. Mean number of neoplastic lesions per colonoscopy was 0.47 for CE and 0.32 for NBI (p=0.992). The neoplasia detection rate was not different between CE (21.2%) and NBI (21.5%) (OR 1.02 (95% CI 0.44 to 2.35, p=0.964). Biopsies from the surrounding mucosa yielded no diagnosis or dysplasia. The per lesion neoplasia detection was 17.4% for CE and 16.3% for NBI (OR 1.09 (95% CI 0.59 to 1.99, p=0.793). The total procedural time was on average 7 min shorter in the NBI group. CONCLUSION CE and NBI do not differ significantly for detection of colitis-associated neoplasia. Given the longer withdrawal time for CE and easier applicability, NBI may possibly replace classical CE. TRIAL REGISTRATION NUMBER NCT01882205; Results.","author":[{"dropping-particle":"","family":"Bisschops","given":"Raf","non-dropping-particle":"","parse-names":false,"suffix":""},{"dropping-particle":"","family":"Bessissow","given":"Talat","non-dropping-particle":"","parse-names":false,"suffix":""},{"dropping-particle":"","family":"Joseph","given":"Joseph A","non-dropping-particle":"","parse-names":false,"suffix":""},{"dropping-particle":"","family":"Baert","given":"Filip","non-dropping-particle":"","parse-names":false,"suffix":""},{"dropping-particle":"","family":"Ferrante","given":"Marc","non-dropping-particle":"","parse-names":false,"suffix":""},{"dropping-particle":"","family":"Ballet","given":"Vera","non-dropping-particle":"","parse-names":false,"suffix":""},{"dropping-particle":"","family":"Willekens","given":"Hilde","non-dropping-particle":"","parse-names":false,"suffix":""},{"dropping-particle":"","family":"Demedts","given":"Ingrid","non-dropping-particle":"","parse-names":false,"suffix":""},{"dropping-particle":"","family":"Geboes","given":"Karel","non-dropping-particle":"","parse-names":false,"suffix":""},{"dropping-particle":"","family":"Hertogh","given":"Gert","non-dropping-particle":"De","parse-names":false,"suffix":""},{"dropping-particle":"","family":"Vermeire","given":"Séverine","non-dropping-particle":"","parse-names":false,"suffix":""},{"dropping-particle":"","family":"Rutgeerts","given":"Paul","non-dropping-particle":"","parse-names":false,"suffix":""},{"dropping-particle":"","family":"Assche","given":"Gert","non-dropping-particle":"Van","parse-names":false,"suffix":""}],"container-title":"Gut","id":"ITEM-2","issue":"6","issued":{"date-parts":[["2018","6","1"]]},"page":"1087-1094","publisher":"BMJ Publishing Group","title":"Chromoendoscopy versus narrow band imaging in UC: a prospective randomised controlled trial.","type":"article-journal","volume":"67"},"uris":["http://www.mendeley.com/documents/?uuid=5b1f6d30-fd1d-388a-85fe-911555be3f2c"]},{"id":"ITEM-3","itemData":{"DOI":"10.1111/apt.15493","ISSN":"02692813","author":[{"dropping-particle":"","family":"Iannone","given":"Andrea","non-dropping-particle":"","parse-names":false,"suffix":""},{"dropping-particle":"","family":"Ruospo","given":"Marinella","non-dropping-particle":"","parse-names":false,"suffix":""},{"dropping-particle":"","family":"Palmer","given":"Suetonia C.","non-dropping-particle":"","parse-names":false,"suffix":""},{"dropping-particle":"","family":"Principi","given":"Mariabeatrice","non-dropping-particle":"","parse-names":false,"suffix":""},{"dropping-particle":"","family":"Barone","given":"Michele","non-dropping-particle":"","parse-names":false,"suffix":""},{"dropping-particle":"","family":"Leo","given":"Alfredo","non-dropping-particle":"Di","parse-names":false,"suffix":""},{"dropping-particle":"","family":"Strippoli","given":"Giovanni F. M.","non-dropping-particle":"","parse-names":false,"suffix":""}],"container-title":"Alimentary Pharmacology &amp; Therapeutics","id":"ITEM-3","issue":"8","issued":{"date-parts":[["2019","10","1"]]},"page":"858-871","publisher":"John Wiley &amp; Sons, Ltd (10.1111)","title":"Systematic review with network meta-analysis: endoscopic techniques for dysplasia surveillance in inflammatory bowel disease","type":"article-journal","volume":"50"},"uris":["http://www.mendeley.com/documents/?uuid=d49e7bf2-d394-348f-a90c-c36c4851339a"]}],"mendeley":{"formattedCitation":"[14,15,20]","plainTextFormattedCitation":"[14,15,20]","previouslyFormattedCitation":"[14,15,19]"},"properties":{"noteIndex":0},"schema":"https://github.com/citation-style-language/schema/raw/master/csl-citation.json"}</w:instrText>
      </w:r>
      <w:r w:rsidRPr="001A6423">
        <w:fldChar w:fldCharType="separate"/>
      </w:r>
      <w:r w:rsidRPr="001A6423">
        <w:t>[14,15,20,23,24]</w:t>
      </w:r>
      <w:r w:rsidRPr="001A6423">
        <w:fldChar w:fldCharType="end"/>
      </w:r>
      <w:r w:rsidRPr="001A6423">
        <w:t xml:space="preserve"> This will certainly add to the discussion in future guidelines that HDWL on its own may be sufficient to carry out an effective colitis surveillance colonoscopy.</w:t>
      </w:r>
    </w:p>
    <w:p w14:paraId="60FBD2FE" w14:textId="77777777" w:rsidR="000462D2" w:rsidRDefault="000462D2" w:rsidP="00990232">
      <w:pPr>
        <w:spacing w:line="360" w:lineRule="auto"/>
        <w:jc w:val="both"/>
      </w:pPr>
    </w:p>
    <w:p w14:paraId="1E529FDE" w14:textId="502E16B3" w:rsidR="00F22159" w:rsidRDefault="00E53089" w:rsidP="00990232">
      <w:pPr>
        <w:spacing w:line="360" w:lineRule="auto"/>
        <w:jc w:val="both"/>
      </w:pPr>
      <w:r>
        <w:t>International</w:t>
      </w:r>
      <w:r w:rsidR="0073392D">
        <w:t xml:space="preserve"> IBD surveillance guidelines recommend chromoendoscopy in IBD surveillance. However, a</w:t>
      </w:r>
      <w:r w:rsidR="008259D8">
        <w:t xml:space="preserve">dherence to </w:t>
      </w:r>
      <w:r w:rsidR="0073392D">
        <w:t>these</w:t>
      </w:r>
      <w:r w:rsidR="008259D8">
        <w:t xml:space="preserve"> guidelines </w:t>
      </w:r>
      <w:r w:rsidR="00556C86" w:rsidRPr="00556C86">
        <w:t>has</w:t>
      </w:r>
      <w:r w:rsidR="008259D8">
        <w:t xml:space="preserve"> been poor.</w:t>
      </w:r>
      <w:r w:rsidR="008259D8">
        <w:fldChar w:fldCharType="begin" w:fldLock="1"/>
      </w:r>
      <w:r w:rsidR="00AE04BA">
        <w:instrText>ADDIN CSL_CITATION {"citationItems":[{"id":"ITEM-1","itemData":{"DOI":"10.1055/s-0043-117944","ISSN":"2364-3722","PMID":"28983504","abstract":"&lt;p&gt;Background and study aims Dye-based chromoendoscopy (DBC) is the preferred method for endoscopic dysplasia surveillance in patients with inflammatory bowel disease (IBD). We sought to examine the uptake of, and perception toward DBC among academic gastroenterologists.&lt;/p&gt;","author":[{"dropping-particle":"","family":"Gallinger","given":"Zane","non-dropping-particle":"","parse-names":false,"suffix":""},{"dropping-particle":"","family":"Rumman","given":"Amir","non-dropping-particle":"","parse-names":false,"suffix":""},{"dropping-particle":"","family":"Murthy","given":"Sanjay","non-dropping-particle":"","parse-names":false,"suffix":""},{"dropping-particle":"","family":"Nguyen","given":"Geoffrey","non-dropping-particle":"","parse-names":false,"suffix":""}],"container-title":"Endoscopy International Open","id":"ITEM-1","issue":"10","issued":{"date-parts":[["2017","10","4"]]},"page":"E974-E979","title":"Perspectives on endoscopic surveillance of dysplasia in inflammatory bowel disease: a survey of academic gastroenterologists","type":"article-journal","volume":"05"},"uris":["http://www.mendeley.com/documents/?uuid=f310884a-7642-3520-ab55-6439bec426ab"]},{"id":"ITEM-2","itemData":{"DOI":"10.1111/j.1365-2036.2011.04711.x","ISSN":"02692813","PMID":"21615760","abstract":"BACKGROUND Surveillance colonoscopy is recommended for inflammatory bowel disease (IBD) patients with longstanding extensive colitis (LEC). AIMS To assess modalities and results of colonoscopic surveillance in a subset of CESAME cohort patients at high risk of colorectal cancer (CRC) and followed in university French hospitals. METHODS Among 910 eligible patients with more than a 7-year history of extensive colitis at CESAME enrolment, 685 patients completed a questionnaire on surveillance colonoscopy and 102 were excluded because of prior proctocolectomy. Finally, 583 patients provided information spanning a median period of 41months (IQR 38-43) between cohort enrolment and the end of follow-up. Details of the colonoscopic procedures and histological findings were obtained for 440 colonoscopies in 270 patients. RESULTS Only 54% (n=312) of the patients with LEC had at least one surveillance colonoscopy during the study period, with marked variations across the nine participating centres (27% to 70%, P≤0.0001). Surveillance rate was significantly lower in Crohn's colitis than in ulcerative colitis (UC) (48% vs. 69%, P≤0.0001). Independent predictors of colonoscopic surveillance were male gender, UC IBD subtype, longer disease duration, previous history of CRC and disease management in a centre with large IBD population. Random biopsies, targeted biopsies and chromoendoscopy were performed during respectively 71%, 27 and 30% of surveillance colonoscopies. Two cases of high-grade dysplasia were detected in patients undergoing colonoscopic surveillance. Two advanced-stage CRC were diagnosed in patients who did not have colonosocopic surveillance. CONCLUSIONS Colonoscopic surveillance rate is low in IBD patients with longstanding extensive colitis.","author":[{"dropping-particle":"","family":"Vienne","given":"A.","non-dropping-particle":"","parse-names":false,"suffix":""},{"dropping-particle":"","family":"Simon","given":"T.","non-dropping-particle":"","parse-names":false,"suffix":""},{"dropping-particle":"","family":"Cosnes","given":"J.","non-dropping-particle":"","parse-names":false,"suffix":""},{"dropping-particle":"","family":"Baudry","given":"C.","non-dropping-particle":"","parse-names":false,"suffix":""},{"dropping-particle":"","family":"Bouhnik","given":"Y.","non-dropping-particle":"","parse-names":false,"suffix":""},{"dropping-particle":"","family":"Soulé","given":"J. C.","non-dropping-particle":"","parse-names":false,"suffix":""},{"dropping-particle":"","family":"Chaussade","given":"S.","non-dropping-particle":"","parse-names":false,"suffix":""},{"dropping-particle":"","family":"Marteau","given":"P.","non-dropping-particle":"","parse-names":false,"suffix":""},{"dropping-particle":"","family":"Jian","given":"R.","non-dropping-particle":"","parse-names":false,"suffix":""},{"dropping-particle":"","family":"Delchier","given":"J.-C.","non-dropping-particle":"","parse-names":false,"suffix":""},{"dropping-particle":"","family":"Coffin","given":"B.","non-dropping-particle":"","parse-names":false,"suffix":""},{"dropping-particle":"","family":"Admane","given":"H.","non-dropping-particle":"","parse-names":false,"suffix":""},{"dropping-particle":"","family":"Carrat","given":"F.","non-dropping-particle":"","parse-names":false,"suffix":""},{"dropping-particle":"","family":"Drouet","given":"E.","non-dropping-particle":"","parse-names":false,"suffix":""},{"dropping-particle":"","family":"Beaugerie","given":"L.","non-dropping-particle":"","parse-names":false,"suffix":""}],"container-title":"Alimentary Pharmacology &amp; Therapeutics","id":"ITEM-2","issue":"2","issued":{"date-parts":[["2011","7"]]},"page":"188-195","title":"Low prevalence of colonoscopic surveillance of inflammatory bowel disease patients with longstanding extensive colitis: a clinical practice survey nested in the CESAME cohort","type":"article-journal","volume":"34"},"uris":["http://www.mendeley.com/documents/?uuid=189e73ee-b88a-3805-9e6b-3618eaf30fe3"]}],"mendeley":{"formattedCitation":"[25,26]","plainTextFormattedCitation":"[25,26]","previouslyFormattedCitation":"[24,25]"},"properties":{"noteIndex":0},"schema":"https://github.com/citation-style-language/schema/raw/master/csl-citation.json"}</w:instrText>
      </w:r>
      <w:r w:rsidR="008259D8">
        <w:fldChar w:fldCharType="separate"/>
      </w:r>
      <w:r w:rsidR="00AE04BA" w:rsidRPr="00AE04BA">
        <w:rPr>
          <w:noProof/>
        </w:rPr>
        <w:t>[25,26]</w:t>
      </w:r>
      <w:r w:rsidR="008259D8">
        <w:fldChar w:fldCharType="end"/>
      </w:r>
      <w:r w:rsidR="008259D8">
        <w:t xml:space="preserve"> The </w:t>
      </w:r>
      <w:r>
        <w:t>basic minimum</w:t>
      </w:r>
      <w:r w:rsidR="008259D8">
        <w:t xml:space="preserve"> for IBD surveillance colonoscopy has been and still is </w:t>
      </w:r>
      <w:r w:rsidR="00F32D49">
        <w:t>quadrantic</w:t>
      </w:r>
      <w:r w:rsidR="008259D8">
        <w:t xml:space="preserve"> </w:t>
      </w:r>
      <w:r w:rsidR="00F32D49">
        <w:t>non</w:t>
      </w:r>
      <w:r w:rsidR="00DA1D3F">
        <w:t>-</w:t>
      </w:r>
      <w:r w:rsidR="00F32D49">
        <w:t xml:space="preserve">targeted </w:t>
      </w:r>
      <w:r w:rsidR="008259D8">
        <w:t>colonic biopsies.</w:t>
      </w:r>
      <w:r w:rsidR="005F2F01">
        <w:t xml:space="preserve"> In a recent </w:t>
      </w:r>
      <w:r w:rsidR="00DE42C7">
        <w:t xml:space="preserve">survey amongst international IBD physicians and endoscopists, up to 43% of respondents stated that they perform </w:t>
      </w:r>
      <w:r w:rsidR="00F32D49">
        <w:t>non</w:t>
      </w:r>
      <w:r w:rsidR="00123E9C">
        <w:t>-</w:t>
      </w:r>
      <w:r w:rsidR="00F32D49">
        <w:t>targeted</w:t>
      </w:r>
      <w:r w:rsidR="00DE42C7">
        <w:t xml:space="preserve"> colonic biopsies in &gt;75% of cases when performing surveillance with chromoendoscopy.</w:t>
      </w:r>
      <w:r w:rsidR="00DE42C7">
        <w:fldChar w:fldCharType="begin" w:fldLock="1"/>
      </w:r>
      <w:r w:rsidR="005633A0">
        <w:instrText>ADDIN CSL_CITATION {"citationItems":[{"id":"ITEM-1","itemData":{"DOI":"10.1016/j.gie.2017.07.045","ISSN":"1097-6779","PMID":"28818507","abstract":"BACKGROUND AND AIMS Varying recommendations regarding the detection and management of dysplasia can lead to uncertainty and may impede the uptake of strategies that could improve surveillance in patients with inflammatory bowel disease (IBD). An educational event was held to assist in disseminating the recently published Surveillance for Colorectal Endoscopic Neoplasia Detection and Management in Inflammatory Bowel Disease Patients: International Consensus Recommendations (SCENIC). METHODS Specialists in IBD and endoscopy led the Optimizing Quality of Endoscopy in IBD course. The American Society for Gastrointestinal Endoscopy (ASGE) organized the course, and the Crohn's and Colitis Foundation of America (CCFA) provided endorsement. One was held in March 2015 at the ASGE Institute for Training and Technology in Chicago, Illinois, and the second in September 2016 preceding the ASGE Endofest in Chandler, Arizona. The program included interactive case-based discussions and didactic presentations on topics including the rationale and current approach of surveillance in IBD; endoscopic characterization and nomenclature of active and quiescent disease; detection of dysplasia during IBD surveillance; role of image-enhanced endoscopy in IBD surveillance, with a focus on chromoendoscopy technique; and management of dysplasia in IBD. Participants were surveyed before and after the course to assess their perspectives and practice. RESULTS Eighteen presenters or panel members and approximately 92 IBD and endoscopist physician leaders attended the meeting. Most attendees were aged 30 to 49 years (88.1%), had been in practice less than 10 years (89.7%), were from academic medical centers (90.7%), and spent &gt;50% of their time caring for patients with IBD (59.7%). Recommended quality improvements for endoscopy in IBD included the use of endoscopic scoring systems to describe disease activity, the use of a modified Paris classification to characterize visible dysplastic lesions (polypoid, nonpolypoid with description of presence of ulcer and distinct or indistinct borders), the use of chromoendoscopy for dysplasia detection, and the endoscopic removal of visible dysplastic lesions. In the follow-up survey, participants were asked to indicate whether they had changed their practice as a result of attending the course. Ninety-three percent (93%) indicated they had changed their practice. For dysplasia detection, the use of chromoendoscopy increased: 51.7% of respondents r…","author":[{"dropping-particle":"","family":"Kaltenbach","given":"Tonya R","non-dropping-particle":"","parse-names":false,"suffix":""},{"dropping-particle":"","family":"Soetikno","given":"Roy M","non-dropping-particle":"","parse-names":false,"suffix":""},{"dropping-particle":"","family":"DeVivo","given":"Rebecca","non-dropping-particle":"","parse-names":false,"suffix":""},{"dropping-particle":"","family":"Laine","given":"Loren A","non-dropping-particle":"","parse-names":false,"suffix":""},{"dropping-particle":"","family":"Barkun","given":"Alan","non-dropping-particle":"","parse-names":false,"suffix":""},{"dropping-particle":"","family":"McQuaid","given":"Kenneth R","non-dropping-particle":"","parse-names":false,"suffix":""},{"dropping-particle":"","family":"Optimizing Quality of Endoscopy in IBD Group","given":"Adam","non-dropping-particle":"","parse-names":false,"suffix":""},{"dropping-particle":"","family":"Chiorean","given":"Michael","non-dropping-particle":"","parse-names":false,"suffix":""},{"dropping-particle":"","family":"East","given":"James E.","non-dropping-particle":"","parse-names":false,"suffix":""},{"dropping-particle":"","family":"Farraye","given":"Francis A.","non-dropping-particle":"","parse-names":false,"suffix":""},{"dropping-particle":"","family":"Leighton","given":"Jonathan A.","non-dropping-particle":"","parse-names":false,"suffix":""},{"dropping-particle":"","family":"Levesque","given":"Barrett G.","non-dropping-particle":"","parse-names":false,"suffix":""},{"dropping-particle":"","family":"Lichtenstein","given":"Gary R.","non-dropping-particle":"","parse-names":false,"suffix":""},{"dropping-particle":"","family":"Marion","given":"James F.","non-dropping-particle":"","parse-names":false,"suffix":""},{"dropping-particle":"","family":"Matsumoto","given":"Takayuki","non-dropping-particle":"","parse-names":false,"suffix":""},{"dropping-particle":"","family":"Mönkemüller","given":"Klaus","non-dropping-particle":"","parse-names":false,"suffix":""},{"dropping-particle":"","family":"Picco","given":"Michael F.","non-dropping-particle":"","parse-names":false,"suffix":""},{"dropping-particle":"","family":"Odze","given":"Robert","non-dropping-particle":"","parse-names":false,"suffix":""},{"dropping-particle":"","family":"Raju","given":"Gottumukkala S.","non-dropping-particle":"","parse-names":false,"suffix":""},{"dropping-particle":"","family":"Rutter","given":"Matt","non-dropping-particle":"","parse-names":false,"suffix":""},{"dropping-particle":"","family":"Rex","given":"Douglas K.","non-dropping-particle":"","parse-names":false,"suffix":""},{"dropping-particle":"","family":"Shen","given":"Bo","non-dropping-particle":"","parse-names":false,"suffix":""},{"dropping-particle":"","family":"Shergill","given":"Amandeep","non-dropping-particle":"","parse-names":false,"suffix":""},{"dropping-particle":"","family":"Subramanian","given":"Venkat","non-dropping-particle":"","parse-names":false,"suffix":""}],"container-title":"Gastrointestinal endoscopy","id":"ITEM-1","issue":"6","issued":{"date-parts":[["2017","12","1"]]},"page":"1107-1117.e1","publisher":"Elsevier","title":"Optimizing the quality of endoscopy in inflammatory bowel disease: focus on surveillance and management of colorectal dysplasia using interactive image- and video-based teaching.","type":"article-journal","volume":"86"},"uris":["http://www.mendeley.com/documents/?uuid=d3a3aac8-73b9-30e3-b71d-73c8e491dc32"]}],"mendeley":{"formattedCitation":"[10]","plainTextFormattedCitation":"[10]","previouslyFormattedCitation":"[10]"},"properties":{"noteIndex":0},"schema":"https://github.com/citation-style-language/schema/raw/master/csl-citation.json"}</w:instrText>
      </w:r>
      <w:r w:rsidR="00DE42C7">
        <w:fldChar w:fldCharType="separate"/>
      </w:r>
      <w:r w:rsidR="00DE42C7" w:rsidRPr="00DE42C7">
        <w:rPr>
          <w:noProof/>
        </w:rPr>
        <w:t>[10]</w:t>
      </w:r>
      <w:r w:rsidR="00DE42C7">
        <w:fldChar w:fldCharType="end"/>
      </w:r>
      <w:r w:rsidR="008259D8">
        <w:t xml:space="preserve"> </w:t>
      </w:r>
      <w:r w:rsidR="00EF179A">
        <w:t xml:space="preserve">In our study, a total of 6751 </w:t>
      </w:r>
      <w:r w:rsidR="00F32D49">
        <w:t>non</w:t>
      </w:r>
      <w:r w:rsidR="00DA1D3F">
        <w:t>-</w:t>
      </w:r>
      <w:r w:rsidR="00F32D49">
        <w:t>targeted</w:t>
      </w:r>
      <w:r w:rsidR="00EF179A">
        <w:t xml:space="preserve"> biopsies were taken</w:t>
      </w:r>
      <w:r w:rsidR="008259D8">
        <w:t xml:space="preserve"> </w:t>
      </w:r>
      <w:r w:rsidR="00EF179A">
        <w:t xml:space="preserve">and only 1 was reported to contain neoplasia (low grade dysplasia with active background disease). </w:t>
      </w:r>
      <w:r w:rsidR="005633A0">
        <w:t xml:space="preserve">Our findings add to the body of evidence on the futility of </w:t>
      </w:r>
      <w:r w:rsidR="00123E9C">
        <w:t>non-targeted</w:t>
      </w:r>
      <w:r w:rsidR="005633A0">
        <w:t xml:space="preserve"> biopsies in detecting neoplasia.</w:t>
      </w:r>
      <w:r w:rsidR="005633A0">
        <w:fldChar w:fldCharType="begin" w:fldLock="1"/>
      </w:r>
      <w:r w:rsidR="00AE04BA">
        <w:instrText>ADDIN CSL_CITATION {"citationItems":[{"id":"ITEM-1","itemData":{"DOI":"10.1053/j.gastro.2016.08.002","ISSN":"1528-0012","PMID":"27523980","abstract":"BACKGROUND &amp; AIMS A random biopsy is recommended for surveillance of ulcerative colitis (UC)-associated colorectal cancer. However, a targeted biopsy might be more effective. We conducted a randomized controlled trial to compare rates of neoplasia detection by targeted vs random biopsies in patients with UC. METHODS We performed a study of 246 patients with UC for 7 years or more, seen at 52 institutions in Japan from October 1, 2008 through December 31, 2010. Patients were randomly assigned to the random group (4 random biopsies collected every 10 cm in addition to targeted biopsies, n = 122) or the target group (biopsies collected from locations of suspected neoplasia, n = 124). The primary end point was the number of neoplastic lesions detected in a single surveillance colonoscopy. We estimated the ratio and difference in the mean number of neoplastic lesions between the groups. We also evaluated the non-inferiority between the groups as an exploratory study. A non-inferiority margin of 0.65 (0.13 of 0.20) was considered for the ratio of the mean number of neoplastic lesions between groups. RESULTS The mean number of biopsies found to contain neoplastic tissue per colonoscopy was 0.211 (24 of 114) in the target group and 0.168 (18 of 107) in the random group (ratio of 1.251; 95% confidence interval, 0.679-2.306). The lower limit was above the non-inferiority margin of 0.65. Neoplasias were detected in 11.4% of patients in the target group and 9.3% of patients in the random group (P = .617). Larger numbers of biopsy samples per colonoscopy were collected in the random group (34.8 vs 3.1 in the target group; P &lt; .001), and the total examination time was longer (41.7 vs 26.6 minutes in the target group; P &lt; .001). In the random group, all neoplastic tissues found in random biopsies were collected from areas of the mucosa with a history or presence of inflammation. CONCLUSIONS In a randomized controlled trial, we found that targeted and random biopsies detect similar proportions of neoplasias. However, a targeted biopsy appears to be a more cost-effective method. Random biopsies from areas without any signs of present or past inflammation were not found to contain neoplastic tissues. Clinical Trial Registry: UMIN000001608.","author":[{"dropping-particle":"","family":"Watanabe","given":"Toshiaki","non-dropping-particle":"","parse-names":false,"suffix":""},{"dropping-particle":"","family":"Ajioka","given":"Yoichi","non-dropping-particle":"","parse-names":false,"suffix":""},{"dropping-particle":"","family":"Mitsuyama","given":"Keiichi","non-dropping-particle":"","parse-names":false,"suffix":""},{"dropping-particle":"","family":"Watanabe","given":"Kenji","non-dropping-particle":"","parse-names":false,"suffix":""},{"dropping-particle":"","family":"Hanai","given":"Hiroyuki","non-dropping-particle":"","parse-names":false,"suffix":""},{"dropping-particle":"","family":"Nakase","given":"Hiroshi","non-dropping-particle":"","parse-names":false,"suffix":""},{"dropping-particle":"","family":"Kunisaki","given":"Reiko","non-dropping-particle":"","parse-names":false,"suffix":""},{"dropping-particle":"","family":"Matsuda","given":"Keiji","non-dropping-particle":"","parse-names":false,"suffix":""},{"dropping-particle":"","family":"Iwakiri","given":"Ryuichi","non-dropping-particle":"","parse-names":false,"suffix":""},{"dropping-particle":"","family":"Hida","given":"Nobuyuki","non-dropping-particle":"","parse-names":false,"suffix":""},{"dropping-particle":"","family":"Tanaka","given":"Shinji","non-dropping-particle":"","parse-names":false,"suffix":""},{"dropping-particle":"","family":"Takeuchi","given":"Yoshiaki","non-dropping-particle":"","parse-names":false,"suffix":""},{"dropping-particle":"","family":"Ohtsuka","given":"Kazuo","non-dropping-particle":"","parse-names":false,"suffix":""},{"dropping-particle":"","family":"Murakami","given":"Kazunari","non-dropping-particle":"","parse-names":false,"suffix":""},{"dropping-particle":"","family":"Kobayashi","given":"Kiyonori","non-dropping-particle":"","parse-names":false,"suffix":""},{"dropping-particle":"","family":"Iwao","given":"Yasushi","non-dropping-particle":"","parse-names":false,"suffix":""},{"dropping-particle":"","family":"Nagahori","given":"Masakazu","non-dropping-particle":"","parse-names":false,"suffix":""},{"dropping-particle":"","family":"Iizuka","given":"Bunei","non-dropping-particle":"","parse-names":false,"suffix":""},{"dropping-particle":"","family":"Hata","given":"Keisuke","non-dropping-particle":"","parse-names":false,"suffix":""},{"dropping-particle":"","family":"Igarashi","given":"Masahiro","non-dropping-particle":"","parse-names":false,"suffix":""},{"dropping-particle":"","family":"Hirata","given":"Ichiro","non-dropping-particle":"","parse-names":false,"suffix":""},{"dropping-particle":"","family":"Kudo","given":"Shin-Ei","non-dropping-particle":"","parse-names":false,"suffix":""},{"dropping-particle":"","family":"Matsumoto","given":"Takayuki","non-dropping-particle":"","parse-names":false,"suffix":""},{"dropping-particle":"","family":"Ueno","given":"Fumiaki","non-dropping-particle":"","parse-names":false,"suffix":""},{"dropping-particle":"","family":"Watanabe","given":"Gen","non-dropping-particle":"","parse-names":false,"suffix":""},{"dropping-particle":"","family":"Ikegami","given":"Masahiro","non-dropping-particle":"","parse-names":false,"suffix":""},{"dropping-particle":"","family":"Ito","given":"Yoko","non-dropping-particle":"","parse-names":false,"suffix":""},{"dropping-particle":"","family":"Oba","given":"Koji","non-dropping-particle":"","parse-names":false,"suffix":""},{"dropping-particle":"","family":"Inoue","given":"Eisuke","non-dropping-particle":"","parse-names":false,"suffix":""},{"dropping-particle":"","family":"Tomotsugu","given":"Naoki","non-dropping-particle":"","parse-names":false,"suffix":""},{"dropping-particle":"","family":"Takebayashi","given":"Toru","non-dropping-particle":"","parse-names":false,"suffix":""},{"dropping-particle":"","family":"Sugihara","given":"Kenichi","non-dropping-particle":"","parse-names":false,"suffix":""},{"dropping-particle":"","family":"Suzuki","given":"Yasuo","non-dropping-particle":"","parse-names":false,"suffix":""},{"dropping-particle":"","family":"Watanabe","given":"Mamoru","non-dropping-particle":"","parse-names":false,"suffix":""},{"dropping-particle":"","family":"Hibi","given":"Toshifumi","non-dropping-particle":"","parse-names":false,"suffix":""}],"container-title":"Gastroenterology","id":"ITEM-1","issue":"6","issued":{"date-parts":[["2016","12"]]},"page":"1122-1130","title":"Comparison of Targeted vs Random Biopsies for Surveillance of Ulcerative Colitis-Associated Colorectal Cancer.","type":"article-journal","volume":"151"},"uris":["http://www.mendeley.com/documents/?uuid=520939a0-9df5-3602-85f6-b530369c59d4"]},{"id":"ITEM-2","itemData":{"DOI":"10.1016/j.cgh.2015.12.047","ISSN":"15423565","abstract":"&lt;h3&gt;Background &amp; Aims&lt;/h3&gt;&lt;p&gt;It is unclear what are the best and most appropriate endoscopic procedures for detecting colonic neoplasia in patients with long-term colonic inflammatory bowel disease (IBD). Dye chromoendoscopy (DCE) is the standard used in IBD surveillance colonoscopies. However, studies are needed to determine the optimal endoscopic technique for detecting dysplastic lesions. We investigated current practices used in surveillance colonoscopies by IBD gastroenterologists at a single tertiary center. We also determined the rate of neoplasia detection among different surveillance endoscopic techniques in an analysis of random or targeted biopsies.&lt;/p&gt;&lt;h3&gt;Methods&lt;/h3&gt;&lt;p&gt;We collected data on 454 patients with IBD (54.5% male; mean age, 50 y; mean disease duration, 14.5 y; 55.9% with ulcerative colitis, 42.7% with Crohn's disease, and 1.3% with indeterminate colitis) who underwent surveillance colonoscopy from April 2011 through March 2014 at the University of Calgary in Canada. Subjects were examined using white-light standard-definition endoscopy (WLE), high-definition (HD) colonoscopy, virtual electronic chromoendoscopy (VCE), or DCE; random or targeted biopsy specimens were collected. Endoscopic and histologic descriptions with suspected neoplasia were recorded. Rates of neoplasia detection by the different endoscopic procedures were compared using chi-square analysis.&lt;/p&gt;&lt;h3&gt;Results&lt;/h3&gt;&lt;p&gt;Of the patients analyzed, 27.7% had WLE endoscopy with random collection of biopsy specimens, 27.3% had HD colonoscopy with random collection of biopsy specimens, 14.1% had VCE with random collection of biopsy specimens, 0.9% had DCE with random collection of biopsy specimens, 12.8% had HD colonoscopy with collection of targeted biopsy specimens, 11.9% had VCE with collection of targeted biopsy specimens, and 5.3% had DCE with collection of targeted biopsy specimens. Neoplastic lesions were detected in 8.2% of the procedures performed in the random biopsy group (95% confidence interval, 5.6–11.7) and 19.1% of procedures in the targeted biopsy group (95% confidence interval, 13.4–26.5) (&lt;i&gt;P&lt;/i&gt; &lt; .001). Neoplasias were detected in similar proportions of patients by HD colonoscopy, VCE, or DCE, with targeted biopsy collection.&lt;/p&gt;&lt;h3&gt;Conclusions&lt;/h3&gt;&lt;p&gt;In a large cohort of IBD patients undergoing surveillance colonoscopy, targeted biopsies identified greater proportions of subjects with neoplasia than random biopsies. Targeted collection of biopsy specim…","author":[{"dropping-particle":"","family":"Gasia","given":"Miriam F.","non-dropping-particle":"","parse-names":false,"suffix":""},{"dropping-particle":"","family":"Ghosh","given":"Subrata","non-dropping-particle":"","parse-names":false,"suffix":""},{"dropping-particle":"","family":"Panaccione","given":"Remo","non-dropping-particle":"","parse-names":false,"suffix":""},{"dropping-particle":"","family":"Ferraz","given":"Jose G.","non-dropping-particle":"","parse-names":false,"suffix":""},{"dropping-particle":"","family":"Kaplan","given":"Gilaad G.","non-dropping-particle":"","parse-names":false,"suffix":""},{"dropping-particle":"","family":"Leung","given":"Yvette","non-dropping-particle":"","parse-names":false,"suffix":""},{"dropping-particle":"","family":"Novak","given":"Kerri L.","non-dropping-particle":"","parse-names":false,"suffix":""},{"dropping-particle":"","family":"Seow","given":"Cynthia H.","non-dropping-particle":"","parse-names":false,"suffix":""},{"dropping-particle":"","family":"Iacucci","given":"Marietta","non-dropping-particle":"","parse-names":false,"suffix":""}],"container-title":"Clinical Gastroenterology and Hepatology","id":"ITEM-2","issue":"5","issued":{"date-parts":[["2016","5","1"]]},"page":"704-712.e4","publisher":"Elsevier","title":"Targeted Biopsies Identify Larger Proportions of Patients With Colonic Neoplasia Undergoing High-Definition Colonoscopy, Dye Chromoendoscopy, or Electronic Virtual Chromoendoscopy","type":"article-journal","volume":"14"},"uris":["http://www.mendeley.com/documents/?uuid=3f0dc022-ca79-3e55-8b4d-a410528e961b"]}],"mendeley":{"formattedCitation":"[27,28]","plainTextFormattedCitation":"[27,28]","previouslyFormattedCitation":"[26,27]"},"properties":{"noteIndex":0},"schema":"https://github.com/citation-style-language/schema/raw/master/csl-citation.json"}</w:instrText>
      </w:r>
      <w:r w:rsidR="005633A0">
        <w:fldChar w:fldCharType="separate"/>
      </w:r>
      <w:r w:rsidR="00AE04BA" w:rsidRPr="00AE04BA">
        <w:rPr>
          <w:noProof/>
        </w:rPr>
        <w:t>[27,28]</w:t>
      </w:r>
      <w:r w:rsidR="005633A0">
        <w:fldChar w:fldCharType="end"/>
      </w:r>
      <w:r w:rsidR="005633A0">
        <w:t xml:space="preserve"> </w:t>
      </w:r>
      <w:r w:rsidR="00EF179A">
        <w:t xml:space="preserve">In the era of high definition endoscopy systems, it is time to abandon costly and ineffective </w:t>
      </w:r>
      <w:r w:rsidR="00123E9C">
        <w:t>quadrantic</w:t>
      </w:r>
      <w:r w:rsidR="00F32D49">
        <w:t xml:space="preserve"> non</w:t>
      </w:r>
      <w:r w:rsidR="00DA1D3F">
        <w:t>-</w:t>
      </w:r>
      <w:r w:rsidR="00F32D49">
        <w:t>targeted</w:t>
      </w:r>
      <w:r w:rsidR="00EF179A">
        <w:t xml:space="preserve"> biopsies </w:t>
      </w:r>
      <w:r w:rsidR="00FA0663">
        <w:t>during</w:t>
      </w:r>
      <w:r w:rsidR="00EF179A">
        <w:t xml:space="preserve"> IBD surveillance colonoscopy.</w:t>
      </w:r>
    </w:p>
    <w:p w14:paraId="62CBD293" w14:textId="77777777" w:rsidR="00F97EA1" w:rsidRDefault="00F97EA1" w:rsidP="00990232">
      <w:pPr>
        <w:spacing w:line="360" w:lineRule="auto"/>
        <w:jc w:val="both"/>
      </w:pPr>
    </w:p>
    <w:p w14:paraId="405A43D1" w14:textId="638170D9" w:rsidR="00F97EA1" w:rsidRDefault="00FB2459" w:rsidP="00990232">
      <w:pPr>
        <w:spacing w:line="360" w:lineRule="auto"/>
        <w:jc w:val="both"/>
      </w:pPr>
      <w:r w:rsidRPr="005A27FF">
        <w:t>Increased</w:t>
      </w:r>
      <w:r w:rsidR="00F97EA1" w:rsidRPr="005A27FF">
        <w:t xml:space="preserve"> withdrawal times </w:t>
      </w:r>
      <w:r w:rsidR="005A27FF" w:rsidRPr="005A27FF">
        <w:t>have</w:t>
      </w:r>
      <w:r w:rsidR="00F97EA1" w:rsidRPr="005A27FF">
        <w:t xml:space="preserve"> been shown to increase adenoma detection rates in colonoscopies done on non-IBD patients.</w:t>
      </w:r>
      <w:r>
        <w:fldChar w:fldCharType="begin" w:fldLock="1"/>
      </w:r>
      <w:r w:rsidR="00AE04BA">
        <w:instrText>ADDIN CSL_CITATION {"citationItems":[{"id":"ITEM-1","itemData":{"DOI":"10.1016/j.gie.2018.09.016","ISSN":"00165107","PMID":"30267654","abstract":"BACKGROUND AND AIMS Appropriate colonoscopy withdrawal times for individual colonic segments are not well known. The relationship between withdrawal time and adenoma detection rate (ADR)/polyp detection rate (PDR) in individual colonic segments was examined in this study. METHODS This was a prospective observational study involving 724 patients who underwent colonoscopy screening or surveillance colonoscopy from October 2015 to February 2017 at 10 university hospitals. RESULTS In the right side of the colon, the ADR (33.2% vs 13.7%, P &lt; .001), PDR, serrated polyp detection rate, and number of adenomas per colonoscopy (APC) were significantly higher when the colonoscopy withdrawal time was ≥2 minutes compared with &lt;2 minutes. When the withdrawal time was ≥4 minutes in the proximal colon and ≥3 minutes in the left segment of the colon, the ADR, PDR, and APC were significantly higher compared with withdrawal times of &lt;4 minutes and &lt;3 minutes, respectively. Multivariate analyses showed that the ADR was significantly associated with withdrawal times of ≥2 minutes in the right side of the colon (odds ratio [OR], 2.98; 95% confidence interval [CI], 1.72-5.15; P &lt; .001), ≥4 minutes in the proximal colon (OR, 4.48; 95% CI, 3.15-6.36; P &lt; .001), and ≥3 minutes in the left segment of the colon (OR, 2.92; 95% CI, 1.74-4.91; P &lt; .001). CONCLUSIONS The PDR and ADR appeared to be significantly increased when the withdrawal time was ≥2 minutes in the right-sided colon segment, ≥4 minutes in the proximal colon, and ≥3 minutes in the left-sided colon segment compared with shorter withdrawal times.","author":[{"dropping-particle":"","family":"Jung","given":"Yunho","non-dropping-particle":"","parse-names":false,"suffix":""},{"dropping-particle":"","family":"Joo","given":"Young-Eun","non-dropping-particle":"","parse-names":false,"suffix":""},{"dropping-particle":"","family":"Kim","given":"Hyun Gun","non-dropping-particle":"","parse-names":false,"suffix":""},{"dropping-particle":"","family":"Jeon","given":"Seong Ran","non-dropping-particle":"","parse-names":false,"suffix":""},{"dropping-particle":"","family":"Cha","given":"Jae Myung","non-dropping-particle":"","parse-names":false,"suffix":""},{"dropping-particle":"","family":"Yang","given":"Hyo-Joon","non-dropping-particle":"","parse-names":false,"suffix":""},{"dropping-particle":"","family":"Kim","given":"Jong Wook","non-dropping-particle":"","parse-names":false,"suffix":""},{"dropping-particle":"","family":"Lee","given":"Jun","non-dropping-particle":"","parse-names":false,"suffix":""},{"dropping-particle":"","family":"Kim","given":"Kyeong Ok","non-dropping-particle":"","parse-names":false,"suffix":""},{"dropping-particle":"","family":"Song","given":"Hye Kyung","non-dropping-particle":"","parse-names":false,"suffix":""},{"dropping-particle":"","family":"Hwangbo","given":"Young","non-dropping-particle":"","parse-names":false,"suffix":""},{"dropping-particle":"","family":"Shin","given":"Jeong Eun","non-dropping-particle":"","parse-names":false,"suffix":""}],"container-title":"Gastrointestinal Endoscopy","id":"ITEM-1","issue":"3","issued":{"date-parts":[["2019","3"]]},"page":"523-530","title":"Relationship between the endoscopic withdrawal time and adenoma/polyp detection rate in individual colonic segments: a KASID multicenter study","type":"article-journal","volume":"89"},"uris":["http://www.mendeley.com/documents/?uuid=03944fda-6d1b-3ccc-944d-ce43d927830c"]}],"mendeley":{"formattedCitation":"[29]","plainTextFormattedCitation":"[29]","previouslyFormattedCitation":"[28]"},"properties":{"noteIndex":0},"schema":"https://github.com/citation-style-language/schema/raw/master/csl-citation.json"}</w:instrText>
      </w:r>
      <w:r>
        <w:fldChar w:fldCharType="separate"/>
      </w:r>
      <w:r w:rsidR="00AE04BA" w:rsidRPr="00AE04BA">
        <w:rPr>
          <w:noProof/>
        </w:rPr>
        <w:t>[29]</w:t>
      </w:r>
      <w:r>
        <w:fldChar w:fldCharType="end"/>
      </w:r>
      <w:r>
        <w:t xml:space="preserve"> In our study, the withdrawal time was between a median of 24.0 to 25.5 minutes in each study arm. This</w:t>
      </w:r>
      <w:r w:rsidR="00FA0663">
        <w:t xml:space="preserve"> is likely to</w:t>
      </w:r>
      <w:r>
        <w:t xml:space="preserve"> be due to the </w:t>
      </w:r>
      <w:r w:rsidR="00DA1D3F">
        <w:t>6751 non-targeted</w:t>
      </w:r>
      <w:r>
        <w:t xml:space="preserve"> biopsies that were taken as part of the study protocol. </w:t>
      </w:r>
      <w:r w:rsidR="00FA0663">
        <w:t xml:space="preserve">The design of our study </w:t>
      </w:r>
      <w:r w:rsidR="00FA0663" w:rsidRPr="00BE2795">
        <w:t>allow</w:t>
      </w:r>
      <w:r w:rsidR="00BE2795" w:rsidRPr="00BE2795">
        <w:t>s</w:t>
      </w:r>
      <w:r w:rsidR="00FA0663" w:rsidRPr="00BE2795">
        <w:t xml:space="preserve"> us</w:t>
      </w:r>
      <w:r w:rsidR="00FA0663">
        <w:t xml:space="preserve"> to conclude that </w:t>
      </w:r>
      <w:r w:rsidR="00F32D49">
        <w:t>quadrantic</w:t>
      </w:r>
      <w:r w:rsidR="00DA1D3F">
        <w:t xml:space="preserve"> non-targeted</w:t>
      </w:r>
      <w:r w:rsidR="00EC6E50">
        <w:t xml:space="preserve"> biopsies do not make any </w:t>
      </w:r>
      <w:r w:rsidR="00572550">
        <w:t xml:space="preserve">significant </w:t>
      </w:r>
      <w:r w:rsidR="00EC6E50">
        <w:t xml:space="preserve">additional contribution to NDR over and above the targeted biopsies. However, we cannot completely exclude the impact of long withdrawal time on NDR rate in our study. </w:t>
      </w:r>
      <w:r>
        <w:t xml:space="preserve">If </w:t>
      </w:r>
      <w:r w:rsidR="00DA1D3F">
        <w:t>quadrantic non-targeted biopsies</w:t>
      </w:r>
      <w:r w:rsidR="00F32D49">
        <w:t xml:space="preserve"> </w:t>
      </w:r>
      <w:r>
        <w:t>were to be abandoned, the withdrawal times could be shortened.</w:t>
      </w:r>
      <w:r w:rsidR="00EA49AF">
        <w:t xml:space="preserve"> </w:t>
      </w:r>
      <w:r w:rsidR="00B143C3">
        <w:t xml:space="preserve">A recent systematic review and </w:t>
      </w:r>
      <w:r w:rsidR="00B143C3" w:rsidRPr="00BE2795">
        <w:t>experts</w:t>
      </w:r>
      <w:r w:rsidR="00BE2795" w:rsidRPr="00BE2795">
        <w:t>’</w:t>
      </w:r>
      <w:r w:rsidR="00B143C3">
        <w:t xml:space="preserve"> opinion </w:t>
      </w:r>
      <w:r w:rsidR="00B143C3" w:rsidRPr="00BE2795">
        <w:t>recommend</w:t>
      </w:r>
      <w:r w:rsidR="00BE2795" w:rsidRPr="00BE2795">
        <w:t>s</w:t>
      </w:r>
      <w:r w:rsidR="00B143C3">
        <w:t xml:space="preserve"> that the withdrawal time of 17 minutes should be considered </w:t>
      </w:r>
      <w:r w:rsidR="003B5C03">
        <w:t xml:space="preserve">as </w:t>
      </w:r>
      <w:r w:rsidR="00B143C3">
        <w:t xml:space="preserve">one of the key performance </w:t>
      </w:r>
      <w:r w:rsidR="00B143C3" w:rsidRPr="00BE2795">
        <w:t>indexes</w:t>
      </w:r>
      <w:r w:rsidR="00B143C3">
        <w:t xml:space="preserve"> of colitis surveillance.</w:t>
      </w:r>
      <w:r w:rsidR="003B5C03">
        <w:fldChar w:fldCharType="begin" w:fldLock="1"/>
      </w:r>
      <w:r w:rsidR="00AE04BA">
        <w:instrText>ADDIN CSL_CITATION {"citationItems":[{"id":"ITEM-1","itemData":{"DOI":"10.1016/S2468-1253(19)30194-3","ISSN":"24681253","PMID":"31696831","abstract":"Several recommendations have addressed the topic of improving the quality of surveillance colonoscopy in inflammatory bowel disease. However, there is variation between these recommendations, in part due to the absence of well-defined quality indicators, suggesting that these quality indicators should be studied and developed. We did a systematic review of evidence related to surveillance colonoscopy in inflammatory bowel disease to look at the different variables in this practice and offer a critique of the quality control measures before, during, and after the procedure. We identified several key quality measures that could be adopted in clinical practice, including control of inflammation, optimal bowel preparation, ideal time allocation, training, sedation, detection and characterisation of lesions, therapeutic management of the lesions, and colonoscopic reports. However, further primary research and consensus reports are needed to continue developing roadmaps at a global level.","author":[{"dropping-particle":"","family":"Iacucci","given":"Marietta","non-dropping-particle":"","parse-names":false,"suffix":""},{"dropping-particle":"","family":"Cannatelli","given":"Rosanna","non-dropping-particle":"","parse-names":false,"suffix":""},{"dropping-particle":"","family":"Tontini","given":"Gian Eugenio","non-dropping-particle":"","parse-names":false,"suffix":""},{"dropping-particle":"","family":"Panaccione","given":"Remo","non-dropping-particle":"","parse-names":false,"suffix":""},{"dropping-particle":"","family":"Danese","given":"Silvio","non-dropping-particle":"","parse-names":false,"suffix":""},{"dropping-particle":"","family":"Fiorino","given":"Gionata","non-dropping-particle":"","parse-names":false,"suffix":""},{"dropping-particle":"","family":"Matsumoto","given":"Takayuki","non-dropping-particle":"","parse-names":false,"suffix":""},{"dropping-particle":"","family":"Kochhar","given":"Gursimran S","non-dropping-particle":"","parse-names":false,"suffix":""},{"dropping-particle":"","family":"Shen","given":"Bo","non-dropping-particle":"","parse-names":false,"suffix":""},{"dropping-particle":"","family":"Kiesslich","given":"Ralf","non-dropping-particle":"","parse-names":false,"suffix":""},{"dropping-particle":"","family":"Ghosh","given":"Subrata","non-dropping-particle":"","parse-names":false,"suffix":""}],"container-title":"The Lancet Gastroenterology &amp; Hepatology","id":"ITEM-1","issue":"12","issued":{"date-parts":[["2019","12"]]},"page":"971-983","title":"Improving the quality of surveillance colonoscopy in inflammatory bowel disease","type":"article-journal","volume":"4"},"uris":["http://www.mendeley.com/documents/?uuid=935c0288-82c4-3854-aecd-dee82230ef61"]}],"mendeley":{"formattedCitation":"[30]","plainTextFormattedCitation":"[30]","previouslyFormattedCitation":"[29]"},"properties":{"noteIndex":0},"schema":"https://github.com/citation-style-language/schema/raw/master/csl-citation.json"}</w:instrText>
      </w:r>
      <w:r w:rsidR="003B5C03">
        <w:fldChar w:fldCharType="separate"/>
      </w:r>
      <w:r w:rsidR="00AE04BA" w:rsidRPr="00AE04BA">
        <w:rPr>
          <w:noProof/>
        </w:rPr>
        <w:t>[30]</w:t>
      </w:r>
      <w:r w:rsidR="003B5C03">
        <w:fldChar w:fldCharType="end"/>
      </w:r>
      <w:r w:rsidR="00C55010">
        <w:t xml:space="preserve"> </w:t>
      </w:r>
      <w:r w:rsidR="00EA49AF">
        <w:t xml:space="preserve">Therefore, it may be beneficial for </w:t>
      </w:r>
      <w:r w:rsidR="00BE2795" w:rsidRPr="00BE2795">
        <w:t>patient</w:t>
      </w:r>
      <w:r w:rsidR="00EA49AF" w:rsidRPr="00BE2795">
        <w:t>s</w:t>
      </w:r>
      <w:r w:rsidR="00BE2795" w:rsidRPr="00BE2795">
        <w:t>’</w:t>
      </w:r>
      <w:r w:rsidR="00EA49AF">
        <w:t xml:space="preserve"> undergoing colitis surveillance to be allocated extra time </w:t>
      </w:r>
      <w:r w:rsidR="00A01BDE">
        <w:t>to</w:t>
      </w:r>
      <w:r w:rsidR="00EA49AF">
        <w:t xml:space="preserve"> allow</w:t>
      </w:r>
      <w:r w:rsidR="00EC6E50">
        <w:t xml:space="preserve"> for</w:t>
      </w:r>
      <w:r w:rsidR="00EA49AF">
        <w:t xml:space="preserve"> careful assessment</w:t>
      </w:r>
      <w:r>
        <w:t xml:space="preserve"> </w:t>
      </w:r>
      <w:r w:rsidR="00EC6E50">
        <w:t xml:space="preserve">of </w:t>
      </w:r>
      <w:r w:rsidR="00EA49AF">
        <w:t xml:space="preserve">the colonic </w:t>
      </w:r>
      <w:r w:rsidR="005633A0">
        <w:t>mucosa during</w:t>
      </w:r>
      <w:r w:rsidR="00EA49AF">
        <w:t xml:space="preserve"> withdrawal</w:t>
      </w:r>
      <w:r w:rsidR="00B143C3">
        <w:t>.</w:t>
      </w:r>
    </w:p>
    <w:p w14:paraId="61E890C6" w14:textId="77777777" w:rsidR="00EF179A" w:rsidRDefault="00EF179A" w:rsidP="00990232">
      <w:pPr>
        <w:spacing w:line="360" w:lineRule="auto"/>
        <w:jc w:val="both"/>
      </w:pPr>
    </w:p>
    <w:p w14:paraId="3206F2B1" w14:textId="51EB6DB1" w:rsidR="00EF179A" w:rsidRDefault="00EF5792" w:rsidP="00990232">
      <w:pPr>
        <w:spacing w:line="360" w:lineRule="auto"/>
        <w:jc w:val="both"/>
      </w:pPr>
      <w:r>
        <w:t xml:space="preserve">One of the strengths of this study is the </w:t>
      </w:r>
      <w:r w:rsidR="00EC6E50">
        <w:t>randomised multicentre design involving several endoscopists</w:t>
      </w:r>
      <w:r w:rsidR="00726ACD">
        <w:t xml:space="preserve">. </w:t>
      </w:r>
      <w:r w:rsidR="00660E41">
        <w:t>Whilst previous studies were often carrie</w:t>
      </w:r>
      <w:r w:rsidR="005B0BE8">
        <w:t>d out in tertiary referral cent</w:t>
      </w:r>
      <w:r w:rsidR="00660E41">
        <w:t>r</w:t>
      </w:r>
      <w:r w:rsidR="005B0BE8">
        <w:t>e</w:t>
      </w:r>
      <w:r w:rsidR="00660E41">
        <w:t xml:space="preserve">s, patients </w:t>
      </w:r>
      <w:r w:rsidR="00B46630">
        <w:t xml:space="preserve">in this study </w:t>
      </w:r>
      <w:r w:rsidR="00660E41">
        <w:t xml:space="preserve">were recruited through a general IBD surveillance population. </w:t>
      </w:r>
      <w:r w:rsidR="0053078F">
        <w:t xml:space="preserve">An additional strength of our study is </w:t>
      </w:r>
      <w:r w:rsidR="00142C36">
        <w:t xml:space="preserve">that </w:t>
      </w:r>
      <w:r w:rsidR="0053078F">
        <w:t>q</w:t>
      </w:r>
      <w:r w:rsidR="00142C36">
        <w:t xml:space="preserve">uadrantic </w:t>
      </w:r>
      <w:r w:rsidR="0053078F">
        <w:t xml:space="preserve">non-targeted </w:t>
      </w:r>
      <w:r w:rsidR="00142C36">
        <w:t>biopsies</w:t>
      </w:r>
      <w:r w:rsidR="0053078F">
        <w:t xml:space="preserve"> were taken</w:t>
      </w:r>
      <w:r w:rsidR="00142C36">
        <w:t xml:space="preserve"> in both arms</w:t>
      </w:r>
      <w:r w:rsidR="0053078F">
        <w:t>, thereby reducing the risk of missing ‘invisible’ neoplastic lesions.</w:t>
      </w:r>
    </w:p>
    <w:p w14:paraId="4F994651" w14:textId="77777777" w:rsidR="00A96105" w:rsidRDefault="00A96105" w:rsidP="00990232">
      <w:pPr>
        <w:spacing w:line="360" w:lineRule="auto"/>
        <w:jc w:val="both"/>
      </w:pPr>
    </w:p>
    <w:p w14:paraId="462B7F58" w14:textId="1C6C5DD4" w:rsidR="00A96105" w:rsidRDefault="00FB0093" w:rsidP="00990232">
      <w:pPr>
        <w:spacing w:line="360" w:lineRule="auto"/>
        <w:jc w:val="both"/>
      </w:pPr>
      <w:r w:rsidRPr="00FB0093">
        <w:t xml:space="preserve">There were several limitations to this study. As it is a parallel study, it was not possible to </w:t>
      </w:r>
      <w:r>
        <w:t xml:space="preserve">calculate the miss rate of neoplasia. </w:t>
      </w:r>
      <w:r w:rsidR="006F4FDA">
        <w:t xml:space="preserve"> However, a cross-over trial will require a long wash out period and a second colonoscopy. A back-to back trial would introduce a ‘double-look’ bias. Both of these trial designs were found to be unacceptable to our patient and public involvement group. </w:t>
      </w:r>
      <w:r w:rsidR="00BE42C3">
        <w:t xml:space="preserve">The second limitation is that </w:t>
      </w:r>
      <w:r w:rsidR="0091138C">
        <w:t>a</w:t>
      </w:r>
      <w:r w:rsidR="0091138C" w:rsidRPr="0091138C">
        <w:t>lthough the participating endoscopists were experienced in the use of advanced im</w:t>
      </w:r>
      <w:r w:rsidR="0057196E">
        <w:t>aging technologies including i-s</w:t>
      </w:r>
      <w:r w:rsidR="0091138C" w:rsidRPr="0091138C">
        <w:t>can</w:t>
      </w:r>
      <w:r w:rsidR="00831EDB">
        <w:t xml:space="preserve"> and in IBD surveillance</w:t>
      </w:r>
      <w:r w:rsidR="0091138C" w:rsidRPr="0091138C">
        <w:t xml:space="preserve">, </w:t>
      </w:r>
      <w:r w:rsidR="00831EDB">
        <w:t xml:space="preserve">there was no </w:t>
      </w:r>
      <w:r w:rsidR="0091138C" w:rsidRPr="0091138C">
        <w:t>validated classification</w:t>
      </w:r>
      <w:r w:rsidR="00831EDB">
        <w:t xml:space="preserve"> for characterisation of neoplastic lesions in IBD colon with i-scan</w:t>
      </w:r>
      <w:r w:rsidR="0091138C" w:rsidRPr="0091138C">
        <w:t xml:space="preserve"> at the time the study was conducted.</w:t>
      </w:r>
      <w:r w:rsidR="0091138C">
        <w:t xml:space="preserve"> </w:t>
      </w:r>
      <w:r w:rsidR="00C6225D">
        <w:t>Despite this, however, the neoplasia detection rate was comparable to other similar studies.</w:t>
      </w:r>
      <w:r w:rsidR="00537886">
        <w:t xml:space="preserve"> </w:t>
      </w:r>
      <w:r w:rsidR="00D369B2" w:rsidRPr="001A6423">
        <w:t>The neoplasia detection rate in the HDV group was lower compared to other studies. However, non-targeted biopsies in the HDV group did n</w:t>
      </w:r>
      <w:r w:rsidR="003F7EB3" w:rsidRPr="001A6423">
        <w:t>ot pick up any additional neopla</w:t>
      </w:r>
      <w:r w:rsidR="00D369B2" w:rsidRPr="001A6423">
        <w:t>sia. Our trial design that includes targeted and non-targeted quadrantic biopsies provides the confidence to state that the lower HDV detection rate was not due to high miss rate of HDV.</w:t>
      </w:r>
    </w:p>
    <w:p w14:paraId="0DC13EB8" w14:textId="77777777" w:rsidR="00AB2412" w:rsidRDefault="00AB2412" w:rsidP="00990232">
      <w:pPr>
        <w:spacing w:line="360" w:lineRule="auto"/>
        <w:jc w:val="both"/>
      </w:pPr>
    </w:p>
    <w:p w14:paraId="4E23B574" w14:textId="03742F06" w:rsidR="002A1596" w:rsidRPr="001A6423" w:rsidRDefault="002A1596" w:rsidP="00990232">
      <w:pPr>
        <w:spacing w:line="360" w:lineRule="auto"/>
        <w:jc w:val="both"/>
      </w:pPr>
      <w:r w:rsidRPr="001A6423">
        <w:t xml:space="preserve">Patients recruited in this study were not stratified based on their type of inflammatory bowel disease </w:t>
      </w:r>
      <w:r w:rsidR="009A55FB" w:rsidRPr="001A6423">
        <w:t>or by gender. Therefore, the imbalance of the number of patients with UC and the male preponderance of patients in the HDV arm of the study arose by chance. The study was focused on the overall detection by the different imaging platforms, and therefore, we did not focus on gender or specific lesions identified. There is no convincing evidence in the literature that such gender differences occur or that lesions are different in UC versus Crohn’s Colitis.</w:t>
      </w:r>
      <w:r w:rsidR="0002442E" w:rsidRPr="001A6423">
        <w:t xml:space="preserve"> An interesting finding was that the </w:t>
      </w:r>
      <w:r w:rsidR="008B26A2" w:rsidRPr="001A6423">
        <w:t xml:space="preserve">neoplasia per patient detected was higher with HDV (25 lesions in 14 patients) than it was with HDWL (27 lesions in 22 patients). This is a useful marker of efficacy but it has not been adopted by other similar studies, thereby making it difficult to compare and contrast the study findings. Additionally, our study was not powered based on the neoplasia per patient rate. A meaningful </w:t>
      </w:r>
      <w:r w:rsidR="00BE2795" w:rsidRPr="00BE2795">
        <w:t>deduction</w:t>
      </w:r>
      <w:r w:rsidR="008B26A2" w:rsidRPr="001A6423">
        <w:t>, therefore, cannot be made based on this finding.</w:t>
      </w:r>
    </w:p>
    <w:p w14:paraId="3ADFAFB9" w14:textId="77777777" w:rsidR="009A55FB" w:rsidRDefault="009A55FB" w:rsidP="00990232">
      <w:pPr>
        <w:spacing w:line="360" w:lineRule="auto"/>
        <w:jc w:val="both"/>
      </w:pPr>
    </w:p>
    <w:p w14:paraId="498FD3F6" w14:textId="00A211F4" w:rsidR="00AB2412" w:rsidRPr="00EE6321" w:rsidRDefault="00EA49AF" w:rsidP="00990232">
      <w:pPr>
        <w:spacing w:line="360" w:lineRule="auto"/>
        <w:jc w:val="both"/>
      </w:pPr>
      <w:r>
        <w:t xml:space="preserve">In </w:t>
      </w:r>
      <w:r w:rsidRPr="00BE2795">
        <w:t>conclusion</w:t>
      </w:r>
      <w:r>
        <w:t xml:space="preserve">, </w:t>
      </w:r>
      <w:r w:rsidR="00DB43BA">
        <w:t xml:space="preserve">in </w:t>
      </w:r>
      <w:r>
        <w:t xml:space="preserve">this multi-centre randomised controlled trial, we could not demonstrate a significant difference in NDR between </w:t>
      </w:r>
      <w:r w:rsidR="00345D0E">
        <w:t>HDV (</w:t>
      </w:r>
      <w:r w:rsidR="0057196E">
        <w:t>i-s</w:t>
      </w:r>
      <w:r>
        <w:t>can OE</w:t>
      </w:r>
      <w:r w:rsidR="007C4A0A">
        <w:t xml:space="preserve"> Mode </w:t>
      </w:r>
      <w:r>
        <w:t>2</w:t>
      </w:r>
      <w:r w:rsidR="00345D0E">
        <w:t>)</w:t>
      </w:r>
      <w:r>
        <w:t xml:space="preserve"> and HDWL. However, IBD surveillance using a high definition endoscopy system achie</w:t>
      </w:r>
      <w:r w:rsidR="00854A85">
        <w:t>ved high NDR. This technology on its own may be sufficient to detect neoplasia in patients with longstanding IBD.</w:t>
      </w:r>
      <w:r w:rsidR="00A96105">
        <w:t xml:space="preserve"> </w:t>
      </w:r>
    </w:p>
    <w:p w14:paraId="2DC36A45" w14:textId="77777777" w:rsidR="0056745A" w:rsidRDefault="0056745A" w:rsidP="00990232">
      <w:pPr>
        <w:spacing w:line="360" w:lineRule="auto"/>
        <w:jc w:val="both"/>
      </w:pPr>
    </w:p>
    <w:p w14:paraId="4E7C625A" w14:textId="6D5495BE" w:rsidR="009B65EA" w:rsidRDefault="009B65EA" w:rsidP="009B65EA">
      <w:pPr>
        <w:widowControl w:val="0"/>
        <w:autoSpaceDE w:val="0"/>
        <w:autoSpaceDN w:val="0"/>
        <w:adjustRightInd w:val="0"/>
        <w:ind w:left="640" w:hanging="640"/>
      </w:pPr>
    </w:p>
    <w:p w14:paraId="6D4E96E4" w14:textId="77777777" w:rsidR="009B65EA" w:rsidRPr="00A156AC" w:rsidRDefault="009B65EA" w:rsidP="009B65EA">
      <w:pPr>
        <w:pStyle w:val="Caption"/>
        <w:spacing w:line="360" w:lineRule="auto"/>
        <w:rPr>
          <w:color w:val="auto"/>
          <w:sz w:val="24"/>
          <w:szCs w:val="24"/>
        </w:rPr>
      </w:pPr>
      <w:r>
        <w:rPr>
          <w:color w:val="auto"/>
          <w:sz w:val="24"/>
          <w:szCs w:val="24"/>
        </w:rPr>
        <w:br w:type="column"/>
      </w:r>
    </w:p>
    <w:p w14:paraId="7AFF88CF" w14:textId="77777777" w:rsidR="009B65EA" w:rsidRPr="00EE6321" w:rsidRDefault="009B65EA" w:rsidP="009B65EA">
      <w:pPr>
        <w:pStyle w:val="Caption"/>
        <w:keepNext/>
        <w:spacing w:line="360" w:lineRule="auto"/>
        <w:rPr>
          <w:color w:val="auto"/>
          <w:sz w:val="24"/>
        </w:rPr>
      </w:pPr>
      <w:r w:rsidRPr="00EE6321">
        <w:rPr>
          <w:color w:val="auto"/>
          <w:sz w:val="24"/>
        </w:rPr>
        <w:t xml:space="preserve">Table </w:t>
      </w:r>
      <w:r w:rsidRPr="00EE6321">
        <w:rPr>
          <w:color w:val="auto"/>
          <w:sz w:val="24"/>
        </w:rPr>
        <w:fldChar w:fldCharType="begin"/>
      </w:r>
      <w:r w:rsidRPr="00EE6321">
        <w:rPr>
          <w:color w:val="auto"/>
          <w:sz w:val="24"/>
        </w:rPr>
        <w:instrText xml:space="preserve"> SEQ Table \* ARABIC </w:instrText>
      </w:r>
      <w:r w:rsidRPr="00EE6321">
        <w:rPr>
          <w:color w:val="auto"/>
          <w:sz w:val="24"/>
        </w:rPr>
        <w:fldChar w:fldCharType="separate"/>
      </w:r>
      <w:r w:rsidR="005751E8">
        <w:rPr>
          <w:noProof/>
          <w:color w:val="auto"/>
          <w:sz w:val="24"/>
        </w:rPr>
        <w:t>1</w:t>
      </w:r>
      <w:r w:rsidRPr="00EE6321">
        <w:rPr>
          <w:color w:val="auto"/>
          <w:sz w:val="24"/>
        </w:rPr>
        <w:fldChar w:fldCharType="end"/>
      </w:r>
      <w:r w:rsidRPr="00EE6321">
        <w:rPr>
          <w:color w:val="auto"/>
          <w:sz w:val="24"/>
        </w:rPr>
        <w:t>: Baseline patient characteristics</w:t>
      </w:r>
    </w:p>
    <w:tbl>
      <w:tblPr>
        <w:tblStyle w:val="MediumShading1-Accent5"/>
        <w:tblW w:w="9356" w:type="dxa"/>
        <w:tblInd w:w="-60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3403"/>
        <w:gridCol w:w="2126"/>
        <w:gridCol w:w="2126"/>
        <w:gridCol w:w="1701"/>
      </w:tblGrid>
      <w:tr w:rsidR="009B65EA" w14:paraId="2B7561E3" w14:textId="77777777" w:rsidTr="009B65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top w:val="none" w:sz="0" w:space="0" w:color="auto"/>
              <w:left w:val="none" w:sz="0" w:space="0" w:color="auto"/>
              <w:bottom w:val="none" w:sz="0" w:space="0" w:color="auto"/>
              <w:right w:val="none" w:sz="0" w:space="0" w:color="auto"/>
            </w:tcBorders>
          </w:tcPr>
          <w:p w14:paraId="38306144" w14:textId="77777777" w:rsidR="009B65EA" w:rsidRDefault="009B65EA" w:rsidP="009B65EA">
            <w:pPr>
              <w:spacing w:line="360" w:lineRule="auto"/>
            </w:pPr>
          </w:p>
        </w:tc>
        <w:tc>
          <w:tcPr>
            <w:tcW w:w="2126" w:type="dxa"/>
            <w:tcBorders>
              <w:top w:val="none" w:sz="0" w:space="0" w:color="auto"/>
              <w:left w:val="none" w:sz="0" w:space="0" w:color="auto"/>
              <w:bottom w:val="none" w:sz="0" w:space="0" w:color="auto"/>
              <w:right w:val="none" w:sz="0" w:space="0" w:color="auto"/>
            </w:tcBorders>
          </w:tcPr>
          <w:p w14:paraId="4E5F4904" w14:textId="77777777" w:rsidR="009B65EA" w:rsidRDefault="009B65EA" w:rsidP="009B65EA">
            <w:pPr>
              <w:spacing w:line="360" w:lineRule="auto"/>
              <w:jc w:val="center"/>
              <w:cnfStyle w:val="100000000000" w:firstRow="1" w:lastRow="0" w:firstColumn="0" w:lastColumn="0" w:oddVBand="0" w:evenVBand="0" w:oddHBand="0" w:evenHBand="0" w:firstRowFirstColumn="0" w:firstRowLastColumn="0" w:lastRowFirstColumn="0" w:lastRowLastColumn="0"/>
            </w:pPr>
            <w:r>
              <w:t>HDWL</w:t>
            </w:r>
          </w:p>
          <w:p w14:paraId="33102F1E" w14:textId="3881015B" w:rsidR="00A94623" w:rsidRPr="00A94623" w:rsidRDefault="00A94623" w:rsidP="009B65EA">
            <w:pPr>
              <w:spacing w:line="360" w:lineRule="auto"/>
              <w:jc w:val="center"/>
              <w:cnfStyle w:val="100000000000" w:firstRow="1" w:lastRow="0" w:firstColumn="0" w:lastColumn="0" w:oddVBand="0" w:evenVBand="0" w:oddHBand="0" w:evenHBand="0" w:firstRowFirstColumn="0" w:firstRowLastColumn="0" w:lastRowFirstColumn="0" w:lastRowLastColumn="0"/>
              <w:rPr>
                <w:u w:val="single"/>
              </w:rPr>
            </w:pPr>
            <w:r w:rsidRPr="00A94623">
              <w:rPr>
                <w:u w:val="single"/>
              </w:rPr>
              <w:t>OR (95% CI)</w:t>
            </w:r>
          </w:p>
        </w:tc>
        <w:tc>
          <w:tcPr>
            <w:tcW w:w="2126" w:type="dxa"/>
            <w:tcBorders>
              <w:top w:val="none" w:sz="0" w:space="0" w:color="auto"/>
              <w:left w:val="none" w:sz="0" w:space="0" w:color="auto"/>
              <w:bottom w:val="none" w:sz="0" w:space="0" w:color="auto"/>
              <w:right w:val="none" w:sz="0" w:space="0" w:color="auto"/>
            </w:tcBorders>
          </w:tcPr>
          <w:p w14:paraId="481DC943" w14:textId="77777777" w:rsidR="009B65EA" w:rsidRDefault="009B65EA" w:rsidP="009B65EA">
            <w:pPr>
              <w:spacing w:line="360" w:lineRule="auto"/>
              <w:jc w:val="center"/>
              <w:cnfStyle w:val="100000000000" w:firstRow="1" w:lastRow="0" w:firstColumn="0" w:lastColumn="0" w:oddVBand="0" w:evenVBand="0" w:oddHBand="0" w:evenHBand="0" w:firstRowFirstColumn="0" w:firstRowLastColumn="0" w:lastRowFirstColumn="0" w:lastRowLastColumn="0"/>
            </w:pPr>
            <w:r>
              <w:t>HDV</w:t>
            </w:r>
          </w:p>
          <w:p w14:paraId="0EEC5B55" w14:textId="39BEFAF0" w:rsidR="00A94623" w:rsidRPr="00A94623" w:rsidRDefault="00A94623" w:rsidP="009B65EA">
            <w:pPr>
              <w:spacing w:line="360" w:lineRule="auto"/>
              <w:jc w:val="center"/>
              <w:cnfStyle w:val="100000000000" w:firstRow="1" w:lastRow="0" w:firstColumn="0" w:lastColumn="0" w:oddVBand="0" w:evenVBand="0" w:oddHBand="0" w:evenHBand="0" w:firstRowFirstColumn="0" w:firstRowLastColumn="0" w:lastRowFirstColumn="0" w:lastRowLastColumn="0"/>
              <w:rPr>
                <w:u w:val="single"/>
              </w:rPr>
            </w:pPr>
            <w:r w:rsidRPr="00A94623">
              <w:rPr>
                <w:u w:val="single"/>
              </w:rPr>
              <w:t>OR (95% CI)</w:t>
            </w:r>
          </w:p>
        </w:tc>
        <w:tc>
          <w:tcPr>
            <w:tcW w:w="1701" w:type="dxa"/>
            <w:tcBorders>
              <w:top w:val="none" w:sz="0" w:space="0" w:color="auto"/>
              <w:left w:val="none" w:sz="0" w:space="0" w:color="auto"/>
              <w:bottom w:val="none" w:sz="0" w:space="0" w:color="auto"/>
              <w:right w:val="none" w:sz="0" w:space="0" w:color="auto"/>
            </w:tcBorders>
          </w:tcPr>
          <w:p w14:paraId="55C61736" w14:textId="6EAD9CBB" w:rsidR="009B65EA" w:rsidRPr="00A94623" w:rsidRDefault="00A94623" w:rsidP="00A94623">
            <w:pPr>
              <w:spacing w:line="360" w:lineRule="auto"/>
              <w:jc w:val="center"/>
              <w:cnfStyle w:val="100000000000" w:firstRow="1" w:lastRow="0" w:firstColumn="0" w:lastColumn="0" w:oddVBand="0" w:evenVBand="0" w:oddHBand="0" w:evenHBand="0" w:firstRowFirstColumn="0" w:firstRowLastColumn="0" w:lastRowFirstColumn="0" w:lastRowLastColumn="0"/>
              <w:rPr>
                <w:u w:val="single"/>
              </w:rPr>
            </w:pPr>
            <w:r w:rsidRPr="00A94623">
              <w:rPr>
                <w:u w:val="single"/>
              </w:rPr>
              <w:t xml:space="preserve">Fisher’s exact </w:t>
            </w:r>
            <w:r w:rsidR="009B65EA" w:rsidRPr="00A94623">
              <w:rPr>
                <w:u w:val="single"/>
              </w:rPr>
              <w:t>p Value</w:t>
            </w:r>
          </w:p>
        </w:tc>
      </w:tr>
      <w:tr w:rsidR="009B65EA" w14:paraId="2E5E52ED" w14:textId="77777777" w:rsidTr="009B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tcPr>
          <w:p w14:paraId="51391130" w14:textId="77777777" w:rsidR="009B65EA" w:rsidRDefault="009B65EA" w:rsidP="009B65EA">
            <w:pPr>
              <w:spacing w:line="360" w:lineRule="auto"/>
              <w:rPr>
                <w:lang w:val="en-US"/>
              </w:rPr>
            </w:pPr>
            <w:r>
              <w:rPr>
                <w:lang w:val="en-US"/>
              </w:rPr>
              <w:t>Age in years, median</w:t>
            </w:r>
            <w:r w:rsidRPr="00293894">
              <w:rPr>
                <w:lang w:val="en-US"/>
              </w:rPr>
              <w:t xml:space="preserve"> </w:t>
            </w:r>
            <w:r>
              <w:rPr>
                <w:lang w:val="en-US"/>
              </w:rPr>
              <w:t>(IQR, p25–p75</w:t>
            </w:r>
            <w:r w:rsidRPr="00293894">
              <w:rPr>
                <w:lang w:val="en-US"/>
              </w:rPr>
              <w:t>)</w:t>
            </w:r>
          </w:p>
          <w:p w14:paraId="15554278" w14:textId="77777777" w:rsidR="009B65EA" w:rsidRDefault="009B65EA" w:rsidP="009B65EA">
            <w:pPr>
              <w:spacing w:line="360" w:lineRule="auto"/>
            </w:pPr>
          </w:p>
        </w:tc>
        <w:tc>
          <w:tcPr>
            <w:tcW w:w="2126" w:type="dxa"/>
            <w:tcBorders>
              <w:left w:val="none" w:sz="0" w:space="0" w:color="auto"/>
              <w:right w:val="none" w:sz="0" w:space="0" w:color="auto"/>
            </w:tcBorders>
          </w:tcPr>
          <w:p w14:paraId="02E3BBE1"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53.7 (20 – 79)</w:t>
            </w:r>
          </w:p>
        </w:tc>
        <w:tc>
          <w:tcPr>
            <w:tcW w:w="2126" w:type="dxa"/>
            <w:tcBorders>
              <w:left w:val="none" w:sz="0" w:space="0" w:color="auto"/>
              <w:right w:val="none" w:sz="0" w:space="0" w:color="auto"/>
            </w:tcBorders>
          </w:tcPr>
          <w:p w14:paraId="75AB68BF"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54.3 (21-80)</w:t>
            </w:r>
          </w:p>
        </w:tc>
        <w:tc>
          <w:tcPr>
            <w:tcW w:w="1701" w:type="dxa"/>
            <w:tcBorders>
              <w:left w:val="none" w:sz="0" w:space="0" w:color="auto"/>
            </w:tcBorders>
          </w:tcPr>
          <w:p w14:paraId="4BDE6891"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0.786</w:t>
            </w:r>
          </w:p>
        </w:tc>
      </w:tr>
      <w:tr w:rsidR="009B65EA" w14:paraId="17B58D92" w14:textId="77777777" w:rsidTr="009B65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tcPr>
          <w:p w14:paraId="73A0162D" w14:textId="77777777" w:rsidR="009B65EA" w:rsidRDefault="009B65EA" w:rsidP="009B65EA">
            <w:pPr>
              <w:spacing w:line="360" w:lineRule="auto"/>
              <w:rPr>
                <w:lang w:val="en-US"/>
              </w:rPr>
            </w:pPr>
            <w:r w:rsidRPr="00293894">
              <w:rPr>
                <w:lang w:val="en-US"/>
              </w:rPr>
              <w:t>Sex (M:F)</w:t>
            </w:r>
          </w:p>
          <w:p w14:paraId="5F7FB282" w14:textId="77777777" w:rsidR="009B65EA" w:rsidRDefault="009B65EA" w:rsidP="009B65EA">
            <w:pPr>
              <w:spacing w:line="360" w:lineRule="auto"/>
            </w:pPr>
          </w:p>
        </w:tc>
        <w:tc>
          <w:tcPr>
            <w:tcW w:w="2126" w:type="dxa"/>
            <w:tcBorders>
              <w:left w:val="none" w:sz="0" w:space="0" w:color="auto"/>
              <w:right w:val="none" w:sz="0" w:space="0" w:color="auto"/>
            </w:tcBorders>
          </w:tcPr>
          <w:p w14:paraId="40F0104D" w14:textId="17BDF8AD"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46:4</w:t>
            </w:r>
            <w:r w:rsidR="00A321DD">
              <w:t>8</w:t>
            </w:r>
          </w:p>
        </w:tc>
        <w:tc>
          <w:tcPr>
            <w:tcW w:w="2126" w:type="dxa"/>
            <w:tcBorders>
              <w:left w:val="none" w:sz="0" w:space="0" w:color="auto"/>
              <w:right w:val="none" w:sz="0" w:space="0" w:color="auto"/>
            </w:tcBorders>
          </w:tcPr>
          <w:p w14:paraId="54AE231A"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55:39</w:t>
            </w:r>
          </w:p>
        </w:tc>
        <w:tc>
          <w:tcPr>
            <w:tcW w:w="1701" w:type="dxa"/>
            <w:tcBorders>
              <w:left w:val="none" w:sz="0" w:space="0" w:color="auto"/>
            </w:tcBorders>
          </w:tcPr>
          <w:p w14:paraId="37858113"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0.242</w:t>
            </w:r>
          </w:p>
        </w:tc>
      </w:tr>
      <w:tr w:rsidR="009B65EA" w14:paraId="1E1C7E56" w14:textId="77777777" w:rsidTr="009B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tcPr>
          <w:p w14:paraId="2B04E173" w14:textId="77777777" w:rsidR="009B65EA" w:rsidRDefault="009B65EA" w:rsidP="009B65EA">
            <w:pPr>
              <w:spacing w:line="360" w:lineRule="auto"/>
              <w:ind w:left="284" w:hanging="284"/>
              <w:rPr>
                <w:lang w:val="en-US"/>
              </w:rPr>
            </w:pPr>
            <w:r>
              <w:rPr>
                <w:lang w:val="en-US"/>
              </w:rPr>
              <w:t>Type of colitis, n(%)</w:t>
            </w:r>
          </w:p>
          <w:p w14:paraId="7549B039" w14:textId="77777777" w:rsidR="009B65EA" w:rsidRDefault="009B65EA" w:rsidP="009B65EA">
            <w:pPr>
              <w:pStyle w:val="ListParagraph"/>
              <w:numPr>
                <w:ilvl w:val="0"/>
                <w:numId w:val="3"/>
              </w:numPr>
              <w:spacing w:line="360" w:lineRule="auto"/>
              <w:ind w:left="284" w:hanging="284"/>
              <w:rPr>
                <w:b w:val="0"/>
                <w:lang w:val="en-US"/>
              </w:rPr>
            </w:pPr>
            <w:r w:rsidRPr="00CE086B">
              <w:rPr>
                <w:b w:val="0"/>
                <w:lang w:val="en-US"/>
              </w:rPr>
              <w:t>Ulcerative colitis</w:t>
            </w:r>
          </w:p>
          <w:p w14:paraId="26FA646F" w14:textId="77777777" w:rsidR="009B65EA" w:rsidRDefault="009B65EA" w:rsidP="009B65EA">
            <w:pPr>
              <w:pStyle w:val="ListParagraph"/>
              <w:numPr>
                <w:ilvl w:val="0"/>
                <w:numId w:val="7"/>
              </w:numPr>
              <w:spacing w:line="360" w:lineRule="auto"/>
              <w:ind w:left="601" w:hanging="284"/>
              <w:rPr>
                <w:b w:val="0"/>
                <w:lang w:val="en-US"/>
              </w:rPr>
            </w:pPr>
            <w:r>
              <w:rPr>
                <w:b w:val="0"/>
                <w:lang w:val="en-US"/>
              </w:rPr>
              <w:t>Concurrent primary sclerosing cholangitis</w:t>
            </w:r>
          </w:p>
          <w:p w14:paraId="6EEBB530" w14:textId="77777777" w:rsidR="009B65EA" w:rsidRPr="00CE086B" w:rsidRDefault="009B65EA" w:rsidP="009B65EA">
            <w:pPr>
              <w:pStyle w:val="ListParagraph"/>
              <w:spacing w:line="360" w:lineRule="auto"/>
              <w:ind w:left="743"/>
              <w:rPr>
                <w:b w:val="0"/>
                <w:lang w:val="en-US"/>
              </w:rPr>
            </w:pPr>
          </w:p>
          <w:p w14:paraId="6392DB7C" w14:textId="77777777" w:rsidR="009B65EA" w:rsidRPr="00CE086B" w:rsidRDefault="009B65EA" w:rsidP="009B65EA">
            <w:pPr>
              <w:pStyle w:val="ListParagraph"/>
              <w:numPr>
                <w:ilvl w:val="0"/>
                <w:numId w:val="3"/>
              </w:numPr>
              <w:spacing w:line="360" w:lineRule="auto"/>
              <w:ind w:left="284" w:hanging="284"/>
              <w:rPr>
                <w:lang w:val="en-US"/>
              </w:rPr>
            </w:pPr>
            <w:r w:rsidRPr="00CE086B">
              <w:rPr>
                <w:b w:val="0"/>
                <w:lang w:val="en-US"/>
              </w:rPr>
              <w:t>Crohn’s colitis</w:t>
            </w:r>
          </w:p>
          <w:p w14:paraId="13FB175D" w14:textId="77777777" w:rsidR="009B65EA" w:rsidRPr="005B2517" w:rsidRDefault="009B65EA" w:rsidP="009B65EA">
            <w:pPr>
              <w:pStyle w:val="ListParagraph"/>
              <w:spacing w:line="360" w:lineRule="auto"/>
              <w:ind w:left="284" w:hanging="284"/>
              <w:rPr>
                <w:lang w:val="en-US"/>
              </w:rPr>
            </w:pPr>
          </w:p>
        </w:tc>
        <w:tc>
          <w:tcPr>
            <w:tcW w:w="2126" w:type="dxa"/>
            <w:tcBorders>
              <w:left w:val="none" w:sz="0" w:space="0" w:color="auto"/>
              <w:right w:val="none" w:sz="0" w:space="0" w:color="auto"/>
            </w:tcBorders>
          </w:tcPr>
          <w:p w14:paraId="22BC132B"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p>
          <w:p w14:paraId="24381DEF"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60 (64)</w:t>
            </w:r>
          </w:p>
          <w:p w14:paraId="17E10DFA"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1 (1)</w:t>
            </w:r>
          </w:p>
          <w:p w14:paraId="2FE1F37B"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p>
          <w:p w14:paraId="0A46905A"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p>
          <w:p w14:paraId="501C77EE"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33 (35)</w:t>
            </w:r>
          </w:p>
        </w:tc>
        <w:tc>
          <w:tcPr>
            <w:tcW w:w="2126" w:type="dxa"/>
            <w:tcBorders>
              <w:left w:val="none" w:sz="0" w:space="0" w:color="auto"/>
              <w:right w:val="none" w:sz="0" w:space="0" w:color="auto"/>
            </w:tcBorders>
          </w:tcPr>
          <w:p w14:paraId="6F31B7E1"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p>
          <w:p w14:paraId="61682B72"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69 (73)</w:t>
            </w:r>
          </w:p>
          <w:p w14:paraId="7457A63A"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1 (1)</w:t>
            </w:r>
          </w:p>
          <w:p w14:paraId="6190FBE6"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p>
          <w:p w14:paraId="121C9813"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p>
          <w:p w14:paraId="6E02CB7E"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24 (26)</w:t>
            </w:r>
          </w:p>
        </w:tc>
        <w:tc>
          <w:tcPr>
            <w:tcW w:w="1701" w:type="dxa"/>
            <w:tcBorders>
              <w:left w:val="none" w:sz="0" w:space="0" w:color="auto"/>
            </w:tcBorders>
          </w:tcPr>
          <w:p w14:paraId="7C45A29F"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p>
          <w:p w14:paraId="167CA5BA"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0.204</w:t>
            </w:r>
          </w:p>
          <w:p w14:paraId="46EE7CB4"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p>
          <w:p w14:paraId="4632DEB5"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p>
          <w:p w14:paraId="28968D03"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p>
          <w:p w14:paraId="32AC7BF7"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0.204</w:t>
            </w:r>
          </w:p>
        </w:tc>
      </w:tr>
      <w:tr w:rsidR="009B65EA" w14:paraId="5A831D5D" w14:textId="77777777" w:rsidTr="009B65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tcPr>
          <w:p w14:paraId="46276748" w14:textId="77777777" w:rsidR="009B65EA" w:rsidRDefault="009B65EA" w:rsidP="009B65EA">
            <w:pPr>
              <w:spacing w:line="360" w:lineRule="auto"/>
              <w:ind w:left="284" w:hanging="284"/>
              <w:rPr>
                <w:lang w:val="en-US"/>
              </w:rPr>
            </w:pPr>
            <w:r>
              <w:rPr>
                <w:lang w:val="en-US"/>
              </w:rPr>
              <w:t>Distribution of colitis, n (%)</w:t>
            </w:r>
          </w:p>
          <w:p w14:paraId="70B21E47" w14:textId="77777777" w:rsidR="009B65EA" w:rsidRPr="00CE086B" w:rsidRDefault="009B65EA" w:rsidP="009B65EA">
            <w:pPr>
              <w:pStyle w:val="ListParagraph"/>
              <w:numPr>
                <w:ilvl w:val="0"/>
                <w:numId w:val="2"/>
              </w:numPr>
              <w:spacing w:line="360" w:lineRule="auto"/>
              <w:ind w:left="284" w:hanging="284"/>
              <w:rPr>
                <w:b w:val="0"/>
                <w:lang w:val="en-US"/>
              </w:rPr>
            </w:pPr>
            <w:r w:rsidRPr="00CE086B">
              <w:rPr>
                <w:b w:val="0"/>
                <w:lang w:val="en-US"/>
              </w:rPr>
              <w:t>Left sided</w:t>
            </w:r>
          </w:p>
          <w:p w14:paraId="7C4083EC" w14:textId="77777777" w:rsidR="009B65EA" w:rsidRPr="00CE086B" w:rsidRDefault="009B65EA" w:rsidP="009B65EA">
            <w:pPr>
              <w:pStyle w:val="ListParagraph"/>
              <w:numPr>
                <w:ilvl w:val="0"/>
                <w:numId w:val="2"/>
              </w:numPr>
              <w:spacing w:line="360" w:lineRule="auto"/>
              <w:ind w:left="284" w:hanging="284"/>
              <w:rPr>
                <w:lang w:val="en-US"/>
              </w:rPr>
            </w:pPr>
            <w:r w:rsidRPr="00CE086B">
              <w:rPr>
                <w:b w:val="0"/>
                <w:lang w:val="en-US"/>
              </w:rPr>
              <w:t>Subtotal/total</w:t>
            </w:r>
          </w:p>
          <w:p w14:paraId="5211F7EF" w14:textId="77777777" w:rsidR="009B65EA" w:rsidRPr="00EB2951" w:rsidRDefault="009B65EA" w:rsidP="009B65EA">
            <w:pPr>
              <w:pStyle w:val="ListParagraph"/>
              <w:spacing w:line="360" w:lineRule="auto"/>
              <w:ind w:left="284" w:hanging="284"/>
              <w:rPr>
                <w:lang w:val="en-US"/>
              </w:rPr>
            </w:pPr>
          </w:p>
        </w:tc>
        <w:tc>
          <w:tcPr>
            <w:tcW w:w="2126" w:type="dxa"/>
            <w:tcBorders>
              <w:left w:val="none" w:sz="0" w:space="0" w:color="auto"/>
              <w:right w:val="none" w:sz="0" w:space="0" w:color="auto"/>
            </w:tcBorders>
          </w:tcPr>
          <w:p w14:paraId="166167C4"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p>
          <w:p w14:paraId="31D678CF"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15 (16)</w:t>
            </w:r>
          </w:p>
          <w:p w14:paraId="0BE5764B"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79 (84)</w:t>
            </w:r>
          </w:p>
        </w:tc>
        <w:tc>
          <w:tcPr>
            <w:tcW w:w="2126" w:type="dxa"/>
            <w:tcBorders>
              <w:left w:val="none" w:sz="0" w:space="0" w:color="auto"/>
              <w:right w:val="none" w:sz="0" w:space="0" w:color="auto"/>
            </w:tcBorders>
          </w:tcPr>
          <w:p w14:paraId="7CF7CD98"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p>
          <w:p w14:paraId="499742D2"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23 (24)</w:t>
            </w:r>
          </w:p>
          <w:p w14:paraId="4AEB3CD8"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71 (76)</w:t>
            </w:r>
          </w:p>
        </w:tc>
        <w:tc>
          <w:tcPr>
            <w:tcW w:w="1701" w:type="dxa"/>
            <w:tcBorders>
              <w:left w:val="none" w:sz="0" w:space="0" w:color="auto"/>
            </w:tcBorders>
          </w:tcPr>
          <w:p w14:paraId="3D89FA0B"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p>
          <w:p w14:paraId="714A4E16"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0.203</w:t>
            </w:r>
          </w:p>
          <w:p w14:paraId="4AA296E1"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0.203</w:t>
            </w:r>
          </w:p>
        </w:tc>
      </w:tr>
      <w:tr w:rsidR="009B65EA" w14:paraId="5966BFE0" w14:textId="77777777" w:rsidTr="009B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tcPr>
          <w:p w14:paraId="730A5AA4" w14:textId="77777777" w:rsidR="009B65EA" w:rsidRDefault="009B65EA" w:rsidP="009B65EA">
            <w:pPr>
              <w:spacing w:line="360" w:lineRule="auto"/>
              <w:ind w:left="284" w:hanging="284"/>
              <w:rPr>
                <w:lang w:val="en-US"/>
              </w:rPr>
            </w:pPr>
            <w:r>
              <w:rPr>
                <w:lang w:val="en-US"/>
              </w:rPr>
              <w:t>Duration of illness in years, median (IQR, p25–p75)</w:t>
            </w:r>
          </w:p>
          <w:p w14:paraId="6F4427F5" w14:textId="77777777" w:rsidR="009B65EA" w:rsidRPr="00CE086B" w:rsidRDefault="009B65EA" w:rsidP="009B65EA">
            <w:pPr>
              <w:pStyle w:val="ListParagraph"/>
              <w:numPr>
                <w:ilvl w:val="0"/>
                <w:numId w:val="1"/>
              </w:numPr>
              <w:spacing w:line="360" w:lineRule="auto"/>
              <w:ind w:left="284" w:hanging="284"/>
              <w:rPr>
                <w:b w:val="0"/>
                <w:lang w:val="en-US"/>
              </w:rPr>
            </w:pPr>
            <w:r w:rsidRPr="00CE086B">
              <w:rPr>
                <w:b w:val="0"/>
                <w:lang w:val="en-US"/>
              </w:rPr>
              <w:t>Left sided</w:t>
            </w:r>
          </w:p>
          <w:p w14:paraId="24BDCEE0" w14:textId="77777777" w:rsidR="009B65EA" w:rsidRPr="00CE086B" w:rsidRDefault="009B65EA" w:rsidP="009B65EA">
            <w:pPr>
              <w:pStyle w:val="ListParagraph"/>
              <w:numPr>
                <w:ilvl w:val="0"/>
                <w:numId w:val="1"/>
              </w:numPr>
              <w:spacing w:line="360" w:lineRule="auto"/>
              <w:ind w:left="284" w:hanging="284"/>
            </w:pPr>
            <w:r w:rsidRPr="00CE086B">
              <w:rPr>
                <w:b w:val="0"/>
                <w:lang w:val="en-US"/>
              </w:rPr>
              <w:t>Subtotal/Total</w:t>
            </w:r>
          </w:p>
          <w:p w14:paraId="20B63E5E" w14:textId="77777777" w:rsidR="009B65EA" w:rsidRPr="00CA1C52" w:rsidRDefault="009B65EA" w:rsidP="009B65EA">
            <w:pPr>
              <w:pStyle w:val="ListParagraph"/>
              <w:spacing w:line="360" w:lineRule="auto"/>
              <w:ind w:left="284" w:hanging="284"/>
            </w:pPr>
          </w:p>
        </w:tc>
        <w:tc>
          <w:tcPr>
            <w:tcW w:w="2126" w:type="dxa"/>
            <w:tcBorders>
              <w:left w:val="none" w:sz="0" w:space="0" w:color="auto"/>
              <w:right w:val="none" w:sz="0" w:space="0" w:color="auto"/>
            </w:tcBorders>
          </w:tcPr>
          <w:p w14:paraId="0A837192"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17.0 (13 – 27.5)</w:t>
            </w:r>
          </w:p>
          <w:p w14:paraId="6FA8A436" w14:textId="77777777" w:rsidR="009B65EA" w:rsidRDefault="009B65EA" w:rsidP="009B65EA">
            <w:pPr>
              <w:spacing w:line="360" w:lineRule="auto"/>
              <w:cnfStyle w:val="000000100000" w:firstRow="0" w:lastRow="0" w:firstColumn="0" w:lastColumn="0" w:oddVBand="0" w:evenVBand="0" w:oddHBand="1" w:evenHBand="0" w:firstRowFirstColumn="0" w:firstRowLastColumn="0" w:lastRowFirstColumn="0" w:lastRowLastColumn="0"/>
            </w:pPr>
          </w:p>
          <w:p w14:paraId="33B091F8"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19.0 (15.5 – 22.5)</w:t>
            </w:r>
          </w:p>
          <w:p w14:paraId="17DCB5BB"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17.0 (12.5 – 28.0)</w:t>
            </w:r>
          </w:p>
        </w:tc>
        <w:tc>
          <w:tcPr>
            <w:tcW w:w="2126" w:type="dxa"/>
            <w:tcBorders>
              <w:left w:val="none" w:sz="0" w:space="0" w:color="auto"/>
              <w:right w:val="none" w:sz="0" w:space="0" w:color="auto"/>
            </w:tcBorders>
          </w:tcPr>
          <w:p w14:paraId="09348A39"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18.0 (13.3 – 25.8)</w:t>
            </w:r>
          </w:p>
          <w:p w14:paraId="3FA76487" w14:textId="77777777" w:rsidR="009B65EA" w:rsidRDefault="009B65EA" w:rsidP="009B65EA">
            <w:pPr>
              <w:spacing w:line="360" w:lineRule="auto"/>
              <w:cnfStyle w:val="000000100000" w:firstRow="0" w:lastRow="0" w:firstColumn="0" w:lastColumn="0" w:oddVBand="0" w:evenVBand="0" w:oddHBand="1" w:evenHBand="0" w:firstRowFirstColumn="0" w:firstRowLastColumn="0" w:lastRowFirstColumn="0" w:lastRowLastColumn="0"/>
            </w:pPr>
          </w:p>
          <w:p w14:paraId="13C87540"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23.0 (17.5 – 26.0)</w:t>
            </w:r>
          </w:p>
          <w:p w14:paraId="0C46C270"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16.0 (12.5 – 25.5)</w:t>
            </w:r>
          </w:p>
        </w:tc>
        <w:tc>
          <w:tcPr>
            <w:tcW w:w="1701" w:type="dxa"/>
            <w:tcBorders>
              <w:left w:val="none" w:sz="0" w:space="0" w:color="auto"/>
            </w:tcBorders>
          </w:tcPr>
          <w:p w14:paraId="119E0048"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r>
              <w:t>0.635</w:t>
            </w:r>
          </w:p>
          <w:p w14:paraId="757D8978"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p>
          <w:p w14:paraId="6C0FAD16"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p>
          <w:p w14:paraId="307025CC" w14:textId="77777777" w:rsidR="009B65EA" w:rsidRDefault="009B65EA" w:rsidP="009B65EA">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9B65EA" w14:paraId="4F6F6AD0" w14:textId="77777777" w:rsidTr="009B65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single" w:sz="8" w:space="0" w:color="000000" w:themeColor="text1"/>
            </w:tcBorders>
          </w:tcPr>
          <w:p w14:paraId="55DBDA20" w14:textId="77777777" w:rsidR="009B65EA" w:rsidRDefault="009B65EA" w:rsidP="009B65EA">
            <w:pPr>
              <w:spacing w:line="360" w:lineRule="auto"/>
              <w:ind w:left="284" w:hanging="284"/>
            </w:pPr>
            <w:r>
              <w:t>Therapy, n (%)</w:t>
            </w:r>
          </w:p>
          <w:p w14:paraId="6E4BF116" w14:textId="77777777" w:rsidR="009B65EA" w:rsidRPr="00DA3781" w:rsidRDefault="009B65EA" w:rsidP="009B65EA">
            <w:pPr>
              <w:pStyle w:val="ListParagraph"/>
              <w:numPr>
                <w:ilvl w:val="0"/>
                <w:numId w:val="1"/>
              </w:numPr>
              <w:spacing w:line="360" w:lineRule="auto"/>
              <w:ind w:left="284" w:hanging="284"/>
              <w:rPr>
                <w:b w:val="0"/>
              </w:rPr>
            </w:pPr>
            <w:r w:rsidRPr="00DA3781">
              <w:rPr>
                <w:b w:val="0"/>
              </w:rPr>
              <w:t>Steroids</w:t>
            </w:r>
          </w:p>
          <w:p w14:paraId="726CD5AC" w14:textId="77777777" w:rsidR="009B65EA" w:rsidRPr="00DA3781" w:rsidRDefault="009B65EA" w:rsidP="009B65EA">
            <w:pPr>
              <w:pStyle w:val="ListParagraph"/>
              <w:numPr>
                <w:ilvl w:val="0"/>
                <w:numId w:val="1"/>
              </w:numPr>
              <w:spacing w:line="360" w:lineRule="auto"/>
              <w:ind w:left="284" w:hanging="284"/>
            </w:pPr>
            <w:r>
              <w:rPr>
                <w:b w:val="0"/>
              </w:rPr>
              <w:t>ASA</w:t>
            </w:r>
          </w:p>
          <w:p w14:paraId="544E0AEA" w14:textId="77777777" w:rsidR="009B65EA" w:rsidRPr="00DA3781" w:rsidRDefault="009B65EA" w:rsidP="009B65EA">
            <w:pPr>
              <w:pStyle w:val="ListParagraph"/>
              <w:numPr>
                <w:ilvl w:val="0"/>
                <w:numId w:val="1"/>
              </w:numPr>
              <w:spacing w:line="360" w:lineRule="auto"/>
              <w:ind w:left="284" w:hanging="284"/>
            </w:pPr>
            <w:r>
              <w:rPr>
                <w:b w:val="0"/>
              </w:rPr>
              <w:t>Immunosuppressant</w:t>
            </w:r>
          </w:p>
          <w:p w14:paraId="51058E58" w14:textId="77777777" w:rsidR="009B65EA" w:rsidRDefault="009B65EA" w:rsidP="009B65EA">
            <w:pPr>
              <w:pStyle w:val="ListParagraph"/>
              <w:numPr>
                <w:ilvl w:val="0"/>
                <w:numId w:val="1"/>
              </w:numPr>
              <w:spacing w:line="360" w:lineRule="auto"/>
              <w:ind w:left="284" w:hanging="284"/>
              <w:rPr>
                <w:b w:val="0"/>
              </w:rPr>
            </w:pPr>
            <w:r>
              <w:rPr>
                <w:b w:val="0"/>
              </w:rPr>
              <w:t>Biologic</w:t>
            </w:r>
            <w:r w:rsidRPr="005F7148">
              <w:rPr>
                <w:b w:val="0"/>
              </w:rPr>
              <w:t>s</w:t>
            </w:r>
          </w:p>
          <w:p w14:paraId="5D32AFEA" w14:textId="77777777" w:rsidR="009B65EA" w:rsidRPr="005F7148" w:rsidRDefault="009B65EA" w:rsidP="009B65EA">
            <w:pPr>
              <w:pStyle w:val="ListParagraph"/>
              <w:spacing w:line="360" w:lineRule="auto"/>
              <w:ind w:left="284"/>
              <w:rPr>
                <w:b w:val="0"/>
              </w:rPr>
            </w:pPr>
          </w:p>
        </w:tc>
        <w:tc>
          <w:tcPr>
            <w:tcW w:w="2126" w:type="dxa"/>
            <w:tcBorders>
              <w:left w:val="single" w:sz="8" w:space="0" w:color="000000" w:themeColor="text1"/>
              <w:right w:val="single" w:sz="8" w:space="0" w:color="000000" w:themeColor="text1"/>
            </w:tcBorders>
          </w:tcPr>
          <w:p w14:paraId="7C939E10"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p>
          <w:p w14:paraId="4623C7E5"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2 (2)</w:t>
            </w:r>
          </w:p>
          <w:p w14:paraId="65B86E3C"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76 (81)</w:t>
            </w:r>
          </w:p>
          <w:p w14:paraId="6F69F007"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29 (31)</w:t>
            </w:r>
          </w:p>
          <w:p w14:paraId="4E2A1C87"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9 (10)</w:t>
            </w:r>
          </w:p>
        </w:tc>
        <w:tc>
          <w:tcPr>
            <w:tcW w:w="2126" w:type="dxa"/>
            <w:tcBorders>
              <w:left w:val="single" w:sz="8" w:space="0" w:color="000000" w:themeColor="text1"/>
              <w:right w:val="single" w:sz="8" w:space="0" w:color="000000" w:themeColor="text1"/>
            </w:tcBorders>
          </w:tcPr>
          <w:p w14:paraId="409534BE"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p>
          <w:p w14:paraId="371544BA"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1 (1)</w:t>
            </w:r>
          </w:p>
          <w:p w14:paraId="45FA5608"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80 (85)</w:t>
            </w:r>
          </w:p>
          <w:p w14:paraId="2FC34F2B"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27 (29)</w:t>
            </w:r>
          </w:p>
          <w:p w14:paraId="72C0EB6D"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6 (6)</w:t>
            </w:r>
          </w:p>
        </w:tc>
        <w:tc>
          <w:tcPr>
            <w:tcW w:w="1701" w:type="dxa"/>
            <w:tcBorders>
              <w:left w:val="single" w:sz="8" w:space="0" w:color="000000" w:themeColor="text1"/>
            </w:tcBorders>
          </w:tcPr>
          <w:p w14:paraId="6E14A763"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p>
          <w:p w14:paraId="2966654C"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1.000</w:t>
            </w:r>
          </w:p>
          <w:p w14:paraId="5848D07A"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0.561</w:t>
            </w:r>
          </w:p>
          <w:p w14:paraId="7C72B72D"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0.873</w:t>
            </w:r>
          </w:p>
          <w:p w14:paraId="57EA37E7" w14:textId="77777777" w:rsidR="009B65EA" w:rsidRDefault="009B65EA" w:rsidP="009B65EA">
            <w:pPr>
              <w:spacing w:line="360" w:lineRule="auto"/>
              <w:jc w:val="center"/>
              <w:cnfStyle w:val="000000010000" w:firstRow="0" w:lastRow="0" w:firstColumn="0" w:lastColumn="0" w:oddVBand="0" w:evenVBand="0" w:oddHBand="0" w:evenHBand="1" w:firstRowFirstColumn="0" w:firstRowLastColumn="0" w:lastRowFirstColumn="0" w:lastRowLastColumn="0"/>
            </w:pPr>
            <w:r>
              <w:t>0.592</w:t>
            </w:r>
          </w:p>
        </w:tc>
      </w:tr>
    </w:tbl>
    <w:p w14:paraId="454ED3E6" w14:textId="77777777" w:rsidR="009B65EA" w:rsidRDefault="009B65EA" w:rsidP="009B65EA">
      <w:pPr>
        <w:spacing w:line="360" w:lineRule="auto"/>
      </w:pPr>
    </w:p>
    <w:p w14:paraId="4D205212" w14:textId="5D88799D" w:rsidR="00B066E8" w:rsidRDefault="00745AD0" w:rsidP="009B65EA">
      <w:pPr>
        <w:pStyle w:val="Caption"/>
        <w:keepNext/>
        <w:spacing w:line="360" w:lineRule="auto"/>
        <w:ind w:left="-426" w:right="-631"/>
        <w:rPr>
          <w:color w:val="auto"/>
          <w:sz w:val="24"/>
        </w:rPr>
      </w:pPr>
      <w:r>
        <w:rPr>
          <w:color w:val="auto"/>
          <w:sz w:val="24"/>
        </w:rPr>
        <w:t>Table 2: Per patient neoplasia detection rate</w:t>
      </w:r>
    </w:p>
    <w:tbl>
      <w:tblPr>
        <w:tblStyle w:val="MediumShading1-Accent5"/>
        <w:tblW w:w="7655" w:type="dxa"/>
        <w:tblInd w:w="-60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3403"/>
        <w:gridCol w:w="2126"/>
        <w:gridCol w:w="2126"/>
      </w:tblGrid>
      <w:tr w:rsidR="00745AD0" w14:paraId="288C806D" w14:textId="77777777" w:rsidTr="00741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bottom w:val="single" w:sz="4" w:space="0" w:color="auto"/>
              <w:right w:val="single" w:sz="4" w:space="0" w:color="auto"/>
            </w:tcBorders>
          </w:tcPr>
          <w:p w14:paraId="57AE66A8" w14:textId="77777777" w:rsidR="00745AD0" w:rsidRDefault="00745AD0" w:rsidP="007410A9">
            <w:pPr>
              <w:spacing w:line="360" w:lineRule="auto"/>
            </w:pPr>
          </w:p>
        </w:tc>
        <w:tc>
          <w:tcPr>
            <w:tcW w:w="2126" w:type="dxa"/>
            <w:tcBorders>
              <w:left w:val="single" w:sz="4" w:space="0" w:color="auto"/>
              <w:bottom w:val="single" w:sz="4" w:space="0" w:color="auto"/>
              <w:right w:val="single" w:sz="4" w:space="0" w:color="auto"/>
            </w:tcBorders>
          </w:tcPr>
          <w:p w14:paraId="58A52714" w14:textId="77777777" w:rsidR="00745AD0" w:rsidRDefault="00745AD0" w:rsidP="007410A9">
            <w:pPr>
              <w:spacing w:line="360" w:lineRule="auto"/>
              <w:jc w:val="center"/>
              <w:cnfStyle w:val="100000000000" w:firstRow="1" w:lastRow="0" w:firstColumn="0" w:lastColumn="0" w:oddVBand="0" w:evenVBand="0" w:oddHBand="0" w:evenHBand="0" w:firstRowFirstColumn="0" w:firstRowLastColumn="0" w:lastRowFirstColumn="0" w:lastRowLastColumn="0"/>
            </w:pPr>
            <w:r>
              <w:t>HDWL</w:t>
            </w:r>
          </w:p>
          <w:p w14:paraId="52D90142" w14:textId="77777777" w:rsidR="00745AD0" w:rsidRPr="006904B7" w:rsidRDefault="00745AD0" w:rsidP="007410A9">
            <w:pPr>
              <w:spacing w:line="360" w:lineRule="auto"/>
              <w:jc w:val="center"/>
              <w:cnfStyle w:val="100000000000" w:firstRow="1" w:lastRow="0" w:firstColumn="0" w:lastColumn="0" w:oddVBand="0" w:evenVBand="0" w:oddHBand="0" w:evenHBand="0" w:firstRowFirstColumn="0" w:firstRowLastColumn="0" w:lastRowFirstColumn="0" w:lastRowLastColumn="0"/>
            </w:pPr>
            <w:r>
              <w:t>(n=94)</w:t>
            </w:r>
          </w:p>
        </w:tc>
        <w:tc>
          <w:tcPr>
            <w:tcW w:w="2126" w:type="dxa"/>
            <w:tcBorders>
              <w:left w:val="single" w:sz="4" w:space="0" w:color="auto"/>
              <w:bottom w:val="single" w:sz="4" w:space="0" w:color="auto"/>
            </w:tcBorders>
          </w:tcPr>
          <w:p w14:paraId="6A121664" w14:textId="77777777" w:rsidR="00745AD0" w:rsidRDefault="00745AD0" w:rsidP="007410A9">
            <w:pPr>
              <w:spacing w:line="360" w:lineRule="auto"/>
              <w:jc w:val="center"/>
              <w:cnfStyle w:val="100000000000" w:firstRow="1" w:lastRow="0" w:firstColumn="0" w:lastColumn="0" w:oddVBand="0" w:evenVBand="0" w:oddHBand="0" w:evenHBand="0" w:firstRowFirstColumn="0" w:firstRowLastColumn="0" w:lastRowFirstColumn="0" w:lastRowLastColumn="0"/>
            </w:pPr>
            <w:r>
              <w:t>HDV</w:t>
            </w:r>
          </w:p>
          <w:p w14:paraId="52F1FD3A" w14:textId="77777777" w:rsidR="00745AD0" w:rsidRPr="006904B7" w:rsidRDefault="00745AD0" w:rsidP="007410A9">
            <w:pPr>
              <w:spacing w:line="360" w:lineRule="auto"/>
              <w:jc w:val="center"/>
              <w:cnfStyle w:val="100000000000" w:firstRow="1" w:lastRow="0" w:firstColumn="0" w:lastColumn="0" w:oddVBand="0" w:evenVBand="0" w:oddHBand="0" w:evenHBand="0" w:firstRowFirstColumn="0" w:firstRowLastColumn="0" w:lastRowFirstColumn="0" w:lastRowLastColumn="0"/>
            </w:pPr>
            <w:r>
              <w:t>(n=94)</w:t>
            </w:r>
          </w:p>
        </w:tc>
      </w:tr>
      <w:tr w:rsidR="00745AD0" w14:paraId="3896053D" w14:textId="77777777" w:rsidTr="0074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top w:val="single" w:sz="4" w:space="0" w:color="auto"/>
              <w:bottom w:val="single" w:sz="4" w:space="0" w:color="auto"/>
              <w:right w:val="single" w:sz="4" w:space="0" w:color="auto"/>
            </w:tcBorders>
          </w:tcPr>
          <w:p w14:paraId="31278DB8" w14:textId="77777777" w:rsidR="00745AD0" w:rsidRDefault="00745AD0" w:rsidP="007410A9">
            <w:r>
              <w:t>Total number of targeted lesions detected</w:t>
            </w:r>
          </w:p>
          <w:p w14:paraId="5574A78E" w14:textId="77777777" w:rsidR="00745AD0" w:rsidRDefault="00745AD0" w:rsidP="007410A9"/>
        </w:tc>
        <w:tc>
          <w:tcPr>
            <w:tcW w:w="2126" w:type="dxa"/>
            <w:tcBorders>
              <w:top w:val="single" w:sz="4" w:space="0" w:color="auto"/>
              <w:left w:val="single" w:sz="4" w:space="0" w:color="auto"/>
              <w:bottom w:val="single" w:sz="4" w:space="0" w:color="auto"/>
              <w:right w:val="single" w:sz="4" w:space="0" w:color="auto"/>
            </w:tcBorders>
          </w:tcPr>
          <w:p w14:paraId="774CD903" w14:textId="77777777" w:rsidR="00745AD0" w:rsidRDefault="00745AD0" w:rsidP="007410A9">
            <w:pPr>
              <w:spacing w:line="360" w:lineRule="auto"/>
              <w:jc w:val="center"/>
              <w:cnfStyle w:val="000000100000" w:firstRow="0" w:lastRow="0" w:firstColumn="0" w:lastColumn="0" w:oddVBand="0" w:evenVBand="0" w:oddHBand="1" w:evenHBand="0" w:firstRowFirstColumn="0" w:firstRowLastColumn="0" w:lastRowFirstColumn="0" w:lastRowLastColumn="0"/>
            </w:pPr>
            <w:r>
              <w:t>71</w:t>
            </w:r>
          </w:p>
        </w:tc>
        <w:tc>
          <w:tcPr>
            <w:tcW w:w="2126" w:type="dxa"/>
            <w:tcBorders>
              <w:top w:val="single" w:sz="4" w:space="0" w:color="auto"/>
              <w:left w:val="single" w:sz="4" w:space="0" w:color="auto"/>
              <w:bottom w:val="single" w:sz="4" w:space="0" w:color="auto"/>
            </w:tcBorders>
          </w:tcPr>
          <w:p w14:paraId="5A2E2D8B" w14:textId="77777777" w:rsidR="00745AD0" w:rsidRDefault="00745AD0" w:rsidP="007410A9">
            <w:pPr>
              <w:spacing w:line="360" w:lineRule="auto"/>
              <w:jc w:val="center"/>
              <w:cnfStyle w:val="000000100000" w:firstRow="0" w:lastRow="0" w:firstColumn="0" w:lastColumn="0" w:oddVBand="0" w:evenVBand="0" w:oddHBand="1" w:evenHBand="0" w:firstRowFirstColumn="0" w:firstRowLastColumn="0" w:lastRowFirstColumn="0" w:lastRowLastColumn="0"/>
            </w:pPr>
            <w:r>
              <w:t>78</w:t>
            </w:r>
          </w:p>
        </w:tc>
      </w:tr>
      <w:tr w:rsidR="00745AD0" w14:paraId="432F0022" w14:textId="77777777" w:rsidTr="0074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top w:val="single" w:sz="4" w:space="0" w:color="auto"/>
              <w:bottom w:val="single" w:sz="4" w:space="0" w:color="auto"/>
              <w:right w:val="single" w:sz="4" w:space="0" w:color="auto"/>
            </w:tcBorders>
          </w:tcPr>
          <w:p w14:paraId="6E53C388" w14:textId="77777777" w:rsidR="00745AD0" w:rsidRDefault="00745AD0" w:rsidP="007410A9">
            <w:pPr>
              <w:rPr>
                <w:lang w:val="en-US"/>
              </w:rPr>
            </w:pPr>
            <w:r>
              <w:rPr>
                <w:lang w:val="en-US"/>
              </w:rPr>
              <w:t>Number of neoplastic lesions detected</w:t>
            </w:r>
          </w:p>
          <w:p w14:paraId="1E813876" w14:textId="77777777" w:rsidR="00745AD0" w:rsidRDefault="00745AD0" w:rsidP="007410A9">
            <w:pPr>
              <w:spacing w:line="360" w:lineRule="auto"/>
            </w:pPr>
          </w:p>
        </w:tc>
        <w:tc>
          <w:tcPr>
            <w:tcW w:w="2126" w:type="dxa"/>
            <w:tcBorders>
              <w:top w:val="single" w:sz="4" w:space="0" w:color="auto"/>
              <w:left w:val="single" w:sz="4" w:space="0" w:color="auto"/>
              <w:bottom w:val="single" w:sz="4" w:space="0" w:color="auto"/>
              <w:right w:val="single" w:sz="4" w:space="0" w:color="auto"/>
            </w:tcBorders>
          </w:tcPr>
          <w:p w14:paraId="5E5FCAAD" w14:textId="77777777" w:rsidR="00745AD0" w:rsidRDefault="00745AD0" w:rsidP="007410A9">
            <w:pPr>
              <w:spacing w:line="360" w:lineRule="auto"/>
              <w:jc w:val="center"/>
              <w:cnfStyle w:val="000000010000" w:firstRow="0" w:lastRow="0" w:firstColumn="0" w:lastColumn="0" w:oddVBand="0" w:evenVBand="0" w:oddHBand="0" w:evenHBand="1" w:firstRowFirstColumn="0" w:firstRowLastColumn="0" w:lastRowFirstColumn="0" w:lastRowLastColumn="0"/>
            </w:pPr>
            <w:r>
              <w:t>27</w:t>
            </w:r>
          </w:p>
        </w:tc>
        <w:tc>
          <w:tcPr>
            <w:tcW w:w="2126" w:type="dxa"/>
            <w:tcBorders>
              <w:top w:val="single" w:sz="4" w:space="0" w:color="auto"/>
              <w:left w:val="single" w:sz="4" w:space="0" w:color="auto"/>
              <w:bottom w:val="single" w:sz="4" w:space="0" w:color="auto"/>
            </w:tcBorders>
          </w:tcPr>
          <w:p w14:paraId="1BEF3773" w14:textId="77777777" w:rsidR="00745AD0" w:rsidRDefault="00745AD0" w:rsidP="007410A9">
            <w:pPr>
              <w:spacing w:line="360" w:lineRule="auto"/>
              <w:jc w:val="center"/>
              <w:cnfStyle w:val="000000010000" w:firstRow="0" w:lastRow="0" w:firstColumn="0" w:lastColumn="0" w:oddVBand="0" w:evenVBand="0" w:oddHBand="0" w:evenHBand="1" w:firstRowFirstColumn="0" w:firstRowLastColumn="0" w:lastRowFirstColumn="0" w:lastRowLastColumn="0"/>
            </w:pPr>
            <w:r>
              <w:t>25</w:t>
            </w:r>
          </w:p>
        </w:tc>
      </w:tr>
      <w:tr w:rsidR="00745AD0" w14:paraId="3FEB49C1" w14:textId="77777777" w:rsidTr="0074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top w:val="single" w:sz="4" w:space="0" w:color="auto"/>
              <w:bottom w:val="single" w:sz="4" w:space="0" w:color="auto"/>
              <w:right w:val="single" w:sz="4" w:space="0" w:color="auto"/>
            </w:tcBorders>
          </w:tcPr>
          <w:p w14:paraId="7D24EB85" w14:textId="77777777" w:rsidR="00745AD0" w:rsidRDefault="00745AD0" w:rsidP="007410A9">
            <w:pPr>
              <w:rPr>
                <w:lang w:val="en-US"/>
              </w:rPr>
            </w:pPr>
            <w:r>
              <w:rPr>
                <w:lang w:val="en-US"/>
              </w:rPr>
              <w:t>Number of patients with at least 1 neoplastic lesion</w:t>
            </w:r>
          </w:p>
          <w:p w14:paraId="0C6C3EFC" w14:textId="77777777" w:rsidR="00745AD0" w:rsidRDefault="00745AD0" w:rsidP="007410A9">
            <w:pPr>
              <w:spacing w:line="360" w:lineRule="auto"/>
            </w:pPr>
          </w:p>
        </w:tc>
        <w:tc>
          <w:tcPr>
            <w:tcW w:w="2126" w:type="dxa"/>
            <w:tcBorders>
              <w:top w:val="single" w:sz="4" w:space="0" w:color="auto"/>
              <w:left w:val="single" w:sz="4" w:space="0" w:color="auto"/>
              <w:bottom w:val="single" w:sz="4" w:space="0" w:color="auto"/>
              <w:right w:val="single" w:sz="4" w:space="0" w:color="auto"/>
            </w:tcBorders>
          </w:tcPr>
          <w:p w14:paraId="2FB91227" w14:textId="77777777" w:rsidR="00745AD0" w:rsidRDefault="00745AD0" w:rsidP="007410A9">
            <w:pPr>
              <w:spacing w:line="360" w:lineRule="auto"/>
              <w:jc w:val="center"/>
              <w:cnfStyle w:val="000000100000" w:firstRow="0" w:lastRow="0" w:firstColumn="0" w:lastColumn="0" w:oddVBand="0" w:evenVBand="0" w:oddHBand="1" w:evenHBand="0" w:firstRowFirstColumn="0" w:firstRowLastColumn="0" w:lastRowFirstColumn="0" w:lastRowLastColumn="0"/>
            </w:pPr>
            <w:r>
              <w:t>22</w:t>
            </w:r>
          </w:p>
        </w:tc>
        <w:tc>
          <w:tcPr>
            <w:tcW w:w="2126" w:type="dxa"/>
            <w:tcBorders>
              <w:top w:val="single" w:sz="4" w:space="0" w:color="auto"/>
              <w:left w:val="single" w:sz="4" w:space="0" w:color="auto"/>
              <w:bottom w:val="single" w:sz="4" w:space="0" w:color="auto"/>
            </w:tcBorders>
          </w:tcPr>
          <w:p w14:paraId="69FA3C61" w14:textId="77777777" w:rsidR="00745AD0" w:rsidRDefault="00745AD0" w:rsidP="007410A9">
            <w:pPr>
              <w:spacing w:line="360" w:lineRule="auto"/>
              <w:jc w:val="center"/>
              <w:cnfStyle w:val="000000100000" w:firstRow="0" w:lastRow="0" w:firstColumn="0" w:lastColumn="0" w:oddVBand="0" w:evenVBand="0" w:oddHBand="1" w:evenHBand="0" w:firstRowFirstColumn="0" w:firstRowLastColumn="0" w:lastRowFirstColumn="0" w:lastRowLastColumn="0"/>
            </w:pPr>
            <w:r>
              <w:t>14</w:t>
            </w:r>
          </w:p>
        </w:tc>
      </w:tr>
      <w:tr w:rsidR="00745AD0" w14:paraId="73724963" w14:textId="77777777" w:rsidTr="0074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top w:val="single" w:sz="4" w:space="0" w:color="auto"/>
              <w:bottom w:val="single" w:sz="4" w:space="0" w:color="auto"/>
              <w:right w:val="single" w:sz="4" w:space="0" w:color="auto"/>
            </w:tcBorders>
          </w:tcPr>
          <w:p w14:paraId="407935E6" w14:textId="77777777" w:rsidR="00745AD0" w:rsidRDefault="00745AD0" w:rsidP="007410A9">
            <w:pPr>
              <w:rPr>
                <w:lang w:val="en-US"/>
              </w:rPr>
            </w:pPr>
            <w:r>
              <w:rPr>
                <w:lang w:val="en-US"/>
              </w:rPr>
              <w:t>Neoplasia detection rate</w:t>
            </w:r>
          </w:p>
        </w:tc>
        <w:tc>
          <w:tcPr>
            <w:tcW w:w="2126" w:type="dxa"/>
            <w:tcBorders>
              <w:top w:val="single" w:sz="4" w:space="0" w:color="auto"/>
              <w:left w:val="single" w:sz="4" w:space="0" w:color="auto"/>
              <w:bottom w:val="single" w:sz="4" w:space="0" w:color="auto"/>
              <w:right w:val="single" w:sz="4" w:space="0" w:color="auto"/>
            </w:tcBorders>
          </w:tcPr>
          <w:p w14:paraId="051588A8" w14:textId="77777777" w:rsidR="00745AD0" w:rsidRDefault="00745AD0" w:rsidP="007410A9">
            <w:pPr>
              <w:spacing w:line="360" w:lineRule="auto"/>
              <w:jc w:val="center"/>
              <w:cnfStyle w:val="000000010000" w:firstRow="0" w:lastRow="0" w:firstColumn="0" w:lastColumn="0" w:oddVBand="0" w:evenVBand="0" w:oddHBand="0" w:evenHBand="1" w:firstRowFirstColumn="0" w:firstRowLastColumn="0" w:lastRowFirstColumn="0" w:lastRowLastColumn="0"/>
            </w:pPr>
            <w:r>
              <w:t>23.4%</w:t>
            </w:r>
          </w:p>
        </w:tc>
        <w:tc>
          <w:tcPr>
            <w:tcW w:w="2126" w:type="dxa"/>
            <w:tcBorders>
              <w:top w:val="single" w:sz="4" w:space="0" w:color="auto"/>
              <w:left w:val="single" w:sz="4" w:space="0" w:color="auto"/>
              <w:bottom w:val="single" w:sz="4" w:space="0" w:color="auto"/>
            </w:tcBorders>
          </w:tcPr>
          <w:p w14:paraId="26284F2D" w14:textId="77777777" w:rsidR="00745AD0" w:rsidRDefault="00745AD0" w:rsidP="007410A9">
            <w:pPr>
              <w:spacing w:line="360" w:lineRule="auto"/>
              <w:jc w:val="center"/>
              <w:cnfStyle w:val="000000010000" w:firstRow="0" w:lastRow="0" w:firstColumn="0" w:lastColumn="0" w:oddVBand="0" w:evenVBand="0" w:oddHBand="0" w:evenHBand="1" w:firstRowFirstColumn="0" w:firstRowLastColumn="0" w:lastRowFirstColumn="0" w:lastRowLastColumn="0"/>
            </w:pPr>
            <w:r>
              <w:t>14.9%</w:t>
            </w:r>
          </w:p>
        </w:tc>
      </w:tr>
    </w:tbl>
    <w:p w14:paraId="02764538" w14:textId="77777777" w:rsidR="00745AD0" w:rsidRDefault="00745AD0" w:rsidP="00745AD0">
      <w:pPr>
        <w:ind w:left="-709"/>
      </w:pPr>
      <w:r>
        <w:t>Neoplasia detection rate: Fisher’s exact p Value = 0.14</w:t>
      </w:r>
    </w:p>
    <w:p w14:paraId="6F7E5B7B" w14:textId="77777777" w:rsidR="00745AD0" w:rsidRDefault="00745AD0" w:rsidP="00745AD0"/>
    <w:p w14:paraId="0E4A1857" w14:textId="77777777" w:rsidR="00745AD0" w:rsidRDefault="00745AD0" w:rsidP="00745AD0"/>
    <w:p w14:paraId="44C7F5D4" w14:textId="77777777" w:rsidR="007760C3" w:rsidRDefault="007760C3" w:rsidP="00745AD0"/>
    <w:p w14:paraId="462E9464" w14:textId="77777777" w:rsidR="007760C3" w:rsidRPr="00745AD0" w:rsidRDefault="007760C3" w:rsidP="00745AD0"/>
    <w:p w14:paraId="7C23EE5A" w14:textId="06986297" w:rsidR="009B65EA" w:rsidRPr="00EE6321" w:rsidRDefault="009B65EA" w:rsidP="009B65EA">
      <w:pPr>
        <w:pStyle w:val="Caption"/>
        <w:keepNext/>
        <w:spacing w:line="360" w:lineRule="auto"/>
        <w:ind w:left="-426" w:right="-631"/>
        <w:rPr>
          <w:color w:val="auto"/>
          <w:sz w:val="24"/>
        </w:rPr>
      </w:pPr>
      <w:r w:rsidRPr="00EE6321">
        <w:rPr>
          <w:color w:val="auto"/>
          <w:sz w:val="24"/>
        </w:rPr>
        <w:t xml:space="preserve">Table </w:t>
      </w:r>
      <w:r w:rsidR="00745AD0">
        <w:rPr>
          <w:color w:val="auto"/>
          <w:sz w:val="24"/>
        </w:rPr>
        <w:t>3</w:t>
      </w:r>
      <w:r w:rsidRPr="00EE6321">
        <w:rPr>
          <w:color w:val="auto"/>
          <w:sz w:val="24"/>
        </w:rPr>
        <w:t>: The number of patients with lesions and the characteristics of lesions detected</w:t>
      </w:r>
    </w:p>
    <w:tbl>
      <w:tblPr>
        <w:tblStyle w:val="MediumShading1-Accent5"/>
        <w:tblW w:w="5365" w:type="pct"/>
        <w:tblInd w:w="-318" w:type="dxa"/>
        <w:tblLook w:val="0420" w:firstRow="1" w:lastRow="0" w:firstColumn="0" w:lastColumn="0" w:noHBand="0" w:noVBand="1"/>
      </w:tblPr>
      <w:tblGrid>
        <w:gridCol w:w="5103"/>
        <w:gridCol w:w="1701"/>
        <w:gridCol w:w="1713"/>
        <w:gridCol w:w="1192"/>
      </w:tblGrid>
      <w:tr w:rsidR="009B65EA" w:rsidRPr="00DC3D6B" w14:paraId="3CFD99C6" w14:textId="77777777" w:rsidTr="009B65EA">
        <w:trPr>
          <w:cnfStyle w:val="100000000000" w:firstRow="1" w:lastRow="0" w:firstColumn="0" w:lastColumn="0" w:oddVBand="0" w:evenVBand="0" w:oddHBand="0" w:evenHBand="0" w:firstRowFirstColumn="0" w:firstRowLastColumn="0" w:lastRowFirstColumn="0" w:lastRowLastColumn="0"/>
          <w:trHeight w:val="584"/>
        </w:trPr>
        <w:tc>
          <w:tcPr>
            <w:tcW w:w="2628" w:type="pct"/>
            <w:hideMark/>
          </w:tcPr>
          <w:p w14:paraId="097BDDB2" w14:textId="77777777" w:rsidR="009B65EA" w:rsidRDefault="009B65EA" w:rsidP="009B65EA">
            <w:pPr>
              <w:ind w:left="-108"/>
            </w:pPr>
          </w:p>
          <w:p w14:paraId="6FF4B7D3" w14:textId="77777777" w:rsidR="009B65EA" w:rsidRPr="00DC3D6B" w:rsidRDefault="009B65EA" w:rsidP="009B65EA">
            <w:pPr>
              <w:ind w:left="-108"/>
            </w:pPr>
          </w:p>
        </w:tc>
        <w:tc>
          <w:tcPr>
            <w:tcW w:w="876" w:type="pct"/>
            <w:hideMark/>
          </w:tcPr>
          <w:p w14:paraId="1A3D0268" w14:textId="77777777" w:rsidR="009B65EA" w:rsidRPr="00DC3D6B" w:rsidRDefault="009B65EA" w:rsidP="009B65EA">
            <w:pPr>
              <w:jc w:val="center"/>
            </w:pPr>
            <w:r w:rsidRPr="00DC3D6B">
              <w:rPr>
                <w:b w:val="0"/>
                <w:bCs w:val="0"/>
                <w:lang w:val="en-US"/>
              </w:rPr>
              <w:t>HDWL (n=94)</w:t>
            </w:r>
          </w:p>
        </w:tc>
        <w:tc>
          <w:tcPr>
            <w:tcW w:w="882" w:type="pct"/>
            <w:hideMark/>
          </w:tcPr>
          <w:p w14:paraId="319200DC" w14:textId="77777777" w:rsidR="009B65EA" w:rsidRDefault="009B65EA" w:rsidP="009B65EA">
            <w:pPr>
              <w:jc w:val="center"/>
              <w:rPr>
                <w:b w:val="0"/>
                <w:bCs w:val="0"/>
                <w:lang w:val="en-US"/>
              </w:rPr>
            </w:pPr>
            <w:r w:rsidRPr="00DC3D6B">
              <w:rPr>
                <w:b w:val="0"/>
                <w:bCs w:val="0"/>
                <w:lang w:val="en-US"/>
              </w:rPr>
              <w:t>HDV (n=94)</w:t>
            </w:r>
          </w:p>
          <w:p w14:paraId="4937D0C9" w14:textId="77777777" w:rsidR="009B65EA" w:rsidRPr="00DC3D6B" w:rsidRDefault="009B65EA" w:rsidP="009B65EA"/>
        </w:tc>
        <w:tc>
          <w:tcPr>
            <w:tcW w:w="614" w:type="pct"/>
            <w:hideMark/>
          </w:tcPr>
          <w:p w14:paraId="14D46134" w14:textId="77777777" w:rsidR="00A94623" w:rsidRPr="00A94623" w:rsidRDefault="00A94623" w:rsidP="009B65EA">
            <w:pPr>
              <w:jc w:val="center"/>
              <w:rPr>
                <w:b w:val="0"/>
                <w:bCs w:val="0"/>
                <w:u w:val="single"/>
                <w:lang w:val="en-US"/>
              </w:rPr>
            </w:pPr>
            <w:r w:rsidRPr="00A94623">
              <w:rPr>
                <w:b w:val="0"/>
                <w:bCs w:val="0"/>
                <w:u w:val="single"/>
                <w:lang w:val="en-US"/>
              </w:rPr>
              <w:t>Fisher’s exact</w:t>
            </w:r>
          </w:p>
          <w:p w14:paraId="7D519931" w14:textId="44AF5172" w:rsidR="009B65EA" w:rsidRDefault="009B65EA" w:rsidP="009B65EA">
            <w:pPr>
              <w:jc w:val="center"/>
              <w:rPr>
                <w:b w:val="0"/>
                <w:bCs w:val="0"/>
                <w:lang w:val="en-US"/>
              </w:rPr>
            </w:pPr>
            <w:r w:rsidRPr="00DC3D6B">
              <w:rPr>
                <w:b w:val="0"/>
                <w:bCs w:val="0"/>
                <w:lang w:val="en-US"/>
              </w:rPr>
              <w:t>p Value</w:t>
            </w:r>
          </w:p>
          <w:p w14:paraId="3E6ED567" w14:textId="77777777" w:rsidR="009B65EA" w:rsidRPr="00DC3D6B" w:rsidRDefault="009B65EA" w:rsidP="009B65EA"/>
        </w:tc>
      </w:tr>
      <w:tr w:rsidR="009B65EA" w:rsidRPr="00DC3D6B" w14:paraId="60358CB0" w14:textId="77777777" w:rsidTr="009B65EA">
        <w:trPr>
          <w:cnfStyle w:val="000000100000" w:firstRow="0" w:lastRow="0" w:firstColumn="0" w:lastColumn="0" w:oddVBand="0" w:evenVBand="0" w:oddHBand="1" w:evenHBand="0" w:firstRowFirstColumn="0" w:firstRowLastColumn="0" w:lastRowFirstColumn="0" w:lastRowLastColumn="0"/>
          <w:trHeight w:val="584"/>
        </w:trPr>
        <w:tc>
          <w:tcPr>
            <w:tcW w:w="2628" w:type="pct"/>
            <w:hideMark/>
          </w:tcPr>
          <w:p w14:paraId="68011419" w14:textId="32A1B2C0" w:rsidR="009B65EA" w:rsidRPr="00DC3D6B" w:rsidRDefault="009B65EA" w:rsidP="009B65EA">
            <w:r w:rsidRPr="00DC3D6B">
              <w:rPr>
                <w:lang w:val="en-US"/>
              </w:rPr>
              <w:t>Total number of lesions identified</w:t>
            </w:r>
          </w:p>
        </w:tc>
        <w:tc>
          <w:tcPr>
            <w:tcW w:w="876" w:type="pct"/>
            <w:hideMark/>
          </w:tcPr>
          <w:p w14:paraId="0C6CF4C0" w14:textId="77777777" w:rsidR="009B65EA" w:rsidRPr="00DC3D6B" w:rsidRDefault="009B65EA" w:rsidP="009B65EA">
            <w:pPr>
              <w:jc w:val="center"/>
            </w:pPr>
            <w:r w:rsidRPr="00DC3D6B">
              <w:rPr>
                <w:lang w:val="en-US"/>
              </w:rPr>
              <w:t>71</w:t>
            </w:r>
          </w:p>
        </w:tc>
        <w:tc>
          <w:tcPr>
            <w:tcW w:w="882" w:type="pct"/>
            <w:hideMark/>
          </w:tcPr>
          <w:p w14:paraId="4AF63248" w14:textId="77777777" w:rsidR="009B65EA" w:rsidRPr="00DC3D6B" w:rsidRDefault="009B65EA" w:rsidP="009B65EA">
            <w:pPr>
              <w:jc w:val="center"/>
            </w:pPr>
            <w:r w:rsidRPr="00DC3D6B">
              <w:rPr>
                <w:lang w:val="en-US"/>
              </w:rPr>
              <w:t>78</w:t>
            </w:r>
          </w:p>
        </w:tc>
        <w:tc>
          <w:tcPr>
            <w:tcW w:w="614" w:type="pct"/>
            <w:hideMark/>
          </w:tcPr>
          <w:p w14:paraId="61F3C766" w14:textId="77777777" w:rsidR="009B65EA" w:rsidRPr="00DC3D6B" w:rsidRDefault="009B65EA" w:rsidP="009B65EA">
            <w:pPr>
              <w:jc w:val="center"/>
            </w:pPr>
            <w:r w:rsidRPr="00DC3D6B">
              <w:rPr>
                <w:lang w:val="en-US"/>
              </w:rPr>
              <w:t>0.21</w:t>
            </w:r>
          </w:p>
        </w:tc>
      </w:tr>
      <w:tr w:rsidR="009B65EA" w:rsidRPr="00DC3D6B" w14:paraId="401214C5" w14:textId="77777777" w:rsidTr="009B65EA">
        <w:trPr>
          <w:cnfStyle w:val="000000010000" w:firstRow="0" w:lastRow="0" w:firstColumn="0" w:lastColumn="0" w:oddVBand="0" w:evenVBand="0" w:oddHBand="0" w:evenHBand="1" w:firstRowFirstColumn="0" w:firstRowLastColumn="0" w:lastRowFirstColumn="0" w:lastRowLastColumn="0"/>
          <w:trHeight w:val="584"/>
        </w:trPr>
        <w:tc>
          <w:tcPr>
            <w:tcW w:w="2628" w:type="pct"/>
            <w:hideMark/>
          </w:tcPr>
          <w:p w14:paraId="016326B7" w14:textId="77777777" w:rsidR="009B65EA" w:rsidRPr="00DC3D6B" w:rsidRDefault="009B65EA" w:rsidP="009B65EA">
            <w:r w:rsidRPr="00DC3D6B">
              <w:rPr>
                <w:lang w:val="en-US"/>
              </w:rPr>
              <w:t>Total number of neoplastic lesions</w:t>
            </w:r>
          </w:p>
        </w:tc>
        <w:tc>
          <w:tcPr>
            <w:tcW w:w="876" w:type="pct"/>
            <w:hideMark/>
          </w:tcPr>
          <w:p w14:paraId="53D0E7BC" w14:textId="77777777" w:rsidR="009B65EA" w:rsidRPr="00DC3D6B" w:rsidRDefault="009B65EA" w:rsidP="009B65EA">
            <w:pPr>
              <w:jc w:val="center"/>
            </w:pPr>
            <w:r w:rsidRPr="00DC3D6B">
              <w:rPr>
                <w:lang w:val="en-US"/>
              </w:rPr>
              <w:t>27</w:t>
            </w:r>
          </w:p>
        </w:tc>
        <w:tc>
          <w:tcPr>
            <w:tcW w:w="882" w:type="pct"/>
            <w:hideMark/>
          </w:tcPr>
          <w:p w14:paraId="10570C6A" w14:textId="77777777" w:rsidR="009B65EA" w:rsidRPr="00DC3D6B" w:rsidRDefault="009B65EA" w:rsidP="009B65EA">
            <w:pPr>
              <w:jc w:val="center"/>
            </w:pPr>
            <w:r w:rsidRPr="00DC3D6B">
              <w:rPr>
                <w:lang w:val="en-US"/>
              </w:rPr>
              <w:t>25</w:t>
            </w:r>
          </w:p>
        </w:tc>
        <w:tc>
          <w:tcPr>
            <w:tcW w:w="614" w:type="pct"/>
            <w:hideMark/>
          </w:tcPr>
          <w:p w14:paraId="7683F9C6" w14:textId="77777777" w:rsidR="009B65EA" w:rsidRPr="00DC3D6B" w:rsidRDefault="009B65EA" w:rsidP="009B65EA">
            <w:pPr>
              <w:jc w:val="center"/>
            </w:pPr>
            <w:r w:rsidRPr="00DC3D6B">
              <w:rPr>
                <w:lang w:val="en-US"/>
              </w:rPr>
              <w:t>0.49</w:t>
            </w:r>
          </w:p>
        </w:tc>
      </w:tr>
      <w:tr w:rsidR="009B65EA" w:rsidRPr="00DC3D6B" w14:paraId="7F9DDB6F" w14:textId="77777777" w:rsidTr="009B65EA">
        <w:trPr>
          <w:cnfStyle w:val="000000100000" w:firstRow="0" w:lastRow="0" w:firstColumn="0" w:lastColumn="0" w:oddVBand="0" w:evenVBand="0" w:oddHBand="1" w:evenHBand="0" w:firstRowFirstColumn="0" w:firstRowLastColumn="0" w:lastRowFirstColumn="0" w:lastRowLastColumn="0"/>
          <w:trHeight w:val="584"/>
        </w:trPr>
        <w:tc>
          <w:tcPr>
            <w:tcW w:w="2628" w:type="pct"/>
            <w:hideMark/>
          </w:tcPr>
          <w:p w14:paraId="10B39C84" w14:textId="77777777" w:rsidR="009B65EA" w:rsidRPr="00DC3D6B" w:rsidRDefault="009B65EA" w:rsidP="009B65EA">
            <w:r w:rsidRPr="00DC3D6B">
              <w:rPr>
                <w:lang w:val="en-US"/>
              </w:rPr>
              <w:t>Paris classification of lesions</w:t>
            </w:r>
          </w:p>
          <w:p w14:paraId="55882A5A" w14:textId="77777777" w:rsidR="009B65EA" w:rsidRPr="00907398" w:rsidRDefault="009B65EA" w:rsidP="009B65EA">
            <w:r w:rsidRPr="00907398">
              <w:rPr>
                <w:bCs/>
                <w:lang w:val="en-US"/>
              </w:rPr>
              <w:t>IIa</w:t>
            </w:r>
          </w:p>
          <w:p w14:paraId="63CD9396" w14:textId="77777777" w:rsidR="009B65EA" w:rsidRPr="00907398" w:rsidRDefault="009B65EA" w:rsidP="009B65EA">
            <w:r w:rsidRPr="00907398">
              <w:rPr>
                <w:bCs/>
                <w:lang w:val="en-US"/>
              </w:rPr>
              <w:t>IIb</w:t>
            </w:r>
          </w:p>
          <w:p w14:paraId="60A3D9FA" w14:textId="77777777" w:rsidR="009B65EA" w:rsidRPr="00DC3D6B" w:rsidRDefault="009B65EA" w:rsidP="009B65EA">
            <w:r w:rsidRPr="00DC3D6B">
              <w:rPr>
                <w:lang w:val="en-US"/>
              </w:rPr>
              <w:t>IIa-c</w:t>
            </w:r>
          </w:p>
          <w:p w14:paraId="08EE28A9" w14:textId="77777777" w:rsidR="009B65EA" w:rsidRPr="00DC3D6B" w:rsidRDefault="009B65EA" w:rsidP="009B65EA">
            <w:r w:rsidRPr="00DC3D6B">
              <w:rPr>
                <w:lang w:val="en-US"/>
              </w:rPr>
              <w:t>Is</w:t>
            </w:r>
          </w:p>
        </w:tc>
        <w:tc>
          <w:tcPr>
            <w:tcW w:w="876" w:type="pct"/>
            <w:hideMark/>
          </w:tcPr>
          <w:p w14:paraId="339A90E5" w14:textId="77777777" w:rsidR="009B65EA" w:rsidRDefault="009B65EA" w:rsidP="009B65EA">
            <w:pPr>
              <w:jc w:val="center"/>
              <w:rPr>
                <w:bCs/>
                <w:lang w:val="en-US"/>
              </w:rPr>
            </w:pPr>
          </w:p>
          <w:p w14:paraId="4BB56F31" w14:textId="77777777" w:rsidR="009B65EA" w:rsidRPr="00907398" w:rsidRDefault="009B65EA" w:rsidP="009B65EA">
            <w:pPr>
              <w:jc w:val="center"/>
            </w:pPr>
            <w:r w:rsidRPr="00907398">
              <w:rPr>
                <w:bCs/>
                <w:lang w:val="en-US"/>
              </w:rPr>
              <w:t>18</w:t>
            </w:r>
          </w:p>
          <w:p w14:paraId="0A778804" w14:textId="77777777" w:rsidR="009B65EA" w:rsidRPr="00907398" w:rsidRDefault="009B65EA" w:rsidP="009B65EA">
            <w:pPr>
              <w:jc w:val="center"/>
            </w:pPr>
            <w:r w:rsidRPr="00907398">
              <w:rPr>
                <w:bCs/>
                <w:lang w:val="en-US"/>
              </w:rPr>
              <w:t>2</w:t>
            </w:r>
          </w:p>
          <w:p w14:paraId="26A9B36F" w14:textId="77777777" w:rsidR="009B65EA" w:rsidRPr="00DC3D6B" w:rsidRDefault="009B65EA" w:rsidP="009B65EA">
            <w:pPr>
              <w:jc w:val="center"/>
            </w:pPr>
            <w:r w:rsidRPr="00DC3D6B">
              <w:rPr>
                <w:lang w:val="en-US"/>
              </w:rPr>
              <w:t>1</w:t>
            </w:r>
          </w:p>
          <w:p w14:paraId="575562B8" w14:textId="77777777" w:rsidR="009B65EA" w:rsidRPr="00DC3D6B" w:rsidRDefault="009B65EA" w:rsidP="009B65EA">
            <w:pPr>
              <w:jc w:val="center"/>
            </w:pPr>
            <w:r w:rsidRPr="00DC3D6B">
              <w:rPr>
                <w:lang w:val="en-US"/>
              </w:rPr>
              <w:t>6</w:t>
            </w:r>
          </w:p>
        </w:tc>
        <w:tc>
          <w:tcPr>
            <w:tcW w:w="882" w:type="pct"/>
            <w:hideMark/>
          </w:tcPr>
          <w:p w14:paraId="01B90BEF" w14:textId="77777777" w:rsidR="009B65EA" w:rsidRDefault="009B65EA" w:rsidP="009B65EA">
            <w:pPr>
              <w:jc w:val="center"/>
              <w:rPr>
                <w:bCs/>
                <w:lang w:val="en-US"/>
              </w:rPr>
            </w:pPr>
          </w:p>
          <w:p w14:paraId="330B7032" w14:textId="77777777" w:rsidR="009B65EA" w:rsidRPr="00907398" w:rsidRDefault="009B65EA" w:rsidP="009B65EA">
            <w:pPr>
              <w:jc w:val="center"/>
            </w:pPr>
            <w:r w:rsidRPr="00907398">
              <w:rPr>
                <w:bCs/>
                <w:lang w:val="en-US"/>
              </w:rPr>
              <w:t>19</w:t>
            </w:r>
          </w:p>
          <w:p w14:paraId="58DBF3A0" w14:textId="77777777" w:rsidR="009B65EA" w:rsidRPr="00DC3D6B" w:rsidRDefault="009B65EA" w:rsidP="009B65EA">
            <w:pPr>
              <w:jc w:val="center"/>
            </w:pPr>
            <w:r w:rsidRPr="00907398">
              <w:rPr>
                <w:bCs/>
                <w:lang w:val="en-US"/>
              </w:rPr>
              <w:t>3</w:t>
            </w:r>
          </w:p>
          <w:p w14:paraId="091E1A38" w14:textId="77777777" w:rsidR="009B65EA" w:rsidRPr="00DC3D6B" w:rsidRDefault="009B65EA" w:rsidP="009B65EA">
            <w:pPr>
              <w:jc w:val="center"/>
            </w:pPr>
            <w:r w:rsidRPr="00DC3D6B">
              <w:rPr>
                <w:lang w:val="en-US"/>
              </w:rPr>
              <w:t>0</w:t>
            </w:r>
          </w:p>
          <w:p w14:paraId="62E088B2" w14:textId="77777777" w:rsidR="009B65EA" w:rsidRPr="00DC3D6B" w:rsidRDefault="009B65EA" w:rsidP="009B65EA">
            <w:pPr>
              <w:jc w:val="center"/>
            </w:pPr>
            <w:r w:rsidRPr="00DC3D6B">
              <w:rPr>
                <w:lang w:val="en-US"/>
              </w:rPr>
              <w:t>3</w:t>
            </w:r>
          </w:p>
        </w:tc>
        <w:tc>
          <w:tcPr>
            <w:tcW w:w="614" w:type="pct"/>
            <w:hideMark/>
          </w:tcPr>
          <w:p w14:paraId="5AE8F0E6" w14:textId="77777777" w:rsidR="009B65EA" w:rsidRDefault="009B65EA" w:rsidP="009B65EA">
            <w:pPr>
              <w:jc w:val="center"/>
              <w:rPr>
                <w:bCs/>
                <w:lang w:val="en-US"/>
              </w:rPr>
            </w:pPr>
          </w:p>
          <w:p w14:paraId="356E9866" w14:textId="77777777" w:rsidR="009B65EA" w:rsidRPr="00907398" w:rsidRDefault="009B65EA" w:rsidP="009B65EA">
            <w:pPr>
              <w:jc w:val="center"/>
            </w:pPr>
            <w:r w:rsidRPr="00907398">
              <w:rPr>
                <w:bCs/>
                <w:lang w:val="en-US"/>
              </w:rPr>
              <w:t>0.55</w:t>
            </w:r>
          </w:p>
          <w:p w14:paraId="6ED949A8" w14:textId="77777777" w:rsidR="009B65EA" w:rsidRPr="00907398" w:rsidRDefault="009B65EA" w:rsidP="009B65EA">
            <w:pPr>
              <w:jc w:val="center"/>
            </w:pPr>
            <w:r w:rsidRPr="00907398">
              <w:rPr>
                <w:bCs/>
                <w:lang w:val="en-US"/>
              </w:rPr>
              <w:t>0.32</w:t>
            </w:r>
          </w:p>
          <w:p w14:paraId="20EBB29C" w14:textId="77777777" w:rsidR="009B65EA" w:rsidRPr="00DC3D6B" w:rsidRDefault="009B65EA" w:rsidP="009B65EA">
            <w:pPr>
              <w:jc w:val="center"/>
            </w:pPr>
            <w:r w:rsidRPr="00DC3D6B">
              <w:rPr>
                <w:lang w:val="en-US"/>
              </w:rPr>
              <w:t>0.33</w:t>
            </w:r>
          </w:p>
          <w:p w14:paraId="0D2FD8D3" w14:textId="77777777" w:rsidR="009B65EA" w:rsidRPr="00DC3D6B" w:rsidRDefault="009B65EA" w:rsidP="009B65EA">
            <w:pPr>
              <w:jc w:val="center"/>
            </w:pPr>
            <w:r w:rsidRPr="00DC3D6B">
              <w:rPr>
                <w:lang w:val="en-US"/>
              </w:rPr>
              <w:t>0.33</w:t>
            </w:r>
          </w:p>
        </w:tc>
      </w:tr>
      <w:tr w:rsidR="009B65EA" w:rsidRPr="00DC3D6B" w14:paraId="7DE10124" w14:textId="77777777" w:rsidTr="009B65EA">
        <w:trPr>
          <w:cnfStyle w:val="000000010000" w:firstRow="0" w:lastRow="0" w:firstColumn="0" w:lastColumn="0" w:oddVBand="0" w:evenVBand="0" w:oddHBand="0" w:evenHBand="1" w:firstRowFirstColumn="0" w:firstRowLastColumn="0" w:lastRowFirstColumn="0" w:lastRowLastColumn="0"/>
          <w:trHeight w:val="584"/>
        </w:trPr>
        <w:tc>
          <w:tcPr>
            <w:tcW w:w="2628" w:type="pct"/>
            <w:hideMark/>
          </w:tcPr>
          <w:p w14:paraId="65F827C9" w14:textId="77777777" w:rsidR="009B65EA" w:rsidRPr="00DC3D6B" w:rsidRDefault="009B65EA" w:rsidP="009B65EA">
            <w:r w:rsidRPr="00DC3D6B">
              <w:rPr>
                <w:lang w:val="en-US"/>
              </w:rPr>
              <w:t>Size of neoplastic lesions in mm, median (range)</w:t>
            </w:r>
          </w:p>
        </w:tc>
        <w:tc>
          <w:tcPr>
            <w:tcW w:w="876" w:type="pct"/>
            <w:hideMark/>
          </w:tcPr>
          <w:p w14:paraId="7C1B2A99" w14:textId="77777777" w:rsidR="009B65EA" w:rsidRPr="00DC3D6B" w:rsidRDefault="009B65EA" w:rsidP="009B65EA">
            <w:pPr>
              <w:jc w:val="center"/>
            </w:pPr>
            <w:r w:rsidRPr="00DC3D6B">
              <w:t>4.30 (2 – 15)</w:t>
            </w:r>
          </w:p>
        </w:tc>
        <w:tc>
          <w:tcPr>
            <w:tcW w:w="882" w:type="pct"/>
            <w:hideMark/>
          </w:tcPr>
          <w:p w14:paraId="393E34F5" w14:textId="77777777" w:rsidR="009B65EA" w:rsidRPr="00DC3D6B" w:rsidRDefault="009B65EA" w:rsidP="009B65EA">
            <w:pPr>
              <w:jc w:val="center"/>
            </w:pPr>
            <w:r w:rsidRPr="00DC3D6B">
              <w:t>3.16 (1 – 20)</w:t>
            </w:r>
          </w:p>
        </w:tc>
        <w:tc>
          <w:tcPr>
            <w:tcW w:w="614" w:type="pct"/>
            <w:hideMark/>
          </w:tcPr>
          <w:p w14:paraId="22825AC5" w14:textId="77777777" w:rsidR="009B65EA" w:rsidRPr="00DC3D6B" w:rsidRDefault="009B65EA" w:rsidP="009B65EA">
            <w:pPr>
              <w:jc w:val="center"/>
            </w:pPr>
            <w:r w:rsidRPr="00DC3D6B">
              <w:rPr>
                <w:lang w:val="en-US"/>
              </w:rPr>
              <w:t>0.24</w:t>
            </w:r>
          </w:p>
        </w:tc>
      </w:tr>
      <w:tr w:rsidR="009B65EA" w:rsidRPr="00DC3D6B" w14:paraId="0B3AB0DA" w14:textId="77777777" w:rsidTr="009B65EA">
        <w:trPr>
          <w:cnfStyle w:val="000000100000" w:firstRow="0" w:lastRow="0" w:firstColumn="0" w:lastColumn="0" w:oddVBand="0" w:evenVBand="0" w:oddHBand="1" w:evenHBand="0" w:firstRowFirstColumn="0" w:firstRowLastColumn="0" w:lastRowFirstColumn="0" w:lastRowLastColumn="0"/>
          <w:trHeight w:val="584"/>
        </w:trPr>
        <w:tc>
          <w:tcPr>
            <w:tcW w:w="2628" w:type="pct"/>
          </w:tcPr>
          <w:p w14:paraId="3BF5D084" w14:textId="77777777" w:rsidR="009B65EA" w:rsidRPr="00EE1996" w:rsidRDefault="009B65EA" w:rsidP="009B65EA">
            <w:pPr>
              <w:pStyle w:val="NormalWeb"/>
              <w:spacing w:before="0" w:beforeAutospacing="0" w:after="0" w:afterAutospacing="0"/>
              <w:rPr>
                <w:rFonts w:asciiTheme="minorHAnsi" w:hAnsiTheme="minorHAnsi" w:cs="Arial"/>
                <w:sz w:val="24"/>
                <w:szCs w:val="36"/>
              </w:rPr>
            </w:pPr>
            <w:r w:rsidRPr="00EE1996">
              <w:rPr>
                <w:rFonts w:asciiTheme="minorHAnsi" w:hAnsiTheme="minorHAnsi" w:cs="Arial"/>
                <w:bCs/>
                <w:kern w:val="24"/>
                <w:sz w:val="24"/>
                <w:szCs w:val="36"/>
                <w:lang w:val="en-US"/>
              </w:rPr>
              <w:t>Number of lesions according to histology</w:t>
            </w:r>
          </w:p>
          <w:p w14:paraId="604D3D54" w14:textId="77777777" w:rsidR="009B65EA" w:rsidRPr="00EE1996" w:rsidRDefault="009B65EA" w:rsidP="009B65EA">
            <w:pPr>
              <w:pStyle w:val="ListParagraph"/>
              <w:numPr>
                <w:ilvl w:val="0"/>
                <w:numId w:val="4"/>
              </w:numPr>
              <w:ind w:left="424"/>
              <w:rPr>
                <w:rFonts w:eastAsia="Times New Roman" w:cs="Arial"/>
                <w:szCs w:val="36"/>
              </w:rPr>
            </w:pPr>
            <w:r w:rsidRPr="00EE1996">
              <w:rPr>
                <w:rFonts w:eastAsia="Times New Roman" w:cs="Arial"/>
                <w:bCs/>
                <w:kern w:val="24"/>
                <w:szCs w:val="36"/>
                <w:lang w:val="en-US"/>
              </w:rPr>
              <w:t>Sessile serrated lesions (without dysplasia)</w:t>
            </w:r>
          </w:p>
          <w:p w14:paraId="0E36B681" w14:textId="2E8482DB" w:rsidR="009B65EA" w:rsidRPr="00EE1996" w:rsidRDefault="00C270ED" w:rsidP="009B65EA">
            <w:pPr>
              <w:pStyle w:val="ListParagraph"/>
              <w:numPr>
                <w:ilvl w:val="0"/>
                <w:numId w:val="4"/>
              </w:numPr>
              <w:ind w:left="424"/>
              <w:rPr>
                <w:rFonts w:eastAsia="Times New Roman" w:cs="Arial"/>
                <w:szCs w:val="36"/>
              </w:rPr>
            </w:pPr>
            <w:r>
              <w:rPr>
                <w:kern w:val="24"/>
                <w:szCs w:val="36"/>
                <w:lang w:val="en-US"/>
              </w:rPr>
              <w:t>Intraepithelial neoplasia</w:t>
            </w:r>
            <w:r w:rsidR="009B65EA" w:rsidRPr="00EE1996">
              <w:rPr>
                <w:kern w:val="24"/>
                <w:szCs w:val="36"/>
                <w:lang w:val="en-US"/>
              </w:rPr>
              <w:t xml:space="preserve"> (colitis areas)</w:t>
            </w:r>
          </w:p>
          <w:p w14:paraId="6404376C" w14:textId="77777777" w:rsidR="009B65EA" w:rsidRPr="00EE1996" w:rsidRDefault="009B65EA" w:rsidP="009B65EA">
            <w:pPr>
              <w:pStyle w:val="ListParagraph"/>
              <w:numPr>
                <w:ilvl w:val="1"/>
                <w:numId w:val="4"/>
              </w:numPr>
              <w:ind w:left="566"/>
              <w:rPr>
                <w:rFonts w:eastAsia="Times New Roman" w:cs="Arial"/>
                <w:szCs w:val="36"/>
              </w:rPr>
            </w:pPr>
            <w:r w:rsidRPr="00EE1996">
              <w:rPr>
                <w:kern w:val="24"/>
                <w:szCs w:val="36"/>
                <w:lang w:val="en-US"/>
              </w:rPr>
              <w:t>Low grade</w:t>
            </w:r>
          </w:p>
          <w:p w14:paraId="10CF0BCB" w14:textId="77777777" w:rsidR="009B65EA" w:rsidRPr="00EE1996" w:rsidRDefault="009B65EA" w:rsidP="009B65EA">
            <w:pPr>
              <w:pStyle w:val="ListParagraph"/>
              <w:numPr>
                <w:ilvl w:val="1"/>
                <w:numId w:val="4"/>
              </w:numPr>
              <w:ind w:left="566"/>
              <w:rPr>
                <w:rFonts w:eastAsia="Times New Roman" w:cs="Arial"/>
                <w:szCs w:val="36"/>
              </w:rPr>
            </w:pPr>
            <w:r w:rsidRPr="00EE1996">
              <w:rPr>
                <w:kern w:val="24"/>
                <w:szCs w:val="36"/>
                <w:lang w:val="en-US"/>
              </w:rPr>
              <w:t>High grade</w:t>
            </w:r>
          </w:p>
          <w:p w14:paraId="72043140" w14:textId="166534DC" w:rsidR="009B65EA" w:rsidRPr="001B1AE3" w:rsidRDefault="001B1AE3" w:rsidP="001B1AE3">
            <w:pPr>
              <w:pStyle w:val="ListParagraph"/>
              <w:numPr>
                <w:ilvl w:val="1"/>
                <w:numId w:val="4"/>
              </w:numPr>
              <w:ind w:left="566"/>
              <w:rPr>
                <w:rFonts w:ascii="Arial" w:eastAsia="Times New Roman" w:hAnsi="Arial" w:cs="Arial"/>
                <w:szCs w:val="36"/>
              </w:rPr>
            </w:pPr>
            <w:r w:rsidRPr="00EE1996">
              <w:rPr>
                <w:kern w:val="24"/>
                <w:szCs w:val="36"/>
                <w:lang w:val="en-US"/>
              </w:rPr>
              <w:t>Adenocarcinoma</w:t>
            </w:r>
          </w:p>
        </w:tc>
        <w:tc>
          <w:tcPr>
            <w:tcW w:w="876" w:type="pct"/>
          </w:tcPr>
          <w:p w14:paraId="25E26188" w14:textId="77777777" w:rsidR="009B65EA" w:rsidRDefault="009B65EA" w:rsidP="009B65EA">
            <w:pPr>
              <w:pStyle w:val="NormalWeb"/>
              <w:spacing w:before="0" w:beforeAutospacing="0" w:after="0" w:afterAutospacing="0"/>
              <w:jc w:val="center"/>
              <w:rPr>
                <w:rFonts w:ascii="Calibri" w:hAnsi="Calibri" w:cs="Arial"/>
                <w:b/>
                <w:bCs/>
                <w:kern w:val="24"/>
                <w:sz w:val="24"/>
                <w:szCs w:val="36"/>
                <w:lang w:val="en-US"/>
              </w:rPr>
            </w:pPr>
          </w:p>
          <w:p w14:paraId="78C46CDA" w14:textId="77777777" w:rsidR="009B65EA" w:rsidRPr="00907398" w:rsidRDefault="009B65EA" w:rsidP="009B65EA">
            <w:pPr>
              <w:pStyle w:val="NormalWeb"/>
              <w:spacing w:before="0" w:beforeAutospacing="0" w:after="0" w:afterAutospacing="0"/>
              <w:jc w:val="center"/>
              <w:rPr>
                <w:rFonts w:ascii="Arial" w:hAnsi="Arial" w:cs="Arial"/>
                <w:sz w:val="24"/>
                <w:szCs w:val="36"/>
              </w:rPr>
            </w:pPr>
            <w:r w:rsidRPr="00907398">
              <w:rPr>
                <w:rFonts w:ascii="Calibri" w:hAnsi="Calibri" w:cs="Arial"/>
                <w:bCs/>
                <w:kern w:val="24"/>
                <w:sz w:val="24"/>
                <w:szCs w:val="36"/>
                <w:lang w:val="en-US"/>
              </w:rPr>
              <w:t>13</w:t>
            </w:r>
          </w:p>
          <w:p w14:paraId="2290EE38" w14:textId="77777777" w:rsidR="009B65EA" w:rsidRPr="00907398" w:rsidRDefault="009B65EA" w:rsidP="009B65EA">
            <w:pPr>
              <w:pStyle w:val="NormalWeb"/>
              <w:spacing w:before="0" w:beforeAutospacing="0" w:after="0" w:afterAutospacing="0"/>
              <w:jc w:val="center"/>
              <w:rPr>
                <w:rFonts w:ascii="Calibri" w:hAnsi="Calibri" w:cs="Arial"/>
                <w:bCs/>
                <w:kern w:val="24"/>
                <w:sz w:val="24"/>
                <w:szCs w:val="36"/>
                <w:lang w:val="en-US"/>
              </w:rPr>
            </w:pPr>
          </w:p>
          <w:p w14:paraId="2D0F9A1C" w14:textId="77777777" w:rsidR="009B65EA" w:rsidRPr="00907398" w:rsidRDefault="009B65EA" w:rsidP="009B65EA">
            <w:pPr>
              <w:pStyle w:val="NormalWeb"/>
              <w:spacing w:before="0" w:beforeAutospacing="0" w:after="0" w:afterAutospacing="0"/>
              <w:jc w:val="center"/>
              <w:rPr>
                <w:rFonts w:ascii="Arial" w:hAnsi="Arial" w:cs="Arial"/>
                <w:sz w:val="24"/>
                <w:szCs w:val="36"/>
              </w:rPr>
            </w:pPr>
            <w:r w:rsidRPr="00907398">
              <w:rPr>
                <w:rFonts w:ascii="Calibri" w:hAnsi="Calibri" w:cs="Arial"/>
                <w:bCs/>
                <w:kern w:val="24"/>
                <w:sz w:val="24"/>
                <w:szCs w:val="36"/>
                <w:lang w:val="en-US"/>
              </w:rPr>
              <w:t>13</w:t>
            </w:r>
          </w:p>
          <w:p w14:paraId="4A97EDC0" w14:textId="77777777" w:rsidR="009B65EA" w:rsidRPr="00907398" w:rsidRDefault="009B65EA" w:rsidP="009B65EA">
            <w:pPr>
              <w:pStyle w:val="NormalWeb"/>
              <w:spacing w:before="0" w:beforeAutospacing="0" w:after="0" w:afterAutospacing="0"/>
              <w:jc w:val="center"/>
              <w:rPr>
                <w:rFonts w:ascii="Arial" w:hAnsi="Arial" w:cs="Arial"/>
                <w:sz w:val="24"/>
                <w:szCs w:val="36"/>
              </w:rPr>
            </w:pPr>
            <w:r w:rsidRPr="00907398">
              <w:rPr>
                <w:rFonts w:ascii="Calibri" w:hAnsi="Calibri" w:cs="Arial"/>
                <w:bCs/>
                <w:kern w:val="24"/>
                <w:sz w:val="24"/>
                <w:szCs w:val="36"/>
                <w:lang w:val="en-US"/>
              </w:rPr>
              <w:t>0</w:t>
            </w:r>
          </w:p>
          <w:p w14:paraId="4188C6D3" w14:textId="77777777" w:rsidR="009B65EA" w:rsidRPr="00907398" w:rsidRDefault="009B65EA" w:rsidP="009B65EA">
            <w:pPr>
              <w:jc w:val="center"/>
            </w:pPr>
            <w:r w:rsidRPr="00907398">
              <w:rPr>
                <w:rFonts w:ascii="Calibri" w:hAnsi="Calibri" w:cs="Arial"/>
                <w:bCs/>
                <w:kern w:val="24"/>
                <w:szCs w:val="36"/>
                <w:lang w:val="en-US"/>
              </w:rPr>
              <w:t>1</w:t>
            </w:r>
          </w:p>
        </w:tc>
        <w:tc>
          <w:tcPr>
            <w:tcW w:w="882" w:type="pct"/>
          </w:tcPr>
          <w:p w14:paraId="374071F5" w14:textId="77777777" w:rsidR="009B65EA" w:rsidRDefault="009B65EA" w:rsidP="009B65EA">
            <w:pPr>
              <w:pStyle w:val="NormalWeb"/>
              <w:spacing w:before="0" w:beforeAutospacing="0" w:after="0" w:afterAutospacing="0"/>
              <w:jc w:val="center"/>
              <w:rPr>
                <w:rFonts w:ascii="Calibri" w:hAnsi="Calibri" w:cs="Arial"/>
                <w:b/>
                <w:bCs/>
                <w:kern w:val="24"/>
                <w:sz w:val="24"/>
                <w:szCs w:val="36"/>
                <w:lang w:val="en-US"/>
              </w:rPr>
            </w:pPr>
          </w:p>
          <w:p w14:paraId="3E608DA9" w14:textId="77777777" w:rsidR="009B65EA" w:rsidRPr="00907398" w:rsidRDefault="009B65EA" w:rsidP="009B65EA">
            <w:pPr>
              <w:pStyle w:val="NormalWeb"/>
              <w:spacing w:before="0" w:beforeAutospacing="0" w:after="0" w:afterAutospacing="0"/>
              <w:jc w:val="center"/>
              <w:rPr>
                <w:rFonts w:ascii="Arial" w:hAnsi="Arial" w:cs="Arial"/>
                <w:sz w:val="24"/>
                <w:szCs w:val="36"/>
              </w:rPr>
            </w:pPr>
            <w:r w:rsidRPr="00907398">
              <w:rPr>
                <w:rFonts w:ascii="Calibri" w:hAnsi="Calibri" w:cs="Arial"/>
                <w:bCs/>
                <w:kern w:val="24"/>
                <w:sz w:val="24"/>
                <w:szCs w:val="36"/>
                <w:lang w:val="en-US"/>
              </w:rPr>
              <w:t>4</w:t>
            </w:r>
          </w:p>
          <w:p w14:paraId="19275514" w14:textId="77777777" w:rsidR="009B65EA" w:rsidRPr="00907398" w:rsidRDefault="009B65EA" w:rsidP="009B65EA">
            <w:pPr>
              <w:pStyle w:val="NormalWeb"/>
              <w:spacing w:before="0" w:beforeAutospacing="0" w:after="0" w:afterAutospacing="0"/>
              <w:jc w:val="center"/>
              <w:rPr>
                <w:rFonts w:ascii="Calibri" w:hAnsi="Calibri" w:cs="Arial"/>
                <w:bCs/>
                <w:kern w:val="24"/>
                <w:sz w:val="24"/>
                <w:szCs w:val="36"/>
                <w:lang w:val="en-US"/>
              </w:rPr>
            </w:pPr>
          </w:p>
          <w:p w14:paraId="14F79B16" w14:textId="77777777" w:rsidR="009B65EA" w:rsidRPr="00907398" w:rsidRDefault="009B65EA" w:rsidP="009B65EA">
            <w:pPr>
              <w:pStyle w:val="NormalWeb"/>
              <w:spacing w:before="0" w:beforeAutospacing="0" w:after="0" w:afterAutospacing="0"/>
              <w:jc w:val="center"/>
              <w:rPr>
                <w:rFonts w:ascii="Arial" w:hAnsi="Arial" w:cs="Arial"/>
                <w:sz w:val="24"/>
                <w:szCs w:val="36"/>
              </w:rPr>
            </w:pPr>
            <w:r w:rsidRPr="00907398">
              <w:rPr>
                <w:rFonts w:ascii="Calibri" w:hAnsi="Calibri" w:cs="Arial"/>
                <w:bCs/>
                <w:kern w:val="24"/>
                <w:sz w:val="24"/>
                <w:szCs w:val="36"/>
                <w:lang w:val="en-US"/>
              </w:rPr>
              <w:t>22</w:t>
            </w:r>
          </w:p>
          <w:p w14:paraId="7A056505" w14:textId="77777777" w:rsidR="009B65EA" w:rsidRPr="00907398" w:rsidRDefault="009B65EA" w:rsidP="009B65EA">
            <w:pPr>
              <w:pStyle w:val="NormalWeb"/>
              <w:spacing w:before="0" w:beforeAutospacing="0" w:after="0" w:afterAutospacing="0"/>
              <w:jc w:val="center"/>
              <w:rPr>
                <w:rFonts w:ascii="Arial" w:hAnsi="Arial" w:cs="Arial"/>
                <w:sz w:val="24"/>
                <w:szCs w:val="36"/>
              </w:rPr>
            </w:pPr>
            <w:r w:rsidRPr="00907398">
              <w:rPr>
                <w:rFonts w:ascii="Calibri" w:hAnsi="Calibri" w:cs="Arial"/>
                <w:bCs/>
                <w:kern w:val="24"/>
                <w:sz w:val="24"/>
                <w:szCs w:val="36"/>
                <w:lang w:val="en-US"/>
              </w:rPr>
              <w:t>0</w:t>
            </w:r>
          </w:p>
          <w:p w14:paraId="3C015C57" w14:textId="77777777" w:rsidR="009B65EA" w:rsidRPr="00907398" w:rsidRDefault="009B65EA" w:rsidP="009B65EA">
            <w:pPr>
              <w:jc w:val="center"/>
            </w:pPr>
            <w:r w:rsidRPr="00907398">
              <w:rPr>
                <w:rFonts w:ascii="Calibri" w:hAnsi="Calibri" w:cs="Arial"/>
                <w:bCs/>
                <w:kern w:val="24"/>
                <w:szCs w:val="36"/>
                <w:lang w:val="en-US"/>
              </w:rPr>
              <w:t>0</w:t>
            </w:r>
          </w:p>
        </w:tc>
        <w:tc>
          <w:tcPr>
            <w:tcW w:w="614" w:type="pct"/>
          </w:tcPr>
          <w:p w14:paraId="1B404242" w14:textId="77777777" w:rsidR="009B65EA" w:rsidRPr="00907398" w:rsidRDefault="009B65EA" w:rsidP="009B65EA">
            <w:pPr>
              <w:jc w:val="center"/>
              <w:rPr>
                <w:lang w:val="en-US"/>
              </w:rPr>
            </w:pPr>
          </w:p>
        </w:tc>
      </w:tr>
    </w:tbl>
    <w:p w14:paraId="659F4A9F" w14:textId="77777777" w:rsidR="009B65EA" w:rsidRDefault="009B65EA" w:rsidP="009B65EA">
      <w:pPr>
        <w:spacing w:line="360" w:lineRule="auto"/>
      </w:pPr>
    </w:p>
    <w:p w14:paraId="03FF9A05" w14:textId="77777777" w:rsidR="007760C3" w:rsidRDefault="007760C3" w:rsidP="009B65EA">
      <w:pPr>
        <w:spacing w:line="360" w:lineRule="auto"/>
        <w:ind w:left="-426"/>
      </w:pPr>
    </w:p>
    <w:p w14:paraId="51E2BE28" w14:textId="14DE2140" w:rsidR="00CD2674" w:rsidRPr="00F141D3" w:rsidRDefault="009B65EA" w:rsidP="00990232">
      <w:pPr>
        <w:spacing w:line="360" w:lineRule="auto"/>
        <w:jc w:val="both"/>
      </w:pPr>
      <w:r>
        <w:br w:type="column"/>
      </w:r>
      <w:r w:rsidR="00CD2674" w:rsidRPr="00F141D3">
        <w:rPr>
          <w:b/>
        </w:rPr>
        <w:t>Contributors:</w:t>
      </w:r>
    </w:p>
    <w:p w14:paraId="28AE6014" w14:textId="01F1BA90" w:rsidR="00CD2674" w:rsidRPr="00CD2674" w:rsidRDefault="00CD2674" w:rsidP="00990232">
      <w:pPr>
        <w:spacing w:line="360" w:lineRule="auto"/>
        <w:jc w:val="both"/>
      </w:pPr>
      <w:r w:rsidRPr="00F141D3">
        <w:t xml:space="preserve">KK participated in the study conception, patient recruitment, data collection, </w:t>
      </w:r>
      <w:r w:rsidR="00256E3F" w:rsidRPr="00F141D3">
        <w:t>statistical</w:t>
      </w:r>
      <w:r w:rsidRPr="00F141D3">
        <w:t xml:space="preserve"> analysis, writing of the manuscript and the final approval of the manuscript.</w:t>
      </w:r>
      <w:r w:rsidR="00C35658" w:rsidRPr="00F141D3">
        <w:t xml:space="preserve"> SSu participated in the patient recruitment, data collection, </w:t>
      </w:r>
      <w:r w:rsidR="00256E3F" w:rsidRPr="00F141D3">
        <w:t>statistical</w:t>
      </w:r>
      <w:r w:rsidR="00C35658" w:rsidRPr="00F141D3">
        <w:t xml:space="preserve"> analysis and critical analysis of the manuscript. CF, JB, GLW participated in the study concept, design and critical revision of the manuscript. FC, ST, and SSm participated in the patient recruitment, and data collection. MI participated in the patient recruitment, data collection, critical revision and final approval of the manuscript. PB participated in the study concept, study design, data analysis, critical revision and final approval of the manuscript.</w:t>
      </w:r>
    </w:p>
    <w:p w14:paraId="31D7A299" w14:textId="77777777" w:rsidR="00CD2674" w:rsidRDefault="00CD2674" w:rsidP="00990232">
      <w:pPr>
        <w:spacing w:line="360" w:lineRule="auto"/>
        <w:jc w:val="both"/>
      </w:pPr>
    </w:p>
    <w:p w14:paraId="3FA9A67D" w14:textId="02A5E891" w:rsidR="009B65EA" w:rsidRDefault="009B65EA" w:rsidP="00990232">
      <w:pPr>
        <w:spacing w:line="360" w:lineRule="auto"/>
        <w:jc w:val="both"/>
      </w:pPr>
      <w:r>
        <w:rPr>
          <w:b/>
        </w:rPr>
        <w:t>Acknowledgements:</w:t>
      </w:r>
    </w:p>
    <w:p w14:paraId="26B36FBA" w14:textId="6772DCD1" w:rsidR="009B65EA" w:rsidRPr="009B65EA" w:rsidRDefault="009B65EA" w:rsidP="00990232">
      <w:pPr>
        <w:spacing w:line="360" w:lineRule="auto"/>
        <w:jc w:val="both"/>
      </w:pPr>
      <w:r>
        <w:t xml:space="preserve"> The authors would </w:t>
      </w:r>
      <w:r w:rsidR="004C6649">
        <w:t>like to thank Ms Lisa Murra</w:t>
      </w:r>
      <w:r w:rsidR="00904FC5">
        <w:t>y, Dr Michelle Baker-Moffatt,</w:t>
      </w:r>
      <w:r w:rsidR="004C6649">
        <w:t xml:space="preserve"> Ms. Joanne Dash</w:t>
      </w:r>
      <w:r w:rsidR="00904FC5">
        <w:t xml:space="preserve"> and Ms Hayley Downe</w:t>
      </w:r>
      <w:r w:rsidR="004C6649">
        <w:t xml:space="preserve"> in assisting with the recruitment of patients into the study.</w:t>
      </w:r>
      <w:r w:rsidR="003B731A">
        <w:t xml:space="preserve"> We would like to also thank Mr Paul Bassett for his assistance in the statistical analysis of the study.</w:t>
      </w:r>
    </w:p>
    <w:p w14:paraId="4B189043" w14:textId="77777777" w:rsidR="009B65EA" w:rsidRDefault="009B65EA" w:rsidP="00990232">
      <w:pPr>
        <w:spacing w:line="360" w:lineRule="auto"/>
        <w:jc w:val="both"/>
      </w:pPr>
    </w:p>
    <w:p w14:paraId="08633FB9" w14:textId="03992AC1" w:rsidR="009B65EA" w:rsidRDefault="004C6649" w:rsidP="003B731A">
      <w:pPr>
        <w:spacing w:line="360" w:lineRule="auto"/>
        <w:jc w:val="both"/>
        <w:rPr>
          <w:b/>
        </w:rPr>
      </w:pPr>
      <w:r>
        <w:rPr>
          <w:b/>
        </w:rPr>
        <w:t>Competing interests:</w:t>
      </w:r>
    </w:p>
    <w:p w14:paraId="2D89196B" w14:textId="5D5CEACD" w:rsidR="00904FC5" w:rsidRPr="00904FC5" w:rsidRDefault="00904FC5" w:rsidP="003B731A">
      <w:pPr>
        <w:spacing w:line="360" w:lineRule="auto"/>
        <w:jc w:val="both"/>
        <w:rPr>
          <w:lang w:val="en-US"/>
        </w:rPr>
      </w:pPr>
      <w:r>
        <w:rPr>
          <w:lang w:val="en-US"/>
        </w:rPr>
        <w:t>PB</w:t>
      </w:r>
      <w:r w:rsidRPr="00904FC5">
        <w:rPr>
          <w:lang w:val="en-US"/>
        </w:rPr>
        <w:t xml:space="preserve"> reports grants and personal fees from Olympus UK, grants and personal fees from Fujifilm Europe, grants and personal fees from Boston Scientific Limited, grants and personal fees from Aquilant Limited, grants and personal fees from 3-D Matrix Inc, grants and personal fees from Pentax UK Limited,  outside the submitted work; .</w:t>
      </w:r>
    </w:p>
    <w:p w14:paraId="7FA0DBAF" w14:textId="77777777" w:rsidR="00904FC5" w:rsidRDefault="00904FC5" w:rsidP="003B731A">
      <w:pPr>
        <w:spacing w:line="360" w:lineRule="auto"/>
        <w:jc w:val="both"/>
        <w:rPr>
          <w:lang w:val="en-US"/>
        </w:rPr>
      </w:pPr>
    </w:p>
    <w:p w14:paraId="75E8348C" w14:textId="2603B5AB" w:rsidR="00D60D2D" w:rsidRDefault="00904FC5" w:rsidP="003B731A">
      <w:pPr>
        <w:spacing w:line="360" w:lineRule="auto"/>
        <w:jc w:val="both"/>
        <w:rPr>
          <w:lang w:val="en-US"/>
        </w:rPr>
      </w:pPr>
      <w:r>
        <w:rPr>
          <w:lang w:val="en-US"/>
        </w:rPr>
        <w:t>MI</w:t>
      </w:r>
      <w:r w:rsidRPr="00904FC5">
        <w:rPr>
          <w:lang w:val="en-US"/>
        </w:rPr>
        <w:t xml:space="preserve"> reports grants from Olympus UK, grants from Fujifilm Europe, personal fees from Janssen UK, personal fees from Abbvie, grants and personal fees from Pentax UK Limited,  outside the submitted work; .</w:t>
      </w:r>
    </w:p>
    <w:p w14:paraId="5BDA8D8D" w14:textId="77777777" w:rsidR="00904FC5" w:rsidRDefault="00904FC5" w:rsidP="003B731A">
      <w:pPr>
        <w:spacing w:line="360" w:lineRule="auto"/>
        <w:jc w:val="both"/>
        <w:rPr>
          <w:lang w:val="en-US"/>
        </w:rPr>
      </w:pPr>
    </w:p>
    <w:p w14:paraId="50A8A65E" w14:textId="6DE674CC" w:rsidR="00904FC5" w:rsidRDefault="00904FC5" w:rsidP="003B731A">
      <w:pPr>
        <w:spacing w:line="360" w:lineRule="auto"/>
        <w:jc w:val="both"/>
        <w:rPr>
          <w:lang w:val="en-US"/>
        </w:rPr>
      </w:pPr>
      <w:r>
        <w:rPr>
          <w:lang w:val="en-US"/>
        </w:rPr>
        <w:t>The</w:t>
      </w:r>
      <w:r w:rsidRPr="00904FC5">
        <w:rPr>
          <w:lang w:val="en-US"/>
        </w:rPr>
        <w:t xml:space="preserve"> remain</w:t>
      </w:r>
      <w:r>
        <w:rPr>
          <w:lang w:val="en-US"/>
        </w:rPr>
        <w:t>in</w:t>
      </w:r>
      <w:r w:rsidRPr="00904FC5">
        <w:rPr>
          <w:lang w:val="en-US"/>
        </w:rPr>
        <w:t>g authors declare no co</w:t>
      </w:r>
      <w:r>
        <w:rPr>
          <w:lang w:val="en-US"/>
        </w:rPr>
        <w:t>nfl</w:t>
      </w:r>
      <w:r w:rsidRPr="00904FC5">
        <w:rPr>
          <w:lang w:val="en-US"/>
        </w:rPr>
        <w:t>ict of interest.</w:t>
      </w:r>
    </w:p>
    <w:p w14:paraId="3D1BAB2F" w14:textId="77777777" w:rsidR="00904FC5" w:rsidRDefault="00904FC5" w:rsidP="00D60D2D">
      <w:pPr>
        <w:jc w:val="both"/>
        <w:rPr>
          <w:lang w:val="en-US"/>
        </w:rPr>
      </w:pPr>
    </w:p>
    <w:p w14:paraId="6A753542" w14:textId="77777777" w:rsidR="00904FC5" w:rsidRPr="00904FC5" w:rsidRDefault="00904FC5" w:rsidP="00D60D2D">
      <w:pPr>
        <w:jc w:val="both"/>
      </w:pPr>
    </w:p>
    <w:p w14:paraId="476E5D62" w14:textId="7DBF60EF" w:rsidR="00D60D2D" w:rsidRPr="00D60D2D" w:rsidRDefault="00F87427" w:rsidP="003B731A">
      <w:pPr>
        <w:spacing w:line="360" w:lineRule="auto"/>
        <w:rPr>
          <w:rFonts w:ascii="Times New Roman" w:eastAsia="Times New Roman" w:hAnsi="Times New Roman" w:cs="Times New Roman"/>
          <w:sz w:val="20"/>
          <w:szCs w:val="20"/>
        </w:rPr>
      </w:pPr>
      <w:r>
        <w:rPr>
          <w:b/>
        </w:rPr>
        <w:t>Funding:</w:t>
      </w:r>
      <w:r w:rsidR="00D60D2D">
        <w:rPr>
          <w:b/>
        </w:rPr>
        <w:t xml:space="preserve"> </w:t>
      </w:r>
      <w:r w:rsidR="00D60D2D" w:rsidRPr="00D60D2D">
        <w:rPr>
          <w:rFonts w:eastAsia="Times New Roman" w:cs="Arial"/>
          <w:szCs w:val="18"/>
        </w:rPr>
        <w:t xml:space="preserve">An unrestricted grant by Pentax UK Ltd was provided in the form of </w:t>
      </w:r>
      <w:r w:rsidR="00D60D2D">
        <w:rPr>
          <w:rFonts w:eastAsia="Times New Roman" w:cs="Arial"/>
          <w:szCs w:val="18"/>
        </w:rPr>
        <w:t>a</w:t>
      </w:r>
      <w:r w:rsidR="00D60D2D" w:rsidRPr="00D60D2D">
        <w:rPr>
          <w:rFonts w:eastAsia="Times New Roman" w:cs="Arial"/>
          <w:szCs w:val="18"/>
        </w:rPr>
        <w:t xml:space="preserve"> loan of endoscopes and </w:t>
      </w:r>
      <w:r w:rsidR="00D60D2D">
        <w:rPr>
          <w:rFonts w:eastAsia="Times New Roman" w:cs="Arial"/>
          <w:szCs w:val="18"/>
        </w:rPr>
        <w:t xml:space="preserve">an </w:t>
      </w:r>
      <w:r w:rsidR="00D60D2D" w:rsidRPr="00D60D2D">
        <w:rPr>
          <w:rFonts w:eastAsia="Times New Roman" w:cs="Arial"/>
          <w:szCs w:val="18"/>
        </w:rPr>
        <w:t>endoscopy processor.</w:t>
      </w:r>
    </w:p>
    <w:p w14:paraId="63B1B98C" w14:textId="27B56D9C" w:rsidR="00F87427" w:rsidRPr="00F87427" w:rsidRDefault="00F87427" w:rsidP="00990232">
      <w:pPr>
        <w:spacing w:line="360" w:lineRule="auto"/>
        <w:jc w:val="both"/>
      </w:pPr>
    </w:p>
    <w:p w14:paraId="2609E3FD" w14:textId="77777777" w:rsidR="004C6649" w:rsidRPr="004C6649" w:rsidRDefault="004C6649" w:rsidP="00990232">
      <w:pPr>
        <w:spacing w:line="360" w:lineRule="auto"/>
        <w:jc w:val="both"/>
        <w:rPr>
          <w:b/>
        </w:rPr>
      </w:pPr>
    </w:p>
    <w:p w14:paraId="62904677" w14:textId="77777777" w:rsidR="009B65EA" w:rsidRDefault="009B65EA" w:rsidP="00990232">
      <w:pPr>
        <w:spacing w:line="360" w:lineRule="auto"/>
        <w:jc w:val="both"/>
      </w:pPr>
    </w:p>
    <w:p w14:paraId="3CD0B41B" w14:textId="77777777" w:rsidR="0056745A" w:rsidRDefault="0056745A" w:rsidP="00990232">
      <w:pPr>
        <w:spacing w:line="360" w:lineRule="auto"/>
        <w:jc w:val="both"/>
      </w:pPr>
      <w:r>
        <w:t>References:</w:t>
      </w:r>
    </w:p>
    <w:p w14:paraId="2A29FDC2" w14:textId="6F549891" w:rsidR="00AE04BA" w:rsidRPr="00AE04BA" w:rsidRDefault="0056745A" w:rsidP="00AE04BA">
      <w:pPr>
        <w:widowControl w:val="0"/>
        <w:autoSpaceDE w:val="0"/>
        <w:autoSpaceDN w:val="0"/>
        <w:adjustRightInd w:val="0"/>
        <w:ind w:left="640" w:hanging="640"/>
        <w:rPr>
          <w:rFonts w:ascii="Cambria" w:hAnsi="Cambria"/>
          <w:noProof/>
          <w:lang w:val="en-US"/>
        </w:rPr>
      </w:pPr>
      <w:r>
        <w:fldChar w:fldCharType="begin" w:fldLock="1"/>
      </w:r>
      <w:r>
        <w:instrText xml:space="preserve">ADDIN Mendeley Bibliography CSL_BIBLIOGRAPHY </w:instrText>
      </w:r>
      <w:r>
        <w:fldChar w:fldCharType="separate"/>
      </w:r>
      <w:r w:rsidR="00AE04BA" w:rsidRPr="00AE04BA">
        <w:rPr>
          <w:rFonts w:ascii="Cambria" w:hAnsi="Cambria"/>
          <w:noProof/>
          <w:lang w:val="en-US"/>
        </w:rPr>
        <w:t xml:space="preserve">1 </w:t>
      </w:r>
      <w:r w:rsidR="00AE04BA" w:rsidRPr="00AE04BA">
        <w:rPr>
          <w:rFonts w:ascii="Cambria" w:hAnsi="Cambria"/>
          <w:noProof/>
          <w:lang w:val="en-US"/>
        </w:rPr>
        <w:tab/>
        <w:t xml:space="preserve">Eaden JA, Abrams KR, Mayberry JF. The risk of colorectal cancer in ulcerative colitis: a meta-analysis. </w:t>
      </w:r>
      <w:r w:rsidR="00AE04BA" w:rsidRPr="00AE04BA">
        <w:rPr>
          <w:rFonts w:ascii="Cambria" w:hAnsi="Cambria"/>
          <w:i/>
          <w:iCs/>
          <w:noProof/>
          <w:lang w:val="en-US"/>
        </w:rPr>
        <w:t>Gut</w:t>
      </w:r>
      <w:r w:rsidR="00AE04BA" w:rsidRPr="00AE04BA">
        <w:rPr>
          <w:rFonts w:ascii="Cambria" w:hAnsi="Cambria"/>
          <w:noProof/>
          <w:lang w:val="en-US"/>
        </w:rPr>
        <w:t xml:space="preserve"> 2001;</w:t>
      </w:r>
      <w:r w:rsidR="00AE04BA" w:rsidRPr="00AE04BA">
        <w:rPr>
          <w:rFonts w:ascii="Cambria" w:hAnsi="Cambria"/>
          <w:b/>
          <w:bCs/>
          <w:noProof/>
          <w:lang w:val="en-US"/>
        </w:rPr>
        <w:t>48</w:t>
      </w:r>
      <w:r w:rsidR="00AE04BA" w:rsidRPr="00AE04BA">
        <w:rPr>
          <w:rFonts w:ascii="Cambria" w:hAnsi="Cambria"/>
          <w:noProof/>
          <w:lang w:val="en-US"/>
        </w:rPr>
        <w:t xml:space="preserve">:526–35. </w:t>
      </w:r>
    </w:p>
    <w:p w14:paraId="27F8BF23" w14:textId="21E87EC9"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2 </w:t>
      </w:r>
      <w:r w:rsidRPr="00AE04BA">
        <w:rPr>
          <w:rFonts w:ascii="Cambria" w:hAnsi="Cambria"/>
          <w:noProof/>
          <w:lang w:val="en-US"/>
        </w:rPr>
        <w:tab/>
        <w:t xml:space="preserve">Gillen CD, Andrews HA, Prior P, </w:t>
      </w:r>
      <w:r w:rsidRPr="00AE04BA">
        <w:rPr>
          <w:rFonts w:ascii="Cambria" w:hAnsi="Cambria"/>
          <w:i/>
          <w:iCs/>
          <w:noProof/>
          <w:lang w:val="en-US"/>
        </w:rPr>
        <w:t>et al.</w:t>
      </w:r>
      <w:r w:rsidRPr="00AE04BA">
        <w:rPr>
          <w:rFonts w:ascii="Cambria" w:hAnsi="Cambria"/>
          <w:noProof/>
          <w:lang w:val="en-US"/>
        </w:rPr>
        <w:t xml:space="preserve"> Crohn’s disease and colorectal cancer. </w:t>
      </w:r>
      <w:r w:rsidRPr="00AE04BA">
        <w:rPr>
          <w:rFonts w:ascii="Cambria" w:hAnsi="Cambria"/>
          <w:i/>
          <w:iCs/>
          <w:noProof/>
          <w:lang w:val="en-US"/>
        </w:rPr>
        <w:t>Gut</w:t>
      </w:r>
      <w:r w:rsidRPr="00AE04BA">
        <w:rPr>
          <w:rFonts w:ascii="Cambria" w:hAnsi="Cambria"/>
          <w:noProof/>
          <w:lang w:val="en-US"/>
        </w:rPr>
        <w:t xml:space="preserve"> 1994;</w:t>
      </w:r>
      <w:r w:rsidRPr="00AE04BA">
        <w:rPr>
          <w:rFonts w:ascii="Cambria" w:hAnsi="Cambria"/>
          <w:b/>
          <w:bCs/>
          <w:noProof/>
          <w:lang w:val="en-US"/>
        </w:rPr>
        <w:t>35</w:t>
      </w:r>
      <w:r w:rsidRPr="00AE04BA">
        <w:rPr>
          <w:rFonts w:ascii="Cambria" w:hAnsi="Cambria"/>
          <w:noProof/>
          <w:lang w:val="en-US"/>
        </w:rPr>
        <w:t>:651–5.</w:t>
      </w:r>
    </w:p>
    <w:p w14:paraId="0CC97C62" w14:textId="1EA96AB5"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3 </w:t>
      </w:r>
      <w:r w:rsidRPr="00AE04BA">
        <w:rPr>
          <w:rFonts w:ascii="Cambria" w:hAnsi="Cambria"/>
          <w:noProof/>
          <w:lang w:val="en-US"/>
        </w:rPr>
        <w:tab/>
        <w:t xml:space="preserve">Herrinton LJ, Liu L, Levin TR, </w:t>
      </w:r>
      <w:r w:rsidRPr="00AE04BA">
        <w:rPr>
          <w:rFonts w:ascii="Cambria" w:hAnsi="Cambria"/>
          <w:i/>
          <w:iCs/>
          <w:noProof/>
          <w:lang w:val="en-US"/>
        </w:rPr>
        <w:t>et al.</w:t>
      </w:r>
      <w:r w:rsidRPr="00AE04BA">
        <w:rPr>
          <w:rFonts w:ascii="Cambria" w:hAnsi="Cambria"/>
          <w:noProof/>
          <w:lang w:val="en-US"/>
        </w:rPr>
        <w:t xml:space="preserve"> Incidence and Mortality of Colorectal Adenocarcinoma in Persons With Inflammatory Bowel Disease From 1998 to 2010. </w:t>
      </w:r>
      <w:r w:rsidRPr="00AE04BA">
        <w:rPr>
          <w:rFonts w:ascii="Cambria" w:hAnsi="Cambria"/>
          <w:i/>
          <w:iCs/>
          <w:noProof/>
          <w:lang w:val="en-US"/>
        </w:rPr>
        <w:t>Gastroenterology</w:t>
      </w:r>
      <w:r w:rsidRPr="00AE04BA">
        <w:rPr>
          <w:rFonts w:ascii="Cambria" w:hAnsi="Cambria"/>
          <w:noProof/>
          <w:lang w:val="en-US"/>
        </w:rPr>
        <w:t xml:space="preserve"> 2012;</w:t>
      </w:r>
      <w:r w:rsidRPr="00AE04BA">
        <w:rPr>
          <w:rFonts w:ascii="Cambria" w:hAnsi="Cambria"/>
          <w:b/>
          <w:bCs/>
          <w:noProof/>
          <w:lang w:val="en-US"/>
        </w:rPr>
        <w:t>143</w:t>
      </w:r>
      <w:r w:rsidRPr="00AE04BA">
        <w:rPr>
          <w:rFonts w:ascii="Cambria" w:hAnsi="Cambria"/>
          <w:noProof/>
          <w:lang w:val="en-US"/>
        </w:rPr>
        <w:t xml:space="preserve">:382–9. </w:t>
      </w:r>
    </w:p>
    <w:p w14:paraId="28B566D6" w14:textId="13E04AFC"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4 </w:t>
      </w:r>
      <w:r w:rsidRPr="00AE04BA">
        <w:rPr>
          <w:rFonts w:ascii="Cambria" w:hAnsi="Cambria"/>
          <w:noProof/>
          <w:lang w:val="en-US"/>
        </w:rPr>
        <w:tab/>
        <w:t xml:space="preserve">Cairns SR, Scholefield JH, Steele RJ, </w:t>
      </w:r>
      <w:r w:rsidRPr="00AE04BA">
        <w:rPr>
          <w:rFonts w:ascii="Cambria" w:hAnsi="Cambria"/>
          <w:i/>
          <w:iCs/>
          <w:noProof/>
          <w:lang w:val="en-US"/>
        </w:rPr>
        <w:t>et al.</w:t>
      </w:r>
      <w:r w:rsidRPr="00AE04BA">
        <w:rPr>
          <w:rFonts w:ascii="Cambria" w:hAnsi="Cambria"/>
          <w:noProof/>
          <w:lang w:val="en-US"/>
        </w:rPr>
        <w:t xml:space="preserve"> Guidelines for colorectal cancer screening and surveillance in moderate and high risk groups (update from 2002). </w:t>
      </w:r>
      <w:r w:rsidRPr="00AE04BA">
        <w:rPr>
          <w:rFonts w:ascii="Cambria" w:hAnsi="Cambria"/>
          <w:i/>
          <w:iCs/>
          <w:noProof/>
          <w:lang w:val="en-US"/>
        </w:rPr>
        <w:t>Gut</w:t>
      </w:r>
      <w:r w:rsidRPr="00AE04BA">
        <w:rPr>
          <w:rFonts w:ascii="Cambria" w:hAnsi="Cambria"/>
          <w:noProof/>
          <w:lang w:val="en-US"/>
        </w:rPr>
        <w:t xml:space="preserve"> 2010;</w:t>
      </w:r>
      <w:r w:rsidRPr="00AE04BA">
        <w:rPr>
          <w:rFonts w:ascii="Cambria" w:hAnsi="Cambria"/>
          <w:b/>
          <w:bCs/>
          <w:noProof/>
          <w:lang w:val="en-US"/>
        </w:rPr>
        <w:t>59</w:t>
      </w:r>
      <w:r w:rsidRPr="00AE04BA">
        <w:rPr>
          <w:rFonts w:ascii="Cambria" w:hAnsi="Cambria"/>
          <w:noProof/>
          <w:lang w:val="en-US"/>
        </w:rPr>
        <w:t xml:space="preserve">:666–89. </w:t>
      </w:r>
    </w:p>
    <w:p w14:paraId="5236F22A" w14:textId="2B310D84"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5 </w:t>
      </w:r>
      <w:r w:rsidRPr="00AE04BA">
        <w:rPr>
          <w:rFonts w:ascii="Cambria" w:hAnsi="Cambria"/>
          <w:noProof/>
          <w:lang w:val="en-US"/>
        </w:rPr>
        <w:tab/>
        <w:t xml:space="preserve">Maaser C, Sturm A, Vavricka SR, </w:t>
      </w:r>
      <w:r w:rsidRPr="00AE04BA">
        <w:rPr>
          <w:rFonts w:ascii="Cambria" w:hAnsi="Cambria"/>
          <w:i/>
          <w:iCs/>
          <w:noProof/>
          <w:lang w:val="en-US"/>
        </w:rPr>
        <w:t>et al.</w:t>
      </w:r>
      <w:r w:rsidRPr="00AE04BA">
        <w:rPr>
          <w:rFonts w:ascii="Cambria" w:hAnsi="Cambria"/>
          <w:noProof/>
          <w:lang w:val="en-US"/>
        </w:rPr>
        <w:t xml:space="preserve"> ECCO-ESGAR Guideline for Diagnostic Assessment in IBD Part 1: Initial diagnosis, monitoring of known IBD, detection of complications. </w:t>
      </w:r>
      <w:r w:rsidRPr="00AE04BA">
        <w:rPr>
          <w:rFonts w:ascii="Cambria" w:hAnsi="Cambria"/>
          <w:i/>
          <w:iCs/>
          <w:noProof/>
          <w:lang w:val="en-US"/>
        </w:rPr>
        <w:t>J Crohn’s Colitis</w:t>
      </w:r>
      <w:r w:rsidRPr="00AE04BA">
        <w:rPr>
          <w:rFonts w:ascii="Cambria" w:hAnsi="Cambria"/>
          <w:noProof/>
          <w:lang w:val="en-US"/>
        </w:rPr>
        <w:t xml:space="preserve"> 2019;</w:t>
      </w:r>
      <w:r w:rsidRPr="00AE04BA">
        <w:rPr>
          <w:rFonts w:ascii="Cambria" w:hAnsi="Cambria"/>
          <w:b/>
          <w:bCs/>
          <w:noProof/>
          <w:lang w:val="en-US"/>
        </w:rPr>
        <w:t>13</w:t>
      </w:r>
      <w:r w:rsidRPr="00AE04BA">
        <w:rPr>
          <w:rFonts w:ascii="Cambria" w:hAnsi="Cambria"/>
          <w:noProof/>
          <w:lang w:val="en-US"/>
        </w:rPr>
        <w:t xml:space="preserve">:144-164K. </w:t>
      </w:r>
    </w:p>
    <w:p w14:paraId="20F5079B" w14:textId="3298CE59"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6 </w:t>
      </w:r>
      <w:r w:rsidRPr="00AE04BA">
        <w:rPr>
          <w:rFonts w:ascii="Cambria" w:hAnsi="Cambria"/>
          <w:noProof/>
          <w:lang w:val="en-US"/>
        </w:rPr>
        <w:tab/>
        <w:t xml:space="preserve">Rutter MD, Saunders BP, Schofield G, </w:t>
      </w:r>
      <w:r w:rsidRPr="00AE04BA">
        <w:rPr>
          <w:rFonts w:ascii="Cambria" w:hAnsi="Cambria"/>
          <w:i/>
          <w:iCs/>
          <w:noProof/>
          <w:lang w:val="en-US"/>
        </w:rPr>
        <w:t>et al.</w:t>
      </w:r>
      <w:r w:rsidRPr="00AE04BA">
        <w:rPr>
          <w:rFonts w:ascii="Cambria" w:hAnsi="Cambria"/>
          <w:noProof/>
          <w:lang w:val="en-US"/>
        </w:rPr>
        <w:t xml:space="preserve"> Pancolonic indigo carmine dye spraying for the detection of dysplasia in ulcerative colitis. </w:t>
      </w:r>
      <w:r w:rsidRPr="00AE04BA">
        <w:rPr>
          <w:rFonts w:ascii="Cambria" w:hAnsi="Cambria"/>
          <w:i/>
          <w:iCs/>
          <w:noProof/>
          <w:lang w:val="en-US"/>
        </w:rPr>
        <w:t>Gut</w:t>
      </w:r>
      <w:r w:rsidRPr="00AE04BA">
        <w:rPr>
          <w:rFonts w:ascii="Cambria" w:hAnsi="Cambria"/>
          <w:noProof/>
          <w:lang w:val="en-US"/>
        </w:rPr>
        <w:t xml:space="preserve"> 2004;</w:t>
      </w:r>
      <w:r w:rsidRPr="00AE04BA">
        <w:rPr>
          <w:rFonts w:ascii="Cambria" w:hAnsi="Cambria"/>
          <w:b/>
          <w:bCs/>
          <w:noProof/>
          <w:lang w:val="en-US"/>
        </w:rPr>
        <w:t>53</w:t>
      </w:r>
      <w:r w:rsidRPr="00AE04BA">
        <w:rPr>
          <w:rFonts w:ascii="Cambria" w:hAnsi="Cambria"/>
          <w:noProof/>
          <w:lang w:val="en-US"/>
        </w:rPr>
        <w:t xml:space="preserve">:256–60. </w:t>
      </w:r>
    </w:p>
    <w:p w14:paraId="733190AF" w14:textId="56310BA6"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7 </w:t>
      </w:r>
      <w:r w:rsidRPr="00AE04BA">
        <w:rPr>
          <w:rFonts w:ascii="Cambria" w:hAnsi="Cambria"/>
          <w:noProof/>
          <w:lang w:val="en-US"/>
        </w:rPr>
        <w:tab/>
        <w:t xml:space="preserve">Marion JF, Waye JD, Present DH, </w:t>
      </w:r>
      <w:r w:rsidRPr="00AE04BA">
        <w:rPr>
          <w:rFonts w:ascii="Cambria" w:hAnsi="Cambria"/>
          <w:i/>
          <w:iCs/>
          <w:noProof/>
          <w:lang w:val="en-US"/>
        </w:rPr>
        <w:t>et al.</w:t>
      </w:r>
      <w:r w:rsidRPr="00AE04BA">
        <w:rPr>
          <w:rFonts w:ascii="Cambria" w:hAnsi="Cambria"/>
          <w:noProof/>
          <w:lang w:val="en-US"/>
        </w:rPr>
        <w:t xml:space="preserve"> Chromoendoscopy-Targeted Biopsies Are Superior to Standard Colonoscopic Surveillance for Detecting Dysplasia in Inflammatory Bowel Disease Patients: A Prospective Endoscopic Trial. </w:t>
      </w:r>
      <w:r w:rsidRPr="00AE04BA">
        <w:rPr>
          <w:rFonts w:ascii="Cambria" w:hAnsi="Cambria"/>
          <w:i/>
          <w:iCs/>
          <w:noProof/>
          <w:lang w:val="en-US"/>
        </w:rPr>
        <w:t>Am J Gastroenterol</w:t>
      </w:r>
      <w:r w:rsidRPr="00AE04BA">
        <w:rPr>
          <w:rFonts w:ascii="Cambria" w:hAnsi="Cambria"/>
          <w:noProof/>
          <w:lang w:val="en-US"/>
        </w:rPr>
        <w:t xml:space="preserve"> 2008;</w:t>
      </w:r>
      <w:r w:rsidRPr="00AE04BA">
        <w:rPr>
          <w:rFonts w:ascii="Cambria" w:hAnsi="Cambria"/>
          <w:b/>
          <w:bCs/>
          <w:noProof/>
          <w:lang w:val="en-US"/>
        </w:rPr>
        <w:t>103</w:t>
      </w:r>
      <w:r w:rsidRPr="00AE04BA">
        <w:rPr>
          <w:rFonts w:ascii="Cambria" w:hAnsi="Cambria"/>
          <w:noProof/>
          <w:lang w:val="en-US"/>
        </w:rPr>
        <w:t xml:space="preserve">:2342–9. </w:t>
      </w:r>
    </w:p>
    <w:p w14:paraId="4F887F70" w14:textId="14CB4C0B"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8 </w:t>
      </w:r>
      <w:r w:rsidRPr="00AE04BA">
        <w:rPr>
          <w:rFonts w:ascii="Cambria" w:hAnsi="Cambria"/>
          <w:noProof/>
          <w:lang w:val="en-US"/>
        </w:rPr>
        <w:tab/>
        <w:t xml:space="preserve">Kiesslich R, Fritsch J, Holtmann M, </w:t>
      </w:r>
      <w:r w:rsidRPr="00AE04BA">
        <w:rPr>
          <w:rFonts w:ascii="Cambria" w:hAnsi="Cambria"/>
          <w:i/>
          <w:iCs/>
          <w:noProof/>
          <w:lang w:val="en-US"/>
        </w:rPr>
        <w:t>et al.</w:t>
      </w:r>
      <w:r w:rsidRPr="00AE04BA">
        <w:rPr>
          <w:rFonts w:ascii="Cambria" w:hAnsi="Cambria"/>
          <w:noProof/>
          <w:lang w:val="en-US"/>
        </w:rPr>
        <w:t xml:space="preserve"> Methylene blue-aided chromoendoscopy for the detection of intraepithelial neoplasia and colon cancer in ulcerative colitis. </w:t>
      </w:r>
      <w:r w:rsidRPr="00AE04BA">
        <w:rPr>
          <w:rFonts w:ascii="Cambria" w:hAnsi="Cambria"/>
          <w:i/>
          <w:iCs/>
          <w:noProof/>
          <w:lang w:val="en-US"/>
        </w:rPr>
        <w:t>Gastroenterology</w:t>
      </w:r>
      <w:r w:rsidRPr="00AE04BA">
        <w:rPr>
          <w:rFonts w:ascii="Cambria" w:hAnsi="Cambria"/>
          <w:noProof/>
          <w:lang w:val="en-US"/>
        </w:rPr>
        <w:t xml:space="preserve"> 2003;</w:t>
      </w:r>
      <w:r w:rsidRPr="00AE04BA">
        <w:rPr>
          <w:rFonts w:ascii="Cambria" w:hAnsi="Cambria"/>
          <w:b/>
          <w:bCs/>
          <w:noProof/>
          <w:lang w:val="en-US"/>
        </w:rPr>
        <w:t>124</w:t>
      </w:r>
      <w:r w:rsidRPr="00AE04BA">
        <w:rPr>
          <w:rFonts w:ascii="Cambria" w:hAnsi="Cambria"/>
          <w:noProof/>
          <w:lang w:val="en-US"/>
        </w:rPr>
        <w:t xml:space="preserve">:880–8. </w:t>
      </w:r>
    </w:p>
    <w:p w14:paraId="428DBAE3" w14:textId="75067BE1"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9 </w:t>
      </w:r>
      <w:r w:rsidRPr="00AE04BA">
        <w:rPr>
          <w:rFonts w:ascii="Cambria" w:hAnsi="Cambria"/>
          <w:noProof/>
          <w:lang w:val="en-US"/>
        </w:rPr>
        <w:tab/>
        <w:t xml:space="preserve">Kiesslich R, Goetz M, Lammersdorf K, </w:t>
      </w:r>
      <w:r w:rsidRPr="00AE04BA">
        <w:rPr>
          <w:rFonts w:ascii="Cambria" w:hAnsi="Cambria"/>
          <w:i/>
          <w:iCs/>
          <w:noProof/>
          <w:lang w:val="en-US"/>
        </w:rPr>
        <w:t>et al.</w:t>
      </w:r>
      <w:r w:rsidRPr="00AE04BA">
        <w:rPr>
          <w:rFonts w:ascii="Cambria" w:hAnsi="Cambria"/>
          <w:noProof/>
          <w:lang w:val="en-US"/>
        </w:rPr>
        <w:t xml:space="preserve"> Chromoscopy-Guided Endomicroscopy Increases the Diagnostic Yield of Intraepithelial Neoplasia in Ulcerative Colitis. </w:t>
      </w:r>
      <w:r w:rsidRPr="00AE04BA">
        <w:rPr>
          <w:rFonts w:ascii="Cambria" w:hAnsi="Cambria"/>
          <w:i/>
          <w:iCs/>
          <w:noProof/>
          <w:lang w:val="en-US"/>
        </w:rPr>
        <w:t>Gastroenterology</w:t>
      </w:r>
      <w:r w:rsidRPr="00AE04BA">
        <w:rPr>
          <w:rFonts w:ascii="Cambria" w:hAnsi="Cambria"/>
          <w:noProof/>
          <w:lang w:val="en-US"/>
        </w:rPr>
        <w:t xml:space="preserve"> 2007;</w:t>
      </w:r>
      <w:r w:rsidRPr="00AE04BA">
        <w:rPr>
          <w:rFonts w:ascii="Cambria" w:hAnsi="Cambria"/>
          <w:b/>
          <w:bCs/>
          <w:noProof/>
          <w:lang w:val="en-US"/>
        </w:rPr>
        <w:t>132</w:t>
      </w:r>
      <w:r w:rsidRPr="00AE04BA">
        <w:rPr>
          <w:rFonts w:ascii="Cambria" w:hAnsi="Cambria"/>
          <w:noProof/>
          <w:lang w:val="en-US"/>
        </w:rPr>
        <w:t xml:space="preserve">:874–82. </w:t>
      </w:r>
    </w:p>
    <w:p w14:paraId="52477014" w14:textId="42814A26"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10 </w:t>
      </w:r>
      <w:r w:rsidRPr="00AE04BA">
        <w:rPr>
          <w:rFonts w:ascii="Cambria" w:hAnsi="Cambria"/>
          <w:noProof/>
          <w:lang w:val="en-US"/>
        </w:rPr>
        <w:tab/>
        <w:t xml:space="preserve">Kaltenbach TR, Soetikno RM, DeVivo R, </w:t>
      </w:r>
      <w:r w:rsidRPr="00AE04BA">
        <w:rPr>
          <w:rFonts w:ascii="Cambria" w:hAnsi="Cambria"/>
          <w:i/>
          <w:iCs/>
          <w:noProof/>
          <w:lang w:val="en-US"/>
        </w:rPr>
        <w:t>et al.</w:t>
      </w:r>
      <w:r w:rsidRPr="00AE04BA">
        <w:rPr>
          <w:rFonts w:ascii="Cambria" w:hAnsi="Cambria"/>
          <w:noProof/>
          <w:lang w:val="en-US"/>
        </w:rPr>
        <w:t xml:space="preserve"> Optimizing the quality of endoscopy in inflammatory bowel disease: focus on surveillance and management of colorectal dysplasia using interactive image- and video-based teaching. </w:t>
      </w:r>
      <w:r w:rsidRPr="00AE04BA">
        <w:rPr>
          <w:rFonts w:ascii="Cambria" w:hAnsi="Cambria"/>
          <w:i/>
          <w:iCs/>
          <w:noProof/>
          <w:lang w:val="en-US"/>
        </w:rPr>
        <w:t>Gastrointest Endosc</w:t>
      </w:r>
      <w:r w:rsidRPr="00AE04BA">
        <w:rPr>
          <w:rFonts w:ascii="Cambria" w:hAnsi="Cambria"/>
          <w:noProof/>
          <w:lang w:val="en-US"/>
        </w:rPr>
        <w:t xml:space="preserve"> 2017;</w:t>
      </w:r>
      <w:r w:rsidRPr="00AE04BA">
        <w:rPr>
          <w:rFonts w:ascii="Cambria" w:hAnsi="Cambria"/>
          <w:b/>
          <w:bCs/>
          <w:noProof/>
          <w:lang w:val="en-US"/>
        </w:rPr>
        <w:t>86</w:t>
      </w:r>
      <w:r w:rsidRPr="00AE04BA">
        <w:rPr>
          <w:rFonts w:ascii="Cambria" w:hAnsi="Cambria"/>
          <w:noProof/>
          <w:lang w:val="en-US"/>
        </w:rPr>
        <w:t xml:space="preserve">:1107-1117.e1. </w:t>
      </w:r>
    </w:p>
    <w:p w14:paraId="19A39266" w14:textId="2BCF15BA"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11 </w:t>
      </w:r>
      <w:r w:rsidRPr="00AE04BA">
        <w:rPr>
          <w:rFonts w:ascii="Cambria" w:hAnsi="Cambria"/>
          <w:noProof/>
          <w:lang w:val="en-US"/>
        </w:rPr>
        <w:tab/>
        <w:t xml:space="preserve">Subramanian V, Telakis E, Ramappa V, </w:t>
      </w:r>
      <w:r w:rsidRPr="00AE04BA">
        <w:rPr>
          <w:rFonts w:ascii="Cambria" w:hAnsi="Cambria"/>
          <w:i/>
          <w:iCs/>
          <w:noProof/>
          <w:lang w:val="en-US"/>
        </w:rPr>
        <w:t>et al.</w:t>
      </w:r>
      <w:r w:rsidRPr="00AE04BA">
        <w:rPr>
          <w:rFonts w:ascii="Cambria" w:hAnsi="Cambria"/>
          <w:noProof/>
          <w:lang w:val="en-US"/>
        </w:rPr>
        <w:t xml:space="preserve"> Comparison of high definition with standard white light endoscopy for detection of dysplastic lesions during surveillance colonoscopy in patients with inflammatory bowel disease. </w:t>
      </w:r>
      <w:r w:rsidRPr="00AE04BA">
        <w:rPr>
          <w:rFonts w:ascii="Cambria" w:hAnsi="Cambria"/>
          <w:i/>
          <w:iCs/>
          <w:noProof/>
          <w:lang w:val="en-US"/>
        </w:rPr>
        <w:t>Gut</w:t>
      </w:r>
      <w:r w:rsidRPr="00AE04BA">
        <w:rPr>
          <w:rFonts w:ascii="Cambria" w:hAnsi="Cambria"/>
          <w:noProof/>
          <w:lang w:val="en-US"/>
        </w:rPr>
        <w:t xml:space="preserve"> 2011;</w:t>
      </w:r>
      <w:r w:rsidRPr="00AE04BA">
        <w:rPr>
          <w:rFonts w:ascii="Cambria" w:hAnsi="Cambria"/>
          <w:b/>
          <w:bCs/>
          <w:noProof/>
          <w:lang w:val="en-US"/>
        </w:rPr>
        <w:t>60</w:t>
      </w:r>
      <w:r w:rsidRPr="00AE04BA">
        <w:rPr>
          <w:rFonts w:ascii="Cambria" w:hAnsi="Cambria"/>
          <w:noProof/>
          <w:lang w:val="en-US"/>
        </w:rPr>
        <w:t xml:space="preserve">:A219–A219. </w:t>
      </w:r>
    </w:p>
    <w:p w14:paraId="33341272" w14:textId="1D67A26E"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12 </w:t>
      </w:r>
      <w:r w:rsidRPr="00AE04BA">
        <w:rPr>
          <w:rFonts w:ascii="Cambria" w:hAnsi="Cambria"/>
          <w:noProof/>
          <w:lang w:val="en-US"/>
        </w:rPr>
        <w:tab/>
        <w:t xml:space="preserve">Mohammed N, Kant P, Abid F, </w:t>
      </w:r>
      <w:r w:rsidRPr="00AE04BA">
        <w:rPr>
          <w:rFonts w:ascii="Cambria" w:hAnsi="Cambria"/>
          <w:i/>
          <w:iCs/>
          <w:noProof/>
          <w:lang w:val="en-US"/>
        </w:rPr>
        <w:t>et al.</w:t>
      </w:r>
      <w:r w:rsidRPr="00AE04BA">
        <w:rPr>
          <w:rFonts w:ascii="Cambria" w:hAnsi="Cambria"/>
          <w:noProof/>
          <w:lang w:val="en-US"/>
        </w:rPr>
        <w:t xml:space="preserve"> OC-028 High definition white light endoscopy (HDWLE) versus high definition with chromoendoscopy (HDCE) in the detection of dysplasia in long standing ulcerative colitis: a randomised controlled trial. </w:t>
      </w:r>
      <w:r w:rsidRPr="00AE04BA">
        <w:rPr>
          <w:rFonts w:ascii="Cambria" w:hAnsi="Cambria"/>
          <w:i/>
          <w:iCs/>
          <w:noProof/>
          <w:lang w:val="en-US"/>
        </w:rPr>
        <w:t>Gut</w:t>
      </w:r>
      <w:r w:rsidRPr="00AE04BA">
        <w:rPr>
          <w:rFonts w:ascii="Cambria" w:hAnsi="Cambria"/>
          <w:noProof/>
          <w:lang w:val="en-US"/>
        </w:rPr>
        <w:t xml:space="preserve"> 2015;</w:t>
      </w:r>
      <w:r w:rsidRPr="00AE04BA">
        <w:rPr>
          <w:rFonts w:ascii="Cambria" w:hAnsi="Cambria"/>
          <w:b/>
          <w:bCs/>
          <w:noProof/>
          <w:lang w:val="en-US"/>
        </w:rPr>
        <w:t>64</w:t>
      </w:r>
      <w:r w:rsidRPr="00AE04BA">
        <w:rPr>
          <w:rFonts w:ascii="Cambria" w:hAnsi="Cambria"/>
          <w:noProof/>
          <w:lang w:val="en-US"/>
        </w:rPr>
        <w:t xml:space="preserve">:A14.2-A15. </w:t>
      </w:r>
    </w:p>
    <w:p w14:paraId="6FB46C83" w14:textId="0D9B6468"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13 </w:t>
      </w:r>
      <w:r w:rsidRPr="00AE04BA">
        <w:rPr>
          <w:rFonts w:ascii="Cambria" w:hAnsi="Cambria"/>
          <w:noProof/>
          <w:lang w:val="en-US"/>
        </w:rPr>
        <w:tab/>
        <w:t xml:space="preserve">Iacucci M, Kaplan GG, Panaccione R, </w:t>
      </w:r>
      <w:r w:rsidRPr="00AE04BA">
        <w:rPr>
          <w:rFonts w:ascii="Cambria" w:hAnsi="Cambria"/>
          <w:i/>
          <w:iCs/>
          <w:noProof/>
          <w:lang w:val="en-US"/>
        </w:rPr>
        <w:t>et al.</w:t>
      </w:r>
      <w:r w:rsidRPr="00AE04BA">
        <w:rPr>
          <w:rFonts w:ascii="Cambria" w:hAnsi="Cambria"/>
          <w:noProof/>
          <w:lang w:val="en-US"/>
        </w:rPr>
        <w:t xml:space="preserve"> A Randomized Trial Comparing High Definition Colonoscopy Alone With High Definition Dye Spraying and Electronic Virtual Chromoendoscopy for Detection of Colonic Neoplastic Lesions During IBD Surveillance Colonoscopy. Published Online First: 2018. </w:t>
      </w:r>
    </w:p>
    <w:p w14:paraId="77B3DA44" w14:textId="1BC271FB"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14 </w:t>
      </w:r>
      <w:r w:rsidRPr="00AE04BA">
        <w:rPr>
          <w:rFonts w:ascii="Cambria" w:hAnsi="Cambria"/>
          <w:noProof/>
          <w:lang w:val="en-US"/>
        </w:rPr>
        <w:tab/>
        <w:t xml:space="preserve">Iannone A, Ruospo M, Palmer SC, </w:t>
      </w:r>
      <w:r w:rsidRPr="00AE04BA">
        <w:rPr>
          <w:rFonts w:ascii="Cambria" w:hAnsi="Cambria"/>
          <w:i/>
          <w:iCs/>
          <w:noProof/>
          <w:lang w:val="en-US"/>
        </w:rPr>
        <w:t>et al.</w:t>
      </w:r>
      <w:r w:rsidRPr="00AE04BA">
        <w:rPr>
          <w:rFonts w:ascii="Cambria" w:hAnsi="Cambria"/>
          <w:noProof/>
          <w:lang w:val="en-US"/>
        </w:rPr>
        <w:t xml:space="preserve"> Systematic review with network meta-analysis: endoscopic techniques for dysplasia surveillance in inflammatory bowel disease. </w:t>
      </w:r>
      <w:r w:rsidRPr="00AE04BA">
        <w:rPr>
          <w:rFonts w:ascii="Cambria" w:hAnsi="Cambria"/>
          <w:i/>
          <w:iCs/>
          <w:noProof/>
          <w:lang w:val="en-US"/>
        </w:rPr>
        <w:t>Aliment Pharmacol Ther</w:t>
      </w:r>
      <w:r w:rsidRPr="00AE04BA">
        <w:rPr>
          <w:rFonts w:ascii="Cambria" w:hAnsi="Cambria"/>
          <w:noProof/>
          <w:lang w:val="en-US"/>
        </w:rPr>
        <w:t xml:space="preserve"> 2019;</w:t>
      </w:r>
      <w:r w:rsidRPr="00AE04BA">
        <w:rPr>
          <w:rFonts w:ascii="Cambria" w:hAnsi="Cambria"/>
          <w:b/>
          <w:bCs/>
          <w:noProof/>
          <w:lang w:val="en-US"/>
        </w:rPr>
        <w:t>50</w:t>
      </w:r>
      <w:r w:rsidRPr="00AE04BA">
        <w:rPr>
          <w:rFonts w:ascii="Cambria" w:hAnsi="Cambria"/>
          <w:noProof/>
          <w:lang w:val="en-US"/>
        </w:rPr>
        <w:t xml:space="preserve">:858–71. </w:t>
      </w:r>
    </w:p>
    <w:p w14:paraId="49C96C7F" w14:textId="577E1A43"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15 </w:t>
      </w:r>
      <w:r w:rsidRPr="00AE04BA">
        <w:rPr>
          <w:rFonts w:ascii="Cambria" w:hAnsi="Cambria"/>
          <w:noProof/>
          <w:lang w:val="en-US"/>
        </w:rPr>
        <w:tab/>
        <w:t xml:space="preserve">Bisschops R, Bessissow T, Joseph JA, </w:t>
      </w:r>
      <w:r w:rsidRPr="00AE04BA">
        <w:rPr>
          <w:rFonts w:ascii="Cambria" w:hAnsi="Cambria"/>
          <w:i/>
          <w:iCs/>
          <w:noProof/>
          <w:lang w:val="en-US"/>
        </w:rPr>
        <w:t>et al.</w:t>
      </w:r>
      <w:r w:rsidRPr="00AE04BA">
        <w:rPr>
          <w:rFonts w:ascii="Cambria" w:hAnsi="Cambria"/>
          <w:noProof/>
          <w:lang w:val="en-US"/>
        </w:rPr>
        <w:t xml:space="preserve"> Chromoendoscopy versus narrow band imaging in UC: a prospective randomised controlled trial. </w:t>
      </w:r>
      <w:r w:rsidRPr="00AE04BA">
        <w:rPr>
          <w:rFonts w:ascii="Cambria" w:hAnsi="Cambria"/>
          <w:i/>
          <w:iCs/>
          <w:noProof/>
          <w:lang w:val="en-US"/>
        </w:rPr>
        <w:t>Gut</w:t>
      </w:r>
      <w:r w:rsidRPr="00AE04BA">
        <w:rPr>
          <w:rFonts w:ascii="Cambria" w:hAnsi="Cambria"/>
          <w:noProof/>
          <w:lang w:val="en-US"/>
        </w:rPr>
        <w:t xml:space="preserve"> 2018;</w:t>
      </w:r>
      <w:r w:rsidRPr="00AE04BA">
        <w:rPr>
          <w:rFonts w:ascii="Cambria" w:hAnsi="Cambria"/>
          <w:b/>
          <w:bCs/>
          <w:noProof/>
          <w:lang w:val="en-US"/>
        </w:rPr>
        <w:t>67</w:t>
      </w:r>
      <w:r w:rsidRPr="00AE04BA">
        <w:rPr>
          <w:rFonts w:ascii="Cambria" w:hAnsi="Cambria"/>
          <w:noProof/>
          <w:lang w:val="en-US"/>
        </w:rPr>
        <w:t xml:space="preserve">:1087–94. </w:t>
      </w:r>
    </w:p>
    <w:p w14:paraId="4F541F79" w14:textId="2E8FA372"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16 </w:t>
      </w:r>
      <w:r w:rsidRPr="00AE04BA">
        <w:rPr>
          <w:rFonts w:ascii="Cambria" w:hAnsi="Cambria"/>
          <w:noProof/>
          <w:lang w:val="en-US"/>
        </w:rPr>
        <w:tab/>
        <w:t xml:space="preserve">Veitch AM, Vanbiervliet G, Gershlick AH, </w:t>
      </w:r>
      <w:r w:rsidRPr="00AE04BA">
        <w:rPr>
          <w:rFonts w:ascii="Cambria" w:hAnsi="Cambria"/>
          <w:i/>
          <w:iCs/>
          <w:noProof/>
          <w:lang w:val="en-US"/>
        </w:rPr>
        <w:t>et al.</w:t>
      </w:r>
      <w:r w:rsidRPr="00AE04BA">
        <w:rPr>
          <w:rFonts w:ascii="Cambria" w:hAnsi="Cambria"/>
          <w:noProof/>
          <w:lang w:val="en-US"/>
        </w:rPr>
        <w:t xml:space="preserve"> Endoscopy in patients on antiplatelet or anticoagulant therapy, including direct oral anticoagulants: British Society of Gastroenterology (BSG) and European Society of Gastrointestinal Endoscopy (ESGE) guidelines. Published Online First: 2016. </w:t>
      </w:r>
    </w:p>
    <w:p w14:paraId="69484EE7" w14:textId="0515C0BC"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17 </w:t>
      </w:r>
      <w:r w:rsidRPr="00AE04BA">
        <w:rPr>
          <w:rFonts w:ascii="Cambria" w:hAnsi="Cambria"/>
          <w:noProof/>
          <w:lang w:val="en-US"/>
        </w:rPr>
        <w:tab/>
        <w:t xml:space="preserve">Dekker E, van den Broek FJ, Reitsma JB, </w:t>
      </w:r>
      <w:r w:rsidRPr="00AE04BA">
        <w:rPr>
          <w:rFonts w:ascii="Cambria" w:hAnsi="Cambria"/>
          <w:i/>
          <w:iCs/>
          <w:noProof/>
          <w:lang w:val="en-US"/>
        </w:rPr>
        <w:t>et al.</w:t>
      </w:r>
      <w:r w:rsidRPr="00AE04BA">
        <w:rPr>
          <w:rFonts w:ascii="Cambria" w:hAnsi="Cambria"/>
          <w:noProof/>
          <w:lang w:val="en-US"/>
        </w:rPr>
        <w:t xml:space="preserve"> Narrow-band imaging compared with conventional colonoscopy for the detection of dysplasia in patients with longstanding ulcerative colitis. </w:t>
      </w:r>
      <w:r w:rsidRPr="00AE04BA">
        <w:rPr>
          <w:rFonts w:ascii="Cambria" w:hAnsi="Cambria"/>
          <w:i/>
          <w:iCs/>
          <w:noProof/>
          <w:lang w:val="en-US"/>
        </w:rPr>
        <w:t>Endoscopy</w:t>
      </w:r>
      <w:r w:rsidRPr="00AE04BA">
        <w:rPr>
          <w:rFonts w:ascii="Cambria" w:hAnsi="Cambria"/>
          <w:noProof/>
          <w:lang w:val="en-US"/>
        </w:rPr>
        <w:t xml:space="preserve"> 2007;</w:t>
      </w:r>
      <w:r w:rsidRPr="00AE04BA">
        <w:rPr>
          <w:rFonts w:ascii="Cambria" w:hAnsi="Cambria"/>
          <w:b/>
          <w:bCs/>
          <w:noProof/>
          <w:lang w:val="en-US"/>
        </w:rPr>
        <w:t>39</w:t>
      </w:r>
      <w:r w:rsidRPr="00AE04BA">
        <w:rPr>
          <w:rFonts w:ascii="Cambria" w:hAnsi="Cambria"/>
          <w:noProof/>
          <w:lang w:val="en-US"/>
        </w:rPr>
        <w:t xml:space="preserve">:216–21. </w:t>
      </w:r>
    </w:p>
    <w:p w14:paraId="1607EDFB" w14:textId="381E7FB3"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18 </w:t>
      </w:r>
      <w:r w:rsidRPr="00AE04BA">
        <w:rPr>
          <w:rFonts w:ascii="Cambria" w:hAnsi="Cambria"/>
          <w:noProof/>
          <w:lang w:val="en-US"/>
        </w:rPr>
        <w:tab/>
        <w:t xml:space="preserve">Pohl J, Lotterer E, Balzer C, </w:t>
      </w:r>
      <w:r w:rsidRPr="00AE04BA">
        <w:rPr>
          <w:rFonts w:ascii="Cambria" w:hAnsi="Cambria"/>
          <w:i/>
          <w:iCs/>
          <w:noProof/>
          <w:lang w:val="en-US"/>
        </w:rPr>
        <w:t>et al.</w:t>
      </w:r>
      <w:r w:rsidRPr="00AE04BA">
        <w:rPr>
          <w:rFonts w:ascii="Cambria" w:hAnsi="Cambria"/>
          <w:noProof/>
          <w:lang w:val="en-US"/>
        </w:rPr>
        <w:t xml:space="preserve"> Computed virtual chromoendoscopy versus standard colonoscopy with targeted indigocarmine chromoscopy: a randomised multicentre trial. </w:t>
      </w:r>
      <w:r w:rsidRPr="00AE04BA">
        <w:rPr>
          <w:rFonts w:ascii="Cambria" w:hAnsi="Cambria"/>
          <w:i/>
          <w:iCs/>
          <w:noProof/>
          <w:lang w:val="en-US"/>
        </w:rPr>
        <w:t>Gut</w:t>
      </w:r>
      <w:r w:rsidRPr="00AE04BA">
        <w:rPr>
          <w:rFonts w:ascii="Cambria" w:hAnsi="Cambria"/>
          <w:noProof/>
          <w:lang w:val="en-US"/>
        </w:rPr>
        <w:t xml:space="preserve"> 2009;</w:t>
      </w:r>
      <w:r w:rsidRPr="00AE04BA">
        <w:rPr>
          <w:rFonts w:ascii="Cambria" w:hAnsi="Cambria"/>
          <w:b/>
          <w:bCs/>
          <w:noProof/>
          <w:lang w:val="en-US"/>
        </w:rPr>
        <w:t>58</w:t>
      </w:r>
      <w:r w:rsidRPr="00AE04BA">
        <w:rPr>
          <w:rFonts w:ascii="Cambria" w:hAnsi="Cambria"/>
          <w:noProof/>
          <w:lang w:val="en-US"/>
        </w:rPr>
        <w:t xml:space="preserve">:73–8. </w:t>
      </w:r>
    </w:p>
    <w:p w14:paraId="4941658A" w14:textId="623220BB"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19 </w:t>
      </w:r>
      <w:r w:rsidRPr="00AE04BA">
        <w:rPr>
          <w:rFonts w:ascii="Cambria" w:hAnsi="Cambria"/>
          <w:noProof/>
          <w:lang w:val="en-US"/>
        </w:rPr>
        <w:tab/>
        <w:t xml:space="preserve">Pellisé M, López-Cerón M, Rodríguez de Miguel C, </w:t>
      </w:r>
      <w:r w:rsidRPr="00AE04BA">
        <w:rPr>
          <w:rFonts w:ascii="Cambria" w:hAnsi="Cambria"/>
          <w:i/>
          <w:iCs/>
          <w:noProof/>
          <w:lang w:val="en-US"/>
        </w:rPr>
        <w:t>et al.</w:t>
      </w:r>
      <w:r w:rsidRPr="00AE04BA">
        <w:rPr>
          <w:rFonts w:ascii="Cambria" w:hAnsi="Cambria"/>
          <w:noProof/>
          <w:lang w:val="en-US"/>
        </w:rPr>
        <w:t xml:space="preserve"> Narrow-band imaging as an alternative to chromoendoscopy for the detection of dysplasia in long-standing inflammatory bowel disease: a prospective, randomized, crossover study. </w:t>
      </w:r>
      <w:r w:rsidRPr="00AE04BA">
        <w:rPr>
          <w:rFonts w:ascii="Cambria" w:hAnsi="Cambria"/>
          <w:i/>
          <w:iCs/>
          <w:noProof/>
          <w:lang w:val="en-US"/>
        </w:rPr>
        <w:t>Gastrointest Endosc</w:t>
      </w:r>
      <w:r w:rsidRPr="00AE04BA">
        <w:rPr>
          <w:rFonts w:ascii="Cambria" w:hAnsi="Cambria"/>
          <w:noProof/>
          <w:lang w:val="en-US"/>
        </w:rPr>
        <w:t xml:space="preserve"> 2011;</w:t>
      </w:r>
      <w:r w:rsidRPr="00AE04BA">
        <w:rPr>
          <w:rFonts w:ascii="Cambria" w:hAnsi="Cambria"/>
          <w:b/>
          <w:bCs/>
          <w:noProof/>
          <w:lang w:val="en-US"/>
        </w:rPr>
        <w:t>74</w:t>
      </w:r>
      <w:r w:rsidRPr="00AE04BA">
        <w:rPr>
          <w:rFonts w:ascii="Cambria" w:hAnsi="Cambria"/>
          <w:noProof/>
          <w:lang w:val="en-US"/>
        </w:rPr>
        <w:t xml:space="preserve">:840–8. </w:t>
      </w:r>
    </w:p>
    <w:p w14:paraId="6CE1312D" w14:textId="54F55105"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20 </w:t>
      </w:r>
      <w:r w:rsidRPr="00AE04BA">
        <w:rPr>
          <w:rFonts w:ascii="Cambria" w:hAnsi="Cambria"/>
          <w:noProof/>
          <w:lang w:val="en-US"/>
        </w:rPr>
        <w:tab/>
        <w:t xml:space="preserve">Iacucci M, Kaplan GG, Panaccione R, </w:t>
      </w:r>
      <w:r w:rsidRPr="00AE04BA">
        <w:rPr>
          <w:rFonts w:ascii="Cambria" w:hAnsi="Cambria"/>
          <w:i/>
          <w:iCs/>
          <w:noProof/>
          <w:lang w:val="en-US"/>
        </w:rPr>
        <w:t>et al.</w:t>
      </w:r>
      <w:r w:rsidRPr="00AE04BA">
        <w:rPr>
          <w:rFonts w:ascii="Cambria" w:hAnsi="Cambria"/>
          <w:noProof/>
          <w:lang w:val="en-US"/>
        </w:rPr>
        <w:t xml:space="preserve"> A Randomized Trial Comparing High Definition Colonoscopy Alone With High Definition Dye Spraying and Electronic Virtual Chromoendoscopy for Detection of Colonic Neoplastic Lesions During IBD Surveillance Colonoscopy. </w:t>
      </w:r>
      <w:r w:rsidRPr="00AE04BA">
        <w:rPr>
          <w:rFonts w:ascii="Cambria" w:hAnsi="Cambria"/>
          <w:i/>
          <w:iCs/>
          <w:noProof/>
          <w:lang w:val="en-US"/>
        </w:rPr>
        <w:t>Am J Gastroenterol</w:t>
      </w:r>
      <w:r w:rsidRPr="00AE04BA">
        <w:rPr>
          <w:rFonts w:ascii="Cambria" w:hAnsi="Cambria"/>
          <w:noProof/>
          <w:lang w:val="en-US"/>
        </w:rPr>
        <w:t xml:space="preserve"> 2018;</w:t>
      </w:r>
      <w:r w:rsidRPr="00AE04BA">
        <w:rPr>
          <w:rFonts w:ascii="Cambria" w:hAnsi="Cambria"/>
          <w:b/>
          <w:bCs/>
          <w:noProof/>
          <w:lang w:val="en-US"/>
        </w:rPr>
        <w:t>113</w:t>
      </w:r>
      <w:r w:rsidRPr="00AE04BA">
        <w:rPr>
          <w:rFonts w:ascii="Cambria" w:hAnsi="Cambria"/>
          <w:noProof/>
          <w:lang w:val="en-US"/>
        </w:rPr>
        <w:t xml:space="preserve">:225–34. </w:t>
      </w:r>
    </w:p>
    <w:p w14:paraId="16288795" w14:textId="09A9DFA4"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21 </w:t>
      </w:r>
      <w:r w:rsidRPr="00AE04BA">
        <w:rPr>
          <w:rFonts w:ascii="Cambria" w:hAnsi="Cambria"/>
          <w:noProof/>
          <w:lang w:val="en-US"/>
        </w:rPr>
        <w:tab/>
        <w:t xml:space="preserve">Laine L, Kaltenbach T, Barkun A, </w:t>
      </w:r>
      <w:r w:rsidRPr="00AE04BA">
        <w:rPr>
          <w:rFonts w:ascii="Cambria" w:hAnsi="Cambria"/>
          <w:i/>
          <w:iCs/>
          <w:noProof/>
          <w:lang w:val="en-US"/>
        </w:rPr>
        <w:t>et al.</w:t>
      </w:r>
      <w:r w:rsidRPr="00AE04BA">
        <w:rPr>
          <w:rFonts w:ascii="Cambria" w:hAnsi="Cambria"/>
          <w:noProof/>
          <w:lang w:val="en-US"/>
        </w:rPr>
        <w:t xml:space="preserve"> SCENIC International Consensus Statement on Surveillance and Management of Dysplasia in Inflammatory Bowel Disease. </w:t>
      </w:r>
      <w:r w:rsidRPr="00AE04BA">
        <w:rPr>
          <w:rFonts w:ascii="Cambria" w:hAnsi="Cambria"/>
          <w:i/>
          <w:iCs/>
          <w:noProof/>
          <w:lang w:val="en-US"/>
        </w:rPr>
        <w:t>Gastroenterology</w:t>
      </w:r>
      <w:r w:rsidRPr="00AE04BA">
        <w:rPr>
          <w:rFonts w:ascii="Cambria" w:hAnsi="Cambria"/>
          <w:noProof/>
          <w:lang w:val="en-US"/>
        </w:rPr>
        <w:t xml:space="preserve"> 2015;</w:t>
      </w:r>
      <w:r w:rsidRPr="00AE04BA">
        <w:rPr>
          <w:rFonts w:ascii="Cambria" w:hAnsi="Cambria"/>
          <w:b/>
          <w:bCs/>
          <w:noProof/>
          <w:lang w:val="en-US"/>
        </w:rPr>
        <w:t>148</w:t>
      </w:r>
      <w:r w:rsidRPr="00AE04BA">
        <w:rPr>
          <w:rFonts w:ascii="Cambria" w:hAnsi="Cambria"/>
          <w:noProof/>
          <w:lang w:val="en-US"/>
        </w:rPr>
        <w:t xml:space="preserve">:639-651.e28. </w:t>
      </w:r>
    </w:p>
    <w:p w14:paraId="2BE618E6" w14:textId="65ABC4CD"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22 </w:t>
      </w:r>
      <w:r w:rsidRPr="00AE04BA">
        <w:rPr>
          <w:rFonts w:ascii="Cambria" w:hAnsi="Cambria"/>
          <w:noProof/>
          <w:lang w:val="en-US"/>
        </w:rPr>
        <w:tab/>
        <w:t xml:space="preserve">Picco MF, Pasha S, Leighton JA, </w:t>
      </w:r>
      <w:r w:rsidRPr="00AE04BA">
        <w:rPr>
          <w:rFonts w:ascii="Cambria" w:hAnsi="Cambria"/>
          <w:i/>
          <w:iCs/>
          <w:noProof/>
          <w:lang w:val="en-US"/>
        </w:rPr>
        <w:t>et al.</w:t>
      </w:r>
      <w:r w:rsidRPr="00AE04BA">
        <w:rPr>
          <w:rFonts w:ascii="Cambria" w:hAnsi="Cambria"/>
          <w:noProof/>
          <w:lang w:val="en-US"/>
        </w:rPr>
        <w:t xml:space="preserve"> Procedure time and the determination of polypoid abnormalities with experience: Implementation of a chromoendoscopy program for surveillance colonoscopy for ulcerative colitis. </w:t>
      </w:r>
      <w:r w:rsidRPr="00AE04BA">
        <w:rPr>
          <w:rFonts w:ascii="Cambria" w:hAnsi="Cambria"/>
          <w:i/>
          <w:iCs/>
          <w:noProof/>
          <w:lang w:val="en-US"/>
        </w:rPr>
        <w:t>Inflamm Bowel Dis</w:t>
      </w:r>
      <w:r w:rsidRPr="00AE04BA">
        <w:rPr>
          <w:rFonts w:ascii="Cambria" w:hAnsi="Cambria"/>
          <w:noProof/>
          <w:lang w:val="en-US"/>
        </w:rPr>
        <w:t xml:space="preserve"> Published Online First: 2013. </w:t>
      </w:r>
    </w:p>
    <w:p w14:paraId="35560B1E" w14:textId="455EECB5"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23 </w:t>
      </w:r>
      <w:r w:rsidRPr="00AE04BA">
        <w:rPr>
          <w:rFonts w:ascii="Cambria" w:hAnsi="Cambria"/>
          <w:noProof/>
          <w:lang w:val="en-US"/>
        </w:rPr>
        <w:tab/>
        <w:t xml:space="preserve">Bisschops R, East JE, Hassan C, </w:t>
      </w:r>
      <w:r w:rsidRPr="00AE04BA">
        <w:rPr>
          <w:rFonts w:ascii="Cambria" w:hAnsi="Cambria"/>
          <w:i/>
          <w:iCs/>
          <w:noProof/>
          <w:lang w:val="en-US"/>
        </w:rPr>
        <w:t>et al.</w:t>
      </w:r>
      <w:r w:rsidRPr="00AE04BA">
        <w:rPr>
          <w:rFonts w:ascii="Cambria" w:hAnsi="Cambria"/>
          <w:noProof/>
          <w:lang w:val="en-US"/>
        </w:rPr>
        <w:t xml:space="preserve"> Advanced imaging for detection and differentiation of colorectal neoplasia: European Society of Gastrointestinal Endoscopy (ESGE) Guideline - Update 2019. </w:t>
      </w:r>
      <w:r w:rsidRPr="00AE04BA">
        <w:rPr>
          <w:rFonts w:ascii="Cambria" w:hAnsi="Cambria"/>
          <w:i/>
          <w:iCs/>
          <w:noProof/>
          <w:lang w:val="en-US"/>
        </w:rPr>
        <w:t>Endoscopy</w:t>
      </w:r>
      <w:r w:rsidRPr="00AE04BA">
        <w:rPr>
          <w:rFonts w:ascii="Cambria" w:hAnsi="Cambria"/>
          <w:noProof/>
          <w:lang w:val="en-US"/>
        </w:rPr>
        <w:t xml:space="preserve"> 2019;</w:t>
      </w:r>
      <w:r w:rsidRPr="00AE04BA">
        <w:rPr>
          <w:rFonts w:ascii="Cambria" w:hAnsi="Cambria"/>
          <w:b/>
          <w:bCs/>
          <w:noProof/>
          <w:lang w:val="en-US"/>
        </w:rPr>
        <w:t>51</w:t>
      </w:r>
      <w:r w:rsidRPr="00AE04BA">
        <w:rPr>
          <w:rFonts w:ascii="Cambria" w:hAnsi="Cambria"/>
          <w:noProof/>
          <w:lang w:val="en-US"/>
        </w:rPr>
        <w:t xml:space="preserve">:1155–79. </w:t>
      </w:r>
    </w:p>
    <w:p w14:paraId="40F55664" w14:textId="451157B7"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24 </w:t>
      </w:r>
      <w:r w:rsidRPr="00AE04BA">
        <w:rPr>
          <w:rFonts w:ascii="Cambria" w:hAnsi="Cambria"/>
          <w:noProof/>
          <w:lang w:val="en-US"/>
        </w:rPr>
        <w:tab/>
        <w:t xml:space="preserve">Ignjatovic A, East JE, Subramanian V, </w:t>
      </w:r>
      <w:r w:rsidRPr="00AE04BA">
        <w:rPr>
          <w:rFonts w:ascii="Cambria" w:hAnsi="Cambria"/>
          <w:i/>
          <w:iCs/>
          <w:noProof/>
          <w:lang w:val="en-US"/>
        </w:rPr>
        <w:t>et al.</w:t>
      </w:r>
      <w:r w:rsidRPr="00AE04BA">
        <w:rPr>
          <w:rFonts w:ascii="Cambria" w:hAnsi="Cambria"/>
          <w:noProof/>
          <w:lang w:val="en-US"/>
        </w:rPr>
        <w:t xml:space="preserve"> Narrow Band Imaging for Detection of Dysplasia in Colitis: A Randomized Controlled Trial. </w:t>
      </w:r>
      <w:r w:rsidRPr="00AE04BA">
        <w:rPr>
          <w:rFonts w:ascii="Cambria" w:hAnsi="Cambria"/>
          <w:i/>
          <w:iCs/>
          <w:noProof/>
          <w:lang w:val="en-US"/>
        </w:rPr>
        <w:t>Am J Gastroenterol</w:t>
      </w:r>
      <w:r w:rsidRPr="00AE04BA">
        <w:rPr>
          <w:rFonts w:ascii="Cambria" w:hAnsi="Cambria"/>
          <w:noProof/>
          <w:lang w:val="en-US"/>
        </w:rPr>
        <w:t xml:space="preserve"> 2012;</w:t>
      </w:r>
      <w:r w:rsidRPr="00AE04BA">
        <w:rPr>
          <w:rFonts w:ascii="Cambria" w:hAnsi="Cambria"/>
          <w:b/>
          <w:bCs/>
          <w:noProof/>
          <w:lang w:val="en-US"/>
        </w:rPr>
        <w:t>107</w:t>
      </w:r>
      <w:r w:rsidRPr="00AE04BA">
        <w:rPr>
          <w:rFonts w:ascii="Cambria" w:hAnsi="Cambria"/>
          <w:noProof/>
          <w:lang w:val="en-US"/>
        </w:rPr>
        <w:t xml:space="preserve">:885–90. </w:t>
      </w:r>
    </w:p>
    <w:p w14:paraId="1F0001AA" w14:textId="6C459927"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25 </w:t>
      </w:r>
      <w:r w:rsidRPr="00AE04BA">
        <w:rPr>
          <w:rFonts w:ascii="Cambria" w:hAnsi="Cambria"/>
          <w:noProof/>
          <w:lang w:val="en-US"/>
        </w:rPr>
        <w:tab/>
        <w:t xml:space="preserve">Gallinger Z, Rumman A, Murthy S, </w:t>
      </w:r>
      <w:r w:rsidRPr="00AE04BA">
        <w:rPr>
          <w:rFonts w:ascii="Cambria" w:hAnsi="Cambria"/>
          <w:i/>
          <w:iCs/>
          <w:noProof/>
          <w:lang w:val="en-US"/>
        </w:rPr>
        <w:t>et al.</w:t>
      </w:r>
      <w:r w:rsidRPr="00AE04BA">
        <w:rPr>
          <w:rFonts w:ascii="Cambria" w:hAnsi="Cambria"/>
          <w:noProof/>
          <w:lang w:val="en-US"/>
        </w:rPr>
        <w:t xml:space="preserve"> Perspectives on endoscopic surveillance of dysplasia in inflammatory bowel disease: a survey of academic gastroenterologists. </w:t>
      </w:r>
      <w:r w:rsidRPr="00AE04BA">
        <w:rPr>
          <w:rFonts w:ascii="Cambria" w:hAnsi="Cambria"/>
          <w:i/>
          <w:iCs/>
          <w:noProof/>
          <w:lang w:val="en-US"/>
        </w:rPr>
        <w:t>Endosc Int Open</w:t>
      </w:r>
      <w:r w:rsidRPr="00AE04BA">
        <w:rPr>
          <w:rFonts w:ascii="Cambria" w:hAnsi="Cambria"/>
          <w:noProof/>
          <w:lang w:val="en-US"/>
        </w:rPr>
        <w:t xml:space="preserve"> 2017;</w:t>
      </w:r>
      <w:r w:rsidRPr="00AE04BA">
        <w:rPr>
          <w:rFonts w:ascii="Cambria" w:hAnsi="Cambria"/>
          <w:b/>
          <w:bCs/>
          <w:noProof/>
          <w:lang w:val="en-US"/>
        </w:rPr>
        <w:t>05</w:t>
      </w:r>
      <w:r w:rsidRPr="00AE04BA">
        <w:rPr>
          <w:rFonts w:ascii="Cambria" w:hAnsi="Cambria"/>
          <w:noProof/>
          <w:lang w:val="en-US"/>
        </w:rPr>
        <w:t xml:space="preserve">:E974–9. </w:t>
      </w:r>
    </w:p>
    <w:p w14:paraId="5E4C873C" w14:textId="682B9D7C"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26 </w:t>
      </w:r>
      <w:r w:rsidRPr="00AE04BA">
        <w:rPr>
          <w:rFonts w:ascii="Cambria" w:hAnsi="Cambria"/>
          <w:noProof/>
          <w:lang w:val="en-US"/>
        </w:rPr>
        <w:tab/>
        <w:t xml:space="preserve">Vienne A, Simon T, Cosnes J, </w:t>
      </w:r>
      <w:r w:rsidRPr="00AE04BA">
        <w:rPr>
          <w:rFonts w:ascii="Cambria" w:hAnsi="Cambria"/>
          <w:i/>
          <w:iCs/>
          <w:noProof/>
          <w:lang w:val="en-US"/>
        </w:rPr>
        <w:t>et al.</w:t>
      </w:r>
      <w:r w:rsidRPr="00AE04BA">
        <w:rPr>
          <w:rFonts w:ascii="Cambria" w:hAnsi="Cambria"/>
          <w:noProof/>
          <w:lang w:val="en-US"/>
        </w:rPr>
        <w:t xml:space="preserve"> Low prevalence of colonoscopic surveillance of inflammatory bowel disease patients with longstanding extensive colitis: a clinical practice survey nested in the CESAME cohort. </w:t>
      </w:r>
      <w:r w:rsidRPr="00AE04BA">
        <w:rPr>
          <w:rFonts w:ascii="Cambria" w:hAnsi="Cambria"/>
          <w:i/>
          <w:iCs/>
          <w:noProof/>
          <w:lang w:val="en-US"/>
        </w:rPr>
        <w:t>Aliment Pharmacol Ther</w:t>
      </w:r>
      <w:r w:rsidRPr="00AE04BA">
        <w:rPr>
          <w:rFonts w:ascii="Cambria" w:hAnsi="Cambria"/>
          <w:noProof/>
          <w:lang w:val="en-US"/>
        </w:rPr>
        <w:t xml:space="preserve"> 2011;</w:t>
      </w:r>
      <w:r w:rsidRPr="00AE04BA">
        <w:rPr>
          <w:rFonts w:ascii="Cambria" w:hAnsi="Cambria"/>
          <w:b/>
          <w:bCs/>
          <w:noProof/>
          <w:lang w:val="en-US"/>
        </w:rPr>
        <w:t>34</w:t>
      </w:r>
      <w:r w:rsidRPr="00AE04BA">
        <w:rPr>
          <w:rFonts w:ascii="Cambria" w:hAnsi="Cambria"/>
          <w:noProof/>
          <w:lang w:val="en-US"/>
        </w:rPr>
        <w:t xml:space="preserve">:188–95. </w:t>
      </w:r>
    </w:p>
    <w:p w14:paraId="38ECF6A4" w14:textId="7FA14045"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27 </w:t>
      </w:r>
      <w:r w:rsidRPr="00AE04BA">
        <w:rPr>
          <w:rFonts w:ascii="Cambria" w:hAnsi="Cambria"/>
          <w:noProof/>
          <w:lang w:val="en-US"/>
        </w:rPr>
        <w:tab/>
        <w:t xml:space="preserve">Watanabe T, Ajioka Y, Mitsuyama K, </w:t>
      </w:r>
      <w:r w:rsidRPr="00AE04BA">
        <w:rPr>
          <w:rFonts w:ascii="Cambria" w:hAnsi="Cambria"/>
          <w:i/>
          <w:iCs/>
          <w:noProof/>
          <w:lang w:val="en-US"/>
        </w:rPr>
        <w:t>et al.</w:t>
      </w:r>
      <w:r w:rsidRPr="00AE04BA">
        <w:rPr>
          <w:rFonts w:ascii="Cambria" w:hAnsi="Cambria"/>
          <w:noProof/>
          <w:lang w:val="en-US"/>
        </w:rPr>
        <w:t xml:space="preserve"> Comparison of Targeted vs Random Biopsies for Surveillance of Ulcerative Colitis-Associated Colorectal Cancer. </w:t>
      </w:r>
      <w:r w:rsidRPr="00AE04BA">
        <w:rPr>
          <w:rFonts w:ascii="Cambria" w:hAnsi="Cambria"/>
          <w:i/>
          <w:iCs/>
          <w:noProof/>
          <w:lang w:val="en-US"/>
        </w:rPr>
        <w:t>Gastroenterology</w:t>
      </w:r>
      <w:r w:rsidRPr="00AE04BA">
        <w:rPr>
          <w:rFonts w:ascii="Cambria" w:hAnsi="Cambria"/>
          <w:noProof/>
          <w:lang w:val="en-US"/>
        </w:rPr>
        <w:t xml:space="preserve"> 2016;</w:t>
      </w:r>
      <w:r w:rsidRPr="00AE04BA">
        <w:rPr>
          <w:rFonts w:ascii="Cambria" w:hAnsi="Cambria"/>
          <w:b/>
          <w:bCs/>
          <w:noProof/>
          <w:lang w:val="en-US"/>
        </w:rPr>
        <w:t>151</w:t>
      </w:r>
      <w:r w:rsidRPr="00AE04BA">
        <w:rPr>
          <w:rFonts w:ascii="Cambria" w:hAnsi="Cambria"/>
          <w:noProof/>
          <w:lang w:val="en-US"/>
        </w:rPr>
        <w:t xml:space="preserve">:1122–30. </w:t>
      </w:r>
    </w:p>
    <w:p w14:paraId="75BED65B" w14:textId="42778E77"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28 </w:t>
      </w:r>
      <w:r w:rsidRPr="00AE04BA">
        <w:rPr>
          <w:rFonts w:ascii="Cambria" w:hAnsi="Cambria"/>
          <w:noProof/>
          <w:lang w:val="en-US"/>
        </w:rPr>
        <w:tab/>
        <w:t xml:space="preserve">Gasia MF, Ghosh S, Panaccione R, </w:t>
      </w:r>
      <w:r w:rsidRPr="00AE04BA">
        <w:rPr>
          <w:rFonts w:ascii="Cambria" w:hAnsi="Cambria"/>
          <w:i/>
          <w:iCs/>
          <w:noProof/>
          <w:lang w:val="en-US"/>
        </w:rPr>
        <w:t>et al.</w:t>
      </w:r>
      <w:r w:rsidRPr="00AE04BA">
        <w:rPr>
          <w:rFonts w:ascii="Cambria" w:hAnsi="Cambria"/>
          <w:noProof/>
          <w:lang w:val="en-US"/>
        </w:rPr>
        <w:t xml:space="preserve"> Targeted Biopsies Identify Larger Proportions of Patients With Colonic Neoplasia Undergoing High-Definition Colonoscopy, Dye Chromoendoscopy, or Electronic Virtual Chromoendoscopy. </w:t>
      </w:r>
      <w:r w:rsidRPr="00AE04BA">
        <w:rPr>
          <w:rFonts w:ascii="Cambria" w:hAnsi="Cambria"/>
          <w:i/>
          <w:iCs/>
          <w:noProof/>
          <w:lang w:val="en-US"/>
        </w:rPr>
        <w:t>Clin Gastroenterol Hepatol</w:t>
      </w:r>
      <w:r w:rsidRPr="00AE04BA">
        <w:rPr>
          <w:rFonts w:ascii="Cambria" w:hAnsi="Cambria"/>
          <w:noProof/>
          <w:lang w:val="en-US"/>
        </w:rPr>
        <w:t xml:space="preserve"> 2016;</w:t>
      </w:r>
      <w:r w:rsidRPr="00AE04BA">
        <w:rPr>
          <w:rFonts w:ascii="Cambria" w:hAnsi="Cambria"/>
          <w:b/>
          <w:bCs/>
          <w:noProof/>
          <w:lang w:val="en-US"/>
        </w:rPr>
        <w:t>14</w:t>
      </w:r>
      <w:r w:rsidRPr="00AE04BA">
        <w:rPr>
          <w:rFonts w:ascii="Cambria" w:hAnsi="Cambria"/>
          <w:noProof/>
          <w:lang w:val="en-US"/>
        </w:rPr>
        <w:t xml:space="preserve">:704-712.e4. </w:t>
      </w:r>
    </w:p>
    <w:p w14:paraId="353246AA" w14:textId="260C5723" w:rsidR="00AE04BA" w:rsidRPr="00AE04BA" w:rsidRDefault="00AE04BA" w:rsidP="00AE04BA">
      <w:pPr>
        <w:widowControl w:val="0"/>
        <w:autoSpaceDE w:val="0"/>
        <w:autoSpaceDN w:val="0"/>
        <w:adjustRightInd w:val="0"/>
        <w:ind w:left="640" w:hanging="640"/>
        <w:rPr>
          <w:rFonts w:ascii="Cambria" w:hAnsi="Cambria"/>
          <w:noProof/>
          <w:lang w:val="en-US"/>
        </w:rPr>
      </w:pPr>
      <w:r w:rsidRPr="00AE04BA">
        <w:rPr>
          <w:rFonts w:ascii="Cambria" w:hAnsi="Cambria"/>
          <w:noProof/>
          <w:lang w:val="en-US"/>
        </w:rPr>
        <w:t xml:space="preserve">29 </w:t>
      </w:r>
      <w:r w:rsidRPr="00AE04BA">
        <w:rPr>
          <w:rFonts w:ascii="Cambria" w:hAnsi="Cambria"/>
          <w:noProof/>
          <w:lang w:val="en-US"/>
        </w:rPr>
        <w:tab/>
        <w:t xml:space="preserve">Jung Y, Joo Y-E, Kim HG, </w:t>
      </w:r>
      <w:r w:rsidRPr="00AE04BA">
        <w:rPr>
          <w:rFonts w:ascii="Cambria" w:hAnsi="Cambria"/>
          <w:i/>
          <w:iCs/>
          <w:noProof/>
          <w:lang w:val="en-US"/>
        </w:rPr>
        <w:t>et al.</w:t>
      </w:r>
      <w:r w:rsidRPr="00AE04BA">
        <w:rPr>
          <w:rFonts w:ascii="Cambria" w:hAnsi="Cambria"/>
          <w:noProof/>
          <w:lang w:val="en-US"/>
        </w:rPr>
        <w:t xml:space="preserve"> Relationship between the endoscopic withdrawal time and adenoma/polyp detection rate in individual colonic segments: a KASID multicenter study. </w:t>
      </w:r>
      <w:r w:rsidRPr="00AE04BA">
        <w:rPr>
          <w:rFonts w:ascii="Cambria" w:hAnsi="Cambria"/>
          <w:i/>
          <w:iCs/>
          <w:noProof/>
          <w:lang w:val="en-US"/>
        </w:rPr>
        <w:t>Gastrointest Endosc</w:t>
      </w:r>
      <w:r w:rsidRPr="00AE04BA">
        <w:rPr>
          <w:rFonts w:ascii="Cambria" w:hAnsi="Cambria"/>
          <w:noProof/>
          <w:lang w:val="en-US"/>
        </w:rPr>
        <w:t xml:space="preserve"> 2019;</w:t>
      </w:r>
      <w:r w:rsidRPr="00AE04BA">
        <w:rPr>
          <w:rFonts w:ascii="Cambria" w:hAnsi="Cambria"/>
          <w:b/>
          <w:bCs/>
          <w:noProof/>
          <w:lang w:val="en-US"/>
        </w:rPr>
        <w:t>89</w:t>
      </w:r>
      <w:r w:rsidRPr="00AE04BA">
        <w:rPr>
          <w:rFonts w:ascii="Cambria" w:hAnsi="Cambria"/>
          <w:noProof/>
          <w:lang w:val="en-US"/>
        </w:rPr>
        <w:t xml:space="preserve">:523–30. </w:t>
      </w:r>
    </w:p>
    <w:p w14:paraId="64CDA6EC" w14:textId="502B3E92" w:rsidR="00AE04BA" w:rsidRPr="00AE04BA" w:rsidRDefault="00AE04BA" w:rsidP="00AE04BA">
      <w:pPr>
        <w:widowControl w:val="0"/>
        <w:autoSpaceDE w:val="0"/>
        <w:autoSpaceDN w:val="0"/>
        <w:adjustRightInd w:val="0"/>
        <w:ind w:left="640" w:hanging="640"/>
        <w:rPr>
          <w:rFonts w:ascii="Cambria" w:hAnsi="Cambria"/>
          <w:noProof/>
        </w:rPr>
      </w:pPr>
      <w:r w:rsidRPr="00AE04BA">
        <w:rPr>
          <w:rFonts w:ascii="Cambria" w:hAnsi="Cambria"/>
          <w:noProof/>
          <w:lang w:val="en-US"/>
        </w:rPr>
        <w:t xml:space="preserve">30 </w:t>
      </w:r>
      <w:r w:rsidRPr="00AE04BA">
        <w:rPr>
          <w:rFonts w:ascii="Cambria" w:hAnsi="Cambria"/>
          <w:noProof/>
          <w:lang w:val="en-US"/>
        </w:rPr>
        <w:tab/>
        <w:t xml:space="preserve">Iacucci M, Cannatelli R, Tontini GE, </w:t>
      </w:r>
      <w:r w:rsidRPr="00AE04BA">
        <w:rPr>
          <w:rFonts w:ascii="Cambria" w:hAnsi="Cambria"/>
          <w:i/>
          <w:iCs/>
          <w:noProof/>
          <w:lang w:val="en-US"/>
        </w:rPr>
        <w:t>et al.</w:t>
      </w:r>
      <w:r w:rsidRPr="00AE04BA">
        <w:rPr>
          <w:rFonts w:ascii="Cambria" w:hAnsi="Cambria"/>
          <w:noProof/>
          <w:lang w:val="en-US"/>
        </w:rPr>
        <w:t xml:space="preserve"> Improving the quality of surveillance colonoscopy in inflammatory bowel disease. </w:t>
      </w:r>
      <w:r w:rsidRPr="00AE04BA">
        <w:rPr>
          <w:rFonts w:ascii="Cambria" w:hAnsi="Cambria"/>
          <w:i/>
          <w:iCs/>
          <w:noProof/>
          <w:lang w:val="en-US"/>
        </w:rPr>
        <w:t>Lancet Gastroenterol Hepatol</w:t>
      </w:r>
      <w:r w:rsidRPr="00AE04BA">
        <w:rPr>
          <w:rFonts w:ascii="Cambria" w:hAnsi="Cambria"/>
          <w:noProof/>
          <w:lang w:val="en-US"/>
        </w:rPr>
        <w:t xml:space="preserve"> 2019;</w:t>
      </w:r>
      <w:r w:rsidRPr="00AE04BA">
        <w:rPr>
          <w:rFonts w:ascii="Cambria" w:hAnsi="Cambria"/>
          <w:b/>
          <w:bCs/>
          <w:noProof/>
          <w:lang w:val="en-US"/>
        </w:rPr>
        <w:t>4</w:t>
      </w:r>
      <w:r w:rsidRPr="00AE04BA">
        <w:rPr>
          <w:rFonts w:ascii="Cambria" w:hAnsi="Cambria"/>
          <w:noProof/>
          <w:lang w:val="en-US"/>
        </w:rPr>
        <w:t xml:space="preserve">:971–83. </w:t>
      </w:r>
    </w:p>
    <w:p w14:paraId="0031337E" w14:textId="58A34595" w:rsidR="009B65EA" w:rsidRDefault="0056745A" w:rsidP="00AE04BA">
      <w:pPr>
        <w:widowControl w:val="0"/>
        <w:autoSpaceDE w:val="0"/>
        <w:autoSpaceDN w:val="0"/>
        <w:adjustRightInd w:val="0"/>
        <w:ind w:left="640" w:hanging="640"/>
      </w:pPr>
      <w:r>
        <w:fldChar w:fldCharType="end"/>
      </w:r>
    </w:p>
    <w:p w14:paraId="5BB4BB93" w14:textId="77777777" w:rsidR="009B65EA" w:rsidRDefault="009B65EA" w:rsidP="00494489">
      <w:pPr>
        <w:widowControl w:val="0"/>
        <w:autoSpaceDE w:val="0"/>
        <w:autoSpaceDN w:val="0"/>
        <w:adjustRightInd w:val="0"/>
        <w:ind w:left="640" w:hanging="640"/>
      </w:pPr>
    </w:p>
    <w:p w14:paraId="3F8CE4FF" w14:textId="77777777" w:rsidR="009B65EA" w:rsidRDefault="009B65EA" w:rsidP="00494489">
      <w:pPr>
        <w:widowControl w:val="0"/>
        <w:autoSpaceDE w:val="0"/>
        <w:autoSpaceDN w:val="0"/>
        <w:adjustRightInd w:val="0"/>
        <w:ind w:left="640" w:hanging="640"/>
      </w:pPr>
    </w:p>
    <w:p w14:paraId="1B39E860" w14:textId="77777777" w:rsidR="009B65EA" w:rsidRDefault="009B65EA" w:rsidP="00494489">
      <w:pPr>
        <w:widowControl w:val="0"/>
        <w:autoSpaceDE w:val="0"/>
        <w:autoSpaceDN w:val="0"/>
        <w:adjustRightInd w:val="0"/>
        <w:ind w:left="640" w:hanging="640"/>
      </w:pPr>
    </w:p>
    <w:p w14:paraId="17946745" w14:textId="77777777" w:rsidR="009B65EA" w:rsidRDefault="009B65EA" w:rsidP="00494489">
      <w:pPr>
        <w:widowControl w:val="0"/>
        <w:autoSpaceDE w:val="0"/>
        <w:autoSpaceDN w:val="0"/>
        <w:adjustRightInd w:val="0"/>
        <w:ind w:left="640" w:hanging="640"/>
      </w:pPr>
    </w:p>
    <w:p w14:paraId="334A84FA" w14:textId="77777777" w:rsidR="009B65EA" w:rsidRDefault="009B65EA" w:rsidP="00494489">
      <w:pPr>
        <w:widowControl w:val="0"/>
        <w:autoSpaceDE w:val="0"/>
        <w:autoSpaceDN w:val="0"/>
        <w:adjustRightInd w:val="0"/>
        <w:ind w:left="640" w:hanging="640"/>
      </w:pPr>
    </w:p>
    <w:p w14:paraId="4CDC4C87" w14:textId="77777777" w:rsidR="009B65EA" w:rsidRDefault="009B65EA" w:rsidP="00494489">
      <w:pPr>
        <w:widowControl w:val="0"/>
        <w:autoSpaceDE w:val="0"/>
        <w:autoSpaceDN w:val="0"/>
        <w:adjustRightInd w:val="0"/>
        <w:ind w:left="640" w:hanging="640"/>
      </w:pPr>
    </w:p>
    <w:p w14:paraId="2E039D42" w14:textId="77777777" w:rsidR="009B65EA" w:rsidRDefault="009B65EA" w:rsidP="00494489">
      <w:pPr>
        <w:widowControl w:val="0"/>
        <w:autoSpaceDE w:val="0"/>
        <w:autoSpaceDN w:val="0"/>
        <w:adjustRightInd w:val="0"/>
        <w:ind w:left="640" w:hanging="640"/>
      </w:pPr>
    </w:p>
    <w:p w14:paraId="2E361306" w14:textId="243A5028" w:rsidR="002011AA" w:rsidRPr="002011AA" w:rsidRDefault="009012E3" w:rsidP="009B65EA">
      <w:pPr>
        <w:widowControl w:val="0"/>
        <w:autoSpaceDE w:val="0"/>
        <w:autoSpaceDN w:val="0"/>
        <w:adjustRightInd w:val="0"/>
        <w:ind w:left="640" w:hanging="640"/>
      </w:pPr>
      <w:r>
        <w:br w:type="column"/>
      </w:r>
    </w:p>
    <w:sectPr w:rsidR="002011AA" w:rsidRPr="002011AA" w:rsidSect="00EE6321">
      <w:footerReference w:type="even" r:id="rId9"/>
      <w:footerReference w:type="default" r:id="rId10"/>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C2FE9" w14:textId="77777777" w:rsidR="00A859E4" w:rsidRDefault="00A859E4" w:rsidP="00BF0A17">
      <w:r>
        <w:separator/>
      </w:r>
    </w:p>
  </w:endnote>
  <w:endnote w:type="continuationSeparator" w:id="0">
    <w:p w14:paraId="7AEECD8B" w14:textId="77777777" w:rsidR="00A859E4" w:rsidRDefault="00A859E4" w:rsidP="00BF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D43E1" w14:textId="77777777" w:rsidR="00A859E4" w:rsidRDefault="00A859E4" w:rsidP="00DC4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3E537" w14:textId="77777777" w:rsidR="00A859E4" w:rsidRDefault="00A859E4" w:rsidP="00DC4E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2152" w14:textId="77777777" w:rsidR="00A859E4" w:rsidRDefault="00A859E4" w:rsidP="00DC4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65AB">
      <w:rPr>
        <w:rStyle w:val="PageNumber"/>
        <w:noProof/>
      </w:rPr>
      <w:t>1</w:t>
    </w:r>
    <w:r>
      <w:rPr>
        <w:rStyle w:val="PageNumber"/>
      </w:rPr>
      <w:fldChar w:fldCharType="end"/>
    </w:r>
  </w:p>
  <w:p w14:paraId="105C76FA" w14:textId="77777777" w:rsidR="00A859E4" w:rsidRDefault="00A859E4" w:rsidP="00DC4E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0823D" w14:textId="77777777" w:rsidR="00A859E4" w:rsidRDefault="00A859E4" w:rsidP="00BF0A17">
      <w:r>
        <w:separator/>
      </w:r>
    </w:p>
  </w:footnote>
  <w:footnote w:type="continuationSeparator" w:id="0">
    <w:p w14:paraId="6374406E" w14:textId="77777777" w:rsidR="00A859E4" w:rsidRDefault="00A859E4" w:rsidP="00BF0A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36C"/>
    <w:multiLevelType w:val="hybridMultilevel"/>
    <w:tmpl w:val="A0DA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A5E33"/>
    <w:multiLevelType w:val="hybridMultilevel"/>
    <w:tmpl w:val="33FA5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6B68A2"/>
    <w:multiLevelType w:val="hybridMultilevel"/>
    <w:tmpl w:val="DD00D62E"/>
    <w:lvl w:ilvl="0" w:tplc="34E242D6">
      <w:start w:val="1"/>
      <w:numFmt w:val="bullet"/>
      <w:lvlText w:val="•"/>
      <w:lvlJc w:val="left"/>
      <w:pPr>
        <w:tabs>
          <w:tab w:val="num" w:pos="720"/>
        </w:tabs>
        <w:ind w:left="720" w:hanging="360"/>
      </w:pPr>
      <w:rPr>
        <w:rFonts w:ascii="Arial" w:hAnsi="Arial" w:hint="default"/>
      </w:rPr>
    </w:lvl>
    <w:lvl w:ilvl="1" w:tplc="6E4A9D7C" w:tentative="1">
      <w:start w:val="1"/>
      <w:numFmt w:val="bullet"/>
      <w:lvlText w:val="•"/>
      <w:lvlJc w:val="left"/>
      <w:pPr>
        <w:tabs>
          <w:tab w:val="num" w:pos="1440"/>
        </w:tabs>
        <w:ind w:left="1440" w:hanging="360"/>
      </w:pPr>
      <w:rPr>
        <w:rFonts w:ascii="Arial" w:hAnsi="Arial" w:hint="default"/>
      </w:rPr>
    </w:lvl>
    <w:lvl w:ilvl="2" w:tplc="21FC2AFA" w:tentative="1">
      <w:start w:val="1"/>
      <w:numFmt w:val="bullet"/>
      <w:lvlText w:val="•"/>
      <w:lvlJc w:val="left"/>
      <w:pPr>
        <w:tabs>
          <w:tab w:val="num" w:pos="2160"/>
        </w:tabs>
        <w:ind w:left="2160" w:hanging="360"/>
      </w:pPr>
      <w:rPr>
        <w:rFonts w:ascii="Arial" w:hAnsi="Arial" w:hint="default"/>
      </w:rPr>
    </w:lvl>
    <w:lvl w:ilvl="3" w:tplc="261C4224" w:tentative="1">
      <w:start w:val="1"/>
      <w:numFmt w:val="bullet"/>
      <w:lvlText w:val="•"/>
      <w:lvlJc w:val="left"/>
      <w:pPr>
        <w:tabs>
          <w:tab w:val="num" w:pos="2880"/>
        </w:tabs>
        <w:ind w:left="2880" w:hanging="360"/>
      </w:pPr>
      <w:rPr>
        <w:rFonts w:ascii="Arial" w:hAnsi="Arial" w:hint="default"/>
      </w:rPr>
    </w:lvl>
    <w:lvl w:ilvl="4" w:tplc="E4F4FD0A" w:tentative="1">
      <w:start w:val="1"/>
      <w:numFmt w:val="bullet"/>
      <w:lvlText w:val="•"/>
      <w:lvlJc w:val="left"/>
      <w:pPr>
        <w:tabs>
          <w:tab w:val="num" w:pos="3600"/>
        </w:tabs>
        <w:ind w:left="3600" w:hanging="360"/>
      </w:pPr>
      <w:rPr>
        <w:rFonts w:ascii="Arial" w:hAnsi="Arial" w:hint="default"/>
      </w:rPr>
    </w:lvl>
    <w:lvl w:ilvl="5" w:tplc="F6105418" w:tentative="1">
      <w:start w:val="1"/>
      <w:numFmt w:val="bullet"/>
      <w:lvlText w:val="•"/>
      <w:lvlJc w:val="left"/>
      <w:pPr>
        <w:tabs>
          <w:tab w:val="num" w:pos="4320"/>
        </w:tabs>
        <w:ind w:left="4320" w:hanging="360"/>
      </w:pPr>
      <w:rPr>
        <w:rFonts w:ascii="Arial" w:hAnsi="Arial" w:hint="default"/>
      </w:rPr>
    </w:lvl>
    <w:lvl w:ilvl="6" w:tplc="988A5FCE" w:tentative="1">
      <w:start w:val="1"/>
      <w:numFmt w:val="bullet"/>
      <w:lvlText w:val="•"/>
      <w:lvlJc w:val="left"/>
      <w:pPr>
        <w:tabs>
          <w:tab w:val="num" w:pos="5040"/>
        </w:tabs>
        <w:ind w:left="5040" w:hanging="360"/>
      </w:pPr>
      <w:rPr>
        <w:rFonts w:ascii="Arial" w:hAnsi="Arial" w:hint="default"/>
      </w:rPr>
    </w:lvl>
    <w:lvl w:ilvl="7" w:tplc="D61ECF7A" w:tentative="1">
      <w:start w:val="1"/>
      <w:numFmt w:val="bullet"/>
      <w:lvlText w:val="•"/>
      <w:lvlJc w:val="left"/>
      <w:pPr>
        <w:tabs>
          <w:tab w:val="num" w:pos="5760"/>
        </w:tabs>
        <w:ind w:left="5760" w:hanging="360"/>
      </w:pPr>
      <w:rPr>
        <w:rFonts w:ascii="Arial" w:hAnsi="Arial" w:hint="default"/>
      </w:rPr>
    </w:lvl>
    <w:lvl w:ilvl="8" w:tplc="2B12DF74" w:tentative="1">
      <w:start w:val="1"/>
      <w:numFmt w:val="bullet"/>
      <w:lvlText w:val="•"/>
      <w:lvlJc w:val="left"/>
      <w:pPr>
        <w:tabs>
          <w:tab w:val="num" w:pos="6480"/>
        </w:tabs>
        <w:ind w:left="6480" w:hanging="360"/>
      </w:pPr>
      <w:rPr>
        <w:rFonts w:ascii="Arial" w:hAnsi="Arial" w:hint="default"/>
      </w:rPr>
    </w:lvl>
  </w:abstractNum>
  <w:abstractNum w:abstractNumId="3">
    <w:nsid w:val="30F846CD"/>
    <w:multiLevelType w:val="hybridMultilevel"/>
    <w:tmpl w:val="94748E06"/>
    <w:lvl w:ilvl="0" w:tplc="B39CEF02">
      <w:start w:val="1"/>
      <w:numFmt w:val="bullet"/>
      <w:lvlText w:val="•"/>
      <w:lvlJc w:val="left"/>
      <w:pPr>
        <w:tabs>
          <w:tab w:val="num" w:pos="720"/>
        </w:tabs>
        <w:ind w:left="720" w:hanging="360"/>
      </w:pPr>
      <w:rPr>
        <w:rFonts w:ascii="Arial" w:hAnsi="Arial" w:hint="default"/>
      </w:rPr>
    </w:lvl>
    <w:lvl w:ilvl="1" w:tplc="CB8C2E84">
      <w:numFmt w:val="bullet"/>
      <w:lvlText w:val="•"/>
      <w:lvlJc w:val="left"/>
      <w:pPr>
        <w:tabs>
          <w:tab w:val="num" w:pos="1440"/>
        </w:tabs>
        <w:ind w:left="1440" w:hanging="360"/>
      </w:pPr>
      <w:rPr>
        <w:rFonts w:ascii="Arial" w:hAnsi="Arial" w:hint="default"/>
      </w:rPr>
    </w:lvl>
    <w:lvl w:ilvl="2" w:tplc="C9C66038" w:tentative="1">
      <w:start w:val="1"/>
      <w:numFmt w:val="bullet"/>
      <w:lvlText w:val="•"/>
      <w:lvlJc w:val="left"/>
      <w:pPr>
        <w:tabs>
          <w:tab w:val="num" w:pos="2160"/>
        </w:tabs>
        <w:ind w:left="2160" w:hanging="360"/>
      </w:pPr>
      <w:rPr>
        <w:rFonts w:ascii="Arial" w:hAnsi="Arial" w:hint="default"/>
      </w:rPr>
    </w:lvl>
    <w:lvl w:ilvl="3" w:tplc="B3926620" w:tentative="1">
      <w:start w:val="1"/>
      <w:numFmt w:val="bullet"/>
      <w:lvlText w:val="•"/>
      <w:lvlJc w:val="left"/>
      <w:pPr>
        <w:tabs>
          <w:tab w:val="num" w:pos="2880"/>
        </w:tabs>
        <w:ind w:left="2880" w:hanging="360"/>
      </w:pPr>
      <w:rPr>
        <w:rFonts w:ascii="Arial" w:hAnsi="Arial" w:hint="default"/>
      </w:rPr>
    </w:lvl>
    <w:lvl w:ilvl="4" w:tplc="7A6AAF08" w:tentative="1">
      <w:start w:val="1"/>
      <w:numFmt w:val="bullet"/>
      <w:lvlText w:val="•"/>
      <w:lvlJc w:val="left"/>
      <w:pPr>
        <w:tabs>
          <w:tab w:val="num" w:pos="3600"/>
        </w:tabs>
        <w:ind w:left="3600" w:hanging="360"/>
      </w:pPr>
      <w:rPr>
        <w:rFonts w:ascii="Arial" w:hAnsi="Arial" w:hint="default"/>
      </w:rPr>
    </w:lvl>
    <w:lvl w:ilvl="5" w:tplc="6F9629A2" w:tentative="1">
      <w:start w:val="1"/>
      <w:numFmt w:val="bullet"/>
      <w:lvlText w:val="•"/>
      <w:lvlJc w:val="left"/>
      <w:pPr>
        <w:tabs>
          <w:tab w:val="num" w:pos="4320"/>
        </w:tabs>
        <w:ind w:left="4320" w:hanging="360"/>
      </w:pPr>
      <w:rPr>
        <w:rFonts w:ascii="Arial" w:hAnsi="Arial" w:hint="default"/>
      </w:rPr>
    </w:lvl>
    <w:lvl w:ilvl="6" w:tplc="9C0E42E2" w:tentative="1">
      <w:start w:val="1"/>
      <w:numFmt w:val="bullet"/>
      <w:lvlText w:val="•"/>
      <w:lvlJc w:val="left"/>
      <w:pPr>
        <w:tabs>
          <w:tab w:val="num" w:pos="5040"/>
        </w:tabs>
        <w:ind w:left="5040" w:hanging="360"/>
      </w:pPr>
      <w:rPr>
        <w:rFonts w:ascii="Arial" w:hAnsi="Arial" w:hint="default"/>
      </w:rPr>
    </w:lvl>
    <w:lvl w:ilvl="7" w:tplc="53149DEA" w:tentative="1">
      <w:start w:val="1"/>
      <w:numFmt w:val="bullet"/>
      <w:lvlText w:val="•"/>
      <w:lvlJc w:val="left"/>
      <w:pPr>
        <w:tabs>
          <w:tab w:val="num" w:pos="5760"/>
        </w:tabs>
        <w:ind w:left="5760" w:hanging="360"/>
      </w:pPr>
      <w:rPr>
        <w:rFonts w:ascii="Arial" w:hAnsi="Arial" w:hint="default"/>
      </w:rPr>
    </w:lvl>
    <w:lvl w:ilvl="8" w:tplc="81181800" w:tentative="1">
      <w:start w:val="1"/>
      <w:numFmt w:val="bullet"/>
      <w:lvlText w:val="•"/>
      <w:lvlJc w:val="left"/>
      <w:pPr>
        <w:tabs>
          <w:tab w:val="num" w:pos="6480"/>
        </w:tabs>
        <w:ind w:left="6480" w:hanging="360"/>
      </w:pPr>
      <w:rPr>
        <w:rFonts w:ascii="Arial" w:hAnsi="Arial" w:hint="default"/>
      </w:rPr>
    </w:lvl>
  </w:abstractNum>
  <w:abstractNum w:abstractNumId="4">
    <w:nsid w:val="45A91B15"/>
    <w:multiLevelType w:val="hybridMultilevel"/>
    <w:tmpl w:val="4E00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12790"/>
    <w:multiLevelType w:val="hybridMultilevel"/>
    <w:tmpl w:val="2418F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857137"/>
    <w:multiLevelType w:val="hybridMultilevel"/>
    <w:tmpl w:val="81785270"/>
    <w:lvl w:ilvl="0" w:tplc="4D4005A8">
      <w:start w:val="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802D2F"/>
    <w:multiLevelType w:val="hybridMultilevel"/>
    <w:tmpl w:val="A9CC9450"/>
    <w:lvl w:ilvl="0" w:tplc="7A36D11C">
      <w:start w:val="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64EC1"/>
    <w:multiLevelType w:val="hybridMultilevel"/>
    <w:tmpl w:val="7C5AEB46"/>
    <w:lvl w:ilvl="0" w:tplc="6B0ADBEC">
      <w:start w:val="17"/>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A4792"/>
    <w:multiLevelType w:val="hybridMultilevel"/>
    <w:tmpl w:val="CAE8BFA2"/>
    <w:lvl w:ilvl="0" w:tplc="7A36D11C">
      <w:start w:val="17"/>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2"/>
  </w:num>
  <w:num w:numId="6">
    <w:abstractNumId w:val="1"/>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18"/>
    <w:rsid w:val="0000167C"/>
    <w:rsid w:val="000108A3"/>
    <w:rsid w:val="00011E89"/>
    <w:rsid w:val="00020ABB"/>
    <w:rsid w:val="00021BAC"/>
    <w:rsid w:val="0002442E"/>
    <w:rsid w:val="000365AB"/>
    <w:rsid w:val="00044DEB"/>
    <w:rsid w:val="000462D2"/>
    <w:rsid w:val="000473E6"/>
    <w:rsid w:val="0005514E"/>
    <w:rsid w:val="0005704D"/>
    <w:rsid w:val="00062982"/>
    <w:rsid w:val="00084EF8"/>
    <w:rsid w:val="0009227E"/>
    <w:rsid w:val="000A1D16"/>
    <w:rsid w:val="000B0E76"/>
    <w:rsid w:val="000B0E9D"/>
    <w:rsid w:val="000B150D"/>
    <w:rsid w:val="000C0254"/>
    <w:rsid w:val="000C34EC"/>
    <w:rsid w:val="000C42A6"/>
    <w:rsid w:val="000C7D36"/>
    <w:rsid w:val="000D11C0"/>
    <w:rsid w:val="000D276D"/>
    <w:rsid w:val="000D3703"/>
    <w:rsid w:val="000D6216"/>
    <w:rsid w:val="000D7C1B"/>
    <w:rsid w:val="000E1135"/>
    <w:rsid w:val="000E7AC8"/>
    <w:rsid w:val="00105156"/>
    <w:rsid w:val="00123E9C"/>
    <w:rsid w:val="00142C36"/>
    <w:rsid w:val="00145E9B"/>
    <w:rsid w:val="00153791"/>
    <w:rsid w:val="00155F20"/>
    <w:rsid w:val="001617B6"/>
    <w:rsid w:val="001654AB"/>
    <w:rsid w:val="00166539"/>
    <w:rsid w:val="0016754B"/>
    <w:rsid w:val="00176A6E"/>
    <w:rsid w:val="00185100"/>
    <w:rsid w:val="00195667"/>
    <w:rsid w:val="001A6423"/>
    <w:rsid w:val="001B1AE3"/>
    <w:rsid w:val="001C13B0"/>
    <w:rsid w:val="001C16AC"/>
    <w:rsid w:val="001C3589"/>
    <w:rsid w:val="001C7832"/>
    <w:rsid w:val="001D7916"/>
    <w:rsid w:val="001F1C13"/>
    <w:rsid w:val="001F1ECA"/>
    <w:rsid w:val="002011AA"/>
    <w:rsid w:val="00211A04"/>
    <w:rsid w:val="0022667C"/>
    <w:rsid w:val="002361C9"/>
    <w:rsid w:val="00241C7E"/>
    <w:rsid w:val="002423FC"/>
    <w:rsid w:val="00256E3F"/>
    <w:rsid w:val="0026771C"/>
    <w:rsid w:val="00277B1E"/>
    <w:rsid w:val="0029185C"/>
    <w:rsid w:val="002A1596"/>
    <w:rsid w:val="002B0767"/>
    <w:rsid w:val="002B27BE"/>
    <w:rsid w:val="002B3ED3"/>
    <w:rsid w:val="002B5021"/>
    <w:rsid w:val="002C29E3"/>
    <w:rsid w:val="002C4F43"/>
    <w:rsid w:val="002D43B2"/>
    <w:rsid w:val="002E59FE"/>
    <w:rsid w:val="002E6A01"/>
    <w:rsid w:val="003011BB"/>
    <w:rsid w:val="00302C85"/>
    <w:rsid w:val="00315D60"/>
    <w:rsid w:val="00322B10"/>
    <w:rsid w:val="003320DC"/>
    <w:rsid w:val="00345D0E"/>
    <w:rsid w:val="00346DF7"/>
    <w:rsid w:val="00363C7B"/>
    <w:rsid w:val="00364591"/>
    <w:rsid w:val="0036669E"/>
    <w:rsid w:val="003808BD"/>
    <w:rsid w:val="003B59D4"/>
    <w:rsid w:val="003B5C03"/>
    <w:rsid w:val="003B731A"/>
    <w:rsid w:val="003C6182"/>
    <w:rsid w:val="003D2DB4"/>
    <w:rsid w:val="003D38C9"/>
    <w:rsid w:val="003D5A6F"/>
    <w:rsid w:val="003E79F8"/>
    <w:rsid w:val="003F7EB3"/>
    <w:rsid w:val="0040406F"/>
    <w:rsid w:val="0040722E"/>
    <w:rsid w:val="00415D05"/>
    <w:rsid w:val="004204A6"/>
    <w:rsid w:val="004231E5"/>
    <w:rsid w:val="00430FA6"/>
    <w:rsid w:val="0043300B"/>
    <w:rsid w:val="00447AA7"/>
    <w:rsid w:val="004539C0"/>
    <w:rsid w:val="00456D41"/>
    <w:rsid w:val="00461EC5"/>
    <w:rsid w:val="00466541"/>
    <w:rsid w:val="0047496D"/>
    <w:rsid w:val="00485215"/>
    <w:rsid w:val="00494489"/>
    <w:rsid w:val="004A55EA"/>
    <w:rsid w:val="004B6765"/>
    <w:rsid w:val="004C4768"/>
    <w:rsid w:val="004C6649"/>
    <w:rsid w:val="004D0227"/>
    <w:rsid w:val="004F21C9"/>
    <w:rsid w:val="00505682"/>
    <w:rsid w:val="0052105C"/>
    <w:rsid w:val="0053078F"/>
    <w:rsid w:val="00537886"/>
    <w:rsid w:val="0054398B"/>
    <w:rsid w:val="00546B08"/>
    <w:rsid w:val="0055275F"/>
    <w:rsid w:val="005532A5"/>
    <w:rsid w:val="00553630"/>
    <w:rsid w:val="00556C86"/>
    <w:rsid w:val="005633A0"/>
    <w:rsid w:val="0056745A"/>
    <w:rsid w:val="0057196E"/>
    <w:rsid w:val="00572550"/>
    <w:rsid w:val="005751E8"/>
    <w:rsid w:val="005818BE"/>
    <w:rsid w:val="00583A4A"/>
    <w:rsid w:val="00586716"/>
    <w:rsid w:val="0059025D"/>
    <w:rsid w:val="00590BB6"/>
    <w:rsid w:val="0059224B"/>
    <w:rsid w:val="005939E6"/>
    <w:rsid w:val="005942AE"/>
    <w:rsid w:val="00596604"/>
    <w:rsid w:val="005A101E"/>
    <w:rsid w:val="005A108B"/>
    <w:rsid w:val="005A27FF"/>
    <w:rsid w:val="005B0BE8"/>
    <w:rsid w:val="005B6C5D"/>
    <w:rsid w:val="005D0A36"/>
    <w:rsid w:val="005D5476"/>
    <w:rsid w:val="005E2009"/>
    <w:rsid w:val="005E2615"/>
    <w:rsid w:val="005E4E84"/>
    <w:rsid w:val="005F1C15"/>
    <w:rsid w:val="005F2F01"/>
    <w:rsid w:val="00603DFA"/>
    <w:rsid w:val="00613E09"/>
    <w:rsid w:val="006209BE"/>
    <w:rsid w:val="006244CF"/>
    <w:rsid w:val="00632F85"/>
    <w:rsid w:val="00635060"/>
    <w:rsid w:val="0064543D"/>
    <w:rsid w:val="00650B67"/>
    <w:rsid w:val="00652EF5"/>
    <w:rsid w:val="006541AC"/>
    <w:rsid w:val="00660E41"/>
    <w:rsid w:val="00665C82"/>
    <w:rsid w:val="00671A4E"/>
    <w:rsid w:val="00683AC7"/>
    <w:rsid w:val="006916F8"/>
    <w:rsid w:val="00695AEA"/>
    <w:rsid w:val="006975F5"/>
    <w:rsid w:val="006B1A78"/>
    <w:rsid w:val="006B2F88"/>
    <w:rsid w:val="006C4BAD"/>
    <w:rsid w:val="006C7E1B"/>
    <w:rsid w:val="006D670C"/>
    <w:rsid w:val="006D72F8"/>
    <w:rsid w:val="006F4FDA"/>
    <w:rsid w:val="006F6B88"/>
    <w:rsid w:val="00716E56"/>
    <w:rsid w:val="00716FB9"/>
    <w:rsid w:val="00720169"/>
    <w:rsid w:val="00721390"/>
    <w:rsid w:val="0072330C"/>
    <w:rsid w:val="00726ACD"/>
    <w:rsid w:val="00726BC2"/>
    <w:rsid w:val="00730C26"/>
    <w:rsid w:val="0073392D"/>
    <w:rsid w:val="007410A9"/>
    <w:rsid w:val="00745AD0"/>
    <w:rsid w:val="00757982"/>
    <w:rsid w:val="00763842"/>
    <w:rsid w:val="007658DB"/>
    <w:rsid w:val="007760C3"/>
    <w:rsid w:val="00783280"/>
    <w:rsid w:val="00785103"/>
    <w:rsid w:val="00794AE8"/>
    <w:rsid w:val="007A5C98"/>
    <w:rsid w:val="007C4A0A"/>
    <w:rsid w:val="007F5ECF"/>
    <w:rsid w:val="00806673"/>
    <w:rsid w:val="008259D8"/>
    <w:rsid w:val="00831EDB"/>
    <w:rsid w:val="00834748"/>
    <w:rsid w:val="008440F8"/>
    <w:rsid w:val="00854A85"/>
    <w:rsid w:val="0087325A"/>
    <w:rsid w:val="00873518"/>
    <w:rsid w:val="008802CD"/>
    <w:rsid w:val="00880C1A"/>
    <w:rsid w:val="008912D7"/>
    <w:rsid w:val="00897363"/>
    <w:rsid w:val="008A4E13"/>
    <w:rsid w:val="008B26A2"/>
    <w:rsid w:val="008C1595"/>
    <w:rsid w:val="008C61E8"/>
    <w:rsid w:val="008D1EE2"/>
    <w:rsid w:val="008D4244"/>
    <w:rsid w:val="008D5097"/>
    <w:rsid w:val="008E2A26"/>
    <w:rsid w:val="008E5A76"/>
    <w:rsid w:val="009002C0"/>
    <w:rsid w:val="009012E3"/>
    <w:rsid w:val="00904FC5"/>
    <w:rsid w:val="00907398"/>
    <w:rsid w:val="00910B02"/>
    <w:rsid w:val="00910CF8"/>
    <w:rsid w:val="0091138C"/>
    <w:rsid w:val="0093782F"/>
    <w:rsid w:val="009419A6"/>
    <w:rsid w:val="0095040E"/>
    <w:rsid w:val="009504B8"/>
    <w:rsid w:val="00957A7B"/>
    <w:rsid w:val="009670B0"/>
    <w:rsid w:val="00981278"/>
    <w:rsid w:val="00990232"/>
    <w:rsid w:val="009A55FB"/>
    <w:rsid w:val="009A7BFA"/>
    <w:rsid w:val="009B65EA"/>
    <w:rsid w:val="009B7CD4"/>
    <w:rsid w:val="009C67EC"/>
    <w:rsid w:val="009D2ABB"/>
    <w:rsid w:val="009D5B8A"/>
    <w:rsid w:val="00A01BDE"/>
    <w:rsid w:val="00A156AC"/>
    <w:rsid w:val="00A17A62"/>
    <w:rsid w:val="00A2585A"/>
    <w:rsid w:val="00A30449"/>
    <w:rsid w:val="00A321DD"/>
    <w:rsid w:val="00A367C7"/>
    <w:rsid w:val="00A37B7B"/>
    <w:rsid w:val="00A4043F"/>
    <w:rsid w:val="00A433FC"/>
    <w:rsid w:val="00A44539"/>
    <w:rsid w:val="00A50FDD"/>
    <w:rsid w:val="00A578BA"/>
    <w:rsid w:val="00A859E4"/>
    <w:rsid w:val="00A85ED5"/>
    <w:rsid w:val="00A94623"/>
    <w:rsid w:val="00A95E37"/>
    <w:rsid w:val="00A96105"/>
    <w:rsid w:val="00A97364"/>
    <w:rsid w:val="00AA086F"/>
    <w:rsid w:val="00AB2412"/>
    <w:rsid w:val="00AB481C"/>
    <w:rsid w:val="00AC77AC"/>
    <w:rsid w:val="00AD2556"/>
    <w:rsid w:val="00AD6B9F"/>
    <w:rsid w:val="00AE04BA"/>
    <w:rsid w:val="00AE29BC"/>
    <w:rsid w:val="00AE3F9C"/>
    <w:rsid w:val="00AE7AF5"/>
    <w:rsid w:val="00AF49F6"/>
    <w:rsid w:val="00AF750B"/>
    <w:rsid w:val="00B03E94"/>
    <w:rsid w:val="00B066E8"/>
    <w:rsid w:val="00B143C3"/>
    <w:rsid w:val="00B176C5"/>
    <w:rsid w:val="00B2467D"/>
    <w:rsid w:val="00B262B8"/>
    <w:rsid w:val="00B30213"/>
    <w:rsid w:val="00B32309"/>
    <w:rsid w:val="00B3781D"/>
    <w:rsid w:val="00B41A0A"/>
    <w:rsid w:val="00B46630"/>
    <w:rsid w:val="00B56E43"/>
    <w:rsid w:val="00B71BFA"/>
    <w:rsid w:val="00B84A5C"/>
    <w:rsid w:val="00B84C23"/>
    <w:rsid w:val="00B90178"/>
    <w:rsid w:val="00BA20EB"/>
    <w:rsid w:val="00BA3FE3"/>
    <w:rsid w:val="00BA543C"/>
    <w:rsid w:val="00BA616C"/>
    <w:rsid w:val="00BA6ADD"/>
    <w:rsid w:val="00BB3183"/>
    <w:rsid w:val="00BB63B6"/>
    <w:rsid w:val="00BD56BA"/>
    <w:rsid w:val="00BD7BBD"/>
    <w:rsid w:val="00BE2795"/>
    <w:rsid w:val="00BE42C3"/>
    <w:rsid w:val="00BF0A17"/>
    <w:rsid w:val="00BF4C9B"/>
    <w:rsid w:val="00C02135"/>
    <w:rsid w:val="00C077C3"/>
    <w:rsid w:val="00C1119F"/>
    <w:rsid w:val="00C12739"/>
    <w:rsid w:val="00C270ED"/>
    <w:rsid w:val="00C35658"/>
    <w:rsid w:val="00C37BAD"/>
    <w:rsid w:val="00C55010"/>
    <w:rsid w:val="00C57DA0"/>
    <w:rsid w:val="00C6225D"/>
    <w:rsid w:val="00C63D62"/>
    <w:rsid w:val="00C7247F"/>
    <w:rsid w:val="00C75ADD"/>
    <w:rsid w:val="00C81906"/>
    <w:rsid w:val="00C86622"/>
    <w:rsid w:val="00CA45EE"/>
    <w:rsid w:val="00CB750A"/>
    <w:rsid w:val="00CD09EE"/>
    <w:rsid w:val="00CD2674"/>
    <w:rsid w:val="00CD2DF1"/>
    <w:rsid w:val="00CD6416"/>
    <w:rsid w:val="00CE7541"/>
    <w:rsid w:val="00CF37EC"/>
    <w:rsid w:val="00D00471"/>
    <w:rsid w:val="00D00764"/>
    <w:rsid w:val="00D166D8"/>
    <w:rsid w:val="00D20C50"/>
    <w:rsid w:val="00D2213C"/>
    <w:rsid w:val="00D30F5D"/>
    <w:rsid w:val="00D369B2"/>
    <w:rsid w:val="00D419C4"/>
    <w:rsid w:val="00D52507"/>
    <w:rsid w:val="00D55C21"/>
    <w:rsid w:val="00D60D2D"/>
    <w:rsid w:val="00D80994"/>
    <w:rsid w:val="00D977D9"/>
    <w:rsid w:val="00DA0367"/>
    <w:rsid w:val="00DA0481"/>
    <w:rsid w:val="00DA1D3F"/>
    <w:rsid w:val="00DB43BA"/>
    <w:rsid w:val="00DC1B8F"/>
    <w:rsid w:val="00DC1D0E"/>
    <w:rsid w:val="00DC3D6B"/>
    <w:rsid w:val="00DC4EE6"/>
    <w:rsid w:val="00DC529D"/>
    <w:rsid w:val="00DD07D8"/>
    <w:rsid w:val="00DD4D3C"/>
    <w:rsid w:val="00DD77EC"/>
    <w:rsid w:val="00DE25CA"/>
    <w:rsid w:val="00DE42C7"/>
    <w:rsid w:val="00DF09BF"/>
    <w:rsid w:val="00E02536"/>
    <w:rsid w:val="00E07C40"/>
    <w:rsid w:val="00E10E2C"/>
    <w:rsid w:val="00E2030F"/>
    <w:rsid w:val="00E26CEA"/>
    <w:rsid w:val="00E27448"/>
    <w:rsid w:val="00E31F6F"/>
    <w:rsid w:val="00E438DC"/>
    <w:rsid w:val="00E501A2"/>
    <w:rsid w:val="00E51CCE"/>
    <w:rsid w:val="00E53089"/>
    <w:rsid w:val="00E61AEC"/>
    <w:rsid w:val="00E70D43"/>
    <w:rsid w:val="00E711E4"/>
    <w:rsid w:val="00E92292"/>
    <w:rsid w:val="00EA49AF"/>
    <w:rsid w:val="00EB1033"/>
    <w:rsid w:val="00EC6E50"/>
    <w:rsid w:val="00ED2D2E"/>
    <w:rsid w:val="00ED58DC"/>
    <w:rsid w:val="00EE1996"/>
    <w:rsid w:val="00EE354D"/>
    <w:rsid w:val="00EE6321"/>
    <w:rsid w:val="00EF179A"/>
    <w:rsid w:val="00EF556C"/>
    <w:rsid w:val="00EF5792"/>
    <w:rsid w:val="00EF7014"/>
    <w:rsid w:val="00F04572"/>
    <w:rsid w:val="00F075C3"/>
    <w:rsid w:val="00F141D3"/>
    <w:rsid w:val="00F22159"/>
    <w:rsid w:val="00F26C73"/>
    <w:rsid w:val="00F32D49"/>
    <w:rsid w:val="00F3577C"/>
    <w:rsid w:val="00F37AF1"/>
    <w:rsid w:val="00F44D11"/>
    <w:rsid w:val="00F47528"/>
    <w:rsid w:val="00F50037"/>
    <w:rsid w:val="00F57B5C"/>
    <w:rsid w:val="00F670F3"/>
    <w:rsid w:val="00F83B9C"/>
    <w:rsid w:val="00F87427"/>
    <w:rsid w:val="00F915FB"/>
    <w:rsid w:val="00F9328B"/>
    <w:rsid w:val="00F968CF"/>
    <w:rsid w:val="00F96C0E"/>
    <w:rsid w:val="00F97EA1"/>
    <w:rsid w:val="00FA0663"/>
    <w:rsid w:val="00FA098A"/>
    <w:rsid w:val="00FA0CD0"/>
    <w:rsid w:val="00FB0093"/>
    <w:rsid w:val="00FB150A"/>
    <w:rsid w:val="00FB2459"/>
    <w:rsid w:val="00FB3CB0"/>
    <w:rsid w:val="00FB4D17"/>
    <w:rsid w:val="00FB5CC0"/>
    <w:rsid w:val="00FC119F"/>
    <w:rsid w:val="00FC6A40"/>
    <w:rsid w:val="00FD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113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A9610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BF0A17"/>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BF0A17"/>
    <w:rPr>
      <w:rFonts w:ascii="Times New Roman" w:eastAsia="Times New Roman" w:hAnsi="Times New Roman" w:cs="Times New Roman"/>
      <w:sz w:val="20"/>
      <w:szCs w:val="20"/>
      <w:lang w:val="en-GB"/>
    </w:rPr>
  </w:style>
  <w:style w:type="character" w:styleId="EndnoteReference">
    <w:name w:val="endnote reference"/>
    <w:basedOn w:val="DefaultParagraphFont"/>
    <w:rsid w:val="00BF0A17"/>
    <w:rPr>
      <w:vertAlign w:val="superscript"/>
    </w:rPr>
  </w:style>
  <w:style w:type="paragraph" w:styleId="BalloonText">
    <w:name w:val="Balloon Text"/>
    <w:basedOn w:val="Normal"/>
    <w:link w:val="BalloonTextChar"/>
    <w:uiPriority w:val="99"/>
    <w:semiHidden/>
    <w:unhideWhenUsed/>
    <w:rsid w:val="009012E3"/>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2E3"/>
    <w:rPr>
      <w:rFonts w:ascii="Lucida Grande" w:hAnsi="Lucida Grande"/>
      <w:sz w:val="18"/>
      <w:szCs w:val="18"/>
      <w:lang w:val="en-GB"/>
    </w:rPr>
  </w:style>
  <w:style w:type="paragraph" w:styleId="Caption">
    <w:name w:val="caption"/>
    <w:basedOn w:val="Normal"/>
    <w:next w:val="Normal"/>
    <w:uiPriority w:val="35"/>
    <w:unhideWhenUsed/>
    <w:qFormat/>
    <w:rsid w:val="009012E3"/>
    <w:pPr>
      <w:spacing w:after="200"/>
    </w:pPr>
    <w:rPr>
      <w:b/>
      <w:bCs/>
      <w:color w:val="4F81BD" w:themeColor="accent1"/>
      <w:sz w:val="18"/>
      <w:szCs w:val="18"/>
    </w:rPr>
  </w:style>
  <w:style w:type="paragraph" w:styleId="ListParagraph">
    <w:name w:val="List Paragraph"/>
    <w:basedOn w:val="Normal"/>
    <w:uiPriority w:val="34"/>
    <w:qFormat/>
    <w:rsid w:val="008A4E13"/>
    <w:pPr>
      <w:ind w:left="720"/>
      <w:contextualSpacing/>
    </w:pPr>
  </w:style>
  <w:style w:type="table" w:styleId="MediumShading1-Accent5">
    <w:name w:val="Medium Shading 1 Accent 5"/>
    <w:basedOn w:val="TableNormal"/>
    <w:uiPriority w:val="63"/>
    <w:rsid w:val="008A4E1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907398"/>
    <w:pPr>
      <w:spacing w:before="100" w:beforeAutospacing="1" w:after="100" w:afterAutospacing="1"/>
    </w:pPr>
    <w:rPr>
      <w:rFonts w:ascii="Times New Roman" w:hAnsi="Times New Roman" w:cs="Times New Roman"/>
      <w:sz w:val="20"/>
      <w:szCs w:val="20"/>
    </w:rPr>
  </w:style>
  <w:style w:type="table" w:styleId="LightList-Accent5">
    <w:name w:val="Light List Accent 5"/>
    <w:basedOn w:val="TableNormal"/>
    <w:uiPriority w:val="61"/>
    <w:rsid w:val="0090739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A30449"/>
    <w:rPr>
      <w:sz w:val="18"/>
      <w:szCs w:val="18"/>
    </w:rPr>
  </w:style>
  <w:style w:type="paragraph" w:styleId="CommentText">
    <w:name w:val="annotation text"/>
    <w:basedOn w:val="Normal"/>
    <w:link w:val="CommentTextChar"/>
    <w:uiPriority w:val="99"/>
    <w:semiHidden/>
    <w:unhideWhenUsed/>
    <w:rsid w:val="00A30449"/>
  </w:style>
  <w:style w:type="character" w:customStyle="1" w:styleId="CommentTextChar">
    <w:name w:val="Comment Text Char"/>
    <w:basedOn w:val="DefaultParagraphFont"/>
    <w:link w:val="CommentText"/>
    <w:uiPriority w:val="99"/>
    <w:semiHidden/>
    <w:rsid w:val="00A30449"/>
    <w:rPr>
      <w:lang w:val="en-GB"/>
    </w:rPr>
  </w:style>
  <w:style w:type="paragraph" w:styleId="CommentSubject">
    <w:name w:val="annotation subject"/>
    <w:basedOn w:val="CommentText"/>
    <w:next w:val="CommentText"/>
    <w:link w:val="CommentSubjectChar"/>
    <w:uiPriority w:val="99"/>
    <w:semiHidden/>
    <w:unhideWhenUsed/>
    <w:rsid w:val="00A30449"/>
    <w:rPr>
      <w:b/>
      <w:bCs/>
      <w:sz w:val="20"/>
      <w:szCs w:val="20"/>
    </w:rPr>
  </w:style>
  <w:style w:type="character" w:customStyle="1" w:styleId="CommentSubjectChar">
    <w:name w:val="Comment Subject Char"/>
    <w:basedOn w:val="CommentTextChar"/>
    <w:link w:val="CommentSubject"/>
    <w:uiPriority w:val="99"/>
    <w:semiHidden/>
    <w:rsid w:val="00A30449"/>
    <w:rPr>
      <w:b/>
      <w:bCs/>
      <w:sz w:val="20"/>
      <w:szCs w:val="20"/>
      <w:lang w:val="en-GB"/>
    </w:rPr>
  </w:style>
  <w:style w:type="paragraph" w:styleId="Title">
    <w:name w:val="Title"/>
    <w:aliases w:val="title"/>
    <w:basedOn w:val="Normal"/>
    <w:link w:val="TitleChar"/>
    <w:uiPriority w:val="10"/>
    <w:qFormat/>
    <w:rsid w:val="00683AC7"/>
    <w:pPr>
      <w:spacing w:before="100" w:beforeAutospacing="1" w:after="100" w:afterAutospacing="1"/>
    </w:pPr>
    <w:rPr>
      <w:rFonts w:ascii="Times New Roman" w:hAnsi="Times New Roman" w:cs="Times New Roman"/>
      <w:sz w:val="20"/>
      <w:szCs w:val="20"/>
    </w:rPr>
  </w:style>
  <w:style w:type="character" w:customStyle="1" w:styleId="TitleChar">
    <w:name w:val="Title Char"/>
    <w:aliases w:val="title Char"/>
    <w:basedOn w:val="DefaultParagraphFont"/>
    <w:link w:val="Title"/>
    <w:uiPriority w:val="10"/>
    <w:rsid w:val="00683AC7"/>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683AC7"/>
    <w:rPr>
      <w:color w:val="0000FF"/>
      <w:u w:val="single"/>
    </w:rPr>
  </w:style>
  <w:style w:type="character" w:customStyle="1" w:styleId="apple-converted-space">
    <w:name w:val="apple-converted-space"/>
    <w:basedOn w:val="DefaultParagraphFont"/>
    <w:rsid w:val="00683AC7"/>
  </w:style>
  <w:style w:type="paragraph" w:customStyle="1" w:styleId="desc">
    <w:name w:val="desc"/>
    <w:basedOn w:val="Normal"/>
    <w:rsid w:val="00683AC7"/>
    <w:pPr>
      <w:spacing w:before="100" w:beforeAutospacing="1" w:after="100" w:afterAutospacing="1"/>
    </w:pPr>
    <w:rPr>
      <w:rFonts w:ascii="Times New Roman" w:hAnsi="Times New Roman" w:cs="Times New Roman"/>
      <w:sz w:val="20"/>
      <w:szCs w:val="20"/>
    </w:rPr>
  </w:style>
  <w:style w:type="paragraph" w:customStyle="1" w:styleId="details">
    <w:name w:val="details"/>
    <w:basedOn w:val="Normal"/>
    <w:rsid w:val="00683AC7"/>
    <w:pPr>
      <w:spacing w:before="100" w:beforeAutospacing="1" w:after="100" w:afterAutospacing="1"/>
    </w:pPr>
    <w:rPr>
      <w:rFonts w:ascii="Times New Roman" w:hAnsi="Times New Roman" w:cs="Times New Roman"/>
      <w:sz w:val="20"/>
      <w:szCs w:val="20"/>
    </w:rPr>
  </w:style>
  <w:style w:type="character" w:customStyle="1" w:styleId="jrnl">
    <w:name w:val="jrnl"/>
    <w:basedOn w:val="DefaultParagraphFont"/>
    <w:rsid w:val="00683AC7"/>
  </w:style>
  <w:style w:type="paragraph" w:customStyle="1" w:styleId="links">
    <w:name w:val="links"/>
    <w:basedOn w:val="Normal"/>
    <w:rsid w:val="009504B8"/>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A96105"/>
    <w:rPr>
      <w:rFonts w:ascii="Times New Roman" w:hAnsi="Times New Roman" w:cs="Times New Roman"/>
      <w:b/>
      <w:bCs/>
      <w:kern w:val="36"/>
      <w:sz w:val="48"/>
      <w:szCs w:val="48"/>
      <w:lang w:val="en-GB"/>
    </w:rPr>
  </w:style>
  <w:style w:type="character" w:customStyle="1" w:styleId="highlight">
    <w:name w:val="highlight"/>
    <w:basedOn w:val="DefaultParagraphFont"/>
    <w:rsid w:val="00A96105"/>
  </w:style>
  <w:style w:type="paragraph" w:styleId="Revision">
    <w:name w:val="Revision"/>
    <w:hidden/>
    <w:uiPriority w:val="99"/>
    <w:semiHidden/>
    <w:rsid w:val="00A96105"/>
    <w:rPr>
      <w:lang w:val="en-GB"/>
    </w:rPr>
  </w:style>
  <w:style w:type="paragraph" w:styleId="Footer">
    <w:name w:val="footer"/>
    <w:basedOn w:val="Normal"/>
    <w:link w:val="FooterChar"/>
    <w:uiPriority w:val="99"/>
    <w:unhideWhenUsed/>
    <w:rsid w:val="00DC4EE6"/>
    <w:pPr>
      <w:tabs>
        <w:tab w:val="center" w:pos="4320"/>
        <w:tab w:val="right" w:pos="8640"/>
      </w:tabs>
    </w:pPr>
  </w:style>
  <w:style w:type="character" w:customStyle="1" w:styleId="FooterChar">
    <w:name w:val="Footer Char"/>
    <w:basedOn w:val="DefaultParagraphFont"/>
    <w:link w:val="Footer"/>
    <w:uiPriority w:val="99"/>
    <w:rsid w:val="00DC4EE6"/>
    <w:rPr>
      <w:lang w:val="en-GB"/>
    </w:rPr>
  </w:style>
  <w:style w:type="character" w:styleId="PageNumber">
    <w:name w:val="page number"/>
    <w:basedOn w:val="DefaultParagraphFont"/>
    <w:uiPriority w:val="99"/>
    <w:semiHidden/>
    <w:unhideWhenUsed/>
    <w:rsid w:val="00DC4E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A9610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BF0A17"/>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BF0A17"/>
    <w:rPr>
      <w:rFonts w:ascii="Times New Roman" w:eastAsia="Times New Roman" w:hAnsi="Times New Roman" w:cs="Times New Roman"/>
      <w:sz w:val="20"/>
      <w:szCs w:val="20"/>
      <w:lang w:val="en-GB"/>
    </w:rPr>
  </w:style>
  <w:style w:type="character" w:styleId="EndnoteReference">
    <w:name w:val="endnote reference"/>
    <w:basedOn w:val="DefaultParagraphFont"/>
    <w:rsid w:val="00BF0A17"/>
    <w:rPr>
      <w:vertAlign w:val="superscript"/>
    </w:rPr>
  </w:style>
  <w:style w:type="paragraph" w:styleId="BalloonText">
    <w:name w:val="Balloon Text"/>
    <w:basedOn w:val="Normal"/>
    <w:link w:val="BalloonTextChar"/>
    <w:uiPriority w:val="99"/>
    <w:semiHidden/>
    <w:unhideWhenUsed/>
    <w:rsid w:val="009012E3"/>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2E3"/>
    <w:rPr>
      <w:rFonts w:ascii="Lucida Grande" w:hAnsi="Lucida Grande"/>
      <w:sz w:val="18"/>
      <w:szCs w:val="18"/>
      <w:lang w:val="en-GB"/>
    </w:rPr>
  </w:style>
  <w:style w:type="paragraph" w:styleId="Caption">
    <w:name w:val="caption"/>
    <w:basedOn w:val="Normal"/>
    <w:next w:val="Normal"/>
    <w:uiPriority w:val="35"/>
    <w:unhideWhenUsed/>
    <w:qFormat/>
    <w:rsid w:val="009012E3"/>
    <w:pPr>
      <w:spacing w:after="200"/>
    </w:pPr>
    <w:rPr>
      <w:b/>
      <w:bCs/>
      <w:color w:val="4F81BD" w:themeColor="accent1"/>
      <w:sz w:val="18"/>
      <w:szCs w:val="18"/>
    </w:rPr>
  </w:style>
  <w:style w:type="paragraph" w:styleId="ListParagraph">
    <w:name w:val="List Paragraph"/>
    <w:basedOn w:val="Normal"/>
    <w:uiPriority w:val="34"/>
    <w:qFormat/>
    <w:rsid w:val="008A4E13"/>
    <w:pPr>
      <w:ind w:left="720"/>
      <w:contextualSpacing/>
    </w:pPr>
  </w:style>
  <w:style w:type="table" w:styleId="MediumShading1-Accent5">
    <w:name w:val="Medium Shading 1 Accent 5"/>
    <w:basedOn w:val="TableNormal"/>
    <w:uiPriority w:val="63"/>
    <w:rsid w:val="008A4E1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907398"/>
    <w:pPr>
      <w:spacing w:before="100" w:beforeAutospacing="1" w:after="100" w:afterAutospacing="1"/>
    </w:pPr>
    <w:rPr>
      <w:rFonts w:ascii="Times New Roman" w:hAnsi="Times New Roman" w:cs="Times New Roman"/>
      <w:sz w:val="20"/>
      <w:szCs w:val="20"/>
    </w:rPr>
  </w:style>
  <w:style w:type="table" w:styleId="LightList-Accent5">
    <w:name w:val="Light List Accent 5"/>
    <w:basedOn w:val="TableNormal"/>
    <w:uiPriority w:val="61"/>
    <w:rsid w:val="0090739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A30449"/>
    <w:rPr>
      <w:sz w:val="18"/>
      <w:szCs w:val="18"/>
    </w:rPr>
  </w:style>
  <w:style w:type="paragraph" w:styleId="CommentText">
    <w:name w:val="annotation text"/>
    <w:basedOn w:val="Normal"/>
    <w:link w:val="CommentTextChar"/>
    <w:uiPriority w:val="99"/>
    <w:semiHidden/>
    <w:unhideWhenUsed/>
    <w:rsid w:val="00A30449"/>
  </w:style>
  <w:style w:type="character" w:customStyle="1" w:styleId="CommentTextChar">
    <w:name w:val="Comment Text Char"/>
    <w:basedOn w:val="DefaultParagraphFont"/>
    <w:link w:val="CommentText"/>
    <w:uiPriority w:val="99"/>
    <w:semiHidden/>
    <w:rsid w:val="00A30449"/>
    <w:rPr>
      <w:lang w:val="en-GB"/>
    </w:rPr>
  </w:style>
  <w:style w:type="paragraph" w:styleId="CommentSubject">
    <w:name w:val="annotation subject"/>
    <w:basedOn w:val="CommentText"/>
    <w:next w:val="CommentText"/>
    <w:link w:val="CommentSubjectChar"/>
    <w:uiPriority w:val="99"/>
    <w:semiHidden/>
    <w:unhideWhenUsed/>
    <w:rsid w:val="00A30449"/>
    <w:rPr>
      <w:b/>
      <w:bCs/>
      <w:sz w:val="20"/>
      <w:szCs w:val="20"/>
    </w:rPr>
  </w:style>
  <w:style w:type="character" w:customStyle="1" w:styleId="CommentSubjectChar">
    <w:name w:val="Comment Subject Char"/>
    <w:basedOn w:val="CommentTextChar"/>
    <w:link w:val="CommentSubject"/>
    <w:uiPriority w:val="99"/>
    <w:semiHidden/>
    <w:rsid w:val="00A30449"/>
    <w:rPr>
      <w:b/>
      <w:bCs/>
      <w:sz w:val="20"/>
      <w:szCs w:val="20"/>
      <w:lang w:val="en-GB"/>
    </w:rPr>
  </w:style>
  <w:style w:type="paragraph" w:styleId="Title">
    <w:name w:val="Title"/>
    <w:aliases w:val="title"/>
    <w:basedOn w:val="Normal"/>
    <w:link w:val="TitleChar"/>
    <w:uiPriority w:val="10"/>
    <w:qFormat/>
    <w:rsid w:val="00683AC7"/>
    <w:pPr>
      <w:spacing w:before="100" w:beforeAutospacing="1" w:after="100" w:afterAutospacing="1"/>
    </w:pPr>
    <w:rPr>
      <w:rFonts w:ascii="Times New Roman" w:hAnsi="Times New Roman" w:cs="Times New Roman"/>
      <w:sz w:val="20"/>
      <w:szCs w:val="20"/>
    </w:rPr>
  </w:style>
  <w:style w:type="character" w:customStyle="1" w:styleId="TitleChar">
    <w:name w:val="Title Char"/>
    <w:aliases w:val="title Char"/>
    <w:basedOn w:val="DefaultParagraphFont"/>
    <w:link w:val="Title"/>
    <w:uiPriority w:val="10"/>
    <w:rsid w:val="00683AC7"/>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683AC7"/>
    <w:rPr>
      <w:color w:val="0000FF"/>
      <w:u w:val="single"/>
    </w:rPr>
  </w:style>
  <w:style w:type="character" w:customStyle="1" w:styleId="apple-converted-space">
    <w:name w:val="apple-converted-space"/>
    <w:basedOn w:val="DefaultParagraphFont"/>
    <w:rsid w:val="00683AC7"/>
  </w:style>
  <w:style w:type="paragraph" w:customStyle="1" w:styleId="desc">
    <w:name w:val="desc"/>
    <w:basedOn w:val="Normal"/>
    <w:rsid w:val="00683AC7"/>
    <w:pPr>
      <w:spacing w:before="100" w:beforeAutospacing="1" w:after="100" w:afterAutospacing="1"/>
    </w:pPr>
    <w:rPr>
      <w:rFonts w:ascii="Times New Roman" w:hAnsi="Times New Roman" w:cs="Times New Roman"/>
      <w:sz w:val="20"/>
      <w:szCs w:val="20"/>
    </w:rPr>
  </w:style>
  <w:style w:type="paragraph" w:customStyle="1" w:styleId="details">
    <w:name w:val="details"/>
    <w:basedOn w:val="Normal"/>
    <w:rsid w:val="00683AC7"/>
    <w:pPr>
      <w:spacing w:before="100" w:beforeAutospacing="1" w:after="100" w:afterAutospacing="1"/>
    </w:pPr>
    <w:rPr>
      <w:rFonts w:ascii="Times New Roman" w:hAnsi="Times New Roman" w:cs="Times New Roman"/>
      <w:sz w:val="20"/>
      <w:szCs w:val="20"/>
    </w:rPr>
  </w:style>
  <w:style w:type="character" w:customStyle="1" w:styleId="jrnl">
    <w:name w:val="jrnl"/>
    <w:basedOn w:val="DefaultParagraphFont"/>
    <w:rsid w:val="00683AC7"/>
  </w:style>
  <w:style w:type="paragraph" w:customStyle="1" w:styleId="links">
    <w:name w:val="links"/>
    <w:basedOn w:val="Normal"/>
    <w:rsid w:val="009504B8"/>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A96105"/>
    <w:rPr>
      <w:rFonts w:ascii="Times New Roman" w:hAnsi="Times New Roman" w:cs="Times New Roman"/>
      <w:b/>
      <w:bCs/>
      <w:kern w:val="36"/>
      <w:sz w:val="48"/>
      <w:szCs w:val="48"/>
      <w:lang w:val="en-GB"/>
    </w:rPr>
  </w:style>
  <w:style w:type="character" w:customStyle="1" w:styleId="highlight">
    <w:name w:val="highlight"/>
    <w:basedOn w:val="DefaultParagraphFont"/>
    <w:rsid w:val="00A96105"/>
  </w:style>
  <w:style w:type="paragraph" w:styleId="Revision">
    <w:name w:val="Revision"/>
    <w:hidden/>
    <w:uiPriority w:val="99"/>
    <w:semiHidden/>
    <w:rsid w:val="00A96105"/>
    <w:rPr>
      <w:lang w:val="en-GB"/>
    </w:rPr>
  </w:style>
  <w:style w:type="paragraph" w:styleId="Footer">
    <w:name w:val="footer"/>
    <w:basedOn w:val="Normal"/>
    <w:link w:val="FooterChar"/>
    <w:uiPriority w:val="99"/>
    <w:unhideWhenUsed/>
    <w:rsid w:val="00DC4EE6"/>
    <w:pPr>
      <w:tabs>
        <w:tab w:val="center" w:pos="4320"/>
        <w:tab w:val="right" w:pos="8640"/>
      </w:tabs>
    </w:pPr>
  </w:style>
  <w:style w:type="character" w:customStyle="1" w:styleId="FooterChar">
    <w:name w:val="Footer Char"/>
    <w:basedOn w:val="DefaultParagraphFont"/>
    <w:link w:val="Footer"/>
    <w:uiPriority w:val="99"/>
    <w:rsid w:val="00DC4EE6"/>
    <w:rPr>
      <w:lang w:val="en-GB"/>
    </w:rPr>
  </w:style>
  <w:style w:type="character" w:styleId="PageNumber">
    <w:name w:val="page number"/>
    <w:basedOn w:val="DefaultParagraphFont"/>
    <w:uiPriority w:val="99"/>
    <w:semiHidden/>
    <w:unhideWhenUsed/>
    <w:rsid w:val="00DC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290">
      <w:bodyDiv w:val="1"/>
      <w:marLeft w:val="0"/>
      <w:marRight w:val="0"/>
      <w:marTop w:val="0"/>
      <w:marBottom w:val="0"/>
      <w:divBdr>
        <w:top w:val="none" w:sz="0" w:space="0" w:color="auto"/>
        <w:left w:val="none" w:sz="0" w:space="0" w:color="auto"/>
        <w:bottom w:val="none" w:sz="0" w:space="0" w:color="auto"/>
        <w:right w:val="none" w:sz="0" w:space="0" w:color="auto"/>
      </w:divBdr>
    </w:div>
    <w:div w:id="34627328">
      <w:bodyDiv w:val="1"/>
      <w:marLeft w:val="0"/>
      <w:marRight w:val="0"/>
      <w:marTop w:val="0"/>
      <w:marBottom w:val="0"/>
      <w:divBdr>
        <w:top w:val="none" w:sz="0" w:space="0" w:color="auto"/>
        <w:left w:val="none" w:sz="0" w:space="0" w:color="auto"/>
        <w:bottom w:val="none" w:sz="0" w:space="0" w:color="auto"/>
        <w:right w:val="none" w:sz="0" w:space="0" w:color="auto"/>
      </w:divBdr>
    </w:div>
    <w:div w:id="55592625">
      <w:bodyDiv w:val="1"/>
      <w:marLeft w:val="0"/>
      <w:marRight w:val="0"/>
      <w:marTop w:val="0"/>
      <w:marBottom w:val="0"/>
      <w:divBdr>
        <w:top w:val="none" w:sz="0" w:space="0" w:color="auto"/>
        <w:left w:val="none" w:sz="0" w:space="0" w:color="auto"/>
        <w:bottom w:val="none" w:sz="0" w:space="0" w:color="auto"/>
        <w:right w:val="none" w:sz="0" w:space="0" w:color="auto"/>
      </w:divBdr>
    </w:div>
    <w:div w:id="64031670">
      <w:bodyDiv w:val="1"/>
      <w:marLeft w:val="0"/>
      <w:marRight w:val="0"/>
      <w:marTop w:val="0"/>
      <w:marBottom w:val="0"/>
      <w:divBdr>
        <w:top w:val="none" w:sz="0" w:space="0" w:color="auto"/>
        <w:left w:val="none" w:sz="0" w:space="0" w:color="auto"/>
        <w:bottom w:val="none" w:sz="0" w:space="0" w:color="auto"/>
        <w:right w:val="none" w:sz="0" w:space="0" w:color="auto"/>
      </w:divBdr>
    </w:div>
    <w:div w:id="356659079">
      <w:bodyDiv w:val="1"/>
      <w:marLeft w:val="0"/>
      <w:marRight w:val="0"/>
      <w:marTop w:val="0"/>
      <w:marBottom w:val="0"/>
      <w:divBdr>
        <w:top w:val="none" w:sz="0" w:space="0" w:color="auto"/>
        <w:left w:val="none" w:sz="0" w:space="0" w:color="auto"/>
        <w:bottom w:val="none" w:sz="0" w:space="0" w:color="auto"/>
        <w:right w:val="none" w:sz="0" w:space="0" w:color="auto"/>
      </w:divBdr>
      <w:divsChild>
        <w:div w:id="1239023739">
          <w:marLeft w:val="446"/>
          <w:marRight w:val="0"/>
          <w:marTop w:val="0"/>
          <w:marBottom w:val="0"/>
          <w:divBdr>
            <w:top w:val="none" w:sz="0" w:space="0" w:color="auto"/>
            <w:left w:val="none" w:sz="0" w:space="0" w:color="auto"/>
            <w:bottom w:val="none" w:sz="0" w:space="0" w:color="auto"/>
            <w:right w:val="none" w:sz="0" w:space="0" w:color="auto"/>
          </w:divBdr>
        </w:div>
        <w:div w:id="513767505">
          <w:marLeft w:val="446"/>
          <w:marRight w:val="0"/>
          <w:marTop w:val="0"/>
          <w:marBottom w:val="0"/>
          <w:divBdr>
            <w:top w:val="none" w:sz="0" w:space="0" w:color="auto"/>
            <w:left w:val="none" w:sz="0" w:space="0" w:color="auto"/>
            <w:bottom w:val="none" w:sz="0" w:space="0" w:color="auto"/>
            <w:right w:val="none" w:sz="0" w:space="0" w:color="auto"/>
          </w:divBdr>
        </w:div>
      </w:divsChild>
    </w:div>
    <w:div w:id="437598894">
      <w:bodyDiv w:val="1"/>
      <w:marLeft w:val="0"/>
      <w:marRight w:val="0"/>
      <w:marTop w:val="0"/>
      <w:marBottom w:val="0"/>
      <w:divBdr>
        <w:top w:val="none" w:sz="0" w:space="0" w:color="auto"/>
        <w:left w:val="none" w:sz="0" w:space="0" w:color="auto"/>
        <w:bottom w:val="none" w:sz="0" w:space="0" w:color="auto"/>
        <w:right w:val="none" w:sz="0" w:space="0" w:color="auto"/>
      </w:divBdr>
    </w:div>
    <w:div w:id="505562982">
      <w:bodyDiv w:val="1"/>
      <w:marLeft w:val="0"/>
      <w:marRight w:val="0"/>
      <w:marTop w:val="0"/>
      <w:marBottom w:val="0"/>
      <w:divBdr>
        <w:top w:val="none" w:sz="0" w:space="0" w:color="auto"/>
        <w:left w:val="none" w:sz="0" w:space="0" w:color="auto"/>
        <w:bottom w:val="none" w:sz="0" w:space="0" w:color="auto"/>
        <w:right w:val="none" w:sz="0" w:space="0" w:color="auto"/>
      </w:divBdr>
    </w:div>
    <w:div w:id="601189901">
      <w:bodyDiv w:val="1"/>
      <w:marLeft w:val="0"/>
      <w:marRight w:val="0"/>
      <w:marTop w:val="0"/>
      <w:marBottom w:val="0"/>
      <w:divBdr>
        <w:top w:val="none" w:sz="0" w:space="0" w:color="auto"/>
        <w:left w:val="none" w:sz="0" w:space="0" w:color="auto"/>
        <w:bottom w:val="none" w:sz="0" w:space="0" w:color="auto"/>
        <w:right w:val="none" w:sz="0" w:space="0" w:color="auto"/>
      </w:divBdr>
      <w:divsChild>
        <w:div w:id="483934841">
          <w:marLeft w:val="446"/>
          <w:marRight w:val="0"/>
          <w:marTop w:val="0"/>
          <w:marBottom w:val="0"/>
          <w:divBdr>
            <w:top w:val="none" w:sz="0" w:space="0" w:color="auto"/>
            <w:left w:val="none" w:sz="0" w:space="0" w:color="auto"/>
            <w:bottom w:val="none" w:sz="0" w:space="0" w:color="auto"/>
            <w:right w:val="none" w:sz="0" w:space="0" w:color="auto"/>
          </w:divBdr>
        </w:div>
        <w:div w:id="283728661">
          <w:marLeft w:val="446"/>
          <w:marRight w:val="0"/>
          <w:marTop w:val="0"/>
          <w:marBottom w:val="0"/>
          <w:divBdr>
            <w:top w:val="none" w:sz="0" w:space="0" w:color="auto"/>
            <w:left w:val="none" w:sz="0" w:space="0" w:color="auto"/>
            <w:bottom w:val="none" w:sz="0" w:space="0" w:color="auto"/>
            <w:right w:val="none" w:sz="0" w:space="0" w:color="auto"/>
          </w:divBdr>
        </w:div>
        <w:div w:id="1276519091">
          <w:marLeft w:val="1166"/>
          <w:marRight w:val="0"/>
          <w:marTop w:val="0"/>
          <w:marBottom w:val="0"/>
          <w:divBdr>
            <w:top w:val="none" w:sz="0" w:space="0" w:color="auto"/>
            <w:left w:val="none" w:sz="0" w:space="0" w:color="auto"/>
            <w:bottom w:val="none" w:sz="0" w:space="0" w:color="auto"/>
            <w:right w:val="none" w:sz="0" w:space="0" w:color="auto"/>
          </w:divBdr>
        </w:div>
        <w:div w:id="1732462944">
          <w:marLeft w:val="1166"/>
          <w:marRight w:val="0"/>
          <w:marTop w:val="0"/>
          <w:marBottom w:val="0"/>
          <w:divBdr>
            <w:top w:val="none" w:sz="0" w:space="0" w:color="auto"/>
            <w:left w:val="none" w:sz="0" w:space="0" w:color="auto"/>
            <w:bottom w:val="none" w:sz="0" w:space="0" w:color="auto"/>
            <w:right w:val="none" w:sz="0" w:space="0" w:color="auto"/>
          </w:divBdr>
        </w:div>
      </w:divsChild>
    </w:div>
    <w:div w:id="657197143">
      <w:bodyDiv w:val="1"/>
      <w:marLeft w:val="0"/>
      <w:marRight w:val="0"/>
      <w:marTop w:val="0"/>
      <w:marBottom w:val="0"/>
      <w:divBdr>
        <w:top w:val="none" w:sz="0" w:space="0" w:color="auto"/>
        <w:left w:val="none" w:sz="0" w:space="0" w:color="auto"/>
        <w:bottom w:val="none" w:sz="0" w:space="0" w:color="auto"/>
        <w:right w:val="none" w:sz="0" w:space="0" w:color="auto"/>
      </w:divBdr>
      <w:divsChild>
        <w:div w:id="719287305">
          <w:marLeft w:val="0"/>
          <w:marRight w:val="0"/>
          <w:marTop w:val="34"/>
          <w:marBottom w:val="34"/>
          <w:divBdr>
            <w:top w:val="none" w:sz="0" w:space="0" w:color="auto"/>
            <w:left w:val="none" w:sz="0" w:space="0" w:color="auto"/>
            <w:bottom w:val="none" w:sz="0" w:space="0" w:color="auto"/>
            <w:right w:val="none" w:sz="0" w:space="0" w:color="auto"/>
          </w:divBdr>
        </w:div>
      </w:divsChild>
    </w:div>
    <w:div w:id="697124595">
      <w:bodyDiv w:val="1"/>
      <w:marLeft w:val="0"/>
      <w:marRight w:val="0"/>
      <w:marTop w:val="0"/>
      <w:marBottom w:val="0"/>
      <w:divBdr>
        <w:top w:val="none" w:sz="0" w:space="0" w:color="auto"/>
        <w:left w:val="none" w:sz="0" w:space="0" w:color="auto"/>
        <w:bottom w:val="none" w:sz="0" w:space="0" w:color="auto"/>
        <w:right w:val="none" w:sz="0" w:space="0" w:color="auto"/>
      </w:divBdr>
    </w:div>
    <w:div w:id="898133218">
      <w:bodyDiv w:val="1"/>
      <w:marLeft w:val="0"/>
      <w:marRight w:val="0"/>
      <w:marTop w:val="0"/>
      <w:marBottom w:val="0"/>
      <w:divBdr>
        <w:top w:val="none" w:sz="0" w:space="0" w:color="auto"/>
        <w:left w:val="none" w:sz="0" w:space="0" w:color="auto"/>
        <w:bottom w:val="none" w:sz="0" w:space="0" w:color="auto"/>
        <w:right w:val="none" w:sz="0" w:space="0" w:color="auto"/>
      </w:divBdr>
    </w:div>
    <w:div w:id="921136706">
      <w:bodyDiv w:val="1"/>
      <w:marLeft w:val="0"/>
      <w:marRight w:val="0"/>
      <w:marTop w:val="0"/>
      <w:marBottom w:val="0"/>
      <w:divBdr>
        <w:top w:val="none" w:sz="0" w:space="0" w:color="auto"/>
        <w:left w:val="none" w:sz="0" w:space="0" w:color="auto"/>
        <w:bottom w:val="none" w:sz="0" w:space="0" w:color="auto"/>
        <w:right w:val="none" w:sz="0" w:space="0" w:color="auto"/>
      </w:divBdr>
    </w:div>
    <w:div w:id="994265324">
      <w:bodyDiv w:val="1"/>
      <w:marLeft w:val="0"/>
      <w:marRight w:val="0"/>
      <w:marTop w:val="0"/>
      <w:marBottom w:val="0"/>
      <w:divBdr>
        <w:top w:val="none" w:sz="0" w:space="0" w:color="auto"/>
        <w:left w:val="none" w:sz="0" w:space="0" w:color="auto"/>
        <w:bottom w:val="none" w:sz="0" w:space="0" w:color="auto"/>
        <w:right w:val="none" w:sz="0" w:space="0" w:color="auto"/>
      </w:divBdr>
    </w:div>
    <w:div w:id="1009916708">
      <w:bodyDiv w:val="1"/>
      <w:marLeft w:val="0"/>
      <w:marRight w:val="0"/>
      <w:marTop w:val="0"/>
      <w:marBottom w:val="0"/>
      <w:divBdr>
        <w:top w:val="none" w:sz="0" w:space="0" w:color="auto"/>
        <w:left w:val="none" w:sz="0" w:space="0" w:color="auto"/>
        <w:bottom w:val="none" w:sz="0" w:space="0" w:color="auto"/>
        <w:right w:val="none" w:sz="0" w:space="0" w:color="auto"/>
      </w:divBdr>
      <w:divsChild>
        <w:div w:id="1812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225669">
              <w:marLeft w:val="0"/>
              <w:marRight w:val="0"/>
              <w:marTop w:val="0"/>
              <w:marBottom w:val="0"/>
              <w:divBdr>
                <w:top w:val="none" w:sz="0" w:space="0" w:color="auto"/>
                <w:left w:val="none" w:sz="0" w:space="0" w:color="auto"/>
                <w:bottom w:val="none" w:sz="0" w:space="0" w:color="auto"/>
                <w:right w:val="none" w:sz="0" w:space="0" w:color="auto"/>
              </w:divBdr>
              <w:divsChild>
                <w:div w:id="1797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28539">
      <w:bodyDiv w:val="1"/>
      <w:marLeft w:val="0"/>
      <w:marRight w:val="0"/>
      <w:marTop w:val="0"/>
      <w:marBottom w:val="0"/>
      <w:divBdr>
        <w:top w:val="none" w:sz="0" w:space="0" w:color="auto"/>
        <w:left w:val="none" w:sz="0" w:space="0" w:color="auto"/>
        <w:bottom w:val="none" w:sz="0" w:space="0" w:color="auto"/>
        <w:right w:val="none" w:sz="0" w:space="0" w:color="auto"/>
      </w:divBdr>
    </w:div>
    <w:div w:id="1205942797">
      <w:bodyDiv w:val="1"/>
      <w:marLeft w:val="0"/>
      <w:marRight w:val="0"/>
      <w:marTop w:val="0"/>
      <w:marBottom w:val="0"/>
      <w:divBdr>
        <w:top w:val="none" w:sz="0" w:space="0" w:color="auto"/>
        <w:left w:val="none" w:sz="0" w:space="0" w:color="auto"/>
        <w:bottom w:val="none" w:sz="0" w:space="0" w:color="auto"/>
        <w:right w:val="none" w:sz="0" w:space="0" w:color="auto"/>
      </w:divBdr>
    </w:div>
    <w:div w:id="1238519402">
      <w:bodyDiv w:val="1"/>
      <w:marLeft w:val="0"/>
      <w:marRight w:val="0"/>
      <w:marTop w:val="0"/>
      <w:marBottom w:val="0"/>
      <w:divBdr>
        <w:top w:val="none" w:sz="0" w:space="0" w:color="auto"/>
        <w:left w:val="none" w:sz="0" w:space="0" w:color="auto"/>
        <w:bottom w:val="none" w:sz="0" w:space="0" w:color="auto"/>
        <w:right w:val="none" w:sz="0" w:space="0" w:color="auto"/>
      </w:divBdr>
    </w:div>
    <w:div w:id="1241134370">
      <w:bodyDiv w:val="1"/>
      <w:marLeft w:val="0"/>
      <w:marRight w:val="0"/>
      <w:marTop w:val="0"/>
      <w:marBottom w:val="0"/>
      <w:divBdr>
        <w:top w:val="none" w:sz="0" w:space="0" w:color="auto"/>
        <w:left w:val="none" w:sz="0" w:space="0" w:color="auto"/>
        <w:bottom w:val="none" w:sz="0" w:space="0" w:color="auto"/>
        <w:right w:val="none" w:sz="0" w:space="0" w:color="auto"/>
      </w:divBdr>
    </w:div>
    <w:div w:id="1385059075">
      <w:bodyDiv w:val="1"/>
      <w:marLeft w:val="0"/>
      <w:marRight w:val="0"/>
      <w:marTop w:val="0"/>
      <w:marBottom w:val="0"/>
      <w:divBdr>
        <w:top w:val="none" w:sz="0" w:space="0" w:color="auto"/>
        <w:left w:val="none" w:sz="0" w:space="0" w:color="auto"/>
        <w:bottom w:val="none" w:sz="0" w:space="0" w:color="auto"/>
        <w:right w:val="none" w:sz="0" w:space="0" w:color="auto"/>
      </w:divBdr>
    </w:div>
    <w:div w:id="1508789867">
      <w:bodyDiv w:val="1"/>
      <w:marLeft w:val="0"/>
      <w:marRight w:val="0"/>
      <w:marTop w:val="0"/>
      <w:marBottom w:val="0"/>
      <w:divBdr>
        <w:top w:val="none" w:sz="0" w:space="0" w:color="auto"/>
        <w:left w:val="none" w:sz="0" w:space="0" w:color="auto"/>
        <w:bottom w:val="none" w:sz="0" w:space="0" w:color="auto"/>
        <w:right w:val="none" w:sz="0" w:space="0" w:color="auto"/>
      </w:divBdr>
    </w:div>
    <w:div w:id="1522015834">
      <w:bodyDiv w:val="1"/>
      <w:marLeft w:val="0"/>
      <w:marRight w:val="0"/>
      <w:marTop w:val="0"/>
      <w:marBottom w:val="0"/>
      <w:divBdr>
        <w:top w:val="none" w:sz="0" w:space="0" w:color="auto"/>
        <w:left w:val="none" w:sz="0" w:space="0" w:color="auto"/>
        <w:bottom w:val="none" w:sz="0" w:space="0" w:color="auto"/>
        <w:right w:val="none" w:sz="0" w:space="0" w:color="auto"/>
      </w:divBdr>
    </w:div>
    <w:div w:id="1621641383">
      <w:bodyDiv w:val="1"/>
      <w:marLeft w:val="0"/>
      <w:marRight w:val="0"/>
      <w:marTop w:val="0"/>
      <w:marBottom w:val="0"/>
      <w:divBdr>
        <w:top w:val="none" w:sz="0" w:space="0" w:color="auto"/>
        <w:left w:val="none" w:sz="0" w:space="0" w:color="auto"/>
        <w:bottom w:val="none" w:sz="0" w:space="0" w:color="auto"/>
        <w:right w:val="none" w:sz="0" w:space="0" w:color="auto"/>
      </w:divBdr>
    </w:div>
    <w:div w:id="1722514620">
      <w:bodyDiv w:val="1"/>
      <w:marLeft w:val="0"/>
      <w:marRight w:val="0"/>
      <w:marTop w:val="0"/>
      <w:marBottom w:val="0"/>
      <w:divBdr>
        <w:top w:val="none" w:sz="0" w:space="0" w:color="auto"/>
        <w:left w:val="none" w:sz="0" w:space="0" w:color="auto"/>
        <w:bottom w:val="none" w:sz="0" w:space="0" w:color="auto"/>
        <w:right w:val="none" w:sz="0" w:space="0" w:color="auto"/>
      </w:divBdr>
    </w:div>
    <w:div w:id="1760829440">
      <w:bodyDiv w:val="1"/>
      <w:marLeft w:val="0"/>
      <w:marRight w:val="0"/>
      <w:marTop w:val="0"/>
      <w:marBottom w:val="0"/>
      <w:divBdr>
        <w:top w:val="none" w:sz="0" w:space="0" w:color="auto"/>
        <w:left w:val="none" w:sz="0" w:space="0" w:color="auto"/>
        <w:bottom w:val="none" w:sz="0" w:space="0" w:color="auto"/>
        <w:right w:val="none" w:sz="0" w:space="0" w:color="auto"/>
      </w:divBdr>
    </w:div>
    <w:div w:id="1799102665">
      <w:bodyDiv w:val="1"/>
      <w:marLeft w:val="0"/>
      <w:marRight w:val="0"/>
      <w:marTop w:val="0"/>
      <w:marBottom w:val="0"/>
      <w:divBdr>
        <w:top w:val="none" w:sz="0" w:space="0" w:color="auto"/>
        <w:left w:val="none" w:sz="0" w:space="0" w:color="auto"/>
        <w:bottom w:val="none" w:sz="0" w:space="0" w:color="auto"/>
        <w:right w:val="none" w:sz="0" w:space="0" w:color="auto"/>
      </w:divBdr>
    </w:div>
    <w:div w:id="1867017739">
      <w:bodyDiv w:val="1"/>
      <w:marLeft w:val="0"/>
      <w:marRight w:val="0"/>
      <w:marTop w:val="0"/>
      <w:marBottom w:val="0"/>
      <w:divBdr>
        <w:top w:val="none" w:sz="0" w:space="0" w:color="auto"/>
        <w:left w:val="none" w:sz="0" w:space="0" w:color="auto"/>
        <w:bottom w:val="none" w:sz="0" w:space="0" w:color="auto"/>
        <w:right w:val="none" w:sz="0" w:space="0" w:color="auto"/>
      </w:divBdr>
      <w:divsChild>
        <w:div w:id="784734863">
          <w:marLeft w:val="0"/>
          <w:marRight w:val="0"/>
          <w:marTop w:val="34"/>
          <w:marBottom w:val="34"/>
          <w:divBdr>
            <w:top w:val="none" w:sz="0" w:space="0" w:color="auto"/>
            <w:left w:val="none" w:sz="0" w:space="0" w:color="auto"/>
            <w:bottom w:val="none" w:sz="0" w:space="0" w:color="auto"/>
            <w:right w:val="none" w:sz="0" w:space="0" w:color="auto"/>
          </w:divBdr>
        </w:div>
      </w:divsChild>
    </w:div>
    <w:div w:id="1888099699">
      <w:bodyDiv w:val="1"/>
      <w:marLeft w:val="0"/>
      <w:marRight w:val="0"/>
      <w:marTop w:val="0"/>
      <w:marBottom w:val="0"/>
      <w:divBdr>
        <w:top w:val="none" w:sz="0" w:space="0" w:color="auto"/>
        <w:left w:val="none" w:sz="0" w:space="0" w:color="auto"/>
        <w:bottom w:val="none" w:sz="0" w:space="0" w:color="auto"/>
        <w:right w:val="none" w:sz="0" w:space="0" w:color="auto"/>
      </w:divBdr>
      <w:divsChild>
        <w:div w:id="197200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791828">
              <w:marLeft w:val="0"/>
              <w:marRight w:val="0"/>
              <w:marTop w:val="0"/>
              <w:marBottom w:val="0"/>
              <w:divBdr>
                <w:top w:val="none" w:sz="0" w:space="0" w:color="auto"/>
                <w:left w:val="none" w:sz="0" w:space="0" w:color="auto"/>
                <w:bottom w:val="none" w:sz="0" w:space="0" w:color="auto"/>
                <w:right w:val="none" w:sz="0" w:space="0" w:color="auto"/>
              </w:divBdr>
              <w:divsChild>
                <w:div w:id="8013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0045">
      <w:bodyDiv w:val="1"/>
      <w:marLeft w:val="0"/>
      <w:marRight w:val="0"/>
      <w:marTop w:val="0"/>
      <w:marBottom w:val="0"/>
      <w:divBdr>
        <w:top w:val="none" w:sz="0" w:space="0" w:color="auto"/>
        <w:left w:val="none" w:sz="0" w:space="0" w:color="auto"/>
        <w:bottom w:val="none" w:sz="0" w:space="0" w:color="auto"/>
        <w:right w:val="none" w:sz="0" w:space="0" w:color="auto"/>
      </w:divBdr>
      <w:divsChild>
        <w:div w:id="654845896">
          <w:marLeft w:val="446"/>
          <w:marRight w:val="0"/>
          <w:marTop w:val="0"/>
          <w:marBottom w:val="0"/>
          <w:divBdr>
            <w:top w:val="none" w:sz="0" w:space="0" w:color="auto"/>
            <w:left w:val="none" w:sz="0" w:space="0" w:color="auto"/>
            <w:bottom w:val="none" w:sz="0" w:space="0" w:color="auto"/>
            <w:right w:val="none" w:sz="0" w:space="0" w:color="auto"/>
          </w:divBdr>
        </w:div>
        <w:div w:id="1435907164">
          <w:marLeft w:val="446"/>
          <w:marRight w:val="0"/>
          <w:marTop w:val="0"/>
          <w:marBottom w:val="0"/>
          <w:divBdr>
            <w:top w:val="none" w:sz="0" w:space="0" w:color="auto"/>
            <w:left w:val="none" w:sz="0" w:space="0" w:color="auto"/>
            <w:bottom w:val="none" w:sz="0" w:space="0" w:color="auto"/>
            <w:right w:val="none" w:sz="0" w:space="0" w:color="auto"/>
          </w:divBdr>
        </w:div>
        <w:div w:id="1147741762">
          <w:marLeft w:val="1166"/>
          <w:marRight w:val="0"/>
          <w:marTop w:val="0"/>
          <w:marBottom w:val="0"/>
          <w:divBdr>
            <w:top w:val="none" w:sz="0" w:space="0" w:color="auto"/>
            <w:left w:val="none" w:sz="0" w:space="0" w:color="auto"/>
            <w:bottom w:val="none" w:sz="0" w:space="0" w:color="auto"/>
            <w:right w:val="none" w:sz="0" w:space="0" w:color="auto"/>
          </w:divBdr>
        </w:div>
        <w:div w:id="227425298">
          <w:marLeft w:val="1166"/>
          <w:marRight w:val="0"/>
          <w:marTop w:val="0"/>
          <w:marBottom w:val="0"/>
          <w:divBdr>
            <w:top w:val="none" w:sz="0" w:space="0" w:color="auto"/>
            <w:left w:val="none" w:sz="0" w:space="0" w:color="auto"/>
            <w:bottom w:val="none" w:sz="0" w:space="0" w:color="auto"/>
            <w:right w:val="none" w:sz="0" w:space="0" w:color="auto"/>
          </w:divBdr>
        </w:div>
        <w:div w:id="916748627">
          <w:marLeft w:val="446"/>
          <w:marRight w:val="0"/>
          <w:marTop w:val="0"/>
          <w:marBottom w:val="0"/>
          <w:divBdr>
            <w:top w:val="none" w:sz="0" w:space="0" w:color="auto"/>
            <w:left w:val="none" w:sz="0" w:space="0" w:color="auto"/>
            <w:bottom w:val="none" w:sz="0" w:space="0" w:color="auto"/>
            <w:right w:val="none" w:sz="0" w:space="0" w:color="auto"/>
          </w:divBdr>
        </w:div>
      </w:divsChild>
    </w:div>
    <w:div w:id="1906837462">
      <w:bodyDiv w:val="1"/>
      <w:marLeft w:val="0"/>
      <w:marRight w:val="0"/>
      <w:marTop w:val="0"/>
      <w:marBottom w:val="0"/>
      <w:divBdr>
        <w:top w:val="none" w:sz="0" w:space="0" w:color="auto"/>
        <w:left w:val="none" w:sz="0" w:space="0" w:color="auto"/>
        <w:bottom w:val="none" w:sz="0" w:space="0" w:color="auto"/>
        <w:right w:val="none" w:sz="0" w:space="0" w:color="auto"/>
      </w:divBdr>
      <w:divsChild>
        <w:div w:id="193885379">
          <w:marLeft w:val="0"/>
          <w:marRight w:val="0"/>
          <w:marTop w:val="120"/>
          <w:marBottom w:val="360"/>
          <w:divBdr>
            <w:top w:val="none" w:sz="0" w:space="0" w:color="auto"/>
            <w:left w:val="none" w:sz="0" w:space="0" w:color="auto"/>
            <w:bottom w:val="none" w:sz="0" w:space="0" w:color="auto"/>
            <w:right w:val="none" w:sz="0" w:space="0" w:color="auto"/>
          </w:divBdr>
          <w:divsChild>
            <w:div w:id="2121990348">
              <w:marLeft w:val="420"/>
              <w:marRight w:val="0"/>
              <w:marTop w:val="0"/>
              <w:marBottom w:val="0"/>
              <w:divBdr>
                <w:top w:val="none" w:sz="0" w:space="0" w:color="auto"/>
                <w:left w:val="none" w:sz="0" w:space="0" w:color="auto"/>
                <w:bottom w:val="none" w:sz="0" w:space="0" w:color="auto"/>
                <w:right w:val="none" w:sz="0" w:space="0" w:color="auto"/>
              </w:divBdr>
              <w:divsChild>
                <w:div w:id="302202232">
                  <w:marLeft w:val="0"/>
                  <w:marRight w:val="0"/>
                  <w:marTop w:val="34"/>
                  <w:marBottom w:val="34"/>
                  <w:divBdr>
                    <w:top w:val="none" w:sz="0" w:space="0" w:color="auto"/>
                    <w:left w:val="none" w:sz="0" w:space="0" w:color="auto"/>
                    <w:bottom w:val="none" w:sz="0" w:space="0" w:color="auto"/>
                    <w:right w:val="none" w:sz="0" w:space="0" w:color="auto"/>
                  </w:divBdr>
                </w:div>
                <w:div w:id="2116361231">
                  <w:marLeft w:val="0"/>
                  <w:marRight w:val="0"/>
                  <w:marTop w:val="0"/>
                  <w:marBottom w:val="0"/>
                  <w:divBdr>
                    <w:top w:val="none" w:sz="0" w:space="0" w:color="auto"/>
                    <w:left w:val="none" w:sz="0" w:space="0" w:color="auto"/>
                    <w:bottom w:val="none" w:sz="0" w:space="0" w:color="auto"/>
                    <w:right w:val="none" w:sz="0" w:space="0" w:color="auto"/>
                  </w:divBdr>
                  <w:divsChild>
                    <w:div w:id="980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40419">
          <w:marLeft w:val="0"/>
          <w:marRight w:val="0"/>
          <w:marTop w:val="120"/>
          <w:marBottom w:val="360"/>
          <w:divBdr>
            <w:top w:val="none" w:sz="0" w:space="0" w:color="auto"/>
            <w:left w:val="none" w:sz="0" w:space="0" w:color="auto"/>
            <w:bottom w:val="none" w:sz="0" w:space="0" w:color="auto"/>
            <w:right w:val="none" w:sz="0" w:space="0" w:color="auto"/>
          </w:divBdr>
          <w:divsChild>
            <w:div w:id="179323384">
              <w:marLeft w:val="0"/>
              <w:marRight w:val="0"/>
              <w:marTop w:val="0"/>
              <w:marBottom w:val="0"/>
              <w:divBdr>
                <w:top w:val="none" w:sz="0" w:space="0" w:color="auto"/>
                <w:left w:val="none" w:sz="0" w:space="0" w:color="auto"/>
                <w:bottom w:val="none" w:sz="0" w:space="0" w:color="auto"/>
                <w:right w:val="none" w:sz="0" w:space="0" w:color="auto"/>
              </w:divBdr>
            </w:div>
            <w:div w:id="54937231">
              <w:marLeft w:val="420"/>
              <w:marRight w:val="0"/>
              <w:marTop w:val="0"/>
              <w:marBottom w:val="0"/>
              <w:divBdr>
                <w:top w:val="none" w:sz="0" w:space="0" w:color="auto"/>
                <w:left w:val="none" w:sz="0" w:space="0" w:color="auto"/>
                <w:bottom w:val="none" w:sz="0" w:space="0" w:color="auto"/>
                <w:right w:val="none" w:sz="0" w:space="0" w:color="auto"/>
              </w:divBdr>
              <w:divsChild>
                <w:div w:id="1339310255">
                  <w:marLeft w:val="0"/>
                  <w:marRight w:val="0"/>
                  <w:marTop w:val="34"/>
                  <w:marBottom w:val="34"/>
                  <w:divBdr>
                    <w:top w:val="none" w:sz="0" w:space="0" w:color="auto"/>
                    <w:left w:val="none" w:sz="0" w:space="0" w:color="auto"/>
                    <w:bottom w:val="none" w:sz="0" w:space="0" w:color="auto"/>
                    <w:right w:val="none" w:sz="0" w:space="0" w:color="auto"/>
                  </w:divBdr>
                </w:div>
                <w:div w:id="723021772">
                  <w:marLeft w:val="0"/>
                  <w:marRight w:val="0"/>
                  <w:marTop w:val="0"/>
                  <w:marBottom w:val="0"/>
                  <w:divBdr>
                    <w:top w:val="none" w:sz="0" w:space="0" w:color="auto"/>
                    <w:left w:val="none" w:sz="0" w:space="0" w:color="auto"/>
                    <w:bottom w:val="none" w:sz="0" w:space="0" w:color="auto"/>
                    <w:right w:val="none" w:sz="0" w:space="0" w:color="auto"/>
                  </w:divBdr>
                  <w:divsChild>
                    <w:div w:id="4280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17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adeep.bhandari@porthosp.nhs.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23467</Words>
  <Characters>133763</Characters>
  <Application>Microsoft Macintosh Word</Application>
  <DocSecurity>0</DocSecurity>
  <Lines>1114</Lines>
  <Paragraphs>313</Paragraphs>
  <ScaleCrop>false</ScaleCrop>
  <Company/>
  <LinksUpToDate>false</LinksUpToDate>
  <CharactersWithSpaces>156917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Kesavan Kandiah</dc:creator>
  <cp:keywords/>
  <dc:description/>
  <cp:lastModifiedBy>Kesavan Kandiah</cp:lastModifiedBy>
  <cp:revision>18</cp:revision>
  <dcterms:created xsi:type="dcterms:W3CDTF">2020-09-19T07:48:00Z</dcterms:created>
  <dcterms:modified xsi:type="dcterms:W3CDTF">2020-09-30T20:31:00Z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1ca1dd0a-49fa-3b8d-80b5-8879cef965fc</vt:lpwstr>
  </property>
  <property fmtid="{D5CDD505-2E9C-101B-9397-08002B2CF9AE}" pid="4" name="Mendeley Citation Style_1">
    <vt:lpwstr>http://www.zotero.org/styles/bmj</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http://www.zotero.org/styles/bmj</vt:lpwstr>
  </property>
  <property fmtid="{D5CDD505-2E9C-101B-9397-08002B2CF9AE}" pid="10" name="Mendeley Recent Style Name 2_1">
    <vt:lpwstr>BMJ</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