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5B" w:rsidRPr="00FD7217" w:rsidRDefault="00C66E5B" w:rsidP="00E76172">
      <w:pPr>
        <w:rPr>
          <w:rFonts w:ascii="Times New Roman" w:hAnsi="Times New Roman" w:cs="Times New Roman"/>
          <w:b/>
        </w:rPr>
      </w:pPr>
      <w:bookmarkStart w:id="0" w:name="_GoBack"/>
      <w:bookmarkEnd w:id="0"/>
      <w:r w:rsidRPr="00FD7217">
        <w:rPr>
          <w:rFonts w:ascii="Times New Roman" w:hAnsi="Times New Roman" w:cs="Times New Roman"/>
          <w:b/>
        </w:rPr>
        <w:t>Duration of Adjuvant Chemotherapy for</w:t>
      </w:r>
      <w:r>
        <w:rPr>
          <w:rFonts w:ascii="Times New Roman" w:hAnsi="Times New Roman" w:cs="Times New Roman"/>
          <w:b/>
        </w:rPr>
        <w:t xml:space="preserve"> Stage III Colon Cancer (IDEA Collaboration): Final R</w:t>
      </w:r>
      <w:r w:rsidRPr="00FD7217">
        <w:rPr>
          <w:rFonts w:ascii="Times New Roman" w:hAnsi="Times New Roman" w:cs="Times New Roman"/>
          <w:b/>
        </w:rPr>
        <w:t xml:space="preserve">esults </w:t>
      </w:r>
      <w:r w:rsidRPr="00FD7217">
        <w:rPr>
          <w:rFonts w:ascii="Times New Roman" w:hAnsi="Times New Roman" w:cs="Times New Roman"/>
          <w:b/>
          <w:bCs/>
        </w:rPr>
        <w:t xml:space="preserve">from </w:t>
      </w:r>
      <w:r>
        <w:rPr>
          <w:rFonts w:ascii="Times New Roman" w:hAnsi="Times New Roman" w:cs="Times New Roman"/>
          <w:b/>
          <w:bCs/>
        </w:rPr>
        <w:t>a Prospective, Pooled Analysis of Six Randomized, Phase 3 Trials</w:t>
      </w:r>
    </w:p>
    <w:p w:rsidR="00C66E5B" w:rsidRPr="00FD7217" w:rsidRDefault="00C66E5B" w:rsidP="000059ED">
      <w:pPr>
        <w:rPr>
          <w:rFonts w:ascii="Times New Roman" w:hAnsi="Times New Roman" w:cs="Times New Roman"/>
        </w:rPr>
      </w:pPr>
    </w:p>
    <w:p w:rsidR="00C66E5B" w:rsidRPr="00F372B4" w:rsidRDefault="00C66E5B" w:rsidP="00975A38">
      <w:pPr>
        <w:pStyle w:val="ListParagraph"/>
        <w:numPr>
          <w:ilvl w:val="0"/>
          <w:numId w:val="7"/>
        </w:numPr>
        <w:ind w:left="360"/>
        <w:rPr>
          <w:rFonts w:ascii="Times New Roman" w:hAnsi="Times New Roman" w:cs="Times New Roman"/>
          <w:sz w:val="18"/>
          <w:szCs w:val="18"/>
          <w:lang w:val="fr-FR"/>
        </w:rPr>
      </w:pPr>
      <w:r w:rsidRPr="00F372B4">
        <w:rPr>
          <w:rFonts w:ascii="Times New Roman" w:hAnsi="Times New Roman" w:cs="Times New Roman"/>
          <w:sz w:val="18"/>
          <w:szCs w:val="18"/>
          <w:lang w:val="fr-FR"/>
        </w:rPr>
        <w:t xml:space="preserve">Thierry André, </w:t>
      </w:r>
      <w:proofErr w:type="gramStart"/>
      <w:r w:rsidRPr="00F372B4">
        <w:rPr>
          <w:rFonts w:ascii="Times New Roman" w:hAnsi="Times New Roman" w:cs="Times New Roman"/>
          <w:sz w:val="18"/>
          <w:szCs w:val="18"/>
          <w:lang w:val="fr-FR"/>
        </w:rPr>
        <w:t>MD</w:t>
      </w:r>
      <w:r>
        <w:rPr>
          <w:rFonts w:ascii="Times New Roman" w:hAnsi="Times New Roman" w:cs="Times New Roman"/>
          <w:sz w:val="18"/>
          <w:szCs w:val="18"/>
          <w:lang w:val="fr-FR"/>
        </w:rPr>
        <w:t>(</w:t>
      </w:r>
      <w:proofErr w:type="gramEnd"/>
      <w:r w:rsidRPr="00F372B4">
        <w:rPr>
          <w:rFonts w:ascii="Times New Roman" w:hAnsi="Times New Roman" w:cs="Times New Roman"/>
          <w:sz w:val="18"/>
          <w:szCs w:val="18"/>
          <w:lang w:val="fr-FR"/>
        </w:rPr>
        <w:t>Sorbonne Université and Hôpital Saint Antoine, 75012 Paris</w:t>
      </w:r>
      <w:r>
        <w:rPr>
          <w:rFonts w:ascii="Times New Roman" w:hAnsi="Times New Roman" w:cs="Times New Roman"/>
          <w:sz w:val="18"/>
          <w:szCs w:val="18"/>
          <w:lang w:val="fr-FR"/>
        </w:rPr>
        <w:t> ; Professor)</w:t>
      </w:r>
      <w:r w:rsidRPr="00F372B4" w:rsidDel="00C76F43">
        <w:rPr>
          <w:rFonts w:ascii="Times New Roman" w:hAnsi="Times New Roman" w:cs="Times New Roman"/>
          <w:sz w:val="18"/>
          <w:szCs w:val="18"/>
          <w:lang w:val="fr-FR"/>
        </w:rPr>
        <w:t xml:space="preserve"> </w:t>
      </w:r>
    </w:p>
    <w:p w:rsidR="00C66E5B" w:rsidRDefault="00C66E5B" w:rsidP="00975A38">
      <w:pPr>
        <w:pStyle w:val="ListParagraph"/>
        <w:numPr>
          <w:ilvl w:val="0"/>
          <w:numId w:val="7"/>
        </w:numPr>
        <w:ind w:left="360"/>
        <w:rPr>
          <w:rFonts w:ascii="Times New Roman" w:hAnsi="Times New Roman" w:cs="Times New Roman"/>
          <w:sz w:val="18"/>
          <w:szCs w:val="18"/>
        </w:rPr>
      </w:pPr>
      <w:r w:rsidRPr="00975A38">
        <w:rPr>
          <w:rFonts w:ascii="Times New Roman" w:hAnsi="Times New Roman" w:cs="Times New Roman"/>
          <w:sz w:val="18"/>
          <w:szCs w:val="18"/>
        </w:rPr>
        <w:t xml:space="preserve">Jeffrey </w:t>
      </w:r>
      <w:proofErr w:type="spellStart"/>
      <w:r w:rsidRPr="00975A38">
        <w:rPr>
          <w:rFonts w:ascii="Times New Roman" w:hAnsi="Times New Roman" w:cs="Times New Roman"/>
          <w:sz w:val="18"/>
          <w:szCs w:val="18"/>
        </w:rPr>
        <w:t>Meyerhardt</w:t>
      </w:r>
      <w:proofErr w:type="spellEnd"/>
      <w:r w:rsidRPr="00975A38">
        <w:rPr>
          <w:rFonts w:ascii="Times New Roman" w:hAnsi="Times New Roman" w:cs="Times New Roman"/>
          <w:sz w:val="18"/>
          <w:szCs w:val="18"/>
        </w:rPr>
        <w:t xml:space="preserve">, MD </w:t>
      </w:r>
      <w:r>
        <w:rPr>
          <w:rFonts w:ascii="Times New Roman" w:hAnsi="Times New Roman" w:cs="Times New Roman"/>
          <w:sz w:val="18"/>
          <w:szCs w:val="18"/>
        </w:rPr>
        <w:t>(</w:t>
      </w:r>
      <w:r w:rsidRPr="00975A38">
        <w:rPr>
          <w:rFonts w:ascii="Times New Roman" w:hAnsi="Times New Roman" w:cs="Times New Roman"/>
          <w:sz w:val="18"/>
          <w:szCs w:val="18"/>
        </w:rPr>
        <w:t>Dana-Farber Cancer Institute, Boston, MA, USA;</w:t>
      </w:r>
      <w:r>
        <w:rPr>
          <w:rFonts w:ascii="Times New Roman" w:hAnsi="Times New Roman" w:cs="Times New Roman"/>
          <w:sz w:val="18"/>
          <w:szCs w:val="18"/>
        </w:rPr>
        <w:t xml:space="preserve"> Professor)</w:t>
      </w:r>
    </w:p>
    <w:p w:rsidR="00C66E5B" w:rsidRDefault="00C66E5B" w:rsidP="00975A38">
      <w:pPr>
        <w:pStyle w:val="ListParagraph"/>
        <w:numPr>
          <w:ilvl w:val="0"/>
          <w:numId w:val="7"/>
        </w:numPr>
        <w:ind w:left="360"/>
        <w:rPr>
          <w:rFonts w:ascii="Times New Roman" w:hAnsi="Times New Roman" w:cs="Times New Roman"/>
          <w:sz w:val="18"/>
          <w:szCs w:val="18"/>
        </w:rPr>
      </w:pPr>
      <w:r w:rsidRPr="00975A38">
        <w:rPr>
          <w:rFonts w:ascii="Times New Roman" w:hAnsi="Times New Roman" w:cs="Times New Roman"/>
          <w:sz w:val="18"/>
          <w:szCs w:val="18"/>
        </w:rPr>
        <w:t xml:space="preserve">Timothy </w:t>
      </w:r>
      <w:proofErr w:type="spellStart"/>
      <w:r w:rsidRPr="00975A38">
        <w:rPr>
          <w:rFonts w:ascii="Times New Roman" w:hAnsi="Times New Roman" w:cs="Times New Roman"/>
          <w:sz w:val="18"/>
          <w:szCs w:val="18"/>
        </w:rPr>
        <w:t>Iveson</w:t>
      </w:r>
      <w:proofErr w:type="spellEnd"/>
      <w:r w:rsidRPr="00975A38">
        <w:rPr>
          <w:rFonts w:ascii="Times New Roman" w:hAnsi="Times New Roman" w:cs="Times New Roman"/>
          <w:sz w:val="18"/>
          <w:szCs w:val="18"/>
        </w:rPr>
        <w:t xml:space="preserve">, MD </w:t>
      </w:r>
      <w:r>
        <w:rPr>
          <w:rFonts w:ascii="Times New Roman" w:hAnsi="Times New Roman" w:cs="Times New Roman"/>
          <w:sz w:val="18"/>
          <w:szCs w:val="18"/>
        </w:rPr>
        <w:t>(</w:t>
      </w:r>
      <w:r w:rsidRPr="00CD7E69">
        <w:rPr>
          <w:rFonts w:ascii="Times New Roman" w:hAnsi="Times New Roman" w:cs="Times New Roman"/>
          <w:sz w:val="18"/>
          <w:szCs w:val="18"/>
        </w:rPr>
        <w:t>University of Southampton</w:t>
      </w:r>
      <w:r w:rsidRPr="00975A38">
        <w:rPr>
          <w:rFonts w:ascii="Times New Roman" w:hAnsi="Times New Roman" w:cs="Times New Roman"/>
          <w:sz w:val="18"/>
          <w:szCs w:val="18"/>
        </w:rPr>
        <w:t>, Southampton, United Kingdom;</w:t>
      </w:r>
      <w:r>
        <w:rPr>
          <w:rFonts w:ascii="Times New Roman" w:hAnsi="Times New Roman" w:cs="Times New Roman"/>
          <w:sz w:val="18"/>
          <w:szCs w:val="18"/>
        </w:rPr>
        <w:t xml:space="preserve"> Professor)</w:t>
      </w:r>
    </w:p>
    <w:p w:rsidR="00C66E5B" w:rsidRDefault="00C66E5B" w:rsidP="00975A38">
      <w:pPr>
        <w:pStyle w:val="ListParagraph"/>
        <w:numPr>
          <w:ilvl w:val="0"/>
          <w:numId w:val="7"/>
        </w:numPr>
        <w:ind w:left="360"/>
        <w:rPr>
          <w:rFonts w:ascii="Times New Roman" w:hAnsi="Times New Roman" w:cs="Times New Roman"/>
          <w:sz w:val="18"/>
          <w:szCs w:val="18"/>
        </w:rPr>
      </w:pPr>
      <w:r>
        <w:rPr>
          <w:rFonts w:ascii="Times New Roman" w:hAnsi="Times New Roman" w:cs="Times New Roman"/>
          <w:sz w:val="18"/>
          <w:szCs w:val="18"/>
        </w:rPr>
        <w:t xml:space="preserve">Alberto </w:t>
      </w:r>
      <w:proofErr w:type="spellStart"/>
      <w:r>
        <w:rPr>
          <w:rFonts w:ascii="Times New Roman" w:hAnsi="Times New Roman" w:cs="Times New Roman"/>
          <w:sz w:val="18"/>
          <w:szCs w:val="18"/>
        </w:rPr>
        <w:t>Sobrero</w:t>
      </w:r>
      <w:proofErr w:type="spellEnd"/>
      <w:r>
        <w:rPr>
          <w:rFonts w:ascii="Times New Roman" w:hAnsi="Times New Roman" w:cs="Times New Roman"/>
          <w:sz w:val="18"/>
          <w:szCs w:val="18"/>
        </w:rPr>
        <w:t>, M</w:t>
      </w:r>
      <w:r w:rsidRPr="00FA40CA">
        <w:rPr>
          <w:rFonts w:ascii="Times New Roman" w:hAnsi="Times New Roman" w:cs="Times New Roman"/>
          <w:sz w:val="18"/>
          <w:szCs w:val="18"/>
        </w:rPr>
        <w:t>D</w:t>
      </w:r>
      <w:r>
        <w:rPr>
          <w:rFonts w:ascii="Times New Roman" w:hAnsi="Times New Roman" w:cs="Times New Roman"/>
          <w:sz w:val="18"/>
          <w:szCs w:val="18"/>
        </w:rPr>
        <w:t xml:space="preserve"> (</w:t>
      </w:r>
      <w:r w:rsidRPr="00975A38">
        <w:rPr>
          <w:rFonts w:ascii="Times New Roman" w:hAnsi="Times New Roman" w:cs="Times New Roman"/>
          <w:sz w:val="18"/>
          <w:szCs w:val="18"/>
        </w:rPr>
        <w:t xml:space="preserve">Medical Oncology Unit, </w:t>
      </w:r>
      <w:proofErr w:type="spellStart"/>
      <w:r w:rsidRPr="00975A38">
        <w:rPr>
          <w:rFonts w:ascii="Times New Roman" w:hAnsi="Times New Roman" w:cs="Times New Roman"/>
          <w:sz w:val="18"/>
          <w:szCs w:val="18"/>
        </w:rPr>
        <w:t>Ospedale</w:t>
      </w:r>
      <w:proofErr w:type="spellEnd"/>
      <w:r w:rsidRPr="00975A38">
        <w:rPr>
          <w:rFonts w:ascii="Times New Roman" w:hAnsi="Times New Roman" w:cs="Times New Roman"/>
          <w:sz w:val="18"/>
          <w:szCs w:val="18"/>
        </w:rPr>
        <w:t xml:space="preserve"> San Martino, Genova, Italy</w:t>
      </w:r>
      <w:r>
        <w:rPr>
          <w:rFonts w:ascii="Times New Roman" w:hAnsi="Times New Roman" w:cs="Times New Roman"/>
          <w:sz w:val="18"/>
          <w:szCs w:val="18"/>
        </w:rPr>
        <w:t>; Professor)</w:t>
      </w:r>
    </w:p>
    <w:p w:rsidR="00C66E5B" w:rsidRDefault="00C66E5B" w:rsidP="00AD54CD">
      <w:pPr>
        <w:pStyle w:val="ListParagraph"/>
        <w:numPr>
          <w:ilvl w:val="0"/>
          <w:numId w:val="7"/>
        </w:numPr>
        <w:ind w:left="360"/>
        <w:rPr>
          <w:rFonts w:ascii="Times New Roman" w:hAnsi="Times New Roman" w:cs="Times New Roman"/>
          <w:sz w:val="18"/>
          <w:szCs w:val="18"/>
        </w:rPr>
      </w:pPr>
      <w:r w:rsidRPr="00975A38">
        <w:rPr>
          <w:rFonts w:ascii="Times New Roman" w:hAnsi="Times New Roman" w:cs="Times New Roman"/>
          <w:sz w:val="18"/>
          <w:szCs w:val="18"/>
        </w:rPr>
        <w:t>Takayuki</w:t>
      </w:r>
      <w:r>
        <w:rPr>
          <w:rFonts w:ascii="Times New Roman" w:hAnsi="Times New Roman" w:cs="Times New Roman"/>
          <w:sz w:val="18"/>
          <w:szCs w:val="18"/>
        </w:rPr>
        <w:t xml:space="preserve"> </w:t>
      </w:r>
      <w:r w:rsidRPr="00975A38">
        <w:rPr>
          <w:rFonts w:ascii="Times New Roman" w:hAnsi="Times New Roman" w:cs="Times New Roman"/>
          <w:sz w:val="18"/>
          <w:szCs w:val="18"/>
        </w:rPr>
        <w:t>Yoshino</w:t>
      </w:r>
      <w:r>
        <w:rPr>
          <w:rFonts w:ascii="Times New Roman" w:hAnsi="Times New Roman" w:cs="Times New Roman"/>
          <w:sz w:val="18"/>
          <w:szCs w:val="18"/>
        </w:rPr>
        <w:t>, MD (</w:t>
      </w:r>
      <w:r w:rsidRPr="00975A38">
        <w:rPr>
          <w:rFonts w:ascii="Times New Roman" w:hAnsi="Times New Roman" w:cs="Times New Roman"/>
          <w:sz w:val="18"/>
          <w:szCs w:val="18"/>
        </w:rPr>
        <w:t>Department of Gastrointestinal Oncology, National Cancer Center Hospital East, Japan</w:t>
      </w:r>
      <w:r>
        <w:rPr>
          <w:rFonts w:ascii="Times New Roman" w:hAnsi="Times New Roman" w:cs="Times New Roman"/>
          <w:sz w:val="18"/>
          <w:szCs w:val="18"/>
        </w:rPr>
        <w:t>; Professor)</w:t>
      </w:r>
    </w:p>
    <w:p w:rsidR="00C66E5B" w:rsidRDefault="00C66E5B" w:rsidP="00AD54CD">
      <w:pPr>
        <w:pStyle w:val="ListParagraph"/>
        <w:numPr>
          <w:ilvl w:val="0"/>
          <w:numId w:val="7"/>
        </w:numPr>
        <w:ind w:left="360"/>
        <w:rPr>
          <w:rFonts w:ascii="Times New Roman" w:hAnsi="Times New Roman" w:cs="Times New Roman"/>
          <w:sz w:val="18"/>
          <w:szCs w:val="18"/>
        </w:rPr>
      </w:pPr>
      <w:proofErr w:type="spellStart"/>
      <w:r w:rsidRPr="00975A38">
        <w:rPr>
          <w:rFonts w:ascii="Times New Roman" w:hAnsi="Times New Roman" w:cs="Times New Roman"/>
          <w:sz w:val="18"/>
          <w:szCs w:val="18"/>
        </w:rPr>
        <w:t>Ioannis</w:t>
      </w:r>
      <w:proofErr w:type="spellEnd"/>
      <w:r>
        <w:rPr>
          <w:rFonts w:ascii="Times New Roman" w:hAnsi="Times New Roman" w:cs="Times New Roman"/>
          <w:sz w:val="18"/>
          <w:szCs w:val="18"/>
        </w:rPr>
        <w:t xml:space="preserve"> </w:t>
      </w:r>
      <w:proofErr w:type="spellStart"/>
      <w:r w:rsidRPr="00975A38">
        <w:rPr>
          <w:rFonts w:ascii="Times New Roman" w:hAnsi="Times New Roman" w:cs="Times New Roman"/>
          <w:sz w:val="18"/>
          <w:szCs w:val="18"/>
        </w:rPr>
        <w:t>Souglakos</w:t>
      </w:r>
      <w:proofErr w:type="spellEnd"/>
      <w:r>
        <w:rPr>
          <w:rFonts w:ascii="Times New Roman" w:hAnsi="Times New Roman" w:cs="Times New Roman"/>
          <w:sz w:val="18"/>
          <w:szCs w:val="18"/>
        </w:rPr>
        <w:t>, MD (</w:t>
      </w:r>
      <w:r w:rsidRPr="00975A38">
        <w:rPr>
          <w:rFonts w:ascii="Times New Roman" w:hAnsi="Times New Roman" w:cs="Times New Roman"/>
          <w:sz w:val="18"/>
          <w:szCs w:val="18"/>
        </w:rPr>
        <w:t>Department of Medical Oncology, University Hospital of Heraklion, Faculty of Medicine, University of Crete</w:t>
      </w:r>
      <w:r>
        <w:rPr>
          <w:rFonts w:ascii="Times New Roman" w:hAnsi="Times New Roman" w:cs="Times New Roman"/>
          <w:sz w:val="18"/>
          <w:szCs w:val="18"/>
        </w:rPr>
        <w:t>, Greece; Associate Professor)</w:t>
      </w:r>
    </w:p>
    <w:p w:rsidR="00C66E5B" w:rsidRDefault="00C66E5B" w:rsidP="00AD54CD">
      <w:pPr>
        <w:pStyle w:val="ListParagraph"/>
        <w:numPr>
          <w:ilvl w:val="0"/>
          <w:numId w:val="7"/>
        </w:numPr>
        <w:ind w:left="360"/>
        <w:rPr>
          <w:rFonts w:ascii="Times New Roman" w:hAnsi="Times New Roman" w:cs="Times New Roman"/>
          <w:sz w:val="18"/>
          <w:szCs w:val="18"/>
        </w:rPr>
      </w:pPr>
      <w:r>
        <w:rPr>
          <w:rFonts w:ascii="Times New Roman" w:hAnsi="Times New Roman" w:cs="Times New Roman"/>
          <w:sz w:val="18"/>
          <w:szCs w:val="18"/>
        </w:rPr>
        <w:t xml:space="preserve">Axel </w:t>
      </w:r>
      <w:proofErr w:type="spellStart"/>
      <w:r>
        <w:rPr>
          <w:rFonts w:ascii="Times New Roman" w:hAnsi="Times New Roman" w:cs="Times New Roman"/>
          <w:sz w:val="18"/>
          <w:szCs w:val="18"/>
        </w:rPr>
        <w:t>Grothey</w:t>
      </w:r>
      <w:proofErr w:type="spellEnd"/>
      <w:r>
        <w:rPr>
          <w:rFonts w:ascii="Times New Roman" w:hAnsi="Times New Roman" w:cs="Times New Roman"/>
          <w:sz w:val="18"/>
          <w:szCs w:val="18"/>
        </w:rPr>
        <w:t>, MD (</w:t>
      </w:r>
      <w:r w:rsidRPr="00975A38">
        <w:rPr>
          <w:rFonts w:ascii="Times New Roman" w:hAnsi="Times New Roman" w:cs="Times New Roman"/>
          <w:sz w:val="18"/>
          <w:szCs w:val="18"/>
        </w:rPr>
        <w:t>West Cancer Center</w:t>
      </w:r>
      <w:r>
        <w:rPr>
          <w:rFonts w:ascii="Times New Roman" w:hAnsi="Times New Roman" w:cs="Times New Roman"/>
          <w:sz w:val="18"/>
          <w:szCs w:val="18"/>
        </w:rPr>
        <w:t xml:space="preserve"> and Research Institute, </w:t>
      </w:r>
      <w:proofErr w:type="spellStart"/>
      <w:r>
        <w:rPr>
          <w:rFonts w:ascii="Times New Roman" w:hAnsi="Times New Roman" w:cs="Times New Roman"/>
          <w:sz w:val="18"/>
          <w:szCs w:val="18"/>
        </w:rPr>
        <w:t>OneOncology</w:t>
      </w:r>
      <w:proofErr w:type="spellEnd"/>
      <w:r>
        <w:rPr>
          <w:rFonts w:ascii="Times New Roman" w:hAnsi="Times New Roman" w:cs="Times New Roman"/>
          <w:sz w:val="18"/>
          <w:szCs w:val="18"/>
        </w:rPr>
        <w:t>, Germantown</w:t>
      </w:r>
      <w:r w:rsidRPr="00975A38">
        <w:rPr>
          <w:rFonts w:ascii="Times New Roman" w:hAnsi="Times New Roman" w:cs="Times New Roman"/>
          <w:sz w:val="18"/>
          <w:szCs w:val="18"/>
        </w:rPr>
        <w:t>, TN</w:t>
      </w:r>
      <w:r>
        <w:rPr>
          <w:rFonts w:ascii="Times New Roman" w:hAnsi="Times New Roman" w:cs="Times New Roman"/>
          <w:sz w:val="18"/>
          <w:szCs w:val="18"/>
        </w:rPr>
        <w:t>, USA; Professor)</w:t>
      </w:r>
    </w:p>
    <w:p w:rsidR="00C66E5B" w:rsidRDefault="00C66E5B" w:rsidP="00AD54CD">
      <w:pPr>
        <w:pStyle w:val="ListParagraph"/>
        <w:numPr>
          <w:ilvl w:val="0"/>
          <w:numId w:val="7"/>
        </w:numPr>
        <w:ind w:left="360"/>
        <w:rPr>
          <w:rFonts w:ascii="Times New Roman" w:hAnsi="Times New Roman" w:cs="Times New Roman"/>
          <w:sz w:val="18"/>
          <w:szCs w:val="18"/>
        </w:rPr>
      </w:pPr>
      <w:r>
        <w:rPr>
          <w:rFonts w:ascii="Times New Roman" w:hAnsi="Times New Roman" w:cs="Times New Roman"/>
          <w:sz w:val="18"/>
          <w:szCs w:val="18"/>
        </w:rPr>
        <w:t xml:space="preserve">Donna </w:t>
      </w:r>
      <w:proofErr w:type="spellStart"/>
      <w:r w:rsidRPr="00DA6326">
        <w:rPr>
          <w:rFonts w:ascii="Times New Roman" w:hAnsi="Times New Roman" w:cs="Times New Roman"/>
          <w:sz w:val="18"/>
          <w:szCs w:val="18"/>
        </w:rPr>
        <w:t>Niedzwiecki</w:t>
      </w:r>
      <w:proofErr w:type="spellEnd"/>
      <w:r>
        <w:rPr>
          <w:rFonts w:ascii="Times New Roman" w:hAnsi="Times New Roman" w:cs="Times New Roman"/>
          <w:sz w:val="18"/>
          <w:szCs w:val="18"/>
        </w:rPr>
        <w:t>, PhD (</w:t>
      </w:r>
      <w:r w:rsidRPr="0087283E">
        <w:rPr>
          <w:rFonts w:ascii="Times New Roman" w:hAnsi="Times New Roman" w:cs="Times New Roman"/>
          <w:sz w:val="18"/>
          <w:szCs w:val="18"/>
        </w:rPr>
        <w:t>Department of Biostatistics and Bioinformatics</w:t>
      </w:r>
      <w:r>
        <w:rPr>
          <w:rFonts w:ascii="Times New Roman" w:hAnsi="Times New Roman" w:cs="Times New Roman"/>
          <w:sz w:val="18"/>
          <w:szCs w:val="18"/>
        </w:rPr>
        <w:t xml:space="preserve">, </w:t>
      </w:r>
      <w:r w:rsidRPr="00DA6326">
        <w:rPr>
          <w:rFonts w:ascii="Times New Roman" w:hAnsi="Times New Roman" w:cs="Times New Roman"/>
          <w:sz w:val="18"/>
          <w:szCs w:val="18"/>
        </w:rPr>
        <w:t>Duke University, Durham, NC, USA</w:t>
      </w:r>
      <w:r>
        <w:rPr>
          <w:rFonts w:ascii="Times New Roman" w:hAnsi="Times New Roman" w:cs="Times New Roman"/>
          <w:sz w:val="18"/>
          <w:szCs w:val="18"/>
        </w:rPr>
        <w:t>; Professor)</w:t>
      </w:r>
    </w:p>
    <w:p w:rsidR="00C66E5B" w:rsidRDefault="00C66E5B" w:rsidP="00AD54CD">
      <w:pPr>
        <w:pStyle w:val="ListParagraph"/>
        <w:numPr>
          <w:ilvl w:val="0"/>
          <w:numId w:val="7"/>
        </w:numPr>
        <w:ind w:left="360"/>
        <w:rPr>
          <w:rFonts w:ascii="Times New Roman" w:hAnsi="Times New Roman" w:cs="Times New Roman"/>
          <w:sz w:val="18"/>
          <w:szCs w:val="18"/>
        </w:rPr>
      </w:pPr>
      <w:r>
        <w:rPr>
          <w:rFonts w:ascii="Times New Roman" w:hAnsi="Times New Roman" w:cs="Times New Roman"/>
          <w:sz w:val="18"/>
          <w:szCs w:val="18"/>
        </w:rPr>
        <w:t>Mark Saunders, MD (</w:t>
      </w:r>
      <w:r w:rsidRPr="00DA6326">
        <w:rPr>
          <w:rFonts w:ascii="Times New Roman" w:hAnsi="Times New Roman" w:cs="Times New Roman"/>
          <w:sz w:val="18"/>
          <w:szCs w:val="18"/>
        </w:rPr>
        <w:t>Christie Hospital, Manchester, UK</w:t>
      </w:r>
      <w:r>
        <w:rPr>
          <w:rFonts w:ascii="Times New Roman" w:hAnsi="Times New Roman" w:cs="Times New Roman"/>
          <w:sz w:val="18"/>
          <w:szCs w:val="18"/>
        </w:rPr>
        <w:t>; Professor)</w:t>
      </w:r>
    </w:p>
    <w:p w:rsidR="00C66E5B" w:rsidRDefault="00C66E5B" w:rsidP="00AD54CD">
      <w:pPr>
        <w:pStyle w:val="ListParagraph"/>
        <w:numPr>
          <w:ilvl w:val="0"/>
          <w:numId w:val="7"/>
        </w:numPr>
        <w:ind w:left="360"/>
        <w:rPr>
          <w:rFonts w:ascii="Times New Roman" w:hAnsi="Times New Roman" w:cs="Times New Roman"/>
          <w:sz w:val="18"/>
          <w:szCs w:val="18"/>
        </w:rPr>
      </w:pPr>
      <w:r>
        <w:rPr>
          <w:rFonts w:ascii="Times New Roman" w:hAnsi="Times New Roman" w:cs="Times New Roman"/>
          <w:sz w:val="18"/>
          <w:szCs w:val="18"/>
        </w:rPr>
        <w:t xml:space="preserve">Roberto </w:t>
      </w:r>
      <w:proofErr w:type="spellStart"/>
      <w:r w:rsidRPr="00DA6326">
        <w:rPr>
          <w:rFonts w:ascii="Times New Roman" w:hAnsi="Times New Roman" w:cs="Times New Roman"/>
          <w:sz w:val="18"/>
          <w:szCs w:val="18"/>
        </w:rPr>
        <w:t>Labianca</w:t>
      </w:r>
      <w:proofErr w:type="spellEnd"/>
      <w:r>
        <w:rPr>
          <w:rFonts w:ascii="Times New Roman" w:hAnsi="Times New Roman" w:cs="Times New Roman"/>
          <w:sz w:val="18"/>
          <w:szCs w:val="18"/>
        </w:rPr>
        <w:t>, MD (</w:t>
      </w:r>
      <w:proofErr w:type="spellStart"/>
      <w:r w:rsidRPr="00DA6326">
        <w:rPr>
          <w:rFonts w:ascii="Times New Roman" w:hAnsi="Times New Roman" w:cs="Times New Roman"/>
          <w:sz w:val="18"/>
          <w:szCs w:val="18"/>
        </w:rPr>
        <w:t>Ospdale</w:t>
      </w:r>
      <w:proofErr w:type="spellEnd"/>
      <w:r w:rsidRPr="00DA6326">
        <w:rPr>
          <w:rFonts w:ascii="Times New Roman" w:hAnsi="Times New Roman" w:cs="Times New Roman"/>
          <w:sz w:val="18"/>
          <w:szCs w:val="18"/>
        </w:rPr>
        <w:t xml:space="preserve"> Papa Giovanni XXIII, Bergamo, Italy</w:t>
      </w:r>
      <w:r>
        <w:rPr>
          <w:rFonts w:ascii="Times New Roman" w:hAnsi="Times New Roman" w:cs="Times New Roman"/>
          <w:sz w:val="18"/>
          <w:szCs w:val="18"/>
        </w:rPr>
        <w:t>, Professor)</w:t>
      </w:r>
    </w:p>
    <w:p w:rsidR="00C66E5B" w:rsidRDefault="00C66E5B" w:rsidP="00AD54CD">
      <w:pPr>
        <w:pStyle w:val="ListParagraph"/>
        <w:numPr>
          <w:ilvl w:val="0"/>
          <w:numId w:val="7"/>
        </w:numPr>
        <w:ind w:left="360"/>
        <w:rPr>
          <w:rFonts w:ascii="Times New Roman" w:hAnsi="Times New Roman" w:cs="Times New Roman"/>
          <w:sz w:val="18"/>
          <w:szCs w:val="18"/>
        </w:rPr>
      </w:pPr>
      <w:proofErr w:type="spellStart"/>
      <w:r w:rsidRPr="00DA6326">
        <w:rPr>
          <w:rFonts w:ascii="Times New Roman" w:hAnsi="Times New Roman" w:cs="Times New Roman"/>
          <w:sz w:val="18"/>
          <w:szCs w:val="18"/>
        </w:rPr>
        <w:t>Takeharu</w:t>
      </w:r>
      <w:proofErr w:type="spellEnd"/>
      <w:r>
        <w:rPr>
          <w:rFonts w:ascii="Times New Roman" w:hAnsi="Times New Roman" w:cs="Times New Roman"/>
          <w:sz w:val="18"/>
          <w:szCs w:val="18"/>
        </w:rPr>
        <w:t xml:space="preserve"> </w:t>
      </w:r>
      <w:r w:rsidRPr="00DA6326">
        <w:rPr>
          <w:rFonts w:ascii="Times New Roman" w:hAnsi="Times New Roman" w:cs="Times New Roman"/>
          <w:sz w:val="18"/>
          <w:szCs w:val="18"/>
        </w:rPr>
        <w:t>Yamanaka</w:t>
      </w:r>
      <w:r>
        <w:rPr>
          <w:rFonts w:ascii="Times New Roman" w:hAnsi="Times New Roman" w:cs="Times New Roman"/>
          <w:sz w:val="18"/>
          <w:szCs w:val="18"/>
        </w:rPr>
        <w:t>, PhD (</w:t>
      </w:r>
      <w:r w:rsidRPr="00DA6326">
        <w:rPr>
          <w:rFonts w:ascii="Times New Roman" w:hAnsi="Times New Roman" w:cs="Times New Roman"/>
          <w:sz w:val="18"/>
          <w:szCs w:val="18"/>
        </w:rPr>
        <w:t>Yokohama City University School of Medicine Yokohama, Japan</w:t>
      </w:r>
      <w:r>
        <w:rPr>
          <w:rFonts w:ascii="Times New Roman" w:hAnsi="Times New Roman" w:cs="Times New Roman"/>
          <w:sz w:val="18"/>
          <w:szCs w:val="18"/>
        </w:rPr>
        <w:t>; Professor)</w:t>
      </w:r>
    </w:p>
    <w:p w:rsidR="00C66E5B" w:rsidRDefault="00C66E5B" w:rsidP="00AD54CD">
      <w:pPr>
        <w:pStyle w:val="ListParagraph"/>
        <w:numPr>
          <w:ilvl w:val="0"/>
          <w:numId w:val="7"/>
        </w:numPr>
        <w:ind w:left="360"/>
        <w:rPr>
          <w:rFonts w:ascii="Times New Roman" w:hAnsi="Times New Roman" w:cs="Times New Roman"/>
          <w:sz w:val="18"/>
          <w:szCs w:val="18"/>
        </w:rPr>
      </w:pPr>
      <w:proofErr w:type="spellStart"/>
      <w:r w:rsidRPr="00DA6326">
        <w:rPr>
          <w:rFonts w:ascii="Times New Roman" w:hAnsi="Times New Roman" w:cs="Times New Roman"/>
          <w:sz w:val="18"/>
          <w:szCs w:val="18"/>
        </w:rPr>
        <w:t>Ioannis</w:t>
      </w:r>
      <w:proofErr w:type="spellEnd"/>
      <w:r>
        <w:rPr>
          <w:rFonts w:ascii="Times New Roman" w:hAnsi="Times New Roman" w:cs="Times New Roman"/>
          <w:sz w:val="18"/>
          <w:szCs w:val="18"/>
        </w:rPr>
        <w:t xml:space="preserve"> </w:t>
      </w:r>
      <w:proofErr w:type="spellStart"/>
      <w:r w:rsidRPr="00DA6326">
        <w:rPr>
          <w:rFonts w:ascii="Times New Roman" w:hAnsi="Times New Roman" w:cs="Times New Roman"/>
          <w:sz w:val="18"/>
          <w:szCs w:val="18"/>
        </w:rPr>
        <w:t>Boukovinas</w:t>
      </w:r>
      <w:proofErr w:type="spellEnd"/>
      <w:r>
        <w:rPr>
          <w:rFonts w:ascii="Times New Roman" w:hAnsi="Times New Roman" w:cs="Times New Roman"/>
          <w:sz w:val="18"/>
          <w:szCs w:val="18"/>
        </w:rPr>
        <w:t>, MD (</w:t>
      </w:r>
      <w:proofErr w:type="spellStart"/>
      <w:r w:rsidRPr="00DA6326">
        <w:rPr>
          <w:rFonts w:ascii="Times New Roman" w:hAnsi="Times New Roman" w:cs="Times New Roman"/>
          <w:sz w:val="18"/>
          <w:szCs w:val="18"/>
        </w:rPr>
        <w:t>Bioclinic</w:t>
      </w:r>
      <w:proofErr w:type="spellEnd"/>
      <w:r w:rsidRPr="00DA6326">
        <w:rPr>
          <w:rFonts w:ascii="Times New Roman" w:hAnsi="Times New Roman" w:cs="Times New Roman"/>
          <w:sz w:val="18"/>
          <w:szCs w:val="18"/>
        </w:rPr>
        <w:t xml:space="preserve"> Thessaloniki Medical Oncology Unit, Thessaloniki, Greece</w:t>
      </w:r>
      <w:r>
        <w:rPr>
          <w:rFonts w:ascii="Times New Roman" w:hAnsi="Times New Roman" w:cs="Times New Roman"/>
          <w:sz w:val="18"/>
          <w:szCs w:val="18"/>
        </w:rPr>
        <w:t>)</w:t>
      </w:r>
    </w:p>
    <w:p w:rsidR="00C66E5B" w:rsidRDefault="00C66E5B" w:rsidP="00AD54CD">
      <w:pPr>
        <w:pStyle w:val="ListParagraph"/>
        <w:numPr>
          <w:ilvl w:val="0"/>
          <w:numId w:val="7"/>
        </w:numPr>
        <w:ind w:left="360"/>
        <w:rPr>
          <w:rFonts w:ascii="Times New Roman" w:hAnsi="Times New Roman" w:cs="Times New Roman"/>
          <w:sz w:val="18"/>
          <w:szCs w:val="18"/>
        </w:rPr>
      </w:pPr>
      <w:proofErr w:type="spellStart"/>
      <w:r>
        <w:rPr>
          <w:rFonts w:ascii="Times New Roman" w:hAnsi="Times New Roman" w:cs="Times New Roman"/>
          <w:sz w:val="18"/>
          <w:szCs w:val="18"/>
        </w:rPr>
        <w:t>Dewi</w:t>
      </w:r>
      <w:proofErr w:type="spellEnd"/>
      <w:r>
        <w:rPr>
          <w:rFonts w:ascii="Times New Roman" w:hAnsi="Times New Roman" w:cs="Times New Roman"/>
          <w:sz w:val="18"/>
          <w:szCs w:val="18"/>
        </w:rPr>
        <w:t xml:space="preserve"> </w:t>
      </w:r>
      <w:proofErr w:type="spellStart"/>
      <w:r w:rsidRPr="00DA6326">
        <w:rPr>
          <w:rFonts w:ascii="Times New Roman" w:hAnsi="Times New Roman" w:cs="Times New Roman"/>
          <w:sz w:val="18"/>
          <w:szCs w:val="18"/>
        </w:rPr>
        <w:t>Vernerey</w:t>
      </w:r>
      <w:proofErr w:type="spellEnd"/>
      <w:r>
        <w:rPr>
          <w:rFonts w:ascii="Times New Roman" w:hAnsi="Times New Roman" w:cs="Times New Roman"/>
          <w:sz w:val="18"/>
          <w:szCs w:val="18"/>
        </w:rPr>
        <w:t xml:space="preserve">, </w:t>
      </w:r>
      <w:r w:rsidRPr="00FA40CA">
        <w:rPr>
          <w:rFonts w:ascii="Times New Roman" w:hAnsi="Times New Roman" w:cs="Times New Roman"/>
          <w:sz w:val="18"/>
          <w:szCs w:val="18"/>
        </w:rPr>
        <w:t>PhD</w:t>
      </w:r>
      <w:r>
        <w:rPr>
          <w:rFonts w:ascii="Times New Roman" w:hAnsi="Times New Roman" w:cs="Times New Roman"/>
          <w:sz w:val="18"/>
          <w:szCs w:val="18"/>
        </w:rPr>
        <w:t xml:space="preserve"> (</w:t>
      </w:r>
      <w:r w:rsidRPr="00DA6326">
        <w:rPr>
          <w:rFonts w:ascii="Times New Roman" w:hAnsi="Times New Roman" w:cs="Times New Roman"/>
          <w:sz w:val="18"/>
          <w:szCs w:val="18"/>
        </w:rPr>
        <w:t xml:space="preserve">Methodology and Quality of Life Unit, INSERM UMR 1098, 3 Boulevard Alexandre Fleming, 25030 </w:t>
      </w:r>
      <w:proofErr w:type="spellStart"/>
      <w:r w:rsidRPr="00DA6326">
        <w:rPr>
          <w:rFonts w:ascii="Times New Roman" w:hAnsi="Times New Roman" w:cs="Times New Roman"/>
          <w:sz w:val="18"/>
          <w:szCs w:val="18"/>
        </w:rPr>
        <w:t>Besançon</w:t>
      </w:r>
      <w:proofErr w:type="spellEnd"/>
      <w:r w:rsidRPr="00DA6326">
        <w:rPr>
          <w:rFonts w:ascii="Times New Roman" w:hAnsi="Times New Roman" w:cs="Times New Roman"/>
          <w:sz w:val="18"/>
          <w:szCs w:val="18"/>
        </w:rPr>
        <w:t>, France</w:t>
      </w:r>
      <w:r>
        <w:rPr>
          <w:rFonts w:ascii="Times New Roman" w:hAnsi="Times New Roman" w:cs="Times New Roman"/>
          <w:sz w:val="18"/>
          <w:szCs w:val="18"/>
        </w:rPr>
        <w:t>)</w:t>
      </w:r>
    </w:p>
    <w:p w:rsidR="00C66E5B" w:rsidRDefault="00C66E5B" w:rsidP="00AD54CD">
      <w:pPr>
        <w:pStyle w:val="ListParagraph"/>
        <w:numPr>
          <w:ilvl w:val="0"/>
          <w:numId w:val="7"/>
        </w:numPr>
        <w:ind w:left="360"/>
        <w:rPr>
          <w:rFonts w:ascii="Times New Roman" w:hAnsi="Times New Roman" w:cs="Times New Roman"/>
          <w:sz w:val="18"/>
          <w:szCs w:val="18"/>
        </w:rPr>
      </w:pPr>
      <w:r>
        <w:rPr>
          <w:rFonts w:ascii="Times New Roman" w:hAnsi="Times New Roman" w:cs="Times New Roman"/>
          <w:sz w:val="18"/>
          <w:szCs w:val="18"/>
        </w:rPr>
        <w:t>Jeffrey Meyers, BS (</w:t>
      </w:r>
      <w:r w:rsidRPr="00DA6326">
        <w:rPr>
          <w:rFonts w:ascii="Times New Roman" w:hAnsi="Times New Roman" w:cs="Times New Roman"/>
          <w:sz w:val="18"/>
          <w:szCs w:val="18"/>
        </w:rPr>
        <w:t>Department of Health Science Research, Mayo Clinic, Rochester, MN, USA</w:t>
      </w:r>
      <w:r>
        <w:rPr>
          <w:rFonts w:ascii="Times New Roman" w:hAnsi="Times New Roman" w:cs="Times New Roman"/>
          <w:sz w:val="18"/>
          <w:szCs w:val="18"/>
        </w:rPr>
        <w:t>)</w:t>
      </w:r>
    </w:p>
    <w:p w:rsidR="00C66E5B" w:rsidRDefault="00C66E5B" w:rsidP="00AD54CD">
      <w:pPr>
        <w:pStyle w:val="ListParagraph"/>
        <w:numPr>
          <w:ilvl w:val="0"/>
          <w:numId w:val="7"/>
        </w:numPr>
        <w:ind w:left="360"/>
        <w:rPr>
          <w:rFonts w:ascii="Times New Roman" w:hAnsi="Times New Roman" w:cs="Times New Roman"/>
          <w:sz w:val="18"/>
          <w:szCs w:val="18"/>
        </w:rPr>
      </w:pPr>
      <w:r>
        <w:rPr>
          <w:rFonts w:ascii="Times New Roman" w:hAnsi="Times New Roman" w:cs="Times New Roman"/>
          <w:sz w:val="18"/>
          <w:szCs w:val="18"/>
        </w:rPr>
        <w:t>Andrea Harkin, BA (</w:t>
      </w:r>
      <w:r w:rsidRPr="00DA6326">
        <w:rPr>
          <w:rFonts w:ascii="Times New Roman" w:hAnsi="Times New Roman" w:cs="Times New Roman"/>
          <w:sz w:val="18"/>
          <w:szCs w:val="18"/>
        </w:rPr>
        <w:t>Operations Director, Cancer Research UK Glasgow Clinical Trials Unit</w:t>
      </w:r>
      <w:r>
        <w:rPr>
          <w:rFonts w:ascii="Times New Roman" w:hAnsi="Times New Roman" w:cs="Times New Roman"/>
          <w:sz w:val="18"/>
          <w:szCs w:val="18"/>
        </w:rPr>
        <w:t>; UK)</w:t>
      </w:r>
    </w:p>
    <w:p w:rsidR="00C66E5B" w:rsidRDefault="00C66E5B" w:rsidP="00AD54CD">
      <w:pPr>
        <w:pStyle w:val="ListParagraph"/>
        <w:numPr>
          <w:ilvl w:val="0"/>
          <w:numId w:val="7"/>
        </w:numPr>
        <w:ind w:left="360"/>
        <w:rPr>
          <w:rFonts w:ascii="Times New Roman" w:hAnsi="Times New Roman" w:cs="Times New Roman"/>
          <w:sz w:val="18"/>
          <w:szCs w:val="18"/>
        </w:rPr>
      </w:pPr>
      <w:proofErr w:type="spellStart"/>
      <w:r>
        <w:rPr>
          <w:rFonts w:ascii="Times New Roman" w:hAnsi="Times New Roman" w:cs="Times New Roman"/>
          <w:sz w:val="18"/>
          <w:szCs w:val="18"/>
        </w:rPr>
        <w:t>Valter</w:t>
      </w:r>
      <w:proofErr w:type="spellEnd"/>
      <w:r>
        <w:rPr>
          <w:rFonts w:ascii="Times New Roman" w:hAnsi="Times New Roman" w:cs="Times New Roman"/>
          <w:sz w:val="18"/>
          <w:szCs w:val="18"/>
        </w:rPr>
        <w:t xml:space="preserve"> Torri, MD (</w:t>
      </w:r>
      <w:r w:rsidRPr="00DA6326">
        <w:rPr>
          <w:rFonts w:ascii="Times New Roman" w:hAnsi="Times New Roman" w:cs="Times New Roman"/>
          <w:sz w:val="18"/>
          <w:szCs w:val="18"/>
        </w:rPr>
        <w:t xml:space="preserve">IRRCS Mario </w:t>
      </w:r>
      <w:proofErr w:type="spellStart"/>
      <w:r w:rsidRPr="00DA6326">
        <w:rPr>
          <w:rFonts w:ascii="Times New Roman" w:hAnsi="Times New Roman" w:cs="Times New Roman"/>
          <w:sz w:val="18"/>
          <w:szCs w:val="18"/>
        </w:rPr>
        <w:t>Negri</w:t>
      </w:r>
      <w:proofErr w:type="spellEnd"/>
      <w:r w:rsidRPr="00DA6326">
        <w:rPr>
          <w:rFonts w:ascii="Times New Roman" w:hAnsi="Times New Roman" w:cs="Times New Roman"/>
          <w:sz w:val="18"/>
          <w:szCs w:val="18"/>
        </w:rPr>
        <w:t xml:space="preserve"> Institute for Pharmacological Research, Milano, Italy</w:t>
      </w:r>
      <w:r>
        <w:rPr>
          <w:rFonts w:ascii="Times New Roman" w:hAnsi="Times New Roman" w:cs="Times New Roman"/>
          <w:sz w:val="18"/>
          <w:szCs w:val="18"/>
        </w:rPr>
        <w:t>)</w:t>
      </w:r>
    </w:p>
    <w:p w:rsidR="00C66E5B" w:rsidRDefault="00C66E5B" w:rsidP="00AD54CD">
      <w:pPr>
        <w:pStyle w:val="ListParagraph"/>
        <w:numPr>
          <w:ilvl w:val="0"/>
          <w:numId w:val="7"/>
        </w:numPr>
        <w:ind w:left="360"/>
        <w:rPr>
          <w:rFonts w:ascii="Times New Roman" w:hAnsi="Times New Roman" w:cs="Times New Roman"/>
          <w:sz w:val="18"/>
          <w:szCs w:val="18"/>
        </w:rPr>
      </w:pPr>
      <w:proofErr w:type="spellStart"/>
      <w:r w:rsidRPr="00DA6326">
        <w:rPr>
          <w:rFonts w:ascii="Times New Roman" w:hAnsi="Times New Roman" w:cs="Times New Roman"/>
          <w:sz w:val="18"/>
          <w:szCs w:val="18"/>
        </w:rPr>
        <w:t>Eiji</w:t>
      </w:r>
      <w:proofErr w:type="spellEnd"/>
      <w:r>
        <w:rPr>
          <w:rFonts w:ascii="Times New Roman" w:hAnsi="Times New Roman" w:cs="Times New Roman"/>
          <w:sz w:val="18"/>
          <w:szCs w:val="18"/>
        </w:rPr>
        <w:t xml:space="preserve"> Oki, MD;</w:t>
      </w:r>
      <w:r w:rsidRPr="00DA6326">
        <w:rPr>
          <w:rFonts w:ascii="Times New Roman" w:hAnsi="Times New Roman" w:cs="Times New Roman"/>
          <w:sz w:val="18"/>
          <w:szCs w:val="18"/>
        </w:rPr>
        <w:t xml:space="preserve"> </w:t>
      </w:r>
      <w:r>
        <w:rPr>
          <w:rFonts w:ascii="Times New Roman" w:hAnsi="Times New Roman" w:cs="Times New Roman"/>
          <w:sz w:val="18"/>
          <w:szCs w:val="18"/>
        </w:rPr>
        <w:t>(</w:t>
      </w:r>
      <w:r>
        <w:rPr>
          <w:rFonts w:ascii="Times New Roman" w:hAnsi="Times New Roman" w:cs="Times New Roman" w:hint="eastAsia"/>
          <w:sz w:val="18"/>
          <w:szCs w:val="18"/>
          <w:lang w:eastAsia="ja-JP"/>
        </w:rPr>
        <w:t>D</w:t>
      </w:r>
      <w:r>
        <w:rPr>
          <w:rFonts w:ascii="Times New Roman" w:hAnsi="Times New Roman" w:cs="Times New Roman"/>
          <w:sz w:val="18"/>
          <w:szCs w:val="18"/>
          <w:lang w:eastAsia="ja-JP"/>
        </w:rPr>
        <w:t xml:space="preserve">epartment of Surgery and Science, Graduate School of Medical Science, </w:t>
      </w:r>
      <w:r w:rsidRPr="00DA6326">
        <w:rPr>
          <w:rFonts w:ascii="Times New Roman" w:hAnsi="Times New Roman" w:cs="Times New Roman"/>
          <w:sz w:val="18"/>
          <w:szCs w:val="18"/>
        </w:rPr>
        <w:t>Kyushu University</w:t>
      </w:r>
      <w:r>
        <w:rPr>
          <w:rFonts w:ascii="Times New Roman" w:hAnsi="Times New Roman" w:cs="Times New Roman"/>
          <w:sz w:val="18"/>
          <w:szCs w:val="18"/>
        </w:rPr>
        <w:t xml:space="preserve">, Japan; </w:t>
      </w:r>
      <w:r w:rsidRPr="00DA6326">
        <w:rPr>
          <w:rFonts w:ascii="Times New Roman" w:hAnsi="Times New Roman" w:cs="Times New Roman"/>
          <w:sz w:val="18"/>
          <w:szCs w:val="18"/>
        </w:rPr>
        <w:t>Associate Professor</w:t>
      </w:r>
      <w:r>
        <w:rPr>
          <w:rFonts w:ascii="Times New Roman" w:hAnsi="Times New Roman" w:cs="Times New Roman"/>
          <w:sz w:val="18"/>
          <w:szCs w:val="18"/>
        </w:rPr>
        <w:t>)</w:t>
      </w:r>
      <w:r w:rsidDel="006C336A">
        <w:t xml:space="preserve"> </w:t>
      </w:r>
    </w:p>
    <w:p w:rsidR="00C66E5B" w:rsidRDefault="00C66E5B" w:rsidP="00AD54CD">
      <w:pPr>
        <w:pStyle w:val="ListParagraph"/>
        <w:numPr>
          <w:ilvl w:val="0"/>
          <w:numId w:val="7"/>
        </w:numPr>
        <w:ind w:left="360"/>
        <w:rPr>
          <w:rFonts w:ascii="Times New Roman" w:hAnsi="Times New Roman" w:cs="Times New Roman"/>
          <w:sz w:val="18"/>
          <w:szCs w:val="18"/>
        </w:rPr>
      </w:pPr>
      <w:proofErr w:type="spellStart"/>
      <w:r w:rsidRPr="00DA6326">
        <w:rPr>
          <w:rFonts w:ascii="Times New Roman" w:hAnsi="Times New Roman" w:cs="Times New Roman"/>
          <w:sz w:val="18"/>
          <w:szCs w:val="18"/>
        </w:rPr>
        <w:t>Vassilis</w:t>
      </w:r>
      <w:proofErr w:type="spellEnd"/>
      <w:r>
        <w:rPr>
          <w:rFonts w:ascii="Times New Roman" w:hAnsi="Times New Roman" w:cs="Times New Roman"/>
          <w:sz w:val="18"/>
          <w:szCs w:val="18"/>
        </w:rPr>
        <w:t xml:space="preserve"> </w:t>
      </w:r>
      <w:proofErr w:type="spellStart"/>
      <w:r w:rsidRPr="00DA6326">
        <w:rPr>
          <w:rFonts w:ascii="Times New Roman" w:hAnsi="Times New Roman" w:cs="Times New Roman"/>
          <w:sz w:val="18"/>
          <w:szCs w:val="18"/>
        </w:rPr>
        <w:t>Georgoulias</w:t>
      </w:r>
      <w:proofErr w:type="spellEnd"/>
      <w:r>
        <w:rPr>
          <w:rFonts w:ascii="Times New Roman" w:hAnsi="Times New Roman" w:cs="Times New Roman"/>
          <w:sz w:val="18"/>
          <w:szCs w:val="18"/>
        </w:rPr>
        <w:t>, MD (</w:t>
      </w:r>
      <w:r w:rsidRPr="00DA6326">
        <w:rPr>
          <w:rFonts w:ascii="Times New Roman" w:hAnsi="Times New Roman" w:cs="Times New Roman"/>
          <w:sz w:val="18"/>
          <w:szCs w:val="18"/>
        </w:rPr>
        <w:t xml:space="preserve">University of Crete, </w:t>
      </w:r>
      <w:proofErr w:type="spellStart"/>
      <w:r w:rsidRPr="00DA6326">
        <w:rPr>
          <w:rFonts w:ascii="Times New Roman" w:hAnsi="Times New Roman" w:cs="Times New Roman"/>
          <w:sz w:val="18"/>
          <w:szCs w:val="18"/>
        </w:rPr>
        <w:t>Rethymno</w:t>
      </w:r>
      <w:proofErr w:type="spellEnd"/>
      <w:r w:rsidRPr="00DA6326">
        <w:rPr>
          <w:rFonts w:ascii="Times New Roman" w:hAnsi="Times New Roman" w:cs="Times New Roman"/>
          <w:sz w:val="18"/>
          <w:szCs w:val="18"/>
        </w:rPr>
        <w:t xml:space="preserve"> (UOC)</w:t>
      </w:r>
      <w:r>
        <w:rPr>
          <w:rFonts w:ascii="Times New Roman" w:hAnsi="Times New Roman" w:cs="Times New Roman"/>
          <w:sz w:val="18"/>
          <w:szCs w:val="18"/>
        </w:rPr>
        <w:t>, Greece; Professor)</w:t>
      </w:r>
    </w:p>
    <w:p w:rsidR="00C66E5B" w:rsidRDefault="00C66E5B" w:rsidP="00AD54CD">
      <w:pPr>
        <w:pStyle w:val="ListParagraph"/>
        <w:numPr>
          <w:ilvl w:val="0"/>
          <w:numId w:val="7"/>
        </w:numPr>
        <w:ind w:left="360"/>
        <w:rPr>
          <w:rFonts w:ascii="Times New Roman" w:hAnsi="Times New Roman" w:cs="Times New Roman"/>
          <w:sz w:val="18"/>
          <w:szCs w:val="18"/>
        </w:rPr>
      </w:pPr>
      <w:r>
        <w:rPr>
          <w:rFonts w:ascii="Times New Roman" w:hAnsi="Times New Roman" w:cs="Times New Roman"/>
          <w:sz w:val="18"/>
          <w:szCs w:val="18"/>
        </w:rPr>
        <w:t xml:space="preserve">Julien </w:t>
      </w:r>
      <w:proofErr w:type="spellStart"/>
      <w:r>
        <w:rPr>
          <w:rFonts w:ascii="Times New Roman" w:hAnsi="Times New Roman" w:cs="Times New Roman"/>
          <w:sz w:val="18"/>
          <w:szCs w:val="18"/>
        </w:rPr>
        <w:t>Taieb</w:t>
      </w:r>
      <w:proofErr w:type="spellEnd"/>
      <w:r>
        <w:rPr>
          <w:rFonts w:ascii="Times New Roman" w:hAnsi="Times New Roman" w:cs="Times New Roman"/>
          <w:sz w:val="18"/>
          <w:szCs w:val="18"/>
        </w:rPr>
        <w:t>, MD (</w:t>
      </w:r>
      <w:proofErr w:type="spellStart"/>
      <w:r w:rsidRPr="00DA6326">
        <w:rPr>
          <w:rFonts w:ascii="Times New Roman" w:hAnsi="Times New Roman" w:cs="Times New Roman"/>
          <w:sz w:val="18"/>
          <w:szCs w:val="18"/>
        </w:rPr>
        <w:t>Université</w:t>
      </w:r>
      <w:proofErr w:type="spellEnd"/>
      <w:r w:rsidRPr="00DA6326">
        <w:rPr>
          <w:rFonts w:ascii="Times New Roman" w:hAnsi="Times New Roman" w:cs="Times New Roman"/>
          <w:sz w:val="18"/>
          <w:szCs w:val="18"/>
        </w:rPr>
        <w:t xml:space="preserve"> de Paris and Department of Gastroenterology and Gastrointestinal Oncology, Georges-Pompidou European Hospital, Paris, France</w:t>
      </w:r>
      <w:r>
        <w:rPr>
          <w:rFonts w:ascii="Times New Roman" w:hAnsi="Times New Roman" w:cs="Times New Roman"/>
          <w:sz w:val="18"/>
          <w:szCs w:val="18"/>
        </w:rPr>
        <w:t>; Professor)</w:t>
      </w:r>
    </w:p>
    <w:p w:rsidR="00C66E5B" w:rsidRDefault="00C66E5B" w:rsidP="00AD54CD">
      <w:pPr>
        <w:pStyle w:val="ListParagraph"/>
        <w:numPr>
          <w:ilvl w:val="0"/>
          <w:numId w:val="7"/>
        </w:numPr>
        <w:ind w:left="360"/>
        <w:rPr>
          <w:rFonts w:ascii="Times New Roman" w:hAnsi="Times New Roman" w:cs="Times New Roman"/>
          <w:sz w:val="18"/>
          <w:szCs w:val="18"/>
        </w:rPr>
      </w:pPr>
      <w:r>
        <w:rPr>
          <w:rFonts w:ascii="Times New Roman" w:hAnsi="Times New Roman" w:cs="Times New Roman"/>
          <w:sz w:val="18"/>
          <w:szCs w:val="18"/>
        </w:rPr>
        <w:t>Anthony Shields, MD (</w:t>
      </w:r>
      <w:proofErr w:type="spellStart"/>
      <w:r w:rsidRPr="00DA6326">
        <w:rPr>
          <w:rFonts w:ascii="Times New Roman" w:hAnsi="Times New Roman" w:cs="Times New Roman"/>
          <w:sz w:val="18"/>
          <w:szCs w:val="18"/>
        </w:rPr>
        <w:t>Karmanos</w:t>
      </w:r>
      <w:proofErr w:type="spellEnd"/>
      <w:r w:rsidRPr="00DA6326">
        <w:rPr>
          <w:rFonts w:ascii="Times New Roman" w:hAnsi="Times New Roman" w:cs="Times New Roman"/>
          <w:sz w:val="18"/>
          <w:szCs w:val="18"/>
        </w:rPr>
        <w:t xml:space="preserve"> Cancer Institute, Wayne State University</w:t>
      </w:r>
      <w:r>
        <w:rPr>
          <w:rFonts w:ascii="Times New Roman" w:hAnsi="Times New Roman" w:cs="Times New Roman"/>
          <w:sz w:val="18"/>
          <w:szCs w:val="18"/>
        </w:rPr>
        <w:t>,</w:t>
      </w:r>
      <w:r w:rsidRPr="00DA6326">
        <w:rPr>
          <w:rFonts w:ascii="Times New Roman" w:hAnsi="Times New Roman" w:cs="Times New Roman"/>
          <w:sz w:val="18"/>
          <w:szCs w:val="18"/>
        </w:rPr>
        <w:t xml:space="preserve"> Detroit, MI, USA</w:t>
      </w:r>
      <w:r>
        <w:rPr>
          <w:rFonts w:ascii="Times New Roman" w:hAnsi="Times New Roman" w:cs="Times New Roman"/>
          <w:sz w:val="18"/>
          <w:szCs w:val="18"/>
        </w:rPr>
        <w:t xml:space="preserve">; Professor) </w:t>
      </w:r>
      <w:hyperlink r:id="rId8" w:history="1"/>
    </w:p>
    <w:p w:rsidR="00C66E5B" w:rsidRDefault="00C66E5B" w:rsidP="00AD54CD">
      <w:pPr>
        <w:pStyle w:val="ListParagraph"/>
        <w:numPr>
          <w:ilvl w:val="0"/>
          <w:numId w:val="7"/>
        </w:numPr>
        <w:ind w:left="360"/>
        <w:rPr>
          <w:rFonts w:ascii="Times New Roman" w:hAnsi="Times New Roman" w:cs="Times New Roman"/>
          <w:sz w:val="18"/>
          <w:szCs w:val="18"/>
        </w:rPr>
      </w:pPr>
      <w:r>
        <w:rPr>
          <w:rFonts w:ascii="Times New Roman" w:hAnsi="Times New Roman" w:cs="Times New Roman"/>
          <w:sz w:val="18"/>
          <w:szCs w:val="18"/>
        </w:rPr>
        <w:t>Qian Shi, PhD (</w:t>
      </w:r>
      <w:r w:rsidRPr="00AD54CD">
        <w:rPr>
          <w:rFonts w:ascii="Times New Roman" w:hAnsi="Times New Roman" w:cs="Times New Roman"/>
          <w:sz w:val="18"/>
          <w:szCs w:val="18"/>
        </w:rPr>
        <w:t>Department of Health Science Research, Mayo Clinic, Rochester, MN, USA</w:t>
      </w:r>
      <w:r>
        <w:rPr>
          <w:rFonts w:ascii="Times New Roman" w:hAnsi="Times New Roman" w:cs="Times New Roman"/>
          <w:sz w:val="18"/>
          <w:szCs w:val="18"/>
        </w:rPr>
        <w:t>; Professor)</w:t>
      </w:r>
    </w:p>
    <w:p w:rsidR="00C66E5B" w:rsidRPr="00975A38" w:rsidRDefault="00C66E5B" w:rsidP="00975A38">
      <w:pPr>
        <w:ind w:left="360"/>
        <w:rPr>
          <w:rFonts w:ascii="Times New Roman" w:hAnsi="Times New Roman" w:cs="Times New Roman"/>
          <w:sz w:val="18"/>
          <w:szCs w:val="18"/>
        </w:rPr>
      </w:pPr>
    </w:p>
    <w:p w:rsidR="00C66E5B" w:rsidRPr="00FD7217" w:rsidRDefault="00C66E5B">
      <w:pPr>
        <w:rPr>
          <w:rFonts w:ascii="Times New Roman" w:hAnsi="Times New Roman" w:cs="Times New Roman"/>
          <w:sz w:val="20"/>
          <w:szCs w:val="20"/>
        </w:rPr>
      </w:pPr>
    </w:p>
    <w:p w:rsidR="00C66E5B" w:rsidRPr="00FD7217" w:rsidRDefault="00C66E5B">
      <w:pPr>
        <w:rPr>
          <w:rFonts w:ascii="Times New Roman" w:hAnsi="Times New Roman" w:cs="Times New Roman"/>
          <w:sz w:val="20"/>
          <w:szCs w:val="20"/>
        </w:rPr>
      </w:pPr>
    </w:p>
    <w:p w:rsidR="00C66E5B" w:rsidRPr="00FD7217" w:rsidRDefault="00C66E5B">
      <w:pPr>
        <w:rPr>
          <w:rFonts w:ascii="Times New Roman" w:hAnsi="Times New Roman" w:cs="Times New Roman"/>
          <w:sz w:val="20"/>
          <w:szCs w:val="20"/>
        </w:rPr>
      </w:pPr>
      <w:r w:rsidRPr="00FD7217">
        <w:rPr>
          <w:rFonts w:ascii="Times New Roman" w:hAnsi="Times New Roman" w:cs="Times New Roman"/>
          <w:sz w:val="20"/>
          <w:szCs w:val="20"/>
        </w:rPr>
        <w:t xml:space="preserve">Corresponding author: </w:t>
      </w:r>
    </w:p>
    <w:p w:rsidR="00C66E5B" w:rsidRPr="00FD7217" w:rsidRDefault="00C66E5B">
      <w:pPr>
        <w:rPr>
          <w:rFonts w:ascii="Times New Roman" w:hAnsi="Times New Roman" w:cs="Times New Roman"/>
          <w:sz w:val="20"/>
          <w:szCs w:val="20"/>
        </w:rPr>
      </w:pPr>
    </w:p>
    <w:p w:rsidR="00C66E5B" w:rsidRPr="00235925" w:rsidRDefault="00C66E5B">
      <w:pPr>
        <w:rPr>
          <w:rFonts w:ascii="Times New Roman" w:hAnsi="Times New Roman" w:cs="Times New Roman"/>
          <w:sz w:val="20"/>
          <w:szCs w:val="20"/>
        </w:rPr>
      </w:pPr>
      <w:r w:rsidRPr="00235925">
        <w:rPr>
          <w:rFonts w:ascii="Times New Roman" w:hAnsi="Times New Roman" w:cs="Times New Roman"/>
          <w:sz w:val="20"/>
          <w:szCs w:val="20"/>
        </w:rPr>
        <w:t>Qian Shi, PhD</w:t>
      </w:r>
    </w:p>
    <w:p w:rsidR="00C66E5B" w:rsidRPr="00235925" w:rsidRDefault="00C66E5B">
      <w:pPr>
        <w:rPr>
          <w:rFonts w:ascii="Times New Roman" w:hAnsi="Times New Roman" w:cs="Times New Roman"/>
          <w:sz w:val="20"/>
          <w:szCs w:val="20"/>
        </w:rPr>
      </w:pPr>
      <w:r w:rsidRPr="00235925">
        <w:rPr>
          <w:rFonts w:ascii="Times New Roman" w:hAnsi="Times New Roman" w:cs="Times New Roman"/>
          <w:sz w:val="20"/>
          <w:szCs w:val="20"/>
        </w:rPr>
        <w:t>Professor of Biostatistics and Oncology</w:t>
      </w:r>
    </w:p>
    <w:p w:rsidR="00C66E5B" w:rsidRPr="00235925" w:rsidRDefault="00C66E5B">
      <w:pPr>
        <w:rPr>
          <w:rFonts w:ascii="Times New Roman" w:hAnsi="Times New Roman" w:cs="Times New Roman"/>
          <w:sz w:val="20"/>
          <w:szCs w:val="20"/>
        </w:rPr>
      </w:pPr>
      <w:r w:rsidRPr="00235925">
        <w:rPr>
          <w:rFonts w:ascii="Times New Roman" w:hAnsi="Times New Roman" w:cs="Times New Roman"/>
          <w:sz w:val="20"/>
          <w:szCs w:val="20"/>
        </w:rPr>
        <w:t>Mayo Clinic</w:t>
      </w:r>
    </w:p>
    <w:p w:rsidR="00C66E5B" w:rsidRPr="00235925" w:rsidRDefault="00C66E5B">
      <w:pPr>
        <w:rPr>
          <w:rFonts w:ascii="Times New Roman" w:hAnsi="Times New Roman" w:cs="Times New Roman"/>
          <w:sz w:val="20"/>
          <w:szCs w:val="20"/>
        </w:rPr>
      </w:pPr>
      <w:r w:rsidRPr="00235925">
        <w:rPr>
          <w:rFonts w:ascii="Times New Roman" w:hAnsi="Times New Roman" w:cs="Times New Roman"/>
          <w:sz w:val="20"/>
          <w:szCs w:val="20"/>
        </w:rPr>
        <w:t>200 First Street, SW</w:t>
      </w:r>
    </w:p>
    <w:p w:rsidR="00C66E5B" w:rsidRPr="00235925" w:rsidRDefault="00C66E5B">
      <w:pPr>
        <w:rPr>
          <w:rFonts w:ascii="Times New Roman" w:hAnsi="Times New Roman" w:cs="Times New Roman"/>
          <w:sz w:val="20"/>
          <w:szCs w:val="20"/>
        </w:rPr>
      </w:pPr>
      <w:r w:rsidRPr="00235925">
        <w:rPr>
          <w:rFonts w:ascii="Times New Roman" w:hAnsi="Times New Roman" w:cs="Times New Roman"/>
          <w:sz w:val="20"/>
          <w:szCs w:val="20"/>
        </w:rPr>
        <w:t>Rochester, MN, 55905</w:t>
      </w:r>
    </w:p>
    <w:p w:rsidR="00C66E5B" w:rsidRPr="00235925" w:rsidRDefault="00C66E5B">
      <w:pPr>
        <w:rPr>
          <w:rFonts w:ascii="Times New Roman" w:hAnsi="Times New Roman" w:cs="Times New Roman"/>
          <w:sz w:val="20"/>
          <w:szCs w:val="20"/>
        </w:rPr>
      </w:pPr>
      <w:r w:rsidRPr="00235925">
        <w:rPr>
          <w:rFonts w:ascii="Times New Roman" w:hAnsi="Times New Roman" w:cs="Times New Roman"/>
          <w:sz w:val="20"/>
          <w:szCs w:val="20"/>
        </w:rPr>
        <w:t>Phone: 507-538-4340</w:t>
      </w:r>
    </w:p>
    <w:p w:rsidR="00C66E5B" w:rsidRPr="00235925" w:rsidRDefault="00C66E5B">
      <w:pPr>
        <w:rPr>
          <w:rFonts w:ascii="Times New Roman" w:hAnsi="Times New Roman" w:cs="Times New Roman"/>
          <w:sz w:val="20"/>
          <w:szCs w:val="20"/>
        </w:rPr>
      </w:pPr>
      <w:r w:rsidRPr="00235925">
        <w:rPr>
          <w:rFonts w:ascii="Times New Roman" w:hAnsi="Times New Roman" w:cs="Times New Roman"/>
          <w:sz w:val="20"/>
          <w:szCs w:val="20"/>
        </w:rPr>
        <w:t xml:space="preserve">Email: </w:t>
      </w:r>
      <w:hyperlink r:id="rId9" w:history="1">
        <w:r w:rsidRPr="00235925">
          <w:rPr>
            <w:rStyle w:val="Hyperlink"/>
            <w:rFonts w:ascii="Times New Roman" w:hAnsi="Times New Roman" w:cs="Times New Roman"/>
            <w:sz w:val="20"/>
            <w:szCs w:val="20"/>
          </w:rPr>
          <w:t>shi.qian2@mayo.edu</w:t>
        </w:r>
      </w:hyperlink>
    </w:p>
    <w:p w:rsidR="00C66E5B" w:rsidRPr="00FD7217" w:rsidRDefault="00C66E5B">
      <w:pPr>
        <w:rPr>
          <w:rFonts w:ascii="Times New Roman" w:hAnsi="Times New Roman" w:cs="Times New Roman"/>
          <w:b/>
        </w:rPr>
      </w:pPr>
      <w:r w:rsidRPr="00FD7217">
        <w:rPr>
          <w:rFonts w:ascii="Times New Roman" w:hAnsi="Times New Roman" w:cs="Times New Roman"/>
          <w:b/>
        </w:rPr>
        <w:br w:type="page"/>
      </w:r>
    </w:p>
    <w:p w:rsidR="00C66E5B" w:rsidRDefault="00C66E5B" w:rsidP="00FD7217">
      <w:pPr>
        <w:rPr>
          <w:rFonts w:ascii="Times New Roman" w:hAnsi="Times New Roman" w:cs="Times New Roman"/>
          <w:b/>
        </w:rPr>
      </w:pPr>
      <w:r w:rsidRPr="00FD7217">
        <w:rPr>
          <w:rFonts w:ascii="Times New Roman" w:hAnsi="Times New Roman" w:cs="Times New Roman"/>
          <w:b/>
        </w:rPr>
        <w:lastRenderedPageBreak/>
        <w:t>Research in context</w:t>
      </w:r>
    </w:p>
    <w:p w:rsidR="00C66E5B" w:rsidRPr="00FD7217" w:rsidRDefault="00C66E5B" w:rsidP="00FD7217">
      <w:pPr>
        <w:rPr>
          <w:rFonts w:ascii="Times New Roman" w:hAnsi="Times New Roman" w:cs="Times New Roman"/>
          <w:b/>
        </w:rPr>
      </w:pPr>
    </w:p>
    <w:p w:rsidR="00C66E5B" w:rsidRPr="00FD7217" w:rsidRDefault="00C66E5B" w:rsidP="000059ED">
      <w:pPr>
        <w:rPr>
          <w:rStyle w:val="A4"/>
          <w:rFonts w:ascii="Times New Roman" w:hAnsi="Times New Roman" w:cs="Times New Roman"/>
          <w:sz w:val="20"/>
          <w:szCs w:val="20"/>
        </w:rPr>
      </w:pPr>
      <w:r w:rsidRPr="00FD7217">
        <w:rPr>
          <w:rStyle w:val="A4"/>
          <w:rFonts w:ascii="Times New Roman" w:hAnsi="Times New Roman" w:cs="Times New Roman"/>
          <w:sz w:val="20"/>
          <w:szCs w:val="20"/>
        </w:rPr>
        <w:t>Evidence before this study</w:t>
      </w:r>
    </w:p>
    <w:p w:rsidR="00C66E5B" w:rsidRPr="00FD7217" w:rsidRDefault="00C66E5B" w:rsidP="00FD7217">
      <w:pPr>
        <w:autoSpaceDE w:val="0"/>
        <w:autoSpaceDN w:val="0"/>
        <w:adjustRightInd w:val="0"/>
        <w:rPr>
          <w:rFonts w:ascii="Times New Roman" w:hAnsi="Times New Roman" w:cs="Times New Roman"/>
          <w:sz w:val="20"/>
          <w:szCs w:val="20"/>
        </w:rPr>
      </w:pPr>
      <w:r w:rsidRPr="00FD7217">
        <w:rPr>
          <w:rFonts w:ascii="Times New Roman" w:eastAsia="Shaker2Lancet-Regular" w:hAnsi="Times New Roman" w:cs="Times New Roman"/>
          <w:sz w:val="20"/>
          <w:szCs w:val="20"/>
        </w:rPr>
        <w:t xml:space="preserve">Six months of adjuvant </w:t>
      </w:r>
      <w:proofErr w:type="spellStart"/>
      <w:r w:rsidRPr="00FD7217">
        <w:rPr>
          <w:rFonts w:ascii="Times New Roman" w:eastAsia="Shaker2Lancet-Regular" w:hAnsi="Times New Roman" w:cs="Times New Roman"/>
          <w:sz w:val="20"/>
          <w:szCs w:val="20"/>
        </w:rPr>
        <w:t>oxaliplatin</w:t>
      </w:r>
      <w:proofErr w:type="spellEnd"/>
      <w:r w:rsidRPr="00FD7217">
        <w:rPr>
          <w:rFonts w:ascii="Times New Roman" w:eastAsia="Shaker2Lancet-Regular" w:hAnsi="Times New Roman" w:cs="Times New Roman"/>
          <w:sz w:val="20"/>
          <w:szCs w:val="20"/>
        </w:rPr>
        <w:t xml:space="preserve"> and </w:t>
      </w:r>
      <w:proofErr w:type="spellStart"/>
      <w:r w:rsidRPr="00FD7217">
        <w:rPr>
          <w:rFonts w:ascii="Times New Roman" w:eastAsia="Shaker2Lancet-Regular" w:hAnsi="Times New Roman" w:cs="Times New Roman"/>
          <w:sz w:val="20"/>
          <w:szCs w:val="20"/>
        </w:rPr>
        <w:t>fluoropyrimidine</w:t>
      </w:r>
      <w:proofErr w:type="spellEnd"/>
      <w:r w:rsidRPr="00FD7217">
        <w:rPr>
          <w:rFonts w:ascii="Times New Roman" w:eastAsia="Shaker2Lancet-Regular" w:hAnsi="Times New Roman" w:cs="Times New Roman"/>
          <w:sz w:val="20"/>
          <w:szCs w:val="20"/>
        </w:rPr>
        <w:t xml:space="preserve"> </w:t>
      </w:r>
      <w:r w:rsidRPr="00FD7217">
        <w:rPr>
          <w:rFonts w:ascii="Times New Roman" w:hAnsi="Times New Roman" w:cs="Times New Roman"/>
          <w:sz w:val="20"/>
          <w:szCs w:val="20"/>
        </w:rPr>
        <w:t xml:space="preserve">with </w:t>
      </w:r>
      <w:proofErr w:type="gramStart"/>
      <w:r w:rsidRPr="00FD7217">
        <w:rPr>
          <w:rFonts w:ascii="Times New Roman" w:hAnsi="Times New Roman" w:cs="Times New Roman"/>
          <w:sz w:val="20"/>
          <w:szCs w:val="20"/>
        </w:rPr>
        <w:t xml:space="preserve">either </w:t>
      </w:r>
      <w:proofErr w:type="spellStart"/>
      <w:r w:rsidRPr="00FD7217">
        <w:rPr>
          <w:rFonts w:ascii="Times New Roman" w:hAnsi="Times New Roman" w:cs="Times New Roman"/>
          <w:sz w:val="20"/>
          <w:szCs w:val="20"/>
        </w:rPr>
        <w:t>infusional</w:t>
      </w:r>
      <w:proofErr w:type="spellEnd"/>
      <w:r w:rsidRPr="00FD7217">
        <w:rPr>
          <w:rFonts w:ascii="Times New Roman" w:hAnsi="Times New Roman" w:cs="Times New Roman"/>
          <w:sz w:val="20"/>
          <w:szCs w:val="20"/>
        </w:rPr>
        <w:t xml:space="preserve"> 5-FU and</w:t>
      </w:r>
      <w:proofErr w:type="gramEnd"/>
      <w:r w:rsidRPr="00FD7217">
        <w:rPr>
          <w:rFonts w:ascii="Times New Roman" w:hAnsi="Times New Roman" w:cs="Times New Roman"/>
          <w:sz w:val="20"/>
          <w:szCs w:val="20"/>
        </w:rPr>
        <w:t xml:space="preserve"> </w:t>
      </w:r>
      <w:proofErr w:type="spellStart"/>
      <w:r w:rsidRPr="00FD7217">
        <w:rPr>
          <w:rFonts w:ascii="Times New Roman" w:hAnsi="Times New Roman" w:cs="Times New Roman"/>
          <w:sz w:val="20"/>
          <w:szCs w:val="20"/>
        </w:rPr>
        <w:t>folinic</w:t>
      </w:r>
      <w:proofErr w:type="spellEnd"/>
      <w:r w:rsidRPr="00FD7217">
        <w:rPr>
          <w:rFonts w:ascii="Times New Roman" w:hAnsi="Times New Roman" w:cs="Times New Roman"/>
          <w:sz w:val="20"/>
          <w:szCs w:val="20"/>
        </w:rPr>
        <w:t xml:space="preserve"> acid (FOLFOX) or </w:t>
      </w:r>
      <w:proofErr w:type="spellStart"/>
      <w:r w:rsidRPr="00FD7217">
        <w:rPr>
          <w:rFonts w:ascii="Times New Roman" w:hAnsi="Times New Roman" w:cs="Times New Roman"/>
          <w:sz w:val="20"/>
          <w:szCs w:val="20"/>
        </w:rPr>
        <w:t>capecitabine</w:t>
      </w:r>
      <w:proofErr w:type="spellEnd"/>
      <w:r w:rsidRPr="00FD7217">
        <w:rPr>
          <w:rFonts w:ascii="Times New Roman" w:hAnsi="Times New Roman" w:cs="Times New Roman"/>
          <w:sz w:val="20"/>
          <w:szCs w:val="20"/>
        </w:rPr>
        <w:t xml:space="preserve"> (CAPOX) </w:t>
      </w:r>
      <w:r w:rsidRPr="00FD7217">
        <w:rPr>
          <w:rFonts w:ascii="Times New Roman" w:eastAsia="Shaker2Lancet-Regular" w:hAnsi="Times New Roman" w:cs="Times New Roman"/>
          <w:sz w:val="20"/>
          <w:szCs w:val="20"/>
        </w:rPr>
        <w:t xml:space="preserve">has been </w:t>
      </w:r>
      <w:r>
        <w:rPr>
          <w:rFonts w:ascii="Times New Roman" w:eastAsia="Shaker2Lancet-Regular" w:hAnsi="Times New Roman" w:cs="Times New Roman"/>
          <w:sz w:val="20"/>
          <w:szCs w:val="20"/>
        </w:rPr>
        <w:t xml:space="preserve">the </w:t>
      </w:r>
      <w:r w:rsidRPr="00FD7217">
        <w:rPr>
          <w:rFonts w:ascii="Times New Roman" w:eastAsia="Shaker2Lancet-Regular" w:hAnsi="Times New Roman" w:cs="Times New Roman"/>
          <w:sz w:val="20"/>
          <w:szCs w:val="20"/>
        </w:rPr>
        <w:t>standard of care for patients with stage III colon cancer, as reflected in several international guidelines. In view of the cumulative peripheral neuro</w:t>
      </w:r>
      <w:r>
        <w:rPr>
          <w:rFonts w:ascii="Times New Roman" w:eastAsia="Shaker2Lancet-Regular" w:hAnsi="Times New Roman" w:cs="Times New Roman"/>
          <w:sz w:val="20"/>
          <w:szCs w:val="20"/>
        </w:rPr>
        <w:t>toxicity</w:t>
      </w:r>
      <w:r w:rsidRPr="00FD7217">
        <w:rPr>
          <w:rFonts w:ascii="Times New Roman" w:eastAsia="Shaker2Lancet-Regular" w:hAnsi="Times New Roman" w:cs="Times New Roman"/>
          <w:sz w:val="20"/>
          <w:szCs w:val="20"/>
        </w:rPr>
        <w:t xml:space="preserve"> </w:t>
      </w:r>
      <w:r>
        <w:rPr>
          <w:rFonts w:ascii="Times New Roman" w:eastAsia="Shaker2Lancet-Regular" w:hAnsi="Times New Roman" w:cs="Times New Roman"/>
          <w:sz w:val="20"/>
          <w:szCs w:val="20"/>
        </w:rPr>
        <w:t>associated</w:t>
      </w:r>
      <w:r w:rsidRPr="00FD7217">
        <w:rPr>
          <w:rFonts w:ascii="Times New Roman" w:eastAsia="Shaker2Lancet-Regular" w:hAnsi="Times New Roman" w:cs="Times New Roman"/>
          <w:sz w:val="20"/>
          <w:szCs w:val="20"/>
        </w:rPr>
        <w:t xml:space="preserve"> with </w:t>
      </w:r>
      <w:proofErr w:type="spellStart"/>
      <w:r w:rsidRPr="00FD7217">
        <w:rPr>
          <w:rFonts w:ascii="Times New Roman" w:eastAsia="Shaker2Lancet-Regular" w:hAnsi="Times New Roman" w:cs="Times New Roman"/>
          <w:sz w:val="20"/>
          <w:szCs w:val="20"/>
        </w:rPr>
        <w:t>oxaliplatin</w:t>
      </w:r>
      <w:proofErr w:type="spellEnd"/>
      <w:r w:rsidR="00C660D2">
        <w:rPr>
          <w:rFonts w:ascii="Times New Roman" w:eastAsia="Shaker2Lancet-Regular" w:hAnsi="Times New Roman" w:cs="Times New Roman"/>
          <w:sz w:val="20"/>
          <w:szCs w:val="20"/>
        </w:rPr>
        <w:t xml:space="preserve"> based on literature search in PubMed for reports published from Jan 01, 2000 to May 31, 2013 (in any language using the terms “adjuvant colon cancer”, “neurotoxicity”, and “</w:t>
      </w:r>
      <w:proofErr w:type="spellStart"/>
      <w:r w:rsidR="00C660D2">
        <w:rPr>
          <w:rFonts w:ascii="Times New Roman" w:eastAsia="Shaker2Lancet-Regular" w:hAnsi="Times New Roman" w:cs="Times New Roman"/>
          <w:sz w:val="20"/>
          <w:szCs w:val="20"/>
        </w:rPr>
        <w:t>oxaliplatin</w:t>
      </w:r>
      <w:proofErr w:type="spellEnd"/>
      <w:r w:rsidR="00C660D2">
        <w:rPr>
          <w:rFonts w:ascii="Times New Roman" w:eastAsia="Shaker2Lancet-Regular" w:hAnsi="Times New Roman" w:cs="Times New Roman"/>
          <w:sz w:val="20"/>
          <w:szCs w:val="20"/>
        </w:rPr>
        <w:t>”)</w:t>
      </w:r>
      <w:r w:rsidRPr="00FD7217">
        <w:rPr>
          <w:rFonts w:ascii="Times New Roman" w:eastAsia="Shaker2Lancet-Regular" w:hAnsi="Times New Roman" w:cs="Times New Roman"/>
          <w:sz w:val="20"/>
          <w:szCs w:val="20"/>
        </w:rPr>
        <w:t xml:space="preserve">, </w:t>
      </w:r>
      <w:r>
        <w:rPr>
          <w:rFonts w:ascii="Times New Roman" w:eastAsia="Shaker2Lancet-Regular" w:hAnsi="Times New Roman" w:cs="Times New Roman"/>
          <w:sz w:val="20"/>
          <w:szCs w:val="20"/>
        </w:rPr>
        <w:t>we investigated the</w:t>
      </w:r>
      <w:r w:rsidRPr="00FD7217">
        <w:rPr>
          <w:rFonts w:ascii="Times New Roman" w:eastAsia="Shaker2Lancet-Regular" w:hAnsi="Times New Roman" w:cs="Times New Roman"/>
          <w:sz w:val="20"/>
          <w:szCs w:val="20"/>
        </w:rPr>
        <w:t xml:space="preserve"> question whether a shorter duration of treatment would reduce toxicity</w:t>
      </w:r>
      <w:r w:rsidRPr="00FD7217">
        <w:rPr>
          <w:rFonts w:ascii="Times New Roman" w:hAnsi="Times New Roman" w:cs="Times New Roman"/>
          <w:sz w:val="20"/>
          <w:szCs w:val="20"/>
        </w:rPr>
        <w:t xml:space="preserve"> and health care utilization</w:t>
      </w:r>
      <w:r w:rsidRPr="00FD7217">
        <w:rPr>
          <w:rFonts w:ascii="Times New Roman" w:eastAsia="Shaker2Lancet-Regular" w:hAnsi="Times New Roman" w:cs="Times New Roman"/>
          <w:sz w:val="20"/>
          <w:szCs w:val="20"/>
        </w:rPr>
        <w:t xml:space="preserve"> without sacrificing efficacy.</w:t>
      </w:r>
      <w:r w:rsidRPr="00FD7217">
        <w:rPr>
          <w:rFonts w:ascii="Times New Roman" w:hAnsi="Times New Roman" w:cs="Times New Roman"/>
          <w:sz w:val="20"/>
          <w:szCs w:val="20"/>
        </w:rPr>
        <w:t xml:space="preserve"> In a stage </w:t>
      </w:r>
      <w:r>
        <w:rPr>
          <w:rFonts w:ascii="Times New Roman" w:hAnsi="Times New Roman" w:cs="Times New Roman"/>
          <w:sz w:val="20"/>
          <w:szCs w:val="20"/>
        </w:rPr>
        <w:t>III</w:t>
      </w:r>
      <w:r w:rsidRPr="00FD7217">
        <w:rPr>
          <w:rFonts w:ascii="Times New Roman" w:hAnsi="Times New Roman" w:cs="Times New Roman"/>
          <w:sz w:val="20"/>
          <w:szCs w:val="20"/>
        </w:rPr>
        <w:t xml:space="preserve"> colon cancer population (N=12,834), the International Duration Evaluation of Adjuvant therapy (IDEA) collaboration </w:t>
      </w:r>
      <w:r>
        <w:rPr>
          <w:rFonts w:ascii="Times New Roman" w:hAnsi="Times New Roman" w:cs="Times New Roman"/>
          <w:sz w:val="20"/>
          <w:szCs w:val="20"/>
        </w:rPr>
        <w:t xml:space="preserve">initially </w:t>
      </w:r>
      <w:r w:rsidRPr="00FD7217">
        <w:rPr>
          <w:rFonts w:ascii="Times New Roman" w:hAnsi="Times New Roman" w:cs="Times New Roman"/>
          <w:sz w:val="20"/>
          <w:szCs w:val="20"/>
        </w:rPr>
        <w:t xml:space="preserve">did not demonstrate non-inferiority (NI) for three-year disease-free survival </w:t>
      </w:r>
      <w:r>
        <w:rPr>
          <w:rFonts w:ascii="Times New Roman" w:hAnsi="Times New Roman" w:cs="Times New Roman"/>
          <w:sz w:val="20"/>
          <w:szCs w:val="20"/>
        </w:rPr>
        <w:t>of</w:t>
      </w:r>
      <w:r w:rsidRPr="00FD7217">
        <w:rPr>
          <w:rFonts w:ascii="Times New Roman" w:hAnsi="Times New Roman" w:cs="Times New Roman"/>
          <w:sz w:val="20"/>
          <w:szCs w:val="20"/>
        </w:rPr>
        <w:t xml:space="preserve"> three months </w:t>
      </w:r>
      <w:r>
        <w:rPr>
          <w:rFonts w:ascii="Times New Roman" w:hAnsi="Times New Roman" w:cs="Times New Roman"/>
          <w:sz w:val="20"/>
          <w:szCs w:val="20"/>
        </w:rPr>
        <w:t>v</w:t>
      </w:r>
      <w:r w:rsidRPr="00F74A9A">
        <w:rPr>
          <w:rFonts w:ascii="Times New Roman" w:hAnsi="Times New Roman" w:cs="Times New Roman"/>
          <w:sz w:val="20"/>
          <w:szCs w:val="20"/>
        </w:rPr>
        <w:t>ersus</w:t>
      </w:r>
      <w:r w:rsidRPr="00FD7217">
        <w:rPr>
          <w:rFonts w:ascii="Times New Roman" w:hAnsi="Times New Roman" w:cs="Times New Roman"/>
          <w:sz w:val="20"/>
          <w:szCs w:val="20"/>
        </w:rPr>
        <w:t xml:space="preserve"> six months of adjuvant FOLFOX/CAPOX. However, </w:t>
      </w:r>
      <w:r>
        <w:rPr>
          <w:rFonts w:ascii="Times New Roman" w:hAnsi="Times New Roman" w:cs="Times New Roman"/>
          <w:sz w:val="20"/>
          <w:szCs w:val="20"/>
        </w:rPr>
        <w:t>in a</w:t>
      </w:r>
      <w:r w:rsidRPr="00FD7217">
        <w:rPr>
          <w:rFonts w:ascii="Times New Roman" w:hAnsi="Times New Roman" w:cs="Times New Roman"/>
          <w:sz w:val="20"/>
          <w:szCs w:val="20"/>
        </w:rPr>
        <w:t xml:space="preserve"> pre-planned </w:t>
      </w:r>
      <w:r>
        <w:rPr>
          <w:rFonts w:ascii="Times New Roman" w:hAnsi="Times New Roman" w:cs="Times New Roman"/>
          <w:sz w:val="20"/>
          <w:szCs w:val="20"/>
        </w:rPr>
        <w:t xml:space="preserve">analysis an unexpected </w:t>
      </w:r>
      <w:r w:rsidRPr="00FD7217">
        <w:rPr>
          <w:rFonts w:ascii="Times New Roman" w:hAnsi="Times New Roman" w:cs="Times New Roman"/>
          <w:sz w:val="20"/>
          <w:szCs w:val="20"/>
        </w:rPr>
        <w:t xml:space="preserve">interaction effect of the regimen used (FOLFOX versus CAPOX) was found. Six months of CAPOX did not provide statistically increased benefit compare to three months of </w:t>
      </w:r>
      <w:r>
        <w:rPr>
          <w:rFonts w:ascii="Times New Roman" w:hAnsi="Times New Roman" w:cs="Times New Roman"/>
          <w:sz w:val="20"/>
          <w:szCs w:val="20"/>
        </w:rPr>
        <w:t xml:space="preserve">t CAPOX. </w:t>
      </w:r>
      <w:r w:rsidRPr="00FD7217">
        <w:rPr>
          <w:rFonts w:ascii="Times New Roman" w:hAnsi="Times New Roman" w:cs="Times New Roman"/>
          <w:sz w:val="20"/>
          <w:szCs w:val="20"/>
        </w:rPr>
        <w:t xml:space="preserve">Debates regarding the interpretation of the IDEA three-year </w:t>
      </w:r>
      <w:r w:rsidRPr="00E45FDA">
        <w:rPr>
          <w:rFonts w:ascii="Times New Roman" w:hAnsi="Times New Roman" w:cs="Times New Roman"/>
          <w:sz w:val="20"/>
          <w:szCs w:val="20"/>
        </w:rPr>
        <w:t>disease-free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results, as well as how to apply the results in clinical </w:t>
      </w:r>
      <w:proofErr w:type="gramStart"/>
      <w:r w:rsidRPr="00FD7217">
        <w:rPr>
          <w:rFonts w:ascii="Times New Roman" w:hAnsi="Times New Roman" w:cs="Times New Roman"/>
          <w:sz w:val="20"/>
          <w:szCs w:val="20"/>
        </w:rPr>
        <w:t>practice,</w:t>
      </w:r>
      <w:proofErr w:type="gramEnd"/>
      <w:r w:rsidRPr="00FD7217">
        <w:rPr>
          <w:rFonts w:ascii="Times New Roman" w:hAnsi="Times New Roman" w:cs="Times New Roman"/>
          <w:sz w:val="20"/>
          <w:szCs w:val="20"/>
        </w:rPr>
        <w:t xml:space="preserve"> have continued since the initial presentation of the data in 2017.</w:t>
      </w:r>
    </w:p>
    <w:p w:rsidR="00C66E5B" w:rsidRPr="00FD7217" w:rsidRDefault="00C66E5B" w:rsidP="00FD7217">
      <w:pPr>
        <w:autoSpaceDE w:val="0"/>
        <w:autoSpaceDN w:val="0"/>
        <w:adjustRightInd w:val="0"/>
        <w:rPr>
          <w:rFonts w:ascii="Times New Roman" w:hAnsi="Times New Roman" w:cs="Times New Roman"/>
          <w:sz w:val="20"/>
          <w:szCs w:val="20"/>
        </w:rPr>
      </w:pPr>
    </w:p>
    <w:p w:rsidR="00C66E5B" w:rsidRPr="00FD7217" w:rsidRDefault="00C66E5B" w:rsidP="00FD7217">
      <w:pPr>
        <w:autoSpaceDE w:val="0"/>
        <w:autoSpaceDN w:val="0"/>
        <w:adjustRightInd w:val="0"/>
        <w:rPr>
          <w:rStyle w:val="A4"/>
          <w:rFonts w:ascii="Times New Roman" w:hAnsi="Times New Roman" w:cs="Times New Roman"/>
          <w:sz w:val="20"/>
          <w:szCs w:val="20"/>
        </w:rPr>
      </w:pPr>
      <w:r w:rsidRPr="00FD7217">
        <w:rPr>
          <w:rStyle w:val="A4"/>
          <w:rFonts w:ascii="Times New Roman" w:hAnsi="Times New Roman" w:cs="Times New Roman"/>
          <w:sz w:val="20"/>
          <w:szCs w:val="20"/>
        </w:rPr>
        <w:t>Added value of this study</w:t>
      </w: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We now report the results for overall survival and updated disease-free survival at five years. This analysis confirms that three-year disease-free survival is an excellent predictor of overall survival at five year</w:t>
      </w:r>
      <w:r>
        <w:rPr>
          <w:rFonts w:ascii="Times New Roman" w:hAnsi="Times New Roman" w:cs="Times New Roman"/>
          <w:sz w:val="20"/>
          <w:szCs w:val="20"/>
        </w:rPr>
        <w:t>s</w:t>
      </w:r>
      <w:r w:rsidRPr="00FD7217">
        <w:rPr>
          <w:rFonts w:ascii="Times New Roman" w:hAnsi="Times New Roman" w:cs="Times New Roman"/>
          <w:sz w:val="20"/>
          <w:szCs w:val="20"/>
        </w:rPr>
        <w:t xml:space="preserve">. While the overall survival results fail to reject </w:t>
      </w:r>
      <w:r>
        <w:rPr>
          <w:rFonts w:ascii="Times New Roman" w:hAnsi="Times New Roman" w:cs="Times New Roman"/>
          <w:sz w:val="20"/>
          <w:szCs w:val="20"/>
        </w:rPr>
        <w:t xml:space="preserve">the </w:t>
      </w:r>
      <w:r w:rsidRPr="00FD7217">
        <w:rPr>
          <w:rFonts w:ascii="Times New Roman" w:hAnsi="Times New Roman" w:cs="Times New Roman"/>
          <w:sz w:val="20"/>
          <w:szCs w:val="20"/>
        </w:rPr>
        <w:t xml:space="preserve">null hypothesis of non-inferiority in overall population, the </w:t>
      </w:r>
      <w:r>
        <w:rPr>
          <w:rFonts w:ascii="Times New Roman" w:hAnsi="Times New Roman" w:cs="Times New Roman"/>
          <w:sz w:val="20"/>
          <w:szCs w:val="20"/>
        </w:rPr>
        <w:t xml:space="preserve">absolute </w:t>
      </w:r>
      <w:r w:rsidRPr="00FD7217">
        <w:rPr>
          <w:rFonts w:ascii="Times New Roman" w:hAnsi="Times New Roman" w:cs="Times New Roman"/>
          <w:sz w:val="20"/>
          <w:szCs w:val="20"/>
        </w:rPr>
        <w:t xml:space="preserve">0.4% difference in five-year overall survival </w:t>
      </w:r>
      <w:r>
        <w:rPr>
          <w:rFonts w:ascii="Times New Roman" w:hAnsi="Times New Roman" w:cs="Times New Roman"/>
          <w:sz w:val="20"/>
          <w:szCs w:val="20"/>
        </w:rPr>
        <w:t>has to</w:t>
      </w:r>
      <w:r w:rsidRPr="00FD7217">
        <w:rPr>
          <w:rFonts w:ascii="Times New Roman" w:hAnsi="Times New Roman" w:cs="Times New Roman"/>
          <w:sz w:val="20"/>
          <w:szCs w:val="20"/>
        </w:rPr>
        <w:t xml:space="preserve"> be placed in clinical context, </w:t>
      </w:r>
      <w:r>
        <w:rPr>
          <w:rFonts w:ascii="Times New Roman" w:hAnsi="Times New Roman" w:cs="Times New Roman"/>
          <w:sz w:val="20"/>
          <w:szCs w:val="20"/>
        </w:rPr>
        <w:t>considering</w:t>
      </w:r>
      <w:r w:rsidRPr="00FD7217">
        <w:rPr>
          <w:rFonts w:ascii="Times New Roman" w:hAnsi="Times New Roman" w:cs="Times New Roman"/>
          <w:sz w:val="20"/>
          <w:szCs w:val="20"/>
        </w:rPr>
        <w:t xml:space="preserve"> that non-inferiority was consistently observed for CAPOX but not for FOLFOX.</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Style w:val="A4"/>
          <w:rFonts w:ascii="Times New Roman" w:hAnsi="Times New Roman" w:cs="Times New Roman"/>
          <w:sz w:val="20"/>
          <w:szCs w:val="20"/>
        </w:rPr>
      </w:pPr>
      <w:r w:rsidRPr="00FD7217">
        <w:rPr>
          <w:rStyle w:val="A4"/>
          <w:rFonts w:ascii="Times New Roman" w:hAnsi="Times New Roman" w:cs="Times New Roman"/>
          <w:sz w:val="20"/>
          <w:szCs w:val="20"/>
        </w:rPr>
        <w:t>Implications of all the available evidence</w:t>
      </w:r>
    </w:p>
    <w:p w:rsidR="00C66E5B" w:rsidRPr="00FD7217" w:rsidRDefault="00C66E5B" w:rsidP="00FD7217">
      <w:pPr>
        <w:autoSpaceDE w:val="0"/>
        <w:autoSpaceDN w:val="0"/>
        <w:adjustRightInd w:val="0"/>
        <w:rPr>
          <w:rStyle w:val="A4"/>
          <w:rFonts w:ascii="Times New Roman" w:hAnsi="Times New Roman" w:cs="Times New Roman"/>
          <w:sz w:val="20"/>
          <w:szCs w:val="20"/>
        </w:rPr>
      </w:pPr>
      <w:r w:rsidRPr="00FD7217">
        <w:rPr>
          <w:rFonts w:ascii="Times New Roman" w:eastAsia="Shaker2Lancet-Regular" w:hAnsi="Times New Roman" w:cs="Times New Roman"/>
          <w:sz w:val="20"/>
          <w:szCs w:val="20"/>
        </w:rPr>
        <w:t xml:space="preserve">Updated data from the IDEA collaboration with more than five years follow-up for outcomes confirm results obtained previously: three months of adjuvant chemotherapy with CAPOX is the standard of adjuvant treatment for most patients who are suitable for treatment with CAPOX. If the choice is to </w:t>
      </w:r>
      <w:r w:rsidRPr="00FD7217">
        <w:rPr>
          <w:rFonts w:ascii="Times New Roman" w:hAnsi="Times New Roman" w:cs="Times New Roman"/>
          <w:sz w:val="20"/>
          <w:szCs w:val="20"/>
        </w:rPr>
        <w:t xml:space="preserve">use FOLFOX, six months of treatment resulted in better </w:t>
      </w:r>
      <w:r w:rsidRPr="00FD7217">
        <w:rPr>
          <w:rFonts w:ascii="Times New Roman" w:eastAsia="Shaker2Lancet-Regular" w:hAnsi="Times New Roman" w:cs="Times New Roman"/>
          <w:sz w:val="20"/>
          <w:szCs w:val="20"/>
        </w:rPr>
        <w:t>disease-free survival</w:t>
      </w:r>
      <w:r w:rsidRPr="00FD7217">
        <w:rPr>
          <w:rFonts w:ascii="Times New Roman" w:hAnsi="Times New Roman" w:cs="Times New Roman"/>
          <w:sz w:val="20"/>
          <w:szCs w:val="20"/>
        </w:rPr>
        <w:t xml:space="preserve">, particularly in the </w:t>
      </w:r>
      <w:r>
        <w:rPr>
          <w:rFonts w:ascii="Times New Roman" w:hAnsi="Times New Roman" w:cs="Times New Roman"/>
          <w:sz w:val="20"/>
          <w:szCs w:val="20"/>
        </w:rPr>
        <w:t xml:space="preserve">clinical </w:t>
      </w:r>
      <w:r w:rsidRPr="00FD7217">
        <w:rPr>
          <w:rFonts w:ascii="Times New Roman" w:hAnsi="Times New Roman" w:cs="Times New Roman"/>
          <w:sz w:val="20"/>
          <w:szCs w:val="20"/>
        </w:rPr>
        <w:t>high-risk subgroup.</w:t>
      </w:r>
    </w:p>
    <w:p w:rsidR="00C66E5B" w:rsidRPr="00FD7217" w:rsidRDefault="00C66E5B" w:rsidP="00FD7217">
      <w:pPr>
        <w:rPr>
          <w:rStyle w:val="A4"/>
          <w:rFonts w:ascii="Times New Roman" w:hAnsi="Times New Roman" w:cs="Times New Roman"/>
        </w:rPr>
      </w:pPr>
    </w:p>
    <w:p w:rsidR="00C66E5B" w:rsidRPr="00FD7217" w:rsidRDefault="00C66E5B" w:rsidP="000059ED">
      <w:pPr>
        <w:rPr>
          <w:rFonts w:ascii="Times New Roman" w:hAnsi="Times New Roman" w:cs="Times New Roman"/>
          <w:b/>
        </w:rPr>
      </w:pPr>
    </w:p>
    <w:p w:rsidR="00C66E5B" w:rsidRPr="00FD7217" w:rsidRDefault="00C66E5B" w:rsidP="000059ED">
      <w:pPr>
        <w:rPr>
          <w:rFonts w:ascii="Times New Roman" w:hAnsi="Times New Roman" w:cs="Times New Roman"/>
          <w:b/>
        </w:rPr>
      </w:pPr>
      <w:r w:rsidRPr="00FD7217">
        <w:rPr>
          <w:rFonts w:ascii="Times New Roman" w:hAnsi="Times New Roman" w:cs="Times New Roman"/>
          <w:b/>
        </w:rPr>
        <w:br w:type="page"/>
      </w:r>
    </w:p>
    <w:p w:rsidR="00C66E5B" w:rsidRPr="00235925" w:rsidRDefault="00BF47B2">
      <w:pPr>
        <w:rPr>
          <w:rFonts w:ascii="Times New Roman" w:hAnsi="Times New Roman" w:cs="Times New Roman"/>
        </w:rPr>
      </w:pPr>
      <w:r>
        <w:rPr>
          <w:rFonts w:ascii="Times New Roman" w:hAnsi="Times New Roman" w:cs="Times New Roman"/>
        </w:rPr>
        <w:lastRenderedPageBreak/>
        <w:t>Summary</w:t>
      </w:r>
    </w:p>
    <w:p w:rsidR="00C66E5B" w:rsidRPr="00FD7217" w:rsidRDefault="00C66E5B" w:rsidP="00FD7217">
      <w:pPr>
        <w:rPr>
          <w:rFonts w:ascii="Times New Roman" w:hAnsi="Times New Roman" w:cs="Times New Roman"/>
          <w:b/>
        </w:rPr>
      </w:pPr>
    </w:p>
    <w:p w:rsidR="00C66E5B" w:rsidRPr="00FD7217" w:rsidRDefault="00C66E5B" w:rsidP="00FD7217">
      <w:pPr>
        <w:outlineLvl w:val="0"/>
        <w:rPr>
          <w:rFonts w:ascii="Times New Roman" w:hAnsi="Times New Roman" w:cs="Times New Roman"/>
          <w:sz w:val="20"/>
          <w:szCs w:val="20"/>
          <w:u w:val="single"/>
        </w:rPr>
      </w:pPr>
      <w:r w:rsidRPr="00FD7217">
        <w:rPr>
          <w:rFonts w:ascii="Times New Roman" w:hAnsi="Times New Roman" w:cs="Times New Roman"/>
          <w:sz w:val="20"/>
          <w:szCs w:val="20"/>
          <w:u w:val="single"/>
        </w:rPr>
        <w:t>Background:</w:t>
      </w: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A prospective, pooled analysis of six randomized phase 3 trials was performed to evaluate disease-free survival regarding non-inferiority</w:t>
      </w:r>
      <w:r>
        <w:rPr>
          <w:rFonts w:ascii="Times New Roman" w:hAnsi="Times New Roman" w:cs="Times New Roman"/>
          <w:sz w:val="20"/>
          <w:szCs w:val="20"/>
        </w:rPr>
        <w:t xml:space="preserve"> </w:t>
      </w:r>
      <w:r w:rsidRPr="00FD7217">
        <w:rPr>
          <w:rFonts w:ascii="Times New Roman" w:hAnsi="Times New Roman" w:cs="Times New Roman"/>
          <w:sz w:val="20"/>
          <w:szCs w:val="20"/>
        </w:rPr>
        <w:t xml:space="preserve">(NI) of three versus six months </w:t>
      </w:r>
      <w:r>
        <w:rPr>
          <w:rFonts w:ascii="Times New Roman" w:hAnsi="Times New Roman" w:cs="Times New Roman"/>
          <w:sz w:val="20"/>
          <w:szCs w:val="20"/>
        </w:rPr>
        <w:t xml:space="preserve">of </w:t>
      </w:r>
      <w:r w:rsidRPr="00FD7217">
        <w:rPr>
          <w:rFonts w:ascii="Times New Roman" w:hAnsi="Times New Roman" w:cs="Times New Roman"/>
          <w:sz w:val="20"/>
          <w:szCs w:val="20"/>
        </w:rPr>
        <w:t>adjuvant</w:t>
      </w:r>
      <w:r w:rsidR="00D00433">
        <w:rPr>
          <w:rFonts w:ascii="Times New Roman" w:hAnsi="Times New Roman" w:cs="Times New Roman"/>
          <w:sz w:val="20"/>
          <w:szCs w:val="20"/>
        </w:rPr>
        <w:t xml:space="preserve"> chemotherapy</w:t>
      </w:r>
      <w:r w:rsidRPr="00FD7217">
        <w:rPr>
          <w:rFonts w:ascii="Times New Roman" w:hAnsi="Times New Roman" w:cs="Times New Roman"/>
          <w:sz w:val="20"/>
          <w:szCs w:val="20"/>
        </w:rPr>
        <w:t xml:space="preserve"> for stage III colon cancers. NI was not demonstrated. </w:t>
      </w:r>
      <w:r>
        <w:rPr>
          <w:rFonts w:ascii="Times New Roman" w:hAnsi="Times New Roman" w:cs="Times New Roman"/>
          <w:sz w:val="20"/>
          <w:szCs w:val="20"/>
        </w:rPr>
        <w:t>We now report the final overall survival r</w:t>
      </w:r>
      <w:r w:rsidRPr="00FD7217">
        <w:rPr>
          <w:rFonts w:ascii="Times New Roman" w:hAnsi="Times New Roman" w:cs="Times New Roman"/>
          <w:sz w:val="20"/>
          <w:szCs w:val="20"/>
        </w:rPr>
        <w:t>esults.</w:t>
      </w:r>
    </w:p>
    <w:p w:rsidR="00C66E5B" w:rsidRPr="00FD7217" w:rsidRDefault="00C66E5B" w:rsidP="00FD7217">
      <w:pPr>
        <w:rPr>
          <w:rFonts w:ascii="Times New Roman" w:hAnsi="Times New Roman" w:cs="Times New Roman"/>
          <w:sz w:val="20"/>
          <w:szCs w:val="20"/>
        </w:rPr>
      </w:pPr>
    </w:p>
    <w:p w:rsidR="00C66E5B" w:rsidRPr="00FD7217" w:rsidRDefault="00C66E5B" w:rsidP="00FD7217">
      <w:pPr>
        <w:outlineLvl w:val="0"/>
        <w:rPr>
          <w:rFonts w:ascii="Times New Roman" w:hAnsi="Times New Roman" w:cs="Times New Roman"/>
          <w:sz w:val="20"/>
          <w:szCs w:val="20"/>
          <w:u w:val="single"/>
        </w:rPr>
      </w:pPr>
      <w:r w:rsidRPr="00FD7217">
        <w:rPr>
          <w:rFonts w:ascii="Times New Roman" w:hAnsi="Times New Roman" w:cs="Times New Roman"/>
          <w:sz w:val="20"/>
          <w:szCs w:val="20"/>
          <w:u w:val="single"/>
        </w:rPr>
        <w:t>Methods:</w:t>
      </w:r>
    </w:p>
    <w:p w:rsidR="00C66E5B" w:rsidRPr="00FD7217" w:rsidRDefault="00857C4B" w:rsidP="00FD7217">
      <w:pPr>
        <w:rPr>
          <w:rFonts w:ascii="Times New Roman" w:hAnsi="Times New Roman" w:cs="Times New Roman"/>
          <w:sz w:val="20"/>
          <w:szCs w:val="20"/>
        </w:rPr>
      </w:pPr>
      <w:r>
        <w:rPr>
          <w:rFonts w:ascii="Times New Roman" w:hAnsi="Times New Roman" w:cs="Times New Roman"/>
          <w:sz w:val="20"/>
          <w:szCs w:val="20"/>
        </w:rPr>
        <w:t>Patients</w:t>
      </w:r>
      <w:r w:rsidR="00C66E5B">
        <w:rPr>
          <w:rFonts w:ascii="Times New Roman" w:hAnsi="Times New Roman" w:cs="Times New Roman"/>
          <w:sz w:val="20"/>
          <w:szCs w:val="20"/>
        </w:rPr>
        <w:t xml:space="preserve"> </w:t>
      </w:r>
      <w:r w:rsidR="009A1A22">
        <w:rPr>
          <w:rFonts w:ascii="Times New Roman" w:hAnsi="Times New Roman" w:cs="Times New Roman"/>
          <w:sz w:val="20"/>
          <w:szCs w:val="20"/>
        </w:rPr>
        <w:t xml:space="preserve">with </w:t>
      </w:r>
      <w:r>
        <w:rPr>
          <w:rFonts w:ascii="Times New Roman" w:hAnsi="Times New Roman" w:cs="Times New Roman"/>
          <w:sz w:val="20"/>
          <w:szCs w:val="20"/>
        </w:rPr>
        <w:t>age ≥18 years</w:t>
      </w:r>
      <w:r w:rsidR="009A1A22">
        <w:rPr>
          <w:rFonts w:ascii="Times New Roman" w:hAnsi="Times New Roman" w:cs="Times New Roman"/>
          <w:sz w:val="20"/>
          <w:szCs w:val="20"/>
        </w:rPr>
        <w:t xml:space="preserve"> and</w:t>
      </w:r>
      <w:r>
        <w:rPr>
          <w:rFonts w:ascii="Times New Roman" w:hAnsi="Times New Roman" w:cs="Times New Roman"/>
          <w:sz w:val="20"/>
          <w:szCs w:val="20"/>
        </w:rPr>
        <w:t xml:space="preserve"> </w:t>
      </w:r>
      <w:r w:rsidR="00D00433">
        <w:rPr>
          <w:rFonts w:ascii="Times New Roman" w:hAnsi="Times New Roman" w:cs="Times New Roman"/>
          <w:sz w:val="20"/>
          <w:szCs w:val="20"/>
        </w:rPr>
        <w:t xml:space="preserve">performance score of 0-1 </w:t>
      </w:r>
      <w:r w:rsidR="00BD0A9C">
        <w:rPr>
          <w:rFonts w:ascii="Times New Roman" w:hAnsi="Times New Roman" w:cs="Times New Roman"/>
          <w:sz w:val="20"/>
          <w:szCs w:val="20"/>
        </w:rPr>
        <w:t xml:space="preserve">accrued from June 2007 to December 2015 </w:t>
      </w:r>
      <w:r w:rsidR="00DE4D8F">
        <w:rPr>
          <w:rFonts w:ascii="Times New Roman" w:hAnsi="Times New Roman" w:cs="Times New Roman"/>
          <w:sz w:val="20"/>
          <w:szCs w:val="20"/>
        </w:rPr>
        <w:t xml:space="preserve">across 12 countries in </w:t>
      </w:r>
      <w:r w:rsidR="00F6648E">
        <w:rPr>
          <w:rFonts w:ascii="Times New Roman" w:hAnsi="Times New Roman" w:cs="Times New Roman"/>
          <w:sz w:val="20"/>
          <w:szCs w:val="20"/>
        </w:rPr>
        <w:t>CALGB/SWOG80702, IDEA France, SCOT, ACHIEVE, TOSCA, and HORG</w:t>
      </w:r>
      <w:r w:rsidR="00DE4D8F">
        <w:rPr>
          <w:rFonts w:ascii="Times New Roman" w:hAnsi="Times New Roman" w:cs="Times New Roman"/>
          <w:sz w:val="20"/>
          <w:szCs w:val="20"/>
        </w:rPr>
        <w:t xml:space="preserve"> trials </w:t>
      </w:r>
      <w:r>
        <w:rPr>
          <w:rFonts w:ascii="Times New Roman" w:hAnsi="Times New Roman" w:cs="Times New Roman"/>
          <w:sz w:val="20"/>
          <w:szCs w:val="20"/>
        </w:rPr>
        <w:t>(</w:t>
      </w:r>
      <w:r w:rsidR="00DE4D8F">
        <w:rPr>
          <w:rFonts w:ascii="Times New Roman" w:hAnsi="Times New Roman" w:cs="Times New Roman"/>
          <w:sz w:val="20"/>
          <w:szCs w:val="20"/>
        </w:rPr>
        <w:t>sample size</w:t>
      </w:r>
      <w:r>
        <w:rPr>
          <w:rFonts w:ascii="Times New Roman" w:hAnsi="Times New Roman" w:cs="Times New Roman"/>
          <w:sz w:val="20"/>
          <w:szCs w:val="20"/>
        </w:rPr>
        <w:t xml:space="preserve">s: </w:t>
      </w:r>
      <w:r w:rsidR="00D00433">
        <w:rPr>
          <w:rFonts w:ascii="Times New Roman" w:hAnsi="Times New Roman" w:cs="Times New Roman"/>
          <w:sz w:val="20"/>
          <w:szCs w:val="20"/>
        </w:rPr>
        <w:t>708 to 3,983</w:t>
      </w:r>
      <w:r>
        <w:rPr>
          <w:rFonts w:ascii="Times New Roman" w:hAnsi="Times New Roman" w:cs="Times New Roman"/>
          <w:sz w:val="20"/>
          <w:szCs w:val="20"/>
        </w:rPr>
        <w:t>)</w:t>
      </w:r>
      <w:r w:rsidR="00F6648E">
        <w:rPr>
          <w:rFonts w:ascii="Times New Roman" w:hAnsi="Times New Roman" w:cs="Times New Roman"/>
          <w:sz w:val="20"/>
          <w:szCs w:val="20"/>
        </w:rPr>
        <w:t xml:space="preserve">, </w:t>
      </w:r>
      <w:r w:rsidR="00C66E5B">
        <w:rPr>
          <w:rFonts w:ascii="Times New Roman" w:hAnsi="Times New Roman" w:cs="Times New Roman"/>
          <w:sz w:val="20"/>
          <w:szCs w:val="20"/>
        </w:rPr>
        <w:t>who started any treatment</w:t>
      </w:r>
      <w:r w:rsidR="00D00433">
        <w:rPr>
          <w:rFonts w:ascii="Times New Roman" w:hAnsi="Times New Roman" w:cs="Times New Roman"/>
          <w:sz w:val="20"/>
          <w:szCs w:val="20"/>
        </w:rPr>
        <w:t xml:space="preserve"> </w:t>
      </w:r>
      <w:r w:rsidR="00C66E5B">
        <w:rPr>
          <w:rFonts w:ascii="Times New Roman" w:hAnsi="Times New Roman" w:cs="Times New Roman"/>
          <w:sz w:val="20"/>
          <w:szCs w:val="20"/>
        </w:rPr>
        <w:t>(modified intent</w:t>
      </w:r>
      <w:r w:rsidR="00DC7788">
        <w:rPr>
          <w:rFonts w:ascii="Times New Roman" w:hAnsi="Times New Roman" w:cs="Times New Roman"/>
          <w:sz w:val="20"/>
          <w:szCs w:val="20"/>
        </w:rPr>
        <w:t>-</w:t>
      </w:r>
      <w:r w:rsidR="00C66E5B">
        <w:rPr>
          <w:rFonts w:ascii="Times New Roman" w:hAnsi="Times New Roman" w:cs="Times New Roman"/>
          <w:sz w:val="20"/>
          <w:szCs w:val="20"/>
        </w:rPr>
        <w:t>to</w:t>
      </w:r>
      <w:r w:rsidR="00DC7788">
        <w:rPr>
          <w:rFonts w:ascii="Times New Roman" w:hAnsi="Times New Roman" w:cs="Times New Roman"/>
          <w:sz w:val="20"/>
          <w:szCs w:val="20"/>
        </w:rPr>
        <w:t>-</w:t>
      </w:r>
      <w:r w:rsidR="00C66E5B">
        <w:rPr>
          <w:rFonts w:ascii="Times New Roman" w:hAnsi="Times New Roman" w:cs="Times New Roman"/>
          <w:sz w:val="20"/>
          <w:szCs w:val="20"/>
        </w:rPr>
        <w:t>treat</w:t>
      </w:r>
      <w:r>
        <w:rPr>
          <w:rFonts w:ascii="Times New Roman" w:hAnsi="Times New Roman" w:cs="Times New Roman"/>
          <w:sz w:val="20"/>
          <w:szCs w:val="20"/>
        </w:rPr>
        <w:t>)</w:t>
      </w:r>
      <w:r w:rsidR="00C66E5B">
        <w:rPr>
          <w:rFonts w:ascii="Times New Roman" w:hAnsi="Times New Roman" w:cs="Times New Roman"/>
          <w:sz w:val="20"/>
          <w:szCs w:val="20"/>
        </w:rPr>
        <w:t xml:space="preserve"> were included. </w:t>
      </w:r>
      <w:proofErr w:type="spellStart"/>
      <w:r w:rsidR="00125FB5">
        <w:rPr>
          <w:rFonts w:ascii="Times New Roman" w:hAnsi="Times New Roman" w:cs="Times New Roman"/>
          <w:sz w:val="20"/>
          <w:szCs w:val="20"/>
        </w:rPr>
        <w:t>F</w:t>
      </w:r>
      <w:r w:rsidR="00125FB5" w:rsidRPr="00FD7217">
        <w:rPr>
          <w:rFonts w:ascii="Times New Roman" w:hAnsi="Times New Roman" w:cs="Times New Roman"/>
          <w:sz w:val="20"/>
          <w:szCs w:val="20"/>
        </w:rPr>
        <w:t>luoropyrimidine</w:t>
      </w:r>
      <w:proofErr w:type="spellEnd"/>
      <w:r w:rsidR="00125FB5" w:rsidRPr="00FD7217">
        <w:rPr>
          <w:rFonts w:ascii="Times New Roman" w:hAnsi="Times New Roman" w:cs="Times New Roman"/>
          <w:sz w:val="20"/>
          <w:szCs w:val="20"/>
        </w:rPr>
        <w:t xml:space="preserve"> and </w:t>
      </w:r>
      <w:proofErr w:type="spellStart"/>
      <w:r w:rsidR="00125FB5" w:rsidRPr="00FD7217">
        <w:rPr>
          <w:rFonts w:ascii="Times New Roman" w:hAnsi="Times New Roman" w:cs="Times New Roman"/>
          <w:sz w:val="20"/>
          <w:szCs w:val="20"/>
        </w:rPr>
        <w:t>oxaliplatin</w:t>
      </w:r>
      <w:proofErr w:type="spellEnd"/>
      <w:r w:rsidR="00125FB5" w:rsidRPr="00FD7217">
        <w:rPr>
          <w:rFonts w:ascii="Times New Roman" w:hAnsi="Times New Roman" w:cs="Times New Roman"/>
          <w:sz w:val="20"/>
          <w:szCs w:val="20"/>
        </w:rPr>
        <w:t xml:space="preserve"> with 5-FU/</w:t>
      </w:r>
      <w:proofErr w:type="spellStart"/>
      <w:r w:rsidR="00125FB5">
        <w:rPr>
          <w:rFonts w:ascii="Times New Roman" w:hAnsi="Times New Roman" w:cs="Times New Roman"/>
          <w:sz w:val="20"/>
          <w:szCs w:val="20"/>
        </w:rPr>
        <w:t>f</w:t>
      </w:r>
      <w:r w:rsidR="00125FB5" w:rsidRPr="00FD7217">
        <w:rPr>
          <w:rFonts w:ascii="Times New Roman" w:hAnsi="Times New Roman" w:cs="Times New Roman"/>
          <w:sz w:val="20"/>
          <w:szCs w:val="20"/>
        </w:rPr>
        <w:t>olinic</w:t>
      </w:r>
      <w:proofErr w:type="spellEnd"/>
      <w:r w:rsidR="00125FB5" w:rsidRPr="00FD7217">
        <w:rPr>
          <w:rFonts w:ascii="Times New Roman" w:hAnsi="Times New Roman" w:cs="Times New Roman"/>
          <w:sz w:val="20"/>
          <w:szCs w:val="20"/>
        </w:rPr>
        <w:t xml:space="preserve"> acid</w:t>
      </w:r>
      <w:r w:rsidR="00125FB5">
        <w:rPr>
          <w:rFonts w:ascii="Times New Roman" w:hAnsi="Times New Roman" w:cs="Times New Roman"/>
          <w:sz w:val="20"/>
          <w:szCs w:val="20"/>
        </w:rPr>
        <w:t xml:space="preserve"> (FOLFOX) or </w:t>
      </w:r>
      <w:proofErr w:type="spellStart"/>
      <w:r w:rsidR="00125FB5">
        <w:rPr>
          <w:rFonts w:ascii="Times New Roman" w:hAnsi="Times New Roman" w:cs="Times New Roman"/>
          <w:sz w:val="20"/>
          <w:szCs w:val="20"/>
        </w:rPr>
        <w:t>capecitabine</w:t>
      </w:r>
      <w:proofErr w:type="spellEnd"/>
      <w:r w:rsidR="00125FB5">
        <w:rPr>
          <w:rFonts w:ascii="Times New Roman" w:hAnsi="Times New Roman" w:cs="Times New Roman"/>
          <w:sz w:val="20"/>
          <w:szCs w:val="20"/>
        </w:rPr>
        <w:t xml:space="preserve"> (CAPOX) were delive</w:t>
      </w:r>
      <w:r w:rsidR="00AC4F5D">
        <w:rPr>
          <w:rFonts w:ascii="Times New Roman" w:hAnsi="Times New Roman" w:cs="Times New Roman"/>
          <w:sz w:val="20"/>
          <w:szCs w:val="20"/>
        </w:rPr>
        <w:t>red every 2 and</w:t>
      </w:r>
      <w:r w:rsidR="00DC7788">
        <w:rPr>
          <w:rFonts w:ascii="Times New Roman" w:hAnsi="Times New Roman" w:cs="Times New Roman"/>
          <w:sz w:val="20"/>
          <w:szCs w:val="20"/>
        </w:rPr>
        <w:t xml:space="preserve"> 3 weeks, respectively</w:t>
      </w:r>
      <w:r w:rsidR="00125FB5">
        <w:rPr>
          <w:rFonts w:ascii="Times New Roman" w:hAnsi="Times New Roman" w:cs="Times New Roman"/>
          <w:sz w:val="20"/>
          <w:szCs w:val="20"/>
        </w:rPr>
        <w:t xml:space="preserve">. </w:t>
      </w:r>
      <w:r w:rsidR="00407B2B">
        <w:rPr>
          <w:rFonts w:ascii="Times New Roman" w:hAnsi="Times New Roman" w:cs="Times New Roman"/>
          <w:sz w:val="20"/>
          <w:szCs w:val="20"/>
        </w:rPr>
        <w:t xml:space="preserve">The primary </w:t>
      </w:r>
      <w:r w:rsidR="004F7578">
        <w:rPr>
          <w:rFonts w:ascii="Times New Roman" w:hAnsi="Times New Roman" w:cs="Times New Roman"/>
          <w:sz w:val="20"/>
          <w:szCs w:val="20"/>
        </w:rPr>
        <w:t xml:space="preserve">endpoint was </w:t>
      </w:r>
      <w:r w:rsidR="00407B2B">
        <w:rPr>
          <w:rFonts w:ascii="Times New Roman" w:hAnsi="Times New Roman" w:cs="Times New Roman"/>
          <w:sz w:val="20"/>
          <w:szCs w:val="20"/>
        </w:rPr>
        <w:t>disease-free survival (</w:t>
      </w:r>
      <w:r w:rsidR="004F7578">
        <w:rPr>
          <w:rFonts w:ascii="Times New Roman" w:hAnsi="Times New Roman" w:cs="Times New Roman"/>
          <w:sz w:val="20"/>
          <w:szCs w:val="20"/>
        </w:rPr>
        <w:t xml:space="preserve">time to </w:t>
      </w:r>
      <w:r w:rsidR="00F83021" w:rsidRPr="00FD7217">
        <w:rPr>
          <w:rFonts w:ascii="Times New Roman" w:hAnsi="Times New Roman" w:cs="Times New Roman"/>
          <w:sz w:val="20"/>
          <w:szCs w:val="20"/>
        </w:rPr>
        <w:t>relapse, secondary colorectal primary tumor,</w:t>
      </w:r>
      <w:r w:rsidR="00F83021">
        <w:rPr>
          <w:rFonts w:ascii="Times New Roman" w:hAnsi="Times New Roman" w:cs="Times New Roman"/>
          <w:sz w:val="20"/>
          <w:szCs w:val="20"/>
        </w:rPr>
        <w:t xml:space="preserve"> </w:t>
      </w:r>
      <w:r w:rsidR="00407B2B">
        <w:rPr>
          <w:rFonts w:ascii="Times New Roman" w:hAnsi="Times New Roman" w:cs="Times New Roman"/>
          <w:sz w:val="20"/>
          <w:szCs w:val="20"/>
        </w:rPr>
        <w:t xml:space="preserve">or death due to all causes) and </w:t>
      </w:r>
      <w:r w:rsidR="004F7578">
        <w:rPr>
          <w:rFonts w:ascii="Times New Roman" w:hAnsi="Times New Roman" w:cs="Times New Roman"/>
          <w:sz w:val="20"/>
          <w:szCs w:val="20"/>
        </w:rPr>
        <w:t xml:space="preserve">that </w:t>
      </w:r>
      <w:r w:rsidR="00407B2B">
        <w:rPr>
          <w:rFonts w:ascii="Times New Roman" w:hAnsi="Times New Roman" w:cs="Times New Roman"/>
          <w:sz w:val="20"/>
          <w:szCs w:val="20"/>
        </w:rPr>
        <w:t>o</w:t>
      </w:r>
      <w:r w:rsidR="00C66E5B" w:rsidRPr="00FD7217">
        <w:rPr>
          <w:rFonts w:ascii="Times New Roman" w:hAnsi="Times New Roman" w:cs="Times New Roman"/>
          <w:sz w:val="20"/>
          <w:szCs w:val="20"/>
        </w:rPr>
        <w:t xml:space="preserve">verall survival </w:t>
      </w:r>
      <w:r w:rsidR="00C66E5B">
        <w:rPr>
          <w:rFonts w:ascii="Times New Roman" w:hAnsi="Times New Roman" w:cs="Times New Roman"/>
          <w:sz w:val="20"/>
          <w:szCs w:val="20"/>
        </w:rPr>
        <w:t>(</w:t>
      </w:r>
      <w:r w:rsidR="004F7578">
        <w:rPr>
          <w:rFonts w:ascii="Times New Roman" w:hAnsi="Times New Roman" w:cs="Times New Roman"/>
          <w:sz w:val="20"/>
          <w:szCs w:val="20"/>
        </w:rPr>
        <w:t xml:space="preserve">time to </w:t>
      </w:r>
      <w:r w:rsidR="00C66E5B">
        <w:rPr>
          <w:rFonts w:ascii="Times New Roman" w:hAnsi="Times New Roman" w:cs="Times New Roman"/>
          <w:sz w:val="20"/>
          <w:szCs w:val="20"/>
        </w:rPr>
        <w:t>death due to all causes)</w:t>
      </w:r>
      <w:r w:rsidR="004F7578">
        <w:rPr>
          <w:rFonts w:ascii="Times New Roman" w:hAnsi="Times New Roman" w:cs="Times New Roman"/>
          <w:sz w:val="20"/>
          <w:szCs w:val="20"/>
        </w:rPr>
        <w:t xml:space="preserve"> was the </w:t>
      </w:r>
      <w:proofErr w:type="spellStart"/>
      <w:r w:rsidR="004F7578">
        <w:rPr>
          <w:rFonts w:ascii="Times New Roman" w:hAnsi="Times New Roman" w:cs="Times New Roman"/>
          <w:sz w:val="20"/>
          <w:szCs w:val="20"/>
        </w:rPr>
        <w:t>prespecified</w:t>
      </w:r>
      <w:proofErr w:type="spellEnd"/>
      <w:r w:rsidR="004F7578">
        <w:rPr>
          <w:rFonts w:ascii="Times New Roman" w:hAnsi="Times New Roman" w:cs="Times New Roman"/>
          <w:sz w:val="20"/>
          <w:szCs w:val="20"/>
        </w:rPr>
        <w:t xml:space="preserve"> secondary endpoint</w:t>
      </w:r>
      <w:r w:rsidR="00407B2B">
        <w:rPr>
          <w:rFonts w:ascii="Times New Roman" w:hAnsi="Times New Roman" w:cs="Times New Roman"/>
          <w:sz w:val="20"/>
          <w:szCs w:val="20"/>
        </w:rPr>
        <w:t xml:space="preserve">. The overall survival </w:t>
      </w:r>
      <w:r w:rsidR="00C66E5B" w:rsidRPr="00FD7217">
        <w:rPr>
          <w:rFonts w:ascii="Times New Roman" w:hAnsi="Times New Roman" w:cs="Times New Roman"/>
          <w:sz w:val="20"/>
          <w:szCs w:val="20"/>
        </w:rPr>
        <w:t xml:space="preserve">NI margin was set to be HR=1·11. Pre-planned sub-group analyses included regimen and risk group. NI was to be declared if </w:t>
      </w:r>
      <w:r w:rsidR="00C66E5B">
        <w:rPr>
          <w:rFonts w:ascii="Times New Roman" w:hAnsi="Times New Roman" w:cs="Times New Roman"/>
          <w:sz w:val="20"/>
          <w:szCs w:val="20"/>
        </w:rPr>
        <w:t xml:space="preserve">the </w:t>
      </w:r>
      <w:r w:rsidR="00C66E5B" w:rsidRPr="00FD7217">
        <w:rPr>
          <w:rFonts w:ascii="Times New Roman" w:hAnsi="Times New Roman" w:cs="Times New Roman"/>
          <w:sz w:val="20"/>
          <w:szCs w:val="20"/>
        </w:rPr>
        <w:t>one-sided false discovery rate adjusted</w:t>
      </w:r>
      <w:r w:rsidR="00C66E5B">
        <w:rPr>
          <w:rFonts w:ascii="Times New Roman" w:hAnsi="Times New Roman" w:cs="Times New Roman"/>
          <w:sz w:val="20"/>
          <w:szCs w:val="20"/>
        </w:rPr>
        <w:t xml:space="preserve"> </w:t>
      </w:r>
      <w:r w:rsidR="00C66E5B" w:rsidRPr="00FD7217">
        <w:rPr>
          <w:rFonts w:ascii="Times New Roman" w:hAnsi="Times New Roman" w:cs="Times New Roman"/>
          <w:sz w:val="20"/>
          <w:szCs w:val="20"/>
        </w:rPr>
        <w:t>(</w:t>
      </w:r>
      <w:proofErr w:type="spellStart"/>
      <w:r w:rsidR="00C66E5B" w:rsidRPr="00FD7217">
        <w:rPr>
          <w:rFonts w:ascii="Times New Roman" w:hAnsi="Times New Roman" w:cs="Times New Roman"/>
          <w:sz w:val="20"/>
          <w:szCs w:val="20"/>
        </w:rPr>
        <w:t>FDRadj</w:t>
      </w:r>
      <w:proofErr w:type="spellEnd"/>
      <w:r w:rsidR="00C66E5B" w:rsidRPr="00FD7217">
        <w:rPr>
          <w:rFonts w:ascii="Times New Roman" w:hAnsi="Times New Roman" w:cs="Times New Roman"/>
          <w:sz w:val="20"/>
          <w:szCs w:val="20"/>
        </w:rPr>
        <w:t xml:space="preserve">) p-value </w:t>
      </w:r>
      <w:r w:rsidR="00C66E5B">
        <w:rPr>
          <w:rFonts w:ascii="Times New Roman" w:hAnsi="Times New Roman" w:cs="Times New Roman"/>
          <w:sz w:val="20"/>
          <w:szCs w:val="20"/>
        </w:rPr>
        <w:t xml:space="preserve">was </w:t>
      </w:r>
      <w:r w:rsidR="00C66E5B" w:rsidRPr="00FD7217">
        <w:rPr>
          <w:rFonts w:ascii="Times New Roman" w:hAnsi="Times New Roman" w:cs="Times New Roman"/>
          <w:sz w:val="20"/>
          <w:szCs w:val="20"/>
        </w:rPr>
        <w:t>&lt;0·025.</w:t>
      </w:r>
    </w:p>
    <w:p w:rsidR="00C66E5B" w:rsidRPr="00FD7217" w:rsidRDefault="00C66E5B" w:rsidP="00FD7217">
      <w:pPr>
        <w:rPr>
          <w:rFonts w:ascii="Times New Roman" w:hAnsi="Times New Roman" w:cs="Times New Roman"/>
          <w:sz w:val="20"/>
          <w:szCs w:val="20"/>
        </w:rPr>
      </w:pPr>
    </w:p>
    <w:p w:rsidR="00C66E5B" w:rsidRPr="00FD7217" w:rsidRDefault="00C66E5B" w:rsidP="00FD7217">
      <w:pPr>
        <w:outlineLvl w:val="0"/>
        <w:rPr>
          <w:rFonts w:ascii="Times New Roman" w:hAnsi="Times New Roman" w:cs="Times New Roman"/>
          <w:sz w:val="20"/>
          <w:szCs w:val="20"/>
          <w:u w:val="single"/>
        </w:rPr>
      </w:pPr>
      <w:r w:rsidRPr="00FD7217">
        <w:rPr>
          <w:rFonts w:ascii="Times New Roman" w:hAnsi="Times New Roman" w:cs="Times New Roman"/>
          <w:sz w:val="20"/>
          <w:szCs w:val="20"/>
          <w:u w:val="single"/>
        </w:rPr>
        <w:t>Findings:</w:t>
      </w: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With median follow-up of 72 months</w:t>
      </w:r>
      <w:r>
        <w:rPr>
          <w:rFonts w:ascii="Times New Roman" w:hAnsi="Times New Roman" w:cs="Times New Roman"/>
          <w:sz w:val="20"/>
          <w:szCs w:val="20"/>
        </w:rPr>
        <w:t xml:space="preserve"> (IQR, 72</w:t>
      </w:r>
      <w:r w:rsidRPr="00FD7217">
        <w:rPr>
          <w:rFonts w:ascii="Times New Roman" w:hAnsi="Times New Roman" w:cs="Times New Roman"/>
          <w:sz w:val="20"/>
          <w:szCs w:val="20"/>
        </w:rPr>
        <w:t>·</w:t>
      </w:r>
      <w:r>
        <w:rPr>
          <w:rFonts w:ascii="Times New Roman" w:hAnsi="Times New Roman" w:cs="Times New Roman"/>
          <w:sz w:val="20"/>
          <w:szCs w:val="20"/>
        </w:rPr>
        <w:t>2-72</w:t>
      </w:r>
      <w:r w:rsidRPr="00FD7217">
        <w:rPr>
          <w:rFonts w:ascii="Times New Roman" w:hAnsi="Times New Roman" w:cs="Times New Roman"/>
          <w:sz w:val="20"/>
          <w:szCs w:val="20"/>
        </w:rPr>
        <w:t>·</w:t>
      </w:r>
      <w:r>
        <w:rPr>
          <w:rFonts w:ascii="Times New Roman" w:hAnsi="Times New Roman" w:cs="Times New Roman"/>
          <w:sz w:val="20"/>
          <w:szCs w:val="20"/>
        </w:rPr>
        <w:t>5)</w:t>
      </w:r>
      <w:r w:rsidRPr="00FD7217">
        <w:rPr>
          <w:rFonts w:ascii="Times New Roman" w:hAnsi="Times New Roman" w:cs="Times New Roman"/>
          <w:sz w:val="20"/>
          <w:szCs w:val="20"/>
        </w:rPr>
        <w:t>, 2584 deaths among 12,835 patients were observed</w:t>
      </w:r>
      <w:r>
        <w:rPr>
          <w:rFonts w:ascii="Times New Roman" w:hAnsi="Times New Roman" w:cs="Times New Roman"/>
          <w:sz w:val="20"/>
          <w:szCs w:val="20"/>
        </w:rPr>
        <w:t>. Of all patients,</w:t>
      </w:r>
      <w:r w:rsidRPr="00FD7217">
        <w:rPr>
          <w:rFonts w:ascii="Times New Roman" w:hAnsi="Times New Roman" w:cs="Times New Roman"/>
          <w:sz w:val="20"/>
          <w:szCs w:val="20"/>
        </w:rPr>
        <w:t xml:space="preserve"> 39·5% received CAPOX and 60·5% FOLFOX. Comparing three versus six months, the five-year overall survival rate was 82·4% and 82·8%, with </w:t>
      </w:r>
      <w:r>
        <w:rPr>
          <w:rFonts w:ascii="Times New Roman" w:hAnsi="Times New Roman" w:cs="Times New Roman"/>
          <w:sz w:val="20"/>
          <w:szCs w:val="20"/>
        </w:rPr>
        <w:t xml:space="preserve">an </w:t>
      </w:r>
      <w:r w:rsidRPr="00FD7217">
        <w:rPr>
          <w:rFonts w:ascii="Times New Roman" w:hAnsi="Times New Roman" w:cs="Times New Roman"/>
          <w:sz w:val="20"/>
          <w:szCs w:val="20"/>
        </w:rPr>
        <w:t xml:space="preserve">estimated </w:t>
      </w:r>
      <w:r>
        <w:rPr>
          <w:rFonts w:ascii="Times New Roman" w:hAnsi="Times New Roman" w:cs="Times New Roman"/>
          <w:sz w:val="20"/>
          <w:szCs w:val="20"/>
        </w:rPr>
        <w:t>hazard ratio (</w:t>
      </w:r>
      <w:r w:rsidRPr="00FD7217">
        <w:rPr>
          <w:rFonts w:ascii="Times New Roman" w:hAnsi="Times New Roman" w:cs="Times New Roman"/>
          <w:sz w:val="20"/>
          <w:szCs w:val="20"/>
        </w:rPr>
        <w:t>HR</w:t>
      </w:r>
      <w:r>
        <w:rPr>
          <w:rFonts w:ascii="Times New Roman" w:hAnsi="Times New Roman" w:cs="Times New Roman"/>
          <w:sz w:val="20"/>
          <w:szCs w:val="20"/>
        </w:rPr>
        <w:t>)</w:t>
      </w:r>
      <w:r w:rsidRPr="00FD7217">
        <w:rPr>
          <w:rFonts w:ascii="Times New Roman" w:hAnsi="Times New Roman" w:cs="Times New Roman"/>
          <w:sz w:val="20"/>
          <w:szCs w:val="20"/>
        </w:rPr>
        <w:t xml:space="preserve"> of 1·02 (95% </w:t>
      </w:r>
      <w:r>
        <w:rPr>
          <w:rFonts w:ascii="Times New Roman" w:hAnsi="Times New Roman" w:cs="Times New Roman"/>
          <w:sz w:val="20"/>
          <w:szCs w:val="20"/>
        </w:rPr>
        <w:t>confidence interval [</w:t>
      </w:r>
      <w:r w:rsidRPr="00FD7217">
        <w:rPr>
          <w:rFonts w:ascii="Times New Roman" w:hAnsi="Times New Roman" w:cs="Times New Roman"/>
          <w:sz w:val="20"/>
          <w:szCs w:val="20"/>
        </w:rPr>
        <w:t>CI</w:t>
      </w:r>
      <w:r>
        <w:rPr>
          <w:rFonts w:ascii="Times New Roman" w:hAnsi="Times New Roman" w:cs="Times New Roman"/>
          <w:sz w:val="20"/>
          <w:szCs w:val="20"/>
        </w:rPr>
        <w:t>]</w:t>
      </w:r>
      <w:r w:rsidRPr="00FD7217">
        <w:rPr>
          <w:rFonts w:ascii="Times New Roman" w:hAnsi="Times New Roman" w:cs="Times New Roman"/>
          <w:sz w:val="20"/>
          <w:szCs w:val="20"/>
        </w:rPr>
        <w:t xml:space="preserve">, 0·95-1·11; NI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 0·058)</w:t>
      </w:r>
      <w:r>
        <w:rPr>
          <w:rFonts w:ascii="Times New Roman" w:hAnsi="Times New Roman" w:cs="Times New Roman"/>
          <w:sz w:val="20"/>
          <w:szCs w:val="20"/>
        </w:rPr>
        <w:t>;</w:t>
      </w:r>
      <w:r w:rsidRPr="00FD7217">
        <w:rPr>
          <w:rFonts w:ascii="Times New Roman" w:hAnsi="Times New Roman" w:cs="Times New Roman"/>
          <w:sz w:val="20"/>
          <w:szCs w:val="20"/>
        </w:rPr>
        <w:t xml:space="preserve"> </w:t>
      </w:r>
      <w:r>
        <w:rPr>
          <w:rFonts w:ascii="Times New Roman" w:hAnsi="Times New Roman" w:cs="Times New Roman"/>
          <w:sz w:val="20"/>
          <w:szCs w:val="20"/>
        </w:rPr>
        <w:t>f</w:t>
      </w:r>
      <w:r w:rsidRPr="00FD7217">
        <w:rPr>
          <w:rFonts w:ascii="Times New Roman" w:hAnsi="Times New Roman" w:cs="Times New Roman"/>
          <w:sz w:val="20"/>
          <w:szCs w:val="20"/>
        </w:rPr>
        <w:t xml:space="preserve">ive-year overall survival rate was 82·1% versus 81·2% with </w:t>
      </w:r>
      <w:r>
        <w:rPr>
          <w:rFonts w:ascii="Times New Roman" w:hAnsi="Times New Roman" w:cs="Times New Roman"/>
          <w:sz w:val="20"/>
          <w:szCs w:val="20"/>
        </w:rPr>
        <w:t xml:space="preserve">an </w:t>
      </w:r>
      <w:r w:rsidRPr="00FD7217">
        <w:rPr>
          <w:rFonts w:ascii="Times New Roman" w:hAnsi="Times New Roman" w:cs="Times New Roman"/>
          <w:sz w:val="20"/>
          <w:szCs w:val="20"/>
        </w:rPr>
        <w:t xml:space="preserve">estimated HR of 0·96 (95% CI, 0·85-1·08; NI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 0·033) for CAPOX and 82·6% and 83·8%, estimated HR of 1·07 (95% CI, 0·97-1·18; NI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 0·34) for FOLFOX.</w:t>
      </w:r>
      <w:r w:rsidR="00D62685">
        <w:rPr>
          <w:rFonts w:ascii="Times New Roman" w:hAnsi="Times New Roman" w:cs="Times New Roman"/>
          <w:sz w:val="20"/>
          <w:szCs w:val="20"/>
        </w:rPr>
        <w:t xml:space="preserve"> Updated disease-free survival results confirmed previous findings. </w:t>
      </w:r>
      <w:r w:rsidR="009500EF">
        <w:rPr>
          <w:rFonts w:ascii="Times New Roman" w:hAnsi="Times New Roman" w:cs="Times New Roman"/>
          <w:sz w:val="20"/>
          <w:szCs w:val="20"/>
        </w:rPr>
        <w:t>A</w:t>
      </w:r>
      <w:r w:rsidR="002958F8" w:rsidRPr="00FD7217">
        <w:rPr>
          <w:rFonts w:ascii="Times New Roman" w:hAnsi="Times New Roman" w:cs="Times New Roman"/>
          <w:sz w:val="20"/>
          <w:szCs w:val="20"/>
        </w:rPr>
        <w:t xml:space="preserve">dverse events </w:t>
      </w:r>
      <w:r w:rsidR="009500EF">
        <w:rPr>
          <w:rFonts w:ascii="Times New Roman" w:hAnsi="Times New Roman" w:cs="Times New Roman"/>
          <w:sz w:val="20"/>
          <w:szCs w:val="20"/>
        </w:rPr>
        <w:t>data were not updated</w:t>
      </w:r>
      <w:r w:rsidR="002145CA">
        <w:rPr>
          <w:rFonts w:ascii="Times New Roman" w:hAnsi="Times New Roman" w:cs="Times New Roman"/>
          <w:sz w:val="20"/>
          <w:szCs w:val="20"/>
        </w:rPr>
        <w:t>.</w:t>
      </w:r>
    </w:p>
    <w:p w:rsidR="00C66E5B" w:rsidRPr="00FD7217" w:rsidRDefault="00C66E5B" w:rsidP="00FD7217">
      <w:pPr>
        <w:rPr>
          <w:rFonts w:ascii="Times New Roman" w:hAnsi="Times New Roman" w:cs="Times New Roman"/>
          <w:sz w:val="20"/>
          <w:szCs w:val="20"/>
        </w:rPr>
      </w:pPr>
    </w:p>
    <w:p w:rsidR="00C66E5B" w:rsidRPr="00FD7217" w:rsidRDefault="00C66E5B" w:rsidP="00FD7217">
      <w:pPr>
        <w:outlineLvl w:val="0"/>
        <w:rPr>
          <w:rFonts w:ascii="Times New Roman" w:hAnsi="Times New Roman" w:cs="Times New Roman"/>
          <w:sz w:val="20"/>
          <w:szCs w:val="20"/>
          <w:u w:val="single"/>
        </w:rPr>
      </w:pPr>
      <w:r w:rsidRPr="00FD7217">
        <w:rPr>
          <w:rFonts w:ascii="Times New Roman" w:hAnsi="Times New Roman" w:cs="Times New Roman"/>
          <w:sz w:val="20"/>
          <w:szCs w:val="20"/>
          <w:u w:val="single"/>
        </w:rPr>
        <w:t>Conclusions:</w:t>
      </w:r>
    </w:p>
    <w:p w:rsidR="00C66E5B" w:rsidRPr="00FD7217" w:rsidRDefault="008A3AB7" w:rsidP="00FD7217">
      <w:pPr>
        <w:rPr>
          <w:rFonts w:ascii="Times New Roman" w:hAnsi="Times New Roman" w:cs="Times New Roman"/>
          <w:sz w:val="20"/>
          <w:szCs w:val="20"/>
        </w:rPr>
      </w:pPr>
      <w:r w:rsidRPr="00FD7217">
        <w:rPr>
          <w:rFonts w:ascii="Times New Roman" w:hAnsi="Times New Roman" w:cs="Times New Roman"/>
          <w:sz w:val="20"/>
          <w:szCs w:val="20"/>
        </w:rPr>
        <w:t xml:space="preserve">While </w:t>
      </w:r>
      <w:r>
        <w:rPr>
          <w:rFonts w:ascii="Times New Roman" w:hAnsi="Times New Roman" w:cs="Times New Roman"/>
          <w:sz w:val="20"/>
          <w:szCs w:val="20"/>
        </w:rPr>
        <w:t xml:space="preserve">NI for </w:t>
      </w:r>
      <w:r w:rsidRPr="00FD7217">
        <w:rPr>
          <w:rFonts w:ascii="Times New Roman" w:hAnsi="Times New Roman" w:cs="Times New Roman"/>
          <w:sz w:val="20"/>
          <w:szCs w:val="20"/>
        </w:rPr>
        <w:t xml:space="preserve">overall survival </w:t>
      </w:r>
      <w:r>
        <w:rPr>
          <w:rFonts w:ascii="Times New Roman" w:hAnsi="Times New Roman" w:cs="Times New Roman"/>
          <w:sz w:val="20"/>
          <w:szCs w:val="20"/>
        </w:rPr>
        <w:t>could not be c</w:t>
      </w:r>
      <w:r w:rsidR="006A5986">
        <w:rPr>
          <w:rFonts w:ascii="Times New Roman" w:hAnsi="Times New Roman" w:cs="Times New Roman"/>
          <w:sz w:val="20"/>
          <w:szCs w:val="20"/>
        </w:rPr>
        <w:t>onfirmed</w:t>
      </w:r>
      <w:r w:rsidRPr="00FD7217">
        <w:rPr>
          <w:rFonts w:ascii="Times New Roman" w:hAnsi="Times New Roman" w:cs="Times New Roman"/>
          <w:sz w:val="20"/>
          <w:szCs w:val="20"/>
        </w:rPr>
        <w:t xml:space="preserve"> after multiplicity adjustment, the </w:t>
      </w:r>
      <w:r>
        <w:rPr>
          <w:rFonts w:ascii="Times New Roman" w:hAnsi="Times New Roman" w:cs="Times New Roman"/>
          <w:sz w:val="20"/>
          <w:szCs w:val="20"/>
        </w:rPr>
        <w:t xml:space="preserve">absolute </w:t>
      </w:r>
      <w:r w:rsidRPr="00FD7217">
        <w:rPr>
          <w:rFonts w:ascii="Times New Roman" w:hAnsi="Times New Roman" w:cs="Times New Roman"/>
          <w:sz w:val="20"/>
          <w:szCs w:val="20"/>
        </w:rPr>
        <w:t xml:space="preserve">0·4% difference in five-year </w:t>
      </w:r>
      <w:r>
        <w:rPr>
          <w:rFonts w:ascii="Times New Roman" w:hAnsi="Times New Roman" w:cs="Times New Roman"/>
          <w:sz w:val="20"/>
          <w:szCs w:val="20"/>
        </w:rPr>
        <w:t>overall survival</w:t>
      </w:r>
      <w:r w:rsidRPr="00FD7217">
        <w:rPr>
          <w:rFonts w:ascii="Times New Roman" w:hAnsi="Times New Roman" w:cs="Times New Roman"/>
          <w:sz w:val="20"/>
          <w:szCs w:val="20"/>
        </w:rPr>
        <w:t xml:space="preserve"> should be placed in clinical context. </w:t>
      </w:r>
      <w:r w:rsidR="00C66E5B" w:rsidRPr="00FD7217">
        <w:rPr>
          <w:rFonts w:ascii="Times New Roman" w:hAnsi="Times New Roman" w:cs="Times New Roman"/>
          <w:sz w:val="20"/>
          <w:szCs w:val="20"/>
        </w:rPr>
        <w:t>Overall survival results support the use of 3</w:t>
      </w:r>
      <w:r w:rsidR="00C66E5B">
        <w:rPr>
          <w:rFonts w:ascii="Times New Roman" w:hAnsi="Times New Roman" w:cs="Times New Roman"/>
          <w:sz w:val="20"/>
          <w:szCs w:val="20"/>
        </w:rPr>
        <w:t xml:space="preserve"> </w:t>
      </w:r>
      <w:r w:rsidR="00C66E5B" w:rsidRPr="00FD7217">
        <w:rPr>
          <w:rFonts w:ascii="Times New Roman" w:hAnsi="Times New Roman" w:cs="Times New Roman"/>
          <w:sz w:val="20"/>
          <w:szCs w:val="20"/>
        </w:rPr>
        <w:t>m</w:t>
      </w:r>
      <w:r w:rsidR="00C66E5B">
        <w:rPr>
          <w:rFonts w:ascii="Times New Roman" w:hAnsi="Times New Roman" w:cs="Times New Roman"/>
          <w:sz w:val="20"/>
          <w:szCs w:val="20"/>
        </w:rPr>
        <w:t>onths of</w:t>
      </w:r>
      <w:r w:rsidR="00C66E5B" w:rsidRPr="00FD7217">
        <w:rPr>
          <w:rFonts w:ascii="Times New Roman" w:hAnsi="Times New Roman" w:cs="Times New Roman"/>
          <w:sz w:val="20"/>
          <w:szCs w:val="20"/>
        </w:rPr>
        <w:t xml:space="preserve"> adjuvant CAPOX for the vast majority of stage III colon cancer patients. This conclusion is strengthened by the substantial reduction of toxicities, inconveniencies, and cost associated with </w:t>
      </w:r>
      <w:proofErr w:type="gramStart"/>
      <w:r w:rsidR="00C66E5B">
        <w:rPr>
          <w:rFonts w:ascii="Times New Roman" w:hAnsi="Times New Roman" w:cs="Times New Roman"/>
          <w:sz w:val="20"/>
          <w:szCs w:val="20"/>
        </w:rPr>
        <w:t xml:space="preserve">a </w:t>
      </w:r>
      <w:r w:rsidR="00C66E5B" w:rsidRPr="00FD7217">
        <w:rPr>
          <w:rFonts w:ascii="Times New Roman" w:hAnsi="Times New Roman" w:cs="Times New Roman"/>
          <w:sz w:val="20"/>
          <w:szCs w:val="20"/>
        </w:rPr>
        <w:t>shorter</w:t>
      </w:r>
      <w:proofErr w:type="gramEnd"/>
      <w:r w:rsidR="00C66E5B" w:rsidRPr="00FD7217">
        <w:rPr>
          <w:rFonts w:ascii="Times New Roman" w:hAnsi="Times New Roman" w:cs="Times New Roman"/>
          <w:sz w:val="20"/>
          <w:szCs w:val="20"/>
        </w:rPr>
        <w:t xml:space="preserve"> treatment duration.</w:t>
      </w:r>
    </w:p>
    <w:p w:rsidR="00C66E5B" w:rsidRPr="00FD7217" w:rsidRDefault="00C66E5B" w:rsidP="00FD7217">
      <w:pPr>
        <w:rPr>
          <w:rFonts w:ascii="Times New Roman" w:hAnsi="Times New Roman" w:cs="Times New Roman"/>
          <w:sz w:val="20"/>
          <w:szCs w:val="20"/>
        </w:rPr>
      </w:pPr>
    </w:p>
    <w:p w:rsidR="00C66E5B" w:rsidRPr="00FD7217" w:rsidRDefault="00C66E5B" w:rsidP="00E85763">
      <w:pPr>
        <w:rPr>
          <w:rFonts w:ascii="Times New Roman" w:hAnsi="Times New Roman" w:cs="Times New Roman"/>
          <w:b/>
          <w:sz w:val="20"/>
          <w:szCs w:val="20"/>
          <w:u w:val="single"/>
        </w:rPr>
      </w:pPr>
      <w:r w:rsidRPr="00FD7217">
        <w:rPr>
          <w:rFonts w:ascii="Times New Roman" w:hAnsi="Times New Roman" w:cs="Times New Roman"/>
          <w:sz w:val="20"/>
          <w:szCs w:val="20"/>
          <w:u w:val="single"/>
        </w:rPr>
        <w:t>Funding</w:t>
      </w:r>
      <w:r w:rsidRPr="00FD7217">
        <w:rPr>
          <w:rFonts w:ascii="Times New Roman" w:hAnsi="Times New Roman" w:cs="Times New Roman"/>
          <w:b/>
          <w:sz w:val="20"/>
          <w:szCs w:val="20"/>
          <w:u w:val="single"/>
        </w:rPr>
        <w:t xml:space="preserve">: </w:t>
      </w:r>
    </w:p>
    <w:p w:rsidR="00C66E5B" w:rsidRDefault="00C66E5B" w:rsidP="00FD7217">
      <w:pPr>
        <w:rPr>
          <w:rFonts w:ascii="Times New Roman" w:hAnsi="Times New Roman" w:cs="Times New Roman"/>
          <w:sz w:val="20"/>
          <w:szCs w:val="20"/>
        </w:rPr>
      </w:pPr>
      <w:r>
        <w:rPr>
          <w:rFonts w:ascii="Times New Roman" w:hAnsi="Times New Roman" w:cs="Times New Roman"/>
          <w:sz w:val="20"/>
          <w:szCs w:val="20"/>
        </w:rPr>
        <w:t xml:space="preserve">IDEA analyses were supported by a </w:t>
      </w:r>
      <w:r w:rsidRPr="00931885">
        <w:rPr>
          <w:rFonts w:ascii="Times New Roman" w:hAnsi="Times New Roman" w:cs="Times New Roman"/>
          <w:sz w:val="20"/>
          <w:szCs w:val="20"/>
        </w:rPr>
        <w:t xml:space="preserve">grant </w:t>
      </w:r>
      <w:r>
        <w:rPr>
          <w:rFonts w:ascii="Times New Roman" w:hAnsi="Times New Roman" w:cs="Times New Roman"/>
          <w:sz w:val="20"/>
          <w:szCs w:val="20"/>
        </w:rPr>
        <w:t>of</w:t>
      </w:r>
      <w:r w:rsidRPr="00931885">
        <w:rPr>
          <w:rFonts w:ascii="Times New Roman" w:hAnsi="Times New Roman" w:cs="Times New Roman"/>
          <w:sz w:val="20"/>
          <w:szCs w:val="20"/>
        </w:rPr>
        <w:t xml:space="preserve"> U10 CA180882</w:t>
      </w:r>
      <w:r>
        <w:rPr>
          <w:rFonts w:ascii="Times New Roman" w:hAnsi="Times New Roman" w:cs="Times New Roman"/>
          <w:sz w:val="20"/>
          <w:szCs w:val="20"/>
        </w:rPr>
        <w:t xml:space="preserve"> from the</w:t>
      </w:r>
      <w:r w:rsidRPr="00931885">
        <w:rPr>
          <w:rFonts w:ascii="Times New Roman" w:hAnsi="Times New Roman" w:cs="Times New Roman"/>
          <w:sz w:val="20"/>
          <w:szCs w:val="20"/>
        </w:rPr>
        <w:t xml:space="preserve"> National Cancer Institute</w:t>
      </w:r>
      <w:r w:rsidRPr="00FD7217">
        <w:rPr>
          <w:rFonts w:ascii="Times New Roman" w:hAnsi="Times New Roman" w:cs="Times New Roman"/>
          <w:sz w:val="20"/>
          <w:szCs w:val="20"/>
        </w:rPr>
        <w:t>.</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Keywords</w:t>
      </w:r>
      <w:r w:rsidRPr="00FD7217">
        <w:rPr>
          <w:rFonts w:ascii="Times New Roman" w:hAnsi="Times New Roman" w:cs="Times New Roman"/>
          <w:b/>
          <w:sz w:val="20"/>
          <w:szCs w:val="20"/>
        </w:rPr>
        <w:t>:</w:t>
      </w:r>
      <w:r w:rsidRPr="00FD7217">
        <w:rPr>
          <w:rFonts w:ascii="Times New Roman" w:hAnsi="Times New Roman" w:cs="Times New Roman"/>
          <w:sz w:val="20"/>
          <w:szCs w:val="20"/>
        </w:rPr>
        <w:t xml:space="preserve"> colon cancer; adjuvant therapy;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w:t>
      </w:r>
      <w:r>
        <w:rPr>
          <w:rFonts w:ascii="Times New Roman" w:hAnsi="Times New Roman" w:cs="Times New Roman"/>
          <w:sz w:val="20"/>
          <w:szCs w:val="20"/>
        </w:rPr>
        <w:t xml:space="preserve"> 5-fluorouracil,</w:t>
      </w:r>
      <w:r w:rsidRPr="00FD7217">
        <w:rPr>
          <w:rFonts w:ascii="Times New Roman" w:hAnsi="Times New Roman" w:cs="Times New Roman"/>
          <w:sz w:val="20"/>
          <w:szCs w:val="20"/>
        </w:rPr>
        <w:t xml:space="preserve"> </w:t>
      </w:r>
      <w:proofErr w:type="spellStart"/>
      <w:r w:rsidRPr="00FD7217">
        <w:rPr>
          <w:rFonts w:ascii="Times New Roman" w:hAnsi="Times New Roman" w:cs="Times New Roman"/>
          <w:sz w:val="20"/>
          <w:szCs w:val="20"/>
        </w:rPr>
        <w:t>capecitabine</w:t>
      </w:r>
      <w:proofErr w:type="spellEnd"/>
      <w:r w:rsidRPr="00FD7217">
        <w:rPr>
          <w:rFonts w:ascii="Times New Roman" w:hAnsi="Times New Roman" w:cs="Times New Roman"/>
          <w:sz w:val="20"/>
          <w:szCs w:val="20"/>
        </w:rPr>
        <w:t>; neurotoxicity; overall survival</w:t>
      </w:r>
    </w:p>
    <w:p w:rsidR="00C66E5B" w:rsidRPr="00FD7217" w:rsidRDefault="00C66E5B" w:rsidP="00FD7217">
      <w:pPr>
        <w:rPr>
          <w:rFonts w:ascii="Times New Roman" w:hAnsi="Times New Roman" w:cs="Times New Roman"/>
          <w:sz w:val="20"/>
          <w:szCs w:val="20"/>
        </w:rPr>
      </w:pPr>
    </w:p>
    <w:p w:rsidR="00C66E5B" w:rsidRPr="00FD7217" w:rsidRDefault="00C66E5B">
      <w:pPr>
        <w:rPr>
          <w:rFonts w:ascii="Times New Roman" w:hAnsi="Times New Roman" w:cs="Times New Roman"/>
          <w:b/>
          <w:bCs/>
          <w:sz w:val="28"/>
          <w:szCs w:val="28"/>
        </w:rPr>
      </w:pPr>
      <w:r w:rsidRPr="00FD7217">
        <w:rPr>
          <w:rFonts w:ascii="Times New Roman" w:hAnsi="Times New Roman" w:cs="Times New Roman"/>
          <w:b/>
          <w:bCs/>
          <w:sz w:val="28"/>
          <w:szCs w:val="28"/>
        </w:rPr>
        <w:br w:type="page"/>
      </w:r>
    </w:p>
    <w:p w:rsidR="00C66E5B" w:rsidRPr="00FD7217" w:rsidRDefault="00C66E5B" w:rsidP="00FD7217">
      <w:pPr>
        <w:rPr>
          <w:rFonts w:ascii="Times New Roman" w:hAnsi="Times New Roman" w:cs="Times New Roman"/>
          <w:bCs/>
        </w:rPr>
      </w:pPr>
      <w:r w:rsidRPr="00FD7217">
        <w:rPr>
          <w:rFonts w:ascii="Times New Roman" w:hAnsi="Times New Roman" w:cs="Times New Roman"/>
          <w:bCs/>
        </w:rPr>
        <w:lastRenderedPageBreak/>
        <w:t>Introduction</w:t>
      </w:r>
    </w:p>
    <w:p w:rsidR="00C66E5B" w:rsidRPr="00FD7217" w:rsidRDefault="00C66E5B" w:rsidP="00FD7217">
      <w:pPr>
        <w:rPr>
          <w:rFonts w:ascii="Times New Roman" w:hAnsi="Times New Roman" w:cs="Times New Roman"/>
          <w:bCs/>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Adjuvant chemotherapy for stage 3 colon cancer has been the standard of care for 30 years since the initial pivotal trial demonstrated a benefit in relapse-free and overall survival with postoperative treatment of 5-fluorouracil (5-FU) plus levamisole for duration of 12 months.</w:t>
      </w:r>
      <w:r w:rsidRPr="005C16CA">
        <w:rPr>
          <w:rFonts w:ascii="Times New Roman" w:hAnsi="Times New Roman" w:cs="Times New Roman"/>
          <w:noProof/>
          <w:sz w:val="20"/>
          <w:szCs w:val="20"/>
          <w:vertAlign w:val="superscript"/>
        </w:rPr>
        <w:t>1</w:t>
      </w:r>
      <w:r w:rsidRPr="00FD7217">
        <w:rPr>
          <w:rFonts w:ascii="Times New Roman" w:hAnsi="Times New Roman" w:cs="Times New Roman"/>
          <w:sz w:val="20"/>
          <w:szCs w:val="20"/>
        </w:rPr>
        <w:t xml:space="preserve"> Subsequently, in the mid-1990s, the Intergroup study 0089 established six months of 5-FU combined with </w:t>
      </w:r>
      <w:proofErr w:type="spellStart"/>
      <w:r w:rsidRPr="00FD7217">
        <w:rPr>
          <w:rFonts w:ascii="Times New Roman" w:hAnsi="Times New Roman" w:cs="Times New Roman"/>
          <w:sz w:val="20"/>
          <w:szCs w:val="20"/>
        </w:rPr>
        <w:t>folinic</w:t>
      </w:r>
      <w:proofErr w:type="spellEnd"/>
      <w:r w:rsidRPr="00FD7217">
        <w:rPr>
          <w:rFonts w:ascii="Times New Roman" w:hAnsi="Times New Roman" w:cs="Times New Roman"/>
          <w:sz w:val="20"/>
          <w:szCs w:val="20"/>
        </w:rPr>
        <w:t xml:space="preserve"> acid (FA) as standard of care in the adjuvant setting.</w:t>
      </w:r>
      <w:r w:rsidRPr="005C16CA">
        <w:rPr>
          <w:rFonts w:ascii="Times New Roman" w:hAnsi="Times New Roman" w:cs="Times New Roman"/>
          <w:noProof/>
          <w:sz w:val="20"/>
          <w:szCs w:val="20"/>
          <w:vertAlign w:val="superscript"/>
        </w:rPr>
        <w:t>2</w:t>
      </w:r>
      <w:r w:rsidRPr="00FD7217">
        <w:rPr>
          <w:rFonts w:ascii="Times New Roman" w:hAnsi="Times New Roman" w:cs="Times New Roman"/>
          <w:sz w:val="20"/>
          <w:szCs w:val="20"/>
        </w:rPr>
        <w:t xml:space="preserve"> In 2005, the ACCENT (Adjuvant Colon Cancer Endpoints) meta-analysis of adjuvant studies demonstrated that three-year disease-free survival was an excellent treatment effect predictor of five-year overall survival results and could be an appropriate primary endpoint for adjuvant studies in colon cancer.</w:t>
      </w:r>
      <w:r w:rsidRPr="005C16CA">
        <w:rPr>
          <w:rFonts w:ascii="Times New Roman" w:hAnsi="Times New Roman" w:cs="Times New Roman"/>
          <w:noProof/>
          <w:sz w:val="20"/>
          <w:szCs w:val="20"/>
          <w:vertAlign w:val="superscript"/>
        </w:rPr>
        <w:t>3</w:t>
      </w:r>
      <w:r w:rsidRPr="00FD7217">
        <w:rPr>
          <w:rFonts w:ascii="Times New Roman" w:hAnsi="Times New Roman" w:cs="Times New Roman"/>
          <w:sz w:val="20"/>
          <w:szCs w:val="20"/>
        </w:rPr>
        <w:t xml:space="preserve"> When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 xml:space="preserve"> was introduced into the adjuvant treatment for patients with stage 3 colon cancer, a six-month duration of a combination with either </w:t>
      </w:r>
      <w:proofErr w:type="spellStart"/>
      <w:r w:rsidRPr="00FD7217">
        <w:rPr>
          <w:rFonts w:ascii="Times New Roman" w:hAnsi="Times New Roman" w:cs="Times New Roman"/>
          <w:sz w:val="20"/>
          <w:szCs w:val="20"/>
        </w:rPr>
        <w:t>infusional</w:t>
      </w:r>
      <w:proofErr w:type="spellEnd"/>
      <w:r w:rsidRPr="00FD7217">
        <w:rPr>
          <w:rFonts w:ascii="Times New Roman" w:hAnsi="Times New Roman" w:cs="Times New Roman"/>
          <w:sz w:val="20"/>
          <w:szCs w:val="20"/>
        </w:rPr>
        <w:t xml:space="preserve"> 5-FU/FA (FOLFOX) or </w:t>
      </w:r>
      <w:proofErr w:type="spellStart"/>
      <w:r w:rsidRPr="00FD7217">
        <w:rPr>
          <w:rFonts w:ascii="Times New Roman" w:hAnsi="Times New Roman" w:cs="Times New Roman"/>
          <w:sz w:val="20"/>
          <w:szCs w:val="20"/>
        </w:rPr>
        <w:t>capecitabine</w:t>
      </w:r>
      <w:proofErr w:type="spellEnd"/>
      <w:r w:rsidRPr="00FD7217">
        <w:rPr>
          <w:rFonts w:ascii="Times New Roman" w:hAnsi="Times New Roman" w:cs="Times New Roman"/>
          <w:sz w:val="20"/>
          <w:szCs w:val="20"/>
        </w:rPr>
        <w:t xml:space="preserve"> (CAPOX) became adjuvant standard of care due to a consistent, albeit moderate, disease-free survival benefit compared with 5-FU/FA alone.</w:t>
      </w:r>
      <w:r w:rsidRPr="005C16CA">
        <w:rPr>
          <w:rFonts w:ascii="Times New Roman" w:hAnsi="Times New Roman" w:cs="Times New Roman"/>
          <w:noProof/>
          <w:sz w:val="20"/>
          <w:szCs w:val="20"/>
          <w:vertAlign w:val="superscript"/>
        </w:rPr>
        <w:t>4-6</w:t>
      </w:r>
      <w:r w:rsidRPr="00FD7217">
        <w:rPr>
          <w:rFonts w:ascii="Times New Roman" w:hAnsi="Times New Roman" w:cs="Times New Roman"/>
          <w:sz w:val="20"/>
          <w:szCs w:val="20"/>
        </w:rPr>
        <w:t xml:space="preserve"> One of the main side effects of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 xml:space="preserve">-based adjuvant therapy is a cumulative sensory neurotoxicity, which can affect patient quality of life even long after the actual treatment is discontinued. Since the incidence and severity of neurotoxicity are correlated with the duration of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-based therapy, a critical clinical question was whether a shorter duration of therapy could achieve cancer outcomes as good as the standard six months of treatment, thereby reducing toxicity and health care utilization.</w:t>
      </w:r>
    </w:p>
    <w:p w:rsidR="00C66E5B" w:rsidRPr="00FD7217" w:rsidRDefault="00C66E5B" w:rsidP="00FD7217">
      <w:pPr>
        <w:rPr>
          <w:rFonts w:ascii="Times New Roman" w:hAnsi="Times New Roman" w:cs="Times New Roman"/>
          <w:sz w:val="20"/>
          <w:szCs w:val="20"/>
        </w:rPr>
      </w:pPr>
    </w:p>
    <w:p w:rsidR="00C66E5B" w:rsidRPr="00FD7217" w:rsidRDefault="00C66E5B" w:rsidP="006F5748">
      <w:pPr>
        <w:autoSpaceDE w:val="0"/>
        <w:autoSpaceDN w:val="0"/>
        <w:adjustRightInd w:val="0"/>
        <w:rPr>
          <w:rFonts w:ascii="Times New Roman" w:hAnsi="Times New Roman" w:cs="Times New Roman"/>
          <w:sz w:val="20"/>
          <w:szCs w:val="20"/>
        </w:rPr>
      </w:pPr>
      <w:r w:rsidRPr="00FD7217">
        <w:rPr>
          <w:rFonts w:ascii="Times New Roman" w:hAnsi="Times New Roman" w:cs="Times New Roman"/>
          <w:sz w:val="20"/>
          <w:szCs w:val="20"/>
        </w:rPr>
        <w:t xml:space="preserve">The International Duration Evaluation of Adjuvant therapy (IDEA) collaboration was established to determine, in form of a pre-planned, pooled analysis of six independently conducted trials, whether a three-month duration of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-based therapy was non-inferior to six months.</w:t>
      </w:r>
      <w:r w:rsidRPr="005C16CA">
        <w:rPr>
          <w:rFonts w:ascii="Times New Roman" w:hAnsi="Times New Roman" w:cs="Times New Roman"/>
          <w:noProof/>
          <w:sz w:val="20"/>
          <w:szCs w:val="20"/>
          <w:vertAlign w:val="superscript"/>
        </w:rPr>
        <w:t>7</w:t>
      </w:r>
      <w:r w:rsidRPr="00FD7217">
        <w:rPr>
          <w:rFonts w:ascii="Times New Roman" w:hAnsi="Times New Roman" w:cs="Times New Roman"/>
          <w:sz w:val="20"/>
          <w:szCs w:val="20"/>
        </w:rPr>
        <w:t xml:space="preserve"> In the overall population of 12,834 patients with stage 3 colon cancers, the IDEA-pooled analysis did not demonstrate non-inferiority (NI) regarding the primary endpoint, three-year disease-free survival, for three months versus six months of adjuvant FOLFOX/CAPOX. However, an unexpected interaction effect of the regimen used (FOLFOX versus CAPOX) was detected in a pre-planned analysis. In patients treated with CAPOX, a longer duration of therapy did not provide additional benefit with NI </w:t>
      </w:r>
      <w:r w:rsidRPr="00FF4529">
        <w:rPr>
          <w:rFonts w:ascii="Times New Roman" w:hAnsi="Times New Roman" w:cs="Times New Roman"/>
          <w:sz w:val="20"/>
          <w:szCs w:val="20"/>
        </w:rPr>
        <w:t xml:space="preserve">demonstrated (74.8% </w:t>
      </w:r>
      <w:r>
        <w:rPr>
          <w:rFonts w:ascii="Times New Roman" w:hAnsi="Times New Roman" w:cs="Times New Roman"/>
          <w:sz w:val="20"/>
          <w:szCs w:val="20"/>
        </w:rPr>
        <w:t>v</w:t>
      </w:r>
      <w:r w:rsidRPr="00F74A9A">
        <w:rPr>
          <w:rFonts w:ascii="Times New Roman" w:hAnsi="Times New Roman" w:cs="Times New Roman"/>
          <w:sz w:val="20"/>
          <w:szCs w:val="20"/>
        </w:rPr>
        <w:t>ersus</w:t>
      </w:r>
      <w:r w:rsidRPr="00FF4529">
        <w:rPr>
          <w:rFonts w:ascii="Times New Roman" w:hAnsi="Times New Roman" w:cs="Times New Roman"/>
          <w:sz w:val="20"/>
          <w:szCs w:val="20"/>
        </w:rPr>
        <w:t xml:space="preserve"> 75,9%; </w:t>
      </w:r>
      <w:r w:rsidRPr="006F5748">
        <w:rPr>
          <w:rFonts w:ascii="Times New Roman" w:eastAsia="OTNEJMQuadraat" w:hAnsi="Times New Roman" w:cs="Times New Roman"/>
          <w:sz w:val="20"/>
          <w:szCs w:val="20"/>
        </w:rPr>
        <w:t>HR 0.95; 95% CI 0.85 to 1.06)</w:t>
      </w:r>
      <w:r w:rsidRPr="00FD7217">
        <w:rPr>
          <w:rFonts w:ascii="Times New Roman" w:hAnsi="Times New Roman" w:cs="Times New Roman"/>
          <w:sz w:val="20"/>
          <w:szCs w:val="20"/>
        </w:rPr>
        <w:t xml:space="preserve">, whereas, six months of FOLFOX therapy was associated with moderate </w:t>
      </w:r>
      <w:r w:rsidRPr="00E70B27">
        <w:rPr>
          <w:rFonts w:ascii="Times New Roman" w:hAnsi="Times New Roman" w:cs="Times New Roman"/>
          <w:sz w:val="20"/>
          <w:szCs w:val="20"/>
        </w:rPr>
        <w:t xml:space="preserve">(73·6% versus 76%; HR </w:t>
      </w:r>
      <w:r w:rsidRPr="006F5748">
        <w:rPr>
          <w:rFonts w:ascii="Times New Roman" w:eastAsia="OTNEJMQuadraat" w:hAnsi="Times New Roman" w:cs="Times New Roman"/>
          <w:sz w:val="20"/>
          <w:szCs w:val="20"/>
        </w:rPr>
        <w:t>1.16; 95% CI, 1.06 to 1.26</w:t>
      </w:r>
      <w:r w:rsidRPr="00E70B27">
        <w:rPr>
          <w:rFonts w:ascii="Times New Roman" w:hAnsi="Times New Roman" w:cs="Times New Roman"/>
          <w:sz w:val="20"/>
          <w:szCs w:val="20"/>
        </w:rPr>
        <w:t>)</w:t>
      </w:r>
      <w:r w:rsidRPr="00FD7217">
        <w:rPr>
          <w:rFonts w:ascii="Times New Roman" w:hAnsi="Times New Roman" w:cs="Times New Roman"/>
          <w:sz w:val="20"/>
          <w:szCs w:val="20"/>
        </w:rPr>
        <w:t xml:space="preserve"> but statistically improved three-year disease-free survival compared with three months. Of note, CAPOX versus FOLFOX was not randomly assigned in any of the IDEA trials; therefore, no direct outcomes comparison was possible between these two regimens.</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Debates regarding the interpretation of the IDEA three-year disease-free survival results, as well as how to apply the results in clinical practice, have continued since the initial presentation in 2017.</w:t>
      </w:r>
      <w:r w:rsidRPr="005C16CA">
        <w:rPr>
          <w:rFonts w:ascii="Times New Roman" w:hAnsi="Times New Roman" w:cs="Times New Roman"/>
          <w:noProof/>
          <w:sz w:val="20"/>
          <w:szCs w:val="20"/>
          <w:vertAlign w:val="superscript"/>
        </w:rPr>
        <w:t>8</w:t>
      </w:r>
      <w:r w:rsidRPr="00FD7217">
        <w:rPr>
          <w:rFonts w:ascii="Times New Roman" w:hAnsi="Times New Roman" w:cs="Times New Roman"/>
          <w:sz w:val="20"/>
          <w:szCs w:val="20"/>
        </w:rPr>
        <w:t xml:space="preserve"> Questions have been raised regarding a potential difference in anti-tumor mechanisms of FOLFOX versus CAPOX, </w:t>
      </w:r>
      <w:r w:rsidRPr="00FD6421">
        <w:rPr>
          <w:rFonts w:ascii="Times New Roman" w:hAnsi="Times New Roman" w:cs="Times New Roman"/>
          <w:sz w:val="20"/>
          <w:szCs w:val="20"/>
        </w:rPr>
        <w:t xml:space="preserve">overall </w:t>
      </w:r>
      <w:r>
        <w:rPr>
          <w:rFonts w:ascii="Times New Roman" w:hAnsi="Times New Roman" w:cs="Times New Roman"/>
          <w:sz w:val="20"/>
          <w:szCs w:val="20"/>
        </w:rPr>
        <w:t>NI</w:t>
      </w:r>
      <w:r w:rsidRPr="00FD6421">
        <w:rPr>
          <w:rFonts w:ascii="Times New Roman" w:hAnsi="Times New Roman" w:cs="Times New Roman"/>
          <w:sz w:val="20"/>
          <w:szCs w:val="20"/>
        </w:rPr>
        <w:t xml:space="preserve"> </w:t>
      </w:r>
      <w:r>
        <w:rPr>
          <w:rFonts w:ascii="Times New Roman" w:hAnsi="Times New Roman" w:cs="Times New Roman"/>
          <w:sz w:val="20"/>
          <w:szCs w:val="20"/>
        </w:rPr>
        <w:t xml:space="preserve">for a </w:t>
      </w:r>
      <w:r w:rsidRPr="00FD6421">
        <w:rPr>
          <w:rFonts w:ascii="Times New Roman" w:hAnsi="Times New Roman" w:cs="Times New Roman"/>
          <w:sz w:val="20"/>
          <w:szCs w:val="20"/>
        </w:rPr>
        <w:t>shorter adjuvant treatment was not proven</w:t>
      </w:r>
      <w:r w:rsidRPr="00FD7217">
        <w:rPr>
          <w:rFonts w:ascii="Times New Roman" w:hAnsi="Times New Roman" w:cs="Times New Roman"/>
          <w:sz w:val="20"/>
          <w:szCs w:val="20"/>
        </w:rPr>
        <w:t xml:space="preserve"> </w:t>
      </w:r>
      <w:r>
        <w:rPr>
          <w:rFonts w:ascii="Times New Roman" w:hAnsi="Times New Roman" w:cs="Times New Roman"/>
          <w:sz w:val="20"/>
          <w:szCs w:val="20"/>
        </w:rPr>
        <w:t>for</w:t>
      </w:r>
      <w:r w:rsidRPr="00FD7217">
        <w:rPr>
          <w:rFonts w:ascii="Times New Roman" w:hAnsi="Times New Roman" w:cs="Times New Roman"/>
          <w:sz w:val="20"/>
          <w:szCs w:val="20"/>
        </w:rPr>
        <w:t xml:space="preserve"> the whole population with yet very small differences in absolute three-year disease-free survival rates between duration groups and whether three-year </w:t>
      </w:r>
      <w:r w:rsidRPr="00E45FDA">
        <w:rPr>
          <w:rFonts w:ascii="Times New Roman" w:hAnsi="Times New Roman" w:cs="Times New Roman"/>
          <w:sz w:val="20"/>
          <w:szCs w:val="20"/>
        </w:rPr>
        <w:t>disease-free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can still reliably predict overall survival giving recent improvements in the treatment of metastatic disease after recurrence.</w:t>
      </w:r>
      <w:r w:rsidRPr="005C16CA">
        <w:rPr>
          <w:rFonts w:ascii="Times New Roman" w:hAnsi="Times New Roman" w:cs="Times New Roman"/>
          <w:noProof/>
          <w:sz w:val="20"/>
          <w:szCs w:val="20"/>
          <w:vertAlign w:val="superscript"/>
        </w:rPr>
        <w:t>7,9</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Hence, the overall survival and updated disease-free survival comparisons are critical to provide definite inference regarding whether three months of adjuvant therapy is sufficient for stage 3 colon cancer patients. As all six IDEA studies have reached five years or longer follow-up, we now report the results for overall survival at five years together with the final five-year disease-free survival results.</w:t>
      </w:r>
    </w:p>
    <w:p w:rsidR="00C66E5B" w:rsidRPr="00FD7217" w:rsidRDefault="00C66E5B" w:rsidP="00FD7217">
      <w:pPr>
        <w:rPr>
          <w:rFonts w:ascii="Times New Roman" w:hAnsi="Times New Roman" w:cs="Times New Roman"/>
        </w:rPr>
      </w:pPr>
    </w:p>
    <w:p w:rsidR="00C66E5B" w:rsidRPr="00FD7217" w:rsidRDefault="00C66E5B" w:rsidP="00FD7217">
      <w:pPr>
        <w:rPr>
          <w:rFonts w:ascii="Times New Roman" w:hAnsi="Times New Roman" w:cs="Times New Roman"/>
          <w:bCs/>
        </w:rPr>
      </w:pPr>
      <w:r w:rsidRPr="00FD7217">
        <w:rPr>
          <w:rFonts w:ascii="Times New Roman" w:hAnsi="Times New Roman" w:cs="Times New Roman"/>
          <w:bCs/>
        </w:rPr>
        <w:t>Methods</w:t>
      </w:r>
    </w:p>
    <w:p w:rsidR="00C66E5B" w:rsidRPr="00FD7217" w:rsidRDefault="00C66E5B" w:rsidP="00FD7217">
      <w:pPr>
        <w:rPr>
          <w:rFonts w:ascii="Times New Roman" w:hAnsi="Times New Roman" w:cs="Times New Roman"/>
          <w:bCs/>
        </w:rPr>
      </w:pPr>
    </w:p>
    <w:p w:rsidR="00C66E5B" w:rsidRPr="00F73025" w:rsidRDefault="00C66E5B" w:rsidP="00FD7217">
      <w:pPr>
        <w:rPr>
          <w:rFonts w:ascii="Times New Roman" w:hAnsi="Times New Roman" w:cs="Times New Roman"/>
          <w:b/>
          <w:i/>
          <w:sz w:val="20"/>
          <w:szCs w:val="20"/>
        </w:rPr>
      </w:pPr>
      <w:r>
        <w:rPr>
          <w:rFonts w:ascii="Times New Roman" w:hAnsi="Times New Roman" w:cs="Times New Roman"/>
          <w:b/>
          <w:i/>
          <w:sz w:val="20"/>
          <w:szCs w:val="20"/>
        </w:rPr>
        <w:t xml:space="preserve">Study Design and Participants </w:t>
      </w:r>
    </w:p>
    <w:p w:rsidR="00C66E5B" w:rsidRPr="00FD7217" w:rsidRDefault="00C66E5B" w:rsidP="00FD7217">
      <w:pPr>
        <w:rPr>
          <w:rFonts w:ascii="Times New Roman" w:hAnsi="Times New Roman" w:cs="Times New Roman"/>
          <w:sz w:val="20"/>
          <w:szCs w:val="20"/>
        </w:rPr>
      </w:pPr>
    </w:p>
    <w:p w:rsidR="00C66E5B" w:rsidRPr="00A06431"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Individual patient data were pooled from six randomized phase 3 trials conducted in 12 countries (</w:t>
      </w:r>
      <w:r w:rsidRPr="00FD7217">
        <w:rPr>
          <w:rFonts w:ascii="Times New Roman" w:hAnsi="Times New Roman" w:cs="Times New Roman"/>
          <w:bCs/>
          <w:sz w:val="20"/>
          <w:szCs w:val="20"/>
        </w:rPr>
        <w:t>SCOT</w:t>
      </w:r>
      <w:r w:rsidRPr="00FD7217">
        <w:rPr>
          <w:rFonts w:ascii="Times New Roman" w:hAnsi="Times New Roman" w:cs="Times New Roman"/>
          <w:sz w:val="20"/>
          <w:szCs w:val="20"/>
        </w:rPr>
        <w:t xml:space="preserve"> [</w:t>
      </w:r>
      <w:r w:rsidRPr="00931885">
        <w:rPr>
          <w:rFonts w:ascii="Times New Roman" w:hAnsi="Times New Roman" w:cs="Times New Roman"/>
          <w:sz w:val="20"/>
          <w:szCs w:val="20"/>
        </w:rPr>
        <w:t>NCT00749450</w:t>
      </w:r>
      <w:r>
        <w:rPr>
          <w:rFonts w:ascii="Times New Roman" w:hAnsi="Times New Roman" w:cs="Times New Roman"/>
          <w:sz w:val="20"/>
          <w:szCs w:val="20"/>
        </w:rPr>
        <w:t xml:space="preserve">; </w:t>
      </w:r>
      <w:r w:rsidRPr="00FD7217">
        <w:rPr>
          <w:rFonts w:ascii="Times New Roman" w:hAnsi="Times New Roman" w:cs="Times New Roman"/>
          <w:sz w:val="20"/>
          <w:szCs w:val="20"/>
        </w:rPr>
        <w:t xml:space="preserve">UK, Denmark, Spain, Australia, Sweden, New Zealand], </w:t>
      </w:r>
      <w:r w:rsidRPr="00FD7217">
        <w:rPr>
          <w:rFonts w:ascii="Times New Roman" w:hAnsi="Times New Roman" w:cs="Times New Roman"/>
          <w:bCs/>
          <w:sz w:val="20"/>
          <w:szCs w:val="20"/>
        </w:rPr>
        <w:t>TOSCA</w:t>
      </w:r>
      <w:r w:rsidRPr="00FD7217">
        <w:rPr>
          <w:rFonts w:ascii="Times New Roman" w:hAnsi="Times New Roman" w:cs="Times New Roman"/>
          <w:sz w:val="20"/>
          <w:szCs w:val="20"/>
        </w:rPr>
        <w:t xml:space="preserve"> [</w:t>
      </w:r>
      <w:r w:rsidRPr="00931885">
        <w:rPr>
          <w:rFonts w:ascii="Times New Roman" w:hAnsi="Times New Roman" w:cs="Times New Roman"/>
          <w:sz w:val="20"/>
          <w:szCs w:val="20"/>
        </w:rPr>
        <w:t>NCT00646607</w:t>
      </w:r>
      <w:r>
        <w:rPr>
          <w:rFonts w:ascii="Times New Roman" w:hAnsi="Times New Roman" w:cs="Times New Roman"/>
          <w:sz w:val="20"/>
          <w:szCs w:val="20"/>
        </w:rPr>
        <w:t xml:space="preserve">; </w:t>
      </w:r>
      <w:r w:rsidRPr="00FD7217">
        <w:rPr>
          <w:rFonts w:ascii="Times New Roman" w:hAnsi="Times New Roman" w:cs="Times New Roman"/>
          <w:sz w:val="20"/>
          <w:szCs w:val="20"/>
        </w:rPr>
        <w:t xml:space="preserve">Italy], </w:t>
      </w:r>
      <w:r w:rsidRPr="00FD7217">
        <w:rPr>
          <w:rFonts w:ascii="Times New Roman" w:hAnsi="Times New Roman" w:cs="Times New Roman"/>
          <w:bCs/>
          <w:sz w:val="20"/>
          <w:szCs w:val="20"/>
        </w:rPr>
        <w:t>IDEA France</w:t>
      </w:r>
      <w:r>
        <w:rPr>
          <w:rFonts w:ascii="Times New Roman" w:hAnsi="Times New Roman" w:cs="Times New Roman"/>
          <w:bCs/>
          <w:sz w:val="20"/>
          <w:szCs w:val="20"/>
        </w:rPr>
        <w:t xml:space="preserve"> [</w:t>
      </w:r>
      <w:r w:rsidRPr="00931885">
        <w:rPr>
          <w:rFonts w:ascii="Times New Roman" w:hAnsi="Times New Roman" w:cs="Times New Roman"/>
          <w:sz w:val="20"/>
          <w:szCs w:val="20"/>
        </w:rPr>
        <w:t>NCT00958737</w:t>
      </w:r>
      <w:r>
        <w:rPr>
          <w:rFonts w:ascii="Times New Roman" w:hAnsi="Times New Roman" w:cs="Times New Roman"/>
          <w:sz w:val="20"/>
          <w:szCs w:val="20"/>
        </w:rPr>
        <w:t>; France</w:t>
      </w:r>
      <w:r>
        <w:rPr>
          <w:rFonts w:ascii="Times New Roman" w:hAnsi="Times New Roman" w:cs="Times New Roman"/>
          <w:bCs/>
          <w:sz w:val="20"/>
          <w:szCs w:val="20"/>
        </w:rPr>
        <w:t xml:space="preserve">], </w:t>
      </w:r>
      <w:r w:rsidRPr="00FD7217">
        <w:rPr>
          <w:rFonts w:ascii="Times New Roman" w:hAnsi="Times New Roman" w:cs="Times New Roman"/>
          <w:bCs/>
          <w:sz w:val="20"/>
          <w:szCs w:val="20"/>
        </w:rPr>
        <w:t xml:space="preserve">Alliance/SWOG 80702 </w:t>
      </w:r>
      <w:r>
        <w:rPr>
          <w:rFonts w:ascii="Times New Roman" w:hAnsi="Times New Roman" w:cs="Times New Roman"/>
          <w:sz w:val="20"/>
          <w:szCs w:val="20"/>
        </w:rPr>
        <w:t>[</w:t>
      </w:r>
      <w:r w:rsidRPr="00931885">
        <w:rPr>
          <w:rFonts w:ascii="Times New Roman" w:hAnsi="Times New Roman" w:cs="Times New Roman"/>
          <w:sz w:val="20"/>
          <w:szCs w:val="20"/>
        </w:rPr>
        <w:t>NCT01150045</w:t>
      </w:r>
      <w:r>
        <w:rPr>
          <w:rFonts w:ascii="Times New Roman" w:hAnsi="Times New Roman" w:cs="Times New Roman"/>
          <w:sz w:val="20"/>
          <w:szCs w:val="20"/>
        </w:rPr>
        <w:t xml:space="preserve">; US, Canada], </w:t>
      </w:r>
      <w:r w:rsidRPr="00FD7217">
        <w:rPr>
          <w:rFonts w:ascii="Times New Roman" w:hAnsi="Times New Roman" w:cs="Times New Roman"/>
          <w:bCs/>
          <w:sz w:val="20"/>
          <w:szCs w:val="20"/>
        </w:rPr>
        <w:t>ACHIEVE</w:t>
      </w:r>
      <w:r w:rsidRPr="00FD7217">
        <w:rPr>
          <w:rFonts w:ascii="Times New Roman" w:hAnsi="Times New Roman" w:cs="Times New Roman"/>
          <w:sz w:val="20"/>
          <w:szCs w:val="20"/>
        </w:rPr>
        <w:t xml:space="preserve"> [</w:t>
      </w:r>
      <w:r w:rsidRPr="00931885">
        <w:rPr>
          <w:rFonts w:ascii="Times New Roman" w:hAnsi="Times New Roman" w:cs="Times New Roman"/>
          <w:sz w:val="20"/>
          <w:szCs w:val="20"/>
        </w:rPr>
        <w:t>UMIN000008543</w:t>
      </w:r>
      <w:r>
        <w:rPr>
          <w:rFonts w:ascii="Times New Roman" w:hAnsi="Times New Roman" w:cs="Times New Roman"/>
          <w:sz w:val="20"/>
          <w:szCs w:val="20"/>
        </w:rPr>
        <w:t xml:space="preserve">; </w:t>
      </w:r>
      <w:r w:rsidRPr="00FD7217">
        <w:rPr>
          <w:rFonts w:ascii="Times New Roman" w:hAnsi="Times New Roman" w:cs="Times New Roman"/>
          <w:sz w:val="20"/>
          <w:szCs w:val="20"/>
        </w:rPr>
        <w:t xml:space="preserve">Japan], </w:t>
      </w:r>
      <w:r w:rsidRPr="00FD7217">
        <w:rPr>
          <w:rFonts w:ascii="Times New Roman" w:hAnsi="Times New Roman" w:cs="Times New Roman"/>
          <w:bCs/>
          <w:sz w:val="20"/>
          <w:szCs w:val="20"/>
        </w:rPr>
        <w:t>HORG</w:t>
      </w:r>
      <w:r w:rsidRPr="00FD7217">
        <w:rPr>
          <w:rFonts w:ascii="Times New Roman" w:hAnsi="Times New Roman" w:cs="Times New Roman"/>
          <w:sz w:val="20"/>
          <w:szCs w:val="20"/>
        </w:rPr>
        <w:t xml:space="preserve"> [</w:t>
      </w:r>
      <w:r w:rsidRPr="00931885">
        <w:rPr>
          <w:rFonts w:ascii="Times New Roman" w:hAnsi="Times New Roman" w:cs="Times New Roman"/>
          <w:sz w:val="20"/>
          <w:szCs w:val="20"/>
        </w:rPr>
        <w:t>NCT01308086</w:t>
      </w:r>
      <w:r>
        <w:rPr>
          <w:rFonts w:ascii="Times New Roman" w:hAnsi="Times New Roman" w:cs="Times New Roman"/>
          <w:sz w:val="20"/>
          <w:szCs w:val="20"/>
        </w:rPr>
        <w:t xml:space="preserve">; </w:t>
      </w:r>
      <w:r w:rsidRPr="00FD7217">
        <w:rPr>
          <w:rFonts w:ascii="Times New Roman" w:hAnsi="Times New Roman" w:cs="Times New Roman"/>
          <w:sz w:val="20"/>
          <w:szCs w:val="20"/>
        </w:rPr>
        <w:t>Greece]).</w:t>
      </w:r>
      <w:r w:rsidRPr="005C16CA">
        <w:rPr>
          <w:rFonts w:ascii="Times New Roman" w:hAnsi="Times New Roman" w:cs="Times New Roman"/>
          <w:noProof/>
          <w:sz w:val="20"/>
          <w:szCs w:val="20"/>
          <w:vertAlign w:val="superscript"/>
        </w:rPr>
        <w:t>10-15</w:t>
      </w:r>
      <w:r>
        <w:rPr>
          <w:rFonts w:ascii="Times New Roman" w:hAnsi="Times New Roman" w:cs="Times New Roman"/>
          <w:sz w:val="20"/>
          <w:szCs w:val="20"/>
        </w:rPr>
        <w:t xml:space="preserve"> Stage III colon cancer patients (≥18 years old and performance score 0-1 per each study protocol) were eligible for this pooled analysis. </w:t>
      </w:r>
      <w:r w:rsidRPr="00FD7217">
        <w:rPr>
          <w:rFonts w:ascii="Times New Roman" w:hAnsi="Times New Roman" w:cs="Times New Roman"/>
          <w:sz w:val="20"/>
          <w:szCs w:val="20"/>
        </w:rPr>
        <w:t xml:space="preserve"> </w:t>
      </w:r>
      <w:r>
        <w:rPr>
          <w:rFonts w:ascii="Times New Roman" w:hAnsi="Times New Roman" w:cs="Times New Roman"/>
          <w:sz w:val="20"/>
          <w:szCs w:val="20"/>
        </w:rPr>
        <w:t>Most of the studies adopted AJCC 6</w:t>
      </w:r>
      <w:r w:rsidRPr="00276306">
        <w:rPr>
          <w:rFonts w:ascii="Times New Roman" w:hAnsi="Times New Roman" w:cs="Times New Roman"/>
          <w:sz w:val="20"/>
          <w:szCs w:val="20"/>
          <w:vertAlign w:val="superscript"/>
        </w:rPr>
        <w:t>th</w:t>
      </w:r>
      <w:r>
        <w:rPr>
          <w:rFonts w:ascii="Times New Roman" w:hAnsi="Times New Roman" w:cs="Times New Roman"/>
          <w:sz w:val="20"/>
          <w:szCs w:val="20"/>
        </w:rPr>
        <w:t xml:space="preserve"> for TNM staging classification, except ACHIEVE and IDEA France which used AJCC 7</w:t>
      </w:r>
      <w:r w:rsidRPr="00276306">
        <w:rPr>
          <w:rFonts w:ascii="Times New Roman" w:hAnsi="Times New Roman" w:cs="Times New Roman"/>
          <w:sz w:val="20"/>
          <w:szCs w:val="20"/>
          <w:vertAlign w:val="superscript"/>
        </w:rPr>
        <w:t>th</w:t>
      </w:r>
      <w:r>
        <w:rPr>
          <w:rFonts w:ascii="Times New Roman" w:hAnsi="Times New Roman" w:cs="Times New Roman"/>
          <w:sz w:val="20"/>
          <w:szCs w:val="20"/>
        </w:rPr>
        <w:t xml:space="preserve"> staging. In both classification </w:t>
      </w:r>
      <w:proofErr w:type="spellStart"/>
      <w:r>
        <w:rPr>
          <w:rFonts w:ascii="Times New Roman" w:hAnsi="Times New Roman" w:cs="Times New Roman"/>
          <w:sz w:val="20"/>
          <w:szCs w:val="20"/>
        </w:rPr>
        <w:t>micrometastasis</w:t>
      </w:r>
      <w:proofErr w:type="spellEnd"/>
      <w:r>
        <w:rPr>
          <w:rFonts w:ascii="Times New Roman" w:hAnsi="Times New Roman" w:cs="Times New Roman"/>
          <w:sz w:val="20"/>
          <w:szCs w:val="20"/>
        </w:rPr>
        <w:t xml:space="preserve"> (size between 0</w:t>
      </w:r>
      <w:r w:rsidRPr="00FD7217">
        <w:rPr>
          <w:rFonts w:ascii="Times New Roman" w:hAnsi="Times New Roman" w:cs="Times New Roman"/>
          <w:sz w:val="20"/>
          <w:szCs w:val="20"/>
        </w:rPr>
        <w:t>·</w:t>
      </w:r>
      <w:r>
        <w:rPr>
          <w:rFonts w:ascii="Times New Roman" w:hAnsi="Times New Roman" w:cs="Times New Roman"/>
          <w:sz w:val="20"/>
          <w:szCs w:val="20"/>
        </w:rPr>
        <w:t xml:space="preserve">2 and 2 mm) are included since considered as stage III </w:t>
      </w:r>
      <w:r w:rsidRPr="00250CC3">
        <w:rPr>
          <w:rFonts w:ascii="Times New Roman" w:hAnsi="Times New Roman" w:cs="Times New Roman"/>
          <w:sz w:val="20"/>
          <w:szCs w:val="20"/>
        </w:rPr>
        <w:t xml:space="preserve">and isolated </w:t>
      </w:r>
      <w:r w:rsidRPr="00F73025">
        <w:rPr>
          <w:rFonts w:ascii="Times New Roman" w:hAnsi="Times New Roman" w:cs="Times New Roman"/>
          <w:sz w:val="20"/>
          <w:szCs w:val="20"/>
        </w:rPr>
        <w:t>tumor cells in nodes non-included. The notion of tumor deposit only appeared in 2010 with AJCC 7</w:t>
      </w:r>
      <w:r w:rsidRPr="00F73025">
        <w:rPr>
          <w:rFonts w:ascii="Times New Roman" w:hAnsi="Times New Roman" w:cs="Times New Roman"/>
          <w:sz w:val="20"/>
          <w:szCs w:val="20"/>
          <w:vertAlign w:val="superscript"/>
        </w:rPr>
        <w:t>th</w:t>
      </w:r>
      <w:r w:rsidRPr="00F73025">
        <w:rPr>
          <w:rFonts w:ascii="Times New Roman" w:hAnsi="Times New Roman" w:cs="Times New Roman"/>
          <w:sz w:val="20"/>
          <w:szCs w:val="20"/>
        </w:rPr>
        <w:t>.</w:t>
      </w:r>
      <w:r w:rsidRPr="00BE3C13">
        <w:rPr>
          <w:rFonts w:cstheme="minorHAnsi"/>
          <w:sz w:val="22"/>
          <w:szCs w:val="22"/>
        </w:rPr>
        <w:t xml:space="preserve"> </w:t>
      </w:r>
      <w:r w:rsidR="00082FDC" w:rsidRPr="00A06431">
        <w:rPr>
          <w:rFonts w:ascii="Times New Roman" w:hAnsi="Times New Roman" w:cs="Times New Roman"/>
          <w:sz w:val="20"/>
          <w:szCs w:val="20"/>
        </w:rPr>
        <w:t>All patients provided written, informed consent at enrollment in the respective trials.</w:t>
      </w:r>
    </w:p>
    <w:p w:rsidR="00C66E5B" w:rsidRDefault="00C66E5B" w:rsidP="00FD7217">
      <w:pPr>
        <w:rPr>
          <w:rFonts w:ascii="Times New Roman" w:hAnsi="Times New Roman" w:cs="Times New Roman"/>
          <w:sz w:val="20"/>
          <w:szCs w:val="20"/>
        </w:rPr>
      </w:pPr>
    </w:p>
    <w:p w:rsidR="00C66E5B" w:rsidRDefault="00C66E5B" w:rsidP="00FD7217">
      <w:pPr>
        <w:rPr>
          <w:rFonts w:ascii="Times New Roman" w:hAnsi="Times New Roman" w:cs="Times New Roman"/>
          <w:b/>
          <w:i/>
          <w:sz w:val="20"/>
          <w:szCs w:val="20"/>
        </w:rPr>
      </w:pPr>
      <w:r>
        <w:rPr>
          <w:rFonts w:ascii="Times New Roman" w:hAnsi="Times New Roman" w:cs="Times New Roman"/>
          <w:b/>
          <w:i/>
          <w:sz w:val="20"/>
          <w:szCs w:val="20"/>
        </w:rPr>
        <w:t>Procedures</w:t>
      </w:r>
    </w:p>
    <w:p w:rsidR="00C66E5B"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Patients in all trials were randomized to three versus six months of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-based treatment. Either 5-FU/FA (FOLFOX4 or modified FOLFOX6)</w:t>
      </w:r>
      <w:r w:rsidRPr="005C16CA">
        <w:rPr>
          <w:rFonts w:ascii="Times New Roman" w:hAnsi="Times New Roman" w:cs="Times New Roman"/>
          <w:noProof/>
          <w:sz w:val="20"/>
          <w:szCs w:val="20"/>
          <w:vertAlign w:val="superscript"/>
        </w:rPr>
        <w:t>4,16</w:t>
      </w:r>
      <w:r w:rsidRPr="00FD7217">
        <w:rPr>
          <w:rFonts w:ascii="Times New Roman" w:hAnsi="Times New Roman" w:cs="Times New Roman"/>
          <w:sz w:val="20"/>
          <w:szCs w:val="20"/>
        </w:rPr>
        <w:t xml:space="preserve"> or </w:t>
      </w:r>
      <w:proofErr w:type="spellStart"/>
      <w:r w:rsidRPr="00FD7217">
        <w:rPr>
          <w:rFonts w:ascii="Times New Roman" w:hAnsi="Times New Roman" w:cs="Times New Roman"/>
          <w:sz w:val="20"/>
          <w:szCs w:val="20"/>
        </w:rPr>
        <w:t>capecitabine</w:t>
      </w:r>
      <w:proofErr w:type="spellEnd"/>
      <w:r w:rsidRPr="00FD7217">
        <w:rPr>
          <w:rFonts w:ascii="Times New Roman" w:hAnsi="Times New Roman" w:cs="Times New Roman"/>
          <w:sz w:val="20"/>
          <w:szCs w:val="20"/>
        </w:rPr>
        <w:t xml:space="preserve"> (CAPOX</w:t>
      </w:r>
      <w:proofErr w:type="gramStart"/>
      <w:r w:rsidRPr="00FD7217">
        <w:rPr>
          <w:rFonts w:ascii="Times New Roman" w:hAnsi="Times New Roman" w:cs="Times New Roman"/>
          <w:sz w:val="20"/>
          <w:szCs w:val="20"/>
        </w:rPr>
        <w:t>)</w:t>
      </w:r>
      <w:r w:rsidRPr="005C16CA">
        <w:rPr>
          <w:rFonts w:ascii="Times New Roman" w:hAnsi="Times New Roman" w:cs="Times New Roman"/>
          <w:noProof/>
          <w:sz w:val="20"/>
          <w:szCs w:val="20"/>
          <w:vertAlign w:val="superscript"/>
        </w:rPr>
        <w:t>5,16</w:t>
      </w:r>
      <w:proofErr w:type="gramEnd"/>
      <w:r w:rsidRPr="00FD7217">
        <w:rPr>
          <w:rFonts w:ascii="Times New Roman" w:hAnsi="Times New Roman" w:cs="Times New Roman"/>
          <w:sz w:val="20"/>
          <w:szCs w:val="20"/>
        </w:rPr>
        <w:t xml:space="preserve">, per discretion of the treating physicians, were allowed as the </w:t>
      </w:r>
      <w:proofErr w:type="spellStart"/>
      <w:r w:rsidRPr="00FD7217">
        <w:rPr>
          <w:rFonts w:ascii="Times New Roman" w:hAnsi="Times New Roman" w:cs="Times New Roman"/>
          <w:sz w:val="20"/>
          <w:szCs w:val="20"/>
        </w:rPr>
        <w:t>fluoropyrimidine</w:t>
      </w:r>
      <w:proofErr w:type="spellEnd"/>
      <w:r w:rsidRPr="00FD7217">
        <w:rPr>
          <w:rFonts w:ascii="Times New Roman" w:hAnsi="Times New Roman" w:cs="Times New Roman"/>
          <w:sz w:val="20"/>
          <w:szCs w:val="20"/>
        </w:rPr>
        <w:t xml:space="preserve"> backbone. </w:t>
      </w:r>
      <w:r w:rsidR="00B04433">
        <w:rPr>
          <w:rFonts w:ascii="Times New Roman" w:hAnsi="Times New Roman" w:cs="Times New Roman"/>
          <w:sz w:val="20"/>
          <w:szCs w:val="20"/>
        </w:rPr>
        <w:t>Infusion LV 200(400) mg/m</w:t>
      </w:r>
      <w:r w:rsidR="00B04433">
        <w:rPr>
          <w:rFonts w:ascii="Times New Roman" w:hAnsi="Times New Roman" w:cs="Times New Roman"/>
          <w:sz w:val="20"/>
          <w:szCs w:val="20"/>
          <w:vertAlign w:val="superscript"/>
        </w:rPr>
        <w:t>2</w:t>
      </w:r>
      <w:r w:rsidR="00B04433">
        <w:rPr>
          <w:rFonts w:ascii="Times New Roman" w:hAnsi="Times New Roman" w:cs="Times New Roman"/>
          <w:sz w:val="20"/>
          <w:szCs w:val="20"/>
        </w:rPr>
        <w:t>, bolus 5-FU 400(400) mg/m</w:t>
      </w:r>
      <w:r w:rsidR="00B04433">
        <w:rPr>
          <w:rFonts w:ascii="Times New Roman" w:hAnsi="Times New Roman" w:cs="Times New Roman"/>
          <w:sz w:val="20"/>
          <w:szCs w:val="20"/>
          <w:vertAlign w:val="superscript"/>
        </w:rPr>
        <w:t>2</w:t>
      </w:r>
      <w:r w:rsidR="00B04433">
        <w:rPr>
          <w:rFonts w:ascii="Times New Roman" w:hAnsi="Times New Roman" w:cs="Times New Roman"/>
          <w:sz w:val="20"/>
          <w:szCs w:val="20"/>
        </w:rPr>
        <w:t>, infusion 5-FU 600(2400) mg/m</w:t>
      </w:r>
      <w:r w:rsidR="00B04433">
        <w:rPr>
          <w:rFonts w:ascii="Times New Roman" w:hAnsi="Times New Roman" w:cs="Times New Roman"/>
          <w:sz w:val="20"/>
          <w:szCs w:val="20"/>
          <w:vertAlign w:val="superscript"/>
        </w:rPr>
        <w:t>2</w:t>
      </w:r>
      <w:r w:rsidR="00B04433">
        <w:rPr>
          <w:rFonts w:ascii="Times New Roman" w:hAnsi="Times New Roman" w:cs="Times New Roman"/>
          <w:sz w:val="20"/>
          <w:szCs w:val="20"/>
        </w:rPr>
        <w:t xml:space="preserve"> and infusion </w:t>
      </w:r>
      <w:proofErr w:type="spellStart"/>
      <w:r w:rsidR="00B04433">
        <w:rPr>
          <w:rFonts w:ascii="Times New Roman" w:hAnsi="Times New Roman" w:cs="Times New Roman"/>
          <w:sz w:val="20"/>
          <w:szCs w:val="20"/>
        </w:rPr>
        <w:t>oxaliplatin</w:t>
      </w:r>
      <w:proofErr w:type="spellEnd"/>
      <w:r w:rsidR="00B04433">
        <w:rPr>
          <w:rFonts w:ascii="Times New Roman" w:hAnsi="Times New Roman" w:cs="Times New Roman"/>
          <w:sz w:val="20"/>
          <w:szCs w:val="20"/>
        </w:rPr>
        <w:t xml:space="preserve"> 85</w:t>
      </w:r>
      <w:r w:rsidR="008475ED">
        <w:rPr>
          <w:rFonts w:ascii="Times New Roman" w:hAnsi="Times New Roman" w:cs="Times New Roman"/>
          <w:sz w:val="20"/>
          <w:szCs w:val="20"/>
        </w:rPr>
        <w:t>(85)</w:t>
      </w:r>
      <w:r w:rsidR="00B04433">
        <w:rPr>
          <w:rFonts w:ascii="Times New Roman" w:hAnsi="Times New Roman" w:cs="Times New Roman"/>
          <w:sz w:val="20"/>
          <w:szCs w:val="20"/>
        </w:rPr>
        <w:t xml:space="preserve"> mg/m</w:t>
      </w:r>
      <w:r w:rsidR="00B04433">
        <w:rPr>
          <w:rFonts w:ascii="Times New Roman" w:hAnsi="Times New Roman" w:cs="Times New Roman"/>
          <w:sz w:val="20"/>
          <w:szCs w:val="20"/>
          <w:vertAlign w:val="superscript"/>
        </w:rPr>
        <w:t>2</w:t>
      </w:r>
      <w:r w:rsidR="00B04433">
        <w:rPr>
          <w:rFonts w:ascii="Times New Roman" w:hAnsi="Times New Roman" w:cs="Times New Roman"/>
          <w:sz w:val="20"/>
          <w:szCs w:val="20"/>
        </w:rPr>
        <w:t xml:space="preserve"> were delivered every 2 weeks for 3 or 6 months for </w:t>
      </w:r>
      <w:proofErr w:type="gramStart"/>
      <w:r w:rsidR="00B04433">
        <w:rPr>
          <w:rFonts w:ascii="Times New Roman" w:hAnsi="Times New Roman" w:cs="Times New Roman"/>
          <w:sz w:val="20"/>
          <w:szCs w:val="20"/>
        </w:rPr>
        <w:t>FOLFOX4(</w:t>
      </w:r>
      <w:proofErr w:type="gramEnd"/>
      <w:r w:rsidR="00B04433">
        <w:rPr>
          <w:rFonts w:ascii="Times New Roman" w:hAnsi="Times New Roman" w:cs="Times New Roman"/>
          <w:sz w:val="20"/>
          <w:szCs w:val="20"/>
        </w:rPr>
        <w:t xml:space="preserve">mFOLFOX6). Infusion </w:t>
      </w:r>
      <w:proofErr w:type="spellStart"/>
      <w:r w:rsidR="00B04433">
        <w:rPr>
          <w:rFonts w:ascii="Times New Roman" w:hAnsi="Times New Roman" w:cs="Times New Roman"/>
          <w:sz w:val="20"/>
          <w:szCs w:val="20"/>
        </w:rPr>
        <w:t>oxaliplatin</w:t>
      </w:r>
      <w:proofErr w:type="spellEnd"/>
      <w:r w:rsidR="00B04433">
        <w:rPr>
          <w:rFonts w:ascii="Times New Roman" w:hAnsi="Times New Roman" w:cs="Times New Roman"/>
          <w:sz w:val="20"/>
          <w:szCs w:val="20"/>
        </w:rPr>
        <w:t xml:space="preserve"> 130 mg/m</w:t>
      </w:r>
      <w:r w:rsidR="00B04433">
        <w:rPr>
          <w:rFonts w:ascii="Times New Roman" w:hAnsi="Times New Roman" w:cs="Times New Roman"/>
          <w:sz w:val="20"/>
          <w:szCs w:val="20"/>
          <w:vertAlign w:val="superscript"/>
        </w:rPr>
        <w:t>2</w:t>
      </w:r>
      <w:r w:rsidR="00B04433">
        <w:rPr>
          <w:rFonts w:ascii="Times New Roman" w:hAnsi="Times New Roman" w:cs="Times New Roman"/>
          <w:sz w:val="20"/>
          <w:szCs w:val="20"/>
        </w:rPr>
        <w:t xml:space="preserve"> and oral </w:t>
      </w:r>
      <w:proofErr w:type="spellStart"/>
      <w:r w:rsidR="00B04433">
        <w:rPr>
          <w:rFonts w:ascii="Times New Roman" w:hAnsi="Times New Roman" w:cs="Times New Roman"/>
          <w:sz w:val="20"/>
          <w:szCs w:val="20"/>
        </w:rPr>
        <w:t>capecitabine</w:t>
      </w:r>
      <w:proofErr w:type="spellEnd"/>
      <w:r w:rsidR="00B04433">
        <w:rPr>
          <w:rFonts w:ascii="Times New Roman" w:hAnsi="Times New Roman" w:cs="Times New Roman"/>
          <w:sz w:val="20"/>
          <w:szCs w:val="20"/>
        </w:rPr>
        <w:t xml:space="preserve"> 1000 mg/m</w:t>
      </w:r>
      <w:r w:rsidR="00B04433">
        <w:rPr>
          <w:rFonts w:ascii="Times New Roman" w:hAnsi="Times New Roman" w:cs="Times New Roman"/>
          <w:sz w:val="20"/>
          <w:szCs w:val="20"/>
          <w:vertAlign w:val="superscript"/>
        </w:rPr>
        <w:t>2</w:t>
      </w:r>
      <w:r w:rsidR="00B04433">
        <w:rPr>
          <w:rFonts w:ascii="Times New Roman" w:hAnsi="Times New Roman" w:cs="Times New Roman"/>
          <w:sz w:val="20"/>
          <w:szCs w:val="20"/>
        </w:rPr>
        <w:t xml:space="preserve"> twice-daily were delivered every 3 weeks for 3 or 6 months for CAPOX.  </w:t>
      </w:r>
      <w:r w:rsidRPr="00FD7217">
        <w:rPr>
          <w:rFonts w:ascii="Times New Roman" w:hAnsi="Times New Roman" w:cs="Times New Roman"/>
          <w:sz w:val="20"/>
          <w:szCs w:val="20"/>
        </w:rPr>
        <w:t>Individual patient data of all trials were collected, and the analyses were performed in an independent statistical cen</w:t>
      </w:r>
      <w:r>
        <w:rPr>
          <w:rFonts w:ascii="Times New Roman" w:hAnsi="Times New Roman" w:cs="Times New Roman"/>
          <w:sz w:val="20"/>
          <w:szCs w:val="20"/>
        </w:rPr>
        <w:t>ter</w:t>
      </w:r>
      <w:r w:rsidRPr="00FD7217">
        <w:rPr>
          <w:rFonts w:ascii="Times New Roman" w:hAnsi="Times New Roman" w:cs="Times New Roman"/>
          <w:sz w:val="20"/>
          <w:szCs w:val="20"/>
        </w:rPr>
        <w:t xml:space="preserve"> at Mayo Clinic Rochester. The cut-off date for this analysis was January 20, 2020. </w:t>
      </w:r>
      <w:r w:rsidR="00B31F30">
        <w:rPr>
          <w:rFonts w:ascii="Times New Roman" w:hAnsi="Times New Roman" w:cs="Times New Roman"/>
          <w:sz w:val="20"/>
          <w:szCs w:val="20"/>
        </w:rPr>
        <w:t xml:space="preserve">No updated data on adverse events were transferred. </w:t>
      </w:r>
      <w:r w:rsidRPr="00FD7217">
        <w:rPr>
          <w:rFonts w:ascii="Times New Roman" w:hAnsi="Times New Roman" w:cs="Times New Roman"/>
          <w:sz w:val="20"/>
          <w:szCs w:val="20"/>
        </w:rPr>
        <w:t xml:space="preserve">The pooled analysis was approved by Mayo Clinic Investigational Review Board. Individual trials were approved through </w:t>
      </w:r>
      <w:r>
        <w:rPr>
          <w:rFonts w:ascii="Times New Roman" w:hAnsi="Times New Roman" w:cs="Times New Roman"/>
          <w:sz w:val="20"/>
          <w:szCs w:val="20"/>
        </w:rPr>
        <w:t xml:space="preserve">countries </w:t>
      </w:r>
      <w:r w:rsidRPr="00FD7217">
        <w:rPr>
          <w:rFonts w:ascii="Times New Roman" w:hAnsi="Times New Roman" w:cs="Times New Roman"/>
          <w:sz w:val="20"/>
          <w:szCs w:val="20"/>
        </w:rPr>
        <w:t>mechanisms at the time trials were conducted.</w:t>
      </w:r>
    </w:p>
    <w:p w:rsidR="00C66E5B" w:rsidRPr="00FD7217" w:rsidRDefault="00C66E5B" w:rsidP="00FD7217">
      <w:pPr>
        <w:rPr>
          <w:rFonts w:ascii="Times New Roman" w:hAnsi="Times New Roman" w:cs="Times New Roman"/>
          <w:b/>
          <w:i/>
          <w:sz w:val="20"/>
          <w:szCs w:val="20"/>
        </w:rPr>
      </w:pPr>
    </w:p>
    <w:p w:rsidR="00C66E5B" w:rsidRDefault="00C66E5B" w:rsidP="00FD7217">
      <w:pPr>
        <w:rPr>
          <w:rFonts w:ascii="Times New Roman" w:hAnsi="Times New Roman" w:cs="Times New Roman"/>
          <w:sz w:val="20"/>
          <w:szCs w:val="20"/>
        </w:rPr>
      </w:pPr>
      <w:r w:rsidRPr="00FD7217">
        <w:rPr>
          <w:rFonts w:ascii="Times New Roman" w:hAnsi="Times New Roman" w:cs="Times New Roman"/>
          <w:bCs/>
          <w:sz w:val="20"/>
          <w:szCs w:val="20"/>
        </w:rPr>
        <w:t>As previously stated</w:t>
      </w:r>
      <w:proofErr w:type="gramStart"/>
      <w:r w:rsidRPr="00FD7217">
        <w:rPr>
          <w:rFonts w:ascii="Times New Roman" w:hAnsi="Times New Roman" w:cs="Times New Roman"/>
          <w:bCs/>
          <w:sz w:val="20"/>
          <w:szCs w:val="20"/>
        </w:rPr>
        <w:t>,</w:t>
      </w:r>
      <w:r w:rsidRPr="005C16CA">
        <w:rPr>
          <w:rFonts w:ascii="Times New Roman" w:hAnsi="Times New Roman" w:cs="Times New Roman"/>
          <w:bCs/>
          <w:noProof/>
          <w:sz w:val="20"/>
          <w:szCs w:val="20"/>
          <w:vertAlign w:val="superscript"/>
        </w:rPr>
        <w:t>16</w:t>
      </w:r>
      <w:proofErr w:type="gramEnd"/>
      <w:r w:rsidRPr="00FD7217">
        <w:rPr>
          <w:rFonts w:ascii="Times New Roman" w:hAnsi="Times New Roman" w:cs="Times New Roman"/>
          <w:bCs/>
          <w:sz w:val="20"/>
          <w:szCs w:val="20"/>
        </w:rPr>
        <w:t xml:space="preserve"> the primary endpoint was disease-free survival defined as t</w:t>
      </w:r>
      <w:r w:rsidRPr="00FD7217">
        <w:rPr>
          <w:rFonts w:ascii="Times New Roman" w:hAnsi="Times New Roman" w:cs="Times New Roman"/>
          <w:sz w:val="20"/>
          <w:szCs w:val="20"/>
        </w:rPr>
        <w:t xml:space="preserve">ime from date of randomization (enrollment) to the earliest date of relapse, secondary colorectal primary tumor, or death due to all causes. </w:t>
      </w:r>
      <w:r w:rsidR="00CD2A65">
        <w:rPr>
          <w:rFonts w:ascii="Times New Roman" w:hAnsi="Times New Roman" w:cs="Times New Roman"/>
          <w:sz w:val="20"/>
          <w:szCs w:val="20"/>
        </w:rPr>
        <w:t>T</w:t>
      </w:r>
      <w:r w:rsidR="00CD2A65" w:rsidRPr="00FD7217">
        <w:rPr>
          <w:rFonts w:ascii="Times New Roman" w:hAnsi="Times New Roman" w:cs="Times New Roman"/>
          <w:sz w:val="20"/>
          <w:szCs w:val="20"/>
        </w:rPr>
        <w:t>he underlying statistical assumptions for disease-free survival were detailed previously.</w:t>
      </w:r>
      <w:r w:rsidR="00CD2A65" w:rsidRPr="005C16CA">
        <w:rPr>
          <w:rFonts w:ascii="Times New Roman" w:hAnsi="Times New Roman" w:cs="Times New Roman"/>
          <w:noProof/>
          <w:sz w:val="20"/>
          <w:szCs w:val="20"/>
          <w:vertAlign w:val="superscript"/>
        </w:rPr>
        <w:t>16</w:t>
      </w:r>
      <w:r w:rsidR="00CD2A65" w:rsidRPr="00FD7217">
        <w:rPr>
          <w:rFonts w:ascii="Times New Roman" w:hAnsi="Times New Roman" w:cs="Times New Roman"/>
          <w:sz w:val="20"/>
          <w:szCs w:val="20"/>
        </w:rPr>
        <w:t xml:space="preserve"> </w:t>
      </w:r>
      <w:proofErr w:type="gramStart"/>
      <w:r w:rsidRPr="00FD7217">
        <w:rPr>
          <w:rFonts w:ascii="Times New Roman" w:hAnsi="Times New Roman" w:cs="Times New Roman"/>
          <w:sz w:val="20"/>
          <w:szCs w:val="20"/>
        </w:rPr>
        <w:t>The</w:t>
      </w:r>
      <w:proofErr w:type="gramEnd"/>
      <w:r w:rsidRPr="00FD7217">
        <w:rPr>
          <w:rFonts w:ascii="Times New Roman" w:hAnsi="Times New Roman" w:cs="Times New Roman"/>
          <w:sz w:val="20"/>
          <w:szCs w:val="20"/>
        </w:rPr>
        <w:t xml:space="preserve"> secondary endpoint was overall survival defined as time from date of randomization (enrollment) to the date of death due to all causes. </w:t>
      </w:r>
    </w:p>
    <w:p w:rsidR="00C66E5B" w:rsidRDefault="00C66E5B" w:rsidP="00FD7217">
      <w:pPr>
        <w:rPr>
          <w:rFonts w:ascii="Times New Roman" w:hAnsi="Times New Roman" w:cs="Times New Roman"/>
          <w:sz w:val="20"/>
          <w:szCs w:val="20"/>
        </w:rPr>
      </w:pPr>
    </w:p>
    <w:p w:rsidR="00C66E5B" w:rsidRPr="00FD7217" w:rsidRDefault="00C66E5B" w:rsidP="00535B43">
      <w:pPr>
        <w:rPr>
          <w:rFonts w:ascii="Times New Roman" w:hAnsi="Times New Roman" w:cs="Times New Roman"/>
          <w:b/>
          <w:i/>
          <w:sz w:val="20"/>
          <w:szCs w:val="20"/>
        </w:rPr>
      </w:pPr>
      <w:r w:rsidRPr="00FD7217">
        <w:rPr>
          <w:rFonts w:ascii="Times New Roman" w:hAnsi="Times New Roman" w:cs="Times New Roman"/>
          <w:b/>
          <w:i/>
          <w:sz w:val="20"/>
          <w:szCs w:val="20"/>
        </w:rPr>
        <w:t>Statistical Analysis</w:t>
      </w:r>
    </w:p>
    <w:p w:rsidR="00C66E5B"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All analyses were performed on </w:t>
      </w:r>
      <w:proofErr w:type="gramStart"/>
      <w:r w:rsidRPr="00FD7217">
        <w:rPr>
          <w:rFonts w:ascii="Times New Roman" w:hAnsi="Times New Roman" w:cs="Times New Roman"/>
          <w:sz w:val="20"/>
          <w:szCs w:val="20"/>
        </w:rPr>
        <w:t>an</w:t>
      </w:r>
      <w:proofErr w:type="gramEnd"/>
      <w:r w:rsidRPr="00FD7217">
        <w:rPr>
          <w:rFonts w:ascii="Times New Roman" w:hAnsi="Times New Roman" w:cs="Times New Roman"/>
          <w:sz w:val="20"/>
          <w:szCs w:val="20"/>
        </w:rPr>
        <w:t xml:space="preserve"> </w:t>
      </w:r>
      <w:proofErr w:type="spellStart"/>
      <w:r w:rsidRPr="00FD7217">
        <w:rPr>
          <w:rFonts w:ascii="Times New Roman" w:hAnsi="Times New Roman" w:cs="Times New Roman"/>
          <w:sz w:val="20"/>
          <w:szCs w:val="20"/>
        </w:rPr>
        <w:t>mITT</w:t>
      </w:r>
      <w:proofErr w:type="spellEnd"/>
      <w:r w:rsidRPr="00FD7217">
        <w:rPr>
          <w:rFonts w:ascii="Times New Roman" w:hAnsi="Times New Roman" w:cs="Times New Roman"/>
          <w:sz w:val="20"/>
          <w:szCs w:val="20"/>
        </w:rPr>
        <w:t xml:space="preserve"> population, </w:t>
      </w:r>
      <w:r w:rsidRPr="00FD7217">
        <w:rPr>
          <w:rFonts w:ascii="Times New Roman" w:hAnsi="Times New Roman" w:cs="Times New Roman"/>
          <w:bCs/>
          <w:sz w:val="20"/>
          <w:szCs w:val="20"/>
        </w:rPr>
        <w:t xml:space="preserve">which included </w:t>
      </w:r>
      <w:r w:rsidR="0066427E">
        <w:rPr>
          <w:rFonts w:ascii="Times New Roman" w:hAnsi="Times New Roman" w:cs="Times New Roman"/>
          <w:bCs/>
          <w:sz w:val="20"/>
          <w:szCs w:val="20"/>
        </w:rPr>
        <w:t xml:space="preserve">stage 3 </w:t>
      </w:r>
      <w:r w:rsidRPr="00FD7217">
        <w:rPr>
          <w:rFonts w:ascii="Times New Roman" w:hAnsi="Times New Roman" w:cs="Times New Roman"/>
          <w:bCs/>
          <w:sz w:val="20"/>
          <w:szCs w:val="20"/>
        </w:rPr>
        <w:t>patients who were randomized and had received at least one treatment dose.</w:t>
      </w:r>
      <w:r w:rsidRPr="00FD7217">
        <w:rPr>
          <w:rFonts w:ascii="Times New Roman" w:hAnsi="Times New Roman" w:cs="Times New Roman"/>
          <w:sz w:val="20"/>
          <w:szCs w:val="20"/>
        </w:rPr>
        <w:t xml:space="preserve"> </w:t>
      </w: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The NI margin for hypothesis testing regarding treatment effect for the overall survival endpoint was determined prior to performing the analyses. In order to balance between benefits (relief from neurotoxicity) and cost (loss of overall survival efficacy) due to a 50% reduction in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 xml:space="preserve"> plus </w:t>
      </w:r>
      <w:proofErr w:type="spellStart"/>
      <w:r w:rsidRPr="00FD7217">
        <w:rPr>
          <w:rFonts w:ascii="Times New Roman" w:hAnsi="Times New Roman" w:cs="Times New Roman"/>
          <w:sz w:val="20"/>
          <w:szCs w:val="20"/>
        </w:rPr>
        <w:t>fluoropyrimidine</w:t>
      </w:r>
      <w:proofErr w:type="spellEnd"/>
      <w:r w:rsidRPr="00FD7217">
        <w:rPr>
          <w:rFonts w:ascii="Times New Roman" w:hAnsi="Times New Roman" w:cs="Times New Roman"/>
          <w:sz w:val="20"/>
          <w:szCs w:val="20"/>
        </w:rPr>
        <w:t xml:space="preserve"> exposure, the maximum acceptable loss of treatment efficacy was set to 1/2 of the OS gain obtained by adding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 xml:space="preserve"> to 5FU/FA established in the MOSAIC trial (HR 0·80, 95% CI 0·6</w:t>
      </w:r>
      <w:r>
        <w:rPr>
          <w:rFonts w:ascii="Times New Roman" w:hAnsi="Times New Roman" w:cs="Times New Roman"/>
          <w:sz w:val="20"/>
          <w:szCs w:val="20"/>
        </w:rPr>
        <w:t>6</w:t>
      </w:r>
      <w:r w:rsidRPr="00FD7217">
        <w:rPr>
          <w:rFonts w:ascii="Times New Roman" w:hAnsi="Times New Roman" w:cs="Times New Roman"/>
          <w:sz w:val="20"/>
          <w:szCs w:val="20"/>
        </w:rPr>
        <w:t xml:space="preserve"> to 0·9</w:t>
      </w:r>
      <w:r>
        <w:rPr>
          <w:rFonts w:ascii="Times New Roman" w:hAnsi="Times New Roman" w:cs="Times New Roman"/>
          <w:sz w:val="20"/>
          <w:szCs w:val="20"/>
        </w:rPr>
        <w:t>6</w:t>
      </w:r>
      <w:r w:rsidRPr="00FD7217">
        <w:rPr>
          <w:rFonts w:ascii="Times New Roman" w:hAnsi="Times New Roman" w:cs="Times New Roman"/>
          <w:sz w:val="20"/>
          <w:szCs w:val="20"/>
        </w:rPr>
        <w:t>).</w:t>
      </w:r>
      <w:r w:rsidRPr="005C16CA">
        <w:rPr>
          <w:rFonts w:ascii="Times New Roman" w:hAnsi="Times New Roman" w:cs="Times New Roman"/>
          <w:noProof/>
          <w:sz w:val="20"/>
          <w:szCs w:val="20"/>
          <w:vertAlign w:val="superscript"/>
        </w:rPr>
        <w:t>17</w:t>
      </w:r>
      <w:r w:rsidRPr="00FD7217">
        <w:rPr>
          <w:rFonts w:ascii="Times New Roman" w:hAnsi="Times New Roman" w:cs="Times New Roman"/>
          <w:sz w:val="20"/>
          <w:szCs w:val="20"/>
        </w:rPr>
        <w:t xml:space="preserve"> Hence, the NI margin regarding overall survival endpoint was determined as HR=1/(0·8+(1-0·8)/2)=1·11. An estimated 2550 death events would provide approximately 75% power to declare overall survival NI of three months versus six months of treatment if there was no overall survival difference between two duration treatment groups at a one-sided type I error rate of 0·025, without multiplicity corrections.</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In general, the Kaplan-Meier estimates and Cox models, stratified by study, were used to estimate the distributions of overall survival and disease-free survival and treatment effect in terms of </w:t>
      </w:r>
      <w:proofErr w:type="spellStart"/>
      <w:r w:rsidRPr="00FD7217">
        <w:rPr>
          <w:rFonts w:ascii="Times New Roman" w:hAnsi="Times New Roman" w:cs="Times New Roman"/>
          <w:sz w:val="20"/>
          <w:szCs w:val="20"/>
        </w:rPr>
        <w:t>HRs.</w:t>
      </w:r>
      <w:proofErr w:type="spellEnd"/>
      <w:r w:rsidRPr="00FD7217">
        <w:rPr>
          <w:rFonts w:ascii="Times New Roman" w:hAnsi="Times New Roman" w:cs="Times New Roman"/>
          <w:sz w:val="20"/>
          <w:szCs w:val="20"/>
        </w:rPr>
        <w:t xml:space="preserve"> The proportional hazard assumption for the stratified Cox model is examined using the scaled </w:t>
      </w:r>
      <w:proofErr w:type="spellStart"/>
      <w:r w:rsidRPr="00FD7217">
        <w:rPr>
          <w:rFonts w:ascii="Times New Roman" w:hAnsi="Times New Roman" w:cs="Times New Roman"/>
          <w:sz w:val="20"/>
          <w:szCs w:val="20"/>
        </w:rPr>
        <w:t>Schoenfield</w:t>
      </w:r>
      <w:proofErr w:type="spellEnd"/>
      <w:r w:rsidRPr="00FD7217">
        <w:rPr>
          <w:rFonts w:ascii="Times New Roman" w:hAnsi="Times New Roman" w:cs="Times New Roman"/>
          <w:sz w:val="20"/>
          <w:szCs w:val="20"/>
        </w:rPr>
        <w:t xml:space="preserve"> residuals.</w:t>
      </w:r>
      <w:r w:rsidRPr="005C16CA">
        <w:rPr>
          <w:rFonts w:ascii="Times New Roman" w:hAnsi="Times New Roman" w:cs="Times New Roman"/>
          <w:noProof/>
          <w:sz w:val="20"/>
          <w:szCs w:val="20"/>
          <w:vertAlign w:val="superscript"/>
        </w:rPr>
        <w:t>18</w:t>
      </w:r>
      <w:r w:rsidRPr="00FD7217">
        <w:rPr>
          <w:rFonts w:ascii="Times New Roman" w:hAnsi="Times New Roman" w:cs="Times New Roman"/>
          <w:sz w:val="20"/>
          <w:szCs w:val="20"/>
        </w:rPr>
        <w:t xml:space="preserve"> Q statistics and I</w:t>
      </w:r>
      <w:r w:rsidRPr="00FD7217">
        <w:rPr>
          <w:rFonts w:ascii="Times New Roman" w:hAnsi="Times New Roman" w:cs="Times New Roman"/>
          <w:sz w:val="20"/>
          <w:szCs w:val="20"/>
          <w:vertAlign w:val="superscript"/>
        </w:rPr>
        <w:t>2</w:t>
      </w:r>
      <w:r w:rsidRPr="00FD7217">
        <w:rPr>
          <w:rFonts w:ascii="Times New Roman" w:hAnsi="Times New Roman" w:cs="Times New Roman"/>
          <w:sz w:val="20"/>
          <w:szCs w:val="20"/>
        </w:rPr>
        <w:t xml:space="preserve"> values were used to assess the potential heterogeneity of study-specific </w:t>
      </w:r>
      <w:proofErr w:type="spellStart"/>
      <w:r w:rsidRPr="00FD7217">
        <w:rPr>
          <w:rFonts w:ascii="Times New Roman" w:hAnsi="Times New Roman" w:cs="Times New Roman"/>
          <w:sz w:val="20"/>
          <w:szCs w:val="20"/>
        </w:rPr>
        <w:t>HRs.</w:t>
      </w:r>
      <w:proofErr w:type="spellEnd"/>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Following the initial report on three-year disease-free survival from IDEA,</w:t>
      </w:r>
      <w:r w:rsidRPr="005C16CA">
        <w:rPr>
          <w:rFonts w:ascii="Times New Roman" w:hAnsi="Times New Roman" w:cs="Times New Roman"/>
          <w:noProof/>
          <w:sz w:val="20"/>
          <w:szCs w:val="20"/>
          <w:vertAlign w:val="superscript"/>
        </w:rPr>
        <w:t>7</w:t>
      </w:r>
      <w:r w:rsidRPr="00FD7217">
        <w:rPr>
          <w:rFonts w:ascii="Times New Roman" w:hAnsi="Times New Roman" w:cs="Times New Roman"/>
          <w:sz w:val="20"/>
          <w:szCs w:val="20"/>
        </w:rPr>
        <w:t xml:space="preserve"> these subsequent analyses included secondary endpoint (overall survival) analyses, pre-planned subgroup analyses, updated primary endpoint (disease-free survival) analyses with additional data collections, and ad hoc analyses (Statistics analysis plan</w:t>
      </w:r>
      <w:r w:rsidR="00D07EA7">
        <w:rPr>
          <w:rFonts w:ascii="Times New Roman" w:hAnsi="Times New Roman" w:cs="Times New Roman"/>
          <w:sz w:val="20"/>
          <w:szCs w:val="20"/>
        </w:rPr>
        <w:t xml:space="preserve"> [SAP]</w:t>
      </w:r>
      <w:r w:rsidRPr="00FD7217">
        <w:rPr>
          <w:rFonts w:ascii="Times New Roman" w:hAnsi="Times New Roman" w:cs="Times New Roman"/>
          <w:sz w:val="20"/>
          <w:szCs w:val="20"/>
        </w:rPr>
        <w:t xml:space="preserve">, in </w:t>
      </w:r>
      <w:r>
        <w:rPr>
          <w:rFonts w:ascii="Times New Roman" w:hAnsi="Times New Roman" w:cs="Times New Roman"/>
          <w:sz w:val="20"/>
          <w:szCs w:val="20"/>
        </w:rPr>
        <w:t>appendix p 9-23</w:t>
      </w:r>
      <w:r w:rsidRPr="00FD7217">
        <w:rPr>
          <w:rFonts w:ascii="Times New Roman" w:hAnsi="Times New Roman" w:cs="Times New Roman"/>
          <w:sz w:val="20"/>
          <w:szCs w:val="20"/>
        </w:rPr>
        <w:t>). To follow recently published New Guidelines for Statistical Reporting</w:t>
      </w:r>
      <w:proofErr w:type="gramStart"/>
      <w:r w:rsidRPr="00FD7217">
        <w:rPr>
          <w:rFonts w:ascii="Times New Roman" w:hAnsi="Times New Roman" w:cs="Times New Roman"/>
          <w:sz w:val="20"/>
          <w:szCs w:val="20"/>
        </w:rPr>
        <w:t>,</w:t>
      </w:r>
      <w:r w:rsidRPr="005C16CA">
        <w:rPr>
          <w:rFonts w:ascii="Times New Roman" w:hAnsi="Times New Roman" w:cs="Times New Roman"/>
          <w:noProof/>
          <w:sz w:val="20"/>
          <w:szCs w:val="20"/>
          <w:vertAlign w:val="superscript"/>
        </w:rPr>
        <w:t>19</w:t>
      </w:r>
      <w:proofErr w:type="gramEnd"/>
      <w:r w:rsidRPr="00FD7217">
        <w:rPr>
          <w:rFonts w:ascii="Times New Roman" w:hAnsi="Times New Roman" w:cs="Times New Roman"/>
          <w:sz w:val="20"/>
          <w:szCs w:val="20"/>
        </w:rPr>
        <w:t xml:space="preserve"> point estimates of treatment-duration effects and standard error and/or two-sided 95% CIs were reported for both pre-planned and ad hoc analyses. Statistically significant testing and p-values were reported only for treatment duration comparisons considered for multiplicity adjustment (i.e., controlling type I error rate), by false discover rate method. These </w:t>
      </w:r>
      <w:r w:rsidR="00D07EA7">
        <w:rPr>
          <w:rFonts w:ascii="Times New Roman" w:hAnsi="Times New Roman" w:cs="Times New Roman"/>
          <w:sz w:val="20"/>
          <w:szCs w:val="20"/>
        </w:rPr>
        <w:t xml:space="preserve">pre-specified </w:t>
      </w:r>
      <w:r w:rsidRPr="00FD7217">
        <w:rPr>
          <w:rFonts w:ascii="Times New Roman" w:hAnsi="Times New Roman" w:cs="Times New Roman"/>
          <w:sz w:val="20"/>
          <w:szCs w:val="20"/>
        </w:rPr>
        <w:t>comparisons</w:t>
      </w:r>
      <w:r w:rsidR="00D07EA7">
        <w:rPr>
          <w:rFonts w:ascii="Times New Roman" w:hAnsi="Times New Roman" w:cs="Times New Roman"/>
          <w:sz w:val="20"/>
          <w:szCs w:val="20"/>
        </w:rPr>
        <w:t xml:space="preserve"> in SAP</w:t>
      </w:r>
      <w:r w:rsidRPr="00FD7217">
        <w:rPr>
          <w:rFonts w:ascii="Times New Roman" w:hAnsi="Times New Roman" w:cs="Times New Roman"/>
          <w:sz w:val="20"/>
          <w:szCs w:val="20"/>
        </w:rPr>
        <w:t xml:space="preserve"> included comparing disease-free survival (original reported and currently updated) and overall survival between three and six months of treatment, pooling all patients, within FOLFOX and CAPOX subgroups, and within high- and low-risk groups. When the observed one-sided false discovery rate adjusted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p-value was less than 0·025, the three months of treatment will be declared to be statistically non-inferior to six months of treatment. For superiority testing, two-sided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p-value was compared to significance cut-off of 0·05. Additional ad hoc analyses included subgroup analyses by T/N stage, number of lymph nodes examined, primary tumor location, historical grade, age, gender, and baseline performance score (PS).</w:t>
      </w:r>
      <w:r>
        <w:rPr>
          <w:rFonts w:ascii="Times New Roman" w:hAnsi="Times New Roman" w:cs="Times New Roman"/>
          <w:sz w:val="20"/>
          <w:szCs w:val="20"/>
        </w:rPr>
        <w:t xml:space="preserve"> Analyses were performed using SAS software (version 9.4; SAS Institute Inc.)</w:t>
      </w:r>
    </w:p>
    <w:p w:rsidR="00C66E5B" w:rsidRPr="00FD7217" w:rsidRDefault="00C66E5B" w:rsidP="00FD7217">
      <w:pPr>
        <w:rPr>
          <w:rFonts w:ascii="Times New Roman" w:hAnsi="Times New Roman" w:cs="Times New Roman"/>
          <w:sz w:val="20"/>
          <w:szCs w:val="20"/>
        </w:rPr>
      </w:pPr>
    </w:p>
    <w:p w:rsidR="00C66E5B" w:rsidRPr="00931885" w:rsidRDefault="00C66E5B" w:rsidP="000059ED">
      <w:pPr>
        <w:rPr>
          <w:rFonts w:ascii="Times New Roman" w:hAnsi="Times New Roman" w:cs="Times New Roman"/>
          <w:b/>
          <w:i/>
          <w:sz w:val="20"/>
          <w:szCs w:val="20"/>
        </w:rPr>
      </w:pPr>
      <w:r w:rsidRPr="00931885">
        <w:rPr>
          <w:rFonts w:ascii="Times New Roman" w:hAnsi="Times New Roman" w:cs="Times New Roman"/>
          <w:b/>
          <w:i/>
          <w:sz w:val="20"/>
          <w:szCs w:val="20"/>
        </w:rPr>
        <w:t>Role of Funding Source</w:t>
      </w:r>
    </w:p>
    <w:p w:rsidR="00C66E5B" w:rsidRDefault="00C66E5B" w:rsidP="00D87DAA">
      <w:pPr>
        <w:rPr>
          <w:rFonts w:ascii="Times New Roman" w:hAnsi="Times New Roman" w:cs="Times New Roman"/>
          <w:color w:val="221E1F"/>
          <w:sz w:val="16"/>
          <w:szCs w:val="16"/>
        </w:rPr>
      </w:pPr>
    </w:p>
    <w:p w:rsidR="00C66E5B" w:rsidRDefault="00C66E5B" w:rsidP="000059ED">
      <w:pPr>
        <w:rPr>
          <w:rFonts w:ascii="Times New Roman" w:hAnsi="Times New Roman" w:cs="Times New Roman"/>
          <w:sz w:val="20"/>
          <w:szCs w:val="20"/>
        </w:rPr>
      </w:pPr>
      <w:r>
        <w:rPr>
          <w:rFonts w:ascii="Times New Roman" w:hAnsi="Times New Roman" w:cs="Times New Roman"/>
          <w:sz w:val="20"/>
          <w:szCs w:val="20"/>
        </w:rPr>
        <w:lastRenderedPageBreak/>
        <w:t xml:space="preserve">The IDEA collaboration and the pooled analyses efforts were supported by </w:t>
      </w:r>
      <w:r w:rsidRPr="00931885">
        <w:rPr>
          <w:rFonts w:ascii="Times New Roman" w:hAnsi="Times New Roman" w:cs="Times New Roman"/>
          <w:sz w:val="20"/>
          <w:szCs w:val="20"/>
        </w:rPr>
        <w:t>grant U10 CA180882</w:t>
      </w:r>
      <w:r>
        <w:rPr>
          <w:rFonts w:ascii="Times New Roman" w:hAnsi="Times New Roman" w:cs="Times New Roman"/>
          <w:sz w:val="20"/>
          <w:szCs w:val="20"/>
        </w:rPr>
        <w:t xml:space="preserve"> from the</w:t>
      </w:r>
      <w:r w:rsidRPr="00931885">
        <w:rPr>
          <w:rFonts w:ascii="Times New Roman" w:hAnsi="Times New Roman" w:cs="Times New Roman"/>
          <w:sz w:val="20"/>
          <w:szCs w:val="20"/>
        </w:rPr>
        <w:t xml:space="preserve"> National Cancer Institute</w:t>
      </w:r>
      <w:r>
        <w:rPr>
          <w:rFonts w:ascii="Times New Roman" w:hAnsi="Times New Roman" w:cs="Times New Roman"/>
          <w:sz w:val="20"/>
          <w:szCs w:val="20"/>
        </w:rPr>
        <w:t>.</w:t>
      </w:r>
      <w:r w:rsidRPr="00931885">
        <w:rPr>
          <w:rFonts w:ascii="Times New Roman" w:hAnsi="Times New Roman" w:cs="Times New Roman"/>
          <w:sz w:val="20"/>
          <w:szCs w:val="20"/>
        </w:rPr>
        <w:t xml:space="preserve"> </w:t>
      </w:r>
      <w:r>
        <w:rPr>
          <w:rFonts w:ascii="Times New Roman" w:hAnsi="Times New Roman" w:cs="Times New Roman"/>
          <w:sz w:val="20"/>
          <w:szCs w:val="20"/>
        </w:rPr>
        <w:t xml:space="preserve">The funder of the study had no role in study design, data collection, data analysis, data interpretation, or writing of the report. </w:t>
      </w:r>
    </w:p>
    <w:p w:rsidR="00C66E5B" w:rsidRDefault="00C66E5B" w:rsidP="000059ED">
      <w:pPr>
        <w:rPr>
          <w:rFonts w:ascii="Times New Roman" w:hAnsi="Times New Roman" w:cs="Times New Roman"/>
          <w:sz w:val="20"/>
          <w:szCs w:val="20"/>
        </w:rPr>
      </w:pPr>
    </w:p>
    <w:p w:rsidR="00C66E5B" w:rsidRDefault="00C66E5B" w:rsidP="000059ED">
      <w:pPr>
        <w:rPr>
          <w:rFonts w:ascii="Times New Roman" w:hAnsi="Times New Roman" w:cs="Times New Roman"/>
          <w:color w:val="221E1F"/>
          <w:sz w:val="16"/>
          <w:szCs w:val="16"/>
        </w:rPr>
      </w:pPr>
      <w:r>
        <w:rPr>
          <w:rFonts w:ascii="Times New Roman" w:hAnsi="Times New Roman" w:cs="Times New Roman"/>
          <w:sz w:val="20"/>
          <w:szCs w:val="20"/>
        </w:rPr>
        <w:t>Authors of QS and JPM had access to the raw data.</w:t>
      </w:r>
    </w:p>
    <w:p w:rsidR="00C66E5B" w:rsidRDefault="00C66E5B" w:rsidP="000059ED">
      <w:pPr>
        <w:rPr>
          <w:rFonts w:ascii="Times New Roman" w:hAnsi="Times New Roman" w:cs="Times New Roman"/>
          <w:sz w:val="20"/>
          <w:szCs w:val="20"/>
        </w:rPr>
      </w:pPr>
    </w:p>
    <w:p w:rsidR="00C66E5B" w:rsidRPr="00F02AE0" w:rsidRDefault="00C66E5B" w:rsidP="000059ED">
      <w:pPr>
        <w:rPr>
          <w:rFonts w:ascii="Times New Roman" w:hAnsi="Times New Roman" w:cs="Times New Roman"/>
          <w:sz w:val="20"/>
          <w:szCs w:val="20"/>
        </w:rPr>
      </w:pPr>
      <w:r>
        <w:rPr>
          <w:rFonts w:ascii="Times New Roman" w:hAnsi="Times New Roman" w:cs="Times New Roman"/>
          <w:sz w:val="20"/>
          <w:szCs w:val="20"/>
        </w:rPr>
        <w:t>The corresponding author</w:t>
      </w:r>
      <w:r w:rsidRPr="002165C6">
        <w:rPr>
          <w:rFonts w:ascii="Times New Roman" w:hAnsi="Times New Roman" w:cs="Times New Roman"/>
          <w:sz w:val="20"/>
          <w:szCs w:val="20"/>
        </w:rPr>
        <w:t xml:space="preserve"> had full access to all the data and had final responsibility to submit for publication.</w:t>
      </w:r>
    </w:p>
    <w:p w:rsidR="00C66E5B" w:rsidRPr="00FD7217" w:rsidRDefault="00C66E5B" w:rsidP="00FD7217">
      <w:pPr>
        <w:rPr>
          <w:rFonts w:ascii="Times New Roman" w:hAnsi="Times New Roman" w:cs="Times New Roman"/>
        </w:rPr>
      </w:pPr>
    </w:p>
    <w:p w:rsidR="00C66E5B" w:rsidRPr="00FD7217" w:rsidRDefault="00C66E5B" w:rsidP="00FD7217">
      <w:pPr>
        <w:rPr>
          <w:rFonts w:ascii="Times New Roman" w:hAnsi="Times New Roman" w:cs="Times New Roman"/>
        </w:rPr>
      </w:pPr>
      <w:r w:rsidRPr="00FD7217">
        <w:rPr>
          <w:rFonts w:ascii="Times New Roman" w:hAnsi="Times New Roman" w:cs="Times New Roman"/>
        </w:rPr>
        <w:t>Results</w:t>
      </w:r>
    </w:p>
    <w:p w:rsidR="00C66E5B" w:rsidRPr="00FD7217" w:rsidRDefault="00C66E5B" w:rsidP="00FD7217">
      <w:pPr>
        <w:rPr>
          <w:rFonts w:ascii="Times New Roman" w:hAnsi="Times New Roman" w:cs="Times New Roman"/>
        </w:rPr>
      </w:pPr>
    </w:p>
    <w:p w:rsidR="00C66E5B" w:rsidRPr="00FD7217" w:rsidRDefault="00C66E5B" w:rsidP="00FD7217">
      <w:pPr>
        <w:rPr>
          <w:rFonts w:ascii="Times New Roman" w:hAnsi="Times New Roman" w:cs="Times New Roman"/>
          <w:sz w:val="20"/>
          <w:szCs w:val="20"/>
        </w:rPr>
      </w:pPr>
      <w:r>
        <w:rPr>
          <w:rFonts w:ascii="Times New Roman" w:hAnsi="Times New Roman" w:cs="Times New Roman"/>
          <w:sz w:val="20"/>
          <w:szCs w:val="20"/>
        </w:rPr>
        <w:t>Across six trials, patients were accrued from June 2007 to December 2015. The overall median follow-up was</w:t>
      </w:r>
      <w:r w:rsidRPr="00FD7217">
        <w:rPr>
          <w:rFonts w:ascii="Times New Roman" w:hAnsi="Times New Roman" w:cs="Times New Roman"/>
          <w:sz w:val="20"/>
          <w:szCs w:val="20"/>
        </w:rPr>
        <w:t xml:space="preserve"> </w:t>
      </w:r>
      <w:r>
        <w:rPr>
          <w:rFonts w:ascii="Times New Roman" w:hAnsi="Times New Roman" w:cs="Times New Roman"/>
          <w:sz w:val="20"/>
          <w:szCs w:val="20"/>
        </w:rPr>
        <w:t xml:space="preserve">72.3 months (IQR, 72.2 to 72.5 months). </w:t>
      </w:r>
      <w:r w:rsidRPr="00FD7217">
        <w:rPr>
          <w:rFonts w:ascii="Times New Roman" w:hAnsi="Times New Roman" w:cs="Times New Roman"/>
          <w:sz w:val="20"/>
          <w:szCs w:val="20"/>
        </w:rPr>
        <w:t xml:space="preserve">The total sample size of the </w:t>
      </w:r>
      <w:proofErr w:type="spellStart"/>
      <w:r w:rsidRPr="00FD7217">
        <w:rPr>
          <w:rFonts w:ascii="Times New Roman" w:hAnsi="Times New Roman" w:cs="Times New Roman"/>
          <w:sz w:val="20"/>
          <w:szCs w:val="20"/>
        </w:rPr>
        <w:t>mITT</w:t>
      </w:r>
      <w:proofErr w:type="spellEnd"/>
      <w:r w:rsidRPr="00FD7217">
        <w:rPr>
          <w:rFonts w:ascii="Times New Roman" w:hAnsi="Times New Roman" w:cs="Times New Roman"/>
          <w:sz w:val="20"/>
          <w:szCs w:val="20"/>
        </w:rPr>
        <w:t xml:space="preserve"> population was updated to 12,835 from previously reported 12,834 due to additional information obtained for stage diagnosis and/or treatment data in the individual studies. Overall, no noticeable changes to patient characteristics distributions were previously reported.</w:t>
      </w:r>
      <w:r w:rsidRPr="005C16CA">
        <w:rPr>
          <w:rFonts w:ascii="Times New Roman" w:hAnsi="Times New Roman" w:cs="Times New Roman"/>
          <w:noProof/>
          <w:sz w:val="20"/>
          <w:szCs w:val="20"/>
          <w:vertAlign w:val="superscript"/>
        </w:rPr>
        <w:t>7</w:t>
      </w:r>
      <w:r w:rsidRPr="00FD7217">
        <w:rPr>
          <w:rFonts w:ascii="Times New Roman" w:hAnsi="Times New Roman" w:cs="Times New Roman"/>
          <w:sz w:val="20"/>
          <w:szCs w:val="20"/>
        </w:rPr>
        <w:t xml:space="preserve"> Table 1 lists summaries of updated T and N stage and risk group, primary tumor location, and updated median follow-up times for individual trials. As noted before, the percentage of patients with T4, N2, and high-risk tumors varied across studies. Importantly, the use of the chemotherapy regimens, CAPOX and FOLFOX, </w:t>
      </w:r>
      <w:r>
        <w:rPr>
          <w:rFonts w:ascii="Times New Roman" w:hAnsi="Times New Roman" w:cs="Times New Roman"/>
          <w:sz w:val="20"/>
          <w:szCs w:val="20"/>
        </w:rPr>
        <w:t>differed</w:t>
      </w:r>
      <w:r w:rsidRPr="00FD7217">
        <w:rPr>
          <w:rFonts w:ascii="Times New Roman" w:hAnsi="Times New Roman" w:cs="Times New Roman"/>
          <w:sz w:val="20"/>
          <w:szCs w:val="20"/>
        </w:rPr>
        <w:t xml:space="preserve"> greatly between trials. At the time of data cut-off (January 2020), all studies had a median follow-up time beyond five years, ranging from 61·8 months (ACHIEVE) to 84·3 months (TOSCA).</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Overall, no </w:t>
      </w:r>
      <w:r>
        <w:rPr>
          <w:rFonts w:ascii="Times New Roman" w:hAnsi="Times New Roman" w:cs="Times New Roman"/>
          <w:sz w:val="20"/>
          <w:szCs w:val="20"/>
        </w:rPr>
        <w:t xml:space="preserve">updated data </w:t>
      </w:r>
      <w:r w:rsidRPr="00FD7217">
        <w:rPr>
          <w:rFonts w:ascii="Times New Roman" w:hAnsi="Times New Roman" w:cs="Times New Roman"/>
          <w:sz w:val="20"/>
          <w:szCs w:val="20"/>
        </w:rPr>
        <w:t>to treatment compliance and adverse events were noted compared with the initial report.</w:t>
      </w:r>
      <w:r w:rsidRPr="005C16CA">
        <w:rPr>
          <w:rFonts w:ascii="Times New Roman" w:hAnsi="Times New Roman" w:cs="Times New Roman"/>
          <w:noProof/>
          <w:sz w:val="20"/>
          <w:szCs w:val="20"/>
          <w:vertAlign w:val="superscript"/>
        </w:rPr>
        <w:t>7</w:t>
      </w:r>
      <w:r w:rsidRPr="00FD7217">
        <w:rPr>
          <w:rFonts w:ascii="Times New Roman" w:hAnsi="Times New Roman" w:cs="Times New Roman"/>
          <w:sz w:val="20"/>
          <w:szCs w:val="20"/>
        </w:rPr>
        <w:t xml:space="preserve"> </w:t>
      </w:r>
      <w:r w:rsidRPr="00FD7217">
        <w:rPr>
          <w:rFonts w:ascii="Times New Roman" w:hAnsi="Times New Roman" w:cs="Times New Roman"/>
          <w:bCs/>
          <w:sz w:val="20"/>
          <w:szCs w:val="20"/>
        </w:rPr>
        <w:t>Treatment adherence, according to chemotherapy regimen and duration of therapy,</w:t>
      </w:r>
      <w:r w:rsidRPr="00FD7217">
        <w:rPr>
          <w:rFonts w:ascii="Times New Roman" w:hAnsi="Times New Roman" w:cs="Times New Roman"/>
          <w:sz w:val="20"/>
          <w:szCs w:val="20"/>
        </w:rPr>
        <w:t xml:space="preserve"> was previously described.</w:t>
      </w:r>
      <w:r>
        <w:rPr>
          <w:rFonts w:ascii="Times New Roman" w:hAnsi="Times New Roman" w:cs="Times New Roman"/>
          <w:noProof/>
          <w:sz w:val="20"/>
          <w:szCs w:val="20"/>
          <w:vertAlign w:val="superscript"/>
        </w:rPr>
        <w:t>7</w:t>
      </w:r>
      <w:r w:rsidRPr="00FD7217">
        <w:rPr>
          <w:rFonts w:ascii="Times New Roman" w:hAnsi="Times New Roman" w:cs="Times New Roman"/>
          <w:sz w:val="20"/>
          <w:szCs w:val="20"/>
        </w:rPr>
        <w:t xml:space="preserve"> The percentage of patients who received all </w:t>
      </w:r>
      <w:r>
        <w:rPr>
          <w:rFonts w:ascii="Times New Roman" w:hAnsi="Times New Roman" w:cs="Times New Roman"/>
          <w:sz w:val="20"/>
          <w:szCs w:val="20"/>
        </w:rPr>
        <w:t xml:space="preserve">number of </w:t>
      </w:r>
      <w:r w:rsidRPr="00FD7217">
        <w:rPr>
          <w:rFonts w:ascii="Times New Roman" w:hAnsi="Times New Roman" w:cs="Times New Roman"/>
          <w:sz w:val="20"/>
          <w:szCs w:val="20"/>
        </w:rPr>
        <w:t>planned therapy was lower in the six-month therapy group (</w:t>
      </w:r>
      <w:r>
        <w:rPr>
          <w:rFonts w:ascii="Times New Roman" w:hAnsi="Times New Roman" w:cs="Times New Roman"/>
          <w:sz w:val="20"/>
          <w:szCs w:val="20"/>
        </w:rPr>
        <w:t>4,367 [</w:t>
      </w:r>
      <w:r w:rsidRPr="00FD7217">
        <w:rPr>
          <w:rFonts w:ascii="Times New Roman" w:hAnsi="Times New Roman" w:cs="Times New Roman"/>
          <w:sz w:val="20"/>
          <w:szCs w:val="20"/>
        </w:rPr>
        <w:t>68%</w:t>
      </w:r>
      <w:r>
        <w:rPr>
          <w:rFonts w:ascii="Times New Roman" w:hAnsi="Times New Roman" w:cs="Times New Roman"/>
          <w:sz w:val="20"/>
          <w:szCs w:val="20"/>
        </w:rPr>
        <w:t>] of 6,410 patients; median 24 weeks</w:t>
      </w:r>
      <w:r w:rsidRPr="00FD7217">
        <w:rPr>
          <w:rFonts w:ascii="Times New Roman" w:hAnsi="Times New Roman" w:cs="Times New Roman"/>
          <w:sz w:val="20"/>
          <w:szCs w:val="20"/>
        </w:rPr>
        <w:t>) than that in the three-month therapy group (</w:t>
      </w:r>
      <w:r>
        <w:rPr>
          <w:rFonts w:ascii="Times New Roman" w:hAnsi="Times New Roman" w:cs="Times New Roman"/>
          <w:sz w:val="20"/>
          <w:szCs w:val="20"/>
        </w:rPr>
        <w:t>5,681 [89%] of 6,356 patients; median 12 weeks</w:t>
      </w:r>
      <w:r w:rsidRPr="00FD7217">
        <w:rPr>
          <w:rFonts w:ascii="Times New Roman" w:hAnsi="Times New Roman" w:cs="Times New Roman"/>
          <w:sz w:val="20"/>
          <w:szCs w:val="20"/>
        </w:rPr>
        <w:t>). Neurotoxicity of grade 2 or higher per NCI-CTC, during active therapy and in the month after cessation of treatment, was substantially lower in the three-month therapy group (</w:t>
      </w:r>
      <w:r>
        <w:rPr>
          <w:rFonts w:ascii="Times New Roman" w:hAnsi="Times New Roman" w:cs="Times New Roman"/>
          <w:sz w:val="20"/>
          <w:szCs w:val="20"/>
        </w:rPr>
        <w:t>752 [</w:t>
      </w:r>
      <w:r w:rsidRPr="00FD7217">
        <w:rPr>
          <w:rFonts w:ascii="Times New Roman" w:hAnsi="Times New Roman" w:cs="Times New Roman"/>
          <w:sz w:val="20"/>
          <w:szCs w:val="20"/>
        </w:rPr>
        <w:t>16·0%</w:t>
      </w:r>
      <w:r>
        <w:rPr>
          <w:rFonts w:ascii="Times New Roman" w:hAnsi="Times New Roman" w:cs="Times New Roman"/>
          <w:sz w:val="20"/>
          <w:szCs w:val="20"/>
        </w:rPr>
        <w:t>] of 4,696 patients</w:t>
      </w:r>
      <w:r w:rsidRPr="00FD7217">
        <w:rPr>
          <w:rFonts w:ascii="Times New Roman" w:hAnsi="Times New Roman" w:cs="Times New Roman"/>
          <w:sz w:val="20"/>
          <w:szCs w:val="20"/>
        </w:rPr>
        <w:t>) than that in six-month therapy group (</w:t>
      </w:r>
      <w:r>
        <w:rPr>
          <w:rFonts w:ascii="Times New Roman" w:hAnsi="Times New Roman" w:cs="Times New Roman"/>
          <w:sz w:val="20"/>
          <w:szCs w:val="20"/>
        </w:rPr>
        <w:t>2,063 [</w:t>
      </w:r>
      <w:r w:rsidRPr="00FD7217">
        <w:rPr>
          <w:rFonts w:ascii="Times New Roman" w:hAnsi="Times New Roman" w:cs="Times New Roman"/>
          <w:sz w:val="20"/>
          <w:szCs w:val="20"/>
        </w:rPr>
        <w:t>44·5%</w:t>
      </w:r>
      <w:r>
        <w:rPr>
          <w:rFonts w:ascii="Times New Roman" w:hAnsi="Times New Roman" w:cs="Times New Roman"/>
          <w:sz w:val="20"/>
          <w:szCs w:val="20"/>
        </w:rPr>
        <w:t>] of 4,637 patients</w:t>
      </w:r>
      <w:r w:rsidRPr="00FD7217">
        <w:rPr>
          <w:rFonts w:ascii="Times New Roman" w:hAnsi="Times New Roman" w:cs="Times New Roman"/>
          <w:sz w:val="20"/>
          <w:szCs w:val="20"/>
        </w:rPr>
        <w:t>).</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Pr>
          <w:rFonts w:ascii="Times New Roman" w:hAnsi="Times New Roman" w:cs="Times New Roman"/>
          <w:sz w:val="20"/>
          <w:szCs w:val="20"/>
        </w:rPr>
        <w:t xml:space="preserve">Firstly, we present the disease-free survival results of the pre-specified statistical hypothesis testing analyses with multiplicity adjustments. </w:t>
      </w:r>
      <w:r w:rsidRPr="00FD7217">
        <w:rPr>
          <w:rFonts w:ascii="Times New Roman" w:hAnsi="Times New Roman" w:cs="Times New Roman"/>
          <w:sz w:val="20"/>
          <w:szCs w:val="20"/>
        </w:rPr>
        <w:t>At the time of the January 2020 data lock</w:t>
      </w:r>
      <w:r>
        <w:rPr>
          <w:rFonts w:ascii="Times New Roman" w:hAnsi="Times New Roman" w:cs="Times New Roman"/>
          <w:sz w:val="20"/>
          <w:szCs w:val="20"/>
        </w:rPr>
        <w:t>, w</w:t>
      </w:r>
      <w:r w:rsidRPr="00FD7217">
        <w:rPr>
          <w:rFonts w:ascii="Times New Roman" w:hAnsi="Times New Roman" w:cs="Times New Roman"/>
          <w:sz w:val="20"/>
          <w:szCs w:val="20"/>
        </w:rPr>
        <w:t>ith nearly three years of additional follow-up, a total of 3781 disease-free survival events had occurred, which includes 518 added events from the original report.</w:t>
      </w:r>
      <w:r w:rsidRPr="005C16CA">
        <w:rPr>
          <w:rFonts w:ascii="Times New Roman" w:hAnsi="Times New Roman" w:cs="Times New Roman"/>
          <w:noProof/>
          <w:sz w:val="20"/>
          <w:szCs w:val="20"/>
          <w:vertAlign w:val="superscript"/>
        </w:rPr>
        <w:t>7</w:t>
      </w:r>
      <w:r w:rsidRPr="00FD7217">
        <w:rPr>
          <w:rFonts w:ascii="Times New Roman" w:hAnsi="Times New Roman" w:cs="Times New Roman"/>
          <w:sz w:val="20"/>
          <w:szCs w:val="20"/>
        </w:rPr>
        <w:t xml:space="preserve"> The original design required 3390 disease-free survival events for a statistical power of 90% for NI hypothesis testing at a one-sided significance level of 0·025. Among disease-free survival events, the percentage of death events without documentations of recurrence increased from </w:t>
      </w:r>
      <w:r>
        <w:rPr>
          <w:rFonts w:ascii="Times New Roman" w:hAnsi="Times New Roman" w:cs="Times New Roman"/>
          <w:sz w:val="20"/>
          <w:szCs w:val="20"/>
        </w:rPr>
        <w:t>334 (</w:t>
      </w:r>
      <w:r w:rsidRPr="00FD7217">
        <w:rPr>
          <w:rFonts w:ascii="Times New Roman" w:hAnsi="Times New Roman" w:cs="Times New Roman"/>
          <w:sz w:val="20"/>
          <w:szCs w:val="20"/>
        </w:rPr>
        <w:t>10·2%</w:t>
      </w:r>
      <w:r>
        <w:rPr>
          <w:rFonts w:ascii="Times New Roman" w:hAnsi="Times New Roman" w:cs="Times New Roman"/>
          <w:sz w:val="20"/>
          <w:szCs w:val="20"/>
        </w:rPr>
        <w:t>) out of total 3263 events</w:t>
      </w:r>
      <w:r w:rsidRPr="00FD7217">
        <w:rPr>
          <w:rFonts w:ascii="Times New Roman" w:hAnsi="Times New Roman" w:cs="Times New Roman"/>
          <w:sz w:val="20"/>
          <w:szCs w:val="20"/>
        </w:rPr>
        <w:t xml:space="preserve"> in February 2017 to </w:t>
      </w:r>
      <w:r>
        <w:rPr>
          <w:rFonts w:ascii="Times New Roman" w:hAnsi="Times New Roman" w:cs="Times New Roman"/>
          <w:sz w:val="20"/>
          <w:szCs w:val="20"/>
        </w:rPr>
        <w:t>552 (</w:t>
      </w:r>
      <w:r w:rsidRPr="00FD7217">
        <w:rPr>
          <w:rFonts w:ascii="Times New Roman" w:hAnsi="Times New Roman" w:cs="Times New Roman"/>
          <w:sz w:val="20"/>
          <w:szCs w:val="20"/>
        </w:rPr>
        <w:t>14·6%</w:t>
      </w:r>
      <w:r>
        <w:rPr>
          <w:rFonts w:ascii="Times New Roman" w:hAnsi="Times New Roman" w:cs="Times New Roman"/>
          <w:sz w:val="20"/>
          <w:szCs w:val="20"/>
        </w:rPr>
        <w:t>) out of total 3781 events</w:t>
      </w:r>
      <w:r w:rsidRPr="00FD7217">
        <w:rPr>
          <w:rFonts w:ascii="Times New Roman" w:hAnsi="Times New Roman" w:cs="Times New Roman"/>
          <w:sz w:val="20"/>
          <w:szCs w:val="20"/>
        </w:rPr>
        <w:t xml:space="preserve"> in January 2020.</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In the overall </w:t>
      </w:r>
      <w:proofErr w:type="spellStart"/>
      <w:r w:rsidRPr="00FD7217">
        <w:rPr>
          <w:rFonts w:ascii="Times New Roman" w:hAnsi="Times New Roman" w:cs="Times New Roman"/>
          <w:sz w:val="20"/>
          <w:szCs w:val="20"/>
        </w:rPr>
        <w:t>mITT</w:t>
      </w:r>
      <w:proofErr w:type="spellEnd"/>
      <w:r w:rsidRPr="00FD7217">
        <w:rPr>
          <w:rFonts w:ascii="Times New Roman" w:hAnsi="Times New Roman" w:cs="Times New Roman"/>
          <w:sz w:val="20"/>
          <w:szCs w:val="20"/>
        </w:rPr>
        <w:t xml:space="preserve"> population, the updated HR for disease-free survival comparing three versus six months of treatment was 1·08, with a two-sided 95% CI of 1·02 to 1·15 (Figure 1). Comparing to six months of therapy, the disease-free survival rates in three months of therapy group at three years, four years, and five years decreased by 0·9% (95% CI of difference: -2·8% to 1·0%), 1·7% (95% CI of difference: -3·9% to 0·5%), and 1·7% (95% CI of difference: -4·2% to 0·8%), respectively. The statistical NI of three (versus six) months of adjuvant therapy remains unestablished for the whole study population (NI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 0·25, superiority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 for six months: 0·044). Neither violation to proportional hazards assumption (p=0·07</w:t>
      </w:r>
      <w:r>
        <w:rPr>
          <w:rFonts w:ascii="Times New Roman" w:hAnsi="Times New Roman" w:cs="Times New Roman"/>
          <w:sz w:val="20"/>
          <w:szCs w:val="20"/>
        </w:rPr>
        <w:t>0</w:t>
      </w:r>
      <w:r w:rsidRPr="00FD7217">
        <w:rPr>
          <w:rFonts w:ascii="Times New Roman" w:hAnsi="Times New Roman" w:cs="Times New Roman"/>
          <w:sz w:val="20"/>
          <w:szCs w:val="20"/>
        </w:rPr>
        <w:t>), nor meaningful heterogeneities (I</w:t>
      </w:r>
      <w:r w:rsidRPr="00FD7217">
        <w:rPr>
          <w:rFonts w:ascii="Times New Roman" w:hAnsi="Times New Roman" w:cs="Times New Roman"/>
          <w:sz w:val="20"/>
          <w:szCs w:val="20"/>
          <w:vertAlign w:val="superscript"/>
        </w:rPr>
        <w:t>2</w:t>
      </w:r>
      <w:r w:rsidRPr="00FD7217">
        <w:rPr>
          <w:rFonts w:ascii="Times New Roman" w:hAnsi="Times New Roman" w:cs="Times New Roman"/>
          <w:sz w:val="20"/>
          <w:szCs w:val="20"/>
        </w:rPr>
        <w:t xml:space="preserve">=2·1%; Q p-value=0·40; </w:t>
      </w:r>
      <w:r>
        <w:rPr>
          <w:rFonts w:ascii="Times New Roman" w:hAnsi="Times New Roman" w:cs="Times New Roman"/>
          <w:sz w:val="20"/>
          <w:szCs w:val="20"/>
        </w:rPr>
        <w:t>appendix p 4</w:t>
      </w:r>
      <w:r w:rsidRPr="00FD7217">
        <w:rPr>
          <w:rFonts w:ascii="Times New Roman" w:hAnsi="Times New Roman" w:cs="Times New Roman"/>
          <w:sz w:val="20"/>
          <w:szCs w:val="20"/>
        </w:rPr>
        <w:t>) in HRs across individual studies was detected.</w:t>
      </w:r>
    </w:p>
    <w:p w:rsidR="00C66E5B" w:rsidRPr="00FD7217" w:rsidRDefault="00C66E5B" w:rsidP="00FD7217">
      <w:pPr>
        <w:rPr>
          <w:rFonts w:ascii="Times New Roman" w:hAnsi="Times New Roman" w:cs="Times New Roman"/>
          <w:sz w:val="20"/>
          <w:szCs w:val="20"/>
        </w:rPr>
      </w:pPr>
    </w:p>
    <w:p w:rsidR="00C66E5B"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Table 2 display</w:t>
      </w:r>
      <w:r>
        <w:rPr>
          <w:rFonts w:ascii="Times New Roman" w:hAnsi="Times New Roman" w:cs="Times New Roman"/>
          <w:sz w:val="20"/>
          <w:szCs w:val="20"/>
        </w:rPr>
        <w:t>s</w:t>
      </w:r>
      <w:r w:rsidRPr="00FD7217">
        <w:rPr>
          <w:rFonts w:ascii="Times New Roman" w:hAnsi="Times New Roman" w:cs="Times New Roman"/>
          <w:sz w:val="20"/>
          <w:szCs w:val="20"/>
        </w:rPr>
        <w:t xml:space="preserve"> the results for comparing disease-free survival in three versus six months of therapy groups in sub-groups by regimen and risk groups. Overall, HR estimates were highly consistent with what was previously reported. With multiple comparison adjustment, the NI disease-free survival of three (versus six) months of therapy was </w:t>
      </w:r>
      <w:r>
        <w:rPr>
          <w:rFonts w:ascii="Times New Roman" w:hAnsi="Times New Roman" w:cs="Times New Roman"/>
          <w:sz w:val="20"/>
          <w:szCs w:val="20"/>
        </w:rPr>
        <w:t xml:space="preserve">barely missed the </w:t>
      </w:r>
      <w:r w:rsidRPr="00FD7217">
        <w:rPr>
          <w:rFonts w:ascii="Times New Roman" w:hAnsi="Times New Roman" w:cs="Times New Roman"/>
          <w:sz w:val="20"/>
          <w:szCs w:val="20"/>
        </w:rPr>
        <w:t>statistical significan</w:t>
      </w:r>
      <w:r>
        <w:rPr>
          <w:rFonts w:ascii="Times New Roman" w:hAnsi="Times New Roman" w:cs="Times New Roman"/>
          <w:sz w:val="20"/>
          <w:szCs w:val="20"/>
        </w:rPr>
        <w:t>ce</w:t>
      </w:r>
      <w:r w:rsidRPr="00FD7217">
        <w:rPr>
          <w:rFonts w:ascii="Times New Roman" w:hAnsi="Times New Roman" w:cs="Times New Roman"/>
          <w:sz w:val="20"/>
          <w:szCs w:val="20"/>
        </w:rPr>
        <w:t xml:space="preserve"> for patients receiving CAPOX (HR: 0·98, 95% CI: 0·88 to 1·08, NI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 0·027). In contrast, </w:t>
      </w:r>
      <w:r w:rsidRPr="00E45FDA">
        <w:rPr>
          <w:rFonts w:ascii="Times New Roman" w:hAnsi="Times New Roman" w:cs="Times New Roman"/>
          <w:sz w:val="20"/>
          <w:szCs w:val="20"/>
        </w:rPr>
        <w:t>disease-free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of six months of therapy was statistically significantly improved over three months of therapy for patients receiving FOLFOX (HR: 1·16, 95% CI: 1·07 to 1·26, superiority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 0·0061). The P-value of testing interaction between regimen and duration was 0·011. There was no statistically significant evidence for NI of three (versus six) months of therapy for patients with</w:t>
      </w:r>
      <w:r>
        <w:rPr>
          <w:rFonts w:ascii="Times New Roman" w:hAnsi="Times New Roman" w:cs="Times New Roman"/>
          <w:sz w:val="20"/>
          <w:szCs w:val="20"/>
        </w:rPr>
        <w:t xml:space="preserve"> low-</w:t>
      </w:r>
      <w:r w:rsidRPr="00FD7217">
        <w:rPr>
          <w:rFonts w:ascii="Times New Roman" w:hAnsi="Times New Roman" w:cs="Times New Roman"/>
          <w:sz w:val="20"/>
          <w:szCs w:val="20"/>
        </w:rPr>
        <w:t xml:space="preserve">risk (T1 - 3 and N1) tumors. However, six months of therapy showed superior disease-free survival compared to three months of therapy for </w:t>
      </w:r>
      <w:r w:rsidRPr="00FD7217">
        <w:rPr>
          <w:rFonts w:ascii="Times New Roman" w:hAnsi="Times New Roman" w:cs="Times New Roman"/>
          <w:sz w:val="20"/>
          <w:szCs w:val="20"/>
        </w:rPr>
        <w:lastRenderedPageBreak/>
        <w:t>patients deemed to have high-risk (T4 or N2) tumors, even after adjusting for multiplicity (Table 2). The P-value of testing interaction between risk group and duration was 0·24.</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Pr>
          <w:rFonts w:ascii="Times New Roman" w:hAnsi="Times New Roman" w:cs="Times New Roman"/>
          <w:sz w:val="20"/>
          <w:szCs w:val="20"/>
        </w:rPr>
        <w:t xml:space="preserve">Secondly, we present the overall survival results of the pre-specified statistical hypothesis testing analyses with multiplicity adjustments. </w:t>
      </w:r>
      <w:r w:rsidRPr="00FD7217">
        <w:rPr>
          <w:rFonts w:ascii="Times New Roman" w:hAnsi="Times New Roman" w:cs="Times New Roman"/>
          <w:sz w:val="20"/>
          <w:szCs w:val="20"/>
        </w:rPr>
        <w:t xml:space="preserve">At the time of the January 2020 data lock, 2584 deaths had occurred. For the overall </w:t>
      </w:r>
      <w:proofErr w:type="spellStart"/>
      <w:r w:rsidRPr="00FD7217">
        <w:rPr>
          <w:rFonts w:ascii="Times New Roman" w:hAnsi="Times New Roman" w:cs="Times New Roman"/>
          <w:sz w:val="20"/>
          <w:szCs w:val="20"/>
        </w:rPr>
        <w:t>mITT</w:t>
      </w:r>
      <w:proofErr w:type="spellEnd"/>
      <w:r w:rsidRPr="00FD7217">
        <w:rPr>
          <w:rFonts w:ascii="Times New Roman" w:hAnsi="Times New Roman" w:cs="Times New Roman"/>
          <w:sz w:val="20"/>
          <w:szCs w:val="20"/>
        </w:rPr>
        <w:t xml:space="preserve"> population, the HR for comparing three versus six months of treatment was 1·02 with a two-sided 95% CI of 0·95 to 1·11 (Figure 2A). Thus, the upper bound of the two-sided 95% CI was equal to the pre-specified </w:t>
      </w:r>
      <w:r>
        <w:rPr>
          <w:rFonts w:ascii="Times New Roman" w:hAnsi="Times New Roman" w:cs="Times New Roman"/>
          <w:sz w:val="20"/>
          <w:szCs w:val="20"/>
        </w:rPr>
        <w:t>overall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NI margin: HR of 1·11. The one-sided NI </w:t>
      </w:r>
      <w:proofErr w:type="spellStart"/>
      <w:r w:rsidRPr="00FD7217">
        <w:rPr>
          <w:rFonts w:ascii="Times New Roman" w:hAnsi="Times New Roman" w:cs="Times New Roman"/>
          <w:sz w:val="20"/>
          <w:szCs w:val="20"/>
        </w:rPr>
        <w:t>FRDadj</w:t>
      </w:r>
      <w:proofErr w:type="spellEnd"/>
      <w:r w:rsidRPr="00FD7217">
        <w:rPr>
          <w:rFonts w:ascii="Times New Roman" w:hAnsi="Times New Roman" w:cs="Times New Roman"/>
          <w:sz w:val="20"/>
          <w:szCs w:val="20"/>
        </w:rPr>
        <w:t xml:space="preserve"> p was 0·058. Accordingly, statistical NI of three (versus six) months of therapy was not established in the overall population at a stringent significance level (0·025) when adjusted for multiplicity testing. The five-year overall survival rates were 82·4% (95% CI: 81·4 to 83·3%) for the three-month arm compared with 82·8% (95% CI: 81·8 to 83·8%) for the six-month arm. The absolute difference of five-year overall survival rate between three versus six months of therapy was 0·4% (95% CI of difference: -2·1% to 1·3%</w:t>
      </w:r>
      <w:r>
        <w:rPr>
          <w:rFonts w:ascii="Times New Roman" w:hAnsi="Times New Roman" w:cs="Times New Roman"/>
          <w:sz w:val="20"/>
          <w:szCs w:val="20"/>
        </w:rPr>
        <w:t>; appendix p</w:t>
      </w:r>
      <w:r w:rsidRPr="00FD7217">
        <w:rPr>
          <w:rFonts w:ascii="Times New Roman" w:hAnsi="Times New Roman" w:cs="Times New Roman"/>
          <w:sz w:val="20"/>
          <w:szCs w:val="20"/>
        </w:rPr>
        <w:t xml:space="preserve"> </w:t>
      </w:r>
      <w:r>
        <w:rPr>
          <w:rFonts w:ascii="Times New Roman" w:hAnsi="Times New Roman" w:cs="Times New Roman"/>
          <w:sz w:val="20"/>
          <w:szCs w:val="20"/>
        </w:rPr>
        <w:t>1</w:t>
      </w:r>
      <w:r w:rsidRPr="00FD7217">
        <w:rPr>
          <w:rFonts w:ascii="Times New Roman" w:hAnsi="Times New Roman" w:cs="Times New Roman"/>
          <w:sz w:val="20"/>
          <w:szCs w:val="20"/>
        </w:rPr>
        <w:t>). Neither violation to PH assumption (p=0·52), nor meaningful heterogeneities (I</w:t>
      </w:r>
      <w:r w:rsidRPr="00FD7217">
        <w:rPr>
          <w:rFonts w:ascii="Times New Roman" w:hAnsi="Times New Roman" w:cs="Times New Roman"/>
          <w:sz w:val="20"/>
          <w:szCs w:val="20"/>
          <w:vertAlign w:val="superscript"/>
        </w:rPr>
        <w:t>2</w:t>
      </w:r>
      <w:r w:rsidRPr="00FD7217">
        <w:rPr>
          <w:rFonts w:ascii="Times New Roman" w:hAnsi="Times New Roman" w:cs="Times New Roman"/>
          <w:sz w:val="20"/>
          <w:szCs w:val="20"/>
        </w:rPr>
        <w:t xml:space="preserve">=0·0; Q p-value=0·58; </w:t>
      </w:r>
      <w:r>
        <w:rPr>
          <w:rFonts w:ascii="Times New Roman" w:hAnsi="Times New Roman" w:cs="Times New Roman"/>
          <w:sz w:val="20"/>
          <w:szCs w:val="20"/>
        </w:rPr>
        <w:t>appendix p</w:t>
      </w:r>
      <w:r w:rsidRPr="00FD7217">
        <w:rPr>
          <w:rFonts w:ascii="Times New Roman" w:hAnsi="Times New Roman" w:cs="Times New Roman"/>
          <w:sz w:val="20"/>
          <w:szCs w:val="20"/>
        </w:rPr>
        <w:t xml:space="preserve"> </w:t>
      </w:r>
      <w:r>
        <w:rPr>
          <w:rFonts w:ascii="Times New Roman" w:hAnsi="Times New Roman" w:cs="Times New Roman"/>
          <w:sz w:val="20"/>
          <w:szCs w:val="20"/>
        </w:rPr>
        <w:t>5</w:t>
      </w:r>
      <w:r w:rsidRPr="00FD7217">
        <w:rPr>
          <w:rFonts w:ascii="Times New Roman" w:hAnsi="Times New Roman" w:cs="Times New Roman"/>
          <w:sz w:val="20"/>
          <w:szCs w:val="20"/>
        </w:rPr>
        <w:t>) in HRs across individual studies were detected.</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Among patients treated with CAPOX, similar to the findings for disease-free survival, NI of three (versus six) months of therapy for </w:t>
      </w:r>
      <w:r w:rsidRPr="00623622">
        <w:rPr>
          <w:rFonts w:ascii="Times New Roman" w:hAnsi="Times New Roman" w:cs="Times New Roman"/>
          <w:sz w:val="20"/>
          <w:szCs w:val="20"/>
        </w:rPr>
        <w:t>overall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marginally missed statistical significance (one-sided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 0·033; HR 0·96 [95% CI: 0·85 to 1·08, without multiplicity adjustment]) and a five-year overall survival rate of 82·1%</w:t>
      </w:r>
      <w:r>
        <w:rPr>
          <w:rFonts w:ascii="Times New Roman" w:hAnsi="Times New Roman" w:cs="Times New Roman"/>
          <w:sz w:val="20"/>
          <w:szCs w:val="20"/>
        </w:rPr>
        <w:t xml:space="preserve"> (95% CI: 80</w:t>
      </w:r>
      <w:r w:rsidRPr="00FD7217">
        <w:rPr>
          <w:rFonts w:ascii="Times New Roman" w:hAnsi="Times New Roman" w:cs="Times New Roman"/>
          <w:sz w:val="20"/>
          <w:szCs w:val="20"/>
        </w:rPr>
        <w:t>·</w:t>
      </w:r>
      <w:r>
        <w:rPr>
          <w:rFonts w:ascii="Times New Roman" w:hAnsi="Times New Roman" w:cs="Times New Roman"/>
          <w:sz w:val="20"/>
          <w:szCs w:val="20"/>
        </w:rPr>
        <w:t>5% to 83</w:t>
      </w:r>
      <w:r w:rsidRPr="00FD7217">
        <w:rPr>
          <w:rFonts w:ascii="Times New Roman" w:hAnsi="Times New Roman" w:cs="Times New Roman"/>
          <w:sz w:val="20"/>
          <w:szCs w:val="20"/>
        </w:rPr>
        <w:t>·</w:t>
      </w:r>
      <w:r>
        <w:rPr>
          <w:rFonts w:ascii="Times New Roman" w:hAnsi="Times New Roman" w:cs="Times New Roman"/>
          <w:sz w:val="20"/>
          <w:szCs w:val="20"/>
        </w:rPr>
        <w:t>6%)</w:t>
      </w:r>
      <w:r w:rsidRPr="00FD7217">
        <w:rPr>
          <w:rFonts w:ascii="Times New Roman" w:hAnsi="Times New Roman" w:cs="Times New Roman"/>
          <w:sz w:val="20"/>
          <w:szCs w:val="20"/>
        </w:rPr>
        <w:t xml:space="preserve"> and 81·2% </w:t>
      </w:r>
      <w:r>
        <w:rPr>
          <w:rFonts w:ascii="Times New Roman" w:hAnsi="Times New Roman" w:cs="Times New Roman"/>
          <w:sz w:val="20"/>
          <w:szCs w:val="20"/>
        </w:rPr>
        <w:t>(95% CI: 79</w:t>
      </w:r>
      <w:r w:rsidRPr="00FD7217">
        <w:rPr>
          <w:rFonts w:ascii="Times New Roman" w:hAnsi="Times New Roman" w:cs="Times New Roman"/>
          <w:sz w:val="20"/>
          <w:szCs w:val="20"/>
        </w:rPr>
        <w:t>·</w:t>
      </w:r>
      <w:r>
        <w:rPr>
          <w:rFonts w:ascii="Times New Roman" w:hAnsi="Times New Roman" w:cs="Times New Roman"/>
          <w:sz w:val="20"/>
          <w:szCs w:val="20"/>
        </w:rPr>
        <w:t xml:space="preserve">7% to 82.9%) </w:t>
      </w:r>
      <w:r w:rsidRPr="00FD7217">
        <w:rPr>
          <w:rFonts w:ascii="Times New Roman" w:hAnsi="Times New Roman" w:cs="Times New Roman"/>
          <w:sz w:val="20"/>
          <w:szCs w:val="20"/>
        </w:rPr>
        <w:t>for three months and six months, respectively (difference: 0·9%, 95% CI: -1·8% to 3·6%, Figure 2B</w:t>
      </w:r>
      <w:r>
        <w:rPr>
          <w:rFonts w:ascii="Times New Roman" w:hAnsi="Times New Roman" w:cs="Times New Roman"/>
          <w:sz w:val="20"/>
          <w:szCs w:val="20"/>
        </w:rPr>
        <w:t xml:space="preserve"> and</w:t>
      </w:r>
      <w:r w:rsidRPr="00A46B52">
        <w:rPr>
          <w:rFonts w:ascii="Times New Roman" w:hAnsi="Times New Roman" w:cs="Times New Roman"/>
          <w:sz w:val="20"/>
          <w:szCs w:val="20"/>
        </w:rPr>
        <w:t xml:space="preserve"> </w:t>
      </w:r>
      <w:r>
        <w:rPr>
          <w:rFonts w:ascii="Times New Roman" w:hAnsi="Times New Roman" w:cs="Times New Roman"/>
          <w:sz w:val="20"/>
          <w:szCs w:val="20"/>
        </w:rPr>
        <w:t>appendix p</w:t>
      </w:r>
      <w:r w:rsidRPr="00FD7217">
        <w:rPr>
          <w:rFonts w:ascii="Times New Roman" w:hAnsi="Times New Roman" w:cs="Times New Roman"/>
          <w:sz w:val="20"/>
          <w:szCs w:val="20"/>
        </w:rPr>
        <w:t xml:space="preserve"> </w:t>
      </w:r>
      <w:r>
        <w:rPr>
          <w:rFonts w:ascii="Times New Roman" w:hAnsi="Times New Roman" w:cs="Times New Roman"/>
          <w:sz w:val="20"/>
          <w:szCs w:val="20"/>
        </w:rPr>
        <w:t>1</w:t>
      </w:r>
      <w:r w:rsidRPr="00FD7217">
        <w:rPr>
          <w:rFonts w:ascii="Times New Roman" w:hAnsi="Times New Roman" w:cs="Times New Roman"/>
          <w:sz w:val="20"/>
          <w:szCs w:val="20"/>
        </w:rPr>
        <w:t>). Among patients on FOLFOX, five-year overall survival rate of 82</w:t>
      </w:r>
      <w:r>
        <w:rPr>
          <w:rFonts w:ascii="Times New Roman" w:hAnsi="Times New Roman" w:cs="Times New Roman"/>
          <w:sz w:val="20"/>
          <w:szCs w:val="20"/>
        </w:rPr>
        <w:t>.6</w:t>
      </w:r>
      <w:r w:rsidRPr="00FD7217">
        <w:rPr>
          <w:rFonts w:ascii="Times New Roman" w:hAnsi="Times New Roman" w:cs="Times New Roman"/>
          <w:sz w:val="20"/>
          <w:szCs w:val="20"/>
        </w:rPr>
        <w:t xml:space="preserve">% </w:t>
      </w:r>
      <w:r>
        <w:rPr>
          <w:rFonts w:ascii="Times New Roman" w:hAnsi="Times New Roman" w:cs="Times New Roman"/>
          <w:sz w:val="20"/>
          <w:szCs w:val="20"/>
        </w:rPr>
        <w:t>(95% CI: 81</w:t>
      </w:r>
      <w:r w:rsidRPr="00FD7217">
        <w:rPr>
          <w:rFonts w:ascii="Times New Roman" w:hAnsi="Times New Roman" w:cs="Times New Roman"/>
          <w:sz w:val="20"/>
          <w:szCs w:val="20"/>
        </w:rPr>
        <w:t>·</w:t>
      </w:r>
      <w:r>
        <w:rPr>
          <w:rFonts w:ascii="Times New Roman" w:hAnsi="Times New Roman" w:cs="Times New Roman"/>
          <w:sz w:val="20"/>
          <w:szCs w:val="20"/>
        </w:rPr>
        <w:t>3% to 83</w:t>
      </w:r>
      <w:r w:rsidRPr="00FD7217">
        <w:rPr>
          <w:rFonts w:ascii="Times New Roman" w:hAnsi="Times New Roman" w:cs="Times New Roman"/>
          <w:sz w:val="20"/>
          <w:szCs w:val="20"/>
        </w:rPr>
        <w:t>·</w:t>
      </w:r>
      <w:r>
        <w:rPr>
          <w:rFonts w:ascii="Times New Roman" w:hAnsi="Times New Roman" w:cs="Times New Roman"/>
          <w:sz w:val="20"/>
          <w:szCs w:val="20"/>
        </w:rPr>
        <w:t xml:space="preserve">8%) </w:t>
      </w:r>
      <w:r w:rsidRPr="00FD7217">
        <w:rPr>
          <w:rFonts w:ascii="Times New Roman" w:hAnsi="Times New Roman" w:cs="Times New Roman"/>
          <w:sz w:val="20"/>
          <w:szCs w:val="20"/>
        </w:rPr>
        <w:t>and 8</w:t>
      </w:r>
      <w:r>
        <w:rPr>
          <w:rFonts w:ascii="Times New Roman" w:hAnsi="Times New Roman" w:cs="Times New Roman"/>
          <w:sz w:val="20"/>
          <w:szCs w:val="20"/>
        </w:rPr>
        <w:t>3</w:t>
      </w:r>
      <w:r w:rsidRPr="00FD7217">
        <w:rPr>
          <w:rFonts w:ascii="Times New Roman" w:hAnsi="Times New Roman" w:cs="Times New Roman"/>
          <w:sz w:val="20"/>
          <w:szCs w:val="20"/>
        </w:rPr>
        <w:t>·</w:t>
      </w:r>
      <w:r>
        <w:rPr>
          <w:rFonts w:ascii="Times New Roman" w:hAnsi="Times New Roman" w:cs="Times New Roman"/>
          <w:sz w:val="20"/>
          <w:szCs w:val="20"/>
        </w:rPr>
        <w:t>8</w:t>
      </w:r>
      <w:r w:rsidRPr="00FD7217">
        <w:rPr>
          <w:rFonts w:ascii="Times New Roman" w:hAnsi="Times New Roman" w:cs="Times New Roman"/>
          <w:sz w:val="20"/>
          <w:szCs w:val="20"/>
        </w:rPr>
        <w:t>%</w:t>
      </w:r>
      <w:r>
        <w:rPr>
          <w:rFonts w:ascii="Times New Roman" w:hAnsi="Times New Roman" w:cs="Times New Roman"/>
          <w:sz w:val="20"/>
          <w:szCs w:val="20"/>
        </w:rPr>
        <w:t xml:space="preserve"> (95% CI: 82</w:t>
      </w:r>
      <w:r w:rsidRPr="00FD7217">
        <w:rPr>
          <w:rFonts w:ascii="Times New Roman" w:hAnsi="Times New Roman" w:cs="Times New Roman"/>
          <w:sz w:val="20"/>
          <w:szCs w:val="20"/>
        </w:rPr>
        <w:t>·</w:t>
      </w:r>
      <w:r>
        <w:rPr>
          <w:rFonts w:ascii="Times New Roman" w:hAnsi="Times New Roman" w:cs="Times New Roman"/>
          <w:sz w:val="20"/>
          <w:szCs w:val="20"/>
        </w:rPr>
        <w:t>6% to 85</w:t>
      </w:r>
      <w:r w:rsidRPr="00FD7217">
        <w:rPr>
          <w:rFonts w:ascii="Times New Roman" w:hAnsi="Times New Roman" w:cs="Times New Roman"/>
          <w:sz w:val="20"/>
          <w:szCs w:val="20"/>
        </w:rPr>
        <w:t>·</w:t>
      </w:r>
      <w:r>
        <w:rPr>
          <w:rFonts w:ascii="Times New Roman" w:hAnsi="Times New Roman" w:cs="Times New Roman"/>
          <w:sz w:val="20"/>
          <w:szCs w:val="20"/>
        </w:rPr>
        <w:t>0%)</w:t>
      </w:r>
      <w:r w:rsidRPr="00FD7217">
        <w:rPr>
          <w:rFonts w:ascii="Times New Roman" w:hAnsi="Times New Roman" w:cs="Times New Roman"/>
          <w:sz w:val="20"/>
          <w:szCs w:val="20"/>
        </w:rPr>
        <w:t xml:space="preserve"> for three months and six months, respectively</w:t>
      </w:r>
      <w:r>
        <w:rPr>
          <w:rFonts w:ascii="Times New Roman" w:hAnsi="Times New Roman" w:cs="Times New Roman"/>
          <w:sz w:val="20"/>
          <w:szCs w:val="20"/>
        </w:rPr>
        <w:t>,</w:t>
      </w:r>
      <w:r w:rsidRPr="00FD7217">
        <w:rPr>
          <w:rFonts w:ascii="Times New Roman" w:hAnsi="Times New Roman" w:cs="Times New Roman"/>
          <w:sz w:val="20"/>
          <w:szCs w:val="20"/>
        </w:rPr>
        <w:t xml:space="preserve"> the HR for comparing three versus six months of treatment was 1·07, with a two-sided 95% CI of 0·97 to 1·18 (one-sided </w:t>
      </w:r>
      <w:proofErr w:type="spellStart"/>
      <w:r w:rsidRPr="00FD7217">
        <w:rPr>
          <w:rFonts w:ascii="Times New Roman" w:hAnsi="Times New Roman" w:cs="Times New Roman"/>
          <w:sz w:val="20"/>
          <w:szCs w:val="20"/>
        </w:rPr>
        <w:t>FDRadj</w:t>
      </w:r>
      <w:proofErr w:type="spellEnd"/>
      <w:r w:rsidRPr="00FD7217">
        <w:rPr>
          <w:rFonts w:ascii="Times New Roman" w:hAnsi="Times New Roman" w:cs="Times New Roman"/>
          <w:sz w:val="20"/>
          <w:szCs w:val="20"/>
        </w:rPr>
        <w:t xml:space="preserve"> p: 0·34, Figure 2C). The interaction p-value between regimen and duration was 0·20.</w:t>
      </w:r>
      <w:r>
        <w:rPr>
          <w:rFonts w:ascii="Times New Roman" w:hAnsi="Times New Roman" w:cs="Times New Roman"/>
          <w:sz w:val="20"/>
          <w:szCs w:val="20"/>
        </w:rPr>
        <w:t xml:space="preserve"> These results stratified by regimen were strengthened by the consistency seen across studies. (</w:t>
      </w:r>
      <w:proofErr w:type="gramStart"/>
      <w:r>
        <w:rPr>
          <w:rFonts w:ascii="Times New Roman" w:hAnsi="Times New Roman" w:cs="Times New Roman"/>
          <w:sz w:val="20"/>
          <w:szCs w:val="20"/>
        </w:rPr>
        <w:t>see</w:t>
      </w:r>
      <w:proofErr w:type="gramEnd"/>
      <w:r>
        <w:rPr>
          <w:rFonts w:ascii="Times New Roman" w:hAnsi="Times New Roman" w:cs="Times New Roman"/>
          <w:sz w:val="20"/>
          <w:szCs w:val="20"/>
        </w:rPr>
        <w:t xml:space="preserve"> appendix p</w:t>
      </w:r>
      <w:r w:rsidRPr="00FD7217">
        <w:rPr>
          <w:rFonts w:ascii="Times New Roman" w:hAnsi="Times New Roman" w:cs="Times New Roman"/>
          <w:sz w:val="20"/>
          <w:szCs w:val="20"/>
        </w:rPr>
        <w:t xml:space="preserve"> </w:t>
      </w:r>
      <w:r>
        <w:rPr>
          <w:rFonts w:ascii="Times New Roman" w:hAnsi="Times New Roman" w:cs="Times New Roman"/>
          <w:sz w:val="20"/>
          <w:szCs w:val="20"/>
        </w:rPr>
        <w:t>2)</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In the low-risk group, three months of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-based adjuvant therapy was marginally not non-inferior to a six-month duration (</w:t>
      </w:r>
      <w:r>
        <w:rPr>
          <w:rFonts w:ascii="Times New Roman" w:hAnsi="Times New Roman" w:cs="Times New Roman"/>
          <w:sz w:val="20"/>
          <w:szCs w:val="20"/>
        </w:rPr>
        <w:t>appendix p 3</w:t>
      </w:r>
      <w:r w:rsidRPr="00FD7217">
        <w:rPr>
          <w:rFonts w:ascii="Times New Roman" w:hAnsi="Times New Roman" w:cs="Times New Roman"/>
          <w:sz w:val="20"/>
          <w:szCs w:val="20"/>
        </w:rPr>
        <w:t xml:space="preserve">) with five-year </w:t>
      </w:r>
      <w:r w:rsidRPr="00E45FDA">
        <w:rPr>
          <w:rFonts w:ascii="Times New Roman" w:hAnsi="Times New Roman" w:cs="Times New Roman"/>
          <w:sz w:val="20"/>
          <w:szCs w:val="20"/>
        </w:rPr>
        <w:t>overall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rates of 89·6% </w:t>
      </w:r>
      <w:r>
        <w:rPr>
          <w:rFonts w:ascii="Times New Roman" w:hAnsi="Times New Roman" w:cs="Times New Roman"/>
          <w:sz w:val="20"/>
          <w:szCs w:val="20"/>
        </w:rPr>
        <w:t>(95% CI: 88</w:t>
      </w:r>
      <w:r w:rsidRPr="00FD7217">
        <w:rPr>
          <w:rFonts w:ascii="Times New Roman" w:hAnsi="Times New Roman" w:cs="Times New Roman"/>
          <w:sz w:val="20"/>
          <w:szCs w:val="20"/>
        </w:rPr>
        <w:t>·</w:t>
      </w:r>
      <w:r>
        <w:rPr>
          <w:rFonts w:ascii="Times New Roman" w:hAnsi="Times New Roman" w:cs="Times New Roman"/>
          <w:sz w:val="20"/>
          <w:szCs w:val="20"/>
        </w:rPr>
        <w:t>6% to 90</w:t>
      </w:r>
      <w:r w:rsidRPr="00FD7217">
        <w:rPr>
          <w:rFonts w:ascii="Times New Roman" w:hAnsi="Times New Roman" w:cs="Times New Roman"/>
          <w:sz w:val="20"/>
          <w:szCs w:val="20"/>
        </w:rPr>
        <w:t>·</w:t>
      </w:r>
      <w:r>
        <w:rPr>
          <w:rFonts w:ascii="Times New Roman" w:hAnsi="Times New Roman" w:cs="Times New Roman"/>
          <w:sz w:val="20"/>
          <w:szCs w:val="20"/>
        </w:rPr>
        <w:t xml:space="preserve">7%) </w:t>
      </w:r>
      <w:r w:rsidRPr="00FD7217">
        <w:rPr>
          <w:rFonts w:ascii="Times New Roman" w:hAnsi="Times New Roman" w:cs="Times New Roman"/>
          <w:sz w:val="20"/>
          <w:szCs w:val="20"/>
        </w:rPr>
        <w:t>and 88·9%</w:t>
      </w:r>
      <w:r>
        <w:rPr>
          <w:rFonts w:ascii="Times New Roman" w:hAnsi="Times New Roman" w:cs="Times New Roman"/>
          <w:sz w:val="20"/>
          <w:szCs w:val="20"/>
        </w:rPr>
        <w:t xml:space="preserve"> (95% CI: 87</w:t>
      </w:r>
      <w:r w:rsidRPr="00FD7217">
        <w:rPr>
          <w:rFonts w:ascii="Times New Roman" w:hAnsi="Times New Roman" w:cs="Times New Roman"/>
          <w:sz w:val="20"/>
          <w:szCs w:val="20"/>
        </w:rPr>
        <w:t>·</w:t>
      </w:r>
      <w:r>
        <w:rPr>
          <w:rFonts w:ascii="Times New Roman" w:hAnsi="Times New Roman" w:cs="Times New Roman"/>
          <w:sz w:val="20"/>
          <w:szCs w:val="20"/>
        </w:rPr>
        <w:t>8% to 90</w:t>
      </w:r>
      <w:r w:rsidRPr="00FD7217">
        <w:rPr>
          <w:rFonts w:ascii="Times New Roman" w:hAnsi="Times New Roman" w:cs="Times New Roman"/>
          <w:sz w:val="20"/>
          <w:szCs w:val="20"/>
        </w:rPr>
        <w:t>·</w:t>
      </w:r>
      <w:r>
        <w:rPr>
          <w:rFonts w:ascii="Times New Roman" w:hAnsi="Times New Roman" w:cs="Times New Roman"/>
          <w:sz w:val="20"/>
          <w:szCs w:val="20"/>
        </w:rPr>
        <w:t>0%)</w:t>
      </w:r>
      <w:r w:rsidRPr="00FD7217">
        <w:rPr>
          <w:rFonts w:ascii="Times New Roman" w:hAnsi="Times New Roman" w:cs="Times New Roman"/>
          <w:sz w:val="20"/>
          <w:szCs w:val="20"/>
        </w:rPr>
        <w:t>, respectively. For high-risk cancers, there was no statistically significant evidence of NI of three (versus six) months (</w:t>
      </w:r>
      <w:r>
        <w:rPr>
          <w:rFonts w:ascii="Times New Roman" w:hAnsi="Times New Roman" w:cs="Times New Roman"/>
          <w:sz w:val="20"/>
          <w:szCs w:val="20"/>
        </w:rPr>
        <w:t>appendix p 3</w:t>
      </w:r>
      <w:r w:rsidRPr="00FD7217">
        <w:rPr>
          <w:rFonts w:ascii="Times New Roman" w:hAnsi="Times New Roman" w:cs="Times New Roman"/>
          <w:sz w:val="20"/>
          <w:szCs w:val="20"/>
        </w:rPr>
        <w:t>) with five-year overall survival rates of 72·0%</w:t>
      </w:r>
      <w:r>
        <w:rPr>
          <w:rFonts w:ascii="Times New Roman" w:hAnsi="Times New Roman" w:cs="Times New Roman"/>
          <w:sz w:val="20"/>
          <w:szCs w:val="20"/>
        </w:rPr>
        <w:t xml:space="preserve"> (95% CI: 70</w:t>
      </w:r>
      <w:r w:rsidRPr="00FD7217">
        <w:rPr>
          <w:rFonts w:ascii="Times New Roman" w:hAnsi="Times New Roman" w:cs="Times New Roman"/>
          <w:sz w:val="20"/>
          <w:szCs w:val="20"/>
        </w:rPr>
        <w:t>·</w:t>
      </w:r>
      <w:r>
        <w:rPr>
          <w:rFonts w:ascii="Times New Roman" w:hAnsi="Times New Roman" w:cs="Times New Roman"/>
          <w:sz w:val="20"/>
          <w:szCs w:val="20"/>
        </w:rPr>
        <w:t>3% to 73</w:t>
      </w:r>
      <w:r w:rsidRPr="00FD7217">
        <w:rPr>
          <w:rFonts w:ascii="Times New Roman" w:hAnsi="Times New Roman" w:cs="Times New Roman"/>
          <w:sz w:val="20"/>
          <w:szCs w:val="20"/>
        </w:rPr>
        <w:t>·</w:t>
      </w:r>
      <w:r>
        <w:rPr>
          <w:rFonts w:ascii="Times New Roman" w:hAnsi="Times New Roman" w:cs="Times New Roman"/>
          <w:sz w:val="20"/>
          <w:szCs w:val="20"/>
        </w:rPr>
        <w:t>8%)</w:t>
      </w:r>
      <w:r w:rsidRPr="00FD7217">
        <w:rPr>
          <w:rFonts w:ascii="Times New Roman" w:hAnsi="Times New Roman" w:cs="Times New Roman"/>
          <w:sz w:val="20"/>
          <w:szCs w:val="20"/>
        </w:rPr>
        <w:t xml:space="preserve"> and 74·1%</w:t>
      </w:r>
      <w:r>
        <w:rPr>
          <w:rFonts w:ascii="Times New Roman" w:hAnsi="Times New Roman" w:cs="Times New Roman"/>
          <w:sz w:val="20"/>
          <w:szCs w:val="20"/>
        </w:rPr>
        <w:t xml:space="preserve"> (95% CI: 72</w:t>
      </w:r>
      <w:r w:rsidRPr="00FD7217">
        <w:rPr>
          <w:rFonts w:ascii="Times New Roman" w:hAnsi="Times New Roman" w:cs="Times New Roman"/>
          <w:sz w:val="20"/>
          <w:szCs w:val="20"/>
        </w:rPr>
        <w:t>·</w:t>
      </w:r>
      <w:r>
        <w:rPr>
          <w:rFonts w:ascii="Times New Roman" w:hAnsi="Times New Roman" w:cs="Times New Roman"/>
          <w:sz w:val="20"/>
          <w:szCs w:val="20"/>
        </w:rPr>
        <w:t>4% to 75</w:t>
      </w:r>
      <w:r w:rsidRPr="00FD7217">
        <w:rPr>
          <w:rFonts w:ascii="Times New Roman" w:hAnsi="Times New Roman" w:cs="Times New Roman"/>
          <w:sz w:val="20"/>
          <w:szCs w:val="20"/>
        </w:rPr>
        <w:t>·</w:t>
      </w:r>
      <w:r>
        <w:rPr>
          <w:rFonts w:ascii="Times New Roman" w:hAnsi="Times New Roman" w:cs="Times New Roman"/>
          <w:sz w:val="20"/>
          <w:szCs w:val="20"/>
        </w:rPr>
        <w:t>9%)</w:t>
      </w:r>
      <w:r w:rsidRPr="00FD7217">
        <w:rPr>
          <w:rFonts w:ascii="Times New Roman" w:hAnsi="Times New Roman" w:cs="Times New Roman"/>
          <w:sz w:val="20"/>
          <w:szCs w:val="20"/>
        </w:rPr>
        <w:t>, respectively. The interaction between duration and risk group was not statistically significant (</w:t>
      </w:r>
      <w:proofErr w:type="spellStart"/>
      <w:r w:rsidRPr="00FD7217">
        <w:rPr>
          <w:rFonts w:ascii="Times New Roman" w:hAnsi="Times New Roman" w:cs="Times New Roman"/>
          <w:sz w:val="20"/>
          <w:szCs w:val="20"/>
        </w:rPr>
        <w:t>p</w:t>
      </w:r>
      <w:r w:rsidRPr="00FD7217">
        <w:rPr>
          <w:rFonts w:ascii="Times New Roman" w:hAnsi="Times New Roman" w:cs="Times New Roman"/>
          <w:sz w:val="20"/>
          <w:szCs w:val="20"/>
          <w:vertAlign w:val="subscript"/>
        </w:rPr>
        <w:t>interaction</w:t>
      </w:r>
      <w:proofErr w:type="spellEnd"/>
      <w:r w:rsidRPr="00FD7217">
        <w:rPr>
          <w:rFonts w:ascii="Times New Roman" w:hAnsi="Times New Roman" w:cs="Times New Roman"/>
          <w:sz w:val="20"/>
          <w:szCs w:val="20"/>
        </w:rPr>
        <w:t>: 0·15).</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Pr>
          <w:rFonts w:ascii="Times New Roman" w:hAnsi="Times New Roman" w:cs="Times New Roman"/>
          <w:sz w:val="20"/>
          <w:szCs w:val="20"/>
        </w:rPr>
        <w:t>Lastly, we present the results of the pre-planned subgroup analyses without multiplicity adjustments. Appendix p</w:t>
      </w:r>
      <w:r w:rsidRPr="00FD7217">
        <w:rPr>
          <w:rFonts w:ascii="Times New Roman" w:hAnsi="Times New Roman" w:cs="Times New Roman"/>
          <w:sz w:val="20"/>
          <w:szCs w:val="20"/>
        </w:rPr>
        <w:t xml:space="preserve"> </w:t>
      </w:r>
      <w:r>
        <w:rPr>
          <w:rFonts w:ascii="Times New Roman" w:hAnsi="Times New Roman" w:cs="Times New Roman"/>
          <w:sz w:val="20"/>
          <w:szCs w:val="20"/>
        </w:rPr>
        <w:t xml:space="preserve">6-7 </w:t>
      </w:r>
      <w:r w:rsidRPr="00FD7217">
        <w:rPr>
          <w:rFonts w:ascii="Times New Roman" w:hAnsi="Times New Roman" w:cs="Times New Roman"/>
          <w:sz w:val="20"/>
          <w:szCs w:val="20"/>
        </w:rPr>
        <w:t>display</w:t>
      </w:r>
      <w:r>
        <w:rPr>
          <w:rFonts w:ascii="Times New Roman" w:hAnsi="Times New Roman" w:cs="Times New Roman"/>
          <w:sz w:val="20"/>
          <w:szCs w:val="20"/>
        </w:rPr>
        <w:t>s</w:t>
      </w:r>
      <w:r w:rsidRPr="00FD7217">
        <w:rPr>
          <w:rFonts w:ascii="Times New Roman" w:hAnsi="Times New Roman" w:cs="Times New Roman"/>
          <w:sz w:val="20"/>
          <w:szCs w:val="20"/>
        </w:rPr>
        <w:t xml:space="preserve"> the comparisons of outcomes between three versus six months of treatment within combination of regimens and risk groups. For patients receiving CAPOX, the numerically non-inferior disease-free survival and overall survival in three (versus six) months of therapy was observed in low-risk patients but not in high-risk patients. For patients receiving FOLFOX, the numerically inferior disease-free survival in three (versus six) months of therapy were consistently observed for both risk groups. However, for the overall survival endpoint, this numerically detrimental effect was less noticeable in the low-risk group.</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Figure 3 displays the comparisons of outcomes, between three versus six months of treatment within other pre-specified subgroups. Overall, for disease-free survival endpoint, the point estimate of HR was consistently &gt;1·0 with 95% CIs containing 1·0 for the majority of the subgroups. Furthermore, the treatment effect size comparing overall survival in patients assigned to three versus six months of therapy was consistently attenuated (i.e. HR point estimates were closer to 1·0 or became &lt;1·0) compared to disease-free survival endpoint.</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b/>
          <w:sz w:val="20"/>
          <w:szCs w:val="20"/>
        </w:rPr>
      </w:pPr>
      <w:r>
        <w:rPr>
          <w:rFonts w:ascii="Times New Roman" w:hAnsi="Times New Roman" w:cs="Times New Roman"/>
          <w:sz w:val="20"/>
          <w:szCs w:val="20"/>
        </w:rPr>
        <w:t>Appendix p</w:t>
      </w:r>
      <w:r w:rsidRPr="00FD7217">
        <w:rPr>
          <w:rFonts w:ascii="Times New Roman" w:hAnsi="Times New Roman" w:cs="Times New Roman"/>
          <w:sz w:val="20"/>
          <w:szCs w:val="20"/>
        </w:rPr>
        <w:t xml:space="preserve"> </w:t>
      </w:r>
      <w:r>
        <w:rPr>
          <w:rFonts w:ascii="Times New Roman" w:hAnsi="Times New Roman" w:cs="Times New Roman"/>
          <w:sz w:val="20"/>
          <w:szCs w:val="20"/>
        </w:rPr>
        <w:t>8</w:t>
      </w:r>
      <w:r w:rsidRPr="00FD7217">
        <w:rPr>
          <w:rFonts w:ascii="Times New Roman" w:hAnsi="Times New Roman" w:cs="Times New Roman"/>
          <w:sz w:val="20"/>
          <w:szCs w:val="20"/>
        </w:rPr>
        <w:t xml:space="preserve"> displays survival curves of the low- and high-risk group regardless of regimen or duration for disease-free and overall survival. Comparing low- and high-risk patients, the disease-free rate was 83·5% </w:t>
      </w:r>
      <w:r>
        <w:rPr>
          <w:rFonts w:ascii="Times New Roman" w:hAnsi="Times New Roman" w:cs="Times New Roman"/>
          <w:sz w:val="20"/>
          <w:szCs w:val="20"/>
        </w:rPr>
        <w:t>(95% CI: 82</w:t>
      </w:r>
      <w:r w:rsidRPr="00FD7217">
        <w:rPr>
          <w:rFonts w:ascii="Times New Roman" w:hAnsi="Times New Roman" w:cs="Times New Roman"/>
          <w:sz w:val="20"/>
          <w:szCs w:val="20"/>
        </w:rPr>
        <w:t>·</w:t>
      </w:r>
      <w:r>
        <w:rPr>
          <w:rFonts w:ascii="Times New Roman" w:hAnsi="Times New Roman" w:cs="Times New Roman"/>
          <w:sz w:val="20"/>
          <w:szCs w:val="20"/>
        </w:rPr>
        <w:t>6% to 84</w:t>
      </w:r>
      <w:r w:rsidRPr="00FD7217">
        <w:rPr>
          <w:rFonts w:ascii="Times New Roman" w:hAnsi="Times New Roman" w:cs="Times New Roman"/>
          <w:sz w:val="20"/>
          <w:szCs w:val="20"/>
        </w:rPr>
        <w:t>·</w:t>
      </w:r>
      <w:r>
        <w:rPr>
          <w:rFonts w:ascii="Times New Roman" w:hAnsi="Times New Roman" w:cs="Times New Roman"/>
          <w:sz w:val="20"/>
          <w:szCs w:val="20"/>
        </w:rPr>
        <w:t xml:space="preserve">4%) </w:t>
      </w:r>
      <w:r w:rsidRPr="00FD7217">
        <w:rPr>
          <w:rFonts w:ascii="Times New Roman" w:hAnsi="Times New Roman" w:cs="Times New Roman"/>
          <w:sz w:val="20"/>
          <w:szCs w:val="20"/>
        </w:rPr>
        <w:t xml:space="preserve">versus 64·0% </w:t>
      </w:r>
      <w:r>
        <w:rPr>
          <w:rFonts w:ascii="Times New Roman" w:hAnsi="Times New Roman" w:cs="Times New Roman"/>
          <w:sz w:val="20"/>
          <w:szCs w:val="20"/>
        </w:rPr>
        <w:t>(95% CI: 62</w:t>
      </w:r>
      <w:r w:rsidRPr="00FD7217">
        <w:rPr>
          <w:rFonts w:ascii="Times New Roman" w:hAnsi="Times New Roman" w:cs="Times New Roman"/>
          <w:sz w:val="20"/>
          <w:szCs w:val="20"/>
        </w:rPr>
        <w:t>·</w:t>
      </w:r>
      <w:r>
        <w:rPr>
          <w:rFonts w:ascii="Times New Roman" w:hAnsi="Times New Roman" w:cs="Times New Roman"/>
          <w:sz w:val="20"/>
          <w:szCs w:val="20"/>
        </w:rPr>
        <w:t>7% to 65</w:t>
      </w:r>
      <w:r w:rsidRPr="00FD7217">
        <w:rPr>
          <w:rFonts w:ascii="Times New Roman" w:hAnsi="Times New Roman" w:cs="Times New Roman"/>
          <w:sz w:val="20"/>
          <w:szCs w:val="20"/>
        </w:rPr>
        <w:t>·</w:t>
      </w:r>
      <w:r>
        <w:rPr>
          <w:rFonts w:ascii="Times New Roman" w:hAnsi="Times New Roman" w:cs="Times New Roman"/>
          <w:sz w:val="20"/>
          <w:szCs w:val="20"/>
        </w:rPr>
        <w:t xml:space="preserve">3%) </w:t>
      </w:r>
      <w:r w:rsidRPr="00FD7217">
        <w:rPr>
          <w:rFonts w:ascii="Times New Roman" w:hAnsi="Times New Roman" w:cs="Times New Roman"/>
          <w:sz w:val="20"/>
          <w:szCs w:val="20"/>
        </w:rPr>
        <w:t xml:space="preserve">and 78·5% </w:t>
      </w:r>
      <w:r>
        <w:rPr>
          <w:rFonts w:ascii="Times New Roman" w:hAnsi="Times New Roman" w:cs="Times New Roman"/>
          <w:sz w:val="20"/>
          <w:szCs w:val="20"/>
        </w:rPr>
        <w:t>(95% CI: 77</w:t>
      </w:r>
      <w:r w:rsidRPr="00FD7217">
        <w:rPr>
          <w:rFonts w:ascii="Times New Roman" w:hAnsi="Times New Roman" w:cs="Times New Roman"/>
          <w:sz w:val="20"/>
          <w:szCs w:val="20"/>
        </w:rPr>
        <w:t>·</w:t>
      </w:r>
      <w:r>
        <w:rPr>
          <w:rFonts w:ascii="Times New Roman" w:hAnsi="Times New Roman" w:cs="Times New Roman"/>
          <w:sz w:val="20"/>
          <w:szCs w:val="20"/>
        </w:rPr>
        <w:t>5% to 79</w:t>
      </w:r>
      <w:r w:rsidRPr="00FD7217">
        <w:rPr>
          <w:rFonts w:ascii="Times New Roman" w:hAnsi="Times New Roman" w:cs="Times New Roman"/>
          <w:sz w:val="20"/>
          <w:szCs w:val="20"/>
        </w:rPr>
        <w:t>·</w:t>
      </w:r>
      <w:r>
        <w:rPr>
          <w:rFonts w:ascii="Times New Roman" w:hAnsi="Times New Roman" w:cs="Times New Roman"/>
          <w:sz w:val="20"/>
          <w:szCs w:val="20"/>
        </w:rPr>
        <w:t xml:space="preserve">5%) </w:t>
      </w:r>
      <w:r w:rsidRPr="00FD7217">
        <w:rPr>
          <w:rFonts w:ascii="Times New Roman" w:hAnsi="Times New Roman" w:cs="Times New Roman"/>
          <w:sz w:val="20"/>
          <w:szCs w:val="20"/>
        </w:rPr>
        <w:t xml:space="preserve">versus 57·7% </w:t>
      </w:r>
      <w:r>
        <w:rPr>
          <w:rFonts w:ascii="Times New Roman" w:hAnsi="Times New Roman" w:cs="Times New Roman"/>
          <w:sz w:val="20"/>
          <w:szCs w:val="20"/>
        </w:rPr>
        <w:t>(95% CI: 56</w:t>
      </w:r>
      <w:r w:rsidRPr="00FD7217">
        <w:rPr>
          <w:rFonts w:ascii="Times New Roman" w:hAnsi="Times New Roman" w:cs="Times New Roman"/>
          <w:sz w:val="20"/>
          <w:szCs w:val="20"/>
        </w:rPr>
        <w:t>·</w:t>
      </w:r>
      <w:r>
        <w:rPr>
          <w:rFonts w:ascii="Times New Roman" w:hAnsi="Times New Roman" w:cs="Times New Roman"/>
          <w:sz w:val="20"/>
          <w:szCs w:val="20"/>
        </w:rPr>
        <w:t>3% to 59</w:t>
      </w:r>
      <w:r w:rsidRPr="00FD7217">
        <w:rPr>
          <w:rFonts w:ascii="Times New Roman" w:hAnsi="Times New Roman" w:cs="Times New Roman"/>
          <w:sz w:val="20"/>
          <w:szCs w:val="20"/>
        </w:rPr>
        <w:t>·</w:t>
      </w:r>
      <w:r>
        <w:rPr>
          <w:rFonts w:ascii="Times New Roman" w:hAnsi="Times New Roman" w:cs="Times New Roman"/>
          <w:sz w:val="20"/>
          <w:szCs w:val="20"/>
        </w:rPr>
        <w:t xml:space="preserve">2%) </w:t>
      </w:r>
      <w:r w:rsidRPr="00FD7217">
        <w:rPr>
          <w:rFonts w:ascii="Times New Roman" w:hAnsi="Times New Roman" w:cs="Times New Roman"/>
          <w:sz w:val="20"/>
          <w:szCs w:val="20"/>
        </w:rPr>
        <w:t>at three and five years, respectively. The five-year overall survival rate was 89·3% and 73·1% in low- and high-risk group, respectively.</w:t>
      </w:r>
    </w:p>
    <w:p w:rsidR="00C66E5B" w:rsidRPr="00FD7217" w:rsidRDefault="00C66E5B" w:rsidP="00FD7217">
      <w:pPr>
        <w:rPr>
          <w:rFonts w:ascii="Times New Roman" w:hAnsi="Times New Roman" w:cs="Times New Roman"/>
          <w:b/>
          <w:sz w:val="20"/>
          <w:szCs w:val="20"/>
        </w:rPr>
      </w:pPr>
    </w:p>
    <w:p w:rsidR="00C66E5B" w:rsidRPr="00FD7217" w:rsidRDefault="00C66E5B" w:rsidP="00FD7217">
      <w:pPr>
        <w:rPr>
          <w:rFonts w:ascii="Times New Roman" w:hAnsi="Times New Roman" w:cs="Times New Roman"/>
        </w:rPr>
      </w:pPr>
      <w:r w:rsidRPr="00FD7217">
        <w:rPr>
          <w:rFonts w:ascii="Times New Roman" w:hAnsi="Times New Roman" w:cs="Times New Roman"/>
        </w:rPr>
        <w:t>Discussion</w:t>
      </w:r>
    </w:p>
    <w:p w:rsidR="00C66E5B" w:rsidRPr="00FD7217" w:rsidRDefault="00C66E5B" w:rsidP="00FD7217">
      <w:pPr>
        <w:rPr>
          <w:rFonts w:ascii="Times New Roman" w:hAnsi="Times New Roman" w:cs="Times New Roman"/>
        </w:rPr>
      </w:pPr>
    </w:p>
    <w:p w:rsidR="00C66E5B" w:rsidRDefault="00C66E5B" w:rsidP="00FD7217">
      <w:pPr>
        <w:rPr>
          <w:rFonts w:ascii="Times New Roman" w:hAnsi="Times New Roman" w:cs="Times New Roman"/>
          <w:sz w:val="20"/>
          <w:szCs w:val="20"/>
        </w:rPr>
      </w:pPr>
      <w:r w:rsidRPr="00FD7217">
        <w:rPr>
          <w:rFonts w:ascii="Times New Roman" w:hAnsi="Times New Roman" w:cs="Times New Roman"/>
          <w:sz w:val="20"/>
          <w:szCs w:val="20"/>
        </w:rPr>
        <w:lastRenderedPageBreak/>
        <w:t xml:space="preserve">Although </w:t>
      </w:r>
      <w:r w:rsidRPr="00FD7217">
        <w:rPr>
          <w:rFonts w:ascii="Times New Roman" w:eastAsia="OTNEJMQuadraat" w:hAnsi="Times New Roman" w:cs="Times New Roman"/>
          <w:sz w:val="20"/>
          <w:szCs w:val="20"/>
        </w:rPr>
        <w:t>the IDEA collaboration</w:t>
      </w:r>
      <w:r w:rsidRPr="00FD7217">
        <w:rPr>
          <w:rFonts w:ascii="Times New Roman" w:hAnsi="Times New Roman" w:cs="Times New Roman"/>
          <w:sz w:val="20"/>
          <w:szCs w:val="20"/>
        </w:rPr>
        <w:t xml:space="preserve"> for stage III colon cancer did not meet prior statistical assumptions for NI in the overall population, the 0·4% difference in five-year overall survival has to be placed into clinical context, especially in light of the striking difference observed by regimen. Although no randomization between CAPOX and FOLFOX occurred, the outcomes analysis by regimen was a critical, pre-planned subgroup analysis since the launch of the IDEA collaboration. With further actualization of the primary endpoint of disease-free survival at five years, the statistical interaction effect between regimen and duration remains strong (</w:t>
      </w:r>
      <w:proofErr w:type="spellStart"/>
      <w:r w:rsidRPr="00FD7217">
        <w:rPr>
          <w:rFonts w:ascii="Times New Roman" w:hAnsi="Times New Roman" w:cs="Times New Roman"/>
          <w:sz w:val="20"/>
          <w:szCs w:val="20"/>
        </w:rPr>
        <w:t>p</w:t>
      </w:r>
      <w:r w:rsidRPr="00FD7217">
        <w:rPr>
          <w:rFonts w:ascii="Times New Roman" w:hAnsi="Times New Roman" w:cs="Times New Roman"/>
          <w:sz w:val="20"/>
          <w:szCs w:val="20"/>
          <w:vertAlign w:val="subscript"/>
        </w:rPr>
        <w:t>interaction</w:t>
      </w:r>
      <w:proofErr w:type="spellEnd"/>
      <w:r w:rsidRPr="00FD7217">
        <w:rPr>
          <w:rFonts w:ascii="Times New Roman" w:hAnsi="Times New Roman" w:cs="Times New Roman"/>
          <w:sz w:val="20"/>
          <w:szCs w:val="20"/>
        </w:rPr>
        <w:t xml:space="preserve">: 0·01). Consistently across analyses for three- and five-year disease-free survival, six months of FOLFOX shows significant better disease-free survival than three months of FOLFOX. In contrast, three months of CAPOX shows numerical better disease-free survival than six months of CAPOX, with marginally missing formal statistical significance for NI. Very similar data were seen for CAPOX regarding overall survival with numerically better results for three months (HR, 0·96; 95% CI, 0·85 to 1·08) versus six months but not for FOLFOX (HR, 1·07; 95% CI, 0·97 to 1·18). Therefore, any interpretation of the </w:t>
      </w:r>
      <w:r>
        <w:rPr>
          <w:rFonts w:ascii="Times New Roman" w:hAnsi="Times New Roman" w:cs="Times New Roman"/>
          <w:sz w:val="20"/>
          <w:szCs w:val="20"/>
        </w:rPr>
        <w:t xml:space="preserve">global </w:t>
      </w:r>
      <w:r w:rsidRPr="00FD7217">
        <w:rPr>
          <w:rFonts w:ascii="Times New Roman" w:hAnsi="Times New Roman" w:cs="Times New Roman"/>
          <w:sz w:val="20"/>
          <w:szCs w:val="20"/>
        </w:rPr>
        <w:t>IDEA results has to take the regimen effect into account.</w:t>
      </w:r>
    </w:p>
    <w:p w:rsidR="00C66E5B" w:rsidRPr="00900137" w:rsidRDefault="00C66E5B" w:rsidP="00FD7217">
      <w:pPr>
        <w:rPr>
          <w:rFonts w:ascii="Times New Roman" w:hAnsi="Times New Roman" w:cs="Times New Roman"/>
          <w:sz w:val="20"/>
          <w:szCs w:val="20"/>
        </w:rPr>
      </w:pPr>
    </w:p>
    <w:p w:rsidR="00C66E5B" w:rsidRPr="00FD7217" w:rsidRDefault="00C66E5B" w:rsidP="00F7205D">
      <w:pPr>
        <w:jc w:val="both"/>
        <w:rPr>
          <w:rFonts w:ascii="Times New Roman" w:hAnsi="Times New Roman" w:cs="Times New Roman"/>
          <w:sz w:val="20"/>
          <w:szCs w:val="20"/>
        </w:rPr>
      </w:pPr>
      <w:r>
        <w:rPr>
          <w:rFonts w:ascii="Times New Roman" w:hAnsi="Times New Roman" w:cs="Times New Roman"/>
          <w:sz w:val="20"/>
          <w:szCs w:val="20"/>
        </w:rPr>
        <w:t>As expected, s</w:t>
      </w:r>
      <w:r w:rsidRPr="00FD448C">
        <w:rPr>
          <w:rFonts w:ascii="Times New Roman" w:hAnsi="Times New Roman" w:cs="Times New Roman"/>
          <w:sz w:val="20"/>
          <w:szCs w:val="20"/>
        </w:rPr>
        <w:t>horter duration of adjuvant therapy was associated with significant reductions in adverse events, independent of the chemotherapy regimen.</w:t>
      </w:r>
      <w:r w:rsidRPr="00F75824">
        <w:rPr>
          <w:rFonts w:ascii="Times New Roman" w:hAnsi="Times New Roman" w:cs="Times New Roman"/>
          <w:noProof/>
          <w:sz w:val="20"/>
          <w:szCs w:val="20"/>
          <w:vertAlign w:val="superscript"/>
        </w:rPr>
        <w:t>7</w:t>
      </w:r>
      <w:r w:rsidRPr="00FD448C">
        <w:rPr>
          <w:rFonts w:ascii="Times New Roman" w:hAnsi="Times New Roman" w:cs="Times New Roman"/>
          <w:sz w:val="20"/>
          <w:szCs w:val="20"/>
        </w:rPr>
        <w:t xml:space="preserve"> Most importantly, Grade 2 and higher neurotoxicity was </w:t>
      </w:r>
      <w:r>
        <w:rPr>
          <w:rFonts w:ascii="Times New Roman" w:hAnsi="Times New Roman" w:cs="Times New Roman"/>
          <w:sz w:val="20"/>
          <w:szCs w:val="20"/>
        </w:rPr>
        <w:t>markedly</w:t>
      </w:r>
      <w:r w:rsidRPr="00FD448C">
        <w:rPr>
          <w:rFonts w:ascii="Times New Roman" w:hAnsi="Times New Roman" w:cs="Times New Roman"/>
          <w:sz w:val="20"/>
          <w:szCs w:val="20"/>
        </w:rPr>
        <w:t xml:space="preserve"> lower in the 3 months arm (FOLFOX </w:t>
      </w:r>
      <w:r>
        <w:rPr>
          <w:rFonts w:ascii="Times New Roman" w:hAnsi="Times New Roman" w:cs="Times New Roman"/>
          <w:sz w:val="20"/>
          <w:szCs w:val="20"/>
        </w:rPr>
        <w:t>552 [</w:t>
      </w:r>
      <w:r w:rsidRPr="00FD448C">
        <w:rPr>
          <w:rFonts w:ascii="Times New Roman" w:hAnsi="Times New Roman" w:cs="Times New Roman"/>
          <w:sz w:val="20"/>
          <w:szCs w:val="20"/>
        </w:rPr>
        <w:t>16.</w:t>
      </w:r>
      <w:r>
        <w:rPr>
          <w:rFonts w:ascii="Times New Roman" w:hAnsi="Times New Roman" w:cs="Times New Roman"/>
          <w:sz w:val="20"/>
          <w:szCs w:val="20"/>
        </w:rPr>
        <w:t>8</w:t>
      </w:r>
      <w:r w:rsidRPr="00FD448C">
        <w:rPr>
          <w:rFonts w:ascii="Times New Roman" w:hAnsi="Times New Roman" w:cs="Times New Roman"/>
          <w:sz w:val="20"/>
          <w:szCs w:val="20"/>
        </w:rPr>
        <w:t>%</w:t>
      </w:r>
      <w:r>
        <w:rPr>
          <w:rFonts w:ascii="Times New Roman" w:hAnsi="Times New Roman" w:cs="Times New Roman"/>
          <w:sz w:val="20"/>
          <w:szCs w:val="20"/>
        </w:rPr>
        <w:t>] of 3,289 patients</w:t>
      </w:r>
      <w:r w:rsidRPr="00FD448C">
        <w:rPr>
          <w:rFonts w:ascii="Times New Roman" w:hAnsi="Times New Roman" w:cs="Times New Roman"/>
          <w:sz w:val="20"/>
          <w:szCs w:val="20"/>
        </w:rPr>
        <w:t xml:space="preserve">, CAPOX </w:t>
      </w:r>
      <w:r>
        <w:rPr>
          <w:rFonts w:ascii="Times New Roman" w:hAnsi="Times New Roman" w:cs="Times New Roman"/>
          <w:sz w:val="20"/>
          <w:szCs w:val="20"/>
        </w:rPr>
        <w:t>200 [</w:t>
      </w:r>
      <w:r w:rsidRPr="00FD448C">
        <w:rPr>
          <w:rFonts w:ascii="Times New Roman" w:hAnsi="Times New Roman" w:cs="Times New Roman"/>
          <w:sz w:val="20"/>
          <w:szCs w:val="20"/>
        </w:rPr>
        <w:t>14.2%</w:t>
      </w:r>
      <w:r>
        <w:rPr>
          <w:rFonts w:ascii="Times New Roman" w:hAnsi="Times New Roman" w:cs="Times New Roman"/>
          <w:sz w:val="20"/>
          <w:szCs w:val="20"/>
        </w:rPr>
        <w:t>] of 1,407 patients</w:t>
      </w:r>
      <w:r w:rsidRPr="00FD448C">
        <w:rPr>
          <w:rFonts w:ascii="Times New Roman" w:hAnsi="Times New Roman" w:cs="Times New Roman"/>
          <w:sz w:val="20"/>
          <w:szCs w:val="20"/>
        </w:rPr>
        <w:t xml:space="preserve">) compared with 6 months (FOLFOX </w:t>
      </w:r>
      <w:r>
        <w:rPr>
          <w:rFonts w:ascii="Times New Roman" w:hAnsi="Times New Roman" w:cs="Times New Roman"/>
          <w:sz w:val="20"/>
          <w:szCs w:val="20"/>
        </w:rPr>
        <w:t>1,440 [</w:t>
      </w:r>
      <w:r w:rsidRPr="00FD448C">
        <w:rPr>
          <w:rFonts w:ascii="Times New Roman" w:hAnsi="Times New Roman" w:cs="Times New Roman"/>
          <w:sz w:val="20"/>
          <w:szCs w:val="20"/>
        </w:rPr>
        <w:t>4</w:t>
      </w:r>
      <w:r>
        <w:rPr>
          <w:rFonts w:ascii="Times New Roman" w:hAnsi="Times New Roman" w:cs="Times New Roman"/>
          <w:sz w:val="20"/>
          <w:szCs w:val="20"/>
        </w:rPr>
        <w:t>4.3</w:t>
      </w:r>
      <w:r w:rsidRPr="00FD448C">
        <w:rPr>
          <w:rFonts w:ascii="Times New Roman" w:hAnsi="Times New Roman" w:cs="Times New Roman"/>
          <w:sz w:val="20"/>
          <w:szCs w:val="20"/>
        </w:rPr>
        <w:t>%</w:t>
      </w:r>
      <w:r>
        <w:rPr>
          <w:rFonts w:ascii="Times New Roman" w:hAnsi="Times New Roman" w:cs="Times New Roman"/>
          <w:sz w:val="20"/>
          <w:szCs w:val="20"/>
        </w:rPr>
        <w:t>] of 3,252 patients</w:t>
      </w:r>
      <w:r w:rsidRPr="00FD448C">
        <w:rPr>
          <w:rFonts w:ascii="Times New Roman" w:hAnsi="Times New Roman" w:cs="Times New Roman"/>
          <w:sz w:val="20"/>
          <w:szCs w:val="20"/>
        </w:rPr>
        <w:t xml:space="preserve">, CAPOX </w:t>
      </w:r>
      <w:r>
        <w:rPr>
          <w:rFonts w:ascii="Times New Roman" w:hAnsi="Times New Roman" w:cs="Times New Roman"/>
          <w:sz w:val="20"/>
          <w:szCs w:val="20"/>
        </w:rPr>
        <w:t>623 [</w:t>
      </w:r>
      <w:r w:rsidRPr="00FD448C">
        <w:rPr>
          <w:rFonts w:ascii="Times New Roman" w:hAnsi="Times New Roman" w:cs="Times New Roman"/>
          <w:sz w:val="20"/>
          <w:szCs w:val="20"/>
        </w:rPr>
        <w:t>4</w:t>
      </w:r>
      <w:r>
        <w:rPr>
          <w:rFonts w:ascii="Times New Roman" w:hAnsi="Times New Roman" w:cs="Times New Roman"/>
          <w:sz w:val="20"/>
          <w:szCs w:val="20"/>
        </w:rPr>
        <w:t>5.0</w:t>
      </w:r>
      <w:r w:rsidRPr="00FD448C">
        <w:rPr>
          <w:rFonts w:ascii="Times New Roman" w:hAnsi="Times New Roman" w:cs="Times New Roman"/>
          <w:sz w:val="20"/>
          <w:szCs w:val="20"/>
        </w:rPr>
        <w:t>%</w:t>
      </w:r>
      <w:r>
        <w:rPr>
          <w:rFonts w:ascii="Times New Roman" w:hAnsi="Times New Roman" w:cs="Times New Roman"/>
          <w:sz w:val="20"/>
          <w:szCs w:val="20"/>
        </w:rPr>
        <w:t>] of 1,385</w:t>
      </w:r>
      <w:r w:rsidRPr="00FD448C">
        <w:rPr>
          <w:rFonts w:ascii="Times New Roman" w:hAnsi="Times New Roman" w:cs="Times New Roman"/>
          <w:sz w:val="20"/>
          <w:szCs w:val="20"/>
        </w:rPr>
        <w:t>). Additionally, diarrhea, neutropenia, thrombocytopenia, nausea, mucositis, fatigue, and hand-foot syndrome were also significantly reduced with shorter treatment duration</w:t>
      </w:r>
      <w:r w:rsidRPr="00D92955">
        <w:rPr>
          <w:rFonts w:ascii="Times New Roman" w:hAnsi="Times New Roman" w:cs="Times New Roman"/>
          <w:sz w:val="20"/>
          <w:szCs w:val="20"/>
        </w:rPr>
        <w:t>.</w:t>
      </w:r>
      <w:r w:rsidRPr="00F75824">
        <w:rPr>
          <w:rFonts w:ascii="Times New Roman" w:hAnsi="Times New Roman" w:cs="Times New Roman"/>
          <w:noProof/>
          <w:sz w:val="20"/>
          <w:szCs w:val="20"/>
          <w:vertAlign w:val="superscript"/>
        </w:rPr>
        <w:t>7</w:t>
      </w:r>
      <w:r>
        <w:rPr>
          <w:rFonts w:ascii="Times New Roman" w:hAnsi="Times New Roman" w:cs="Times New Roman"/>
          <w:sz w:val="20"/>
          <w:szCs w:val="20"/>
        </w:rPr>
        <w:t xml:space="preserve"> </w:t>
      </w:r>
      <w:proofErr w:type="gramStart"/>
      <w:r w:rsidRPr="003C45F7">
        <w:rPr>
          <w:rFonts w:ascii="Times New Roman" w:hAnsi="Times New Roman" w:cs="Times New Roman"/>
          <w:sz w:val="20"/>
          <w:szCs w:val="20"/>
        </w:rPr>
        <w:t>Shorter</w:t>
      </w:r>
      <w:proofErr w:type="gramEnd"/>
      <w:r w:rsidRPr="003C45F7">
        <w:rPr>
          <w:rFonts w:ascii="Times New Roman" w:hAnsi="Times New Roman" w:cs="Times New Roman"/>
          <w:sz w:val="20"/>
          <w:szCs w:val="20"/>
        </w:rPr>
        <w:t xml:space="preserve"> duration in this population of patients with an average age of 65 years old (up to 88 years old) avoid multiple clinic visits and the associated </w:t>
      </w:r>
      <w:r>
        <w:rPr>
          <w:rFonts w:ascii="Times New Roman" w:hAnsi="Times New Roman" w:cs="Times New Roman"/>
          <w:sz w:val="20"/>
          <w:szCs w:val="20"/>
        </w:rPr>
        <w:t>burden</w:t>
      </w:r>
      <w:r w:rsidRPr="003C45F7">
        <w:rPr>
          <w:rFonts w:ascii="Times New Roman" w:hAnsi="Times New Roman" w:cs="Times New Roman"/>
          <w:sz w:val="20"/>
          <w:szCs w:val="20"/>
        </w:rPr>
        <w:t>.</w:t>
      </w:r>
    </w:p>
    <w:p w:rsidR="00C66E5B" w:rsidRPr="00FD7217" w:rsidRDefault="00C66E5B" w:rsidP="00FD7217">
      <w:pPr>
        <w:rPr>
          <w:rFonts w:ascii="Times New Roman" w:hAnsi="Times New Roman" w:cs="Times New Roman"/>
          <w:sz w:val="20"/>
          <w:szCs w:val="20"/>
        </w:rPr>
      </w:pPr>
    </w:p>
    <w:p w:rsidR="00C66E5B" w:rsidRDefault="00C66E5B" w:rsidP="00033088">
      <w:pPr>
        <w:rPr>
          <w:rFonts w:ascii="Times New Roman" w:hAnsi="Times New Roman" w:cs="Times New Roman"/>
          <w:sz w:val="20"/>
          <w:szCs w:val="20"/>
        </w:rPr>
      </w:pPr>
      <w:r w:rsidRPr="00FD7217">
        <w:rPr>
          <w:rFonts w:ascii="Times New Roman" w:hAnsi="Times New Roman" w:cs="Times New Roman"/>
          <w:sz w:val="20"/>
          <w:szCs w:val="20"/>
        </w:rPr>
        <w:t>The statistical design of this large-scale prospective pooled analysis was with high standards. The methodology of our trial is much stronger compared with evidence emerging from adjuvant studies conducted in the 1990s, showing that a duration of adjuvant 5-FU and FA of 6 months is as effective as 12 months.</w:t>
      </w:r>
      <w:r w:rsidRPr="005C16CA">
        <w:rPr>
          <w:rFonts w:ascii="Times New Roman" w:hAnsi="Times New Roman" w:cs="Times New Roman"/>
          <w:noProof/>
          <w:sz w:val="20"/>
          <w:szCs w:val="20"/>
          <w:vertAlign w:val="superscript"/>
        </w:rPr>
        <w:t>2,20</w:t>
      </w:r>
      <w:r w:rsidRPr="00FD7217">
        <w:rPr>
          <w:rFonts w:ascii="Times New Roman" w:hAnsi="Times New Roman" w:cs="Times New Roman"/>
          <w:sz w:val="20"/>
          <w:szCs w:val="20"/>
        </w:rPr>
        <w:t xml:space="preserve"> The NI margins, the most critical design parameter for statistical hypothesis testing on both disease-free and overall survival endpoints, were determined based on rigorous statistical reasoning and clinical consensus among worldwide experts. </w:t>
      </w:r>
      <w:r>
        <w:rPr>
          <w:rFonts w:ascii="Times New Roman" w:hAnsi="Times New Roman" w:cs="Times New Roman"/>
          <w:sz w:val="20"/>
          <w:szCs w:val="20"/>
        </w:rPr>
        <w:t>R</w:t>
      </w:r>
      <w:r w:rsidRPr="00FD7217">
        <w:rPr>
          <w:rFonts w:ascii="Times New Roman" w:hAnsi="Times New Roman" w:cs="Times New Roman"/>
          <w:sz w:val="20"/>
          <w:szCs w:val="20"/>
        </w:rPr>
        <w:t>egarding the defined overall survival NI margin, our study acknowledged that due to the impact of subsequent treatment after recurrence</w:t>
      </w:r>
      <w:r>
        <w:rPr>
          <w:rFonts w:ascii="Times New Roman" w:hAnsi="Times New Roman" w:cs="Times New Roman"/>
          <w:sz w:val="20"/>
          <w:szCs w:val="20"/>
        </w:rPr>
        <w:t xml:space="preserve"> (overall survival in this study for the whole population is 82.6% v</w:t>
      </w:r>
      <w:r w:rsidRPr="00F74A9A">
        <w:rPr>
          <w:rFonts w:ascii="Times New Roman" w:hAnsi="Times New Roman" w:cs="Times New Roman"/>
          <w:sz w:val="20"/>
          <w:szCs w:val="20"/>
        </w:rPr>
        <w:t>ersus</w:t>
      </w:r>
      <w:r>
        <w:rPr>
          <w:rFonts w:ascii="Times New Roman" w:hAnsi="Times New Roman" w:cs="Times New Roman"/>
          <w:sz w:val="20"/>
          <w:szCs w:val="20"/>
        </w:rPr>
        <w:t xml:space="preserve"> 76% in our hypothesis)</w:t>
      </w:r>
      <w:r w:rsidRPr="00FD7217">
        <w:rPr>
          <w:rFonts w:ascii="Times New Roman" w:hAnsi="Times New Roman" w:cs="Times New Roman"/>
          <w:sz w:val="20"/>
          <w:szCs w:val="20"/>
        </w:rPr>
        <w:t xml:space="preserve">, the difference in overall survival between three and six months will be smaller compared with our prior assumptions for disease-free survival. The improved overall survival compared to the results achieved in MOSAIC (five-year overall survival rate of 76%) is important for the interpretation of IDEA since the MOSAIC results provided the statistical framework for our study. This may have contributed to the </w:t>
      </w:r>
      <w:r>
        <w:rPr>
          <w:rFonts w:ascii="Times New Roman" w:hAnsi="Times New Roman" w:cs="Times New Roman"/>
          <w:sz w:val="20"/>
          <w:szCs w:val="20"/>
        </w:rPr>
        <w:t xml:space="preserve">loss of power </w:t>
      </w:r>
      <w:r w:rsidRPr="00FD7217">
        <w:rPr>
          <w:rFonts w:ascii="Times New Roman" w:hAnsi="Times New Roman" w:cs="Times New Roman"/>
          <w:sz w:val="20"/>
          <w:szCs w:val="20"/>
        </w:rPr>
        <w:t xml:space="preserve">in IDEA </w:t>
      </w:r>
      <w:r>
        <w:rPr>
          <w:rFonts w:ascii="Times New Roman" w:hAnsi="Times New Roman" w:cs="Times New Roman"/>
          <w:sz w:val="20"/>
          <w:szCs w:val="20"/>
        </w:rPr>
        <w:t xml:space="preserve">for </w:t>
      </w:r>
      <w:r w:rsidRPr="00FD7217">
        <w:rPr>
          <w:rFonts w:ascii="Times New Roman" w:hAnsi="Times New Roman" w:cs="Times New Roman"/>
          <w:sz w:val="20"/>
          <w:szCs w:val="20"/>
        </w:rPr>
        <w:t xml:space="preserve">non-inferiority </w:t>
      </w:r>
      <w:r>
        <w:rPr>
          <w:rFonts w:ascii="Times New Roman" w:hAnsi="Times New Roman" w:cs="Times New Roman"/>
          <w:sz w:val="20"/>
          <w:szCs w:val="20"/>
        </w:rPr>
        <w:t>testing</w:t>
      </w:r>
      <w:r w:rsidRPr="00FD7217">
        <w:rPr>
          <w:rFonts w:ascii="Times New Roman" w:hAnsi="Times New Roman" w:cs="Times New Roman"/>
          <w:sz w:val="20"/>
          <w:szCs w:val="20"/>
        </w:rPr>
        <w:t>.</w:t>
      </w:r>
      <w:r>
        <w:rPr>
          <w:rFonts w:ascii="Times New Roman" w:hAnsi="Times New Roman" w:cs="Times New Roman"/>
          <w:sz w:val="20"/>
          <w:szCs w:val="20"/>
        </w:rPr>
        <w:t xml:space="preserve"> We </w:t>
      </w:r>
      <w:r w:rsidRPr="00FD7217">
        <w:rPr>
          <w:rFonts w:ascii="Times New Roman" w:hAnsi="Times New Roman" w:cs="Times New Roman"/>
          <w:sz w:val="20"/>
          <w:szCs w:val="20"/>
        </w:rPr>
        <w:t xml:space="preserve">chose </w:t>
      </w:r>
      <w:r>
        <w:rPr>
          <w:rFonts w:ascii="Times New Roman" w:hAnsi="Times New Roman" w:cs="Times New Roman"/>
          <w:sz w:val="20"/>
          <w:szCs w:val="20"/>
        </w:rPr>
        <w:t xml:space="preserve">the </w:t>
      </w:r>
      <w:r w:rsidRPr="00FD7217">
        <w:rPr>
          <w:rFonts w:ascii="Times New Roman" w:hAnsi="Times New Roman" w:cs="Times New Roman"/>
          <w:sz w:val="20"/>
          <w:szCs w:val="20"/>
        </w:rPr>
        <w:t>overall survival NI margin,</w:t>
      </w:r>
      <w:r>
        <w:rPr>
          <w:rFonts w:ascii="Times New Roman" w:hAnsi="Times New Roman" w:cs="Times New Roman"/>
          <w:sz w:val="20"/>
          <w:szCs w:val="20"/>
        </w:rPr>
        <w:t xml:space="preserve"> </w:t>
      </w:r>
      <w:r w:rsidRPr="00FD7217">
        <w:rPr>
          <w:rFonts w:ascii="Times New Roman" w:hAnsi="Times New Roman" w:cs="Times New Roman"/>
          <w:sz w:val="20"/>
          <w:szCs w:val="20"/>
        </w:rPr>
        <w:t xml:space="preserve">more narrow than the previous three-year disease-free survival NI margin. </w:t>
      </w:r>
      <w:r>
        <w:rPr>
          <w:rFonts w:ascii="Times New Roman" w:hAnsi="Times New Roman" w:cs="Times New Roman"/>
          <w:sz w:val="20"/>
          <w:szCs w:val="20"/>
        </w:rPr>
        <w:t>It should be noticed that the NI margins (translated to &lt; 3% NI margins regarding absolute survival rates) chosen in IDEA design were much more stringent than previous NI surgical studies</w:t>
      </w:r>
      <w:r w:rsidRPr="00F75824">
        <w:rPr>
          <w:rFonts w:ascii="Times New Roman" w:hAnsi="Times New Roman" w:cs="Times New Roman"/>
          <w:noProof/>
          <w:sz w:val="20"/>
          <w:szCs w:val="20"/>
          <w:vertAlign w:val="superscript"/>
        </w:rPr>
        <w:t>21,22</w:t>
      </w:r>
      <w:r>
        <w:rPr>
          <w:rFonts w:ascii="Times New Roman" w:hAnsi="Times New Roman" w:cs="Times New Roman"/>
          <w:sz w:val="20"/>
          <w:szCs w:val="20"/>
        </w:rPr>
        <w:t xml:space="preserve"> in early stage rectal cancer with NI 5 to 6% margins. </w:t>
      </w:r>
      <w:r w:rsidRPr="00FD7217">
        <w:rPr>
          <w:rFonts w:ascii="Times New Roman" w:hAnsi="Times New Roman" w:cs="Times New Roman"/>
          <w:sz w:val="20"/>
          <w:szCs w:val="20"/>
        </w:rPr>
        <w:t>To keep the risk of potential false-positive claims to a minimal level, the most stringent significance level, 0·025 for NI testing, with pre-planned multiplicity adjustment for secondary and subgroup analyses, were chosen. The unprecedented large sample size in colon cancers with fully matured follow-up ensured highly precise estimations of treatment effects and disease-free and survival rates at clinically relevant time points. Therefore, the clinical meaning of point estimates and confidence intervals should be the major considerations of data interpretations for oncologists and patients for shared decision-making on adjuvant therapy, rather than solely relying on “binary” statistical significance cut-off.</w:t>
      </w:r>
      <w:r>
        <w:rPr>
          <w:rFonts w:ascii="Times New Roman" w:hAnsi="Times New Roman" w:cs="Times New Roman"/>
          <w:sz w:val="20"/>
          <w:szCs w:val="20"/>
        </w:rPr>
        <w:t xml:space="preserve"> </w:t>
      </w:r>
      <w:r w:rsidRPr="00FD7217">
        <w:rPr>
          <w:rFonts w:ascii="Times New Roman" w:hAnsi="Times New Roman" w:cs="Times New Roman"/>
          <w:sz w:val="20"/>
          <w:szCs w:val="20"/>
        </w:rPr>
        <w:t>We acknowledge that the results of our study probably present a challenging situation for data interpretation: the observed statistical p value crosses the very stringent significance cut-off to an extremely small degree. We are confident that precise estimations of treatment effects and survival rates, as presented here, can guide clinical interpretation and decision-making. The statistical method and strategy of our analysis are rigorous (advantage of the study) and stringent (making it more difficult to obtain “positive conclusions”).</w:t>
      </w:r>
    </w:p>
    <w:p w:rsidR="00C66E5B" w:rsidRDefault="00C66E5B" w:rsidP="00033088">
      <w:pPr>
        <w:rPr>
          <w:rFonts w:ascii="Times New Roman" w:hAnsi="Times New Roman" w:cs="Times New Roman"/>
          <w:sz w:val="20"/>
          <w:szCs w:val="20"/>
        </w:rPr>
      </w:pPr>
    </w:p>
    <w:p w:rsidR="00C66E5B" w:rsidRDefault="00C66E5B" w:rsidP="00033088">
      <w:pPr>
        <w:rPr>
          <w:rFonts w:ascii="Times New Roman" w:hAnsi="Times New Roman" w:cs="Times New Roman"/>
          <w:sz w:val="20"/>
          <w:szCs w:val="20"/>
        </w:rPr>
      </w:pPr>
      <w:r w:rsidRPr="00FD7217">
        <w:rPr>
          <w:rFonts w:ascii="Times New Roman" w:hAnsi="Times New Roman" w:cs="Times New Roman"/>
          <w:sz w:val="20"/>
          <w:szCs w:val="20"/>
        </w:rPr>
        <w:t>Improvement of overall survival over time has multiple causes, in particular, improvement of outcomes after relapse due to progress in the management of metastatic disease.</w:t>
      </w:r>
      <w:r w:rsidRPr="005C16CA">
        <w:rPr>
          <w:rFonts w:ascii="Times New Roman" w:hAnsi="Times New Roman" w:cs="Times New Roman"/>
          <w:noProof/>
          <w:sz w:val="20"/>
          <w:szCs w:val="20"/>
          <w:vertAlign w:val="superscript"/>
        </w:rPr>
        <w:t>9</w:t>
      </w:r>
      <w:r w:rsidRPr="00FD7217">
        <w:rPr>
          <w:rFonts w:ascii="Times New Roman" w:hAnsi="Times New Roman" w:cs="Times New Roman"/>
          <w:sz w:val="20"/>
          <w:szCs w:val="20"/>
        </w:rPr>
        <w:t xml:space="preserve"> This assumption is in accordance with a recent meta-analysis of ACCENT,</w:t>
      </w:r>
      <w:r w:rsidRPr="00F75824">
        <w:rPr>
          <w:rFonts w:ascii="Times New Roman" w:hAnsi="Times New Roman" w:cs="Times New Roman"/>
          <w:noProof/>
          <w:sz w:val="20"/>
          <w:szCs w:val="20"/>
          <w:vertAlign w:val="superscript"/>
        </w:rPr>
        <w:t>23</w:t>
      </w:r>
      <w:r w:rsidRPr="00FD7217">
        <w:rPr>
          <w:rFonts w:ascii="Times New Roman" w:hAnsi="Times New Roman" w:cs="Times New Roman"/>
          <w:sz w:val="20"/>
          <w:szCs w:val="20"/>
        </w:rPr>
        <w:t xml:space="preserve"> which confirmed 15 years after the initial publication by Sargent et al., that three-year disease-free survival is still an excellent predictor of five-year overall survival results and remains an appropriate primary endpoint for adjuvant trials in colon cancer.</w:t>
      </w:r>
      <w:r w:rsidRPr="005C16CA">
        <w:rPr>
          <w:rFonts w:ascii="Times New Roman" w:hAnsi="Times New Roman" w:cs="Times New Roman"/>
          <w:noProof/>
          <w:sz w:val="20"/>
          <w:szCs w:val="20"/>
          <w:vertAlign w:val="superscript"/>
        </w:rPr>
        <w:t>3</w:t>
      </w:r>
      <w:r w:rsidRPr="00FD7217">
        <w:rPr>
          <w:rFonts w:ascii="Times New Roman" w:hAnsi="Times New Roman" w:cs="Times New Roman"/>
          <w:sz w:val="20"/>
          <w:szCs w:val="20"/>
        </w:rPr>
        <w:t xml:space="preserve">  </w:t>
      </w:r>
    </w:p>
    <w:p w:rsidR="00C66E5B" w:rsidRPr="00FD7217" w:rsidRDefault="00C66E5B" w:rsidP="00033088">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If CAPOX is selected as adjuvant therapy for stage III colon cancer, three months duration can be considered as the standard of care. The point estimate and 95% confidence intervals of the HR for overall survival and disease-free </w:t>
      </w:r>
      <w:r w:rsidRPr="00FD7217">
        <w:rPr>
          <w:rFonts w:ascii="Times New Roman" w:hAnsi="Times New Roman" w:cs="Times New Roman"/>
          <w:sz w:val="20"/>
          <w:szCs w:val="20"/>
        </w:rPr>
        <w:lastRenderedPageBreak/>
        <w:t xml:space="preserve">survival at five years for the whole group of patients treated with CAPOX fell within the pre-specified margins of NI. The same result was also observed in the low-risk group for CAPOX but not in the high-risk group. The HR of 1·03 and 1·05, concerning overall survival and disease-free survival, respectively, at five years in the high-risk CAPOX group, with only an absolute 1% non-significant difference in overall survival in favor of six months, are, in our opinion, a strong reason to consider three months of CAPOX as standard of care for all stage 3 colon cancer.  If FOLFOX is selected as adjuvant therapy, six months with FOLFOX resulted in a higher rate in terms of disease-free survival and overall survival at five years, particularly in the high-risk subgroup. </w:t>
      </w:r>
      <w:r>
        <w:rPr>
          <w:rFonts w:ascii="Times New Roman" w:hAnsi="Times New Roman" w:cs="Times New Roman"/>
          <w:sz w:val="20"/>
          <w:szCs w:val="20"/>
        </w:rPr>
        <w:t xml:space="preserve">For high risk stage III cancers, emerging </w:t>
      </w:r>
      <w:r w:rsidRPr="00E7411C">
        <w:rPr>
          <w:rFonts w:ascii="Times New Roman" w:hAnsi="Times New Roman" w:cs="Times New Roman"/>
          <w:bCs/>
          <w:sz w:val="20"/>
          <w:szCs w:val="20"/>
          <w:lang w:val="en-GB"/>
        </w:rPr>
        <w:t xml:space="preserve">novel prognostic factors including </w:t>
      </w:r>
      <w:proofErr w:type="spellStart"/>
      <w:r w:rsidRPr="00E7411C">
        <w:rPr>
          <w:rFonts w:ascii="Times New Roman" w:hAnsi="Times New Roman" w:cs="Times New Roman"/>
          <w:bCs/>
          <w:sz w:val="20"/>
          <w:szCs w:val="20"/>
          <w:lang w:val="en-GB"/>
        </w:rPr>
        <w:t>immunoscore</w:t>
      </w:r>
      <w:proofErr w:type="spellEnd"/>
      <w:r w:rsidRPr="00E7411C">
        <w:rPr>
          <w:rFonts w:ascii="Times New Roman" w:hAnsi="Times New Roman" w:cs="Times New Roman"/>
          <w:bCs/>
          <w:sz w:val="20"/>
          <w:szCs w:val="20"/>
          <w:lang w:val="en-GB"/>
        </w:rPr>
        <w:t xml:space="preserve"> and/or circulating </w:t>
      </w:r>
      <w:proofErr w:type="spellStart"/>
      <w:r w:rsidRPr="00E7411C">
        <w:rPr>
          <w:rFonts w:ascii="Times New Roman" w:hAnsi="Times New Roman" w:cs="Times New Roman"/>
          <w:bCs/>
          <w:sz w:val="20"/>
          <w:szCs w:val="20"/>
          <w:lang w:val="en-GB"/>
        </w:rPr>
        <w:t>tumor</w:t>
      </w:r>
      <w:proofErr w:type="spellEnd"/>
      <w:r w:rsidRPr="00E7411C">
        <w:rPr>
          <w:rFonts w:ascii="Times New Roman" w:hAnsi="Times New Roman" w:cs="Times New Roman"/>
          <w:bCs/>
          <w:sz w:val="20"/>
          <w:szCs w:val="20"/>
          <w:lang w:val="en-GB"/>
        </w:rPr>
        <w:t xml:space="preserve"> DNA as marker for mi</w:t>
      </w:r>
      <w:r>
        <w:rPr>
          <w:rFonts w:ascii="Times New Roman" w:hAnsi="Times New Roman" w:cs="Times New Roman"/>
          <w:bCs/>
          <w:sz w:val="20"/>
          <w:szCs w:val="20"/>
          <w:lang w:val="en-GB"/>
        </w:rPr>
        <w:t>nimal</w:t>
      </w:r>
      <w:r w:rsidRPr="00E7411C">
        <w:rPr>
          <w:rFonts w:ascii="Times New Roman" w:hAnsi="Times New Roman" w:cs="Times New Roman"/>
          <w:bCs/>
          <w:sz w:val="20"/>
          <w:szCs w:val="20"/>
          <w:lang w:val="en-GB"/>
        </w:rPr>
        <w:t xml:space="preserve"> residual disease, </w:t>
      </w:r>
      <w:r>
        <w:rPr>
          <w:rFonts w:ascii="Times New Roman" w:hAnsi="Times New Roman" w:cs="Times New Roman"/>
          <w:bCs/>
          <w:sz w:val="20"/>
          <w:szCs w:val="20"/>
          <w:lang w:val="en-GB"/>
        </w:rPr>
        <w:t xml:space="preserve">and potentially other advanced molecular prognostic tools </w:t>
      </w:r>
      <w:r w:rsidRPr="00E7411C">
        <w:rPr>
          <w:rFonts w:ascii="Times New Roman" w:hAnsi="Times New Roman" w:cs="Times New Roman"/>
          <w:bCs/>
          <w:sz w:val="20"/>
          <w:szCs w:val="20"/>
          <w:lang w:val="en-GB"/>
        </w:rPr>
        <w:t xml:space="preserve">may help in the future to better define the best </w:t>
      </w:r>
      <w:r>
        <w:rPr>
          <w:rFonts w:ascii="Times New Roman" w:hAnsi="Times New Roman" w:cs="Times New Roman"/>
          <w:bCs/>
          <w:sz w:val="20"/>
          <w:szCs w:val="20"/>
          <w:lang w:val="en-GB"/>
        </w:rPr>
        <w:t xml:space="preserve">duration of </w:t>
      </w:r>
      <w:r w:rsidRPr="00E7411C">
        <w:rPr>
          <w:rFonts w:ascii="Times New Roman" w:hAnsi="Times New Roman" w:cs="Times New Roman"/>
          <w:bCs/>
          <w:sz w:val="20"/>
          <w:szCs w:val="20"/>
          <w:lang w:val="en-GB"/>
        </w:rPr>
        <w:t>adjuvant therapy</w:t>
      </w:r>
      <w:r>
        <w:rPr>
          <w:rFonts w:ascii="Times New Roman" w:hAnsi="Times New Roman" w:cs="Times New Roman"/>
          <w:bCs/>
          <w:sz w:val="20"/>
          <w:szCs w:val="20"/>
          <w:lang w:val="en-GB"/>
        </w:rPr>
        <w:t>, especially for FOLFOX</w:t>
      </w:r>
      <w:r w:rsidRPr="00E7411C">
        <w:rPr>
          <w:rFonts w:ascii="Times New Roman" w:hAnsi="Times New Roman" w:cs="Times New Roman"/>
          <w:sz w:val="20"/>
          <w:szCs w:val="20"/>
        </w:rPr>
        <w:t>.</w:t>
      </w:r>
      <w:r w:rsidRPr="00F75824">
        <w:rPr>
          <w:rFonts w:ascii="Times New Roman" w:hAnsi="Times New Roman" w:cs="Times New Roman"/>
          <w:noProof/>
          <w:sz w:val="20"/>
          <w:szCs w:val="20"/>
          <w:vertAlign w:val="superscript"/>
        </w:rPr>
        <w:t>24,25</w:t>
      </w:r>
      <w:r w:rsidRPr="00FD7217">
        <w:rPr>
          <w:rFonts w:ascii="Times New Roman" w:hAnsi="Times New Roman" w:cs="Times New Roman"/>
          <w:sz w:val="20"/>
          <w:szCs w:val="20"/>
        </w:rPr>
        <w:t>For the low-risk subgroup, the outcomes detriment of three months of FOLFOX is minimal and should be discussed with the patient, again, outlining the risk of neurotoxicity</w:t>
      </w:r>
      <w:r>
        <w:rPr>
          <w:rFonts w:ascii="Times New Roman" w:hAnsi="Times New Roman" w:cs="Times New Roman"/>
          <w:sz w:val="20"/>
          <w:szCs w:val="20"/>
        </w:rPr>
        <w:t>.</w:t>
      </w:r>
      <w:r w:rsidRPr="005C16CA">
        <w:rPr>
          <w:rFonts w:ascii="Times New Roman" w:hAnsi="Times New Roman" w:cs="Times New Roman"/>
          <w:noProof/>
          <w:sz w:val="20"/>
          <w:szCs w:val="20"/>
          <w:vertAlign w:val="superscript"/>
        </w:rPr>
        <w:t>7,11,14</w:t>
      </w:r>
    </w:p>
    <w:p w:rsidR="00C66E5B" w:rsidRPr="00FD7217" w:rsidRDefault="00C66E5B" w:rsidP="00FD7217">
      <w:pPr>
        <w:rPr>
          <w:rFonts w:ascii="Times New Roman" w:hAnsi="Times New Roman" w:cs="Times New Roman"/>
          <w:b/>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The administration of FOLFOX regimen is cumbersome since it requires the implantation of a venous access device and the use of an infusion pump. </w:t>
      </w:r>
      <w:proofErr w:type="spellStart"/>
      <w:r w:rsidRPr="00FD7217">
        <w:rPr>
          <w:rFonts w:ascii="Times New Roman" w:hAnsi="Times New Roman" w:cs="Times New Roman"/>
          <w:sz w:val="20"/>
          <w:szCs w:val="20"/>
        </w:rPr>
        <w:t>Capecitabine</w:t>
      </w:r>
      <w:proofErr w:type="spellEnd"/>
      <w:r w:rsidRPr="00FD7217">
        <w:rPr>
          <w:rFonts w:ascii="Times New Roman" w:hAnsi="Times New Roman" w:cs="Times New Roman"/>
          <w:sz w:val="20"/>
          <w:szCs w:val="20"/>
        </w:rPr>
        <w:t xml:space="preserve">, an oral </w:t>
      </w:r>
      <w:proofErr w:type="spellStart"/>
      <w:r w:rsidRPr="00FD7217">
        <w:rPr>
          <w:rFonts w:ascii="Times New Roman" w:hAnsi="Times New Roman" w:cs="Times New Roman"/>
          <w:sz w:val="20"/>
          <w:szCs w:val="20"/>
        </w:rPr>
        <w:t>fluoropyrimidine</w:t>
      </w:r>
      <w:proofErr w:type="spellEnd"/>
      <w:r w:rsidRPr="00FD7217">
        <w:rPr>
          <w:rFonts w:ascii="Times New Roman" w:hAnsi="Times New Roman" w:cs="Times New Roman"/>
          <w:sz w:val="20"/>
          <w:szCs w:val="20"/>
        </w:rPr>
        <w:t xml:space="preserve">, combined with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 xml:space="preserve"> intravenously every three weeks is more convenient for the majority of patients, less expensive for the health </w:t>
      </w:r>
      <w:r>
        <w:rPr>
          <w:rFonts w:ascii="Times New Roman" w:hAnsi="Times New Roman" w:cs="Times New Roman"/>
          <w:sz w:val="20"/>
          <w:szCs w:val="20"/>
        </w:rPr>
        <w:t xml:space="preserve">care </w:t>
      </w:r>
      <w:r w:rsidRPr="00FD7217">
        <w:rPr>
          <w:rFonts w:ascii="Times New Roman" w:hAnsi="Times New Roman" w:cs="Times New Roman"/>
          <w:sz w:val="20"/>
          <w:szCs w:val="20"/>
        </w:rPr>
        <w:t>system in the vast majority of countries around the word, and does not need the placement of a venous access device for the majority of patients, especially if the duration of treatment is only three months, corresponding to only four IV administrations of oxaliplatin.</w:t>
      </w:r>
      <w:r w:rsidRPr="00F75824">
        <w:rPr>
          <w:rFonts w:ascii="Times New Roman" w:hAnsi="Times New Roman" w:cs="Times New Roman"/>
          <w:noProof/>
          <w:sz w:val="20"/>
          <w:szCs w:val="20"/>
          <w:vertAlign w:val="superscript"/>
        </w:rPr>
        <w:t>26</w:t>
      </w:r>
      <w:r w:rsidRPr="00FD7217">
        <w:rPr>
          <w:rFonts w:ascii="Times New Roman" w:hAnsi="Times New Roman" w:cs="Times New Roman"/>
          <w:sz w:val="20"/>
          <w:szCs w:val="20"/>
        </w:rPr>
        <w:t xml:space="preserve"> Because no randomization between FOLFOX and CAPOX was performed in this study, it not possible to determine if three months of CAPOX is as good as six months of FOLFOX.</w:t>
      </w:r>
      <w:r w:rsidRPr="005C16CA">
        <w:rPr>
          <w:rFonts w:ascii="Times New Roman" w:hAnsi="Times New Roman" w:cs="Times New Roman"/>
          <w:noProof/>
          <w:sz w:val="20"/>
          <w:szCs w:val="20"/>
          <w:vertAlign w:val="superscript"/>
        </w:rPr>
        <w:t>7</w:t>
      </w:r>
      <w:r w:rsidRPr="00FD7217">
        <w:rPr>
          <w:rFonts w:ascii="Times New Roman" w:hAnsi="Times New Roman" w:cs="Times New Roman"/>
          <w:sz w:val="20"/>
          <w:szCs w:val="20"/>
        </w:rPr>
        <w:t xml:space="preserve"> In prior adjuvant trials, both regimens demonstrated efficacy in stage III colon cancer, with similar outcomes results. In particular, </w:t>
      </w:r>
      <w:r>
        <w:rPr>
          <w:rFonts w:ascii="Times New Roman" w:hAnsi="Times New Roman" w:cs="Times New Roman"/>
          <w:sz w:val="20"/>
          <w:szCs w:val="20"/>
        </w:rPr>
        <w:t xml:space="preserve">the </w:t>
      </w:r>
      <w:proofErr w:type="spellStart"/>
      <w:r w:rsidRPr="00C27DB9">
        <w:rPr>
          <w:rFonts w:asciiTheme="majorBidi" w:eastAsia="Times New Roman" w:hAnsiTheme="majorBidi" w:cstheme="majorBidi"/>
          <w:sz w:val="20"/>
          <w:szCs w:val="20"/>
        </w:rPr>
        <w:t>Avastin</w:t>
      </w:r>
      <w:proofErr w:type="spellEnd"/>
      <w:r w:rsidRPr="00C27DB9">
        <w:rPr>
          <w:rFonts w:asciiTheme="majorBidi" w:eastAsia="Times New Roman" w:hAnsiTheme="majorBidi" w:cstheme="majorBidi"/>
          <w:sz w:val="20"/>
          <w:szCs w:val="20"/>
        </w:rPr>
        <w:t xml:space="preserve">® </w:t>
      </w:r>
      <w:proofErr w:type="spellStart"/>
      <w:r w:rsidRPr="00C27DB9">
        <w:rPr>
          <w:rFonts w:asciiTheme="majorBidi" w:eastAsia="Times New Roman" w:hAnsiTheme="majorBidi" w:cstheme="majorBidi"/>
          <w:sz w:val="20"/>
          <w:szCs w:val="20"/>
        </w:rPr>
        <w:t>adjuVANT</w:t>
      </w:r>
      <w:proofErr w:type="spellEnd"/>
      <w:r w:rsidRPr="00FD7217">
        <w:rPr>
          <w:rFonts w:ascii="Times New Roman" w:hAnsi="Times New Roman" w:cs="Times New Roman"/>
          <w:sz w:val="20"/>
          <w:szCs w:val="20"/>
        </w:rPr>
        <w:t xml:space="preserve"> </w:t>
      </w:r>
      <w:r>
        <w:rPr>
          <w:rFonts w:ascii="Times New Roman" w:hAnsi="Times New Roman" w:cs="Times New Roman"/>
          <w:sz w:val="20"/>
          <w:szCs w:val="20"/>
        </w:rPr>
        <w:t>(</w:t>
      </w:r>
      <w:r w:rsidRPr="00FD7217">
        <w:rPr>
          <w:rFonts w:ascii="Times New Roman" w:hAnsi="Times New Roman" w:cs="Times New Roman"/>
          <w:sz w:val="20"/>
          <w:szCs w:val="20"/>
        </w:rPr>
        <w:t>AVANT</w:t>
      </w:r>
      <w:r>
        <w:rPr>
          <w:rFonts w:ascii="Times New Roman" w:hAnsi="Times New Roman" w:cs="Times New Roman"/>
          <w:sz w:val="20"/>
          <w:szCs w:val="20"/>
        </w:rPr>
        <w:t>)</w:t>
      </w:r>
      <w:r w:rsidRPr="00FD7217">
        <w:rPr>
          <w:rFonts w:ascii="Times New Roman" w:hAnsi="Times New Roman" w:cs="Times New Roman"/>
          <w:sz w:val="20"/>
          <w:szCs w:val="20"/>
        </w:rPr>
        <w:t xml:space="preserve"> </w:t>
      </w:r>
      <w:r>
        <w:rPr>
          <w:rFonts w:ascii="Times New Roman" w:hAnsi="Times New Roman" w:cs="Times New Roman"/>
          <w:sz w:val="20"/>
          <w:szCs w:val="20"/>
        </w:rPr>
        <w:t xml:space="preserve">study </w:t>
      </w:r>
      <w:r w:rsidRPr="00FD7217">
        <w:rPr>
          <w:rFonts w:ascii="Times New Roman" w:hAnsi="Times New Roman" w:cs="Times New Roman"/>
          <w:sz w:val="20"/>
          <w:szCs w:val="20"/>
        </w:rPr>
        <w:t>randomized patients with stage 3 colon cancer to FOLFOX</w:t>
      </w:r>
      <w:r>
        <w:rPr>
          <w:rFonts w:ascii="Times New Roman" w:hAnsi="Times New Roman" w:cs="Times New Roman"/>
          <w:sz w:val="20"/>
          <w:szCs w:val="20"/>
        </w:rPr>
        <w:t>4</w:t>
      </w:r>
      <w:r w:rsidRPr="00FD7217">
        <w:rPr>
          <w:rFonts w:ascii="Times New Roman" w:hAnsi="Times New Roman" w:cs="Times New Roman"/>
          <w:sz w:val="20"/>
          <w:szCs w:val="20"/>
        </w:rPr>
        <w:t>, FOLFOX</w:t>
      </w:r>
      <w:r>
        <w:rPr>
          <w:rFonts w:ascii="Times New Roman" w:hAnsi="Times New Roman" w:cs="Times New Roman"/>
          <w:sz w:val="20"/>
          <w:szCs w:val="20"/>
        </w:rPr>
        <w:t>4</w:t>
      </w:r>
      <w:r w:rsidRPr="00FD7217">
        <w:rPr>
          <w:rFonts w:ascii="Times New Roman" w:hAnsi="Times New Roman" w:cs="Times New Roman"/>
          <w:sz w:val="20"/>
          <w:szCs w:val="20"/>
        </w:rPr>
        <w:t xml:space="preserve"> plus bevacizumab, and CAPOX plus bevacizumab.</w:t>
      </w:r>
      <w:r w:rsidRPr="00F75824">
        <w:rPr>
          <w:rFonts w:ascii="Times New Roman" w:hAnsi="Times New Roman" w:cs="Times New Roman"/>
          <w:noProof/>
          <w:sz w:val="20"/>
          <w:szCs w:val="20"/>
          <w:vertAlign w:val="superscript"/>
        </w:rPr>
        <w:t>27</w:t>
      </w:r>
      <w:r w:rsidRPr="00FD7217">
        <w:rPr>
          <w:rFonts w:ascii="Times New Roman" w:hAnsi="Times New Roman" w:cs="Times New Roman"/>
          <w:sz w:val="20"/>
          <w:szCs w:val="20"/>
        </w:rPr>
        <w:t xml:space="preserve"> No difference in disease-free and overall survival was observed between the FOLFOX and CAPOX experimental arm, albeit in the presence of bevacizumab.</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 xml:space="preserve">The lack of difference between </w:t>
      </w:r>
      <w:r>
        <w:rPr>
          <w:rFonts w:ascii="Times New Roman" w:hAnsi="Times New Roman" w:cs="Times New Roman"/>
          <w:sz w:val="20"/>
          <w:szCs w:val="20"/>
        </w:rPr>
        <w:t>three</w:t>
      </w:r>
      <w:r w:rsidRPr="00FD7217">
        <w:rPr>
          <w:rFonts w:ascii="Times New Roman" w:hAnsi="Times New Roman" w:cs="Times New Roman"/>
          <w:sz w:val="20"/>
          <w:szCs w:val="20"/>
        </w:rPr>
        <w:t xml:space="preserve"> and </w:t>
      </w:r>
      <w:r>
        <w:rPr>
          <w:rFonts w:ascii="Times New Roman" w:hAnsi="Times New Roman" w:cs="Times New Roman"/>
          <w:sz w:val="20"/>
          <w:szCs w:val="20"/>
        </w:rPr>
        <w:t>six</w:t>
      </w:r>
      <w:r w:rsidRPr="00FD7217">
        <w:rPr>
          <w:rFonts w:ascii="Times New Roman" w:hAnsi="Times New Roman" w:cs="Times New Roman"/>
          <w:sz w:val="20"/>
          <w:szCs w:val="20"/>
        </w:rPr>
        <w:t xml:space="preserve"> months of CAPOX could potentially be due to a reduced overall dose intensity in the </w:t>
      </w:r>
      <w:r>
        <w:rPr>
          <w:rFonts w:ascii="Times New Roman" w:hAnsi="Times New Roman" w:cs="Times New Roman"/>
          <w:sz w:val="20"/>
          <w:szCs w:val="20"/>
        </w:rPr>
        <w:t>six-</w:t>
      </w:r>
      <w:r w:rsidRPr="00FD7217">
        <w:rPr>
          <w:rFonts w:ascii="Times New Roman" w:hAnsi="Times New Roman" w:cs="Times New Roman"/>
          <w:sz w:val="20"/>
          <w:szCs w:val="20"/>
        </w:rPr>
        <w:t xml:space="preserve">month arm, with one hypothesis </w:t>
      </w:r>
      <w:r>
        <w:rPr>
          <w:rFonts w:ascii="Times New Roman" w:hAnsi="Times New Roman" w:cs="Times New Roman"/>
          <w:sz w:val="20"/>
          <w:szCs w:val="20"/>
        </w:rPr>
        <w:t>being</w:t>
      </w:r>
      <w:r w:rsidRPr="00FD7217">
        <w:rPr>
          <w:rFonts w:ascii="Times New Roman" w:hAnsi="Times New Roman" w:cs="Times New Roman"/>
          <w:sz w:val="20"/>
          <w:szCs w:val="20"/>
        </w:rPr>
        <w:t xml:space="preserve"> that compliance and overall dose-intensity of </w:t>
      </w:r>
      <w:r>
        <w:rPr>
          <w:rFonts w:ascii="Times New Roman" w:hAnsi="Times New Roman" w:cs="Times New Roman"/>
          <w:sz w:val="20"/>
          <w:szCs w:val="20"/>
        </w:rPr>
        <w:t>six</w:t>
      </w:r>
      <w:r w:rsidRPr="00FD7217">
        <w:rPr>
          <w:rFonts w:ascii="Times New Roman" w:hAnsi="Times New Roman" w:cs="Times New Roman"/>
          <w:sz w:val="20"/>
          <w:szCs w:val="20"/>
        </w:rPr>
        <w:t xml:space="preserve"> months of an oral regimen might attenuate over time. The documented dose intensity of </w:t>
      </w:r>
      <w:proofErr w:type="spellStart"/>
      <w:r w:rsidRPr="00FD7217">
        <w:rPr>
          <w:rFonts w:ascii="Times New Roman" w:hAnsi="Times New Roman" w:cs="Times New Roman"/>
          <w:sz w:val="20"/>
          <w:szCs w:val="20"/>
        </w:rPr>
        <w:t>capecitabine</w:t>
      </w:r>
      <w:proofErr w:type="spellEnd"/>
      <w:r w:rsidRPr="00FD7217">
        <w:rPr>
          <w:rFonts w:ascii="Times New Roman" w:hAnsi="Times New Roman" w:cs="Times New Roman"/>
          <w:sz w:val="20"/>
          <w:szCs w:val="20"/>
        </w:rPr>
        <w:t xml:space="preserve"> in the </w:t>
      </w:r>
      <w:r>
        <w:rPr>
          <w:rFonts w:ascii="Times New Roman" w:hAnsi="Times New Roman" w:cs="Times New Roman"/>
          <w:sz w:val="20"/>
          <w:szCs w:val="20"/>
        </w:rPr>
        <w:t>six-</w:t>
      </w:r>
      <w:r w:rsidRPr="00FD7217">
        <w:rPr>
          <w:rFonts w:ascii="Times New Roman" w:hAnsi="Times New Roman" w:cs="Times New Roman"/>
          <w:sz w:val="20"/>
          <w:szCs w:val="20"/>
        </w:rPr>
        <w:t>month arm, however, was not much different than the one of 5-FU, but the data were not based on rigorous diary-based documentation by individual patients.</w:t>
      </w:r>
      <w:r w:rsidRPr="005C16CA">
        <w:rPr>
          <w:rFonts w:ascii="Times New Roman" w:hAnsi="Times New Roman" w:cs="Times New Roman"/>
          <w:noProof/>
          <w:sz w:val="20"/>
          <w:szCs w:val="20"/>
          <w:vertAlign w:val="superscript"/>
        </w:rPr>
        <w:t>7</w:t>
      </w:r>
      <w:r w:rsidRPr="00FD7217">
        <w:rPr>
          <w:rFonts w:ascii="Times New Roman" w:hAnsi="Times New Roman" w:cs="Times New Roman"/>
          <w:sz w:val="20"/>
          <w:szCs w:val="20"/>
        </w:rPr>
        <w:t xml:space="preserve"> Alternative and potentially more relevant explanations relate to the specific dosing schedule of </w:t>
      </w:r>
      <w:proofErr w:type="spellStart"/>
      <w:r w:rsidRPr="00FD7217">
        <w:rPr>
          <w:rFonts w:ascii="Times New Roman" w:hAnsi="Times New Roman" w:cs="Times New Roman"/>
          <w:sz w:val="20"/>
          <w:szCs w:val="20"/>
        </w:rPr>
        <w:t>oxaliplatin</w:t>
      </w:r>
      <w:proofErr w:type="spellEnd"/>
      <w:r w:rsidRPr="00FD7217">
        <w:rPr>
          <w:rFonts w:ascii="Times New Roman" w:hAnsi="Times New Roman" w:cs="Times New Roman"/>
          <w:sz w:val="20"/>
          <w:szCs w:val="20"/>
        </w:rPr>
        <w:t xml:space="preserve"> (higher dose</w:t>
      </w:r>
      <w:r>
        <w:rPr>
          <w:rFonts w:ascii="Times New Roman" w:hAnsi="Times New Roman" w:cs="Times New Roman"/>
          <w:sz w:val="20"/>
          <w:szCs w:val="20"/>
        </w:rPr>
        <w:t xml:space="preserve"> with 130 mg/m</w:t>
      </w:r>
      <w:r w:rsidRPr="00E7411C">
        <w:rPr>
          <w:rFonts w:ascii="Times New Roman" w:hAnsi="Times New Roman" w:cs="Times New Roman"/>
          <w:sz w:val="20"/>
          <w:szCs w:val="20"/>
          <w:vertAlign w:val="superscript"/>
        </w:rPr>
        <w:t>2</w:t>
      </w:r>
      <w:r w:rsidRPr="00FD7217">
        <w:rPr>
          <w:rFonts w:ascii="Times New Roman" w:hAnsi="Times New Roman" w:cs="Times New Roman"/>
          <w:sz w:val="20"/>
          <w:szCs w:val="20"/>
        </w:rPr>
        <w:t xml:space="preserve"> in CAPOX compared to </w:t>
      </w:r>
      <w:r>
        <w:rPr>
          <w:rFonts w:ascii="Times New Roman" w:hAnsi="Times New Roman" w:cs="Times New Roman"/>
          <w:sz w:val="20"/>
          <w:szCs w:val="20"/>
        </w:rPr>
        <w:t>85 mg/m</w:t>
      </w:r>
      <w:r w:rsidRPr="00E7411C">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FD7217">
        <w:rPr>
          <w:rFonts w:ascii="Times New Roman" w:hAnsi="Times New Roman" w:cs="Times New Roman"/>
          <w:sz w:val="20"/>
          <w:szCs w:val="20"/>
        </w:rPr>
        <w:t xml:space="preserve">FOLFOX every </w:t>
      </w:r>
      <w:r>
        <w:rPr>
          <w:rFonts w:ascii="Times New Roman" w:hAnsi="Times New Roman" w:cs="Times New Roman"/>
          <w:sz w:val="20"/>
          <w:szCs w:val="20"/>
        </w:rPr>
        <w:t>three</w:t>
      </w:r>
      <w:r w:rsidRPr="00FD7217">
        <w:rPr>
          <w:rFonts w:ascii="Times New Roman" w:hAnsi="Times New Roman" w:cs="Times New Roman"/>
          <w:sz w:val="20"/>
          <w:szCs w:val="20"/>
        </w:rPr>
        <w:t xml:space="preserve"> weeks instead of every </w:t>
      </w:r>
      <w:r>
        <w:rPr>
          <w:rFonts w:ascii="Times New Roman" w:hAnsi="Times New Roman" w:cs="Times New Roman"/>
          <w:sz w:val="20"/>
          <w:szCs w:val="20"/>
        </w:rPr>
        <w:t>two</w:t>
      </w:r>
      <w:r w:rsidRPr="00FD7217">
        <w:rPr>
          <w:rFonts w:ascii="Times New Roman" w:hAnsi="Times New Roman" w:cs="Times New Roman"/>
          <w:sz w:val="20"/>
          <w:szCs w:val="20"/>
        </w:rPr>
        <w:t xml:space="preserve"> weeks) and the continuous mode of administration for the oral </w:t>
      </w:r>
      <w:proofErr w:type="spellStart"/>
      <w:r w:rsidRPr="00FD7217">
        <w:rPr>
          <w:rFonts w:ascii="Times New Roman" w:hAnsi="Times New Roman" w:cs="Times New Roman"/>
          <w:sz w:val="20"/>
          <w:szCs w:val="20"/>
        </w:rPr>
        <w:t>fluoropyrimidine</w:t>
      </w:r>
      <w:proofErr w:type="spellEnd"/>
      <w:r w:rsidRPr="00FD7217">
        <w:rPr>
          <w:rFonts w:ascii="Times New Roman" w:hAnsi="Times New Roman" w:cs="Times New Roman"/>
          <w:sz w:val="20"/>
          <w:szCs w:val="20"/>
        </w:rPr>
        <w:t xml:space="preserve"> (</w:t>
      </w:r>
      <w:proofErr w:type="spellStart"/>
      <w:r w:rsidRPr="00FD7217">
        <w:rPr>
          <w:rFonts w:ascii="Times New Roman" w:hAnsi="Times New Roman" w:cs="Times New Roman"/>
          <w:sz w:val="20"/>
          <w:szCs w:val="20"/>
        </w:rPr>
        <w:t>capecitabine</w:t>
      </w:r>
      <w:proofErr w:type="spellEnd"/>
      <w:r w:rsidRPr="00FD7217">
        <w:rPr>
          <w:rFonts w:ascii="Times New Roman" w:hAnsi="Times New Roman" w:cs="Times New Roman"/>
          <w:sz w:val="20"/>
          <w:szCs w:val="20"/>
        </w:rPr>
        <w:t xml:space="preserve"> twice daily for </w:t>
      </w:r>
      <w:r>
        <w:rPr>
          <w:rFonts w:ascii="Times New Roman" w:hAnsi="Times New Roman" w:cs="Times New Roman"/>
          <w:sz w:val="20"/>
          <w:szCs w:val="20"/>
        </w:rPr>
        <w:t>two</w:t>
      </w:r>
      <w:r w:rsidRPr="00FD7217">
        <w:rPr>
          <w:rFonts w:ascii="Times New Roman" w:hAnsi="Times New Roman" w:cs="Times New Roman"/>
          <w:sz w:val="20"/>
          <w:szCs w:val="20"/>
        </w:rPr>
        <w:t xml:space="preserve"> weeks out of </w:t>
      </w:r>
      <w:r>
        <w:rPr>
          <w:rFonts w:ascii="Times New Roman" w:hAnsi="Times New Roman" w:cs="Times New Roman"/>
          <w:sz w:val="20"/>
          <w:szCs w:val="20"/>
        </w:rPr>
        <w:t>three</w:t>
      </w:r>
      <w:r w:rsidRPr="00FD7217">
        <w:rPr>
          <w:rFonts w:ascii="Times New Roman" w:hAnsi="Times New Roman" w:cs="Times New Roman"/>
          <w:sz w:val="20"/>
          <w:szCs w:val="20"/>
        </w:rPr>
        <w:t xml:space="preserve"> in CAPOX, compared with 46</w:t>
      </w:r>
      <w:r>
        <w:rPr>
          <w:rFonts w:ascii="Times New Roman" w:hAnsi="Times New Roman" w:cs="Times New Roman"/>
          <w:sz w:val="20"/>
          <w:szCs w:val="20"/>
        </w:rPr>
        <w:t>-</w:t>
      </w:r>
      <w:r w:rsidRPr="00FD7217">
        <w:rPr>
          <w:rFonts w:ascii="Times New Roman" w:hAnsi="Times New Roman" w:cs="Times New Roman"/>
          <w:sz w:val="20"/>
          <w:szCs w:val="20"/>
        </w:rPr>
        <w:t xml:space="preserve">hour infusion of 5-FU every </w:t>
      </w:r>
      <w:r>
        <w:rPr>
          <w:rFonts w:ascii="Times New Roman" w:hAnsi="Times New Roman" w:cs="Times New Roman"/>
          <w:sz w:val="20"/>
          <w:szCs w:val="20"/>
        </w:rPr>
        <w:t>two</w:t>
      </w:r>
      <w:r w:rsidRPr="00FD7217">
        <w:rPr>
          <w:rFonts w:ascii="Times New Roman" w:hAnsi="Times New Roman" w:cs="Times New Roman"/>
          <w:sz w:val="20"/>
          <w:szCs w:val="20"/>
        </w:rPr>
        <w:t xml:space="preserve"> weeks in FOLFOX)</w:t>
      </w:r>
      <w:r>
        <w:rPr>
          <w:rFonts w:ascii="Times New Roman" w:hAnsi="Times New Roman" w:cs="Times New Roman"/>
          <w:sz w:val="20"/>
          <w:szCs w:val="20"/>
        </w:rPr>
        <w:t>,</w:t>
      </w:r>
      <w:r w:rsidRPr="00FD7217">
        <w:rPr>
          <w:rFonts w:ascii="Times New Roman" w:hAnsi="Times New Roman" w:cs="Times New Roman"/>
          <w:sz w:val="20"/>
          <w:szCs w:val="20"/>
        </w:rPr>
        <w:t xml:space="preserve"> which might be a more optimized way to deliver cytotoxic chemotherapy in the adjuvant setting</w:t>
      </w:r>
      <w:r>
        <w:rPr>
          <w:rFonts w:ascii="Times New Roman" w:hAnsi="Times New Roman" w:cs="Times New Roman"/>
          <w:sz w:val="20"/>
          <w:szCs w:val="20"/>
        </w:rPr>
        <w:t>,</w:t>
      </w:r>
      <w:r w:rsidRPr="00FD7217">
        <w:rPr>
          <w:rFonts w:ascii="Times New Roman" w:hAnsi="Times New Roman" w:cs="Times New Roman"/>
          <w:sz w:val="20"/>
          <w:szCs w:val="20"/>
        </w:rPr>
        <w:t xml:space="preserve"> with the intent to eradicate micrometastases.</w:t>
      </w:r>
      <w:r w:rsidRPr="00F75824">
        <w:rPr>
          <w:rFonts w:ascii="Times New Roman" w:hAnsi="Times New Roman" w:cs="Times New Roman"/>
          <w:noProof/>
          <w:sz w:val="20"/>
          <w:szCs w:val="20"/>
          <w:vertAlign w:val="superscript"/>
        </w:rPr>
        <w:t>28,29</w:t>
      </w:r>
      <w:r w:rsidRPr="00FD7217">
        <w:rPr>
          <w:rFonts w:ascii="Times New Roman" w:hAnsi="Times New Roman" w:cs="Times New Roman"/>
          <w:sz w:val="20"/>
          <w:szCs w:val="20"/>
        </w:rPr>
        <w:t xml:space="preserve"> </w:t>
      </w:r>
      <w:r>
        <w:rPr>
          <w:rFonts w:ascii="Times New Roman" w:hAnsi="Times New Roman" w:cs="Times New Roman"/>
          <w:sz w:val="20"/>
          <w:szCs w:val="20"/>
        </w:rPr>
        <w:t>Although there were no major differences in baseline factors between patients treated with CAPOX vs. FOLFOX,</w:t>
      </w:r>
      <w:r w:rsidRPr="00F75824">
        <w:rPr>
          <w:rFonts w:ascii="Times New Roman" w:hAnsi="Times New Roman" w:cs="Times New Roman"/>
          <w:noProof/>
          <w:sz w:val="20"/>
          <w:szCs w:val="20"/>
          <w:vertAlign w:val="superscript"/>
        </w:rPr>
        <w:t>7</w:t>
      </w:r>
      <w:r>
        <w:rPr>
          <w:rFonts w:ascii="Times New Roman" w:hAnsi="Times New Roman" w:cs="Times New Roman"/>
          <w:sz w:val="20"/>
          <w:szCs w:val="20"/>
        </w:rPr>
        <w:t xml:space="preserve"> f</w:t>
      </w:r>
      <w:r w:rsidRPr="00FD7217">
        <w:rPr>
          <w:rFonts w:ascii="Times New Roman" w:hAnsi="Times New Roman" w:cs="Times New Roman"/>
          <w:sz w:val="20"/>
          <w:szCs w:val="20"/>
        </w:rPr>
        <w:t>urther propensity analyses are planned to address potential selection biases with regard to the choice of treatment regimens in the adjuvant setting.</w:t>
      </w:r>
    </w:p>
    <w:p w:rsidR="00C66E5B" w:rsidRPr="00FD7217" w:rsidRDefault="00C66E5B" w:rsidP="00FD7217">
      <w:pPr>
        <w:rPr>
          <w:rFonts w:ascii="Times New Roman" w:hAnsi="Times New Roman" w:cs="Times New Roman"/>
          <w:sz w:val="20"/>
          <w:szCs w:val="20"/>
        </w:rPr>
      </w:pPr>
    </w:p>
    <w:p w:rsidR="00C66E5B" w:rsidRPr="00FD7217" w:rsidRDefault="00C66E5B" w:rsidP="00FD7217">
      <w:pPr>
        <w:rPr>
          <w:rFonts w:ascii="Times New Roman" w:hAnsi="Times New Roman" w:cs="Times New Roman"/>
          <w:sz w:val="20"/>
          <w:szCs w:val="20"/>
        </w:rPr>
      </w:pPr>
      <w:r w:rsidRPr="00FD7217">
        <w:rPr>
          <w:rFonts w:ascii="Times New Roman" w:hAnsi="Times New Roman" w:cs="Times New Roman"/>
          <w:sz w:val="20"/>
          <w:szCs w:val="20"/>
        </w:rPr>
        <w:t>One important finding in our analysis for future adjuvant trial is a risk-based approach</w:t>
      </w:r>
      <w:r>
        <w:rPr>
          <w:rFonts w:ascii="Times New Roman" w:hAnsi="Times New Roman" w:cs="Times New Roman"/>
          <w:sz w:val="20"/>
          <w:szCs w:val="20"/>
        </w:rPr>
        <w:t>,</w:t>
      </w:r>
      <w:r w:rsidRPr="00FD7217">
        <w:rPr>
          <w:rFonts w:ascii="Times New Roman" w:hAnsi="Times New Roman" w:cs="Times New Roman"/>
          <w:sz w:val="20"/>
          <w:szCs w:val="20"/>
        </w:rPr>
        <w:t xml:space="preserve"> with the fact that lower</w:t>
      </w:r>
      <w:r>
        <w:rPr>
          <w:rFonts w:ascii="Times New Roman" w:hAnsi="Times New Roman" w:cs="Times New Roman"/>
          <w:sz w:val="20"/>
          <w:szCs w:val="20"/>
        </w:rPr>
        <w:t>-</w:t>
      </w:r>
      <w:r w:rsidRPr="00FD7217">
        <w:rPr>
          <w:rFonts w:ascii="Times New Roman" w:hAnsi="Times New Roman" w:cs="Times New Roman"/>
          <w:sz w:val="20"/>
          <w:szCs w:val="20"/>
        </w:rPr>
        <w:t>risk group</w:t>
      </w:r>
      <w:r>
        <w:rPr>
          <w:rFonts w:ascii="Times New Roman" w:hAnsi="Times New Roman" w:cs="Times New Roman"/>
          <w:sz w:val="20"/>
          <w:szCs w:val="20"/>
        </w:rPr>
        <w:t>s</w:t>
      </w:r>
      <w:r w:rsidRPr="00FD7217">
        <w:rPr>
          <w:rFonts w:ascii="Times New Roman" w:hAnsi="Times New Roman" w:cs="Times New Roman"/>
          <w:sz w:val="20"/>
          <w:szCs w:val="20"/>
        </w:rPr>
        <w:t xml:space="preserve"> (defined as T1-3 N1 disease) and higher</w:t>
      </w:r>
      <w:r>
        <w:rPr>
          <w:rFonts w:ascii="Times New Roman" w:hAnsi="Times New Roman" w:cs="Times New Roman"/>
          <w:sz w:val="20"/>
          <w:szCs w:val="20"/>
        </w:rPr>
        <w:t>-</w:t>
      </w:r>
      <w:r w:rsidRPr="00FD7217">
        <w:rPr>
          <w:rFonts w:ascii="Times New Roman" w:hAnsi="Times New Roman" w:cs="Times New Roman"/>
          <w:sz w:val="20"/>
          <w:szCs w:val="20"/>
        </w:rPr>
        <w:t>risk group</w:t>
      </w:r>
      <w:r>
        <w:rPr>
          <w:rFonts w:ascii="Times New Roman" w:hAnsi="Times New Roman" w:cs="Times New Roman"/>
          <w:sz w:val="20"/>
          <w:szCs w:val="20"/>
        </w:rPr>
        <w:t>s</w:t>
      </w:r>
      <w:r w:rsidRPr="00FD7217">
        <w:rPr>
          <w:rFonts w:ascii="Times New Roman" w:hAnsi="Times New Roman" w:cs="Times New Roman"/>
          <w:sz w:val="20"/>
          <w:szCs w:val="20"/>
        </w:rPr>
        <w:t xml:space="preserve"> (T4 and/or N2) define two population</w:t>
      </w:r>
      <w:r>
        <w:rPr>
          <w:rFonts w:ascii="Times New Roman" w:hAnsi="Times New Roman" w:cs="Times New Roman"/>
          <w:sz w:val="20"/>
          <w:szCs w:val="20"/>
        </w:rPr>
        <w:t>s</w:t>
      </w:r>
      <w:r w:rsidRPr="00FD7217">
        <w:rPr>
          <w:rFonts w:ascii="Times New Roman" w:hAnsi="Times New Roman" w:cs="Times New Roman"/>
          <w:sz w:val="20"/>
          <w:szCs w:val="20"/>
        </w:rPr>
        <w:t xml:space="preserve"> with </w:t>
      </w:r>
      <w:r>
        <w:rPr>
          <w:rFonts w:ascii="Times New Roman" w:hAnsi="Times New Roman" w:cs="Times New Roman"/>
          <w:sz w:val="20"/>
          <w:szCs w:val="20"/>
        </w:rPr>
        <w:t xml:space="preserve">a </w:t>
      </w:r>
      <w:r w:rsidRPr="00FD7217">
        <w:rPr>
          <w:rFonts w:ascii="Times New Roman" w:hAnsi="Times New Roman" w:cs="Times New Roman"/>
          <w:sz w:val="20"/>
          <w:szCs w:val="20"/>
        </w:rPr>
        <w:t>different prognosis</w:t>
      </w:r>
      <w:r>
        <w:rPr>
          <w:rFonts w:ascii="Times New Roman" w:hAnsi="Times New Roman" w:cs="Times New Roman"/>
          <w:sz w:val="20"/>
          <w:szCs w:val="20"/>
        </w:rPr>
        <w:t>,</w:t>
      </w:r>
      <w:r w:rsidRPr="00FD7217">
        <w:rPr>
          <w:rFonts w:ascii="Times New Roman" w:hAnsi="Times New Roman" w:cs="Times New Roman"/>
          <w:sz w:val="20"/>
          <w:szCs w:val="20"/>
        </w:rPr>
        <w:t xml:space="preserve"> with 83·5% and 78·5 %, and 64·0% and 57·7% of disease-free survival at </w:t>
      </w:r>
      <w:r>
        <w:rPr>
          <w:rFonts w:ascii="Times New Roman" w:hAnsi="Times New Roman" w:cs="Times New Roman"/>
          <w:sz w:val="20"/>
          <w:szCs w:val="20"/>
        </w:rPr>
        <w:t>three</w:t>
      </w:r>
      <w:r w:rsidRPr="00FD7217">
        <w:rPr>
          <w:rFonts w:ascii="Times New Roman" w:hAnsi="Times New Roman" w:cs="Times New Roman"/>
          <w:sz w:val="20"/>
          <w:szCs w:val="20"/>
        </w:rPr>
        <w:t xml:space="preserve"> and </w:t>
      </w:r>
      <w:r>
        <w:rPr>
          <w:rFonts w:ascii="Times New Roman" w:hAnsi="Times New Roman" w:cs="Times New Roman"/>
          <w:sz w:val="20"/>
          <w:szCs w:val="20"/>
        </w:rPr>
        <w:t xml:space="preserve">five </w:t>
      </w:r>
      <w:r w:rsidRPr="00FD7217">
        <w:rPr>
          <w:rFonts w:ascii="Times New Roman" w:hAnsi="Times New Roman" w:cs="Times New Roman"/>
          <w:sz w:val="20"/>
          <w:szCs w:val="20"/>
        </w:rPr>
        <w:t>year</w:t>
      </w:r>
      <w:r>
        <w:rPr>
          <w:rFonts w:ascii="Times New Roman" w:hAnsi="Times New Roman" w:cs="Times New Roman"/>
          <w:sz w:val="20"/>
          <w:szCs w:val="20"/>
        </w:rPr>
        <w:t>s</w:t>
      </w:r>
      <w:r w:rsidRPr="00FD7217">
        <w:rPr>
          <w:rFonts w:ascii="Times New Roman" w:hAnsi="Times New Roman" w:cs="Times New Roman"/>
          <w:sz w:val="20"/>
          <w:szCs w:val="20"/>
        </w:rPr>
        <w:t xml:space="preserve">, respectively, and 89·3% and 73·1% of </w:t>
      </w:r>
      <w:r w:rsidRPr="00E45FDA">
        <w:rPr>
          <w:rFonts w:ascii="Times New Roman" w:hAnsi="Times New Roman" w:cs="Times New Roman"/>
          <w:sz w:val="20"/>
          <w:szCs w:val="20"/>
        </w:rPr>
        <w:t>overall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at </w:t>
      </w:r>
      <w:r>
        <w:rPr>
          <w:rFonts w:ascii="Times New Roman" w:hAnsi="Times New Roman" w:cs="Times New Roman"/>
          <w:sz w:val="20"/>
          <w:szCs w:val="20"/>
        </w:rPr>
        <w:t>five</w:t>
      </w:r>
      <w:r w:rsidRPr="00FD7217">
        <w:rPr>
          <w:rFonts w:ascii="Times New Roman" w:hAnsi="Times New Roman" w:cs="Times New Roman"/>
          <w:sz w:val="20"/>
          <w:szCs w:val="20"/>
        </w:rPr>
        <w:t xml:space="preserve"> year</w:t>
      </w:r>
      <w:r>
        <w:rPr>
          <w:rFonts w:ascii="Times New Roman" w:hAnsi="Times New Roman" w:cs="Times New Roman"/>
          <w:sz w:val="20"/>
          <w:szCs w:val="20"/>
        </w:rPr>
        <w:t>s</w:t>
      </w:r>
      <w:r w:rsidRPr="00FD7217">
        <w:rPr>
          <w:rFonts w:ascii="Times New Roman" w:hAnsi="Times New Roman" w:cs="Times New Roman"/>
          <w:sz w:val="20"/>
          <w:szCs w:val="20"/>
        </w:rPr>
        <w:t>, respectively</w:t>
      </w:r>
      <w:r>
        <w:rPr>
          <w:rFonts w:ascii="Times New Roman" w:hAnsi="Times New Roman" w:cs="Times New Roman"/>
          <w:sz w:val="20"/>
          <w:szCs w:val="20"/>
        </w:rPr>
        <w:t>,</w:t>
      </w:r>
      <w:r w:rsidRPr="00FD7217">
        <w:rPr>
          <w:rFonts w:ascii="Times New Roman" w:hAnsi="Times New Roman" w:cs="Times New Roman"/>
          <w:sz w:val="20"/>
          <w:szCs w:val="20"/>
        </w:rPr>
        <w:t xml:space="preserve"> independent of the therapy duration. We suggest</w:t>
      </w:r>
      <w:r>
        <w:rPr>
          <w:rFonts w:ascii="Times New Roman" w:hAnsi="Times New Roman" w:cs="Times New Roman"/>
          <w:sz w:val="20"/>
          <w:szCs w:val="20"/>
        </w:rPr>
        <w:t xml:space="preserve">, in future studies </w:t>
      </w:r>
      <w:r w:rsidRPr="00FD7217">
        <w:rPr>
          <w:rFonts w:ascii="Times New Roman" w:hAnsi="Times New Roman" w:cs="Times New Roman"/>
          <w:sz w:val="20"/>
          <w:szCs w:val="20"/>
        </w:rPr>
        <w:t>use of these risk groups as stratification categories in randomized trials for all stage III colon cancer or to define specific populations to study subgroups of stage III disease.</w:t>
      </w:r>
      <w:r>
        <w:rPr>
          <w:rFonts w:ascii="Times New Roman" w:hAnsi="Times New Roman" w:cs="Times New Roman"/>
          <w:sz w:val="20"/>
          <w:szCs w:val="20"/>
        </w:rPr>
        <w:t xml:space="preserve"> </w:t>
      </w:r>
    </w:p>
    <w:p w:rsidR="00C66E5B" w:rsidRPr="00FD7217" w:rsidRDefault="00C66E5B" w:rsidP="00FD7217">
      <w:pPr>
        <w:rPr>
          <w:rFonts w:ascii="Times New Roman" w:hAnsi="Times New Roman" w:cs="Times New Roman"/>
          <w:sz w:val="20"/>
          <w:szCs w:val="20"/>
        </w:rPr>
      </w:pPr>
    </w:p>
    <w:p w:rsidR="00C66E5B" w:rsidRDefault="00C66E5B" w:rsidP="00FD7217">
      <w:pPr>
        <w:autoSpaceDE w:val="0"/>
        <w:autoSpaceDN w:val="0"/>
        <w:adjustRightInd w:val="0"/>
        <w:rPr>
          <w:rFonts w:ascii="Times New Roman" w:eastAsia="ScalaLancetPro" w:hAnsi="Times New Roman" w:cs="Times New Roman"/>
          <w:sz w:val="20"/>
          <w:szCs w:val="20"/>
        </w:rPr>
      </w:pPr>
      <w:r w:rsidRPr="00FD7217">
        <w:rPr>
          <w:rFonts w:ascii="Times New Roman" w:hAnsi="Times New Roman" w:cs="Times New Roman"/>
          <w:sz w:val="20"/>
          <w:szCs w:val="20"/>
        </w:rPr>
        <w:t xml:space="preserve">This prospective, pre-planned pooled analysis of </w:t>
      </w:r>
      <w:r>
        <w:rPr>
          <w:rFonts w:ascii="Times New Roman" w:hAnsi="Times New Roman" w:cs="Times New Roman"/>
          <w:sz w:val="20"/>
          <w:szCs w:val="20"/>
        </w:rPr>
        <w:t>six</w:t>
      </w:r>
      <w:r w:rsidRPr="00FD7217">
        <w:rPr>
          <w:rFonts w:ascii="Times New Roman" w:hAnsi="Times New Roman" w:cs="Times New Roman"/>
          <w:sz w:val="20"/>
          <w:szCs w:val="20"/>
        </w:rPr>
        <w:t xml:space="preserve"> concurrently conducted randomized phase 3 trials</w:t>
      </w:r>
      <w:r w:rsidRPr="00FD7217">
        <w:rPr>
          <w:rFonts w:ascii="Times New Roman" w:eastAsia="ScalaLancetPro" w:hAnsi="Times New Roman" w:cs="Times New Roman"/>
          <w:sz w:val="20"/>
          <w:szCs w:val="20"/>
        </w:rPr>
        <w:t xml:space="preserve"> is the largest prospective, randomized analysis of adjuvant therapy of colon cancer to date. Despite the fact that</w:t>
      </w:r>
      <w:r>
        <w:rPr>
          <w:rFonts w:ascii="Times New Roman" w:eastAsia="ScalaLancetPro" w:hAnsi="Times New Roman" w:cs="Times New Roman"/>
          <w:sz w:val="20"/>
          <w:szCs w:val="20"/>
        </w:rPr>
        <w:t>,</w:t>
      </w:r>
      <w:r w:rsidRPr="00FD7217">
        <w:rPr>
          <w:rFonts w:ascii="Times New Roman" w:eastAsia="ScalaLancetPro" w:hAnsi="Times New Roman" w:cs="Times New Roman"/>
          <w:sz w:val="20"/>
          <w:szCs w:val="20"/>
        </w:rPr>
        <w:t xml:space="preserve"> formally</w:t>
      </w:r>
      <w:r>
        <w:rPr>
          <w:rFonts w:ascii="Times New Roman" w:eastAsia="ScalaLancetPro" w:hAnsi="Times New Roman" w:cs="Times New Roman"/>
          <w:sz w:val="20"/>
          <w:szCs w:val="20"/>
        </w:rPr>
        <w:t>,</w:t>
      </w:r>
      <w:r w:rsidRPr="00FD7217">
        <w:rPr>
          <w:rFonts w:ascii="Times New Roman" w:eastAsia="ScalaLancetPro" w:hAnsi="Times New Roman" w:cs="Times New Roman"/>
          <w:sz w:val="20"/>
          <w:szCs w:val="20"/>
        </w:rPr>
        <w:t xml:space="preserve"> the stringently pre-specified NI endpoints were not reached, the </w:t>
      </w:r>
      <w:r w:rsidRPr="00FD7217">
        <w:rPr>
          <w:rFonts w:ascii="Times New Roman" w:hAnsi="Times New Roman" w:cs="Times New Roman"/>
          <w:sz w:val="20"/>
          <w:szCs w:val="20"/>
        </w:rPr>
        <w:t xml:space="preserve">survival results support the use of </w:t>
      </w:r>
      <w:r>
        <w:rPr>
          <w:rFonts w:ascii="Times New Roman" w:hAnsi="Times New Roman" w:cs="Times New Roman"/>
          <w:sz w:val="20"/>
          <w:szCs w:val="20"/>
        </w:rPr>
        <w:t>three</w:t>
      </w:r>
      <w:r w:rsidRPr="00FD7217">
        <w:rPr>
          <w:rFonts w:ascii="Times New Roman" w:hAnsi="Times New Roman" w:cs="Times New Roman"/>
          <w:sz w:val="20"/>
          <w:szCs w:val="20"/>
        </w:rPr>
        <w:t xml:space="preserve"> months of adjuvant CAPOX </w:t>
      </w:r>
      <w:r>
        <w:rPr>
          <w:rFonts w:ascii="Times New Roman" w:hAnsi="Times New Roman" w:cs="Times New Roman"/>
          <w:sz w:val="20"/>
          <w:szCs w:val="20"/>
        </w:rPr>
        <w:t xml:space="preserve">is the standard of adjuvant treatment </w:t>
      </w:r>
      <w:r w:rsidRPr="00FD7217">
        <w:rPr>
          <w:rFonts w:ascii="Times New Roman" w:hAnsi="Times New Roman" w:cs="Times New Roman"/>
          <w:sz w:val="20"/>
          <w:szCs w:val="20"/>
        </w:rPr>
        <w:t xml:space="preserve">for the </w:t>
      </w:r>
      <w:r>
        <w:rPr>
          <w:rFonts w:ascii="Times New Roman" w:hAnsi="Times New Roman" w:cs="Times New Roman"/>
          <w:sz w:val="20"/>
          <w:szCs w:val="20"/>
        </w:rPr>
        <w:t xml:space="preserve">most </w:t>
      </w:r>
      <w:r w:rsidRPr="00FD7217">
        <w:rPr>
          <w:rFonts w:ascii="Times New Roman" w:hAnsi="Times New Roman" w:cs="Times New Roman"/>
          <w:sz w:val="20"/>
          <w:szCs w:val="20"/>
        </w:rPr>
        <w:t>stage III colon cancer patients</w:t>
      </w:r>
      <w:r>
        <w:rPr>
          <w:rFonts w:ascii="Times New Roman" w:hAnsi="Times New Roman" w:cs="Times New Roman"/>
          <w:sz w:val="20"/>
          <w:szCs w:val="20"/>
        </w:rPr>
        <w:t xml:space="preserve"> who are suitable for treatment with CAPOX</w:t>
      </w:r>
      <w:r w:rsidRPr="00FD7217">
        <w:rPr>
          <w:rFonts w:ascii="Times New Roman" w:hAnsi="Times New Roman" w:cs="Times New Roman"/>
          <w:sz w:val="20"/>
          <w:szCs w:val="20"/>
        </w:rPr>
        <w:t xml:space="preserve">. </w:t>
      </w:r>
      <w:r w:rsidRPr="00FD7217">
        <w:rPr>
          <w:rFonts w:ascii="Times New Roman" w:eastAsia="ScalaLancetPro" w:hAnsi="Times New Roman" w:cs="Times New Roman"/>
          <w:sz w:val="20"/>
          <w:szCs w:val="20"/>
        </w:rPr>
        <w:t>The final decision on treatment duration and regimen used for each individual will depend on a careful discussion between the clinician and patient, taking into account the risk of recurrence, co-morbidity, patient’s wish, likely absolute difference in survival</w:t>
      </w:r>
      <w:r>
        <w:rPr>
          <w:rFonts w:ascii="Times New Roman" w:eastAsia="ScalaLancetPro" w:hAnsi="Times New Roman" w:cs="Times New Roman"/>
          <w:sz w:val="20"/>
          <w:szCs w:val="20"/>
        </w:rPr>
        <w:t>,</w:t>
      </w:r>
      <w:r w:rsidRPr="00FD7217">
        <w:rPr>
          <w:rFonts w:ascii="Times New Roman" w:eastAsia="ScalaLancetPro" w:hAnsi="Times New Roman" w:cs="Times New Roman"/>
          <w:sz w:val="20"/>
          <w:szCs w:val="20"/>
        </w:rPr>
        <w:t xml:space="preserve"> and risk of long-term toxicity.</w:t>
      </w:r>
    </w:p>
    <w:p w:rsidR="00C66E5B" w:rsidRDefault="00C66E5B" w:rsidP="00FD7217">
      <w:pPr>
        <w:rPr>
          <w:rFonts w:ascii="Times New Roman" w:hAnsi="Times New Roman" w:cs="Times New Roman"/>
          <w:sz w:val="20"/>
          <w:szCs w:val="20"/>
        </w:rPr>
      </w:pPr>
    </w:p>
    <w:p w:rsidR="00C66E5B" w:rsidRDefault="00C66E5B">
      <w:pPr>
        <w:rPr>
          <w:rFonts w:ascii="Times New Roman" w:hAnsi="Times New Roman" w:cs="Times New Roman"/>
        </w:rPr>
      </w:pPr>
      <w:r>
        <w:rPr>
          <w:rFonts w:ascii="Times New Roman" w:hAnsi="Times New Roman" w:cs="Times New Roman"/>
        </w:rPr>
        <w:br w:type="page"/>
      </w:r>
    </w:p>
    <w:p w:rsidR="00C66E5B" w:rsidRDefault="00C66E5B" w:rsidP="00173CC0">
      <w:pPr>
        <w:rPr>
          <w:rFonts w:ascii="Times New Roman" w:hAnsi="Times New Roman" w:cs="Times New Roman"/>
        </w:rPr>
      </w:pPr>
      <w:r w:rsidRPr="00FD7217">
        <w:rPr>
          <w:rFonts w:ascii="Times New Roman" w:hAnsi="Times New Roman" w:cs="Times New Roman"/>
        </w:rPr>
        <w:lastRenderedPageBreak/>
        <w:t>Acknowledgment</w:t>
      </w:r>
    </w:p>
    <w:p w:rsidR="00C66E5B" w:rsidRDefault="00C66E5B" w:rsidP="00173CC0">
      <w:pPr>
        <w:rPr>
          <w:rFonts w:ascii="Times New Roman" w:hAnsi="Times New Roman" w:cs="Times New Roman"/>
          <w:sz w:val="20"/>
          <w:szCs w:val="20"/>
        </w:rPr>
      </w:pPr>
      <w:r>
        <w:rPr>
          <w:rFonts w:ascii="Times New Roman" w:hAnsi="Times New Roman" w:cs="Times New Roman"/>
          <w:sz w:val="20"/>
          <w:szCs w:val="20"/>
        </w:rPr>
        <w:t xml:space="preserve">The IDEA collaboration and the pooled analyses efforts were in part supported by a </w:t>
      </w:r>
      <w:r w:rsidRPr="00931885">
        <w:rPr>
          <w:rFonts w:ascii="Times New Roman" w:hAnsi="Times New Roman" w:cs="Times New Roman"/>
          <w:sz w:val="20"/>
          <w:szCs w:val="20"/>
        </w:rPr>
        <w:t xml:space="preserve">grant </w:t>
      </w:r>
      <w:r>
        <w:rPr>
          <w:rFonts w:ascii="Times New Roman" w:hAnsi="Times New Roman" w:cs="Times New Roman"/>
          <w:sz w:val="20"/>
          <w:szCs w:val="20"/>
        </w:rPr>
        <w:t>of</w:t>
      </w:r>
      <w:r w:rsidRPr="00931885">
        <w:rPr>
          <w:rFonts w:ascii="Times New Roman" w:hAnsi="Times New Roman" w:cs="Times New Roman"/>
          <w:sz w:val="20"/>
          <w:szCs w:val="20"/>
        </w:rPr>
        <w:t xml:space="preserve"> U10 CA180882</w:t>
      </w:r>
      <w:r>
        <w:rPr>
          <w:rFonts w:ascii="Times New Roman" w:hAnsi="Times New Roman" w:cs="Times New Roman"/>
          <w:sz w:val="20"/>
          <w:szCs w:val="20"/>
        </w:rPr>
        <w:t xml:space="preserve"> from the</w:t>
      </w:r>
      <w:r w:rsidRPr="00931885">
        <w:rPr>
          <w:rFonts w:ascii="Times New Roman" w:hAnsi="Times New Roman" w:cs="Times New Roman"/>
          <w:sz w:val="20"/>
          <w:szCs w:val="20"/>
        </w:rPr>
        <w:t xml:space="preserve"> National Cancer Institute</w:t>
      </w:r>
      <w:r>
        <w:rPr>
          <w:rFonts w:ascii="Times New Roman" w:hAnsi="Times New Roman" w:cs="Times New Roman"/>
          <w:sz w:val="20"/>
          <w:szCs w:val="20"/>
        </w:rPr>
        <w:t>.</w:t>
      </w:r>
      <w:r w:rsidRPr="00931885">
        <w:rPr>
          <w:rFonts w:ascii="Times New Roman" w:hAnsi="Times New Roman" w:cs="Times New Roman"/>
          <w:sz w:val="20"/>
          <w:szCs w:val="20"/>
        </w:rPr>
        <w:t xml:space="preserve"> </w:t>
      </w:r>
      <w:r>
        <w:rPr>
          <w:rFonts w:ascii="Times New Roman" w:hAnsi="Times New Roman" w:cs="Times New Roman"/>
          <w:sz w:val="20"/>
          <w:szCs w:val="20"/>
        </w:rPr>
        <w:t xml:space="preserve">The funder of the study had no role in study design, data collection, data analysis, data interpretation, or writing of the report. None of authors are employed by NIH. </w:t>
      </w:r>
    </w:p>
    <w:p w:rsidR="00C66E5B" w:rsidRDefault="00C66E5B" w:rsidP="00173CC0">
      <w:pPr>
        <w:rPr>
          <w:rFonts w:ascii="Times New Roman" w:hAnsi="Times New Roman" w:cs="Times New Roman"/>
        </w:rPr>
      </w:pPr>
    </w:p>
    <w:p w:rsidR="00C66E5B" w:rsidRDefault="00C66E5B" w:rsidP="004B7497">
      <w:pPr>
        <w:rPr>
          <w:rFonts w:ascii="Times New Roman" w:hAnsi="Times New Roman" w:cs="Times New Roman"/>
          <w:color w:val="221E1F"/>
          <w:sz w:val="16"/>
          <w:szCs w:val="16"/>
        </w:rPr>
      </w:pPr>
      <w:r w:rsidRPr="00931885">
        <w:rPr>
          <w:rFonts w:ascii="Times New Roman" w:hAnsi="Times New Roman" w:cs="Times New Roman"/>
          <w:sz w:val="20"/>
          <w:szCs w:val="20"/>
        </w:rPr>
        <w:t>SCOT</w:t>
      </w:r>
      <w:r>
        <w:rPr>
          <w:rFonts w:ascii="Times New Roman" w:hAnsi="Times New Roman" w:cs="Times New Roman"/>
          <w:sz w:val="20"/>
          <w:szCs w:val="20"/>
        </w:rPr>
        <w:t xml:space="preserve"> (</w:t>
      </w:r>
      <w:r w:rsidRPr="00931885">
        <w:rPr>
          <w:rFonts w:ascii="Times New Roman" w:hAnsi="Times New Roman" w:cs="Times New Roman"/>
          <w:sz w:val="20"/>
          <w:szCs w:val="20"/>
        </w:rPr>
        <w:t>NCT00749450</w:t>
      </w:r>
      <w:r>
        <w:rPr>
          <w:rFonts w:ascii="Times New Roman" w:hAnsi="Times New Roman" w:cs="Times New Roman"/>
          <w:sz w:val="20"/>
          <w:szCs w:val="20"/>
        </w:rPr>
        <w:t>)</w:t>
      </w:r>
      <w:r w:rsidRPr="00931885">
        <w:rPr>
          <w:rFonts w:ascii="Times New Roman" w:hAnsi="Times New Roman" w:cs="Times New Roman"/>
          <w:sz w:val="20"/>
          <w:szCs w:val="20"/>
        </w:rPr>
        <w:t xml:space="preserve"> </w:t>
      </w:r>
      <w:r>
        <w:rPr>
          <w:rFonts w:ascii="Times New Roman" w:hAnsi="Times New Roman" w:cs="Times New Roman"/>
          <w:sz w:val="20"/>
          <w:szCs w:val="20"/>
        </w:rPr>
        <w:t xml:space="preserve">trial conduct was supported by a grant of </w:t>
      </w:r>
      <w:r w:rsidRPr="00931885">
        <w:rPr>
          <w:rFonts w:ascii="Times New Roman" w:hAnsi="Times New Roman" w:cs="Times New Roman"/>
          <w:sz w:val="20"/>
          <w:szCs w:val="20"/>
        </w:rPr>
        <w:t xml:space="preserve">EME 09/800/34 from the National Institute for Health Research, Efficacy and Mechanism Evaluation, the National Institute for Health Research, Health Technology </w:t>
      </w:r>
      <w:r>
        <w:rPr>
          <w:rFonts w:ascii="Times New Roman" w:hAnsi="Times New Roman" w:cs="Times New Roman"/>
          <w:sz w:val="20"/>
          <w:szCs w:val="20"/>
        </w:rPr>
        <w:t xml:space="preserve">Assessment, and a grant of </w:t>
      </w:r>
      <w:r w:rsidRPr="00931885">
        <w:rPr>
          <w:rFonts w:ascii="Times New Roman" w:hAnsi="Times New Roman" w:cs="Times New Roman"/>
          <w:sz w:val="20"/>
          <w:szCs w:val="20"/>
        </w:rPr>
        <w:t xml:space="preserve">C1348/A15960 from </w:t>
      </w:r>
      <w:r>
        <w:rPr>
          <w:rFonts w:ascii="Times New Roman" w:hAnsi="Times New Roman" w:cs="Times New Roman"/>
          <w:sz w:val="20"/>
          <w:szCs w:val="20"/>
        </w:rPr>
        <w:t xml:space="preserve">Cancer Research United Kingdom. </w:t>
      </w:r>
      <w:r w:rsidRPr="00931885">
        <w:rPr>
          <w:rFonts w:ascii="Times New Roman" w:hAnsi="Times New Roman" w:cs="Times New Roman"/>
          <w:sz w:val="20"/>
          <w:szCs w:val="20"/>
        </w:rPr>
        <w:t>TOSCA</w:t>
      </w:r>
      <w:r>
        <w:rPr>
          <w:rFonts w:ascii="Times New Roman" w:hAnsi="Times New Roman" w:cs="Times New Roman"/>
          <w:sz w:val="20"/>
          <w:szCs w:val="20"/>
        </w:rPr>
        <w:t xml:space="preserve"> (</w:t>
      </w:r>
      <w:r w:rsidRPr="00931885">
        <w:rPr>
          <w:rFonts w:ascii="Times New Roman" w:hAnsi="Times New Roman" w:cs="Times New Roman"/>
          <w:sz w:val="20"/>
          <w:szCs w:val="20"/>
        </w:rPr>
        <w:t>NCT00646607</w:t>
      </w:r>
      <w:r>
        <w:rPr>
          <w:rFonts w:ascii="Times New Roman" w:hAnsi="Times New Roman" w:cs="Times New Roman"/>
          <w:sz w:val="20"/>
          <w:szCs w:val="20"/>
        </w:rPr>
        <w:t>) trial conduct was</w:t>
      </w:r>
      <w:r w:rsidRPr="00931885">
        <w:rPr>
          <w:rFonts w:ascii="Times New Roman" w:hAnsi="Times New Roman" w:cs="Times New Roman"/>
          <w:sz w:val="20"/>
          <w:szCs w:val="20"/>
        </w:rPr>
        <w:t xml:space="preserve"> supported</w:t>
      </w:r>
      <w:r>
        <w:rPr>
          <w:rFonts w:ascii="Times New Roman" w:hAnsi="Times New Roman" w:cs="Times New Roman"/>
          <w:sz w:val="20"/>
          <w:szCs w:val="20"/>
        </w:rPr>
        <w:t xml:space="preserve"> by a grant of </w:t>
      </w:r>
      <w:r w:rsidRPr="00931885">
        <w:rPr>
          <w:rFonts w:ascii="Times New Roman" w:hAnsi="Times New Roman" w:cs="Times New Roman"/>
          <w:sz w:val="20"/>
          <w:szCs w:val="20"/>
        </w:rPr>
        <w:t xml:space="preserve">FARM 5RWTWZ from </w:t>
      </w:r>
      <w:proofErr w:type="spellStart"/>
      <w:r w:rsidRPr="00931885">
        <w:rPr>
          <w:rFonts w:ascii="Times New Roman" w:hAnsi="Times New Roman" w:cs="Times New Roman"/>
          <w:sz w:val="20"/>
          <w:szCs w:val="20"/>
        </w:rPr>
        <w:t>L’Agenzia</w:t>
      </w:r>
      <w:proofErr w:type="spellEnd"/>
      <w:r w:rsidRPr="00931885">
        <w:rPr>
          <w:rFonts w:ascii="Times New Roman" w:hAnsi="Times New Roman" w:cs="Times New Roman"/>
          <w:sz w:val="20"/>
          <w:szCs w:val="20"/>
        </w:rPr>
        <w:t xml:space="preserve"> </w:t>
      </w:r>
      <w:proofErr w:type="spellStart"/>
      <w:r w:rsidRPr="00931885">
        <w:rPr>
          <w:rFonts w:ascii="Times New Roman" w:hAnsi="Times New Roman" w:cs="Times New Roman"/>
          <w:sz w:val="20"/>
          <w:szCs w:val="20"/>
        </w:rPr>
        <w:t>Italiana</w:t>
      </w:r>
      <w:proofErr w:type="spellEnd"/>
      <w:r w:rsidRPr="00931885">
        <w:rPr>
          <w:rFonts w:ascii="Times New Roman" w:hAnsi="Times New Roman" w:cs="Times New Roman"/>
          <w:sz w:val="20"/>
          <w:szCs w:val="20"/>
        </w:rPr>
        <w:t xml:space="preserve"> </w:t>
      </w:r>
      <w:proofErr w:type="gramStart"/>
      <w:r w:rsidRPr="00931885">
        <w:rPr>
          <w:rFonts w:ascii="Times New Roman" w:hAnsi="Times New Roman" w:cs="Times New Roman"/>
          <w:sz w:val="20"/>
          <w:szCs w:val="20"/>
        </w:rPr>
        <w:t>del</w:t>
      </w:r>
      <w:proofErr w:type="gramEnd"/>
      <w:r w:rsidRPr="00931885">
        <w:rPr>
          <w:rFonts w:ascii="Times New Roman" w:hAnsi="Times New Roman" w:cs="Times New Roman"/>
          <w:sz w:val="20"/>
          <w:szCs w:val="20"/>
        </w:rPr>
        <w:t xml:space="preserve"> </w:t>
      </w:r>
      <w:proofErr w:type="spellStart"/>
      <w:r w:rsidRPr="00931885">
        <w:rPr>
          <w:rFonts w:ascii="Times New Roman" w:hAnsi="Times New Roman" w:cs="Times New Roman"/>
          <w:sz w:val="20"/>
          <w:szCs w:val="20"/>
        </w:rPr>
        <w:t>Farmaco</w:t>
      </w:r>
      <w:proofErr w:type="spellEnd"/>
      <w:r w:rsidRPr="00931885">
        <w:rPr>
          <w:rFonts w:ascii="Times New Roman" w:hAnsi="Times New Roman" w:cs="Times New Roman"/>
          <w:sz w:val="20"/>
          <w:szCs w:val="20"/>
        </w:rPr>
        <w:t xml:space="preserve"> and AIRC IG21742-2018</w:t>
      </w:r>
      <w:r>
        <w:rPr>
          <w:rFonts w:ascii="Times New Roman" w:hAnsi="Times New Roman" w:cs="Times New Roman"/>
          <w:sz w:val="20"/>
          <w:szCs w:val="20"/>
        </w:rPr>
        <w:t xml:space="preserve">. </w:t>
      </w:r>
      <w:r w:rsidRPr="00931885">
        <w:rPr>
          <w:rFonts w:ascii="Times New Roman" w:hAnsi="Times New Roman" w:cs="Times New Roman"/>
          <w:sz w:val="20"/>
          <w:szCs w:val="20"/>
        </w:rPr>
        <w:t xml:space="preserve">IDEA France </w:t>
      </w:r>
      <w:r>
        <w:rPr>
          <w:rFonts w:ascii="Times New Roman" w:hAnsi="Times New Roman" w:cs="Times New Roman"/>
          <w:sz w:val="20"/>
          <w:szCs w:val="20"/>
        </w:rPr>
        <w:t>(</w:t>
      </w:r>
      <w:r w:rsidRPr="00931885">
        <w:rPr>
          <w:rFonts w:ascii="Times New Roman" w:hAnsi="Times New Roman" w:cs="Times New Roman"/>
          <w:sz w:val="20"/>
          <w:szCs w:val="20"/>
        </w:rPr>
        <w:t>NCT00958737</w:t>
      </w:r>
      <w:r>
        <w:rPr>
          <w:rFonts w:ascii="Times New Roman" w:hAnsi="Times New Roman" w:cs="Times New Roman"/>
          <w:sz w:val="20"/>
          <w:szCs w:val="20"/>
        </w:rPr>
        <w:t>) trial conduct was</w:t>
      </w:r>
      <w:r w:rsidRPr="00931885">
        <w:rPr>
          <w:rFonts w:ascii="Times New Roman" w:hAnsi="Times New Roman" w:cs="Times New Roman"/>
          <w:sz w:val="20"/>
          <w:szCs w:val="20"/>
        </w:rPr>
        <w:t xml:space="preserve"> supported by </w:t>
      </w:r>
      <w:proofErr w:type="spellStart"/>
      <w:r w:rsidRPr="00931885">
        <w:rPr>
          <w:rFonts w:ascii="Times New Roman" w:hAnsi="Times New Roman" w:cs="Times New Roman"/>
          <w:sz w:val="20"/>
          <w:szCs w:val="20"/>
        </w:rPr>
        <w:t>Institut</w:t>
      </w:r>
      <w:proofErr w:type="spellEnd"/>
      <w:r w:rsidRPr="00931885">
        <w:rPr>
          <w:rFonts w:ascii="Times New Roman" w:hAnsi="Times New Roman" w:cs="Times New Roman"/>
          <w:sz w:val="20"/>
          <w:szCs w:val="20"/>
        </w:rPr>
        <w:t xml:space="preserve"> </w:t>
      </w:r>
      <w:r>
        <w:rPr>
          <w:rFonts w:ascii="Times New Roman" w:hAnsi="Times New Roman" w:cs="Times New Roman"/>
          <w:sz w:val="20"/>
          <w:szCs w:val="20"/>
        </w:rPr>
        <w:t xml:space="preserve">National du Cancer and a grant of </w:t>
      </w:r>
      <w:r w:rsidRPr="00931885">
        <w:rPr>
          <w:rFonts w:ascii="Times New Roman" w:hAnsi="Times New Roman" w:cs="Times New Roman"/>
          <w:sz w:val="20"/>
          <w:szCs w:val="20"/>
        </w:rPr>
        <w:t xml:space="preserve">PHRC2009 from </w:t>
      </w:r>
      <w:proofErr w:type="spellStart"/>
      <w:r w:rsidRPr="00931885">
        <w:rPr>
          <w:rFonts w:ascii="Times New Roman" w:hAnsi="Times New Roman" w:cs="Times New Roman"/>
          <w:sz w:val="20"/>
          <w:szCs w:val="20"/>
        </w:rPr>
        <w:t>Programme</w:t>
      </w:r>
      <w:proofErr w:type="spellEnd"/>
      <w:r w:rsidRPr="00931885">
        <w:rPr>
          <w:rFonts w:ascii="Times New Roman" w:hAnsi="Times New Roman" w:cs="Times New Roman"/>
          <w:sz w:val="20"/>
          <w:szCs w:val="20"/>
        </w:rPr>
        <w:t xml:space="preserve"> </w:t>
      </w:r>
      <w:proofErr w:type="spellStart"/>
      <w:r w:rsidRPr="00931885">
        <w:rPr>
          <w:rFonts w:ascii="Times New Roman" w:hAnsi="Times New Roman" w:cs="Times New Roman"/>
          <w:sz w:val="20"/>
          <w:szCs w:val="20"/>
        </w:rPr>
        <w:t>Hospitalier</w:t>
      </w:r>
      <w:proofErr w:type="spellEnd"/>
      <w:r w:rsidRPr="00931885">
        <w:rPr>
          <w:rFonts w:ascii="Times New Roman" w:hAnsi="Times New Roman" w:cs="Times New Roman"/>
          <w:sz w:val="20"/>
          <w:szCs w:val="20"/>
        </w:rPr>
        <w:t xml:space="preserve"> de </w:t>
      </w:r>
      <w:proofErr w:type="spellStart"/>
      <w:r w:rsidRPr="00931885">
        <w:rPr>
          <w:rFonts w:ascii="Times New Roman" w:hAnsi="Times New Roman" w:cs="Times New Roman"/>
          <w:sz w:val="20"/>
          <w:szCs w:val="20"/>
        </w:rPr>
        <w:t>Rec</w:t>
      </w:r>
      <w:r>
        <w:rPr>
          <w:rFonts w:ascii="Times New Roman" w:hAnsi="Times New Roman" w:cs="Times New Roman"/>
          <w:sz w:val="20"/>
          <w:szCs w:val="20"/>
        </w:rPr>
        <w:t>herche</w:t>
      </w:r>
      <w:proofErr w:type="spellEnd"/>
      <w:r>
        <w:rPr>
          <w:rFonts w:ascii="Times New Roman" w:hAnsi="Times New Roman" w:cs="Times New Roman"/>
          <w:sz w:val="20"/>
          <w:szCs w:val="20"/>
        </w:rPr>
        <w:t xml:space="preserve"> Clinique </w:t>
      </w:r>
      <w:proofErr w:type="spellStart"/>
      <w:r>
        <w:rPr>
          <w:rFonts w:ascii="Times New Roman" w:hAnsi="Times New Roman" w:cs="Times New Roman"/>
          <w:sz w:val="20"/>
          <w:szCs w:val="20"/>
        </w:rPr>
        <w:t>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Cancérologie</w:t>
      </w:r>
      <w:proofErr w:type="spellEnd"/>
      <w:r>
        <w:rPr>
          <w:rFonts w:ascii="Times New Roman" w:hAnsi="Times New Roman" w:cs="Times New Roman"/>
          <w:sz w:val="20"/>
          <w:szCs w:val="20"/>
        </w:rPr>
        <w:t>. Alliance</w:t>
      </w:r>
      <w:r w:rsidRPr="00931885">
        <w:rPr>
          <w:rFonts w:ascii="Times New Roman" w:hAnsi="Times New Roman" w:cs="Times New Roman"/>
          <w:sz w:val="20"/>
          <w:szCs w:val="20"/>
        </w:rPr>
        <w:t xml:space="preserve">/SWOG 80702 </w:t>
      </w:r>
      <w:r>
        <w:rPr>
          <w:rFonts w:ascii="Times New Roman" w:hAnsi="Times New Roman" w:cs="Times New Roman"/>
          <w:sz w:val="20"/>
          <w:szCs w:val="20"/>
        </w:rPr>
        <w:t>(</w:t>
      </w:r>
      <w:r w:rsidRPr="00931885">
        <w:rPr>
          <w:rFonts w:ascii="Times New Roman" w:hAnsi="Times New Roman" w:cs="Times New Roman"/>
          <w:sz w:val="20"/>
          <w:szCs w:val="20"/>
        </w:rPr>
        <w:t>NCT01150045</w:t>
      </w:r>
      <w:r>
        <w:rPr>
          <w:rFonts w:ascii="Times New Roman" w:hAnsi="Times New Roman" w:cs="Times New Roman"/>
          <w:sz w:val="20"/>
          <w:szCs w:val="20"/>
        </w:rPr>
        <w:t>) trial conduct was</w:t>
      </w:r>
      <w:r w:rsidRPr="00931885">
        <w:rPr>
          <w:rFonts w:ascii="Times New Roman" w:hAnsi="Times New Roman" w:cs="Times New Roman"/>
          <w:sz w:val="20"/>
          <w:szCs w:val="20"/>
        </w:rPr>
        <w:t xml:space="preserve"> supported </w:t>
      </w:r>
      <w:r>
        <w:rPr>
          <w:rFonts w:ascii="Times New Roman" w:hAnsi="Times New Roman" w:cs="Times New Roman"/>
          <w:sz w:val="20"/>
          <w:szCs w:val="20"/>
        </w:rPr>
        <w:t xml:space="preserve">by grants </w:t>
      </w:r>
      <w:r w:rsidRPr="00931885">
        <w:rPr>
          <w:rFonts w:ascii="Times New Roman" w:hAnsi="Times New Roman" w:cs="Times New Roman"/>
          <w:sz w:val="20"/>
          <w:szCs w:val="20"/>
        </w:rPr>
        <w:t>U10CA180821, U10CA180835, UG1CA233163, U10CA180882, and U10CA180888 from</w:t>
      </w:r>
      <w:r>
        <w:rPr>
          <w:rFonts w:ascii="Times New Roman" w:hAnsi="Times New Roman" w:cs="Times New Roman"/>
          <w:sz w:val="20"/>
          <w:szCs w:val="20"/>
        </w:rPr>
        <w:t xml:space="preserve"> the National Cancer Institute.</w:t>
      </w:r>
      <w:r w:rsidRPr="00D06E56">
        <w:rPr>
          <w:rFonts w:ascii="Times New Roman" w:hAnsi="Times New Roman" w:cs="Times New Roman"/>
          <w:sz w:val="20"/>
          <w:szCs w:val="20"/>
        </w:rPr>
        <w:t xml:space="preserve"> </w:t>
      </w:r>
      <w:r w:rsidRPr="00931885">
        <w:rPr>
          <w:rFonts w:ascii="Times New Roman" w:hAnsi="Times New Roman" w:cs="Times New Roman"/>
          <w:sz w:val="20"/>
          <w:szCs w:val="20"/>
        </w:rPr>
        <w:t>ACHIEVE</w:t>
      </w:r>
      <w:r>
        <w:rPr>
          <w:rFonts w:ascii="Times New Roman" w:hAnsi="Times New Roman" w:cs="Times New Roman"/>
          <w:sz w:val="20"/>
          <w:szCs w:val="20"/>
        </w:rPr>
        <w:t xml:space="preserve"> (</w:t>
      </w:r>
      <w:r w:rsidRPr="00931885">
        <w:rPr>
          <w:rFonts w:ascii="Times New Roman" w:hAnsi="Times New Roman" w:cs="Times New Roman"/>
          <w:sz w:val="20"/>
          <w:szCs w:val="20"/>
        </w:rPr>
        <w:t>UMIN000008543</w:t>
      </w:r>
      <w:r>
        <w:rPr>
          <w:rFonts w:ascii="Times New Roman" w:hAnsi="Times New Roman" w:cs="Times New Roman"/>
          <w:sz w:val="20"/>
          <w:szCs w:val="20"/>
        </w:rPr>
        <w:t>) trial conduct was</w:t>
      </w:r>
      <w:r w:rsidRPr="00931885">
        <w:rPr>
          <w:rFonts w:ascii="Times New Roman" w:hAnsi="Times New Roman" w:cs="Times New Roman"/>
          <w:sz w:val="20"/>
          <w:szCs w:val="20"/>
        </w:rPr>
        <w:t xml:space="preserve"> supported by the Japanese Foundation for Multidisciplinary Treatment of Cancer (JFMC) and </w:t>
      </w:r>
      <w:r>
        <w:rPr>
          <w:rFonts w:ascii="Times New Roman" w:hAnsi="Times New Roman" w:cs="Times New Roman"/>
          <w:sz w:val="20"/>
          <w:szCs w:val="20"/>
        </w:rPr>
        <w:t xml:space="preserve">funded by Yakult Honsha Co, Ltd. </w:t>
      </w:r>
      <w:r w:rsidRPr="00931885">
        <w:rPr>
          <w:rFonts w:ascii="Times New Roman" w:hAnsi="Times New Roman" w:cs="Times New Roman"/>
          <w:sz w:val="20"/>
          <w:szCs w:val="20"/>
        </w:rPr>
        <w:t xml:space="preserve">HORG </w:t>
      </w:r>
      <w:r>
        <w:rPr>
          <w:rFonts w:ascii="Times New Roman" w:hAnsi="Times New Roman" w:cs="Times New Roman"/>
          <w:sz w:val="20"/>
          <w:szCs w:val="20"/>
        </w:rPr>
        <w:t>(</w:t>
      </w:r>
      <w:r w:rsidRPr="00931885">
        <w:rPr>
          <w:rFonts w:ascii="Times New Roman" w:hAnsi="Times New Roman" w:cs="Times New Roman"/>
          <w:sz w:val="20"/>
          <w:szCs w:val="20"/>
        </w:rPr>
        <w:t>NCT01308086</w:t>
      </w:r>
      <w:r>
        <w:rPr>
          <w:rFonts w:ascii="Times New Roman" w:hAnsi="Times New Roman" w:cs="Times New Roman"/>
          <w:sz w:val="20"/>
          <w:szCs w:val="20"/>
        </w:rPr>
        <w:t>) trial conduct was</w:t>
      </w:r>
      <w:r w:rsidRPr="00931885">
        <w:rPr>
          <w:rFonts w:ascii="Times New Roman" w:hAnsi="Times New Roman" w:cs="Times New Roman"/>
          <w:sz w:val="20"/>
          <w:szCs w:val="20"/>
        </w:rPr>
        <w:t xml:space="preserve"> supported </w:t>
      </w:r>
      <w:r>
        <w:rPr>
          <w:rFonts w:ascii="Times New Roman" w:hAnsi="Times New Roman" w:cs="Times New Roman"/>
          <w:sz w:val="20"/>
          <w:szCs w:val="20"/>
        </w:rPr>
        <w:t>by the HORG Foundation.</w:t>
      </w:r>
    </w:p>
    <w:p w:rsidR="00C66E5B" w:rsidRPr="00FD7217" w:rsidRDefault="00C66E5B" w:rsidP="00FD7217">
      <w:pPr>
        <w:rPr>
          <w:rFonts w:ascii="Times New Roman" w:hAnsi="Times New Roman" w:cs="Times New Roman"/>
          <w:sz w:val="20"/>
          <w:szCs w:val="20"/>
        </w:rPr>
      </w:pPr>
      <w:r>
        <w:rPr>
          <w:rFonts w:ascii="Times New Roman" w:hAnsi="Times New Roman" w:cs="Times New Roman"/>
          <w:sz w:val="20"/>
          <w:szCs w:val="20"/>
        </w:rPr>
        <w:t>We</w:t>
      </w:r>
      <w:r w:rsidRPr="00173CC0">
        <w:rPr>
          <w:rFonts w:ascii="Times New Roman" w:hAnsi="Times New Roman" w:cs="Times New Roman"/>
          <w:sz w:val="20"/>
          <w:szCs w:val="20"/>
        </w:rPr>
        <w:t xml:space="preserve"> dedicate</w:t>
      </w:r>
      <w:r>
        <w:rPr>
          <w:rFonts w:ascii="Times New Roman" w:hAnsi="Times New Roman" w:cs="Times New Roman"/>
          <w:sz w:val="20"/>
          <w:szCs w:val="20"/>
        </w:rPr>
        <w:t xml:space="preserve"> this work</w:t>
      </w:r>
      <w:r w:rsidRPr="00173CC0">
        <w:rPr>
          <w:rFonts w:ascii="Times New Roman" w:hAnsi="Times New Roman" w:cs="Times New Roman"/>
          <w:sz w:val="20"/>
          <w:szCs w:val="20"/>
        </w:rPr>
        <w:t xml:space="preserve"> to the memory of </w:t>
      </w:r>
      <w:proofErr w:type="spellStart"/>
      <w:r>
        <w:rPr>
          <w:rFonts w:ascii="Times New Roman" w:hAnsi="Times New Roman" w:cs="Times New Roman"/>
          <w:sz w:val="20"/>
          <w:szCs w:val="20"/>
        </w:rPr>
        <w:t>Dr</w:t>
      </w:r>
      <w:proofErr w:type="spellEnd"/>
      <w:r>
        <w:rPr>
          <w:rFonts w:ascii="Times New Roman" w:hAnsi="Times New Roman" w:cs="Times New Roman"/>
          <w:sz w:val="20"/>
          <w:szCs w:val="20"/>
        </w:rPr>
        <w:t xml:space="preserve"> </w:t>
      </w:r>
      <w:r w:rsidRPr="00173CC0">
        <w:rPr>
          <w:rFonts w:ascii="Times New Roman" w:hAnsi="Times New Roman" w:cs="Times New Roman"/>
          <w:sz w:val="20"/>
          <w:szCs w:val="20"/>
        </w:rPr>
        <w:t>Daniel J. Sargent</w:t>
      </w:r>
    </w:p>
    <w:p w:rsidR="00C66E5B" w:rsidRPr="00FD7217" w:rsidRDefault="00C66E5B" w:rsidP="00FD7217">
      <w:pPr>
        <w:rPr>
          <w:rFonts w:ascii="Times New Roman" w:hAnsi="Times New Roman" w:cs="Times New Roman"/>
        </w:rPr>
      </w:pPr>
    </w:p>
    <w:p w:rsidR="00C66E5B" w:rsidRPr="00DD7984" w:rsidRDefault="00C66E5B" w:rsidP="000059ED">
      <w:pPr>
        <w:rPr>
          <w:rFonts w:ascii="Times New Roman" w:hAnsi="Times New Roman" w:cs="Times New Roman"/>
          <w:sz w:val="20"/>
          <w:szCs w:val="20"/>
        </w:rPr>
      </w:pPr>
      <w:r w:rsidRPr="00DD7984">
        <w:rPr>
          <w:rFonts w:ascii="Times New Roman" w:hAnsi="Times New Roman" w:cs="Times New Roman"/>
          <w:sz w:val="20"/>
          <w:szCs w:val="20"/>
        </w:rPr>
        <w:t>Author contributions:</w:t>
      </w:r>
    </w:p>
    <w:p w:rsidR="00C66E5B" w:rsidRDefault="00C66E5B" w:rsidP="000059ED">
      <w:pPr>
        <w:rPr>
          <w:rFonts w:ascii="Times New Roman" w:hAnsi="Times New Roman" w:cs="Times New Roman"/>
          <w:sz w:val="20"/>
          <w:szCs w:val="20"/>
        </w:rPr>
      </w:pPr>
      <w:r>
        <w:rPr>
          <w:rFonts w:ascii="Times New Roman" w:hAnsi="Times New Roman" w:cs="Times New Roman"/>
          <w:sz w:val="20"/>
          <w:szCs w:val="20"/>
        </w:rPr>
        <w:t xml:space="preserve">Study concept and design were the responsibility of authors (QS, TA, AG, JM, TI, AS, TY, IS, RL, TY, JT, AS). The data analysis and interpretation, and manuscript writing was the responsibility of authors (QS, TA, AG, JPM). The manuscript review, revisions and the decision to submit for publication was the responsibility of all authors. </w:t>
      </w:r>
    </w:p>
    <w:p w:rsidR="00C66E5B" w:rsidRDefault="00C66E5B" w:rsidP="000059ED">
      <w:pPr>
        <w:rPr>
          <w:rFonts w:ascii="Times New Roman" w:hAnsi="Times New Roman" w:cs="Times New Roman"/>
          <w:sz w:val="20"/>
          <w:szCs w:val="20"/>
        </w:rPr>
      </w:pPr>
    </w:p>
    <w:p w:rsidR="00C66E5B" w:rsidRDefault="00C66E5B" w:rsidP="000059ED">
      <w:pPr>
        <w:rPr>
          <w:rFonts w:ascii="Times New Roman" w:hAnsi="Times New Roman" w:cs="Times New Roman"/>
          <w:sz w:val="20"/>
          <w:szCs w:val="20"/>
        </w:rPr>
      </w:pPr>
      <w:r>
        <w:rPr>
          <w:rFonts w:ascii="Times New Roman" w:hAnsi="Times New Roman" w:cs="Times New Roman"/>
          <w:sz w:val="20"/>
          <w:szCs w:val="20"/>
        </w:rPr>
        <w:t>Declaration of interest:</w:t>
      </w:r>
    </w:p>
    <w:p w:rsidR="00C66E5B" w:rsidRPr="00763C43" w:rsidRDefault="00C66E5B" w:rsidP="00DD7984">
      <w:pPr>
        <w:pStyle w:val="ListParagraph"/>
        <w:numPr>
          <w:ilvl w:val="0"/>
          <w:numId w:val="9"/>
        </w:numPr>
        <w:rPr>
          <w:rFonts w:ascii="Times New Roman" w:hAnsi="Times New Roman" w:cs="Times New Roman"/>
          <w:sz w:val="20"/>
          <w:szCs w:val="20"/>
        </w:rPr>
      </w:pPr>
      <w:r w:rsidRPr="00763C43">
        <w:rPr>
          <w:rFonts w:ascii="Times New Roman" w:hAnsi="Times New Roman" w:cs="Times New Roman"/>
          <w:sz w:val="20"/>
          <w:szCs w:val="20"/>
        </w:rPr>
        <w:t xml:space="preserve">VG, AH, RL JPM, DN, </w:t>
      </w:r>
      <w:proofErr w:type="spellStart"/>
      <w:r w:rsidRPr="00763C43">
        <w:rPr>
          <w:rFonts w:ascii="Times New Roman" w:hAnsi="Times New Roman" w:cs="Times New Roman"/>
          <w:sz w:val="20"/>
          <w:szCs w:val="20"/>
        </w:rPr>
        <w:t>ASh</w:t>
      </w:r>
      <w:proofErr w:type="spellEnd"/>
      <w:r w:rsidRPr="00763C43">
        <w:rPr>
          <w:rFonts w:ascii="Times New Roman" w:hAnsi="Times New Roman" w:cs="Times New Roman"/>
          <w:sz w:val="20"/>
          <w:szCs w:val="20"/>
        </w:rPr>
        <w:t xml:space="preserve">, </w:t>
      </w:r>
      <w:proofErr w:type="spellStart"/>
      <w:r w:rsidRPr="00763C43">
        <w:rPr>
          <w:rFonts w:ascii="Times New Roman" w:hAnsi="Times New Roman" w:cs="Times New Roman"/>
          <w:sz w:val="20"/>
          <w:szCs w:val="20"/>
        </w:rPr>
        <w:t>ASo</w:t>
      </w:r>
      <w:proofErr w:type="spellEnd"/>
      <w:r w:rsidRPr="00763C43">
        <w:rPr>
          <w:rFonts w:ascii="Times New Roman" w:hAnsi="Times New Roman" w:cs="Times New Roman"/>
          <w:sz w:val="20"/>
          <w:szCs w:val="20"/>
        </w:rPr>
        <w:t>, VT, has nothing to disclose.</w:t>
      </w:r>
    </w:p>
    <w:p w:rsidR="00C66E5B" w:rsidRPr="00763C43" w:rsidRDefault="00C66E5B" w:rsidP="00DD7984">
      <w:pPr>
        <w:pStyle w:val="ListParagraph"/>
        <w:numPr>
          <w:ilvl w:val="0"/>
          <w:numId w:val="9"/>
        </w:numPr>
        <w:rPr>
          <w:rFonts w:ascii="Times New Roman" w:hAnsi="Times New Roman" w:cs="Times New Roman"/>
          <w:sz w:val="20"/>
          <w:szCs w:val="20"/>
        </w:rPr>
      </w:pPr>
      <w:r w:rsidRPr="00763C43">
        <w:rPr>
          <w:rFonts w:ascii="Times New Roman" w:hAnsi="Times New Roman" w:cs="Times New Roman"/>
          <w:sz w:val="20"/>
          <w:szCs w:val="20"/>
        </w:rPr>
        <w:t>TA reports personal fees from Amgen, Astra Zeneca, Bristol-Myers-Squib, Chugai</w:t>
      </w:r>
      <w:proofErr w:type="gramStart"/>
      <w:r w:rsidRPr="00763C43">
        <w:rPr>
          <w:rFonts w:ascii="Times New Roman" w:hAnsi="Times New Roman" w:cs="Times New Roman"/>
          <w:sz w:val="20"/>
          <w:szCs w:val="20"/>
        </w:rPr>
        <w:t>,  Clovis</w:t>
      </w:r>
      <w:proofErr w:type="gramEnd"/>
      <w:r w:rsidRPr="00763C43">
        <w:rPr>
          <w:rFonts w:ascii="Times New Roman" w:hAnsi="Times New Roman" w:cs="Times New Roman"/>
          <w:sz w:val="20"/>
          <w:szCs w:val="20"/>
        </w:rPr>
        <w:t xml:space="preserve"> Oncology, Gritstone Oncology</w:t>
      </w:r>
      <w:r w:rsidRPr="009A2CA0">
        <w:rPr>
          <w:rFonts w:ascii="Times New Roman" w:hAnsi="Times New Roman" w:cs="Times New Roman"/>
          <w:sz w:val="20"/>
          <w:szCs w:val="20"/>
        </w:rPr>
        <w:t xml:space="preserve">, </w:t>
      </w:r>
      <w:r w:rsidRPr="00B477E4">
        <w:rPr>
          <w:rFonts w:ascii="Times New Roman" w:hAnsi="Times New Roman" w:cs="Times New Roman"/>
          <w:color w:val="4D5156"/>
          <w:sz w:val="20"/>
          <w:szCs w:val="20"/>
          <w:shd w:val="clear" w:color="auto" w:fill="FFFFFF"/>
        </w:rPr>
        <w:t>GlaxoSmithKline</w:t>
      </w:r>
      <w:r>
        <w:rPr>
          <w:rFonts w:ascii="Arial" w:hAnsi="Arial" w:cs="Arial"/>
          <w:color w:val="4D5156"/>
          <w:sz w:val="21"/>
          <w:szCs w:val="21"/>
          <w:shd w:val="clear" w:color="auto" w:fill="FFFFFF"/>
        </w:rPr>
        <w:t xml:space="preserve">, </w:t>
      </w:r>
      <w:proofErr w:type="spellStart"/>
      <w:r w:rsidRPr="00763C43">
        <w:rPr>
          <w:rFonts w:ascii="Times New Roman" w:hAnsi="Times New Roman" w:cs="Times New Roman"/>
          <w:sz w:val="20"/>
          <w:szCs w:val="20"/>
        </w:rPr>
        <w:t>Halliodx</w:t>
      </w:r>
      <w:proofErr w:type="spellEnd"/>
      <w:r w:rsidRPr="00763C43">
        <w:rPr>
          <w:rFonts w:ascii="Times New Roman" w:hAnsi="Times New Roman" w:cs="Times New Roman"/>
          <w:sz w:val="20"/>
          <w:szCs w:val="20"/>
        </w:rPr>
        <w:t xml:space="preserve">,  Merck Sharp &amp; Dohme Corp, </w:t>
      </w:r>
      <w:proofErr w:type="spellStart"/>
      <w:r w:rsidRPr="00763C43">
        <w:rPr>
          <w:rFonts w:ascii="Times New Roman" w:hAnsi="Times New Roman" w:cs="Times New Roman"/>
          <w:sz w:val="20"/>
          <w:szCs w:val="20"/>
        </w:rPr>
        <w:t>Tesaro</w:t>
      </w:r>
      <w:proofErr w:type="spellEnd"/>
      <w:r w:rsidRPr="00763C43">
        <w:rPr>
          <w:rFonts w:ascii="Times New Roman" w:hAnsi="Times New Roman" w:cs="Times New Roman"/>
          <w:sz w:val="20"/>
          <w:szCs w:val="20"/>
        </w:rPr>
        <w:t>,  Pierre Fabre, Roche/</w:t>
      </w:r>
      <w:proofErr w:type="spellStart"/>
      <w:r w:rsidRPr="00763C43">
        <w:rPr>
          <w:rFonts w:ascii="Times New Roman" w:hAnsi="Times New Roman" w:cs="Times New Roman"/>
          <w:sz w:val="20"/>
          <w:szCs w:val="20"/>
        </w:rPr>
        <w:t>Vantana</w:t>
      </w:r>
      <w:proofErr w:type="spellEnd"/>
      <w:r w:rsidRPr="00763C43">
        <w:rPr>
          <w:rFonts w:ascii="Times New Roman" w:hAnsi="Times New Roman" w:cs="Times New Roman"/>
          <w:sz w:val="20"/>
          <w:szCs w:val="20"/>
        </w:rPr>
        <w:t xml:space="preserve">, </w:t>
      </w:r>
      <w:proofErr w:type="spellStart"/>
      <w:r w:rsidRPr="00763C43">
        <w:rPr>
          <w:rFonts w:ascii="Times New Roman" w:hAnsi="Times New Roman" w:cs="Times New Roman"/>
          <w:sz w:val="20"/>
          <w:szCs w:val="20"/>
        </w:rPr>
        <w:t>Servier</w:t>
      </w:r>
      <w:proofErr w:type="spellEnd"/>
      <w:r w:rsidRPr="00763C43">
        <w:rPr>
          <w:rFonts w:ascii="Times New Roman" w:hAnsi="Times New Roman" w:cs="Times New Roman"/>
          <w:sz w:val="20"/>
          <w:szCs w:val="20"/>
        </w:rPr>
        <w:t>, Sanofi, Roche/</w:t>
      </w:r>
      <w:proofErr w:type="spellStart"/>
      <w:r w:rsidRPr="00763C43">
        <w:rPr>
          <w:rFonts w:ascii="Times New Roman" w:hAnsi="Times New Roman" w:cs="Times New Roman"/>
          <w:sz w:val="20"/>
          <w:szCs w:val="20"/>
        </w:rPr>
        <w:t>Vantana</w:t>
      </w:r>
      <w:proofErr w:type="spellEnd"/>
      <w:r w:rsidRPr="00763C43">
        <w:rPr>
          <w:rFonts w:ascii="Times New Roman" w:hAnsi="Times New Roman" w:cs="Times New Roman"/>
          <w:sz w:val="20"/>
          <w:szCs w:val="20"/>
        </w:rPr>
        <w:t>,     outside the submitted work.</w:t>
      </w:r>
    </w:p>
    <w:p w:rsidR="00C66E5B" w:rsidRPr="00763C43" w:rsidRDefault="00C66E5B" w:rsidP="00DD7984">
      <w:pPr>
        <w:pStyle w:val="ListParagraph"/>
        <w:numPr>
          <w:ilvl w:val="0"/>
          <w:numId w:val="9"/>
        </w:numPr>
        <w:rPr>
          <w:rFonts w:ascii="Times New Roman" w:hAnsi="Times New Roman" w:cs="Times New Roman"/>
          <w:sz w:val="20"/>
          <w:szCs w:val="20"/>
        </w:rPr>
      </w:pPr>
      <w:r w:rsidRPr="00763C43">
        <w:rPr>
          <w:rFonts w:ascii="Times New Roman" w:hAnsi="Times New Roman" w:cs="Times New Roman"/>
          <w:sz w:val="20"/>
          <w:szCs w:val="20"/>
        </w:rPr>
        <w:t>IB reports personal fees and other from ASTRA-ZENECA, personal fees and other from BMS, personal fees and other from MSD, personal fees and other from NOVARTIS, personal fees and other from PFIZER, personal fees and other from ROCHE, personal fees and other from AMGEN, other from LILLY, personal fees and other from LEO, personal fees and other from PIERRE FABRE, personal fees from SANOFI, other from REGENERON, personal fees from SERVIER, personal fees and other from BOEHRINGER,  outside the submitted work.</w:t>
      </w:r>
    </w:p>
    <w:p w:rsidR="00C66E5B" w:rsidRPr="00763C43" w:rsidRDefault="00C66E5B" w:rsidP="00DD7984">
      <w:pPr>
        <w:pStyle w:val="ListParagraph"/>
        <w:numPr>
          <w:ilvl w:val="0"/>
          <w:numId w:val="9"/>
        </w:numPr>
        <w:rPr>
          <w:rFonts w:ascii="Times New Roman" w:hAnsi="Times New Roman" w:cs="Times New Roman"/>
          <w:sz w:val="20"/>
          <w:szCs w:val="20"/>
        </w:rPr>
      </w:pPr>
      <w:r w:rsidRPr="00763C43">
        <w:rPr>
          <w:rFonts w:ascii="Times New Roman" w:hAnsi="Times New Roman" w:cs="Times New Roman"/>
          <w:sz w:val="20"/>
          <w:szCs w:val="20"/>
        </w:rPr>
        <w:t xml:space="preserve">AG reports grants, personal fees and non-financial support from Bayer, grants, personal fees and non-financial support from Genentech/ Roche, grants and personal fees from Array/ Pfizer, grants and personal fees from Boston </w:t>
      </w:r>
      <w:proofErr w:type="spellStart"/>
      <w:r w:rsidRPr="00763C43">
        <w:rPr>
          <w:rFonts w:ascii="Times New Roman" w:hAnsi="Times New Roman" w:cs="Times New Roman"/>
          <w:sz w:val="20"/>
          <w:szCs w:val="20"/>
        </w:rPr>
        <w:t>Biomedicals</w:t>
      </w:r>
      <w:proofErr w:type="spellEnd"/>
      <w:r w:rsidRPr="00763C43">
        <w:rPr>
          <w:rFonts w:ascii="Times New Roman" w:hAnsi="Times New Roman" w:cs="Times New Roman"/>
          <w:sz w:val="20"/>
          <w:szCs w:val="20"/>
        </w:rPr>
        <w:t>, grants from OBI Pharmaceuticals, grants from Merck,  during the conduct of the study.</w:t>
      </w:r>
    </w:p>
    <w:p w:rsidR="00C66E5B" w:rsidRPr="00C2775B" w:rsidRDefault="00C66E5B" w:rsidP="00593473">
      <w:pPr>
        <w:pStyle w:val="ListParagraph"/>
        <w:numPr>
          <w:ilvl w:val="0"/>
          <w:numId w:val="9"/>
        </w:numPr>
        <w:rPr>
          <w:rFonts w:ascii="Times New Roman" w:hAnsi="Times New Roman" w:cs="Times New Roman"/>
          <w:sz w:val="20"/>
          <w:szCs w:val="20"/>
        </w:rPr>
      </w:pPr>
      <w:r w:rsidRPr="00C2775B">
        <w:rPr>
          <w:rFonts w:ascii="Times New Roman" w:hAnsi="Times New Roman" w:cs="Times New Roman"/>
          <w:sz w:val="20"/>
          <w:szCs w:val="20"/>
        </w:rPr>
        <w:t xml:space="preserve">TI reports Honoraria from Eli Lilly, Bristol Myers </w:t>
      </w:r>
      <w:proofErr w:type="spellStart"/>
      <w:r w:rsidRPr="00C2775B">
        <w:rPr>
          <w:rFonts w:ascii="Times New Roman" w:hAnsi="Times New Roman" w:cs="Times New Roman"/>
          <w:sz w:val="20"/>
          <w:szCs w:val="20"/>
        </w:rPr>
        <w:t>Sqibb</w:t>
      </w:r>
      <w:proofErr w:type="spellEnd"/>
      <w:r w:rsidRPr="00C2775B">
        <w:rPr>
          <w:rFonts w:ascii="Times New Roman" w:hAnsi="Times New Roman" w:cs="Times New Roman"/>
          <w:sz w:val="20"/>
          <w:szCs w:val="20"/>
        </w:rPr>
        <w:t xml:space="preserve">, Bayer, Amgen, Roche, </w:t>
      </w:r>
      <w:proofErr w:type="spellStart"/>
      <w:r w:rsidRPr="00C2775B">
        <w:rPr>
          <w:rFonts w:ascii="Times New Roman" w:hAnsi="Times New Roman" w:cs="Times New Roman"/>
          <w:sz w:val="20"/>
          <w:szCs w:val="20"/>
        </w:rPr>
        <w:t>Servier</w:t>
      </w:r>
      <w:proofErr w:type="spellEnd"/>
    </w:p>
    <w:p w:rsidR="00C66E5B" w:rsidRPr="00C2775B" w:rsidRDefault="00C66E5B" w:rsidP="00593473">
      <w:pPr>
        <w:pStyle w:val="ListParagraph"/>
        <w:numPr>
          <w:ilvl w:val="0"/>
          <w:numId w:val="9"/>
        </w:numPr>
        <w:rPr>
          <w:rFonts w:ascii="Times New Roman" w:hAnsi="Times New Roman" w:cs="Times New Roman"/>
          <w:sz w:val="20"/>
          <w:szCs w:val="20"/>
        </w:rPr>
      </w:pPr>
      <w:proofErr w:type="spellStart"/>
      <w:r w:rsidRPr="00C2775B">
        <w:rPr>
          <w:rFonts w:ascii="Times New Roman" w:hAnsi="Times New Roman" w:cs="Times New Roman"/>
          <w:sz w:val="20"/>
          <w:szCs w:val="20"/>
        </w:rPr>
        <w:t>TYo</w:t>
      </w:r>
      <w:proofErr w:type="spellEnd"/>
      <w:r w:rsidRPr="00C2775B">
        <w:rPr>
          <w:rFonts w:ascii="Times New Roman" w:hAnsi="Times New Roman" w:cs="Times New Roman"/>
          <w:sz w:val="20"/>
          <w:szCs w:val="20"/>
        </w:rPr>
        <w:t xml:space="preserve"> reports grants from Novartis Pharma K.K., grants from MSK K.K., grants from Sumitomo Dainippon Pharma Co., Ltd., grants from Chugai Pharmaceutical Co., Ltd., grants from Sanofi K.K., grants from Daiichi Sankyo Company, Limited, grants from PAREXEL International Inc., grants from ONO PHARMACEUTICAL CO., LTD., grants from Glaxo SmithKline K.K.,  outside the submitted work.</w:t>
      </w:r>
    </w:p>
    <w:p w:rsidR="00C66E5B" w:rsidRPr="00C2775B" w:rsidRDefault="00C66E5B" w:rsidP="00593473">
      <w:pPr>
        <w:pStyle w:val="ListParagraph"/>
        <w:numPr>
          <w:ilvl w:val="0"/>
          <w:numId w:val="9"/>
        </w:numPr>
        <w:rPr>
          <w:rFonts w:ascii="Times New Roman" w:hAnsi="Times New Roman" w:cs="Times New Roman"/>
          <w:sz w:val="20"/>
          <w:szCs w:val="20"/>
        </w:rPr>
      </w:pPr>
      <w:r w:rsidRPr="00C2775B">
        <w:rPr>
          <w:rFonts w:ascii="Times New Roman" w:hAnsi="Times New Roman" w:cs="Times New Roman"/>
          <w:sz w:val="20"/>
          <w:szCs w:val="20"/>
        </w:rPr>
        <w:t xml:space="preserve">EO reports personal fees from Yakult Honsha, personal fees from Taiho Pharm, personal fees from Bayer </w:t>
      </w:r>
      <w:proofErr w:type="spellStart"/>
      <w:r w:rsidRPr="00C2775B">
        <w:rPr>
          <w:rFonts w:ascii="Times New Roman" w:hAnsi="Times New Roman" w:cs="Times New Roman"/>
          <w:sz w:val="20"/>
          <w:szCs w:val="20"/>
        </w:rPr>
        <w:t>Yakuhin</w:t>
      </w:r>
      <w:proofErr w:type="spellEnd"/>
      <w:r w:rsidRPr="00C2775B">
        <w:rPr>
          <w:rFonts w:ascii="Times New Roman" w:hAnsi="Times New Roman" w:cs="Times New Roman"/>
          <w:sz w:val="20"/>
          <w:szCs w:val="20"/>
        </w:rPr>
        <w:t xml:space="preserve">, personal fees from Eli Lilly, personal fees from Chugai Pharm, personal fees from Ono Pharm, personal fees from Takeda Pharm, personal fees from Merck </w:t>
      </w:r>
      <w:proofErr w:type="spellStart"/>
      <w:r w:rsidRPr="00C2775B">
        <w:rPr>
          <w:rFonts w:ascii="Times New Roman" w:hAnsi="Times New Roman" w:cs="Times New Roman"/>
          <w:sz w:val="20"/>
          <w:szCs w:val="20"/>
        </w:rPr>
        <w:t>Biopharm</w:t>
      </w:r>
      <w:proofErr w:type="spellEnd"/>
      <w:proofErr w:type="gramStart"/>
      <w:r w:rsidRPr="00C2775B">
        <w:rPr>
          <w:rFonts w:ascii="Times New Roman" w:hAnsi="Times New Roman" w:cs="Times New Roman"/>
          <w:sz w:val="20"/>
          <w:szCs w:val="20"/>
        </w:rPr>
        <w:t>,  outside</w:t>
      </w:r>
      <w:proofErr w:type="gramEnd"/>
      <w:r w:rsidRPr="00C2775B">
        <w:rPr>
          <w:rFonts w:ascii="Times New Roman" w:hAnsi="Times New Roman" w:cs="Times New Roman"/>
          <w:sz w:val="20"/>
          <w:szCs w:val="20"/>
        </w:rPr>
        <w:t xml:space="preserve"> the submitted work.</w:t>
      </w:r>
    </w:p>
    <w:p w:rsidR="00C66E5B" w:rsidRPr="00C2775B" w:rsidRDefault="00C66E5B" w:rsidP="00593473">
      <w:pPr>
        <w:pStyle w:val="ListParagraph"/>
        <w:numPr>
          <w:ilvl w:val="0"/>
          <w:numId w:val="9"/>
        </w:numPr>
        <w:rPr>
          <w:rFonts w:ascii="Times New Roman" w:hAnsi="Times New Roman" w:cs="Times New Roman"/>
          <w:sz w:val="20"/>
          <w:szCs w:val="20"/>
        </w:rPr>
      </w:pPr>
      <w:proofErr w:type="spellStart"/>
      <w:r w:rsidRPr="00C2775B">
        <w:rPr>
          <w:rFonts w:ascii="Times New Roman" w:hAnsi="Times New Roman" w:cs="Times New Roman"/>
          <w:sz w:val="20"/>
          <w:szCs w:val="20"/>
        </w:rPr>
        <w:t>TYa</w:t>
      </w:r>
      <w:proofErr w:type="spellEnd"/>
      <w:r w:rsidRPr="00C2775B">
        <w:rPr>
          <w:rFonts w:ascii="Times New Roman" w:hAnsi="Times New Roman" w:cs="Times New Roman"/>
          <w:sz w:val="20"/>
          <w:szCs w:val="20"/>
        </w:rPr>
        <w:t xml:space="preserve"> reports grants and personal fees from Chugai Pharmaceutical, grants and personal fees from Bayer, grants from Takeda Pharmaceutical, grants from Taiho Pharmaceutical</w:t>
      </w:r>
      <w:proofErr w:type="gramStart"/>
      <w:r w:rsidRPr="00C2775B">
        <w:rPr>
          <w:rFonts w:ascii="Times New Roman" w:hAnsi="Times New Roman" w:cs="Times New Roman"/>
          <w:sz w:val="20"/>
          <w:szCs w:val="20"/>
        </w:rPr>
        <w:t>,  outside</w:t>
      </w:r>
      <w:proofErr w:type="gramEnd"/>
      <w:r w:rsidRPr="00C2775B">
        <w:rPr>
          <w:rFonts w:ascii="Times New Roman" w:hAnsi="Times New Roman" w:cs="Times New Roman"/>
          <w:sz w:val="20"/>
          <w:szCs w:val="20"/>
        </w:rPr>
        <w:t xml:space="preserve"> the submitted work.</w:t>
      </w:r>
    </w:p>
    <w:p w:rsidR="00C66E5B" w:rsidRPr="00C2775B" w:rsidRDefault="00C66E5B" w:rsidP="00593473">
      <w:pPr>
        <w:pStyle w:val="ListParagraph"/>
        <w:numPr>
          <w:ilvl w:val="0"/>
          <w:numId w:val="9"/>
        </w:numPr>
        <w:rPr>
          <w:rFonts w:ascii="Times New Roman" w:hAnsi="Times New Roman" w:cs="Times New Roman"/>
          <w:sz w:val="20"/>
          <w:szCs w:val="20"/>
        </w:rPr>
      </w:pPr>
      <w:r w:rsidRPr="00C2775B">
        <w:rPr>
          <w:rFonts w:ascii="Times New Roman" w:hAnsi="Times New Roman" w:cs="Times New Roman"/>
          <w:sz w:val="20"/>
          <w:szCs w:val="20"/>
        </w:rPr>
        <w:t xml:space="preserve">JM reports personal fees from Taiho Pharmaceutical, personal fees from </w:t>
      </w:r>
      <w:proofErr w:type="spellStart"/>
      <w:r w:rsidRPr="00C2775B">
        <w:rPr>
          <w:rFonts w:ascii="Times New Roman" w:hAnsi="Times New Roman" w:cs="Times New Roman"/>
          <w:sz w:val="20"/>
          <w:szCs w:val="20"/>
        </w:rPr>
        <w:t>Ignyta</w:t>
      </w:r>
      <w:proofErr w:type="spellEnd"/>
      <w:r w:rsidRPr="00C2775B">
        <w:rPr>
          <w:rFonts w:ascii="Times New Roman" w:hAnsi="Times New Roman" w:cs="Times New Roman"/>
          <w:sz w:val="20"/>
          <w:szCs w:val="20"/>
        </w:rPr>
        <w:t>, personal fees from COTA Healthcar</w:t>
      </w:r>
      <w:r>
        <w:rPr>
          <w:rFonts w:ascii="Times New Roman" w:hAnsi="Times New Roman" w:cs="Times New Roman"/>
          <w:sz w:val="20"/>
          <w:szCs w:val="20"/>
        </w:rPr>
        <w:t xml:space="preserve">e, </w:t>
      </w:r>
      <w:r w:rsidRPr="00C2775B">
        <w:rPr>
          <w:rFonts w:ascii="Times New Roman" w:hAnsi="Times New Roman" w:cs="Times New Roman"/>
          <w:sz w:val="20"/>
          <w:szCs w:val="20"/>
        </w:rPr>
        <w:t>outside the submitted work.</w:t>
      </w:r>
    </w:p>
    <w:p w:rsidR="00C66E5B" w:rsidRPr="00C2775B" w:rsidRDefault="00C66E5B" w:rsidP="00593473">
      <w:pPr>
        <w:pStyle w:val="ListParagraph"/>
        <w:numPr>
          <w:ilvl w:val="0"/>
          <w:numId w:val="9"/>
        </w:numPr>
        <w:rPr>
          <w:rFonts w:ascii="Times New Roman" w:hAnsi="Times New Roman" w:cs="Times New Roman"/>
          <w:sz w:val="20"/>
          <w:szCs w:val="20"/>
        </w:rPr>
      </w:pPr>
      <w:r w:rsidRPr="00C2775B">
        <w:rPr>
          <w:rFonts w:ascii="Times New Roman" w:hAnsi="Times New Roman" w:cs="Times New Roman"/>
          <w:sz w:val="20"/>
          <w:szCs w:val="20"/>
        </w:rPr>
        <w:t>MS reports personal fees from SERVIER, personal fees from Merck, personal fees from Amgen</w:t>
      </w:r>
      <w:proofErr w:type="gramStart"/>
      <w:r w:rsidRPr="00C2775B">
        <w:rPr>
          <w:rFonts w:ascii="Times New Roman" w:hAnsi="Times New Roman" w:cs="Times New Roman"/>
          <w:sz w:val="20"/>
          <w:szCs w:val="20"/>
        </w:rPr>
        <w:t>,  outside</w:t>
      </w:r>
      <w:proofErr w:type="gramEnd"/>
      <w:r w:rsidRPr="00C2775B">
        <w:rPr>
          <w:rFonts w:ascii="Times New Roman" w:hAnsi="Times New Roman" w:cs="Times New Roman"/>
          <w:sz w:val="20"/>
          <w:szCs w:val="20"/>
        </w:rPr>
        <w:t xml:space="preserve"> the submitted work.</w:t>
      </w:r>
    </w:p>
    <w:p w:rsidR="00C66E5B" w:rsidRPr="00C2775B" w:rsidRDefault="00C66E5B" w:rsidP="00593473">
      <w:pPr>
        <w:pStyle w:val="ListParagraph"/>
        <w:numPr>
          <w:ilvl w:val="0"/>
          <w:numId w:val="9"/>
        </w:numPr>
        <w:rPr>
          <w:rFonts w:ascii="Times New Roman" w:hAnsi="Times New Roman" w:cs="Times New Roman"/>
          <w:sz w:val="20"/>
          <w:szCs w:val="20"/>
        </w:rPr>
      </w:pPr>
      <w:r w:rsidRPr="00C2775B">
        <w:rPr>
          <w:rFonts w:ascii="Times New Roman" w:hAnsi="Times New Roman" w:cs="Times New Roman"/>
          <w:sz w:val="20"/>
          <w:szCs w:val="20"/>
        </w:rPr>
        <w:t xml:space="preserve">QS reports other from </w:t>
      </w:r>
      <w:proofErr w:type="spellStart"/>
      <w:r w:rsidRPr="00C2775B">
        <w:rPr>
          <w:rFonts w:ascii="Times New Roman" w:hAnsi="Times New Roman" w:cs="Times New Roman"/>
          <w:sz w:val="20"/>
          <w:szCs w:val="20"/>
        </w:rPr>
        <w:t>Merk</w:t>
      </w:r>
      <w:proofErr w:type="spellEnd"/>
      <w:r w:rsidRPr="00C2775B">
        <w:rPr>
          <w:rFonts w:ascii="Times New Roman" w:hAnsi="Times New Roman" w:cs="Times New Roman"/>
          <w:sz w:val="20"/>
          <w:szCs w:val="20"/>
        </w:rPr>
        <w:t xml:space="preserve">, other from Johnson &amp; Johnson, other from Amgen, personal fees from </w:t>
      </w:r>
      <w:proofErr w:type="spellStart"/>
      <w:r w:rsidRPr="00C2775B">
        <w:rPr>
          <w:rFonts w:ascii="Times New Roman" w:hAnsi="Times New Roman" w:cs="Times New Roman"/>
          <w:sz w:val="20"/>
          <w:szCs w:val="20"/>
        </w:rPr>
        <w:t>Yiviva</w:t>
      </w:r>
      <w:proofErr w:type="spellEnd"/>
      <w:r w:rsidRPr="00C2775B">
        <w:rPr>
          <w:rFonts w:ascii="Times New Roman" w:hAnsi="Times New Roman" w:cs="Times New Roman"/>
          <w:sz w:val="20"/>
          <w:szCs w:val="20"/>
        </w:rPr>
        <w:t xml:space="preserve"> </w:t>
      </w:r>
      <w:proofErr w:type="spellStart"/>
      <w:r w:rsidRPr="00C2775B">
        <w:rPr>
          <w:rFonts w:ascii="Times New Roman" w:hAnsi="Times New Roman" w:cs="Times New Roman"/>
          <w:sz w:val="20"/>
          <w:szCs w:val="20"/>
        </w:rPr>
        <w:t>Inc</w:t>
      </w:r>
      <w:proofErr w:type="spellEnd"/>
      <w:r w:rsidRPr="00C2775B">
        <w:rPr>
          <w:rFonts w:ascii="Times New Roman" w:hAnsi="Times New Roman" w:cs="Times New Roman"/>
          <w:sz w:val="20"/>
          <w:szCs w:val="20"/>
        </w:rPr>
        <w:t xml:space="preserve">, personal fees from </w:t>
      </w:r>
      <w:proofErr w:type="spellStart"/>
      <w:r w:rsidRPr="00C2775B">
        <w:rPr>
          <w:rFonts w:ascii="Times New Roman" w:hAnsi="Times New Roman" w:cs="Times New Roman"/>
          <w:sz w:val="20"/>
          <w:szCs w:val="20"/>
        </w:rPr>
        <w:t>Boehringer</w:t>
      </w:r>
      <w:proofErr w:type="spellEnd"/>
      <w:r w:rsidRPr="00C2775B">
        <w:rPr>
          <w:rFonts w:ascii="Times New Roman" w:hAnsi="Times New Roman" w:cs="Times New Roman"/>
          <w:sz w:val="20"/>
          <w:szCs w:val="20"/>
        </w:rPr>
        <w:t xml:space="preserve"> </w:t>
      </w:r>
      <w:proofErr w:type="spellStart"/>
      <w:r w:rsidRPr="00C2775B">
        <w:rPr>
          <w:rFonts w:ascii="Times New Roman" w:hAnsi="Times New Roman" w:cs="Times New Roman"/>
          <w:sz w:val="20"/>
          <w:szCs w:val="20"/>
        </w:rPr>
        <w:t>Ingelheim</w:t>
      </w:r>
      <w:proofErr w:type="spellEnd"/>
      <w:r w:rsidRPr="00C2775B">
        <w:rPr>
          <w:rFonts w:ascii="Times New Roman" w:hAnsi="Times New Roman" w:cs="Times New Roman"/>
          <w:sz w:val="20"/>
          <w:szCs w:val="20"/>
        </w:rPr>
        <w:t xml:space="preserve"> Pharmaceuticals, </w:t>
      </w:r>
      <w:proofErr w:type="spellStart"/>
      <w:r w:rsidRPr="00C2775B">
        <w:rPr>
          <w:rFonts w:ascii="Times New Roman" w:hAnsi="Times New Roman" w:cs="Times New Roman"/>
          <w:sz w:val="20"/>
          <w:szCs w:val="20"/>
        </w:rPr>
        <w:t>Inc</w:t>
      </w:r>
      <w:proofErr w:type="spellEnd"/>
      <w:r w:rsidRPr="00C2775B">
        <w:rPr>
          <w:rFonts w:ascii="Times New Roman" w:hAnsi="Times New Roman" w:cs="Times New Roman"/>
          <w:sz w:val="20"/>
          <w:szCs w:val="20"/>
        </w:rPr>
        <w:t xml:space="preserve"> , grants from Celgene, grants from Roche/Genentech,  outside the submitted work.</w:t>
      </w:r>
    </w:p>
    <w:p w:rsidR="00C66E5B" w:rsidRPr="00C2775B" w:rsidRDefault="00C66E5B" w:rsidP="00593473">
      <w:pPr>
        <w:pStyle w:val="ListParagraph"/>
        <w:numPr>
          <w:ilvl w:val="0"/>
          <w:numId w:val="9"/>
        </w:numPr>
        <w:rPr>
          <w:rFonts w:ascii="Times New Roman" w:hAnsi="Times New Roman" w:cs="Times New Roman"/>
          <w:sz w:val="20"/>
          <w:szCs w:val="20"/>
        </w:rPr>
      </w:pPr>
      <w:proofErr w:type="gramStart"/>
      <w:r w:rsidRPr="00C2775B">
        <w:rPr>
          <w:rFonts w:ascii="Times New Roman" w:hAnsi="Times New Roman" w:cs="Times New Roman"/>
          <w:sz w:val="20"/>
          <w:szCs w:val="20"/>
        </w:rPr>
        <w:lastRenderedPageBreak/>
        <w:t>IS reports grants</w:t>
      </w:r>
      <w:proofErr w:type="gramEnd"/>
      <w:r w:rsidRPr="00C2775B">
        <w:rPr>
          <w:rFonts w:ascii="Times New Roman" w:hAnsi="Times New Roman" w:cs="Times New Roman"/>
          <w:sz w:val="20"/>
          <w:szCs w:val="20"/>
        </w:rPr>
        <w:t xml:space="preserve"> from AMGEN, grants from ROCHE, grants and personal fees from MERCK SA, personal fees from SERVIER, grants and personal fees from SANOFI, personal fees from </w:t>
      </w:r>
      <w:r>
        <w:rPr>
          <w:rFonts w:ascii="Times New Roman" w:hAnsi="Times New Roman" w:cs="Times New Roman"/>
          <w:sz w:val="20"/>
          <w:szCs w:val="20"/>
        </w:rPr>
        <w:t xml:space="preserve">IPSEN, personal fees from MSD, </w:t>
      </w:r>
      <w:r w:rsidRPr="00C2775B">
        <w:rPr>
          <w:rFonts w:ascii="Times New Roman" w:hAnsi="Times New Roman" w:cs="Times New Roman"/>
          <w:sz w:val="20"/>
          <w:szCs w:val="20"/>
        </w:rPr>
        <w:t>outside the submitted work.</w:t>
      </w:r>
    </w:p>
    <w:p w:rsidR="00C66E5B" w:rsidRPr="00C2775B" w:rsidRDefault="00C66E5B" w:rsidP="00C2775B">
      <w:pPr>
        <w:pStyle w:val="ListParagraph"/>
        <w:widowControl w:val="0"/>
        <w:numPr>
          <w:ilvl w:val="0"/>
          <w:numId w:val="9"/>
        </w:numPr>
        <w:rPr>
          <w:rFonts w:ascii="Times New Roman" w:hAnsi="Times New Roman" w:cs="Times New Roman"/>
          <w:sz w:val="20"/>
          <w:szCs w:val="20"/>
        </w:rPr>
      </w:pPr>
      <w:r w:rsidRPr="00C2775B">
        <w:rPr>
          <w:rFonts w:ascii="Times New Roman" w:hAnsi="Times New Roman" w:cs="Times New Roman"/>
          <w:sz w:val="20"/>
          <w:szCs w:val="20"/>
        </w:rPr>
        <w:t xml:space="preserve">JT reports consulting/advisory role and or received honoraria from, Amgen, </w:t>
      </w:r>
      <w:proofErr w:type="spellStart"/>
      <w:r w:rsidRPr="00C2775B">
        <w:rPr>
          <w:rFonts w:ascii="Times New Roman" w:hAnsi="Times New Roman" w:cs="Times New Roman"/>
          <w:sz w:val="20"/>
          <w:szCs w:val="20"/>
        </w:rPr>
        <w:t>Haliodx</w:t>
      </w:r>
      <w:proofErr w:type="spellEnd"/>
      <w:r w:rsidRPr="00C2775B">
        <w:rPr>
          <w:rFonts w:ascii="Times New Roman" w:hAnsi="Times New Roman" w:cs="Times New Roman"/>
          <w:sz w:val="20"/>
          <w:szCs w:val="20"/>
        </w:rPr>
        <w:t xml:space="preserve">, MSD Oncology, Astra-Zeneca, Pierre Fabre, Roche, Sanofi, Lilly, </w:t>
      </w:r>
      <w:proofErr w:type="spellStart"/>
      <w:r w:rsidRPr="00C2775B">
        <w:rPr>
          <w:rFonts w:ascii="Times New Roman" w:hAnsi="Times New Roman" w:cs="Times New Roman"/>
          <w:sz w:val="20"/>
          <w:szCs w:val="20"/>
        </w:rPr>
        <w:t>Servier</w:t>
      </w:r>
      <w:proofErr w:type="spellEnd"/>
      <w:r w:rsidRPr="00C2775B">
        <w:rPr>
          <w:rFonts w:ascii="Times New Roman" w:hAnsi="Times New Roman" w:cs="Times New Roman"/>
          <w:sz w:val="20"/>
          <w:szCs w:val="20"/>
        </w:rPr>
        <w:t xml:space="preserve"> and Merck KGAA and has received travel, accommodations, and expenses from Roche/Genentech, Celgene, Pierre Fabre, </w:t>
      </w:r>
      <w:proofErr w:type="spellStart"/>
      <w:r w:rsidRPr="00C2775B">
        <w:rPr>
          <w:rFonts w:ascii="Times New Roman" w:hAnsi="Times New Roman" w:cs="Times New Roman"/>
          <w:sz w:val="20"/>
          <w:szCs w:val="20"/>
        </w:rPr>
        <w:t>Servier</w:t>
      </w:r>
      <w:proofErr w:type="spellEnd"/>
      <w:r w:rsidRPr="00C2775B">
        <w:rPr>
          <w:rFonts w:ascii="Times New Roman" w:hAnsi="Times New Roman" w:cs="Times New Roman"/>
          <w:sz w:val="20"/>
          <w:szCs w:val="20"/>
        </w:rPr>
        <w:t xml:space="preserve"> and Merck KGAA.</w:t>
      </w:r>
    </w:p>
    <w:p w:rsidR="00C66E5B" w:rsidRDefault="00C66E5B" w:rsidP="00DA1161">
      <w:pPr>
        <w:pStyle w:val="ListParagraph"/>
        <w:numPr>
          <w:ilvl w:val="0"/>
          <w:numId w:val="9"/>
        </w:numPr>
        <w:rPr>
          <w:rFonts w:ascii="Times New Roman" w:hAnsi="Times New Roman" w:cs="Times New Roman"/>
          <w:sz w:val="20"/>
          <w:szCs w:val="20"/>
        </w:rPr>
      </w:pPr>
      <w:r w:rsidRPr="00C2775B">
        <w:rPr>
          <w:rFonts w:ascii="Times New Roman" w:hAnsi="Times New Roman" w:cs="Times New Roman"/>
          <w:sz w:val="20"/>
          <w:szCs w:val="20"/>
        </w:rPr>
        <w:t>VD reports personal fees from GERCOR, personal fees from INCYTE, personal fees from HALIODX, personal fees from CELLPROTHER</w:t>
      </w:r>
      <w:r>
        <w:rPr>
          <w:rFonts w:ascii="Times New Roman" w:hAnsi="Times New Roman" w:cs="Times New Roman"/>
          <w:sz w:val="20"/>
          <w:szCs w:val="20"/>
        </w:rPr>
        <w:t xml:space="preserve">A, </w:t>
      </w:r>
      <w:r w:rsidRPr="00C2775B">
        <w:rPr>
          <w:rFonts w:ascii="Times New Roman" w:hAnsi="Times New Roman" w:cs="Times New Roman"/>
          <w:sz w:val="20"/>
          <w:szCs w:val="20"/>
        </w:rPr>
        <w:t>outside the submitted work.</w:t>
      </w:r>
    </w:p>
    <w:p w:rsidR="00C66E5B" w:rsidRDefault="00C66E5B" w:rsidP="00DA1161">
      <w:pPr>
        <w:ind w:left="360"/>
        <w:rPr>
          <w:rFonts w:ascii="Times New Roman" w:hAnsi="Times New Roman" w:cs="Times New Roman"/>
        </w:rPr>
      </w:pPr>
    </w:p>
    <w:p w:rsidR="00C66E5B" w:rsidRPr="00DA1161" w:rsidRDefault="00C66E5B" w:rsidP="00DA1161">
      <w:pPr>
        <w:ind w:left="360"/>
        <w:rPr>
          <w:rFonts w:ascii="Times New Roman" w:hAnsi="Times New Roman" w:cs="Times New Roman"/>
          <w:sz w:val="20"/>
          <w:szCs w:val="20"/>
        </w:rPr>
      </w:pPr>
      <w:r w:rsidRPr="00DA1161">
        <w:rPr>
          <w:rFonts w:ascii="Times New Roman" w:hAnsi="Times New Roman" w:cs="Times New Roman"/>
          <w:sz w:val="20"/>
          <w:szCs w:val="20"/>
        </w:rPr>
        <w:t>Data sharing statement: The data sharing of individual patient data from each participating trial will be subject to the policy and procedures of the institutions and groups who conducted the original study.</w:t>
      </w:r>
    </w:p>
    <w:p w:rsidR="00C66E5B" w:rsidRDefault="00C66E5B">
      <w:pPr>
        <w:rPr>
          <w:rFonts w:ascii="Times New Roman" w:hAnsi="Times New Roman" w:cs="Times New Roman"/>
        </w:rPr>
      </w:pPr>
      <w:r>
        <w:rPr>
          <w:rFonts w:ascii="Times New Roman" w:hAnsi="Times New Roman" w:cs="Times New Roman"/>
        </w:rPr>
        <w:br w:type="page"/>
      </w:r>
    </w:p>
    <w:p w:rsidR="00C66E5B" w:rsidRDefault="00C66E5B" w:rsidP="00FD7217">
      <w:pPr>
        <w:rPr>
          <w:rFonts w:ascii="Times New Roman" w:hAnsi="Times New Roman" w:cs="Times New Roman"/>
        </w:rPr>
      </w:pPr>
      <w:r w:rsidRPr="00FD7217">
        <w:rPr>
          <w:rFonts w:ascii="Times New Roman" w:hAnsi="Times New Roman" w:cs="Times New Roman"/>
        </w:rPr>
        <w:lastRenderedPageBreak/>
        <w:t>References</w:t>
      </w:r>
    </w:p>
    <w:p w:rsidR="00C66E5B" w:rsidRDefault="00C66E5B" w:rsidP="00FD7217">
      <w:pPr>
        <w:rPr>
          <w:rFonts w:ascii="Times New Roman" w:eastAsia="Times New Roman" w:hAnsi="Times New Roman" w:cs="Times New Roman"/>
          <w:bCs/>
        </w:rPr>
      </w:pPr>
    </w:p>
    <w:p w:rsidR="00C66E5B" w:rsidRPr="00533882" w:rsidRDefault="00C66E5B" w:rsidP="00533882">
      <w:pPr>
        <w:pStyle w:val="EndNoteBibliography"/>
        <w:rPr>
          <w:noProof/>
        </w:rPr>
      </w:pPr>
      <w:r w:rsidRPr="00533882">
        <w:rPr>
          <w:noProof/>
        </w:rPr>
        <w:t>1.</w:t>
      </w:r>
      <w:r w:rsidRPr="00533882">
        <w:rPr>
          <w:noProof/>
        </w:rPr>
        <w:tab/>
        <w:t xml:space="preserve">Moertel CG, Fleming TR, Macdonald JS, et al. Levamisole and fluorouracil for adjuvant therapy of resected colon carcinoma. </w:t>
      </w:r>
      <w:r w:rsidRPr="00533882">
        <w:rPr>
          <w:i/>
          <w:noProof/>
        </w:rPr>
        <w:t>N Engl J Med</w:t>
      </w:r>
      <w:r w:rsidRPr="00533882">
        <w:rPr>
          <w:noProof/>
        </w:rPr>
        <w:t xml:space="preserve"> 1990; </w:t>
      </w:r>
      <w:r w:rsidRPr="00533882">
        <w:rPr>
          <w:b/>
          <w:noProof/>
        </w:rPr>
        <w:t>322</w:t>
      </w:r>
      <w:r w:rsidRPr="00533882">
        <w:rPr>
          <w:noProof/>
        </w:rPr>
        <w:t>(6): 352-8.</w:t>
      </w:r>
    </w:p>
    <w:p w:rsidR="00C66E5B" w:rsidRPr="00533882" w:rsidRDefault="00C66E5B" w:rsidP="00533882">
      <w:pPr>
        <w:pStyle w:val="EndNoteBibliography"/>
        <w:rPr>
          <w:noProof/>
        </w:rPr>
      </w:pPr>
      <w:r w:rsidRPr="00533882">
        <w:rPr>
          <w:noProof/>
        </w:rPr>
        <w:t>2.</w:t>
      </w:r>
      <w:r w:rsidRPr="00533882">
        <w:rPr>
          <w:noProof/>
        </w:rPr>
        <w:tab/>
        <w:t xml:space="preserve">Haller DG, Catalano PJ, Macdonald JS, et al. Phase III study of fluorouracil, leucovorin, and levamisole in high-risk stage II and III colon cancer: final report of Intergroup 0089. </w:t>
      </w:r>
      <w:r w:rsidRPr="00533882">
        <w:rPr>
          <w:i/>
          <w:noProof/>
        </w:rPr>
        <w:t>J Clin Oncol</w:t>
      </w:r>
      <w:r w:rsidRPr="00533882">
        <w:rPr>
          <w:noProof/>
        </w:rPr>
        <w:t xml:space="preserve"> 2005; </w:t>
      </w:r>
      <w:r w:rsidRPr="00533882">
        <w:rPr>
          <w:b/>
          <w:noProof/>
        </w:rPr>
        <w:t>23</w:t>
      </w:r>
      <w:r w:rsidRPr="00533882">
        <w:rPr>
          <w:noProof/>
        </w:rPr>
        <w:t>(34): 8671-8.</w:t>
      </w:r>
    </w:p>
    <w:p w:rsidR="00C66E5B" w:rsidRPr="009A2CA0" w:rsidRDefault="00C66E5B" w:rsidP="00533882">
      <w:pPr>
        <w:pStyle w:val="EndNoteBibliography"/>
        <w:rPr>
          <w:noProof/>
          <w:lang w:val="fr-FR"/>
        </w:rPr>
      </w:pPr>
      <w:r w:rsidRPr="00533882">
        <w:rPr>
          <w:noProof/>
        </w:rPr>
        <w:t>3.</w:t>
      </w:r>
      <w:r w:rsidRPr="00533882">
        <w:rPr>
          <w:noProof/>
        </w:rPr>
        <w:tab/>
        <w:t xml:space="preserve">Sargent DJ, Wieand HS, Haller DG, et al. Disease-free survival versus overall survival as a primary end point for adjuvant colon cancer studies: individual patient data from 20,898 patients on 18 randomized trials. </w:t>
      </w:r>
      <w:r w:rsidRPr="009A2CA0">
        <w:rPr>
          <w:i/>
          <w:noProof/>
          <w:lang w:val="fr-FR"/>
        </w:rPr>
        <w:t>J Clin Oncol</w:t>
      </w:r>
      <w:r w:rsidRPr="009A2CA0">
        <w:rPr>
          <w:noProof/>
          <w:lang w:val="fr-FR"/>
        </w:rPr>
        <w:t xml:space="preserve"> 2005; </w:t>
      </w:r>
      <w:r w:rsidRPr="009A2CA0">
        <w:rPr>
          <w:b/>
          <w:noProof/>
          <w:lang w:val="fr-FR"/>
        </w:rPr>
        <w:t>23</w:t>
      </w:r>
      <w:r w:rsidRPr="009A2CA0">
        <w:rPr>
          <w:noProof/>
          <w:lang w:val="fr-FR"/>
        </w:rPr>
        <w:t>(34): 8664-70.</w:t>
      </w:r>
    </w:p>
    <w:p w:rsidR="00C66E5B" w:rsidRPr="00533882" w:rsidRDefault="00C66E5B" w:rsidP="00533882">
      <w:pPr>
        <w:pStyle w:val="EndNoteBibliography"/>
        <w:rPr>
          <w:noProof/>
        </w:rPr>
      </w:pPr>
      <w:r w:rsidRPr="009A2CA0">
        <w:rPr>
          <w:noProof/>
          <w:lang w:val="fr-FR"/>
        </w:rPr>
        <w:t>4.</w:t>
      </w:r>
      <w:r w:rsidRPr="009A2CA0">
        <w:rPr>
          <w:noProof/>
          <w:lang w:val="fr-FR"/>
        </w:rPr>
        <w:tab/>
        <w:t xml:space="preserve">Andre T, Boni C, Mounedji-Boudiaf L, et al. </w:t>
      </w:r>
      <w:r w:rsidRPr="00533882">
        <w:rPr>
          <w:noProof/>
        </w:rPr>
        <w:t xml:space="preserve">Oxaliplatin, fluorouracil, and leucovorin as adjuvant treatment for colon cancer. </w:t>
      </w:r>
      <w:r w:rsidRPr="00533882">
        <w:rPr>
          <w:i/>
          <w:noProof/>
        </w:rPr>
        <w:t>N Engl J Med</w:t>
      </w:r>
      <w:r w:rsidRPr="00533882">
        <w:rPr>
          <w:noProof/>
        </w:rPr>
        <w:t xml:space="preserve"> 2004; </w:t>
      </w:r>
      <w:r w:rsidRPr="00533882">
        <w:rPr>
          <w:b/>
          <w:noProof/>
        </w:rPr>
        <w:t>350</w:t>
      </w:r>
      <w:r w:rsidRPr="00533882">
        <w:rPr>
          <w:noProof/>
        </w:rPr>
        <w:t>(23): 2343-51.</w:t>
      </w:r>
    </w:p>
    <w:p w:rsidR="00C66E5B" w:rsidRPr="00533882" w:rsidRDefault="00C66E5B" w:rsidP="00533882">
      <w:pPr>
        <w:pStyle w:val="EndNoteBibliography"/>
        <w:rPr>
          <w:noProof/>
        </w:rPr>
      </w:pPr>
      <w:r w:rsidRPr="00533882">
        <w:rPr>
          <w:noProof/>
        </w:rPr>
        <w:t>5.</w:t>
      </w:r>
      <w:r w:rsidRPr="00533882">
        <w:rPr>
          <w:noProof/>
        </w:rPr>
        <w:tab/>
        <w:t xml:space="preserve">Haller DG, Tabernero J, Maroun J, et al. Capecitabine plus oxaliplatin compared with fluorouracil and folinic acid as adjuvant therapy for stage III colon cancer. </w:t>
      </w:r>
      <w:r w:rsidRPr="00533882">
        <w:rPr>
          <w:i/>
          <w:noProof/>
        </w:rPr>
        <w:t>J Clin Oncol</w:t>
      </w:r>
      <w:r w:rsidRPr="00533882">
        <w:rPr>
          <w:noProof/>
        </w:rPr>
        <w:t xml:space="preserve"> 2011; </w:t>
      </w:r>
      <w:r w:rsidRPr="00533882">
        <w:rPr>
          <w:b/>
          <w:noProof/>
        </w:rPr>
        <w:t>29</w:t>
      </w:r>
      <w:r w:rsidRPr="00533882">
        <w:rPr>
          <w:noProof/>
        </w:rPr>
        <w:t>(11): 1465-71.</w:t>
      </w:r>
    </w:p>
    <w:p w:rsidR="00C66E5B" w:rsidRPr="00533882" w:rsidRDefault="00C66E5B" w:rsidP="00533882">
      <w:pPr>
        <w:pStyle w:val="EndNoteBibliography"/>
        <w:rPr>
          <w:noProof/>
        </w:rPr>
      </w:pPr>
      <w:r w:rsidRPr="00533882">
        <w:rPr>
          <w:noProof/>
        </w:rPr>
        <w:t>6.</w:t>
      </w:r>
      <w:r w:rsidRPr="00533882">
        <w:rPr>
          <w:noProof/>
        </w:rPr>
        <w:tab/>
        <w:t xml:space="preserve">Kuebler JP, Wieand HS, O'Connell MJ, et al. Oxaliplatin combined with weekly bolus fluorouracil and leucovorin as surgical adjuvant chemotherapy for stage II and III colon cancer: results from NSABP C-07. </w:t>
      </w:r>
      <w:r w:rsidRPr="00533882">
        <w:rPr>
          <w:i/>
          <w:noProof/>
        </w:rPr>
        <w:t>J Clin Oncol</w:t>
      </w:r>
      <w:r w:rsidRPr="00533882">
        <w:rPr>
          <w:noProof/>
        </w:rPr>
        <w:t xml:space="preserve"> 2007; </w:t>
      </w:r>
      <w:r w:rsidRPr="00533882">
        <w:rPr>
          <w:b/>
          <w:noProof/>
        </w:rPr>
        <w:t>25</w:t>
      </w:r>
      <w:r w:rsidRPr="00533882">
        <w:rPr>
          <w:noProof/>
        </w:rPr>
        <w:t>(16): 2198-204.</w:t>
      </w:r>
    </w:p>
    <w:p w:rsidR="00C66E5B" w:rsidRPr="00533882" w:rsidRDefault="00C66E5B" w:rsidP="00533882">
      <w:pPr>
        <w:pStyle w:val="EndNoteBibliography"/>
        <w:rPr>
          <w:noProof/>
        </w:rPr>
      </w:pPr>
      <w:r w:rsidRPr="00533882">
        <w:rPr>
          <w:noProof/>
        </w:rPr>
        <w:t>7.</w:t>
      </w:r>
      <w:r w:rsidRPr="00533882">
        <w:rPr>
          <w:noProof/>
        </w:rPr>
        <w:tab/>
        <w:t xml:space="preserve">Grothey A, Sobrero AF, Shields AF, et al. Duration of Adjuvant Chemotherapy for Stage III Colon Cancer. </w:t>
      </w:r>
      <w:r w:rsidRPr="00533882">
        <w:rPr>
          <w:i/>
          <w:noProof/>
        </w:rPr>
        <w:t>N Engl J Med</w:t>
      </w:r>
      <w:r w:rsidRPr="00533882">
        <w:rPr>
          <w:noProof/>
        </w:rPr>
        <w:t xml:space="preserve"> 2018; </w:t>
      </w:r>
      <w:r w:rsidRPr="00533882">
        <w:rPr>
          <w:b/>
          <w:noProof/>
        </w:rPr>
        <w:t>378</w:t>
      </w:r>
      <w:r w:rsidRPr="00533882">
        <w:rPr>
          <w:noProof/>
        </w:rPr>
        <w:t>(13): 1177-88.</w:t>
      </w:r>
    </w:p>
    <w:p w:rsidR="00C66E5B" w:rsidRPr="00533882" w:rsidRDefault="00C66E5B" w:rsidP="00533882">
      <w:pPr>
        <w:pStyle w:val="EndNoteBibliography"/>
        <w:rPr>
          <w:noProof/>
        </w:rPr>
      </w:pPr>
      <w:r w:rsidRPr="00533882">
        <w:rPr>
          <w:noProof/>
        </w:rPr>
        <w:t>8.</w:t>
      </w:r>
      <w:r w:rsidRPr="00533882">
        <w:rPr>
          <w:noProof/>
        </w:rPr>
        <w:tab/>
        <w:t xml:space="preserve">Sobrero A, Grothey A, Iveson T, et al. The hard road to data interpretation: 3 or 6 months of adjuvant chemotherapy for patients with stage III colon cancer? </w:t>
      </w:r>
      <w:r w:rsidRPr="00533882">
        <w:rPr>
          <w:i/>
          <w:noProof/>
        </w:rPr>
        <w:t>Ann Oncol</w:t>
      </w:r>
      <w:r w:rsidRPr="00533882">
        <w:rPr>
          <w:noProof/>
        </w:rPr>
        <w:t xml:space="preserve"> 2018; </w:t>
      </w:r>
      <w:r w:rsidRPr="00533882">
        <w:rPr>
          <w:b/>
          <w:noProof/>
        </w:rPr>
        <w:t>29</w:t>
      </w:r>
      <w:r w:rsidRPr="00533882">
        <w:rPr>
          <w:noProof/>
        </w:rPr>
        <w:t>(5): 1099-107.</w:t>
      </w:r>
    </w:p>
    <w:p w:rsidR="00C66E5B" w:rsidRPr="009A2CA0" w:rsidRDefault="00C66E5B" w:rsidP="00533882">
      <w:pPr>
        <w:pStyle w:val="EndNoteBibliography"/>
        <w:rPr>
          <w:noProof/>
          <w:lang w:val="fr-FR"/>
        </w:rPr>
      </w:pPr>
      <w:r w:rsidRPr="00533882">
        <w:rPr>
          <w:noProof/>
        </w:rPr>
        <w:t>9.</w:t>
      </w:r>
      <w:r w:rsidRPr="00533882">
        <w:rPr>
          <w:noProof/>
        </w:rPr>
        <w:tab/>
        <w:t xml:space="preserve">Salem ME, Yin J, Goldberg RM, et al. Evaluation of the change of outcomes over a 10-year period in patients with stage III colon cancer: pooled analysis of 6501 patients treated with fluorouracil, leucovorin, and oxaliplatin in the ACCENT database. </w:t>
      </w:r>
      <w:r w:rsidRPr="009A2CA0">
        <w:rPr>
          <w:i/>
          <w:noProof/>
          <w:lang w:val="fr-FR"/>
        </w:rPr>
        <w:t>Ann Oncol</w:t>
      </w:r>
      <w:r w:rsidRPr="009A2CA0">
        <w:rPr>
          <w:noProof/>
          <w:lang w:val="fr-FR"/>
        </w:rPr>
        <w:t xml:space="preserve"> 2020; </w:t>
      </w:r>
      <w:r w:rsidRPr="009A2CA0">
        <w:rPr>
          <w:b/>
          <w:noProof/>
          <w:lang w:val="fr-FR"/>
        </w:rPr>
        <w:t>31</w:t>
      </w:r>
      <w:r w:rsidRPr="009A2CA0">
        <w:rPr>
          <w:noProof/>
          <w:lang w:val="fr-FR"/>
        </w:rPr>
        <w:t>(4): 480-6.</w:t>
      </w:r>
    </w:p>
    <w:p w:rsidR="00C66E5B" w:rsidRPr="00533882" w:rsidRDefault="00C66E5B" w:rsidP="00533882">
      <w:pPr>
        <w:pStyle w:val="EndNoteBibliography"/>
        <w:rPr>
          <w:noProof/>
        </w:rPr>
      </w:pPr>
      <w:r w:rsidRPr="009A2CA0">
        <w:rPr>
          <w:noProof/>
          <w:lang w:val="fr-FR"/>
        </w:rPr>
        <w:t>10.</w:t>
      </w:r>
      <w:r w:rsidRPr="009A2CA0">
        <w:rPr>
          <w:noProof/>
          <w:lang w:val="fr-FR"/>
        </w:rPr>
        <w:tab/>
        <w:t xml:space="preserve">Andre T, Vernerey D, Mineur L, et al. </w:t>
      </w:r>
      <w:r w:rsidRPr="00533882">
        <w:rPr>
          <w:noProof/>
        </w:rPr>
        <w:t xml:space="preserve">Three Versus 6 Months of Oxaliplatin-Based Adjuvant Chemotherapy for Patients With Stage III Colon Cancer: Disease-Free Survival Results From a Randomized, Open-Label, International Duration Evaluation of Adjuvant (IDEA) France, Phase III Trial. </w:t>
      </w:r>
      <w:r w:rsidRPr="00533882">
        <w:rPr>
          <w:i/>
          <w:noProof/>
        </w:rPr>
        <w:t>J Clin Oncol</w:t>
      </w:r>
      <w:r w:rsidRPr="00533882">
        <w:rPr>
          <w:noProof/>
        </w:rPr>
        <w:t xml:space="preserve"> 2018; </w:t>
      </w:r>
      <w:r w:rsidRPr="00533882">
        <w:rPr>
          <w:b/>
          <w:noProof/>
        </w:rPr>
        <w:t>36</w:t>
      </w:r>
      <w:r w:rsidRPr="00533882">
        <w:rPr>
          <w:noProof/>
        </w:rPr>
        <w:t>(15): 1469-77.</w:t>
      </w:r>
    </w:p>
    <w:p w:rsidR="00C66E5B" w:rsidRPr="00533882" w:rsidRDefault="00C66E5B" w:rsidP="00533882">
      <w:pPr>
        <w:pStyle w:val="EndNoteBibliography"/>
        <w:rPr>
          <w:noProof/>
        </w:rPr>
      </w:pPr>
      <w:r w:rsidRPr="00533882">
        <w:rPr>
          <w:noProof/>
        </w:rPr>
        <w:t>11.</w:t>
      </w:r>
      <w:r w:rsidRPr="00533882">
        <w:rPr>
          <w:noProof/>
        </w:rPr>
        <w:tab/>
        <w:t xml:space="preserve">Iveson TJ, Kerr RS, Saunders MP, et al. 3 versus 6 months of adjuvant oxaliplatin-fluoropyrimidine combination therapy for colorectal cancer (SCOT): an international, randomised, phase 3, non-inferiority trial. </w:t>
      </w:r>
      <w:r w:rsidRPr="00533882">
        <w:rPr>
          <w:i/>
          <w:noProof/>
        </w:rPr>
        <w:t>Lancet Oncol</w:t>
      </w:r>
      <w:r w:rsidRPr="00533882">
        <w:rPr>
          <w:noProof/>
        </w:rPr>
        <w:t xml:space="preserve"> 2018; </w:t>
      </w:r>
      <w:r w:rsidRPr="00533882">
        <w:rPr>
          <w:b/>
          <w:noProof/>
        </w:rPr>
        <w:t>19</w:t>
      </w:r>
      <w:r w:rsidRPr="00533882">
        <w:rPr>
          <w:noProof/>
        </w:rPr>
        <w:t>(4): 562-78.</w:t>
      </w:r>
    </w:p>
    <w:p w:rsidR="00C66E5B" w:rsidRPr="00533882" w:rsidRDefault="00C66E5B" w:rsidP="00533882">
      <w:pPr>
        <w:pStyle w:val="EndNoteBibliography"/>
        <w:rPr>
          <w:noProof/>
        </w:rPr>
      </w:pPr>
      <w:r w:rsidRPr="00533882">
        <w:rPr>
          <w:noProof/>
        </w:rPr>
        <w:t>12.</w:t>
      </w:r>
      <w:r w:rsidRPr="00533882">
        <w:rPr>
          <w:noProof/>
        </w:rPr>
        <w:tab/>
        <w:t xml:space="preserve">Sobrero A, Lonardi S, Rosati G, et al. FOLFOX or CAPOX in Stage II to III Colon Cancer: Efficacy Results of the Italian Three or Six Colon Adjuvant Trial. </w:t>
      </w:r>
      <w:r w:rsidRPr="00533882">
        <w:rPr>
          <w:i/>
          <w:noProof/>
        </w:rPr>
        <w:t>J Clin Oncol</w:t>
      </w:r>
      <w:r w:rsidRPr="00533882">
        <w:rPr>
          <w:noProof/>
        </w:rPr>
        <w:t xml:space="preserve"> 2018; </w:t>
      </w:r>
      <w:r w:rsidRPr="00533882">
        <w:rPr>
          <w:b/>
          <w:noProof/>
        </w:rPr>
        <w:t>36</w:t>
      </w:r>
      <w:r w:rsidRPr="00533882">
        <w:rPr>
          <w:noProof/>
        </w:rPr>
        <w:t>(15): 1478-85.</w:t>
      </w:r>
    </w:p>
    <w:p w:rsidR="00C66E5B" w:rsidRPr="009A2CA0" w:rsidRDefault="00C66E5B" w:rsidP="00533882">
      <w:pPr>
        <w:pStyle w:val="EndNoteBibliography"/>
        <w:rPr>
          <w:noProof/>
          <w:lang w:val="fr-FR"/>
        </w:rPr>
      </w:pPr>
      <w:r w:rsidRPr="00533882">
        <w:rPr>
          <w:noProof/>
        </w:rPr>
        <w:t>13.</w:t>
      </w:r>
      <w:r w:rsidRPr="00533882">
        <w:rPr>
          <w:noProof/>
        </w:rPr>
        <w:tab/>
        <w:t xml:space="preserve">Souglakos J, Boukovinas I, Kakolyris S, et al. Three- versus six-month adjuvant FOLFOX or CAPOX for high-risk stage II and stage III colon cancer patients: the efficacy results of Hellenic Oncology Research Group (HORG) participation to the International Duration Evaluation of Adjuvant Chemotherapy (IDEA) project. </w:t>
      </w:r>
      <w:r w:rsidRPr="009A2CA0">
        <w:rPr>
          <w:i/>
          <w:noProof/>
          <w:lang w:val="fr-FR"/>
        </w:rPr>
        <w:t>Ann Oncol</w:t>
      </w:r>
      <w:r w:rsidRPr="009A2CA0">
        <w:rPr>
          <w:noProof/>
          <w:lang w:val="fr-FR"/>
        </w:rPr>
        <w:t xml:space="preserve"> 2019; </w:t>
      </w:r>
      <w:r w:rsidRPr="009A2CA0">
        <w:rPr>
          <w:b/>
          <w:noProof/>
          <w:lang w:val="fr-FR"/>
        </w:rPr>
        <w:t>30</w:t>
      </w:r>
      <w:r w:rsidRPr="009A2CA0">
        <w:rPr>
          <w:noProof/>
          <w:lang w:val="fr-FR"/>
        </w:rPr>
        <w:t>(8): 1304-10.</w:t>
      </w:r>
    </w:p>
    <w:p w:rsidR="00C66E5B" w:rsidRPr="00533882" w:rsidRDefault="00C66E5B" w:rsidP="00533882">
      <w:pPr>
        <w:pStyle w:val="EndNoteBibliography"/>
        <w:rPr>
          <w:noProof/>
        </w:rPr>
      </w:pPr>
      <w:r w:rsidRPr="009A2CA0">
        <w:rPr>
          <w:noProof/>
          <w:lang w:val="fr-FR"/>
        </w:rPr>
        <w:t>14.</w:t>
      </w:r>
      <w:r w:rsidRPr="009A2CA0">
        <w:rPr>
          <w:noProof/>
          <w:lang w:val="fr-FR"/>
        </w:rPr>
        <w:tab/>
        <w:t xml:space="preserve">Yoshino T, Yamanaka T, Oki E, et al. </w:t>
      </w:r>
      <w:r w:rsidRPr="00533882">
        <w:rPr>
          <w:noProof/>
        </w:rPr>
        <w:t xml:space="preserve">Efficacy and Long-term Peripheral Sensory Neuropathy of 3 vs 6 Months of Oxaliplatin-Based Adjuvant Chemotherapy for Colon Cancer: The ACHIEVE Phase 3 Randomized Clinical Trial. </w:t>
      </w:r>
      <w:r w:rsidRPr="00533882">
        <w:rPr>
          <w:i/>
          <w:noProof/>
        </w:rPr>
        <w:t>JAMA Oncol</w:t>
      </w:r>
      <w:r w:rsidRPr="00533882">
        <w:rPr>
          <w:noProof/>
        </w:rPr>
        <w:t xml:space="preserve"> 2019.</w:t>
      </w:r>
    </w:p>
    <w:p w:rsidR="00C66E5B" w:rsidRPr="009A2CA0" w:rsidRDefault="00C66E5B" w:rsidP="00533882">
      <w:pPr>
        <w:pStyle w:val="EndNoteBibliography"/>
        <w:rPr>
          <w:noProof/>
          <w:lang w:val="fr-FR"/>
        </w:rPr>
      </w:pPr>
      <w:r w:rsidRPr="00533882">
        <w:rPr>
          <w:noProof/>
        </w:rPr>
        <w:t>15.</w:t>
      </w:r>
      <w:r w:rsidRPr="00533882">
        <w:rPr>
          <w:noProof/>
        </w:rPr>
        <w:tab/>
        <w:t xml:space="preserve">Meyerhardt JA, Shi Q, Fuchs CS, et al. Celecoxib in addition to standard adjuvant therapy with 5-fluorouracil, leucovorin, oxaliplatin (FOLFOX) in stage III colon cancer: Results from CALGB/SWOG 80702. </w:t>
      </w:r>
      <w:r w:rsidRPr="009A2CA0">
        <w:rPr>
          <w:i/>
          <w:noProof/>
          <w:lang w:val="fr-FR"/>
        </w:rPr>
        <w:t>Journal of Clinical Oncology</w:t>
      </w:r>
      <w:r w:rsidRPr="009A2CA0">
        <w:rPr>
          <w:noProof/>
          <w:lang w:val="fr-FR"/>
        </w:rPr>
        <w:t xml:space="preserve"> 2020; </w:t>
      </w:r>
      <w:r w:rsidRPr="009A2CA0">
        <w:rPr>
          <w:b/>
          <w:noProof/>
          <w:lang w:val="fr-FR"/>
        </w:rPr>
        <w:t>38</w:t>
      </w:r>
      <w:r w:rsidRPr="009A2CA0">
        <w:rPr>
          <w:noProof/>
          <w:lang w:val="fr-FR"/>
        </w:rPr>
        <w:t>(15_suppl): 4003-.</w:t>
      </w:r>
    </w:p>
    <w:p w:rsidR="00C66E5B" w:rsidRPr="009A2CA0" w:rsidRDefault="00C66E5B" w:rsidP="00533882">
      <w:pPr>
        <w:pStyle w:val="EndNoteBibliography"/>
        <w:rPr>
          <w:noProof/>
          <w:lang w:val="fr-FR"/>
        </w:rPr>
      </w:pPr>
      <w:r w:rsidRPr="009A2CA0">
        <w:rPr>
          <w:noProof/>
          <w:lang w:val="fr-FR"/>
        </w:rPr>
        <w:t>16.</w:t>
      </w:r>
      <w:r w:rsidRPr="009A2CA0">
        <w:rPr>
          <w:noProof/>
          <w:lang w:val="fr-FR"/>
        </w:rPr>
        <w:tab/>
        <w:t xml:space="preserve">Andre T, Iveson T, Labianca R, et al. </w:t>
      </w:r>
      <w:r w:rsidRPr="00533882">
        <w:rPr>
          <w:noProof/>
        </w:rPr>
        <w:t xml:space="preserve">The IDEA (International Duration Evaluation of Adjuvant Chemotherapy) Collaboration: Prospective Combined Analysis of Phase III Trials Investigating Duration of Adjuvant Therapy with the FOLFOX (FOLFOX4 or Modified FOLFOX6) or XELOX (3 versus 6 months) Regimen for Patients with Stage III Colon Cancer: Trial Design and Current Status. </w:t>
      </w:r>
      <w:r w:rsidRPr="009A2CA0">
        <w:rPr>
          <w:i/>
          <w:noProof/>
          <w:lang w:val="fr-FR"/>
        </w:rPr>
        <w:t>Current colorectal cancer reports</w:t>
      </w:r>
      <w:r w:rsidRPr="009A2CA0">
        <w:rPr>
          <w:noProof/>
          <w:lang w:val="fr-FR"/>
        </w:rPr>
        <w:t xml:space="preserve"> 2013; </w:t>
      </w:r>
      <w:r w:rsidRPr="009A2CA0">
        <w:rPr>
          <w:b/>
          <w:noProof/>
          <w:lang w:val="fr-FR"/>
        </w:rPr>
        <w:t>9</w:t>
      </w:r>
      <w:r w:rsidRPr="009A2CA0">
        <w:rPr>
          <w:noProof/>
          <w:lang w:val="fr-FR"/>
        </w:rPr>
        <w:t>: 261-9.</w:t>
      </w:r>
    </w:p>
    <w:p w:rsidR="00C66E5B" w:rsidRPr="00533882" w:rsidRDefault="00C66E5B" w:rsidP="00533882">
      <w:pPr>
        <w:pStyle w:val="EndNoteBibliography"/>
        <w:rPr>
          <w:noProof/>
        </w:rPr>
      </w:pPr>
      <w:r w:rsidRPr="009A2CA0">
        <w:rPr>
          <w:noProof/>
          <w:lang w:val="fr-FR"/>
        </w:rPr>
        <w:t>17.</w:t>
      </w:r>
      <w:r w:rsidRPr="009A2CA0">
        <w:rPr>
          <w:noProof/>
          <w:lang w:val="fr-FR"/>
        </w:rPr>
        <w:tab/>
        <w:t xml:space="preserve">Andre T, de Gramont A, Vernerey D, et al. </w:t>
      </w:r>
      <w:r w:rsidRPr="00533882">
        <w:rPr>
          <w:noProof/>
        </w:rPr>
        <w:t xml:space="preserve">Adjuvant Fluorouracil, Leucovorin, and Oxaliplatin in Stage II to III Colon Cancer: Updated 10-Year Survival and Outcomes According to BRAF Mutation and Mismatch Repair Status of the MOSAIC Study. </w:t>
      </w:r>
      <w:r w:rsidRPr="00533882">
        <w:rPr>
          <w:i/>
          <w:noProof/>
        </w:rPr>
        <w:t>J Clin Oncol</w:t>
      </w:r>
      <w:r w:rsidRPr="00533882">
        <w:rPr>
          <w:noProof/>
        </w:rPr>
        <w:t xml:space="preserve"> 2015; </w:t>
      </w:r>
      <w:r w:rsidRPr="00533882">
        <w:rPr>
          <w:b/>
          <w:noProof/>
        </w:rPr>
        <w:t>33</w:t>
      </w:r>
      <w:r w:rsidRPr="00533882">
        <w:rPr>
          <w:noProof/>
        </w:rPr>
        <w:t>(35): 4176-87.</w:t>
      </w:r>
    </w:p>
    <w:p w:rsidR="00C66E5B" w:rsidRPr="00533882" w:rsidRDefault="00C66E5B" w:rsidP="00533882">
      <w:pPr>
        <w:pStyle w:val="EndNoteBibliography"/>
        <w:rPr>
          <w:noProof/>
        </w:rPr>
      </w:pPr>
      <w:r w:rsidRPr="00533882">
        <w:rPr>
          <w:noProof/>
        </w:rPr>
        <w:t>18.</w:t>
      </w:r>
      <w:r w:rsidRPr="00533882">
        <w:rPr>
          <w:noProof/>
        </w:rPr>
        <w:tab/>
        <w:t>Therneau TM, Grambsch PM. Modeling Survival Data: Extending the Cox Model. 1 ed. New York: Springer-Verlag; 2000.</w:t>
      </w:r>
    </w:p>
    <w:p w:rsidR="00C66E5B" w:rsidRPr="009A2CA0" w:rsidRDefault="00C66E5B" w:rsidP="00533882">
      <w:pPr>
        <w:pStyle w:val="EndNoteBibliography"/>
        <w:rPr>
          <w:noProof/>
          <w:lang w:val="fr-FR"/>
        </w:rPr>
      </w:pPr>
      <w:r w:rsidRPr="00533882">
        <w:rPr>
          <w:noProof/>
        </w:rPr>
        <w:t>19.</w:t>
      </w:r>
      <w:r w:rsidRPr="00533882">
        <w:rPr>
          <w:noProof/>
        </w:rPr>
        <w:tab/>
        <w:t xml:space="preserve">Harrington D, D'Agostino RB, Sr., Gatsonis C, et al. New Guidelines for Statistical Reporting in the Journal. </w:t>
      </w:r>
      <w:r w:rsidRPr="009A2CA0">
        <w:rPr>
          <w:i/>
          <w:noProof/>
          <w:lang w:val="fr-FR"/>
        </w:rPr>
        <w:t>N Engl J Med</w:t>
      </w:r>
      <w:r w:rsidRPr="009A2CA0">
        <w:rPr>
          <w:noProof/>
          <w:lang w:val="fr-FR"/>
        </w:rPr>
        <w:t xml:space="preserve"> 2019; </w:t>
      </w:r>
      <w:r w:rsidRPr="009A2CA0">
        <w:rPr>
          <w:b/>
          <w:noProof/>
          <w:lang w:val="fr-FR"/>
        </w:rPr>
        <w:t>381</w:t>
      </w:r>
      <w:r w:rsidRPr="009A2CA0">
        <w:rPr>
          <w:noProof/>
          <w:lang w:val="fr-FR"/>
        </w:rPr>
        <w:t>(3): 285-6.</w:t>
      </w:r>
    </w:p>
    <w:p w:rsidR="00C66E5B" w:rsidRPr="009A2CA0" w:rsidRDefault="00C66E5B" w:rsidP="00533882">
      <w:pPr>
        <w:pStyle w:val="EndNoteBibliography"/>
        <w:rPr>
          <w:noProof/>
          <w:lang w:val="fr-FR"/>
        </w:rPr>
      </w:pPr>
      <w:r w:rsidRPr="009A2CA0">
        <w:rPr>
          <w:noProof/>
          <w:lang w:val="fr-FR"/>
        </w:rPr>
        <w:lastRenderedPageBreak/>
        <w:t>20.</w:t>
      </w:r>
      <w:r w:rsidRPr="009A2CA0">
        <w:rPr>
          <w:noProof/>
          <w:lang w:val="fr-FR"/>
        </w:rPr>
        <w:tab/>
        <w:t xml:space="preserve">O'Connell MJ, Laurie JA, Kahn M, et al. </w:t>
      </w:r>
      <w:r w:rsidRPr="00533882">
        <w:rPr>
          <w:noProof/>
        </w:rPr>
        <w:t xml:space="preserve">Prospectively randomized trial of postoperative adjuvant chemotherapy in patients with high-risk colon cancer. </w:t>
      </w:r>
      <w:r w:rsidRPr="009A2CA0">
        <w:rPr>
          <w:i/>
          <w:noProof/>
          <w:lang w:val="fr-FR"/>
        </w:rPr>
        <w:t>J Clin Oncol</w:t>
      </w:r>
      <w:r w:rsidRPr="009A2CA0">
        <w:rPr>
          <w:noProof/>
          <w:lang w:val="fr-FR"/>
        </w:rPr>
        <w:t xml:space="preserve"> 1998; </w:t>
      </w:r>
      <w:r w:rsidRPr="009A2CA0">
        <w:rPr>
          <w:b/>
          <w:noProof/>
          <w:lang w:val="fr-FR"/>
        </w:rPr>
        <w:t>16</w:t>
      </w:r>
      <w:r w:rsidRPr="009A2CA0">
        <w:rPr>
          <w:noProof/>
          <w:lang w:val="fr-FR"/>
        </w:rPr>
        <w:t>(1): 295-300.</w:t>
      </w:r>
    </w:p>
    <w:p w:rsidR="00C66E5B" w:rsidRPr="00533882" w:rsidRDefault="00C66E5B" w:rsidP="00533882">
      <w:pPr>
        <w:pStyle w:val="EndNoteBibliography"/>
        <w:rPr>
          <w:noProof/>
        </w:rPr>
      </w:pPr>
      <w:r w:rsidRPr="009A2CA0">
        <w:rPr>
          <w:noProof/>
          <w:lang w:val="fr-FR"/>
        </w:rPr>
        <w:t>21.</w:t>
      </w:r>
      <w:r w:rsidRPr="009A2CA0">
        <w:rPr>
          <w:noProof/>
          <w:lang w:val="fr-FR"/>
        </w:rPr>
        <w:tab/>
        <w:t xml:space="preserve">Fleshman J, Branda M, Sargent DJ, et al. </w:t>
      </w:r>
      <w:r w:rsidRPr="00533882">
        <w:rPr>
          <w:noProof/>
        </w:rPr>
        <w:t xml:space="preserve">Effect of Laparoscopic-Assisted Resection vs Open Resection of Stage II or III Rectal Cancer on Pathologic Outcomes: The ACOSOG Z6051 Randomized Clinical Trial. </w:t>
      </w:r>
      <w:r w:rsidRPr="00533882">
        <w:rPr>
          <w:i/>
          <w:noProof/>
        </w:rPr>
        <w:t>JAMA</w:t>
      </w:r>
      <w:r w:rsidRPr="00533882">
        <w:rPr>
          <w:noProof/>
        </w:rPr>
        <w:t xml:space="preserve"> 2015; </w:t>
      </w:r>
      <w:r w:rsidRPr="00533882">
        <w:rPr>
          <w:b/>
          <w:noProof/>
        </w:rPr>
        <w:t>314</w:t>
      </w:r>
      <w:r w:rsidRPr="00533882">
        <w:rPr>
          <w:noProof/>
        </w:rPr>
        <w:t>(13): 1346-55.</w:t>
      </w:r>
    </w:p>
    <w:p w:rsidR="00C66E5B" w:rsidRPr="00533882" w:rsidRDefault="00C66E5B" w:rsidP="00533882">
      <w:pPr>
        <w:pStyle w:val="EndNoteBibliography"/>
        <w:rPr>
          <w:noProof/>
        </w:rPr>
      </w:pPr>
      <w:r w:rsidRPr="00533882">
        <w:rPr>
          <w:noProof/>
        </w:rPr>
        <w:t>22.</w:t>
      </w:r>
      <w:r w:rsidRPr="00533882">
        <w:rPr>
          <w:noProof/>
        </w:rPr>
        <w:tab/>
        <w:t xml:space="preserve">Bonjer HJ, Deijen CL, Abis GA, et al. A randomized trial of laparoscopic versus open surgery for rectal cancer. </w:t>
      </w:r>
      <w:r w:rsidRPr="00533882">
        <w:rPr>
          <w:i/>
          <w:noProof/>
        </w:rPr>
        <w:t>N Engl J Med</w:t>
      </w:r>
      <w:r w:rsidRPr="00533882">
        <w:rPr>
          <w:noProof/>
        </w:rPr>
        <w:t xml:space="preserve"> 2015; </w:t>
      </w:r>
      <w:r w:rsidRPr="00533882">
        <w:rPr>
          <w:b/>
          <w:noProof/>
        </w:rPr>
        <w:t>372</w:t>
      </w:r>
      <w:r w:rsidRPr="00533882">
        <w:rPr>
          <w:noProof/>
        </w:rPr>
        <w:t>(14): 1324-32.</w:t>
      </w:r>
    </w:p>
    <w:p w:rsidR="00C66E5B" w:rsidRPr="009A2CA0" w:rsidRDefault="00C66E5B" w:rsidP="00533882">
      <w:pPr>
        <w:pStyle w:val="EndNoteBibliography"/>
        <w:rPr>
          <w:noProof/>
          <w:lang w:val="fr-FR"/>
        </w:rPr>
      </w:pPr>
      <w:r w:rsidRPr="00533882">
        <w:rPr>
          <w:noProof/>
        </w:rPr>
        <w:t>23.</w:t>
      </w:r>
      <w:r w:rsidRPr="00533882">
        <w:rPr>
          <w:noProof/>
        </w:rPr>
        <w:tab/>
        <w:t xml:space="preserve">Shi Q, Gramont AD, Dixon JG, et al. Re-evaluating disease-free survival (DFS) as an endpoint versus overall survival (OS) in adjuvant colon cancer (CC) trials with chemotherapy +/- biologics: An updated surrogacy analysis based on 18,886 patients (pts) from the Accent database. </w:t>
      </w:r>
      <w:r w:rsidRPr="009A2CA0">
        <w:rPr>
          <w:i/>
          <w:noProof/>
          <w:lang w:val="fr-FR"/>
        </w:rPr>
        <w:t>Journal of Clinical Oncology</w:t>
      </w:r>
      <w:r w:rsidRPr="009A2CA0">
        <w:rPr>
          <w:noProof/>
          <w:lang w:val="fr-FR"/>
        </w:rPr>
        <w:t xml:space="preserve"> 2019; </w:t>
      </w:r>
      <w:r w:rsidRPr="009A2CA0">
        <w:rPr>
          <w:b/>
          <w:noProof/>
          <w:lang w:val="fr-FR"/>
        </w:rPr>
        <w:t>37</w:t>
      </w:r>
      <w:r w:rsidRPr="009A2CA0">
        <w:rPr>
          <w:noProof/>
          <w:lang w:val="fr-FR"/>
        </w:rPr>
        <w:t>(15_suppl): 3502-.</w:t>
      </w:r>
    </w:p>
    <w:p w:rsidR="00C66E5B" w:rsidRPr="00533882" w:rsidRDefault="00C66E5B" w:rsidP="00533882">
      <w:pPr>
        <w:pStyle w:val="EndNoteBibliography"/>
        <w:rPr>
          <w:noProof/>
        </w:rPr>
      </w:pPr>
      <w:r w:rsidRPr="009A2CA0">
        <w:rPr>
          <w:noProof/>
          <w:lang w:val="fr-FR"/>
        </w:rPr>
        <w:t>24.</w:t>
      </w:r>
      <w:r w:rsidRPr="009A2CA0">
        <w:rPr>
          <w:noProof/>
          <w:lang w:val="fr-FR"/>
        </w:rPr>
        <w:tab/>
        <w:t xml:space="preserve">Pages F, Andre T, Taieb J, et al. </w:t>
      </w:r>
      <w:r w:rsidRPr="00533882">
        <w:rPr>
          <w:noProof/>
        </w:rPr>
        <w:t xml:space="preserve">Prognostic and predictive value of the Immunoscore in stage III colon cancer patients treated with oxaliplatin in the prospective IDEA France PRODIGE-GERCOR cohort study. </w:t>
      </w:r>
      <w:r w:rsidRPr="00533882">
        <w:rPr>
          <w:i/>
          <w:noProof/>
        </w:rPr>
        <w:t>Ann Oncol</w:t>
      </w:r>
      <w:r w:rsidRPr="00533882">
        <w:rPr>
          <w:noProof/>
        </w:rPr>
        <w:t xml:space="preserve"> 2020.</w:t>
      </w:r>
    </w:p>
    <w:p w:rsidR="00C66E5B" w:rsidRPr="00533882" w:rsidRDefault="00C66E5B" w:rsidP="00533882">
      <w:pPr>
        <w:pStyle w:val="EndNoteBibliography"/>
        <w:rPr>
          <w:noProof/>
        </w:rPr>
      </w:pPr>
      <w:r w:rsidRPr="00533882">
        <w:rPr>
          <w:noProof/>
        </w:rPr>
        <w:t>25.</w:t>
      </w:r>
      <w:r w:rsidRPr="00533882">
        <w:rPr>
          <w:noProof/>
        </w:rPr>
        <w:tab/>
        <w:t xml:space="preserve">Taieb J, Taly V, Vernerey D, et al. Analysis of circulating tumor DNA (ctDNA) from patients enrolled in the IDEA-FRANCE phase III trial: prognostic and predictive value for adjuvant treatment duration. </w:t>
      </w:r>
      <w:r w:rsidRPr="00533882">
        <w:rPr>
          <w:i/>
          <w:noProof/>
        </w:rPr>
        <w:t xml:space="preserve">Annals of Oncology </w:t>
      </w:r>
      <w:r w:rsidRPr="00533882">
        <w:rPr>
          <w:noProof/>
        </w:rPr>
        <w:t xml:space="preserve">2019; </w:t>
      </w:r>
      <w:r w:rsidRPr="00533882">
        <w:rPr>
          <w:b/>
          <w:noProof/>
        </w:rPr>
        <w:t>30</w:t>
      </w:r>
      <w:r w:rsidRPr="00533882">
        <w:rPr>
          <w:noProof/>
        </w:rPr>
        <w:t>: v851-v934.</w:t>
      </w:r>
    </w:p>
    <w:p w:rsidR="00C66E5B" w:rsidRPr="009A2CA0" w:rsidRDefault="00C66E5B" w:rsidP="00533882">
      <w:pPr>
        <w:pStyle w:val="EndNoteBibliography"/>
        <w:rPr>
          <w:noProof/>
          <w:lang w:val="fr-FR"/>
        </w:rPr>
      </w:pPr>
      <w:r w:rsidRPr="00533882">
        <w:rPr>
          <w:noProof/>
        </w:rPr>
        <w:t>26.</w:t>
      </w:r>
      <w:r w:rsidRPr="00533882">
        <w:rPr>
          <w:noProof/>
        </w:rPr>
        <w:tab/>
        <w:t xml:space="preserve">Lapeyre-Prost A, Hug de Larauze M, Chibaudel B, et al. Feasibility of Capecitabine and Oxaliplatin Combination Chemotherapy Without Central Venous Access Device in Patients With Stage III Colorectal Cancer. </w:t>
      </w:r>
      <w:r w:rsidRPr="009A2CA0">
        <w:rPr>
          <w:i/>
          <w:noProof/>
          <w:lang w:val="fr-FR"/>
        </w:rPr>
        <w:t>Clin Colorectal Cancer</w:t>
      </w:r>
      <w:r w:rsidRPr="009A2CA0">
        <w:rPr>
          <w:noProof/>
          <w:lang w:val="fr-FR"/>
        </w:rPr>
        <w:t xml:space="preserve"> 2016; </w:t>
      </w:r>
      <w:r w:rsidRPr="009A2CA0">
        <w:rPr>
          <w:b/>
          <w:noProof/>
          <w:lang w:val="fr-FR"/>
        </w:rPr>
        <w:t>15</w:t>
      </w:r>
      <w:r w:rsidRPr="009A2CA0">
        <w:rPr>
          <w:noProof/>
          <w:lang w:val="fr-FR"/>
        </w:rPr>
        <w:t>(3): 250-6.</w:t>
      </w:r>
    </w:p>
    <w:p w:rsidR="00C66E5B" w:rsidRPr="00533882" w:rsidRDefault="00C66E5B" w:rsidP="00533882">
      <w:pPr>
        <w:pStyle w:val="EndNoteBibliography"/>
        <w:rPr>
          <w:noProof/>
        </w:rPr>
      </w:pPr>
      <w:r w:rsidRPr="009A2CA0">
        <w:rPr>
          <w:noProof/>
          <w:lang w:val="fr-FR"/>
        </w:rPr>
        <w:t>27.</w:t>
      </w:r>
      <w:r w:rsidRPr="009A2CA0">
        <w:rPr>
          <w:noProof/>
          <w:lang w:val="fr-FR"/>
        </w:rPr>
        <w:tab/>
        <w:t xml:space="preserve">Andre T, Vernerey D, Im SA, et al. </w:t>
      </w:r>
      <w:r w:rsidRPr="00533882">
        <w:rPr>
          <w:noProof/>
        </w:rPr>
        <w:t xml:space="preserve">Bevacizumab as adjuvant treatment of colon cancer: updated results from the S-AVANT phase III study by the GERCOR Group. </w:t>
      </w:r>
      <w:r w:rsidRPr="00533882">
        <w:rPr>
          <w:i/>
          <w:noProof/>
        </w:rPr>
        <w:t>Ann Oncol</w:t>
      </w:r>
      <w:r w:rsidRPr="00533882">
        <w:rPr>
          <w:noProof/>
        </w:rPr>
        <w:t xml:space="preserve"> 2020; </w:t>
      </w:r>
      <w:r w:rsidRPr="00533882">
        <w:rPr>
          <w:b/>
          <w:noProof/>
        </w:rPr>
        <w:t>31</w:t>
      </w:r>
      <w:r w:rsidRPr="00533882">
        <w:rPr>
          <w:noProof/>
        </w:rPr>
        <w:t>(2): 246-56.</w:t>
      </w:r>
    </w:p>
    <w:p w:rsidR="00C66E5B" w:rsidRPr="00533882" w:rsidRDefault="00C66E5B" w:rsidP="00533882">
      <w:pPr>
        <w:pStyle w:val="EndNoteBibliography"/>
        <w:rPr>
          <w:noProof/>
        </w:rPr>
      </w:pPr>
      <w:r w:rsidRPr="00533882">
        <w:rPr>
          <w:noProof/>
        </w:rPr>
        <w:t>28.</w:t>
      </w:r>
      <w:r w:rsidRPr="00533882">
        <w:rPr>
          <w:noProof/>
        </w:rPr>
        <w:tab/>
        <w:t xml:space="preserve">Chau I, Norman AR, Cunningham D, et al. A randomised comparison between 6 months of bolus fluorouracil/leucovorin and 12 weeks of protracted venous infusion fluorouracil as adjuvant treatment in colorectal cancer. </w:t>
      </w:r>
      <w:r w:rsidRPr="00533882">
        <w:rPr>
          <w:i/>
          <w:noProof/>
        </w:rPr>
        <w:t>Ann Oncol</w:t>
      </w:r>
      <w:r w:rsidRPr="00533882">
        <w:rPr>
          <w:noProof/>
        </w:rPr>
        <w:t xml:space="preserve"> 2005; </w:t>
      </w:r>
      <w:r w:rsidRPr="00533882">
        <w:rPr>
          <w:b/>
          <w:noProof/>
        </w:rPr>
        <w:t>16</w:t>
      </w:r>
      <w:r w:rsidRPr="00533882">
        <w:rPr>
          <w:noProof/>
        </w:rPr>
        <w:t>(4): 549-57.</w:t>
      </w:r>
    </w:p>
    <w:p w:rsidR="00C66E5B" w:rsidRPr="00533882" w:rsidRDefault="00C66E5B" w:rsidP="00533882">
      <w:pPr>
        <w:pStyle w:val="EndNoteBibliography"/>
        <w:rPr>
          <w:noProof/>
        </w:rPr>
      </w:pPr>
      <w:r w:rsidRPr="00533882">
        <w:rPr>
          <w:noProof/>
        </w:rPr>
        <w:t>29.</w:t>
      </w:r>
      <w:r w:rsidRPr="00533882">
        <w:rPr>
          <w:noProof/>
        </w:rPr>
        <w:tab/>
        <w:t xml:space="preserve">Twelves C, Wong A, Nowacki MP, et al. Capecitabine as adjuvant treatment for stage III colon cancer. </w:t>
      </w:r>
      <w:r w:rsidRPr="00533882">
        <w:rPr>
          <w:i/>
          <w:noProof/>
        </w:rPr>
        <w:t>N Engl J Med</w:t>
      </w:r>
      <w:r w:rsidRPr="00533882">
        <w:rPr>
          <w:noProof/>
        </w:rPr>
        <w:t xml:space="preserve"> 2005; </w:t>
      </w:r>
      <w:r w:rsidRPr="00533882">
        <w:rPr>
          <w:b/>
          <w:noProof/>
        </w:rPr>
        <w:t>352</w:t>
      </w:r>
      <w:r w:rsidRPr="00533882">
        <w:rPr>
          <w:noProof/>
        </w:rPr>
        <w:t>(26): 2696-704.</w:t>
      </w:r>
    </w:p>
    <w:p w:rsidR="00C66E5B" w:rsidRDefault="00C66E5B" w:rsidP="007E1F21">
      <w:pPr>
        <w:ind w:left="1440" w:hanging="1440"/>
        <w:rPr>
          <w:rFonts w:ascii="Times New Roman" w:hAnsi="Times New Roman" w:cs="Times New Roman"/>
        </w:rPr>
      </w:pPr>
    </w:p>
    <w:p w:rsidR="00C66E5B" w:rsidRPr="00FD7217" w:rsidRDefault="00C66E5B" w:rsidP="00E22AE1">
      <w:pPr>
        <w:rPr>
          <w:rFonts w:ascii="Times New Roman" w:hAnsi="Times New Roman" w:cs="Times New Roman"/>
        </w:rPr>
      </w:pPr>
    </w:p>
    <w:p w:rsidR="00C66E5B" w:rsidRPr="00FD7217" w:rsidRDefault="00C66E5B">
      <w:pPr>
        <w:rPr>
          <w:rFonts w:ascii="Times New Roman" w:hAnsi="Times New Roman" w:cs="Times New Roman"/>
        </w:rPr>
      </w:pPr>
      <w:r w:rsidRPr="00FD7217">
        <w:rPr>
          <w:rFonts w:ascii="Times New Roman" w:hAnsi="Times New Roman" w:cs="Times New Roman"/>
        </w:rPr>
        <w:br w:type="page"/>
      </w:r>
    </w:p>
    <w:p w:rsidR="00C66E5B" w:rsidRPr="00FD7217" w:rsidRDefault="00C66E5B" w:rsidP="00FD7217">
      <w:pPr>
        <w:rPr>
          <w:rFonts w:ascii="Times New Roman" w:hAnsi="Times New Roman" w:cs="Times New Roman"/>
        </w:rPr>
      </w:pPr>
      <w:r w:rsidRPr="00FD7217">
        <w:rPr>
          <w:rFonts w:ascii="Times New Roman" w:hAnsi="Times New Roman" w:cs="Times New Roman"/>
        </w:rPr>
        <w:lastRenderedPageBreak/>
        <w:t>Figure and Table Legends</w:t>
      </w:r>
    </w:p>
    <w:p w:rsidR="00C66E5B" w:rsidRPr="00FD7217" w:rsidRDefault="00C66E5B" w:rsidP="00FD7217">
      <w:pPr>
        <w:rPr>
          <w:rFonts w:ascii="Times New Roman" w:hAnsi="Times New Roman" w:cs="Times New Roman"/>
        </w:rPr>
      </w:pPr>
    </w:p>
    <w:p w:rsidR="00C66E5B" w:rsidRPr="00FD7217" w:rsidRDefault="00C66E5B" w:rsidP="00FD7217">
      <w:pPr>
        <w:tabs>
          <w:tab w:val="left" w:pos="1440"/>
        </w:tabs>
        <w:ind w:left="1440" w:hanging="1440"/>
        <w:rPr>
          <w:rFonts w:ascii="Times New Roman" w:hAnsi="Times New Roman" w:cs="Times New Roman"/>
          <w:sz w:val="20"/>
          <w:szCs w:val="20"/>
        </w:rPr>
      </w:pPr>
      <w:r w:rsidRPr="00FD7217">
        <w:rPr>
          <w:rFonts w:ascii="Times New Roman" w:hAnsi="Times New Roman" w:cs="Times New Roman"/>
          <w:sz w:val="20"/>
          <w:szCs w:val="20"/>
        </w:rPr>
        <w:t>Table 1:</w:t>
      </w:r>
      <w:r w:rsidRPr="00FD7217">
        <w:rPr>
          <w:rFonts w:ascii="Times New Roman" w:hAnsi="Times New Roman" w:cs="Times New Roman"/>
          <w:sz w:val="20"/>
          <w:szCs w:val="20"/>
        </w:rPr>
        <w:tab/>
        <w:t xml:space="preserve">Updated characteristics of the study population (modified intention-to-treat population </w:t>
      </w:r>
      <w:proofErr w:type="spellStart"/>
      <w:r w:rsidRPr="00FD7217">
        <w:rPr>
          <w:rFonts w:ascii="Times New Roman" w:hAnsi="Times New Roman" w:cs="Times New Roman"/>
          <w:sz w:val="20"/>
          <w:szCs w:val="20"/>
        </w:rPr>
        <w:t>mITT</w:t>
      </w:r>
      <w:proofErr w:type="spellEnd"/>
      <w:r w:rsidRPr="00FD7217">
        <w:rPr>
          <w:rFonts w:ascii="Times New Roman" w:hAnsi="Times New Roman" w:cs="Times New Roman"/>
          <w:sz w:val="20"/>
          <w:szCs w:val="20"/>
        </w:rPr>
        <w:t>)</w:t>
      </w:r>
    </w:p>
    <w:p w:rsidR="00C66E5B" w:rsidRPr="00FD7217" w:rsidRDefault="00C66E5B" w:rsidP="0033061D">
      <w:pPr>
        <w:ind w:left="1440" w:hanging="1440"/>
        <w:rPr>
          <w:rFonts w:ascii="Times New Roman" w:hAnsi="Times New Roman" w:cs="Times New Roman"/>
          <w:sz w:val="20"/>
          <w:szCs w:val="20"/>
        </w:rPr>
      </w:pPr>
    </w:p>
    <w:p w:rsidR="00C66E5B" w:rsidRDefault="00C66E5B" w:rsidP="00FD7217">
      <w:pPr>
        <w:tabs>
          <w:tab w:val="left" w:pos="1440"/>
        </w:tabs>
        <w:ind w:left="1440" w:hanging="1440"/>
        <w:rPr>
          <w:rFonts w:ascii="Times New Roman" w:hAnsi="Times New Roman" w:cs="Times New Roman"/>
          <w:sz w:val="20"/>
          <w:szCs w:val="20"/>
        </w:rPr>
      </w:pPr>
      <w:r w:rsidRPr="00FD7217">
        <w:rPr>
          <w:rFonts w:ascii="Times New Roman" w:hAnsi="Times New Roman" w:cs="Times New Roman"/>
          <w:sz w:val="20"/>
          <w:szCs w:val="20"/>
        </w:rPr>
        <w:t>Table 2:</w:t>
      </w:r>
      <w:r w:rsidRPr="00FD7217">
        <w:rPr>
          <w:rFonts w:ascii="Times New Roman" w:hAnsi="Times New Roman" w:cs="Times New Roman"/>
          <w:sz w:val="20"/>
          <w:szCs w:val="20"/>
        </w:rPr>
        <w:tab/>
        <w:t xml:space="preserve">Treatment effects comparing disease-free and </w:t>
      </w:r>
      <w:r w:rsidRPr="00E45FDA">
        <w:rPr>
          <w:rFonts w:ascii="Times New Roman" w:hAnsi="Times New Roman" w:cs="Times New Roman"/>
          <w:sz w:val="20"/>
          <w:szCs w:val="20"/>
        </w:rPr>
        <w:t>overall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between </w:t>
      </w:r>
      <w:r>
        <w:rPr>
          <w:rFonts w:ascii="Times New Roman" w:hAnsi="Times New Roman" w:cs="Times New Roman"/>
          <w:sz w:val="20"/>
          <w:szCs w:val="20"/>
        </w:rPr>
        <w:t>three</w:t>
      </w:r>
      <w:r w:rsidRPr="00FD7217">
        <w:rPr>
          <w:rFonts w:ascii="Times New Roman" w:hAnsi="Times New Roman" w:cs="Times New Roman"/>
          <w:sz w:val="20"/>
          <w:szCs w:val="20"/>
        </w:rPr>
        <w:t xml:space="preserve"> months and </w:t>
      </w:r>
      <w:r>
        <w:rPr>
          <w:rFonts w:ascii="Times New Roman" w:hAnsi="Times New Roman" w:cs="Times New Roman"/>
          <w:sz w:val="20"/>
          <w:szCs w:val="20"/>
        </w:rPr>
        <w:t>six</w:t>
      </w:r>
      <w:r w:rsidRPr="00FD7217">
        <w:rPr>
          <w:rFonts w:ascii="Times New Roman" w:hAnsi="Times New Roman" w:cs="Times New Roman"/>
          <w:sz w:val="20"/>
          <w:szCs w:val="20"/>
        </w:rPr>
        <w:t xml:space="preserve"> months of therapy with </w:t>
      </w:r>
      <w:r>
        <w:rPr>
          <w:rFonts w:ascii="Times New Roman" w:hAnsi="Times New Roman" w:cs="Times New Roman"/>
          <w:sz w:val="20"/>
          <w:szCs w:val="20"/>
        </w:rPr>
        <w:t>six</w:t>
      </w:r>
      <w:r w:rsidRPr="00FD7217">
        <w:rPr>
          <w:rFonts w:ascii="Times New Roman" w:hAnsi="Times New Roman" w:cs="Times New Roman"/>
          <w:sz w:val="20"/>
          <w:szCs w:val="20"/>
        </w:rPr>
        <w:t xml:space="preserve"> months group as reference group</w:t>
      </w:r>
    </w:p>
    <w:p w:rsidR="00C66E5B" w:rsidRDefault="00C66E5B" w:rsidP="00FD7217">
      <w:pPr>
        <w:tabs>
          <w:tab w:val="left" w:pos="1440"/>
        </w:tabs>
        <w:ind w:left="1440" w:hanging="1440"/>
        <w:rPr>
          <w:rFonts w:ascii="Times New Roman" w:hAnsi="Times New Roman" w:cs="Times New Roman"/>
          <w:sz w:val="20"/>
          <w:szCs w:val="20"/>
        </w:rPr>
      </w:pPr>
    </w:p>
    <w:p w:rsidR="00C66E5B" w:rsidRDefault="00C66E5B" w:rsidP="00B477E4">
      <w:pPr>
        <w:ind w:left="1440" w:hanging="1440"/>
        <w:rPr>
          <w:rFonts w:ascii="Times New Roman" w:hAnsi="Times New Roman" w:cs="Times New Roman"/>
          <w:sz w:val="20"/>
          <w:szCs w:val="20"/>
        </w:rPr>
      </w:pPr>
      <w:r w:rsidRPr="00FD7217">
        <w:rPr>
          <w:rFonts w:ascii="Times New Roman" w:hAnsi="Times New Roman" w:cs="Times New Roman"/>
          <w:sz w:val="20"/>
          <w:szCs w:val="20"/>
        </w:rPr>
        <w:t>Figure 1:</w:t>
      </w:r>
      <w:r w:rsidRPr="00FD7217">
        <w:rPr>
          <w:rFonts w:ascii="Times New Roman" w:hAnsi="Times New Roman" w:cs="Times New Roman"/>
          <w:sz w:val="20"/>
          <w:szCs w:val="20"/>
        </w:rPr>
        <w:tab/>
        <w:t xml:space="preserve">Updated </w:t>
      </w:r>
      <w:r w:rsidRPr="00E45FDA">
        <w:rPr>
          <w:rFonts w:ascii="Times New Roman" w:hAnsi="Times New Roman" w:cs="Times New Roman"/>
          <w:sz w:val="20"/>
          <w:szCs w:val="20"/>
        </w:rPr>
        <w:t>disease-free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with </w:t>
      </w:r>
      <w:r>
        <w:rPr>
          <w:rFonts w:ascii="Times New Roman" w:hAnsi="Times New Roman" w:cs="Times New Roman"/>
          <w:sz w:val="20"/>
          <w:szCs w:val="20"/>
        </w:rPr>
        <w:t>three</w:t>
      </w:r>
      <w:r w:rsidRPr="00FD7217">
        <w:rPr>
          <w:rFonts w:ascii="Times New Roman" w:hAnsi="Times New Roman" w:cs="Times New Roman"/>
          <w:sz w:val="20"/>
          <w:szCs w:val="20"/>
        </w:rPr>
        <w:t xml:space="preserve"> months versus </w:t>
      </w:r>
      <w:r>
        <w:rPr>
          <w:rFonts w:ascii="Times New Roman" w:hAnsi="Times New Roman" w:cs="Times New Roman"/>
          <w:sz w:val="20"/>
          <w:szCs w:val="20"/>
        </w:rPr>
        <w:t>six</w:t>
      </w:r>
      <w:r w:rsidRPr="00FD7217">
        <w:rPr>
          <w:rFonts w:ascii="Times New Roman" w:hAnsi="Times New Roman" w:cs="Times New Roman"/>
          <w:sz w:val="20"/>
          <w:szCs w:val="20"/>
        </w:rPr>
        <w:t xml:space="preserve"> months of adjuvant therapy in overall </w:t>
      </w:r>
      <w:proofErr w:type="spellStart"/>
      <w:r w:rsidRPr="00FD7217">
        <w:rPr>
          <w:rFonts w:ascii="Times New Roman" w:hAnsi="Times New Roman" w:cs="Times New Roman"/>
          <w:sz w:val="20"/>
          <w:szCs w:val="20"/>
        </w:rPr>
        <w:t>mITT</w:t>
      </w:r>
      <w:proofErr w:type="spellEnd"/>
      <w:r w:rsidRPr="00FD7217">
        <w:rPr>
          <w:rFonts w:ascii="Times New Roman" w:hAnsi="Times New Roman" w:cs="Times New Roman"/>
          <w:sz w:val="20"/>
          <w:szCs w:val="20"/>
        </w:rPr>
        <w:t xml:space="preserve"> Population</w:t>
      </w:r>
    </w:p>
    <w:p w:rsidR="00C66E5B" w:rsidRDefault="00C66E5B" w:rsidP="00643D22">
      <w:pPr>
        <w:ind w:left="1440"/>
        <w:rPr>
          <w:rFonts w:ascii="Times New Roman" w:hAnsi="Times New Roman" w:cs="Times New Roman"/>
          <w:sz w:val="20"/>
          <w:szCs w:val="20"/>
        </w:rPr>
      </w:pPr>
      <w:r>
        <w:rPr>
          <w:rFonts w:ascii="Times New Roman" w:eastAsia="Times New Roman" w:hAnsi="Times New Roman" w:cs="Times New Roman"/>
          <w:color w:val="2F2B20"/>
          <w:kern w:val="24"/>
          <w:sz w:val="20"/>
          <w:szCs w:val="20"/>
        </w:rPr>
        <w:t xml:space="preserve">Comparing DFS between 3 vs. 6 months of therapy, the hazard ratio is 1.08 (95% confidence interval: 1.02 to 1.15). The statistical non-inferiority of 3 moths of therapy was not established in overall </w:t>
      </w:r>
      <w:proofErr w:type="spellStart"/>
      <w:r>
        <w:rPr>
          <w:rFonts w:ascii="Times New Roman" w:eastAsia="Times New Roman" w:hAnsi="Times New Roman" w:cs="Times New Roman"/>
          <w:color w:val="2F2B20"/>
          <w:kern w:val="24"/>
          <w:sz w:val="20"/>
          <w:szCs w:val="20"/>
        </w:rPr>
        <w:t>mITT</w:t>
      </w:r>
      <w:proofErr w:type="spellEnd"/>
      <w:r>
        <w:rPr>
          <w:rFonts w:ascii="Times New Roman" w:eastAsia="Times New Roman" w:hAnsi="Times New Roman" w:cs="Times New Roman"/>
          <w:color w:val="2F2B20"/>
          <w:kern w:val="24"/>
          <w:sz w:val="20"/>
          <w:szCs w:val="20"/>
        </w:rPr>
        <w:t xml:space="preserve"> population, since the observed one-sided false discover rate adjusted (</w:t>
      </w:r>
      <w:proofErr w:type="spellStart"/>
      <w:r>
        <w:rPr>
          <w:rFonts w:ascii="Times New Roman" w:eastAsia="Times New Roman" w:hAnsi="Times New Roman" w:cs="Times New Roman"/>
          <w:color w:val="2F2B20"/>
          <w:kern w:val="24"/>
          <w:sz w:val="20"/>
          <w:szCs w:val="20"/>
        </w:rPr>
        <w:t>FDRadj</w:t>
      </w:r>
      <w:proofErr w:type="spellEnd"/>
      <w:r>
        <w:rPr>
          <w:rFonts w:ascii="Times New Roman" w:eastAsia="Times New Roman" w:hAnsi="Times New Roman" w:cs="Times New Roman"/>
          <w:color w:val="2F2B20"/>
          <w:kern w:val="24"/>
          <w:sz w:val="20"/>
          <w:szCs w:val="20"/>
        </w:rPr>
        <w:t xml:space="preserve">) non-inferiority p-value of 0.25 is larger than significance level of 0.025. The DFS of 6 months of therapy was significantly better than 3 months of therapy, since the observed two-sided </w:t>
      </w:r>
      <w:proofErr w:type="spellStart"/>
      <w:r>
        <w:rPr>
          <w:rFonts w:ascii="Times New Roman" w:eastAsia="Times New Roman" w:hAnsi="Times New Roman" w:cs="Times New Roman"/>
          <w:color w:val="2F2B20"/>
          <w:kern w:val="24"/>
          <w:sz w:val="20"/>
          <w:szCs w:val="20"/>
        </w:rPr>
        <w:t>FDRadj</w:t>
      </w:r>
      <w:proofErr w:type="spellEnd"/>
      <w:r>
        <w:rPr>
          <w:rFonts w:ascii="Times New Roman" w:eastAsia="Times New Roman" w:hAnsi="Times New Roman" w:cs="Times New Roman"/>
          <w:color w:val="2F2B20"/>
          <w:kern w:val="24"/>
          <w:sz w:val="20"/>
          <w:szCs w:val="20"/>
        </w:rPr>
        <w:t xml:space="preserve"> superiority p-value of 0.044 is smaller than the significance level of 0.05.</w:t>
      </w:r>
    </w:p>
    <w:p w:rsidR="00C66E5B" w:rsidRDefault="00C66E5B" w:rsidP="0033061D">
      <w:pPr>
        <w:ind w:left="1440" w:hanging="1440"/>
        <w:rPr>
          <w:rFonts w:ascii="Times New Roman" w:hAnsi="Times New Roman" w:cs="Times New Roman"/>
          <w:sz w:val="20"/>
          <w:szCs w:val="20"/>
        </w:rPr>
      </w:pPr>
    </w:p>
    <w:p w:rsidR="00C66E5B" w:rsidRPr="00FD7217" w:rsidRDefault="00C66E5B" w:rsidP="0033061D">
      <w:pPr>
        <w:ind w:left="1440" w:hanging="1440"/>
        <w:rPr>
          <w:rFonts w:ascii="Times New Roman" w:hAnsi="Times New Roman" w:cs="Times New Roman"/>
          <w:sz w:val="20"/>
          <w:szCs w:val="20"/>
        </w:rPr>
      </w:pPr>
      <w:r w:rsidRPr="00FD7217">
        <w:rPr>
          <w:rFonts w:ascii="Times New Roman" w:hAnsi="Times New Roman" w:cs="Times New Roman"/>
          <w:sz w:val="20"/>
          <w:szCs w:val="20"/>
        </w:rPr>
        <w:t xml:space="preserve">Figure 2: </w:t>
      </w:r>
      <w:r w:rsidRPr="00FD7217">
        <w:rPr>
          <w:rFonts w:ascii="Times New Roman" w:hAnsi="Times New Roman" w:cs="Times New Roman"/>
          <w:sz w:val="20"/>
          <w:szCs w:val="20"/>
        </w:rPr>
        <w:tab/>
      </w:r>
      <w:r>
        <w:rPr>
          <w:rFonts w:ascii="Times New Roman" w:hAnsi="Times New Roman" w:cs="Times New Roman"/>
          <w:sz w:val="20"/>
          <w:szCs w:val="20"/>
        </w:rPr>
        <w:t>O</w:t>
      </w:r>
      <w:r w:rsidRPr="00E45FDA">
        <w:rPr>
          <w:rFonts w:ascii="Times New Roman" w:hAnsi="Times New Roman" w:cs="Times New Roman"/>
          <w:sz w:val="20"/>
          <w:szCs w:val="20"/>
        </w:rPr>
        <w:t>verall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with </w:t>
      </w:r>
      <w:r>
        <w:rPr>
          <w:rFonts w:ascii="Times New Roman" w:hAnsi="Times New Roman" w:cs="Times New Roman"/>
          <w:sz w:val="20"/>
          <w:szCs w:val="20"/>
        </w:rPr>
        <w:t>three</w:t>
      </w:r>
      <w:r w:rsidRPr="00FD7217">
        <w:rPr>
          <w:rFonts w:ascii="Times New Roman" w:hAnsi="Times New Roman" w:cs="Times New Roman"/>
          <w:sz w:val="20"/>
          <w:szCs w:val="20"/>
        </w:rPr>
        <w:t xml:space="preserve"> months versus </w:t>
      </w:r>
      <w:r>
        <w:rPr>
          <w:rFonts w:ascii="Times New Roman" w:hAnsi="Times New Roman" w:cs="Times New Roman"/>
          <w:sz w:val="20"/>
          <w:szCs w:val="20"/>
        </w:rPr>
        <w:t>six</w:t>
      </w:r>
      <w:r w:rsidRPr="00FD7217">
        <w:rPr>
          <w:rFonts w:ascii="Times New Roman" w:hAnsi="Times New Roman" w:cs="Times New Roman"/>
          <w:sz w:val="20"/>
          <w:szCs w:val="20"/>
        </w:rPr>
        <w:t xml:space="preserve"> months of adjuvant therapy; 2A: Overall </w:t>
      </w:r>
      <w:proofErr w:type="spellStart"/>
      <w:r w:rsidRPr="00FD7217">
        <w:rPr>
          <w:rFonts w:ascii="Times New Roman" w:hAnsi="Times New Roman" w:cs="Times New Roman"/>
          <w:sz w:val="20"/>
          <w:szCs w:val="20"/>
        </w:rPr>
        <w:t>mITT</w:t>
      </w:r>
      <w:proofErr w:type="spellEnd"/>
      <w:r w:rsidRPr="00FD7217">
        <w:rPr>
          <w:rFonts w:ascii="Times New Roman" w:hAnsi="Times New Roman" w:cs="Times New Roman"/>
          <w:sz w:val="20"/>
          <w:szCs w:val="20"/>
        </w:rPr>
        <w:t xml:space="preserve"> population; 2B: CAPOX; 2C: FOLFOX; </w:t>
      </w:r>
    </w:p>
    <w:p w:rsidR="00C66E5B" w:rsidRPr="00FD7217" w:rsidRDefault="00C66E5B" w:rsidP="0033061D">
      <w:pPr>
        <w:ind w:left="1440" w:hanging="1440"/>
        <w:rPr>
          <w:rFonts w:ascii="Times New Roman" w:hAnsi="Times New Roman" w:cs="Times New Roman"/>
          <w:sz w:val="20"/>
          <w:szCs w:val="20"/>
        </w:rPr>
      </w:pPr>
    </w:p>
    <w:p w:rsidR="00C66E5B" w:rsidRPr="00FD7217" w:rsidRDefault="00C66E5B" w:rsidP="0033061D">
      <w:pPr>
        <w:ind w:left="1440" w:hanging="1440"/>
        <w:rPr>
          <w:rFonts w:ascii="Times New Roman" w:hAnsi="Times New Roman" w:cs="Times New Roman"/>
          <w:sz w:val="20"/>
          <w:szCs w:val="20"/>
        </w:rPr>
      </w:pPr>
      <w:r w:rsidRPr="00FD7217">
        <w:rPr>
          <w:rFonts w:ascii="Times New Roman" w:hAnsi="Times New Roman" w:cs="Times New Roman"/>
          <w:sz w:val="20"/>
          <w:szCs w:val="20"/>
        </w:rPr>
        <w:t xml:space="preserve">Figure 3: </w:t>
      </w:r>
      <w:r w:rsidRPr="00FD7217">
        <w:rPr>
          <w:rFonts w:ascii="Times New Roman" w:hAnsi="Times New Roman" w:cs="Times New Roman"/>
          <w:sz w:val="20"/>
          <w:szCs w:val="20"/>
        </w:rPr>
        <w:tab/>
        <w:t xml:space="preserve">Comparing </w:t>
      </w:r>
      <w:r w:rsidRPr="00E45FDA">
        <w:rPr>
          <w:rFonts w:ascii="Times New Roman" w:hAnsi="Times New Roman" w:cs="Times New Roman"/>
          <w:sz w:val="20"/>
          <w:szCs w:val="20"/>
        </w:rPr>
        <w:t>overall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and </w:t>
      </w:r>
      <w:r w:rsidRPr="00E45FDA">
        <w:rPr>
          <w:rFonts w:ascii="Times New Roman" w:hAnsi="Times New Roman" w:cs="Times New Roman"/>
          <w:sz w:val="20"/>
          <w:szCs w:val="20"/>
        </w:rPr>
        <w:t>disease-free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between </w:t>
      </w:r>
      <w:r>
        <w:rPr>
          <w:rFonts w:ascii="Times New Roman" w:hAnsi="Times New Roman" w:cs="Times New Roman"/>
          <w:sz w:val="20"/>
          <w:szCs w:val="20"/>
        </w:rPr>
        <w:t>three</w:t>
      </w:r>
      <w:r w:rsidRPr="00FD7217">
        <w:rPr>
          <w:rFonts w:ascii="Times New Roman" w:hAnsi="Times New Roman" w:cs="Times New Roman"/>
          <w:sz w:val="20"/>
          <w:szCs w:val="20"/>
        </w:rPr>
        <w:t xml:space="preserve"> months versus </w:t>
      </w:r>
      <w:r>
        <w:rPr>
          <w:rFonts w:ascii="Times New Roman" w:hAnsi="Times New Roman" w:cs="Times New Roman"/>
          <w:sz w:val="20"/>
          <w:szCs w:val="20"/>
        </w:rPr>
        <w:t>six</w:t>
      </w:r>
      <w:r w:rsidRPr="00FD7217">
        <w:rPr>
          <w:rFonts w:ascii="Times New Roman" w:hAnsi="Times New Roman" w:cs="Times New Roman"/>
          <w:sz w:val="20"/>
          <w:szCs w:val="20"/>
        </w:rPr>
        <w:t xml:space="preserve"> months of adjuvant therapy in pre-defined subgroups; 3A: </w:t>
      </w:r>
      <w:r w:rsidRPr="00E45FDA">
        <w:rPr>
          <w:rFonts w:ascii="Times New Roman" w:hAnsi="Times New Roman" w:cs="Times New Roman"/>
          <w:sz w:val="20"/>
          <w:szCs w:val="20"/>
        </w:rPr>
        <w:t>disease-free survival</w:t>
      </w:r>
      <w:r w:rsidRPr="00FD7217">
        <w:rPr>
          <w:rFonts w:ascii="Times New Roman" w:hAnsi="Times New Roman" w:cs="Times New Roman"/>
          <w:sz w:val="20"/>
          <w:szCs w:val="20"/>
        </w:rPr>
        <w:t xml:space="preserve">; 3B </w:t>
      </w:r>
      <w:r w:rsidRPr="00E45FDA">
        <w:rPr>
          <w:rFonts w:ascii="Times New Roman" w:hAnsi="Times New Roman" w:cs="Times New Roman"/>
          <w:sz w:val="20"/>
          <w:szCs w:val="20"/>
        </w:rPr>
        <w:t>overall survival</w:t>
      </w:r>
    </w:p>
    <w:p w:rsidR="00C66E5B" w:rsidRPr="00FD7217" w:rsidRDefault="00C66E5B" w:rsidP="0033061D">
      <w:pPr>
        <w:ind w:left="1440" w:hanging="1440"/>
        <w:rPr>
          <w:rFonts w:ascii="Times New Roman" w:hAnsi="Times New Roman" w:cs="Times New Roman"/>
          <w:sz w:val="20"/>
          <w:szCs w:val="20"/>
        </w:rPr>
      </w:pPr>
    </w:p>
    <w:p w:rsidR="00C66E5B" w:rsidRDefault="00C66E5B" w:rsidP="0033061D">
      <w:pPr>
        <w:ind w:left="1440" w:hanging="1440"/>
        <w:rPr>
          <w:rFonts w:ascii="Times New Roman" w:hAnsi="Times New Roman" w:cs="Times New Roman"/>
          <w:sz w:val="20"/>
          <w:szCs w:val="20"/>
        </w:rPr>
      </w:pPr>
      <w:r>
        <w:rPr>
          <w:rFonts w:ascii="Times New Roman" w:hAnsi="Times New Roman" w:cs="Times New Roman"/>
          <w:sz w:val="20"/>
          <w:szCs w:val="20"/>
        </w:rPr>
        <w:t>Appendix</w:t>
      </w:r>
    </w:p>
    <w:p w:rsidR="00C66E5B" w:rsidRDefault="00C66E5B" w:rsidP="0033061D">
      <w:pPr>
        <w:ind w:left="1440" w:hanging="1440"/>
        <w:rPr>
          <w:rFonts w:ascii="Times New Roman" w:hAnsi="Times New Roman" w:cs="Times New Roman"/>
          <w:sz w:val="20"/>
          <w:szCs w:val="20"/>
        </w:rPr>
      </w:pPr>
    </w:p>
    <w:p w:rsidR="00C66E5B" w:rsidRDefault="00C66E5B" w:rsidP="00A70854">
      <w:pPr>
        <w:tabs>
          <w:tab w:val="left" w:pos="1440"/>
        </w:tabs>
        <w:ind w:left="2880" w:hanging="2880"/>
        <w:rPr>
          <w:rFonts w:ascii="Times New Roman" w:hAnsi="Times New Roman" w:cs="Times New Roman"/>
          <w:sz w:val="20"/>
          <w:szCs w:val="20"/>
        </w:rPr>
      </w:pPr>
      <w:r>
        <w:rPr>
          <w:rFonts w:ascii="Times New Roman" w:hAnsi="Times New Roman" w:cs="Times New Roman"/>
          <w:sz w:val="20"/>
          <w:szCs w:val="20"/>
        </w:rPr>
        <w:t>Appendix p 1: Suppl. Table 1:</w:t>
      </w:r>
      <w:r>
        <w:rPr>
          <w:rFonts w:ascii="Times New Roman" w:hAnsi="Times New Roman" w:cs="Times New Roman"/>
          <w:sz w:val="20"/>
          <w:szCs w:val="20"/>
        </w:rPr>
        <w:tab/>
        <w:t>Absolute difference (95% confidence interval) in 3, 4, and 5 years rates of outcomes between 3 months and 6 months of therapy with 6 months group as reference group</w:t>
      </w:r>
    </w:p>
    <w:p w:rsidR="00C66E5B" w:rsidRDefault="00C66E5B" w:rsidP="0033061D">
      <w:pPr>
        <w:ind w:left="1440" w:hanging="1440"/>
        <w:rPr>
          <w:rFonts w:ascii="Times New Roman" w:hAnsi="Times New Roman" w:cs="Times New Roman"/>
          <w:sz w:val="20"/>
          <w:szCs w:val="20"/>
        </w:rPr>
      </w:pPr>
    </w:p>
    <w:p w:rsidR="00C66E5B" w:rsidRPr="00FD7217" w:rsidRDefault="00C66E5B" w:rsidP="00A70854">
      <w:pPr>
        <w:ind w:left="2880" w:hanging="2880"/>
        <w:rPr>
          <w:rFonts w:ascii="Times New Roman" w:hAnsi="Times New Roman" w:cs="Times New Roman"/>
          <w:sz w:val="20"/>
          <w:szCs w:val="20"/>
        </w:rPr>
      </w:pPr>
      <w:r>
        <w:rPr>
          <w:rFonts w:ascii="Times New Roman" w:hAnsi="Times New Roman" w:cs="Times New Roman"/>
          <w:sz w:val="20"/>
          <w:szCs w:val="20"/>
        </w:rPr>
        <w:t>Appendix p 2: Suppl. Table 2:</w:t>
      </w:r>
      <w:r>
        <w:rPr>
          <w:rFonts w:ascii="Times New Roman" w:hAnsi="Times New Roman" w:cs="Times New Roman"/>
          <w:sz w:val="20"/>
          <w:szCs w:val="20"/>
        </w:rPr>
        <w:tab/>
        <w:t>Comparing outcomes between 3 vs. 6 months of therapy by regimen in individual trials</w:t>
      </w:r>
    </w:p>
    <w:p w:rsidR="00C66E5B" w:rsidRDefault="00C66E5B" w:rsidP="0033061D">
      <w:pPr>
        <w:ind w:left="1440" w:hanging="1440"/>
        <w:rPr>
          <w:rFonts w:ascii="Times New Roman" w:hAnsi="Times New Roman" w:cs="Times New Roman"/>
          <w:sz w:val="20"/>
          <w:szCs w:val="20"/>
        </w:rPr>
      </w:pPr>
    </w:p>
    <w:p w:rsidR="00C66E5B" w:rsidRDefault="00C66E5B" w:rsidP="00A70854">
      <w:pPr>
        <w:ind w:left="2880" w:hanging="2880"/>
        <w:rPr>
          <w:rFonts w:ascii="Times New Roman" w:hAnsi="Times New Roman" w:cs="Times New Roman"/>
          <w:sz w:val="20"/>
          <w:szCs w:val="20"/>
        </w:rPr>
      </w:pPr>
      <w:r>
        <w:rPr>
          <w:rFonts w:ascii="Times New Roman" w:hAnsi="Times New Roman" w:cs="Times New Roman"/>
          <w:sz w:val="20"/>
          <w:szCs w:val="20"/>
        </w:rPr>
        <w:t xml:space="preserve">Appendix p 3: </w:t>
      </w:r>
      <w:r w:rsidRPr="00FD7217">
        <w:rPr>
          <w:rFonts w:ascii="Times New Roman" w:hAnsi="Times New Roman" w:cs="Times New Roman"/>
          <w:sz w:val="20"/>
          <w:szCs w:val="20"/>
        </w:rPr>
        <w:t>Suppl. Figure 1:</w:t>
      </w:r>
      <w:r>
        <w:rPr>
          <w:rFonts w:ascii="Times New Roman" w:hAnsi="Times New Roman" w:cs="Times New Roman"/>
          <w:sz w:val="20"/>
          <w:szCs w:val="20"/>
        </w:rPr>
        <w:tab/>
        <w:t>O</w:t>
      </w:r>
      <w:r w:rsidRPr="00E45FDA">
        <w:rPr>
          <w:rFonts w:ascii="Times New Roman" w:hAnsi="Times New Roman" w:cs="Times New Roman"/>
          <w:sz w:val="20"/>
          <w:szCs w:val="20"/>
        </w:rPr>
        <w:t>verall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with </w:t>
      </w:r>
      <w:r>
        <w:rPr>
          <w:rFonts w:ascii="Times New Roman" w:hAnsi="Times New Roman" w:cs="Times New Roman"/>
          <w:sz w:val="20"/>
          <w:szCs w:val="20"/>
        </w:rPr>
        <w:t>three</w:t>
      </w:r>
      <w:r w:rsidRPr="00FD7217">
        <w:rPr>
          <w:rFonts w:ascii="Times New Roman" w:hAnsi="Times New Roman" w:cs="Times New Roman"/>
          <w:sz w:val="20"/>
          <w:szCs w:val="20"/>
        </w:rPr>
        <w:t xml:space="preserve"> months versus </w:t>
      </w:r>
      <w:r>
        <w:rPr>
          <w:rFonts w:ascii="Times New Roman" w:hAnsi="Times New Roman" w:cs="Times New Roman"/>
          <w:sz w:val="20"/>
          <w:szCs w:val="20"/>
        </w:rPr>
        <w:t>six</w:t>
      </w:r>
      <w:r w:rsidRPr="00FD7217">
        <w:rPr>
          <w:rFonts w:ascii="Times New Roman" w:hAnsi="Times New Roman" w:cs="Times New Roman"/>
          <w:sz w:val="20"/>
          <w:szCs w:val="20"/>
        </w:rPr>
        <w:t xml:space="preserve"> months of adjuvant therapy</w:t>
      </w:r>
      <w:r>
        <w:rPr>
          <w:rFonts w:ascii="Times New Roman" w:hAnsi="Times New Roman" w:cs="Times New Roman"/>
          <w:sz w:val="20"/>
          <w:szCs w:val="20"/>
        </w:rPr>
        <w:t xml:space="preserve"> by risk groups</w:t>
      </w:r>
      <w:r w:rsidRPr="00FD7217">
        <w:rPr>
          <w:rFonts w:ascii="Times New Roman" w:hAnsi="Times New Roman" w:cs="Times New Roman"/>
          <w:sz w:val="20"/>
          <w:szCs w:val="20"/>
        </w:rPr>
        <w:t xml:space="preserve">; </w:t>
      </w:r>
      <w:r>
        <w:rPr>
          <w:rFonts w:ascii="Times New Roman" w:hAnsi="Times New Roman" w:cs="Times New Roman"/>
          <w:sz w:val="20"/>
          <w:szCs w:val="20"/>
        </w:rPr>
        <w:t>Sup 1</w:t>
      </w:r>
      <w:r w:rsidRPr="00FD7217">
        <w:rPr>
          <w:rFonts w:ascii="Times New Roman" w:hAnsi="Times New Roman" w:cs="Times New Roman"/>
          <w:sz w:val="20"/>
          <w:szCs w:val="20"/>
        </w:rPr>
        <w:t xml:space="preserve">A: </w:t>
      </w:r>
      <w:r>
        <w:rPr>
          <w:rFonts w:ascii="Times New Roman" w:hAnsi="Times New Roman" w:cs="Times New Roman"/>
          <w:sz w:val="20"/>
          <w:szCs w:val="20"/>
        </w:rPr>
        <w:t>Low risk</w:t>
      </w:r>
      <w:r w:rsidRPr="00FD7217">
        <w:rPr>
          <w:rFonts w:ascii="Times New Roman" w:hAnsi="Times New Roman" w:cs="Times New Roman"/>
          <w:sz w:val="20"/>
          <w:szCs w:val="20"/>
        </w:rPr>
        <w:t xml:space="preserve">; </w:t>
      </w:r>
      <w:r>
        <w:rPr>
          <w:rFonts w:ascii="Times New Roman" w:hAnsi="Times New Roman" w:cs="Times New Roman"/>
          <w:sz w:val="20"/>
          <w:szCs w:val="20"/>
        </w:rPr>
        <w:t>Sup 1</w:t>
      </w:r>
      <w:r w:rsidRPr="00FD7217">
        <w:rPr>
          <w:rFonts w:ascii="Times New Roman" w:hAnsi="Times New Roman" w:cs="Times New Roman"/>
          <w:sz w:val="20"/>
          <w:szCs w:val="20"/>
        </w:rPr>
        <w:t xml:space="preserve">B: </w:t>
      </w:r>
      <w:r>
        <w:rPr>
          <w:rFonts w:ascii="Times New Roman" w:hAnsi="Times New Roman" w:cs="Times New Roman"/>
          <w:sz w:val="20"/>
          <w:szCs w:val="20"/>
        </w:rPr>
        <w:t>High risk</w:t>
      </w:r>
    </w:p>
    <w:p w:rsidR="00C66E5B" w:rsidRDefault="00C66E5B" w:rsidP="0033061D">
      <w:pPr>
        <w:ind w:left="1440" w:hanging="1440"/>
        <w:rPr>
          <w:rFonts w:ascii="Times New Roman" w:hAnsi="Times New Roman" w:cs="Times New Roman"/>
          <w:sz w:val="20"/>
          <w:szCs w:val="20"/>
        </w:rPr>
      </w:pPr>
    </w:p>
    <w:p w:rsidR="00C66E5B" w:rsidRPr="00FD7217" w:rsidRDefault="00C66E5B" w:rsidP="00A70854">
      <w:pPr>
        <w:ind w:left="2880" w:hanging="2880"/>
        <w:rPr>
          <w:rFonts w:ascii="Times New Roman" w:hAnsi="Times New Roman" w:cs="Times New Roman"/>
          <w:sz w:val="20"/>
          <w:szCs w:val="20"/>
        </w:rPr>
      </w:pPr>
      <w:r>
        <w:rPr>
          <w:rFonts w:ascii="Times New Roman" w:hAnsi="Times New Roman" w:cs="Times New Roman"/>
          <w:sz w:val="20"/>
          <w:szCs w:val="20"/>
        </w:rPr>
        <w:t xml:space="preserve">Appendix p 4-5: </w:t>
      </w:r>
      <w:r w:rsidRPr="00FD7217">
        <w:rPr>
          <w:rFonts w:ascii="Times New Roman" w:hAnsi="Times New Roman" w:cs="Times New Roman"/>
          <w:sz w:val="20"/>
          <w:szCs w:val="20"/>
        </w:rPr>
        <w:t xml:space="preserve">Suppl. Figure </w:t>
      </w:r>
      <w:r>
        <w:rPr>
          <w:rFonts w:ascii="Times New Roman" w:hAnsi="Times New Roman" w:cs="Times New Roman"/>
          <w:sz w:val="20"/>
          <w:szCs w:val="20"/>
        </w:rPr>
        <w:t>2</w:t>
      </w:r>
      <w:r w:rsidRPr="00FD7217">
        <w:rPr>
          <w:rFonts w:ascii="Times New Roman" w:hAnsi="Times New Roman" w:cs="Times New Roman"/>
          <w:sz w:val="20"/>
          <w:szCs w:val="20"/>
        </w:rPr>
        <w:t xml:space="preserve">: </w:t>
      </w:r>
      <w:r w:rsidRPr="00FD7217">
        <w:rPr>
          <w:rFonts w:ascii="Times New Roman" w:hAnsi="Times New Roman" w:cs="Times New Roman"/>
          <w:sz w:val="20"/>
          <w:szCs w:val="20"/>
        </w:rPr>
        <w:tab/>
        <w:t xml:space="preserve">Comparing outcomes between </w:t>
      </w:r>
      <w:r>
        <w:rPr>
          <w:rFonts w:ascii="Times New Roman" w:hAnsi="Times New Roman" w:cs="Times New Roman"/>
          <w:sz w:val="20"/>
          <w:szCs w:val="20"/>
        </w:rPr>
        <w:t>three v</w:t>
      </w:r>
      <w:r w:rsidRPr="00BF0F46">
        <w:rPr>
          <w:rFonts w:ascii="Times New Roman" w:hAnsi="Times New Roman" w:cs="Times New Roman"/>
          <w:sz w:val="20"/>
          <w:szCs w:val="20"/>
        </w:rPr>
        <w:t>ersus</w:t>
      </w:r>
      <w:r>
        <w:rPr>
          <w:rFonts w:ascii="Times New Roman" w:hAnsi="Times New Roman" w:cs="Times New Roman"/>
          <w:sz w:val="20"/>
          <w:szCs w:val="20"/>
        </w:rPr>
        <w:t xml:space="preserve"> six</w:t>
      </w:r>
      <w:r w:rsidRPr="00FD7217">
        <w:rPr>
          <w:rFonts w:ascii="Times New Roman" w:hAnsi="Times New Roman" w:cs="Times New Roman"/>
          <w:sz w:val="20"/>
          <w:szCs w:val="20"/>
        </w:rPr>
        <w:t xml:space="preserve"> months of therapy in individual trials; Sup </w:t>
      </w:r>
      <w:r>
        <w:rPr>
          <w:rFonts w:ascii="Times New Roman" w:hAnsi="Times New Roman" w:cs="Times New Roman"/>
          <w:sz w:val="20"/>
          <w:szCs w:val="20"/>
        </w:rPr>
        <w:t>2</w:t>
      </w:r>
      <w:r w:rsidRPr="00FD7217">
        <w:rPr>
          <w:rFonts w:ascii="Times New Roman" w:hAnsi="Times New Roman" w:cs="Times New Roman"/>
          <w:sz w:val="20"/>
          <w:szCs w:val="20"/>
        </w:rPr>
        <w:t xml:space="preserve">A: </w:t>
      </w:r>
      <w:r w:rsidRPr="00E45FDA">
        <w:rPr>
          <w:rFonts w:ascii="Times New Roman" w:hAnsi="Times New Roman" w:cs="Times New Roman"/>
          <w:sz w:val="20"/>
          <w:szCs w:val="20"/>
        </w:rPr>
        <w:t>disease-free survival</w:t>
      </w:r>
      <w:r w:rsidRPr="00FD7217">
        <w:rPr>
          <w:rFonts w:ascii="Times New Roman" w:hAnsi="Times New Roman" w:cs="Times New Roman"/>
          <w:sz w:val="20"/>
          <w:szCs w:val="20"/>
        </w:rPr>
        <w:t xml:space="preserve">; Sup </w:t>
      </w:r>
      <w:r>
        <w:rPr>
          <w:rFonts w:ascii="Times New Roman" w:hAnsi="Times New Roman" w:cs="Times New Roman"/>
          <w:sz w:val="20"/>
          <w:szCs w:val="20"/>
        </w:rPr>
        <w:t>2</w:t>
      </w:r>
      <w:r w:rsidRPr="00FD7217">
        <w:rPr>
          <w:rFonts w:ascii="Times New Roman" w:hAnsi="Times New Roman" w:cs="Times New Roman"/>
          <w:sz w:val="20"/>
          <w:szCs w:val="20"/>
        </w:rPr>
        <w:t xml:space="preserve">B: </w:t>
      </w:r>
      <w:r w:rsidRPr="00E45FDA">
        <w:rPr>
          <w:rFonts w:ascii="Times New Roman" w:hAnsi="Times New Roman" w:cs="Times New Roman"/>
          <w:sz w:val="20"/>
          <w:szCs w:val="20"/>
        </w:rPr>
        <w:t>overall survival</w:t>
      </w:r>
    </w:p>
    <w:p w:rsidR="00C66E5B" w:rsidRPr="00FD7217" w:rsidRDefault="00C66E5B" w:rsidP="0033061D">
      <w:pPr>
        <w:ind w:left="1440" w:hanging="1440"/>
        <w:rPr>
          <w:rFonts w:ascii="Times New Roman" w:hAnsi="Times New Roman" w:cs="Times New Roman"/>
          <w:sz w:val="20"/>
          <w:szCs w:val="20"/>
        </w:rPr>
      </w:pPr>
    </w:p>
    <w:p w:rsidR="00C66E5B" w:rsidRPr="00FD7217" w:rsidRDefault="00C66E5B" w:rsidP="00A70854">
      <w:pPr>
        <w:ind w:left="2880" w:hanging="2880"/>
        <w:rPr>
          <w:rFonts w:ascii="Times New Roman" w:hAnsi="Times New Roman" w:cs="Times New Roman"/>
          <w:sz w:val="20"/>
          <w:szCs w:val="20"/>
        </w:rPr>
      </w:pPr>
      <w:r>
        <w:rPr>
          <w:rFonts w:ascii="Times New Roman" w:hAnsi="Times New Roman" w:cs="Times New Roman"/>
          <w:sz w:val="20"/>
          <w:szCs w:val="20"/>
        </w:rPr>
        <w:t xml:space="preserve">Appendix p 6-7: </w:t>
      </w:r>
      <w:r w:rsidRPr="00FD7217">
        <w:rPr>
          <w:rFonts w:ascii="Times New Roman" w:hAnsi="Times New Roman" w:cs="Times New Roman"/>
          <w:sz w:val="20"/>
          <w:szCs w:val="20"/>
        </w:rPr>
        <w:t xml:space="preserve">Suppl. Figure </w:t>
      </w:r>
      <w:r>
        <w:rPr>
          <w:rFonts w:ascii="Times New Roman" w:hAnsi="Times New Roman" w:cs="Times New Roman"/>
          <w:sz w:val="20"/>
          <w:szCs w:val="20"/>
        </w:rPr>
        <w:t>3</w:t>
      </w:r>
      <w:r w:rsidRPr="00FD7217">
        <w:rPr>
          <w:rFonts w:ascii="Times New Roman" w:hAnsi="Times New Roman" w:cs="Times New Roman"/>
          <w:sz w:val="20"/>
          <w:szCs w:val="20"/>
        </w:rPr>
        <w:t xml:space="preserve">: </w:t>
      </w:r>
      <w:r w:rsidRPr="00FD7217">
        <w:rPr>
          <w:rFonts w:ascii="Times New Roman" w:hAnsi="Times New Roman" w:cs="Times New Roman"/>
          <w:sz w:val="20"/>
          <w:szCs w:val="20"/>
        </w:rPr>
        <w:tab/>
        <w:t xml:space="preserve">Comparing </w:t>
      </w:r>
      <w:r w:rsidRPr="00E45FDA">
        <w:rPr>
          <w:rFonts w:ascii="Times New Roman" w:hAnsi="Times New Roman" w:cs="Times New Roman"/>
          <w:sz w:val="20"/>
          <w:szCs w:val="20"/>
        </w:rPr>
        <w:t>overall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and </w:t>
      </w:r>
      <w:r w:rsidRPr="00E45FDA">
        <w:rPr>
          <w:rFonts w:ascii="Times New Roman" w:hAnsi="Times New Roman" w:cs="Times New Roman"/>
          <w:sz w:val="20"/>
          <w:szCs w:val="20"/>
        </w:rPr>
        <w:t>disease-free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between </w:t>
      </w:r>
      <w:r>
        <w:rPr>
          <w:rFonts w:ascii="Times New Roman" w:hAnsi="Times New Roman" w:cs="Times New Roman"/>
          <w:sz w:val="20"/>
          <w:szCs w:val="20"/>
        </w:rPr>
        <w:t>three</w:t>
      </w:r>
      <w:r w:rsidRPr="00FD7217">
        <w:rPr>
          <w:rFonts w:ascii="Times New Roman" w:hAnsi="Times New Roman" w:cs="Times New Roman"/>
          <w:sz w:val="20"/>
          <w:szCs w:val="20"/>
        </w:rPr>
        <w:t xml:space="preserve"> months versus </w:t>
      </w:r>
      <w:r>
        <w:rPr>
          <w:rFonts w:ascii="Times New Roman" w:hAnsi="Times New Roman" w:cs="Times New Roman"/>
          <w:sz w:val="20"/>
          <w:szCs w:val="20"/>
        </w:rPr>
        <w:t>six</w:t>
      </w:r>
      <w:r w:rsidRPr="00FD7217">
        <w:rPr>
          <w:rFonts w:ascii="Times New Roman" w:hAnsi="Times New Roman" w:cs="Times New Roman"/>
          <w:sz w:val="20"/>
          <w:szCs w:val="20"/>
        </w:rPr>
        <w:t xml:space="preserve"> months of adjuvant therapy in subgroups defined by combinations of regimen and risk groups; Sup </w:t>
      </w:r>
      <w:r>
        <w:rPr>
          <w:rFonts w:ascii="Times New Roman" w:hAnsi="Times New Roman" w:cs="Times New Roman"/>
          <w:sz w:val="20"/>
          <w:szCs w:val="20"/>
        </w:rPr>
        <w:t>3</w:t>
      </w:r>
      <w:r w:rsidRPr="00FD7217">
        <w:rPr>
          <w:rFonts w:ascii="Times New Roman" w:hAnsi="Times New Roman" w:cs="Times New Roman"/>
          <w:sz w:val="20"/>
          <w:szCs w:val="20"/>
        </w:rPr>
        <w:t xml:space="preserve">A: </w:t>
      </w:r>
      <w:r w:rsidRPr="00E45FDA">
        <w:rPr>
          <w:rFonts w:ascii="Times New Roman" w:hAnsi="Times New Roman" w:cs="Times New Roman"/>
          <w:sz w:val="20"/>
          <w:szCs w:val="20"/>
        </w:rPr>
        <w:t>disease-free survival</w:t>
      </w:r>
      <w:r w:rsidRPr="00FD7217">
        <w:rPr>
          <w:rFonts w:ascii="Times New Roman" w:hAnsi="Times New Roman" w:cs="Times New Roman"/>
          <w:sz w:val="20"/>
          <w:szCs w:val="20"/>
        </w:rPr>
        <w:t xml:space="preserve">; Sup </w:t>
      </w:r>
      <w:r>
        <w:rPr>
          <w:rFonts w:ascii="Times New Roman" w:hAnsi="Times New Roman" w:cs="Times New Roman"/>
          <w:sz w:val="20"/>
          <w:szCs w:val="20"/>
        </w:rPr>
        <w:t>3</w:t>
      </w:r>
      <w:r w:rsidRPr="00FD7217">
        <w:rPr>
          <w:rFonts w:ascii="Times New Roman" w:hAnsi="Times New Roman" w:cs="Times New Roman"/>
          <w:sz w:val="20"/>
          <w:szCs w:val="20"/>
        </w:rPr>
        <w:t xml:space="preserve">B: </w:t>
      </w:r>
      <w:r w:rsidRPr="00E45FDA">
        <w:rPr>
          <w:rFonts w:ascii="Times New Roman" w:hAnsi="Times New Roman" w:cs="Times New Roman"/>
          <w:sz w:val="20"/>
          <w:szCs w:val="20"/>
        </w:rPr>
        <w:t>overall survival</w:t>
      </w:r>
    </w:p>
    <w:p w:rsidR="00C66E5B" w:rsidRPr="00FD7217" w:rsidRDefault="00C66E5B" w:rsidP="0033061D">
      <w:pPr>
        <w:ind w:left="1440" w:hanging="1440"/>
        <w:rPr>
          <w:rFonts w:ascii="Times New Roman" w:hAnsi="Times New Roman" w:cs="Times New Roman"/>
          <w:sz w:val="20"/>
          <w:szCs w:val="20"/>
        </w:rPr>
      </w:pPr>
    </w:p>
    <w:p w:rsidR="00C66E5B" w:rsidRPr="00FD7217" w:rsidRDefault="00C66E5B" w:rsidP="00A70854">
      <w:pPr>
        <w:ind w:left="2880" w:hanging="2880"/>
        <w:rPr>
          <w:rFonts w:ascii="Times New Roman" w:hAnsi="Times New Roman" w:cs="Times New Roman"/>
          <w:sz w:val="20"/>
          <w:szCs w:val="20"/>
        </w:rPr>
      </w:pPr>
      <w:r>
        <w:rPr>
          <w:rFonts w:ascii="Times New Roman" w:hAnsi="Times New Roman" w:cs="Times New Roman"/>
          <w:sz w:val="20"/>
          <w:szCs w:val="20"/>
        </w:rPr>
        <w:t xml:space="preserve">Appendix p 8: </w:t>
      </w:r>
      <w:r w:rsidRPr="00FD7217">
        <w:rPr>
          <w:rFonts w:ascii="Times New Roman" w:hAnsi="Times New Roman" w:cs="Times New Roman"/>
          <w:sz w:val="20"/>
          <w:szCs w:val="20"/>
        </w:rPr>
        <w:t xml:space="preserve">Suppl. Figure </w:t>
      </w:r>
      <w:r>
        <w:rPr>
          <w:rFonts w:ascii="Times New Roman" w:hAnsi="Times New Roman" w:cs="Times New Roman"/>
          <w:sz w:val="20"/>
          <w:szCs w:val="20"/>
        </w:rPr>
        <w:t>4</w:t>
      </w:r>
      <w:r w:rsidRPr="00FD7217">
        <w:rPr>
          <w:rFonts w:ascii="Times New Roman" w:hAnsi="Times New Roman" w:cs="Times New Roman"/>
          <w:sz w:val="20"/>
          <w:szCs w:val="20"/>
        </w:rPr>
        <w:t xml:space="preserve">: </w:t>
      </w:r>
      <w:r w:rsidRPr="00FD7217">
        <w:rPr>
          <w:rFonts w:ascii="Times New Roman" w:hAnsi="Times New Roman" w:cs="Times New Roman"/>
          <w:sz w:val="20"/>
          <w:szCs w:val="20"/>
        </w:rPr>
        <w:tab/>
        <w:t xml:space="preserve">Comparing </w:t>
      </w:r>
      <w:r w:rsidRPr="00E45FDA">
        <w:rPr>
          <w:rFonts w:ascii="Times New Roman" w:hAnsi="Times New Roman" w:cs="Times New Roman"/>
          <w:sz w:val="20"/>
          <w:szCs w:val="20"/>
        </w:rPr>
        <w:t>overall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and </w:t>
      </w:r>
      <w:r w:rsidRPr="00E45FDA">
        <w:rPr>
          <w:rFonts w:ascii="Times New Roman" w:hAnsi="Times New Roman" w:cs="Times New Roman"/>
          <w:sz w:val="20"/>
          <w:szCs w:val="20"/>
        </w:rPr>
        <w:t>disease-free survival</w:t>
      </w:r>
      <w:r w:rsidRPr="00235925">
        <w:rPr>
          <w:rFonts w:ascii="Times New Roman" w:hAnsi="Times New Roman" w:cs="Times New Roman"/>
          <w:sz w:val="20"/>
          <w:szCs w:val="20"/>
        </w:rPr>
        <w:t xml:space="preserve"> </w:t>
      </w:r>
      <w:r w:rsidRPr="00FD7217">
        <w:rPr>
          <w:rFonts w:ascii="Times New Roman" w:hAnsi="Times New Roman" w:cs="Times New Roman"/>
          <w:sz w:val="20"/>
          <w:szCs w:val="20"/>
        </w:rPr>
        <w:t xml:space="preserve">between risk groups; Sup </w:t>
      </w:r>
      <w:r>
        <w:rPr>
          <w:rFonts w:ascii="Times New Roman" w:hAnsi="Times New Roman" w:cs="Times New Roman"/>
          <w:sz w:val="20"/>
          <w:szCs w:val="20"/>
        </w:rPr>
        <w:t>4</w:t>
      </w:r>
      <w:r w:rsidRPr="00FD7217">
        <w:rPr>
          <w:rFonts w:ascii="Times New Roman" w:hAnsi="Times New Roman" w:cs="Times New Roman"/>
          <w:sz w:val="20"/>
          <w:szCs w:val="20"/>
        </w:rPr>
        <w:t xml:space="preserve">A: </w:t>
      </w:r>
      <w:r w:rsidRPr="00E45FDA">
        <w:rPr>
          <w:rFonts w:ascii="Times New Roman" w:hAnsi="Times New Roman" w:cs="Times New Roman"/>
          <w:sz w:val="20"/>
          <w:szCs w:val="20"/>
        </w:rPr>
        <w:t>disease-free survival</w:t>
      </w:r>
      <w:r w:rsidRPr="00FD7217">
        <w:rPr>
          <w:rFonts w:ascii="Times New Roman" w:hAnsi="Times New Roman" w:cs="Times New Roman"/>
          <w:sz w:val="20"/>
          <w:szCs w:val="20"/>
        </w:rPr>
        <w:t xml:space="preserve">; Sup </w:t>
      </w:r>
      <w:r>
        <w:rPr>
          <w:rFonts w:ascii="Times New Roman" w:hAnsi="Times New Roman" w:cs="Times New Roman"/>
          <w:sz w:val="20"/>
          <w:szCs w:val="20"/>
        </w:rPr>
        <w:t>4</w:t>
      </w:r>
      <w:r w:rsidRPr="00FD7217">
        <w:rPr>
          <w:rFonts w:ascii="Times New Roman" w:hAnsi="Times New Roman" w:cs="Times New Roman"/>
          <w:sz w:val="20"/>
          <w:szCs w:val="20"/>
        </w:rPr>
        <w:t xml:space="preserve">B: </w:t>
      </w:r>
      <w:r w:rsidRPr="00E45FDA">
        <w:rPr>
          <w:rFonts w:ascii="Times New Roman" w:hAnsi="Times New Roman" w:cs="Times New Roman"/>
          <w:sz w:val="20"/>
          <w:szCs w:val="20"/>
        </w:rPr>
        <w:t>overall survival</w:t>
      </w:r>
    </w:p>
    <w:p w:rsidR="00C66E5B" w:rsidRDefault="00C66E5B" w:rsidP="00FD7217">
      <w:pPr>
        <w:ind w:left="1440" w:hanging="1440"/>
        <w:rPr>
          <w:rFonts w:ascii="Times New Roman" w:hAnsi="Times New Roman" w:cs="Times New Roman"/>
        </w:rPr>
      </w:pPr>
    </w:p>
    <w:p w:rsidR="00C66E5B" w:rsidRDefault="00C66E5B" w:rsidP="00FD7217">
      <w:pPr>
        <w:ind w:left="1440" w:hanging="1440"/>
        <w:rPr>
          <w:rFonts w:ascii="Times New Roman" w:hAnsi="Times New Roman" w:cs="Times New Roman"/>
        </w:rPr>
      </w:pPr>
      <w:r>
        <w:rPr>
          <w:rFonts w:ascii="Times New Roman" w:hAnsi="Times New Roman" w:cs="Times New Roman"/>
          <w:sz w:val="20"/>
          <w:szCs w:val="20"/>
        </w:rPr>
        <w:t>Appendix p 9-23: Statistical Analysis Plan</w:t>
      </w:r>
    </w:p>
    <w:p w:rsidR="00FF34AC" w:rsidRDefault="007568E7"/>
    <w:sectPr w:rsidR="00FF34AC" w:rsidSect="00B13AA6">
      <w:footerReference w:type="default" r:id="rId1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82" w:rsidRDefault="0066427E">
      <w:r>
        <w:separator/>
      </w:r>
    </w:p>
  </w:endnote>
  <w:endnote w:type="continuationSeparator" w:id="0">
    <w:p w:rsidR="004F0A82" w:rsidRDefault="0066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haker 2 Lancet Regular">
    <w:altName w:val="Shaker 2 Lancet Regular"/>
    <w:panose1 w:val="00000000000000000000"/>
    <w:charset w:val="00"/>
    <w:family w:val="swiss"/>
    <w:notTrueType/>
    <w:pitch w:val="default"/>
    <w:sig w:usb0="00000003" w:usb1="00000000" w:usb2="00000000" w:usb3="00000000" w:csb0="00000001" w:csb1="00000000"/>
  </w:font>
  <w:font w:name="Shaker2Lancet-Regular">
    <w:altName w:val="MS Gothic"/>
    <w:panose1 w:val="00000000000000000000"/>
    <w:charset w:val="80"/>
    <w:family w:val="swiss"/>
    <w:notTrueType/>
    <w:pitch w:val="default"/>
    <w:sig w:usb0="00000001" w:usb1="08070000" w:usb2="00000010" w:usb3="00000000" w:csb0="00020000" w:csb1="00000000"/>
  </w:font>
  <w:font w:name="OTNEJMQuadraat">
    <w:altName w:val="MS Gothic"/>
    <w:panose1 w:val="00000000000000000000"/>
    <w:charset w:val="80"/>
    <w:family w:val="roman"/>
    <w:notTrueType/>
    <w:pitch w:val="default"/>
    <w:sig w:usb0="00000001" w:usb1="08070000" w:usb2="00000010" w:usb3="00000000" w:csb0="00020000" w:csb1="00000000"/>
  </w:font>
  <w:font w:name="ScalaLancetPro">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469248"/>
      <w:docPartObj>
        <w:docPartGallery w:val="Page Numbers (Bottom of Page)"/>
        <w:docPartUnique/>
      </w:docPartObj>
    </w:sdtPr>
    <w:sdtEndPr/>
    <w:sdtContent>
      <w:sdt>
        <w:sdtPr>
          <w:id w:val="-1669238322"/>
          <w:docPartObj>
            <w:docPartGallery w:val="Page Numbers (Top of Page)"/>
            <w:docPartUnique/>
          </w:docPartObj>
        </w:sdtPr>
        <w:sdtEndPr/>
        <w:sdtContent>
          <w:p w:rsidR="00F73025" w:rsidRDefault="00C66E5B">
            <w:pPr>
              <w:pStyle w:val="Footer"/>
              <w:jc w:val="center"/>
            </w:pPr>
            <w:r w:rsidRPr="00FD7217">
              <w:rPr>
                <w:rFonts w:ascii="Times New Roman" w:hAnsi="Times New Roman" w:cs="Times New Roman"/>
                <w:sz w:val="20"/>
                <w:szCs w:val="20"/>
              </w:rPr>
              <w:t xml:space="preserve">Page </w:t>
            </w:r>
            <w:r w:rsidRPr="00FD7217">
              <w:rPr>
                <w:rFonts w:ascii="Times New Roman" w:hAnsi="Times New Roman" w:cs="Times New Roman"/>
                <w:bCs/>
                <w:sz w:val="20"/>
                <w:szCs w:val="20"/>
              </w:rPr>
              <w:fldChar w:fldCharType="begin"/>
            </w:r>
            <w:r w:rsidRPr="00FD7217">
              <w:rPr>
                <w:rFonts w:ascii="Times New Roman" w:hAnsi="Times New Roman" w:cs="Times New Roman"/>
                <w:bCs/>
                <w:sz w:val="20"/>
                <w:szCs w:val="20"/>
              </w:rPr>
              <w:instrText xml:space="preserve"> PAGE </w:instrText>
            </w:r>
            <w:r w:rsidRPr="00FD7217">
              <w:rPr>
                <w:rFonts w:ascii="Times New Roman" w:hAnsi="Times New Roman" w:cs="Times New Roman"/>
                <w:bCs/>
                <w:sz w:val="20"/>
                <w:szCs w:val="20"/>
              </w:rPr>
              <w:fldChar w:fldCharType="separate"/>
            </w:r>
            <w:r w:rsidR="007568E7">
              <w:rPr>
                <w:rFonts w:ascii="Times New Roman" w:hAnsi="Times New Roman" w:cs="Times New Roman"/>
                <w:bCs/>
                <w:noProof/>
                <w:sz w:val="20"/>
                <w:szCs w:val="20"/>
              </w:rPr>
              <w:t>1</w:t>
            </w:r>
            <w:r w:rsidRPr="00FD7217">
              <w:rPr>
                <w:rFonts w:ascii="Times New Roman" w:hAnsi="Times New Roman" w:cs="Times New Roman"/>
                <w:bCs/>
                <w:sz w:val="20"/>
                <w:szCs w:val="20"/>
              </w:rPr>
              <w:fldChar w:fldCharType="end"/>
            </w:r>
            <w:r w:rsidRPr="00FD7217">
              <w:rPr>
                <w:rFonts w:ascii="Times New Roman" w:hAnsi="Times New Roman" w:cs="Times New Roman"/>
                <w:sz w:val="20"/>
                <w:szCs w:val="20"/>
              </w:rPr>
              <w:t xml:space="preserve"> of </w:t>
            </w:r>
            <w:r w:rsidRPr="00FD7217">
              <w:rPr>
                <w:rFonts w:ascii="Times New Roman" w:hAnsi="Times New Roman" w:cs="Times New Roman"/>
                <w:bCs/>
                <w:sz w:val="20"/>
                <w:szCs w:val="20"/>
              </w:rPr>
              <w:fldChar w:fldCharType="begin"/>
            </w:r>
            <w:r w:rsidRPr="00FD7217">
              <w:rPr>
                <w:rFonts w:ascii="Times New Roman" w:hAnsi="Times New Roman" w:cs="Times New Roman"/>
                <w:bCs/>
                <w:sz w:val="20"/>
                <w:szCs w:val="20"/>
              </w:rPr>
              <w:instrText xml:space="preserve"> NUMPAGES  </w:instrText>
            </w:r>
            <w:r w:rsidRPr="00FD7217">
              <w:rPr>
                <w:rFonts w:ascii="Times New Roman" w:hAnsi="Times New Roman" w:cs="Times New Roman"/>
                <w:bCs/>
                <w:sz w:val="20"/>
                <w:szCs w:val="20"/>
              </w:rPr>
              <w:fldChar w:fldCharType="separate"/>
            </w:r>
            <w:r w:rsidR="007568E7">
              <w:rPr>
                <w:rFonts w:ascii="Times New Roman" w:hAnsi="Times New Roman" w:cs="Times New Roman"/>
                <w:bCs/>
                <w:noProof/>
                <w:sz w:val="20"/>
                <w:szCs w:val="20"/>
              </w:rPr>
              <w:t>14</w:t>
            </w:r>
            <w:r w:rsidRPr="00FD7217">
              <w:rPr>
                <w:rFonts w:ascii="Times New Roman" w:hAnsi="Times New Roman" w:cs="Times New Roman"/>
                <w:bCs/>
                <w:sz w:val="20"/>
                <w:szCs w:val="20"/>
              </w:rPr>
              <w:fldChar w:fldCharType="end"/>
            </w:r>
          </w:p>
        </w:sdtContent>
      </w:sdt>
    </w:sdtContent>
  </w:sdt>
  <w:p w:rsidR="00F73025" w:rsidRDefault="00756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82" w:rsidRDefault="0066427E">
      <w:r>
        <w:separator/>
      </w:r>
    </w:p>
  </w:footnote>
  <w:footnote w:type="continuationSeparator" w:id="0">
    <w:p w:rsidR="004F0A82" w:rsidRDefault="00664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486"/>
    <w:multiLevelType w:val="hybridMultilevel"/>
    <w:tmpl w:val="74CE6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57D1D"/>
    <w:multiLevelType w:val="hybridMultilevel"/>
    <w:tmpl w:val="9EF8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950FA"/>
    <w:multiLevelType w:val="hybridMultilevel"/>
    <w:tmpl w:val="FB92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5F7BA0"/>
    <w:multiLevelType w:val="multilevel"/>
    <w:tmpl w:val="FDECE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3FE1724"/>
    <w:multiLevelType w:val="multilevel"/>
    <w:tmpl w:val="E062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27429D"/>
    <w:multiLevelType w:val="hybridMultilevel"/>
    <w:tmpl w:val="24DC4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7835AA"/>
    <w:multiLevelType w:val="hybridMultilevel"/>
    <w:tmpl w:val="A6546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1F6BCD"/>
    <w:multiLevelType w:val="multilevel"/>
    <w:tmpl w:val="C6A2B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934410"/>
    <w:multiLevelType w:val="multilevel"/>
    <w:tmpl w:val="D5607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3"/>
  </w:num>
  <w:num w:numId="5">
    <w:abstractNumId w:val="8"/>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C66E5B"/>
    <w:rsid w:val="00082FDC"/>
    <w:rsid w:val="00125FB5"/>
    <w:rsid w:val="002145CA"/>
    <w:rsid w:val="00271017"/>
    <w:rsid w:val="002958F8"/>
    <w:rsid w:val="00297919"/>
    <w:rsid w:val="003320E9"/>
    <w:rsid w:val="00407B2B"/>
    <w:rsid w:val="004C5B41"/>
    <w:rsid w:val="004F0A82"/>
    <w:rsid w:val="004F7578"/>
    <w:rsid w:val="00502A0F"/>
    <w:rsid w:val="00622D03"/>
    <w:rsid w:val="0066427E"/>
    <w:rsid w:val="00691E2C"/>
    <w:rsid w:val="006A5986"/>
    <w:rsid w:val="006D2DD8"/>
    <w:rsid w:val="007568E7"/>
    <w:rsid w:val="008475ED"/>
    <w:rsid w:val="00857C4B"/>
    <w:rsid w:val="008A3AB7"/>
    <w:rsid w:val="00903158"/>
    <w:rsid w:val="009500EF"/>
    <w:rsid w:val="009A1A22"/>
    <w:rsid w:val="00A06431"/>
    <w:rsid w:val="00AC4F5D"/>
    <w:rsid w:val="00B04433"/>
    <w:rsid w:val="00B13AA6"/>
    <w:rsid w:val="00B31F30"/>
    <w:rsid w:val="00BB2FE4"/>
    <w:rsid w:val="00BD0A9C"/>
    <w:rsid w:val="00BF47B2"/>
    <w:rsid w:val="00C660D2"/>
    <w:rsid w:val="00C66E5B"/>
    <w:rsid w:val="00CD2A65"/>
    <w:rsid w:val="00D00433"/>
    <w:rsid w:val="00D07EA7"/>
    <w:rsid w:val="00D62685"/>
    <w:rsid w:val="00DC7788"/>
    <w:rsid w:val="00DE4D8F"/>
    <w:rsid w:val="00F6648E"/>
    <w:rsid w:val="00F83021"/>
    <w:rsid w:val="00FA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E5B"/>
    <w:pPr>
      <w:spacing w:after="0" w:line="240" w:lineRule="auto"/>
    </w:pPr>
    <w:rPr>
      <w:rFonts w:eastAsiaTheme="minorEastAsia"/>
      <w:sz w:val="24"/>
      <w:szCs w:val="24"/>
    </w:rPr>
  </w:style>
  <w:style w:type="paragraph" w:styleId="Heading1">
    <w:name w:val="heading 1"/>
    <w:basedOn w:val="Normal"/>
    <w:link w:val="Heading1Char"/>
    <w:uiPriority w:val="9"/>
    <w:qFormat/>
    <w:rsid w:val="00C66E5B"/>
    <w:pPr>
      <w:spacing w:before="100" w:beforeAutospacing="1" w:after="100" w:afterAutospacing="1"/>
      <w:outlineLvl w:val="0"/>
    </w:pPr>
    <w:rPr>
      <w:rFonts w:ascii="Times New Roman" w:eastAsia="Times New Roman" w:hAnsi="Times New Roman" w:cs="Times New Roman"/>
      <w:b/>
      <w:bCs/>
      <w:kern w:val="36"/>
      <w:sz w:val="48"/>
      <w:szCs w:val="48"/>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5B"/>
    <w:rPr>
      <w:rFonts w:ascii="Times New Roman" w:eastAsia="Times New Roman" w:hAnsi="Times New Roman" w:cs="Times New Roman"/>
      <w:b/>
      <w:bCs/>
      <w:kern w:val="36"/>
      <w:sz w:val="48"/>
      <w:szCs w:val="48"/>
      <w:lang w:val="fr-FR" w:eastAsia="fr-FR"/>
    </w:rPr>
  </w:style>
  <w:style w:type="paragraph" w:styleId="CommentText">
    <w:name w:val="annotation text"/>
    <w:basedOn w:val="Normal"/>
    <w:link w:val="CommentTextChar"/>
    <w:uiPriority w:val="99"/>
    <w:unhideWhenUsed/>
    <w:rsid w:val="00C66E5B"/>
    <w:rPr>
      <w:sz w:val="20"/>
      <w:szCs w:val="20"/>
    </w:rPr>
  </w:style>
  <w:style w:type="character" w:customStyle="1" w:styleId="CommentTextChar">
    <w:name w:val="Comment Text Char"/>
    <w:basedOn w:val="DefaultParagraphFont"/>
    <w:link w:val="CommentText"/>
    <w:uiPriority w:val="99"/>
    <w:rsid w:val="00C66E5B"/>
    <w:rPr>
      <w:rFonts w:eastAsiaTheme="minorEastAsia"/>
      <w:sz w:val="20"/>
      <w:szCs w:val="20"/>
    </w:rPr>
  </w:style>
  <w:style w:type="paragraph" w:styleId="ListParagraph">
    <w:name w:val="List Paragraph"/>
    <w:basedOn w:val="Normal"/>
    <w:uiPriority w:val="34"/>
    <w:qFormat/>
    <w:rsid w:val="00C66E5B"/>
    <w:pPr>
      <w:ind w:left="720"/>
      <w:contextualSpacing/>
    </w:pPr>
  </w:style>
  <w:style w:type="character" w:styleId="CommentReference">
    <w:name w:val="annotation reference"/>
    <w:basedOn w:val="DefaultParagraphFont"/>
    <w:uiPriority w:val="99"/>
    <w:semiHidden/>
    <w:unhideWhenUsed/>
    <w:rsid w:val="00C66E5B"/>
    <w:rPr>
      <w:sz w:val="18"/>
      <w:szCs w:val="18"/>
    </w:rPr>
  </w:style>
  <w:style w:type="paragraph" w:styleId="BalloonText">
    <w:name w:val="Balloon Text"/>
    <w:basedOn w:val="Normal"/>
    <w:link w:val="BalloonTextChar"/>
    <w:uiPriority w:val="99"/>
    <w:semiHidden/>
    <w:unhideWhenUsed/>
    <w:rsid w:val="00C66E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E5B"/>
    <w:rPr>
      <w:rFonts w:ascii="Times New Roman" w:eastAsiaTheme="minorEastAsia" w:hAnsi="Times New Roman" w:cs="Times New Roman"/>
      <w:sz w:val="18"/>
      <w:szCs w:val="18"/>
    </w:rPr>
  </w:style>
  <w:style w:type="paragraph" w:customStyle="1" w:styleId="EndNoteBibliographyTitle">
    <w:name w:val="EndNote Bibliography Title"/>
    <w:basedOn w:val="Normal"/>
    <w:link w:val="EndNoteBibliographyTitleChar"/>
    <w:rsid w:val="00C66E5B"/>
    <w:pPr>
      <w:jc w:val="center"/>
    </w:pPr>
    <w:rPr>
      <w:rFonts w:ascii="Times New Roman" w:hAnsi="Times New Roman" w:cs="Times New Roman"/>
      <w:sz w:val="20"/>
    </w:rPr>
  </w:style>
  <w:style w:type="character" w:customStyle="1" w:styleId="EndNoteBibliographyTitleChar">
    <w:name w:val="EndNote Bibliography Title Char"/>
    <w:basedOn w:val="DefaultParagraphFont"/>
    <w:link w:val="EndNoteBibliographyTitle"/>
    <w:rsid w:val="00C66E5B"/>
    <w:rPr>
      <w:rFonts w:ascii="Times New Roman" w:eastAsiaTheme="minorEastAsia" w:hAnsi="Times New Roman" w:cs="Times New Roman"/>
      <w:sz w:val="20"/>
      <w:szCs w:val="24"/>
    </w:rPr>
  </w:style>
  <w:style w:type="paragraph" w:customStyle="1" w:styleId="EndNoteBibliography">
    <w:name w:val="EndNote Bibliography"/>
    <w:basedOn w:val="Normal"/>
    <w:link w:val="EndNoteBibliographyChar"/>
    <w:rsid w:val="00C66E5B"/>
    <w:rPr>
      <w:rFonts w:ascii="Times New Roman" w:hAnsi="Times New Roman" w:cs="Times New Roman"/>
      <w:sz w:val="20"/>
    </w:rPr>
  </w:style>
  <w:style w:type="character" w:customStyle="1" w:styleId="EndNoteBibliographyChar">
    <w:name w:val="EndNote Bibliography Char"/>
    <w:basedOn w:val="DefaultParagraphFont"/>
    <w:link w:val="EndNoteBibliography"/>
    <w:rsid w:val="00C66E5B"/>
    <w:rPr>
      <w:rFonts w:ascii="Times New Roman" w:eastAsiaTheme="minorEastAsia" w:hAnsi="Times New Roman" w:cs="Times New Roman"/>
      <w:sz w:val="20"/>
      <w:szCs w:val="24"/>
    </w:rPr>
  </w:style>
  <w:style w:type="paragraph" w:styleId="NormalWeb">
    <w:name w:val="Normal (Web)"/>
    <w:basedOn w:val="Normal"/>
    <w:uiPriority w:val="99"/>
    <w:semiHidden/>
    <w:unhideWhenUsed/>
    <w:rsid w:val="00C66E5B"/>
    <w:rPr>
      <w:rFonts w:ascii="Times New Roman" w:hAnsi="Times New Roman" w:cs="Times New Roman"/>
    </w:rPr>
  </w:style>
  <w:style w:type="character" w:styleId="Hyperlink">
    <w:name w:val="Hyperlink"/>
    <w:basedOn w:val="DefaultParagraphFont"/>
    <w:uiPriority w:val="99"/>
    <w:unhideWhenUsed/>
    <w:rsid w:val="00C66E5B"/>
    <w:rPr>
      <w:color w:val="0000FF"/>
      <w:u w:val="single"/>
    </w:rPr>
  </w:style>
  <w:style w:type="paragraph" w:styleId="CommentSubject">
    <w:name w:val="annotation subject"/>
    <w:basedOn w:val="CommentText"/>
    <w:next w:val="CommentText"/>
    <w:link w:val="CommentSubjectChar"/>
    <w:uiPriority w:val="99"/>
    <w:semiHidden/>
    <w:unhideWhenUsed/>
    <w:rsid w:val="00C66E5B"/>
    <w:rPr>
      <w:b/>
      <w:bCs/>
    </w:rPr>
  </w:style>
  <w:style w:type="character" w:customStyle="1" w:styleId="CommentSubjectChar">
    <w:name w:val="Comment Subject Char"/>
    <w:basedOn w:val="CommentTextChar"/>
    <w:link w:val="CommentSubject"/>
    <w:uiPriority w:val="99"/>
    <w:semiHidden/>
    <w:rsid w:val="00C66E5B"/>
    <w:rPr>
      <w:rFonts w:eastAsiaTheme="minorEastAsia"/>
      <w:b/>
      <w:bCs/>
      <w:sz w:val="20"/>
      <w:szCs w:val="20"/>
    </w:rPr>
  </w:style>
  <w:style w:type="paragraph" w:customStyle="1" w:styleId="Pa4">
    <w:name w:val="Pa4"/>
    <w:basedOn w:val="Normal"/>
    <w:next w:val="Normal"/>
    <w:uiPriority w:val="99"/>
    <w:rsid w:val="00C66E5B"/>
    <w:pPr>
      <w:autoSpaceDE w:val="0"/>
      <w:autoSpaceDN w:val="0"/>
      <w:adjustRightInd w:val="0"/>
      <w:spacing w:line="167" w:lineRule="atLeast"/>
    </w:pPr>
    <w:rPr>
      <w:rFonts w:ascii="Shaker 2 Lancet Regular" w:hAnsi="Shaker 2 Lancet Regular"/>
      <w:lang w:val="fr-FR"/>
    </w:rPr>
  </w:style>
  <w:style w:type="character" w:customStyle="1" w:styleId="A4">
    <w:name w:val="A4"/>
    <w:uiPriority w:val="99"/>
    <w:rsid w:val="00C66E5B"/>
    <w:rPr>
      <w:rFonts w:cs="Shaker 2 Lancet Regular"/>
      <w:b/>
      <w:bCs/>
      <w:color w:val="000000"/>
      <w:sz w:val="16"/>
      <w:szCs w:val="16"/>
    </w:rPr>
  </w:style>
  <w:style w:type="paragraph" w:styleId="Revision">
    <w:name w:val="Revision"/>
    <w:hidden/>
    <w:uiPriority w:val="99"/>
    <w:semiHidden/>
    <w:rsid w:val="00C66E5B"/>
    <w:pPr>
      <w:spacing w:after="0" w:line="240" w:lineRule="auto"/>
    </w:pPr>
    <w:rPr>
      <w:rFonts w:eastAsiaTheme="minorEastAsia"/>
      <w:sz w:val="24"/>
      <w:szCs w:val="24"/>
    </w:rPr>
  </w:style>
  <w:style w:type="paragraph" w:customStyle="1" w:styleId="title1">
    <w:name w:val="title1"/>
    <w:basedOn w:val="Normal"/>
    <w:rsid w:val="00C66E5B"/>
    <w:rPr>
      <w:rFonts w:ascii="Times New Roman" w:eastAsia="Times New Roman" w:hAnsi="Times New Roman" w:cs="Times New Roman"/>
      <w:sz w:val="27"/>
      <w:szCs w:val="27"/>
      <w:lang w:val="fr-FR" w:eastAsia="fr-FR"/>
    </w:rPr>
  </w:style>
  <w:style w:type="paragraph" w:customStyle="1" w:styleId="desc2">
    <w:name w:val="desc2"/>
    <w:basedOn w:val="Normal"/>
    <w:rsid w:val="00C66E5B"/>
    <w:rPr>
      <w:rFonts w:ascii="Times New Roman" w:eastAsia="Times New Roman" w:hAnsi="Times New Roman" w:cs="Times New Roman"/>
      <w:sz w:val="26"/>
      <w:szCs w:val="26"/>
      <w:lang w:val="fr-FR" w:eastAsia="fr-FR"/>
    </w:rPr>
  </w:style>
  <w:style w:type="paragraph" w:customStyle="1" w:styleId="details1">
    <w:name w:val="details1"/>
    <w:basedOn w:val="Normal"/>
    <w:rsid w:val="00C66E5B"/>
    <w:rPr>
      <w:rFonts w:ascii="Times New Roman" w:eastAsia="Times New Roman" w:hAnsi="Times New Roman" w:cs="Times New Roman"/>
      <w:sz w:val="22"/>
      <w:szCs w:val="22"/>
      <w:lang w:val="fr-FR" w:eastAsia="fr-FR"/>
    </w:rPr>
  </w:style>
  <w:style w:type="character" w:customStyle="1" w:styleId="jrnl">
    <w:name w:val="jrnl"/>
    <w:basedOn w:val="DefaultParagraphFont"/>
    <w:rsid w:val="00C66E5B"/>
  </w:style>
  <w:style w:type="paragraph" w:styleId="Header">
    <w:name w:val="header"/>
    <w:basedOn w:val="Normal"/>
    <w:link w:val="HeaderChar"/>
    <w:uiPriority w:val="99"/>
    <w:unhideWhenUsed/>
    <w:rsid w:val="00C66E5B"/>
    <w:pPr>
      <w:tabs>
        <w:tab w:val="center" w:pos="4252"/>
        <w:tab w:val="right" w:pos="8504"/>
      </w:tabs>
      <w:snapToGrid w:val="0"/>
    </w:pPr>
  </w:style>
  <w:style w:type="character" w:customStyle="1" w:styleId="HeaderChar">
    <w:name w:val="Header Char"/>
    <w:basedOn w:val="DefaultParagraphFont"/>
    <w:link w:val="Header"/>
    <w:uiPriority w:val="99"/>
    <w:rsid w:val="00C66E5B"/>
    <w:rPr>
      <w:rFonts w:eastAsiaTheme="minorEastAsia"/>
      <w:sz w:val="24"/>
      <w:szCs w:val="24"/>
    </w:rPr>
  </w:style>
  <w:style w:type="paragraph" w:styleId="Footer">
    <w:name w:val="footer"/>
    <w:basedOn w:val="Normal"/>
    <w:link w:val="FooterChar"/>
    <w:uiPriority w:val="99"/>
    <w:unhideWhenUsed/>
    <w:rsid w:val="00C66E5B"/>
    <w:pPr>
      <w:tabs>
        <w:tab w:val="center" w:pos="4252"/>
        <w:tab w:val="right" w:pos="8504"/>
      </w:tabs>
      <w:snapToGrid w:val="0"/>
    </w:pPr>
  </w:style>
  <w:style w:type="character" w:customStyle="1" w:styleId="FooterChar">
    <w:name w:val="Footer Char"/>
    <w:basedOn w:val="DefaultParagraphFont"/>
    <w:link w:val="Footer"/>
    <w:uiPriority w:val="99"/>
    <w:rsid w:val="00C66E5B"/>
    <w:rPr>
      <w:rFonts w:eastAsiaTheme="minorEastAsia"/>
      <w:sz w:val="24"/>
      <w:szCs w:val="24"/>
    </w:rPr>
  </w:style>
  <w:style w:type="character" w:customStyle="1" w:styleId="labs-docsum-authors">
    <w:name w:val="labs-docsum-authors"/>
    <w:basedOn w:val="DefaultParagraphFont"/>
    <w:rsid w:val="00C66E5B"/>
  </w:style>
  <w:style w:type="character" w:customStyle="1" w:styleId="labs-docsum-journal-citation">
    <w:name w:val="labs-docsum-journal-citation"/>
    <w:basedOn w:val="DefaultParagraphFont"/>
    <w:rsid w:val="00C66E5B"/>
  </w:style>
  <w:style w:type="character" w:customStyle="1" w:styleId="period">
    <w:name w:val="period"/>
    <w:basedOn w:val="DefaultParagraphFont"/>
    <w:rsid w:val="00C66E5B"/>
  </w:style>
  <w:style w:type="character" w:customStyle="1" w:styleId="cit">
    <w:name w:val="cit"/>
    <w:basedOn w:val="DefaultParagraphFont"/>
    <w:rsid w:val="00C66E5B"/>
  </w:style>
  <w:style w:type="character" w:customStyle="1" w:styleId="citation-doi">
    <w:name w:val="citation-doi"/>
    <w:basedOn w:val="DefaultParagraphFont"/>
    <w:rsid w:val="00C66E5B"/>
  </w:style>
  <w:style w:type="character" w:styleId="LineNumber">
    <w:name w:val="line number"/>
    <w:basedOn w:val="DefaultParagraphFont"/>
    <w:uiPriority w:val="99"/>
    <w:semiHidden/>
    <w:unhideWhenUsed/>
    <w:rsid w:val="00C66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E5B"/>
    <w:pPr>
      <w:spacing w:after="0" w:line="240" w:lineRule="auto"/>
    </w:pPr>
    <w:rPr>
      <w:rFonts w:eastAsiaTheme="minorEastAsia"/>
      <w:sz w:val="24"/>
      <w:szCs w:val="24"/>
    </w:rPr>
  </w:style>
  <w:style w:type="paragraph" w:styleId="Heading1">
    <w:name w:val="heading 1"/>
    <w:basedOn w:val="Normal"/>
    <w:link w:val="Heading1Char"/>
    <w:uiPriority w:val="9"/>
    <w:qFormat/>
    <w:rsid w:val="00C66E5B"/>
    <w:pPr>
      <w:spacing w:before="100" w:beforeAutospacing="1" w:after="100" w:afterAutospacing="1"/>
      <w:outlineLvl w:val="0"/>
    </w:pPr>
    <w:rPr>
      <w:rFonts w:ascii="Times New Roman" w:eastAsia="Times New Roman" w:hAnsi="Times New Roman" w:cs="Times New Roman"/>
      <w:b/>
      <w:bCs/>
      <w:kern w:val="36"/>
      <w:sz w:val="48"/>
      <w:szCs w:val="48"/>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5B"/>
    <w:rPr>
      <w:rFonts w:ascii="Times New Roman" w:eastAsia="Times New Roman" w:hAnsi="Times New Roman" w:cs="Times New Roman"/>
      <w:b/>
      <w:bCs/>
      <w:kern w:val="36"/>
      <w:sz w:val="48"/>
      <w:szCs w:val="48"/>
      <w:lang w:val="fr-FR" w:eastAsia="fr-FR"/>
    </w:rPr>
  </w:style>
  <w:style w:type="paragraph" w:styleId="CommentText">
    <w:name w:val="annotation text"/>
    <w:basedOn w:val="Normal"/>
    <w:link w:val="CommentTextChar"/>
    <w:uiPriority w:val="99"/>
    <w:unhideWhenUsed/>
    <w:rsid w:val="00C66E5B"/>
    <w:rPr>
      <w:sz w:val="20"/>
      <w:szCs w:val="20"/>
    </w:rPr>
  </w:style>
  <w:style w:type="character" w:customStyle="1" w:styleId="CommentTextChar">
    <w:name w:val="Comment Text Char"/>
    <w:basedOn w:val="DefaultParagraphFont"/>
    <w:link w:val="CommentText"/>
    <w:uiPriority w:val="99"/>
    <w:rsid w:val="00C66E5B"/>
    <w:rPr>
      <w:rFonts w:eastAsiaTheme="minorEastAsia"/>
      <w:sz w:val="20"/>
      <w:szCs w:val="20"/>
    </w:rPr>
  </w:style>
  <w:style w:type="paragraph" w:styleId="ListParagraph">
    <w:name w:val="List Paragraph"/>
    <w:basedOn w:val="Normal"/>
    <w:uiPriority w:val="34"/>
    <w:qFormat/>
    <w:rsid w:val="00C66E5B"/>
    <w:pPr>
      <w:ind w:left="720"/>
      <w:contextualSpacing/>
    </w:pPr>
  </w:style>
  <w:style w:type="character" w:styleId="CommentReference">
    <w:name w:val="annotation reference"/>
    <w:basedOn w:val="DefaultParagraphFont"/>
    <w:uiPriority w:val="99"/>
    <w:semiHidden/>
    <w:unhideWhenUsed/>
    <w:rsid w:val="00C66E5B"/>
    <w:rPr>
      <w:sz w:val="18"/>
      <w:szCs w:val="18"/>
    </w:rPr>
  </w:style>
  <w:style w:type="paragraph" w:styleId="BalloonText">
    <w:name w:val="Balloon Text"/>
    <w:basedOn w:val="Normal"/>
    <w:link w:val="BalloonTextChar"/>
    <w:uiPriority w:val="99"/>
    <w:semiHidden/>
    <w:unhideWhenUsed/>
    <w:rsid w:val="00C66E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E5B"/>
    <w:rPr>
      <w:rFonts w:ascii="Times New Roman" w:eastAsiaTheme="minorEastAsia" w:hAnsi="Times New Roman" w:cs="Times New Roman"/>
      <w:sz w:val="18"/>
      <w:szCs w:val="18"/>
    </w:rPr>
  </w:style>
  <w:style w:type="paragraph" w:customStyle="1" w:styleId="EndNoteBibliographyTitle">
    <w:name w:val="EndNote Bibliography Title"/>
    <w:basedOn w:val="Normal"/>
    <w:link w:val="EndNoteBibliographyTitleChar"/>
    <w:rsid w:val="00C66E5B"/>
    <w:pPr>
      <w:jc w:val="center"/>
    </w:pPr>
    <w:rPr>
      <w:rFonts w:ascii="Times New Roman" w:hAnsi="Times New Roman" w:cs="Times New Roman"/>
      <w:sz w:val="20"/>
    </w:rPr>
  </w:style>
  <w:style w:type="character" w:customStyle="1" w:styleId="EndNoteBibliographyTitleChar">
    <w:name w:val="EndNote Bibliography Title Char"/>
    <w:basedOn w:val="DefaultParagraphFont"/>
    <w:link w:val="EndNoteBibliographyTitle"/>
    <w:rsid w:val="00C66E5B"/>
    <w:rPr>
      <w:rFonts w:ascii="Times New Roman" w:eastAsiaTheme="minorEastAsia" w:hAnsi="Times New Roman" w:cs="Times New Roman"/>
      <w:sz w:val="20"/>
      <w:szCs w:val="24"/>
    </w:rPr>
  </w:style>
  <w:style w:type="paragraph" w:customStyle="1" w:styleId="EndNoteBibliography">
    <w:name w:val="EndNote Bibliography"/>
    <w:basedOn w:val="Normal"/>
    <w:link w:val="EndNoteBibliographyChar"/>
    <w:rsid w:val="00C66E5B"/>
    <w:rPr>
      <w:rFonts w:ascii="Times New Roman" w:hAnsi="Times New Roman" w:cs="Times New Roman"/>
      <w:sz w:val="20"/>
    </w:rPr>
  </w:style>
  <w:style w:type="character" w:customStyle="1" w:styleId="EndNoteBibliographyChar">
    <w:name w:val="EndNote Bibliography Char"/>
    <w:basedOn w:val="DefaultParagraphFont"/>
    <w:link w:val="EndNoteBibliography"/>
    <w:rsid w:val="00C66E5B"/>
    <w:rPr>
      <w:rFonts w:ascii="Times New Roman" w:eastAsiaTheme="minorEastAsia" w:hAnsi="Times New Roman" w:cs="Times New Roman"/>
      <w:sz w:val="20"/>
      <w:szCs w:val="24"/>
    </w:rPr>
  </w:style>
  <w:style w:type="paragraph" w:styleId="NormalWeb">
    <w:name w:val="Normal (Web)"/>
    <w:basedOn w:val="Normal"/>
    <w:uiPriority w:val="99"/>
    <w:semiHidden/>
    <w:unhideWhenUsed/>
    <w:rsid w:val="00C66E5B"/>
    <w:rPr>
      <w:rFonts w:ascii="Times New Roman" w:hAnsi="Times New Roman" w:cs="Times New Roman"/>
    </w:rPr>
  </w:style>
  <w:style w:type="character" w:styleId="Hyperlink">
    <w:name w:val="Hyperlink"/>
    <w:basedOn w:val="DefaultParagraphFont"/>
    <w:uiPriority w:val="99"/>
    <w:unhideWhenUsed/>
    <w:rsid w:val="00C66E5B"/>
    <w:rPr>
      <w:color w:val="0000FF"/>
      <w:u w:val="single"/>
    </w:rPr>
  </w:style>
  <w:style w:type="paragraph" w:styleId="CommentSubject">
    <w:name w:val="annotation subject"/>
    <w:basedOn w:val="CommentText"/>
    <w:next w:val="CommentText"/>
    <w:link w:val="CommentSubjectChar"/>
    <w:uiPriority w:val="99"/>
    <w:semiHidden/>
    <w:unhideWhenUsed/>
    <w:rsid w:val="00C66E5B"/>
    <w:rPr>
      <w:b/>
      <w:bCs/>
    </w:rPr>
  </w:style>
  <w:style w:type="character" w:customStyle="1" w:styleId="CommentSubjectChar">
    <w:name w:val="Comment Subject Char"/>
    <w:basedOn w:val="CommentTextChar"/>
    <w:link w:val="CommentSubject"/>
    <w:uiPriority w:val="99"/>
    <w:semiHidden/>
    <w:rsid w:val="00C66E5B"/>
    <w:rPr>
      <w:rFonts w:eastAsiaTheme="minorEastAsia"/>
      <w:b/>
      <w:bCs/>
      <w:sz w:val="20"/>
      <w:szCs w:val="20"/>
    </w:rPr>
  </w:style>
  <w:style w:type="paragraph" w:customStyle="1" w:styleId="Pa4">
    <w:name w:val="Pa4"/>
    <w:basedOn w:val="Normal"/>
    <w:next w:val="Normal"/>
    <w:uiPriority w:val="99"/>
    <w:rsid w:val="00C66E5B"/>
    <w:pPr>
      <w:autoSpaceDE w:val="0"/>
      <w:autoSpaceDN w:val="0"/>
      <w:adjustRightInd w:val="0"/>
      <w:spacing w:line="167" w:lineRule="atLeast"/>
    </w:pPr>
    <w:rPr>
      <w:rFonts w:ascii="Shaker 2 Lancet Regular" w:hAnsi="Shaker 2 Lancet Regular"/>
      <w:lang w:val="fr-FR"/>
    </w:rPr>
  </w:style>
  <w:style w:type="character" w:customStyle="1" w:styleId="A4">
    <w:name w:val="A4"/>
    <w:uiPriority w:val="99"/>
    <w:rsid w:val="00C66E5B"/>
    <w:rPr>
      <w:rFonts w:cs="Shaker 2 Lancet Regular"/>
      <w:b/>
      <w:bCs/>
      <w:color w:val="000000"/>
      <w:sz w:val="16"/>
      <w:szCs w:val="16"/>
    </w:rPr>
  </w:style>
  <w:style w:type="paragraph" w:styleId="Revision">
    <w:name w:val="Revision"/>
    <w:hidden/>
    <w:uiPriority w:val="99"/>
    <w:semiHidden/>
    <w:rsid w:val="00C66E5B"/>
    <w:pPr>
      <w:spacing w:after="0" w:line="240" w:lineRule="auto"/>
    </w:pPr>
    <w:rPr>
      <w:rFonts w:eastAsiaTheme="minorEastAsia"/>
      <w:sz w:val="24"/>
      <w:szCs w:val="24"/>
    </w:rPr>
  </w:style>
  <w:style w:type="paragraph" w:customStyle="1" w:styleId="title1">
    <w:name w:val="title1"/>
    <w:basedOn w:val="Normal"/>
    <w:rsid w:val="00C66E5B"/>
    <w:rPr>
      <w:rFonts w:ascii="Times New Roman" w:eastAsia="Times New Roman" w:hAnsi="Times New Roman" w:cs="Times New Roman"/>
      <w:sz w:val="27"/>
      <w:szCs w:val="27"/>
      <w:lang w:val="fr-FR" w:eastAsia="fr-FR"/>
    </w:rPr>
  </w:style>
  <w:style w:type="paragraph" w:customStyle="1" w:styleId="desc2">
    <w:name w:val="desc2"/>
    <w:basedOn w:val="Normal"/>
    <w:rsid w:val="00C66E5B"/>
    <w:rPr>
      <w:rFonts w:ascii="Times New Roman" w:eastAsia="Times New Roman" w:hAnsi="Times New Roman" w:cs="Times New Roman"/>
      <w:sz w:val="26"/>
      <w:szCs w:val="26"/>
      <w:lang w:val="fr-FR" w:eastAsia="fr-FR"/>
    </w:rPr>
  </w:style>
  <w:style w:type="paragraph" w:customStyle="1" w:styleId="details1">
    <w:name w:val="details1"/>
    <w:basedOn w:val="Normal"/>
    <w:rsid w:val="00C66E5B"/>
    <w:rPr>
      <w:rFonts w:ascii="Times New Roman" w:eastAsia="Times New Roman" w:hAnsi="Times New Roman" w:cs="Times New Roman"/>
      <w:sz w:val="22"/>
      <w:szCs w:val="22"/>
      <w:lang w:val="fr-FR" w:eastAsia="fr-FR"/>
    </w:rPr>
  </w:style>
  <w:style w:type="character" w:customStyle="1" w:styleId="jrnl">
    <w:name w:val="jrnl"/>
    <w:basedOn w:val="DefaultParagraphFont"/>
    <w:rsid w:val="00C66E5B"/>
  </w:style>
  <w:style w:type="paragraph" w:styleId="Header">
    <w:name w:val="header"/>
    <w:basedOn w:val="Normal"/>
    <w:link w:val="HeaderChar"/>
    <w:uiPriority w:val="99"/>
    <w:unhideWhenUsed/>
    <w:rsid w:val="00C66E5B"/>
    <w:pPr>
      <w:tabs>
        <w:tab w:val="center" w:pos="4252"/>
        <w:tab w:val="right" w:pos="8504"/>
      </w:tabs>
      <w:snapToGrid w:val="0"/>
    </w:pPr>
  </w:style>
  <w:style w:type="character" w:customStyle="1" w:styleId="HeaderChar">
    <w:name w:val="Header Char"/>
    <w:basedOn w:val="DefaultParagraphFont"/>
    <w:link w:val="Header"/>
    <w:uiPriority w:val="99"/>
    <w:rsid w:val="00C66E5B"/>
    <w:rPr>
      <w:rFonts w:eastAsiaTheme="minorEastAsia"/>
      <w:sz w:val="24"/>
      <w:szCs w:val="24"/>
    </w:rPr>
  </w:style>
  <w:style w:type="paragraph" w:styleId="Footer">
    <w:name w:val="footer"/>
    <w:basedOn w:val="Normal"/>
    <w:link w:val="FooterChar"/>
    <w:uiPriority w:val="99"/>
    <w:unhideWhenUsed/>
    <w:rsid w:val="00C66E5B"/>
    <w:pPr>
      <w:tabs>
        <w:tab w:val="center" w:pos="4252"/>
        <w:tab w:val="right" w:pos="8504"/>
      </w:tabs>
      <w:snapToGrid w:val="0"/>
    </w:pPr>
  </w:style>
  <w:style w:type="character" w:customStyle="1" w:styleId="FooterChar">
    <w:name w:val="Footer Char"/>
    <w:basedOn w:val="DefaultParagraphFont"/>
    <w:link w:val="Footer"/>
    <w:uiPriority w:val="99"/>
    <w:rsid w:val="00C66E5B"/>
    <w:rPr>
      <w:rFonts w:eastAsiaTheme="minorEastAsia"/>
      <w:sz w:val="24"/>
      <w:szCs w:val="24"/>
    </w:rPr>
  </w:style>
  <w:style w:type="character" w:customStyle="1" w:styleId="labs-docsum-authors">
    <w:name w:val="labs-docsum-authors"/>
    <w:basedOn w:val="DefaultParagraphFont"/>
    <w:rsid w:val="00C66E5B"/>
  </w:style>
  <w:style w:type="character" w:customStyle="1" w:styleId="labs-docsum-journal-citation">
    <w:name w:val="labs-docsum-journal-citation"/>
    <w:basedOn w:val="DefaultParagraphFont"/>
    <w:rsid w:val="00C66E5B"/>
  </w:style>
  <w:style w:type="character" w:customStyle="1" w:styleId="period">
    <w:name w:val="period"/>
    <w:basedOn w:val="DefaultParagraphFont"/>
    <w:rsid w:val="00C66E5B"/>
  </w:style>
  <w:style w:type="character" w:customStyle="1" w:styleId="cit">
    <w:name w:val="cit"/>
    <w:basedOn w:val="DefaultParagraphFont"/>
    <w:rsid w:val="00C66E5B"/>
  </w:style>
  <w:style w:type="character" w:customStyle="1" w:styleId="citation-doi">
    <w:name w:val="citation-doi"/>
    <w:basedOn w:val="DefaultParagraphFont"/>
    <w:rsid w:val="00C66E5B"/>
  </w:style>
  <w:style w:type="character" w:styleId="LineNumber">
    <w:name w:val="line number"/>
    <w:basedOn w:val="DefaultParagraphFont"/>
    <w:uiPriority w:val="99"/>
    <w:semiHidden/>
    <w:unhideWhenUsed/>
    <w:rsid w:val="00C6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i.qian2@may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14</Pages>
  <Words>7792</Words>
  <Characters>44419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52107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 Qian, Ph.D.</dc:creator>
  <cp:lastModifiedBy>Shi, Qian, Ph.D.</cp:lastModifiedBy>
  <cp:revision>34</cp:revision>
  <dcterms:created xsi:type="dcterms:W3CDTF">2020-08-05T19:32:00Z</dcterms:created>
  <dcterms:modified xsi:type="dcterms:W3CDTF">2020-08-20T14:09:00Z</dcterms:modified>
</cp:coreProperties>
</file>