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310A9" w14:textId="185FFDD3" w:rsidR="00FF34AC" w:rsidRPr="00FC38E7" w:rsidRDefault="009A01E5" w:rsidP="009A01E5">
      <w:pPr>
        <w:spacing w:after="0" w:line="240" w:lineRule="auto"/>
        <w:rPr>
          <w:b/>
          <w:vertAlign w:val="superscript"/>
        </w:rPr>
      </w:pPr>
      <w:r w:rsidRPr="00FE5883">
        <w:rPr>
          <w:b/>
        </w:rPr>
        <w:t>Table 1:</w:t>
      </w:r>
      <w:r w:rsidR="00FE5883">
        <w:rPr>
          <w:b/>
        </w:rPr>
        <w:t xml:space="preserve"> </w:t>
      </w:r>
      <w:r w:rsidR="00FC38E7">
        <w:rPr>
          <w:b/>
        </w:rPr>
        <w:t xml:space="preserve">Updated </w:t>
      </w:r>
      <w:r w:rsidR="006A0994">
        <w:rPr>
          <w:b/>
        </w:rPr>
        <w:t>characteristics of the s</w:t>
      </w:r>
      <w:r w:rsidR="00FC38E7">
        <w:rPr>
          <w:b/>
        </w:rPr>
        <w:t xml:space="preserve">tudy </w:t>
      </w:r>
      <w:r w:rsidR="006A0994">
        <w:rPr>
          <w:b/>
        </w:rPr>
        <w:t>population (modified intention-to-treat p</w:t>
      </w:r>
      <w:r w:rsidR="00FC38E7">
        <w:rPr>
          <w:b/>
        </w:rPr>
        <w:t>opulation)</w:t>
      </w:r>
      <w:r w:rsidR="00FC38E7">
        <w:rPr>
          <w:b/>
          <w:vertAlign w:val="superscript"/>
        </w:rPr>
        <w:t>*</w:t>
      </w:r>
      <w:bookmarkStart w:id="0" w:name="_GoBack"/>
      <w:bookmarkEnd w:id="0"/>
    </w:p>
    <w:tbl>
      <w:tblPr>
        <w:tblW w:w="12870" w:type="dxa"/>
        <w:tblInd w:w="-7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0"/>
        <w:gridCol w:w="1401"/>
        <w:gridCol w:w="1401"/>
        <w:gridCol w:w="1402"/>
        <w:gridCol w:w="1401"/>
        <w:gridCol w:w="1402"/>
        <w:gridCol w:w="1401"/>
        <w:gridCol w:w="1402"/>
      </w:tblGrid>
      <w:tr w:rsidR="00FE5883" w:rsidRPr="00FE5883" w14:paraId="27448220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F9B6" w14:textId="77777777" w:rsidR="00992251" w:rsidRPr="00FE5883" w:rsidRDefault="00992251" w:rsidP="00675A1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29E8C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TOSCA</w:t>
            </w:r>
            <w:r w:rsidRPr="00FE5883">
              <w:rPr>
                <w:rFonts w:cstheme="minorHAnsi"/>
                <w:b/>
                <w:bCs/>
              </w:rPr>
              <w:br/>
              <w:t>(N=2391)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93C1F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SCOT</w:t>
            </w:r>
            <w:r w:rsidRPr="00FE5883">
              <w:rPr>
                <w:rFonts w:cstheme="minorHAnsi"/>
                <w:b/>
                <w:bCs/>
              </w:rPr>
              <w:br/>
              <w:t>(N=3983)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4543E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IDEA France</w:t>
            </w:r>
            <w:r w:rsidRPr="00FE5883">
              <w:rPr>
                <w:rFonts w:cstheme="minorHAnsi"/>
                <w:b/>
                <w:bCs/>
              </w:rPr>
              <w:br/>
              <w:t>(N=2010)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0A657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C</w:t>
            </w:r>
            <w:r w:rsidR="00FC38E7">
              <w:rPr>
                <w:rFonts w:cstheme="minorHAnsi"/>
                <w:b/>
                <w:bCs/>
              </w:rPr>
              <w:t xml:space="preserve">ALGB/SWOG </w:t>
            </w:r>
            <w:r w:rsidRPr="00FE5883">
              <w:rPr>
                <w:rFonts w:cstheme="minorHAnsi"/>
                <w:b/>
                <w:bCs/>
              </w:rPr>
              <w:t>80702</w:t>
            </w:r>
            <w:r w:rsidRPr="00FE5883">
              <w:rPr>
                <w:rFonts w:cstheme="minorHAnsi"/>
                <w:b/>
                <w:bCs/>
              </w:rPr>
              <w:br/>
              <w:t>(N=2452)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2CF4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HORG</w:t>
            </w:r>
            <w:r w:rsidRPr="00FE5883">
              <w:rPr>
                <w:rFonts w:cstheme="minorHAnsi"/>
                <w:b/>
                <w:bCs/>
              </w:rPr>
              <w:br/>
              <w:t>(N=708)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3BD8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ACHIEVE</w:t>
            </w:r>
            <w:r w:rsidRPr="00FE5883">
              <w:rPr>
                <w:rFonts w:cstheme="minorHAnsi"/>
                <w:b/>
                <w:bCs/>
              </w:rPr>
              <w:br/>
              <w:t>(N=1291)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3B7F1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/>
                <w:bCs/>
              </w:rPr>
              <w:t>Total</w:t>
            </w:r>
            <w:r w:rsidRPr="00FE5883">
              <w:rPr>
                <w:rFonts w:cstheme="minorHAnsi"/>
                <w:b/>
                <w:bCs/>
              </w:rPr>
              <w:br/>
              <w:t>(N=12835)</w:t>
            </w:r>
          </w:p>
        </w:tc>
      </w:tr>
      <w:tr w:rsidR="000B22B1" w:rsidRPr="00FE5883" w14:paraId="7567EE4C" w14:textId="77777777" w:rsidTr="00323FCE">
        <w:trPr>
          <w:trHeight w:val="288"/>
        </w:trPr>
        <w:tc>
          <w:tcPr>
            <w:tcW w:w="12870" w:type="dxa"/>
            <w:gridSpan w:val="8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0DCEC" w14:textId="77777777" w:rsidR="000B22B1" w:rsidRPr="00675A1C" w:rsidRDefault="000B22B1" w:rsidP="00675A1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75A1C">
              <w:rPr>
                <w:rFonts w:cstheme="minorHAnsi"/>
                <w:b/>
              </w:rPr>
              <w:t xml:space="preserve"> Tumor stage</w:t>
            </w:r>
            <w:r w:rsidRPr="00675A1C">
              <w:rPr>
                <w:rFonts w:cstheme="minorHAnsi"/>
              </w:rPr>
              <w:t>, no. (%)</w:t>
            </w:r>
          </w:p>
        </w:tc>
      </w:tr>
      <w:tr w:rsidR="00675A1C" w:rsidRPr="00FE5883" w14:paraId="69892C3F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DCC07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T1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8EA1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76 (3.2%)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9E52E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128 (3.2%)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9C13E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78 (3.9%)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755D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140 (5.8%)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41B28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 (0.1%)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2741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75 (5.8%)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D91A5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498 (3.9%)</w:t>
            </w:r>
          </w:p>
        </w:tc>
      </w:tr>
      <w:tr w:rsidR="00675A1C" w:rsidRPr="00FE5883" w14:paraId="39F0DC25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36DC3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T2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6BBDD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236 (10.0%)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1E7F2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333 (8.4%)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C26E0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161 (8.0%)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C31C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298 (12.3%)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F3175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60 (8.5%)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920E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119 (9.2%)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F4D9A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1207 (9.4%)</w:t>
            </w:r>
          </w:p>
        </w:tc>
      </w:tr>
      <w:tr w:rsidR="00675A1C" w:rsidRPr="00FE5883" w14:paraId="66DEC8AE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A510E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T3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46938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1763 (74.5%)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548BB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2347 (58.9%)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42166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1399 (69.6%)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21C73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1623 (66.8%)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A2BD0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549 (77.8%)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FA1B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734 (56.9%)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B59B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8415 (65.8%)</w:t>
            </w:r>
          </w:p>
        </w:tc>
      </w:tr>
      <w:tr w:rsidR="00675A1C" w:rsidRPr="00FE5883" w14:paraId="47D05BD1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A251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T4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0AE8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290 (12.3%)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6363BB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1174 (29.5%)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5C0B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372 (18.5%)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021A0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368 (15.2%)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6C07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96 (13.6%)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301DB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363 (28.1%)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AF9D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2663 (20.8%)</w:t>
            </w:r>
          </w:p>
        </w:tc>
      </w:tr>
      <w:tr w:rsidR="00675A1C" w:rsidRPr="00FE5883" w14:paraId="4CB91B7B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F342C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Missing data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14E42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3FE6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42EF95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E1C3D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E4CB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0F7C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F0A40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49</w:t>
            </w:r>
          </w:p>
        </w:tc>
      </w:tr>
      <w:tr w:rsidR="000B22B1" w:rsidRPr="00FE5883" w14:paraId="2633D8B0" w14:textId="77777777" w:rsidTr="00323FCE">
        <w:trPr>
          <w:trHeight w:val="288"/>
        </w:trPr>
        <w:tc>
          <w:tcPr>
            <w:tcW w:w="12870" w:type="dxa"/>
            <w:gridSpan w:val="8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1C8A" w14:textId="77777777" w:rsidR="000B22B1" w:rsidRPr="00675A1C" w:rsidRDefault="000B22B1" w:rsidP="00675A1C">
            <w:pPr>
              <w:spacing w:after="0" w:line="240" w:lineRule="auto"/>
              <w:rPr>
                <w:rFonts w:cstheme="minorHAnsi"/>
                <w:bCs/>
              </w:rPr>
            </w:pPr>
            <w:r w:rsidRPr="00675A1C">
              <w:rPr>
                <w:rFonts w:cstheme="minorHAnsi"/>
                <w:b/>
                <w:bCs/>
              </w:rPr>
              <w:t xml:space="preserve"> Nodal stage,</w:t>
            </w:r>
            <w:r w:rsidRPr="00675A1C">
              <w:rPr>
                <w:rFonts w:cstheme="minorHAnsi"/>
                <w:bCs/>
              </w:rPr>
              <w:t xml:space="preserve"> no. (%)</w:t>
            </w:r>
          </w:p>
        </w:tc>
      </w:tr>
      <w:tr w:rsidR="00675A1C" w:rsidRPr="00FE5883" w14:paraId="6ABE5428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CA9D6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N1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C3EAD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1745 (73.2%)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D34B6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2749 (69.0%)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BBF6F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1501 (74.8%)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F560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1792 (73.8%)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4FA27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472 (67.2%)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D844E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959 (74.3%)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991E2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9218 (72.0%)</w:t>
            </w:r>
          </w:p>
        </w:tc>
      </w:tr>
      <w:tr w:rsidR="00675A1C" w:rsidRPr="00FE5883" w14:paraId="1B1335C1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F6032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N2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A1397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640 (26.8%)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E4EE3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1233 (31.0%)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53BC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506 (25.2%)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3D913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637 (26.2%)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912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230 (32.8%)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D857A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332 (25.7%)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66526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3578 (28.0%)</w:t>
            </w:r>
          </w:p>
        </w:tc>
      </w:tr>
      <w:tr w:rsidR="00675A1C" w:rsidRPr="00FE5883" w14:paraId="4D4B9513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1E383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Missing data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81ED7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0802A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1CE7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A3A7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0D618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236C7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C44E2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39</w:t>
            </w:r>
          </w:p>
        </w:tc>
      </w:tr>
      <w:tr w:rsidR="000B22B1" w:rsidRPr="00FE5883" w14:paraId="6F8D5011" w14:textId="77777777" w:rsidTr="00323FCE">
        <w:trPr>
          <w:trHeight w:val="288"/>
        </w:trPr>
        <w:tc>
          <w:tcPr>
            <w:tcW w:w="12870" w:type="dxa"/>
            <w:gridSpan w:val="8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2E738" w14:textId="77777777" w:rsidR="000B22B1" w:rsidRPr="00675A1C" w:rsidRDefault="000B22B1" w:rsidP="00675A1C">
            <w:pPr>
              <w:spacing w:after="0" w:line="240" w:lineRule="auto"/>
              <w:rPr>
                <w:rFonts w:cstheme="minorHAnsi"/>
                <w:bCs/>
              </w:rPr>
            </w:pPr>
            <w:r w:rsidRPr="00675A1C">
              <w:rPr>
                <w:rFonts w:cstheme="minorHAnsi"/>
                <w:b/>
                <w:bCs/>
              </w:rPr>
              <w:t xml:space="preserve"> Risk group,</w:t>
            </w:r>
            <w:r w:rsidRPr="00675A1C">
              <w:rPr>
                <w:rFonts w:cstheme="minorHAnsi"/>
                <w:bCs/>
              </w:rPr>
              <w:t xml:space="preserve"> no. (%)</w:t>
            </w:r>
          </w:p>
        </w:tc>
      </w:tr>
      <w:tr w:rsidR="00675A1C" w:rsidRPr="00FE5883" w14:paraId="44181B78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9EA1" w14:textId="6A58E341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</w:t>
            </w:r>
            <w:r w:rsidR="00323FCE">
              <w:rPr>
                <w:rFonts w:cstheme="minorHAnsi"/>
              </w:rPr>
              <w:t>Low risk (</w:t>
            </w:r>
            <w:r w:rsidRPr="00675A1C">
              <w:rPr>
                <w:rFonts w:cstheme="minorHAnsi"/>
              </w:rPr>
              <w:t>T1, T2, or T3 N1</w:t>
            </w:r>
            <w:r w:rsidR="00323FCE">
              <w:rPr>
                <w:rFonts w:cstheme="minorHAnsi"/>
              </w:rPr>
              <w:t>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3431B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1545 (65.3%)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23AA0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2032 (51.0%)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FE179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1245 (62.0%)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98E2A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1551 (63.9%)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FA55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416 (59.1%)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7FC4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718 (55.6%)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51089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7507 (58.7%)</w:t>
            </w:r>
          </w:p>
        </w:tc>
      </w:tr>
      <w:tr w:rsidR="00675A1C" w:rsidRPr="00FE5883" w14:paraId="5DF8410A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958F" w14:textId="7B3BE14E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</w:t>
            </w:r>
            <w:r w:rsidR="00323FCE">
              <w:rPr>
                <w:rFonts w:cstheme="minorHAnsi"/>
              </w:rPr>
              <w:t>High risk (</w:t>
            </w:r>
            <w:r w:rsidRPr="00675A1C">
              <w:rPr>
                <w:rFonts w:cstheme="minorHAnsi"/>
              </w:rPr>
              <w:t>T4, N2, or both</w:t>
            </w:r>
            <w:r w:rsidR="00323FCE">
              <w:rPr>
                <w:rFonts w:cstheme="minorHAnsi"/>
              </w:rPr>
              <w:t>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071B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820 (34.7%)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6EFD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1950 (49.0%)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EE48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764 (38.0%)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1355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878 (36.1%)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648D1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288 (40.9%)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468D3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573 (44.4%)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6138A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5273 (41.3%)</w:t>
            </w:r>
          </w:p>
        </w:tc>
      </w:tr>
      <w:tr w:rsidR="00675A1C" w:rsidRPr="00FE5883" w14:paraId="1F159E7A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12E8" w14:textId="77777777" w:rsidR="00675A1C" w:rsidRP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 w:rsidRPr="00675A1C">
              <w:rPr>
                <w:rFonts w:cstheme="minorHAnsi"/>
              </w:rPr>
              <w:t xml:space="preserve">   Missing data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60295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26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8DDFBB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B4FF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8469E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A0D2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6ED9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515E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55</w:t>
            </w:r>
          </w:p>
        </w:tc>
      </w:tr>
      <w:tr w:rsidR="00FE5883" w:rsidRPr="00FE5883" w14:paraId="505029A2" w14:textId="77777777" w:rsidTr="00323FCE">
        <w:trPr>
          <w:trHeight w:val="288"/>
        </w:trPr>
        <w:tc>
          <w:tcPr>
            <w:tcW w:w="12870" w:type="dxa"/>
            <w:gridSpan w:val="8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D6F36" w14:textId="77777777" w:rsidR="00FE5883" w:rsidRPr="00FE5883" w:rsidRDefault="00FE5883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Primary tumor sidedness</w:t>
            </w:r>
            <w:r w:rsidRPr="00FE5883">
              <w:rPr>
                <w:rFonts w:cstheme="minorHAnsi"/>
                <w:b/>
                <w:bCs/>
              </w:rPr>
              <w:t xml:space="preserve">, </w:t>
            </w:r>
            <w:r w:rsidRPr="00FE5883">
              <w:rPr>
                <w:rFonts w:cstheme="minorHAnsi"/>
              </w:rPr>
              <w:t>n</w:t>
            </w:r>
            <w:r w:rsidR="000B22B1">
              <w:rPr>
                <w:rFonts w:cstheme="minorHAnsi"/>
              </w:rPr>
              <w:t>o.</w:t>
            </w:r>
            <w:r w:rsidRPr="00FE5883">
              <w:rPr>
                <w:rFonts w:cstheme="minorHAnsi"/>
              </w:rPr>
              <w:t xml:space="preserve"> (%)</w:t>
            </w:r>
          </w:p>
        </w:tc>
      </w:tr>
      <w:tr w:rsidR="00C02F40" w:rsidRPr="00FE5883" w14:paraId="3E5C479C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9FC7A" w14:textId="77777777" w:rsidR="00C02F40" w:rsidRPr="00FE5883" w:rsidRDefault="00C02F40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FE5883">
              <w:rPr>
                <w:rFonts w:cstheme="minorHAnsi"/>
              </w:rPr>
              <w:t>Proximal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98E1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934 (40.8%)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D14B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NA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A171D" w14:textId="6A86E26E" w:rsidR="00C02F40" w:rsidRPr="006B70C8" w:rsidRDefault="00C02F40" w:rsidP="00675A1C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750 (42.6%)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5B0D1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1278 (53.7%)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D1060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313 (44.5%)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1389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491 (38.5%)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C2E63" w14:textId="4B6C74DA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000000"/>
              </w:rPr>
              <w:t>3766 (44.8%)</w:t>
            </w:r>
          </w:p>
        </w:tc>
      </w:tr>
      <w:tr w:rsidR="00C02F40" w:rsidRPr="00FE5883" w14:paraId="192EF6FC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F5A0" w14:textId="77777777" w:rsidR="00C02F40" w:rsidRPr="00FE5883" w:rsidRDefault="00C02F40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FE5883">
              <w:rPr>
                <w:rFonts w:cstheme="minorHAnsi"/>
              </w:rPr>
              <w:t>Distal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2DFAD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1358 (59.2%)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BE710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NA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C03EA" w14:textId="0C0F661B" w:rsidR="00C02F40" w:rsidRPr="006B70C8" w:rsidRDefault="00C02F40" w:rsidP="00675A1C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color w:val="000000"/>
              </w:rPr>
              <w:t>1012 (57.4%)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FD33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1102 (46.3%)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47B86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390 (55.5%)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39008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784 (61.5%)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96045" w14:textId="10B9401C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000000"/>
              </w:rPr>
              <w:t>4646 (55.2%)</w:t>
            </w:r>
          </w:p>
        </w:tc>
      </w:tr>
      <w:tr w:rsidR="00C02F40" w:rsidRPr="00FE5883" w14:paraId="1FC2A6DA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5D2B3" w14:textId="77777777" w:rsidR="00C02F40" w:rsidRPr="00FE5883" w:rsidRDefault="00C02F40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FE5883">
              <w:rPr>
                <w:rFonts w:cstheme="minorHAnsi"/>
              </w:rPr>
              <w:t>Missing</w:t>
            </w:r>
            <w:r>
              <w:rPr>
                <w:rFonts w:cstheme="minorHAnsi"/>
              </w:rPr>
              <w:t xml:space="preserve"> data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0FCDC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99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169F9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3983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B5E94" w14:textId="5CB87D85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84DF9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72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42D31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5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5B37" w14:textId="77777777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</w:rPr>
              <w:t>16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5F91E" w14:textId="1A5E676F" w:rsidR="00C02F40" w:rsidRPr="00FE5883" w:rsidRDefault="00C02F40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000000"/>
              </w:rPr>
              <w:t>4423</w:t>
            </w:r>
          </w:p>
        </w:tc>
      </w:tr>
      <w:tr w:rsidR="000B22B1" w:rsidRPr="00FE5883" w14:paraId="37EEF204" w14:textId="77777777" w:rsidTr="00323FCE">
        <w:trPr>
          <w:trHeight w:val="288"/>
        </w:trPr>
        <w:tc>
          <w:tcPr>
            <w:tcW w:w="12870" w:type="dxa"/>
            <w:gridSpan w:val="8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C075" w14:textId="77777777" w:rsidR="000B22B1" w:rsidRPr="000B22B1" w:rsidRDefault="000B22B1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Chemotherapy regimen,</w:t>
            </w:r>
            <w:r>
              <w:rPr>
                <w:rFonts w:cstheme="minorHAnsi"/>
              </w:rPr>
              <w:t xml:space="preserve"> no. (%)</w:t>
            </w:r>
          </w:p>
        </w:tc>
      </w:tr>
      <w:tr w:rsidR="00675A1C" w:rsidRPr="00FE5883" w14:paraId="75442B00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74F0E" w14:textId="77777777" w:rsid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CAPOX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0B07D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833 (34.8%)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F9488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2649 (66.5%)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21F8B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201 (10.0%)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0CDD3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4BF37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412 (58.2%)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87739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969 (75.1%)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2A22C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5064 (39.5%)</w:t>
            </w:r>
          </w:p>
        </w:tc>
      </w:tr>
      <w:tr w:rsidR="00675A1C" w:rsidRPr="00FE5883" w14:paraId="3EBDCA79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2A7F8" w14:textId="77777777" w:rsidR="00675A1C" w:rsidRDefault="00675A1C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FOLFOX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2B06E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vertAlign w:val="superscript"/>
              </w:rPr>
            </w:pPr>
            <w:r w:rsidRPr="00675A1C">
              <w:rPr>
                <w:rFonts w:cstheme="minorHAnsi"/>
                <w:color w:val="000000"/>
              </w:rPr>
              <w:t>1558 (65.2%</w:t>
            </w:r>
            <w:proofErr w:type="gramStart"/>
            <w:r w:rsidRPr="00675A1C">
              <w:rPr>
                <w:rFonts w:cstheme="minorHAnsi"/>
                <w:color w:val="000000"/>
              </w:rPr>
              <w:t>)</w:t>
            </w:r>
            <w:r>
              <w:rPr>
                <w:rFonts w:cstheme="minorHAnsi"/>
                <w:color w:val="000000"/>
                <w:vertAlign w:val="superscript"/>
              </w:rPr>
              <w:t>†</w:t>
            </w:r>
            <w:proofErr w:type="gramEnd"/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755E9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1334 (33.5%)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79F57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1809 (90.0%)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8A253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2452 (100.0%)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81C34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296 (41.8%)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EA665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322 (24.9%)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250AE" w14:textId="77777777" w:rsidR="00675A1C" w:rsidRPr="00675A1C" w:rsidRDefault="00675A1C" w:rsidP="00675A1C">
            <w:pPr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75A1C">
              <w:rPr>
                <w:rFonts w:cstheme="minorHAnsi"/>
                <w:color w:val="000000"/>
              </w:rPr>
              <w:t>7771 (60.5%)</w:t>
            </w:r>
          </w:p>
        </w:tc>
      </w:tr>
      <w:tr w:rsidR="00FE5883" w:rsidRPr="00FE5883" w14:paraId="60EA728F" w14:textId="77777777" w:rsidTr="00323FCE">
        <w:trPr>
          <w:trHeight w:val="288"/>
        </w:trPr>
        <w:tc>
          <w:tcPr>
            <w:tcW w:w="306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D64B1" w14:textId="77777777" w:rsidR="00FE5883" w:rsidRDefault="00FE5883" w:rsidP="00675A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Pr="00FE5883">
              <w:rPr>
                <w:rFonts w:cstheme="minorHAnsi"/>
                <w:b/>
                <w:bCs/>
              </w:rPr>
              <w:t>Median follow-up time</w:t>
            </w:r>
            <w:r w:rsidRPr="00FE5883">
              <w:rPr>
                <w:rFonts w:cstheme="minorHAnsi"/>
              </w:rPr>
              <w:t>,</w:t>
            </w:r>
          </w:p>
          <w:p w14:paraId="26DCA0E3" w14:textId="77777777" w:rsidR="00992251" w:rsidRPr="00FE5883" w:rsidRDefault="00FE5883" w:rsidP="00675A1C">
            <w:pPr>
              <w:spacing w:after="0" w:line="240" w:lineRule="auto"/>
              <w:rPr>
                <w:rFonts w:cstheme="minorHAnsi"/>
              </w:rPr>
            </w:pPr>
            <w:r w:rsidRPr="00FE588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FE5883">
              <w:rPr>
                <w:rFonts w:cstheme="minorHAnsi"/>
              </w:rPr>
              <w:t>months (Q1, Q3)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DBFC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84.3</w:t>
            </w:r>
          </w:p>
          <w:p w14:paraId="3048433E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(83.0-85.8)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85C31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75.2</w:t>
            </w:r>
          </w:p>
          <w:p w14:paraId="7605A641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(74.2-76.1)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FF60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79.5</w:t>
            </w:r>
          </w:p>
          <w:p w14:paraId="009CF825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(78.4-81.0)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856FF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66.2</w:t>
            </w:r>
          </w:p>
          <w:p w14:paraId="0C5E26EB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(65.1-67.1)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7BFC8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79.7</w:t>
            </w:r>
          </w:p>
          <w:p w14:paraId="2B55128B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(74.7-81.7)</w:t>
            </w:r>
          </w:p>
        </w:tc>
        <w:tc>
          <w:tcPr>
            <w:tcW w:w="1401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2723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61.8</w:t>
            </w:r>
          </w:p>
          <w:p w14:paraId="35AB5A98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(61.3-62.7)</w:t>
            </w:r>
          </w:p>
        </w:tc>
        <w:tc>
          <w:tcPr>
            <w:tcW w:w="140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F589B" w14:textId="77777777" w:rsidR="00FE5883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72.3</w:t>
            </w:r>
          </w:p>
          <w:p w14:paraId="0CB6EE8E" w14:textId="77777777" w:rsidR="00992251" w:rsidRPr="00FE5883" w:rsidRDefault="00FE5883" w:rsidP="00675A1C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883">
              <w:rPr>
                <w:rFonts w:cstheme="minorHAnsi"/>
                <w:bCs/>
              </w:rPr>
              <w:t>(72.2-72.5)</w:t>
            </w:r>
          </w:p>
        </w:tc>
      </w:tr>
    </w:tbl>
    <w:p w14:paraId="1D39C1E6" w14:textId="166BABBA" w:rsidR="009A01E5" w:rsidRPr="00245338" w:rsidRDefault="00FC38E7" w:rsidP="00FC38E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245338">
        <w:rPr>
          <w:sz w:val="16"/>
          <w:szCs w:val="16"/>
          <w:vertAlign w:val="superscript"/>
        </w:rPr>
        <w:t xml:space="preserve">* </w:t>
      </w:r>
      <w:r w:rsidRPr="00245338">
        <w:rPr>
          <w:sz w:val="16"/>
          <w:szCs w:val="16"/>
        </w:rPr>
        <w:t xml:space="preserve">Percentages may not total 100 because of rounding. </w:t>
      </w:r>
      <w:r w:rsidR="001529C9" w:rsidRPr="00245338">
        <w:rPr>
          <w:sz w:val="16"/>
          <w:szCs w:val="16"/>
        </w:rPr>
        <w:t>TOSCA Three or Six Colon Adjuvant</w:t>
      </w:r>
      <w:r w:rsidR="001529C9">
        <w:rPr>
          <w:sz w:val="16"/>
          <w:szCs w:val="16"/>
        </w:rPr>
        <w:t xml:space="preserve">, </w:t>
      </w:r>
      <w:r w:rsidR="001529C9" w:rsidRPr="00245338">
        <w:rPr>
          <w:sz w:val="16"/>
          <w:szCs w:val="16"/>
        </w:rPr>
        <w:t>SCOT Short Course Oncology Treatment</w:t>
      </w:r>
      <w:r w:rsidR="001529C9">
        <w:rPr>
          <w:sz w:val="16"/>
          <w:szCs w:val="16"/>
        </w:rPr>
        <w:t>,</w:t>
      </w:r>
      <w:r w:rsidR="001529C9" w:rsidRPr="00245338">
        <w:rPr>
          <w:sz w:val="16"/>
          <w:szCs w:val="16"/>
        </w:rPr>
        <w:t xml:space="preserve"> IDEA International Duration Evaluation of Adjuvant</w:t>
      </w:r>
      <w:r w:rsidR="001529C9">
        <w:rPr>
          <w:sz w:val="16"/>
          <w:szCs w:val="16"/>
        </w:rPr>
        <w:t xml:space="preserve">, </w:t>
      </w:r>
      <w:r w:rsidR="001529C9" w:rsidRPr="00245338">
        <w:rPr>
          <w:sz w:val="16"/>
          <w:szCs w:val="16"/>
        </w:rPr>
        <w:t xml:space="preserve"> </w:t>
      </w:r>
      <w:r w:rsidRPr="00245338">
        <w:rPr>
          <w:sz w:val="16"/>
          <w:szCs w:val="16"/>
        </w:rPr>
        <w:t xml:space="preserve">CALGB/SWOG Cancer and Leukemia Group B/Southwest Oncology Group, </w:t>
      </w:r>
      <w:r w:rsidR="001529C9" w:rsidRPr="00245338">
        <w:rPr>
          <w:sz w:val="16"/>
          <w:szCs w:val="16"/>
        </w:rPr>
        <w:t xml:space="preserve">ACHIEVE denotes Adjuvant Chemotherapy for Colon Cancer with High Evidence </w:t>
      </w:r>
      <w:r w:rsidR="001529C9">
        <w:rPr>
          <w:sz w:val="16"/>
          <w:szCs w:val="16"/>
        </w:rPr>
        <w:t xml:space="preserve">,  and </w:t>
      </w:r>
      <w:r w:rsidRPr="00245338">
        <w:rPr>
          <w:sz w:val="16"/>
          <w:szCs w:val="16"/>
        </w:rPr>
        <w:t>HORG Hellenic Oncology Research Group, Therapy</w:t>
      </w:r>
      <w:r w:rsidR="001529C9">
        <w:rPr>
          <w:sz w:val="16"/>
          <w:szCs w:val="16"/>
        </w:rPr>
        <w:t>.</w:t>
      </w:r>
      <w:r w:rsidRPr="00245338">
        <w:rPr>
          <w:sz w:val="16"/>
          <w:szCs w:val="16"/>
        </w:rPr>
        <w:t xml:space="preserve"> </w:t>
      </w:r>
    </w:p>
    <w:p w14:paraId="4BD06840" w14:textId="77777777" w:rsidR="000B22B1" w:rsidRPr="00245338" w:rsidRDefault="000B22B1" w:rsidP="00FC38E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245338">
        <w:rPr>
          <w:rFonts w:cstheme="minorHAnsi"/>
          <w:sz w:val="16"/>
          <w:szCs w:val="16"/>
          <w:vertAlign w:val="superscript"/>
        </w:rPr>
        <w:t>†</w:t>
      </w:r>
      <w:r w:rsidRPr="00245338">
        <w:rPr>
          <w:sz w:val="16"/>
          <w:szCs w:val="16"/>
        </w:rPr>
        <w:t xml:space="preserve"> Patients in this trial received FOLFOX4; those in the other trials received modified FOLFOX6.</w:t>
      </w:r>
    </w:p>
    <w:p w14:paraId="153C34F9" w14:textId="53334A83" w:rsidR="009A01E5" w:rsidRPr="00276F54" w:rsidRDefault="009A01E5" w:rsidP="00276F54">
      <w:pPr>
        <w:spacing w:after="0" w:line="240" w:lineRule="auto"/>
        <w:rPr>
          <w:b/>
        </w:rPr>
      </w:pPr>
      <w:r w:rsidRPr="00276F54">
        <w:rPr>
          <w:b/>
        </w:rPr>
        <w:lastRenderedPageBreak/>
        <w:t>Table 2:</w:t>
      </w:r>
      <w:r w:rsidR="00497C57">
        <w:rPr>
          <w:b/>
        </w:rPr>
        <w:t xml:space="preserve"> Treatment effects comparing </w:t>
      </w:r>
      <w:r w:rsidR="006A0994">
        <w:rPr>
          <w:b/>
        </w:rPr>
        <w:t>d</w:t>
      </w:r>
      <w:r w:rsidR="00C567BD">
        <w:rPr>
          <w:b/>
        </w:rPr>
        <w:t>isease free survival and overall survival</w:t>
      </w:r>
      <w:r w:rsidR="002A7947">
        <w:rPr>
          <w:b/>
        </w:rPr>
        <w:t xml:space="preserve"> </w:t>
      </w:r>
      <w:r w:rsidR="00497C57">
        <w:rPr>
          <w:b/>
        </w:rPr>
        <w:t>between 3 months and</w:t>
      </w:r>
      <w:r w:rsidR="00275D10">
        <w:rPr>
          <w:b/>
        </w:rPr>
        <w:t xml:space="preserve"> 6 months of therapy </w:t>
      </w:r>
      <w:r w:rsidR="00B0553B">
        <w:rPr>
          <w:b/>
        </w:rPr>
        <w:t>with 6 months group as reference group</w:t>
      </w:r>
    </w:p>
    <w:tbl>
      <w:tblPr>
        <w:tblStyle w:val="TableGrid"/>
        <w:tblW w:w="12888" w:type="dxa"/>
        <w:tblLook w:val="0420" w:firstRow="1" w:lastRow="0" w:firstColumn="0" w:lastColumn="0" w:noHBand="0" w:noVBand="1"/>
      </w:tblPr>
      <w:tblGrid>
        <w:gridCol w:w="1254"/>
        <w:gridCol w:w="1939"/>
        <w:gridCol w:w="1939"/>
        <w:gridCol w:w="1939"/>
        <w:gridCol w:w="1939"/>
        <w:gridCol w:w="1939"/>
        <w:gridCol w:w="1939"/>
      </w:tblGrid>
      <w:tr w:rsidR="00E6740D" w:rsidRPr="00276F54" w14:paraId="4B15AC61" w14:textId="77777777" w:rsidTr="00F9678C">
        <w:trPr>
          <w:trHeight w:val="286"/>
        </w:trPr>
        <w:tc>
          <w:tcPr>
            <w:tcW w:w="1254" w:type="dxa"/>
            <w:vMerge w:val="restart"/>
            <w:vAlign w:val="bottom"/>
          </w:tcPr>
          <w:p w14:paraId="32CAA4E8" w14:textId="5B88FCB5" w:rsidR="00E6740D" w:rsidRPr="00574201" w:rsidRDefault="00574201" w:rsidP="00574201">
            <w:pPr>
              <w:rPr>
                <w:rFonts w:eastAsia="Times New Roman" w:cstheme="minorHAnsi"/>
                <w:b/>
              </w:rPr>
            </w:pPr>
            <w:r w:rsidRPr="00574201">
              <w:rPr>
                <w:rFonts w:eastAsia="Times New Roman" w:cstheme="minorHAnsi"/>
                <w:b/>
              </w:rPr>
              <w:t>Cohort</w:t>
            </w:r>
          </w:p>
        </w:tc>
        <w:tc>
          <w:tcPr>
            <w:tcW w:w="5817" w:type="dxa"/>
            <w:gridSpan w:val="3"/>
          </w:tcPr>
          <w:p w14:paraId="54297348" w14:textId="039E60A2" w:rsidR="00E6740D" w:rsidRPr="00276F54" w:rsidRDefault="00E6740D" w:rsidP="00276F54">
            <w:pPr>
              <w:jc w:val="center"/>
              <w:rPr>
                <w:rFonts w:eastAsia="Times New Roman" w:cstheme="minorHAnsi"/>
                <w:b/>
                <w:bCs/>
                <w:color w:val="2F2B20"/>
                <w:kern w:val="24"/>
              </w:rPr>
            </w:pPr>
            <w:r>
              <w:rPr>
                <w:rFonts w:eastAsia="Times New Roman" w:cstheme="minorHAnsi"/>
                <w:b/>
                <w:bCs/>
                <w:color w:val="2F2B20"/>
                <w:kern w:val="24"/>
              </w:rPr>
              <w:t>Disease Free Survival</w:t>
            </w:r>
            <w:r w:rsidR="003E65BC">
              <w:rPr>
                <w:rFonts w:eastAsia="Times New Roman" w:cstheme="minorHAnsi"/>
                <w:b/>
                <w:bCs/>
                <w:color w:val="2F2B20"/>
                <w:kern w:val="24"/>
              </w:rPr>
              <w:t xml:space="preserve"> with 5 years of follow up</w:t>
            </w:r>
          </w:p>
        </w:tc>
        <w:tc>
          <w:tcPr>
            <w:tcW w:w="5817" w:type="dxa"/>
            <w:gridSpan w:val="3"/>
          </w:tcPr>
          <w:p w14:paraId="5DF2EA5C" w14:textId="4290F16E" w:rsidR="00E6740D" w:rsidRPr="00276F54" w:rsidRDefault="00E6740D" w:rsidP="00276F54">
            <w:pPr>
              <w:jc w:val="center"/>
              <w:rPr>
                <w:rFonts w:eastAsia="Times New Roman" w:cstheme="minorHAnsi"/>
                <w:b/>
                <w:bCs/>
                <w:color w:val="2F2B20"/>
                <w:kern w:val="24"/>
              </w:rPr>
            </w:pPr>
            <w:r>
              <w:rPr>
                <w:rFonts w:eastAsia="Times New Roman" w:cstheme="minorHAnsi"/>
                <w:b/>
                <w:bCs/>
                <w:color w:val="2F2B20"/>
                <w:kern w:val="24"/>
              </w:rPr>
              <w:t>Overall Survival</w:t>
            </w:r>
          </w:p>
        </w:tc>
      </w:tr>
      <w:tr w:rsidR="00E6740D" w:rsidRPr="00276F54" w14:paraId="420A9E82" w14:textId="5913B8A3" w:rsidTr="00574201">
        <w:trPr>
          <w:trHeight w:val="18"/>
        </w:trPr>
        <w:tc>
          <w:tcPr>
            <w:tcW w:w="1254" w:type="dxa"/>
            <w:vMerge/>
          </w:tcPr>
          <w:p w14:paraId="7F1FB501" w14:textId="77777777" w:rsidR="00E6740D" w:rsidRPr="00276F54" w:rsidRDefault="00E6740D" w:rsidP="00276F54">
            <w:pPr>
              <w:rPr>
                <w:rFonts w:eastAsia="Times New Roman" w:cstheme="minorHAnsi"/>
                <w:b/>
                <w:bCs/>
                <w:color w:val="2F2B20"/>
                <w:kern w:val="24"/>
              </w:rPr>
            </w:pPr>
          </w:p>
        </w:tc>
        <w:tc>
          <w:tcPr>
            <w:tcW w:w="1939" w:type="dxa"/>
          </w:tcPr>
          <w:p w14:paraId="27276B02" w14:textId="77777777" w:rsidR="00E6740D" w:rsidRPr="00276F54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HR (95% CI)</w:t>
            </w:r>
            <w:r>
              <w:rPr>
                <w:rFonts w:eastAsia="Times New Roman" w:cstheme="minorHAnsi"/>
                <w:color w:val="2F2B20"/>
                <w:kern w:val="24"/>
                <w:vertAlign w:val="superscript"/>
              </w:rPr>
              <w:t xml:space="preserve"> *</w:t>
            </w:r>
          </w:p>
        </w:tc>
        <w:tc>
          <w:tcPr>
            <w:tcW w:w="1939" w:type="dxa"/>
          </w:tcPr>
          <w:p w14:paraId="0EB066AA" w14:textId="6F2A8FC2" w:rsidR="00E6740D" w:rsidRPr="00C15791" w:rsidRDefault="00E6740D" w:rsidP="00E6740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 xml:space="preserve">One-sided </w:t>
            </w:r>
            <w:proofErr w:type="spellStart"/>
            <w:r>
              <w:rPr>
                <w:rFonts w:eastAsia="Times New Roman" w:cstheme="minorHAnsi"/>
                <w:color w:val="2F2B20"/>
                <w:kern w:val="24"/>
              </w:rPr>
              <w:t>FDRadj</w:t>
            </w:r>
            <w:proofErr w:type="spellEnd"/>
            <w:r>
              <w:rPr>
                <w:rFonts w:eastAsia="Times New Roman" w:cstheme="minorHAnsi"/>
                <w:color w:val="2F2B20"/>
                <w:kern w:val="24"/>
              </w:rPr>
              <w:t xml:space="preserve"> p-value</w:t>
            </w:r>
            <w:r>
              <w:rPr>
                <w:rFonts w:eastAsia="Times New Roman" w:cstheme="minorHAnsi"/>
                <w:color w:val="2F2B20"/>
                <w:kern w:val="24"/>
                <w:vertAlign w:val="superscript"/>
              </w:rPr>
              <w:t>†</w:t>
            </w:r>
            <w:r>
              <w:rPr>
                <w:rFonts w:eastAsia="Times New Roman" w:cstheme="minorHAnsi"/>
                <w:color w:val="2F2B20"/>
                <w:kern w:val="24"/>
              </w:rPr>
              <w:t xml:space="preserve"> for non-inferiority of 3 months therapy</w:t>
            </w:r>
          </w:p>
        </w:tc>
        <w:tc>
          <w:tcPr>
            <w:tcW w:w="1939" w:type="dxa"/>
          </w:tcPr>
          <w:p w14:paraId="7ED810D4" w14:textId="7E17B93F" w:rsidR="00E6740D" w:rsidRDefault="00E6740D" w:rsidP="00E6740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 xml:space="preserve">Two-sided </w:t>
            </w:r>
            <w:proofErr w:type="spellStart"/>
            <w:r>
              <w:rPr>
                <w:rFonts w:eastAsia="Times New Roman" w:cstheme="minorHAnsi"/>
                <w:color w:val="2F2B20"/>
                <w:kern w:val="24"/>
              </w:rPr>
              <w:t>FDRadj</w:t>
            </w:r>
            <w:proofErr w:type="spellEnd"/>
            <w:r>
              <w:rPr>
                <w:rFonts w:eastAsia="Times New Roman" w:cstheme="minorHAnsi"/>
                <w:color w:val="2F2B20"/>
                <w:kern w:val="24"/>
              </w:rPr>
              <w:t xml:space="preserve"> p-value</w:t>
            </w:r>
            <w:r>
              <w:rPr>
                <w:rFonts w:eastAsia="Times New Roman" w:cstheme="minorHAnsi"/>
                <w:color w:val="2F2B20"/>
                <w:kern w:val="24"/>
                <w:vertAlign w:val="superscript"/>
              </w:rPr>
              <w:t>¥</w:t>
            </w:r>
            <w:r>
              <w:rPr>
                <w:rFonts w:eastAsia="Times New Roman" w:cstheme="minorHAnsi"/>
                <w:color w:val="2F2B20"/>
                <w:kern w:val="24"/>
              </w:rPr>
              <w:t xml:space="preserve"> for superiority of 6 months therapy</w:t>
            </w:r>
          </w:p>
        </w:tc>
        <w:tc>
          <w:tcPr>
            <w:tcW w:w="1939" w:type="dxa"/>
          </w:tcPr>
          <w:p w14:paraId="649F32FC" w14:textId="4306CA99" w:rsidR="00E6740D" w:rsidRPr="003E65BC" w:rsidRDefault="00E6740D" w:rsidP="00E6740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 w:rsidRPr="003E65BC">
              <w:rPr>
                <w:rFonts w:eastAsia="Times New Roman" w:cstheme="minorHAnsi"/>
                <w:color w:val="2F2B20"/>
                <w:kern w:val="24"/>
              </w:rPr>
              <w:t>HR (95% CI)</w:t>
            </w:r>
            <w:r w:rsidRPr="003E65BC">
              <w:rPr>
                <w:rFonts w:eastAsia="Times New Roman" w:cstheme="minorHAnsi"/>
                <w:color w:val="2F2B20"/>
                <w:kern w:val="24"/>
                <w:vertAlign w:val="superscript"/>
              </w:rPr>
              <w:t xml:space="preserve"> *</w:t>
            </w:r>
          </w:p>
        </w:tc>
        <w:tc>
          <w:tcPr>
            <w:tcW w:w="1939" w:type="dxa"/>
          </w:tcPr>
          <w:p w14:paraId="4A73CB5B" w14:textId="76971710" w:rsidR="00E6740D" w:rsidRPr="003E65BC" w:rsidRDefault="00E6740D" w:rsidP="00E6740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 w:rsidRPr="003E65BC">
              <w:rPr>
                <w:rFonts w:eastAsia="Times New Roman" w:cstheme="minorHAnsi"/>
                <w:color w:val="2F2B20"/>
                <w:kern w:val="24"/>
              </w:rPr>
              <w:t xml:space="preserve">One-sided </w:t>
            </w:r>
            <w:proofErr w:type="spellStart"/>
            <w:r w:rsidRPr="003E65BC">
              <w:rPr>
                <w:rFonts w:eastAsia="Times New Roman" w:cstheme="minorHAnsi"/>
                <w:color w:val="2F2B20"/>
                <w:kern w:val="24"/>
              </w:rPr>
              <w:t>FDRadj</w:t>
            </w:r>
            <w:proofErr w:type="spellEnd"/>
            <w:r w:rsidRPr="003E65BC">
              <w:rPr>
                <w:rFonts w:eastAsia="Times New Roman" w:cstheme="minorHAnsi"/>
                <w:color w:val="2F2B20"/>
                <w:kern w:val="24"/>
              </w:rPr>
              <w:t xml:space="preserve"> p-value</w:t>
            </w:r>
            <w:r w:rsidRPr="003E65BC">
              <w:rPr>
                <w:rFonts w:eastAsia="Times New Roman" w:cstheme="minorHAnsi"/>
                <w:color w:val="2F2B20"/>
                <w:kern w:val="24"/>
                <w:vertAlign w:val="superscript"/>
              </w:rPr>
              <w:t>†</w:t>
            </w:r>
            <w:r w:rsidRPr="003E65BC">
              <w:rPr>
                <w:rFonts w:eastAsia="Times New Roman" w:cstheme="minorHAnsi"/>
                <w:color w:val="2F2B20"/>
                <w:kern w:val="24"/>
              </w:rPr>
              <w:t xml:space="preserve"> for non-inferiority of 3 months therapy</w:t>
            </w:r>
          </w:p>
        </w:tc>
        <w:tc>
          <w:tcPr>
            <w:tcW w:w="1939" w:type="dxa"/>
          </w:tcPr>
          <w:p w14:paraId="574D4BC8" w14:textId="1D5CA598" w:rsidR="00E6740D" w:rsidRPr="003E65BC" w:rsidRDefault="00E6740D" w:rsidP="00E6740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 w:rsidRPr="003E65BC">
              <w:rPr>
                <w:rFonts w:eastAsia="Times New Roman" w:cstheme="minorHAnsi"/>
                <w:color w:val="2F2B20"/>
                <w:kern w:val="24"/>
              </w:rPr>
              <w:t xml:space="preserve">Two-sided </w:t>
            </w:r>
            <w:proofErr w:type="spellStart"/>
            <w:r w:rsidRPr="003E65BC">
              <w:rPr>
                <w:rFonts w:eastAsia="Times New Roman" w:cstheme="minorHAnsi"/>
                <w:color w:val="2F2B20"/>
                <w:kern w:val="24"/>
              </w:rPr>
              <w:t>FDRadj</w:t>
            </w:r>
            <w:proofErr w:type="spellEnd"/>
            <w:r w:rsidRPr="003E65BC">
              <w:rPr>
                <w:rFonts w:eastAsia="Times New Roman" w:cstheme="minorHAnsi"/>
                <w:color w:val="2F2B20"/>
                <w:kern w:val="24"/>
              </w:rPr>
              <w:t xml:space="preserve"> p-value</w:t>
            </w:r>
            <w:r w:rsidRPr="003E65BC">
              <w:rPr>
                <w:rFonts w:eastAsia="Times New Roman" w:cstheme="minorHAnsi"/>
                <w:color w:val="2F2B20"/>
                <w:kern w:val="24"/>
                <w:vertAlign w:val="superscript"/>
              </w:rPr>
              <w:t>¥</w:t>
            </w:r>
            <w:r w:rsidRPr="003E65BC">
              <w:rPr>
                <w:rFonts w:eastAsia="Times New Roman" w:cstheme="minorHAnsi"/>
                <w:color w:val="2F2B20"/>
                <w:kern w:val="24"/>
              </w:rPr>
              <w:t xml:space="preserve"> for superiority of 6 months therapy</w:t>
            </w:r>
          </w:p>
        </w:tc>
      </w:tr>
      <w:tr w:rsidR="00E6740D" w:rsidRPr="00276F54" w14:paraId="44A470C6" w14:textId="4B611CCF" w:rsidTr="00574201">
        <w:trPr>
          <w:trHeight w:val="18"/>
        </w:trPr>
        <w:tc>
          <w:tcPr>
            <w:tcW w:w="1254" w:type="dxa"/>
            <w:hideMark/>
          </w:tcPr>
          <w:p w14:paraId="2C6FC70E" w14:textId="77777777" w:rsidR="00E6740D" w:rsidRPr="00276F54" w:rsidRDefault="00E6740D" w:rsidP="00276F54">
            <w:pPr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bCs/>
                <w:color w:val="2F2B20"/>
                <w:kern w:val="24"/>
              </w:rPr>
              <w:t>Overall</w:t>
            </w:r>
          </w:p>
        </w:tc>
        <w:tc>
          <w:tcPr>
            <w:tcW w:w="1939" w:type="dxa"/>
            <w:hideMark/>
          </w:tcPr>
          <w:p w14:paraId="095B28BB" w14:textId="6DEDE065" w:rsidR="00E6740D" w:rsidRPr="00276F54" w:rsidRDefault="00E6740D" w:rsidP="00F9678C">
            <w:pPr>
              <w:jc w:val="center"/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color w:val="2F2B20"/>
                <w:kern w:val="24"/>
              </w:rPr>
              <w:t>1.08 (1.</w:t>
            </w:r>
            <w:r w:rsidR="00F9678C" w:rsidRPr="00276F54">
              <w:rPr>
                <w:rFonts w:eastAsia="Times New Roman" w:cstheme="minorHAnsi"/>
                <w:color w:val="2F2B20"/>
                <w:kern w:val="24"/>
              </w:rPr>
              <w:t>0</w:t>
            </w:r>
            <w:r w:rsidR="00F9678C">
              <w:rPr>
                <w:rFonts w:eastAsia="Times New Roman" w:cstheme="minorHAnsi"/>
                <w:color w:val="2F2B20"/>
                <w:kern w:val="24"/>
              </w:rPr>
              <w:t>2</w:t>
            </w:r>
            <w:r w:rsidR="00F9678C" w:rsidRPr="00276F54">
              <w:rPr>
                <w:rFonts w:eastAsia="Times New Roman" w:cstheme="minorHAnsi"/>
                <w:color w:val="2F2B20"/>
                <w:kern w:val="24"/>
              </w:rPr>
              <w:t xml:space="preserve"> </w:t>
            </w:r>
            <w:r w:rsidRPr="00276F54">
              <w:rPr>
                <w:rFonts w:eastAsia="Times New Roman" w:cstheme="minorHAnsi"/>
                <w:color w:val="2F2B20"/>
                <w:kern w:val="24"/>
              </w:rPr>
              <w:t>to 1.15)</w:t>
            </w:r>
          </w:p>
        </w:tc>
        <w:tc>
          <w:tcPr>
            <w:tcW w:w="1939" w:type="dxa"/>
          </w:tcPr>
          <w:p w14:paraId="09364B61" w14:textId="59C66FB6" w:rsidR="00E6740D" w:rsidRPr="00276F54" w:rsidRDefault="00F9678C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0.25</w:t>
            </w:r>
          </w:p>
        </w:tc>
        <w:tc>
          <w:tcPr>
            <w:tcW w:w="1939" w:type="dxa"/>
          </w:tcPr>
          <w:p w14:paraId="02F6799F" w14:textId="2CB87E0C" w:rsidR="00E6740D" w:rsidRDefault="00F9678C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0.044</w:t>
            </w:r>
          </w:p>
        </w:tc>
        <w:tc>
          <w:tcPr>
            <w:tcW w:w="1939" w:type="dxa"/>
          </w:tcPr>
          <w:p w14:paraId="679B1347" w14:textId="60E3672F" w:rsidR="00E6740D" w:rsidRDefault="00F9678C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1.02 (0.95-1.11)</w:t>
            </w:r>
          </w:p>
        </w:tc>
        <w:tc>
          <w:tcPr>
            <w:tcW w:w="1939" w:type="dxa"/>
          </w:tcPr>
          <w:p w14:paraId="433F8214" w14:textId="0EFA6B57" w:rsidR="00E6740D" w:rsidRDefault="00F9678C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0.058</w:t>
            </w:r>
          </w:p>
        </w:tc>
        <w:tc>
          <w:tcPr>
            <w:tcW w:w="1939" w:type="dxa"/>
          </w:tcPr>
          <w:p w14:paraId="766E19B2" w14:textId="37F4A659" w:rsidR="00E6740D" w:rsidRDefault="00F9678C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0.64</w:t>
            </w:r>
          </w:p>
        </w:tc>
      </w:tr>
      <w:tr w:rsidR="00E6740D" w:rsidRPr="00276F54" w14:paraId="135338E0" w14:textId="78DCB919" w:rsidTr="00574201">
        <w:trPr>
          <w:trHeight w:val="124"/>
        </w:trPr>
        <w:tc>
          <w:tcPr>
            <w:tcW w:w="1254" w:type="dxa"/>
            <w:hideMark/>
          </w:tcPr>
          <w:p w14:paraId="7387359E" w14:textId="77777777" w:rsidR="00E6740D" w:rsidRPr="00276F54" w:rsidRDefault="00E6740D" w:rsidP="00276F54">
            <w:pPr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bCs/>
                <w:color w:val="2F2B20"/>
                <w:kern w:val="24"/>
              </w:rPr>
              <w:t>CAPOX</w:t>
            </w:r>
          </w:p>
        </w:tc>
        <w:tc>
          <w:tcPr>
            <w:tcW w:w="1939" w:type="dxa"/>
            <w:hideMark/>
          </w:tcPr>
          <w:p w14:paraId="7B90DA23" w14:textId="6C5E4835" w:rsidR="00E6740D" w:rsidRPr="00276F54" w:rsidRDefault="00E6740D" w:rsidP="00574201">
            <w:pPr>
              <w:jc w:val="center"/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color w:val="2F2B20"/>
                <w:kern w:val="24"/>
              </w:rPr>
              <w:t>0.98 (0.88 to 1.08)</w:t>
            </w:r>
          </w:p>
        </w:tc>
        <w:tc>
          <w:tcPr>
            <w:tcW w:w="1939" w:type="dxa"/>
          </w:tcPr>
          <w:p w14:paraId="7F0D6C58" w14:textId="77777777" w:rsidR="00E6740D" w:rsidRPr="00276F54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0.027</w:t>
            </w:r>
          </w:p>
        </w:tc>
        <w:tc>
          <w:tcPr>
            <w:tcW w:w="1939" w:type="dxa"/>
          </w:tcPr>
          <w:p w14:paraId="41026115" w14:textId="77777777" w:rsidR="00E6740D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0.67</w:t>
            </w:r>
          </w:p>
        </w:tc>
        <w:tc>
          <w:tcPr>
            <w:tcW w:w="1939" w:type="dxa"/>
          </w:tcPr>
          <w:p w14:paraId="46B5E274" w14:textId="3C784562" w:rsidR="00E6740D" w:rsidRDefault="00F9678C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0.96 (0.85-1.08)</w:t>
            </w:r>
          </w:p>
        </w:tc>
        <w:tc>
          <w:tcPr>
            <w:tcW w:w="1939" w:type="dxa"/>
          </w:tcPr>
          <w:p w14:paraId="4ABD450C" w14:textId="5ED92248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0.033</w:t>
            </w:r>
          </w:p>
        </w:tc>
        <w:tc>
          <w:tcPr>
            <w:tcW w:w="1939" w:type="dxa"/>
          </w:tcPr>
          <w:p w14:paraId="5A0EAD15" w14:textId="4B051C31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0.62</w:t>
            </w:r>
          </w:p>
        </w:tc>
      </w:tr>
      <w:tr w:rsidR="00E6740D" w:rsidRPr="00276F54" w14:paraId="29D5B8C1" w14:textId="0012E2AA" w:rsidTr="00574201">
        <w:trPr>
          <w:trHeight w:val="142"/>
        </w:trPr>
        <w:tc>
          <w:tcPr>
            <w:tcW w:w="1254" w:type="dxa"/>
            <w:hideMark/>
          </w:tcPr>
          <w:p w14:paraId="7AB99F78" w14:textId="77777777" w:rsidR="00E6740D" w:rsidRPr="00276F54" w:rsidRDefault="00E6740D" w:rsidP="00276F54">
            <w:pPr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bCs/>
                <w:color w:val="2F2B20"/>
                <w:kern w:val="24"/>
              </w:rPr>
              <w:t>FOLFOX</w:t>
            </w:r>
          </w:p>
        </w:tc>
        <w:tc>
          <w:tcPr>
            <w:tcW w:w="1939" w:type="dxa"/>
            <w:hideMark/>
          </w:tcPr>
          <w:p w14:paraId="16A4204A" w14:textId="3CC85F89" w:rsidR="00E6740D" w:rsidRPr="00276F54" w:rsidRDefault="00E6740D" w:rsidP="00745F3D">
            <w:pPr>
              <w:jc w:val="center"/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color w:val="2F2B20"/>
                <w:kern w:val="24"/>
              </w:rPr>
              <w:t>1.16 (1.</w:t>
            </w:r>
            <w:r w:rsidR="00745F3D" w:rsidRPr="00276F54">
              <w:rPr>
                <w:rFonts w:eastAsia="Times New Roman" w:cstheme="minorHAnsi"/>
                <w:color w:val="2F2B20"/>
                <w:kern w:val="24"/>
              </w:rPr>
              <w:t>0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7</w:t>
            </w:r>
            <w:r w:rsidR="00745F3D" w:rsidRPr="00276F54">
              <w:rPr>
                <w:rFonts w:eastAsia="Times New Roman" w:cstheme="minorHAnsi"/>
                <w:color w:val="2F2B20"/>
                <w:kern w:val="24"/>
              </w:rPr>
              <w:t xml:space="preserve"> </w:t>
            </w:r>
            <w:r w:rsidRPr="00276F54">
              <w:rPr>
                <w:rFonts w:eastAsia="Times New Roman" w:cstheme="minorHAnsi"/>
                <w:color w:val="2F2B20"/>
                <w:kern w:val="24"/>
              </w:rPr>
              <w:t>to 1.26)</w:t>
            </w:r>
          </w:p>
        </w:tc>
        <w:tc>
          <w:tcPr>
            <w:tcW w:w="1939" w:type="dxa"/>
          </w:tcPr>
          <w:p w14:paraId="317772D4" w14:textId="6E05E80E" w:rsidR="00E6740D" w:rsidRPr="00276F54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80</w:t>
            </w:r>
          </w:p>
        </w:tc>
        <w:tc>
          <w:tcPr>
            <w:tcW w:w="1939" w:type="dxa"/>
          </w:tcPr>
          <w:p w14:paraId="4E7CEE7B" w14:textId="73A44064" w:rsidR="00E6740D" w:rsidRDefault="00E6740D" w:rsidP="00745F3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0061</w:t>
            </w:r>
          </w:p>
        </w:tc>
        <w:tc>
          <w:tcPr>
            <w:tcW w:w="1939" w:type="dxa"/>
          </w:tcPr>
          <w:p w14:paraId="6F8E33AD" w14:textId="1FB4A117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1.07 (0.97-1.18)</w:t>
            </w:r>
          </w:p>
        </w:tc>
        <w:tc>
          <w:tcPr>
            <w:tcW w:w="1939" w:type="dxa"/>
          </w:tcPr>
          <w:p w14:paraId="3D615C3A" w14:textId="6F94AD18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0.34</w:t>
            </w:r>
          </w:p>
        </w:tc>
        <w:tc>
          <w:tcPr>
            <w:tcW w:w="1939" w:type="dxa"/>
          </w:tcPr>
          <w:p w14:paraId="5B1BDF3B" w14:textId="35C16556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0.38</w:t>
            </w:r>
          </w:p>
        </w:tc>
      </w:tr>
      <w:tr w:rsidR="00E6740D" w:rsidRPr="00276F54" w14:paraId="2AE57742" w14:textId="574FC32F" w:rsidTr="00574201">
        <w:trPr>
          <w:trHeight w:val="268"/>
        </w:trPr>
        <w:tc>
          <w:tcPr>
            <w:tcW w:w="1254" w:type="dxa"/>
            <w:hideMark/>
          </w:tcPr>
          <w:p w14:paraId="071D9650" w14:textId="77777777" w:rsidR="00E6740D" w:rsidRPr="00276F54" w:rsidRDefault="00E6740D" w:rsidP="00276F54">
            <w:pPr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bCs/>
                <w:color w:val="2F2B20"/>
                <w:kern w:val="24"/>
              </w:rPr>
              <w:t>Low Risk</w:t>
            </w:r>
          </w:p>
        </w:tc>
        <w:tc>
          <w:tcPr>
            <w:tcW w:w="1939" w:type="dxa"/>
            <w:hideMark/>
          </w:tcPr>
          <w:p w14:paraId="76B0849A" w14:textId="7F473E53" w:rsidR="00E6740D" w:rsidRPr="00276F54" w:rsidRDefault="00E6740D" w:rsidP="00745F3D">
            <w:pPr>
              <w:jc w:val="center"/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color w:val="2F2B20"/>
                <w:kern w:val="24"/>
              </w:rPr>
              <w:t>1.04 (0.94 to 1.</w:t>
            </w:r>
            <w:r w:rsidR="00745F3D" w:rsidRPr="00276F54">
              <w:rPr>
                <w:rFonts w:eastAsia="Times New Roman" w:cstheme="minorHAnsi"/>
                <w:color w:val="2F2B20"/>
                <w:kern w:val="24"/>
              </w:rPr>
              <w:t>1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5</w:t>
            </w:r>
            <w:r w:rsidRPr="00276F54">
              <w:rPr>
                <w:rFonts w:eastAsia="Times New Roman" w:cstheme="minorHAnsi"/>
                <w:color w:val="2F2B20"/>
                <w:kern w:val="24"/>
              </w:rPr>
              <w:t>)</w:t>
            </w:r>
          </w:p>
        </w:tc>
        <w:tc>
          <w:tcPr>
            <w:tcW w:w="1939" w:type="dxa"/>
          </w:tcPr>
          <w:p w14:paraId="6CDBFCAE" w14:textId="6B2EFC0C" w:rsidR="00E6740D" w:rsidRPr="00276F54" w:rsidRDefault="00E6740D" w:rsidP="00745F3D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16</w:t>
            </w:r>
          </w:p>
        </w:tc>
        <w:tc>
          <w:tcPr>
            <w:tcW w:w="1939" w:type="dxa"/>
          </w:tcPr>
          <w:p w14:paraId="4E799F6A" w14:textId="048848FB" w:rsidR="00E6740D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58</w:t>
            </w:r>
          </w:p>
        </w:tc>
        <w:tc>
          <w:tcPr>
            <w:tcW w:w="1939" w:type="dxa"/>
          </w:tcPr>
          <w:p w14:paraId="29FFB95E" w14:textId="2E724247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0.95 (0.84-1.08)</w:t>
            </w:r>
          </w:p>
        </w:tc>
        <w:tc>
          <w:tcPr>
            <w:tcW w:w="1939" w:type="dxa"/>
          </w:tcPr>
          <w:p w14:paraId="52771613" w14:textId="70656340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0.033</w:t>
            </w:r>
          </w:p>
        </w:tc>
        <w:tc>
          <w:tcPr>
            <w:tcW w:w="1939" w:type="dxa"/>
          </w:tcPr>
          <w:p w14:paraId="3D96C951" w14:textId="7C9D76B2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0.58</w:t>
            </w:r>
          </w:p>
        </w:tc>
      </w:tr>
      <w:tr w:rsidR="00E6740D" w:rsidRPr="00276F54" w14:paraId="7C30B741" w14:textId="5CB61046" w:rsidTr="00574201">
        <w:trPr>
          <w:trHeight w:val="196"/>
        </w:trPr>
        <w:tc>
          <w:tcPr>
            <w:tcW w:w="1254" w:type="dxa"/>
            <w:hideMark/>
          </w:tcPr>
          <w:p w14:paraId="401CD8F9" w14:textId="77777777" w:rsidR="00E6740D" w:rsidRPr="00276F54" w:rsidRDefault="00E6740D" w:rsidP="00276F54">
            <w:pPr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bCs/>
                <w:color w:val="2F2B20"/>
                <w:kern w:val="24"/>
              </w:rPr>
              <w:t>High Risk</w:t>
            </w:r>
          </w:p>
        </w:tc>
        <w:tc>
          <w:tcPr>
            <w:tcW w:w="1939" w:type="dxa"/>
            <w:hideMark/>
          </w:tcPr>
          <w:p w14:paraId="364F6A71" w14:textId="7B6478F5" w:rsidR="00E6740D" w:rsidRPr="00276F54" w:rsidRDefault="00E6740D" w:rsidP="00574201">
            <w:pPr>
              <w:jc w:val="center"/>
              <w:rPr>
                <w:rFonts w:eastAsia="Times New Roman" w:cstheme="minorHAnsi"/>
              </w:rPr>
            </w:pPr>
            <w:r w:rsidRPr="00276F54">
              <w:rPr>
                <w:rFonts w:eastAsia="Times New Roman" w:cstheme="minorHAnsi"/>
                <w:color w:val="2F2B20"/>
                <w:kern w:val="24"/>
              </w:rPr>
              <w:t>1.1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3</w:t>
            </w:r>
            <w:r w:rsidRPr="00276F54">
              <w:rPr>
                <w:rFonts w:eastAsia="Times New Roman" w:cstheme="minorHAnsi"/>
                <w:color w:val="2F2B20"/>
                <w:kern w:val="24"/>
              </w:rPr>
              <w:t xml:space="preserve"> (1.03 to 1.22)</w:t>
            </w:r>
          </w:p>
        </w:tc>
        <w:tc>
          <w:tcPr>
            <w:tcW w:w="1939" w:type="dxa"/>
          </w:tcPr>
          <w:p w14:paraId="1FB33982" w14:textId="58813C8C" w:rsidR="00E6740D" w:rsidRPr="00276F54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0.6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3</w:t>
            </w:r>
          </w:p>
        </w:tc>
        <w:tc>
          <w:tcPr>
            <w:tcW w:w="1939" w:type="dxa"/>
          </w:tcPr>
          <w:p w14:paraId="39B1FC81" w14:textId="70FCB620" w:rsidR="00E6740D" w:rsidRDefault="00E6740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0.03</w:t>
            </w:r>
            <w:r w:rsidR="00745F3D">
              <w:rPr>
                <w:rFonts w:eastAsia="Times New Roman" w:cstheme="minorHAnsi"/>
                <w:color w:val="2F2B20"/>
                <w:kern w:val="24"/>
              </w:rPr>
              <w:t>1</w:t>
            </w:r>
          </w:p>
        </w:tc>
        <w:tc>
          <w:tcPr>
            <w:tcW w:w="1939" w:type="dxa"/>
          </w:tcPr>
          <w:p w14:paraId="4F9B4431" w14:textId="62E20151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1.08 (0.98-1.19)</w:t>
            </w:r>
          </w:p>
        </w:tc>
        <w:tc>
          <w:tcPr>
            <w:tcW w:w="1939" w:type="dxa"/>
          </w:tcPr>
          <w:p w14:paraId="1293E1D2" w14:textId="13597D42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0.39</w:t>
            </w:r>
          </w:p>
        </w:tc>
        <w:tc>
          <w:tcPr>
            <w:tcW w:w="1939" w:type="dxa"/>
          </w:tcPr>
          <w:p w14:paraId="4E4AFCD8" w14:textId="6B2717FA" w:rsidR="00E6740D" w:rsidRDefault="00745F3D" w:rsidP="00276F54">
            <w:pPr>
              <w:jc w:val="center"/>
              <w:rPr>
                <w:rFonts w:eastAsia="Times New Roman" w:cstheme="minorHAnsi"/>
                <w:color w:val="2F2B20"/>
                <w:kern w:val="24"/>
              </w:rPr>
            </w:pPr>
            <w:r>
              <w:rPr>
                <w:rFonts w:eastAsia="Times New Roman" w:cstheme="minorHAnsi"/>
                <w:color w:val="2F2B20"/>
                <w:kern w:val="24"/>
              </w:rPr>
              <w:t>0.29</w:t>
            </w:r>
          </w:p>
        </w:tc>
      </w:tr>
    </w:tbl>
    <w:p w14:paraId="73F32302" w14:textId="77777777" w:rsidR="00276F54" w:rsidRDefault="00276F54" w:rsidP="00276F54">
      <w:pPr>
        <w:spacing w:after="0" w:line="240" w:lineRule="auto"/>
      </w:pPr>
      <w:r>
        <w:t xml:space="preserve">HR denotes hazard ratio, CI confidence interval, </w:t>
      </w:r>
      <w:proofErr w:type="spellStart"/>
      <w:r>
        <w:t>FDRadj</w:t>
      </w:r>
      <w:proofErr w:type="spellEnd"/>
      <w:r>
        <w:t xml:space="preserve"> false discovery rate adjusted</w:t>
      </w:r>
      <w:r w:rsidR="00497C57">
        <w:t xml:space="preserve">, </w:t>
      </w:r>
      <w:proofErr w:type="spellStart"/>
      <w:r w:rsidR="00497C57">
        <w:t>mITT</w:t>
      </w:r>
      <w:proofErr w:type="spellEnd"/>
      <w:r w:rsidR="00497C57">
        <w:t xml:space="preserve"> modified intention-to-treat</w:t>
      </w:r>
    </w:p>
    <w:p w14:paraId="5193013B" w14:textId="77777777" w:rsidR="00276F54" w:rsidRPr="00257104" w:rsidRDefault="00276F54" w:rsidP="00276F54">
      <w:pPr>
        <w:spacing w:after="0" w:line="240" w:lineRule="auto"/>
      </w:pPr>
      <w:r>
        <w:rPr>
          <w:vertAlign w:val="superscript"/>
        </w:rPr>
        <w:t>*</w:t>
      </w:r>
      <w:r w:rsidR="00257104">
        <w:t xml:space="preserve"> T</w:t>
      </w:r>
      <w:r>
        <w:t>wo-sided 95% CI without adjustment of multicity</w:t>
      </w:r>
      <w:r w:rsidR="00257104">
        <w:t xml:space="preserve">; </w:t>
      </w:r>
      <w:r w:rsidR="00257104">
        <w:rPr>
          <w:rFonts w:cstheme="minorHAnsi"/>
          <w:vertAlign w:val="superscript"/>
        </w:rPr>
        <w:t>†</w:t>
      </w:r>
      <w:r w:rsidR="00257104">
        <w:rPr>
          <w:vertAlign w:val="superscript"/>
        </w:rPr>
        <w:t xml:space="preserve"> </w:t>
      </w:r>
      <w:r w:rsidR="00257104">
        <w:t>If the observed</w:t>
      </w:r>
      <w:r w:rsidR="00C63BE9">
        <w:t xml:space="preserve"> one-sided</w:t>
      </w:r>
      <w:r w:rsidR="00257104">
        <w:t xml:space="preserve"> </w:t>
      </w:r>
      <w:proofErr w:type="spellStart"/>
      <w:r w:rsidR="00257104">
        <w:t>FDRadj</w:t>
      </w:r>
      <w:proofErr w:type="spellEnd"/>
      <w:r w:rsidR="00257104">
        <w:t xml:space="preserve"> p-value is less than 0.025, then 3 months of therapy is declared statistically non-inferior to 6 months of therapy after adjusting for multicity.</w:t>
      </w:r>
      <w:r w:rsidR="00C15791">
        <w:t xml:space="preserve"> </w:t>
      </w:r>
      <w:r w:rsidR="00C15791">
        <w:rPr>
          <w:rFonts w:cstheme="minorHAnsi"/>
          <w:vertAlign w:val="superscript"/>
        </w:rPr>
        <w:t>¥</w:t>
      </w:r>
      <w:r w:rsidR="00C15791">
        <w:rPr>
          <w:vertAlign w:val="superscript"/>
        </w:rPr>
        <w:t xml:space="preserve"> </w:t>
      </w:r>
      <w:r w:rsidR="00C15791">
        <w:t>If the observed</w:t>
      </w:r>
      <w:r w:rsidR="00C63BE9">
        <w:t xml:space="preserve"> two-sided</w:t>
      </w:r>
      <w:r w:rsidR="00C15791">
        <w:t xml:space="preserve"> </w:t>
      </w:r>
      <w:proofErr w:type="spellStart"/>
      <w:r w:rsidR="00C15791">
        <w:t>FDRadj</w:t>
      </w:r>
      <w:proofErr w:type="spellEnd"/>
      <w:r w:rsidR="00C15791">
        <w:t xml:space="preserve"> p-value is less than 0.05, then 6 months of therapy is declared statistically superior to 3 months of therapy after adjusting for multicity.</w:t>
      </w:r>
    </w:p>
    <w:p w14:paraId="3FAB63F0" w14:textId="77777777" w:rsidR="00181517" w:rsidRDefault="00181517"/>
    <w:p w14:paraId="0FA317DE" w14:textId="35EE57FE" w:rsidR="009C799A" w:rsidRDefault="009C799A" w:rsidP="00387DEF"/>
    <w:sectPr w:rsidR="009C799A" w:rsidSect="00387DE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22CF0" w14:textId="77777777" w:rsidR="00011F5C" w:rsidRDefault="00011F5C" w:rsidP="00451627">
      <w:pPr>
        <w:spacing w:after="0" w:line="240" w:lineRule="auto"/>
      </w:pPr>
      <w:r>
        <w:separator/>
      </w:r>
    </w:p>
  </w:endnote>
  <w:endnote w:type="continuationSeparator" w:id="0">
    <w:p w14:paraId="01A50966" w14:textId="77777777" w:rsidR="00011F5C" w:rsidRDefault="00011F5C" w:rsidP="0045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984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98480" w14:textId="489EDFD1" w:rsidR="00451627" w:rsidRDefault="004516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5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7CFCEF" w14:textId="77777777" w:rsidR="00451627" w:rsidRDefault="00451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88453" w14:textId="77777777" w:rsidR="00011F5C" w:rsidRDefault="00011F5C" w:rsidP="00451627">
      <w:pPr>
        <w:spacing w:after="0" w:line="240" w:lineRule="auto"/>
      </w:pPr>
      <w:r>
        <w:separator/>
      </w:r>
    </w:p>
  </w:footnote>
  <w:footnote w:type="continuationSeparator" w:id="0">
    <w:p w14:paraId="50C0197C" w14:textId="77777777" w:rsidR="00011F5C" w:rsidRDefault="00011F5C" w:rsidP="0045162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 Thierry">
    <w15:presenceInfo w15:providerId="AD" w15:userId="S-1-5-21-3834895988-1951830915-283893654-281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E5"/>
    <w:rsid w:val="00011F5C"/>
    <w:rsid w:val="000135E1"/>
    <w:rsid w:val="000167AB"/>
    <w:rsid w:val="00034CE8"/>
    <w:rsid w:val="000B22B1"/>
    <w:rsid w:val="000E14AB"/>
    <w:rsid w:val="00142BAB"/>
    <w:rsid w:val="001529C9"/>
    <w:rsid w:val="00181517"/>
    <w:rsid w:val="001978BF"/>
    <w:rsid w:val="001A349C"/>
    <w:rsid w:val="001B0565"/>
    <w:rsid w:val="001E0484"/>
    <w:rsid w:val="00215702"/>
    <w:rsid w:val="0022117E"/>
    <w:rsid w:val="00245338"/>
    <w:rsid w:val="00257104"/>
    <w:rsid w:val="00271017"/>
    <w:rsid w:val="002752FE"/>
    <w:rsid w:val="00275D10"/>
    <w:rsid w:val="00276718"/>
    <w:rsid w:val="00276F54"/>
    <w:rsid w:val="002809B3"/>
    <w:rsid w:val="00290E03"/>
    <w:rsid w:val="00295A4A"/>
    <w:rsid w:val="002A7947"/>
    <w:rsid w:val="002B656F"/>
    <w:rsid w:val="00317D89"/>
    <w:rsid w:val="00323FCE"/>
    <w:rsid w:val="003320E9"/>
    <w:rsid w:val="00387DEF"/>
    <w:rsid w:val="003A7C39"/>
    <w:rsid w:val="003E65BC"/>
    <w:rsid w:val="00451627"/>
    <w:rsid w:val="00481950"/>
    <w:rsid w:val="00497C57"/>
    <w:rsid w:val="004B6B65"/>
    <w:rsid w:val="004D157F"/>
    <w:rsid w:val="004E02C4"/>
    <w:rsid w:val="005075B4"/>
    <w:rsid w:val="00556233"/>
    <w:rsid w:val="00574201"/>
    <w:rsid w:val="005A32E5"/>
    <w:rsid w:val="00625CF2"/>
    <w:rsid w:val="00641678"/>
    <w:rsid w:val="00660096"/>
    <w:rsid w:val="00670ECE"/>
    <w:rsid w:val="00675A1C"/>
    <w:rsid w:val="00695626"/>
    <w:rsid w:val="006A0994"/>
    <w:rsid w:val="006B70C8"/>
    <w:rsid w:val="006E0A81"/>
    <w:rsid w:val="006F40E4"/>
    <w:rsid w:val="00745F3D"/>
    <w:rsid w:val="0074629C"/>
    <w:rsid w:val="007838B7"/>
    <w:rsid w:val="007D6170"/>
    <w:rsid w:val="007F4D53"/>
    <w:rsid w:val="00801622"/>
    <w:rsid w:val="00812B9D"/>
    <w:rsid w:val="00820F01"/>
    <w:rsid w:val="008D585C"/>
    <w:rsid w:val="0090217C"/>
    <w:rsid w:val="00911F46"/>
    <w:rsid w:val="009502FA"/>
    <w:rsid w:val="009834A6"/>
    <w:rsid w:val="00990249"/>
    <w:rsid w:val="00992251"/>
    <w:rsid w:val="009A01E5"/>
    <w:rsid w:val="009C1984"/>
    <w:rsid w:val="009C799A"/>
    <w:rsid w:val="00A21784"/>
    <w:rsid w:val="00A21F27"/>
    <w:rsid w:val="00A33E8F"/>
    <w:rsid w:val="00A456FB"/>
    <w:rsid w:val="00A6349D"/>
    <w:rsid w:val="00A73EE3"/>
    <w:rsid w:val="00A84419"/>
    <w:rsid w:val="00AA0665"/>
    <w:rsid w:val="00AA11E7"/>
    <w:rsid w:val="00AB6A4A"/>
    <w:rsid w:val="00AC2DB0"/>
    <w:rsid w:val="00AD3BC0"/>
    <w:rsid w:val="00B0553B"/>
    <w:rsid w:val="00B1427B"/>
    <w:rsid w:val="00BC07B7"/>
    <w:rsid w:val="00BD27B3"/>
    <w:rsid w:val="00C02F40"/>
    <w:rsid w:val="00C15791"/>
    <w:rsid w:val="00C332A9"/>
    <w:rsid w:val="00C567BD"/>
    <w:rsid w:val="00C63BCE"/>
    <w:rsid w:val="00C63BE9"/>
    <w:rsid w:val="00C95689"/>
    <w:rsid w:val="00CB04A7"/>
    <w:rsid w:val="00CE754E"/>
    <w:rsid w:val="00D54D3F"/>
    <w:rsid w:val="00E1666F"/>
    <w:rsid w:val="00E20E16"/>
    <w:rsid w:val="00E25A8D"/>
    <w:rsid w:val="00E42756"/>
    <w:rsid w:val="00E5019F"/>
    <w:rsid w:val="00E6740D"/>
    <w:rsid w:val="00E846EB"/>
    <w:rsid w:val="00E90279"/>
    <w:rsid w:val="00E966C1"/>
    <w:rsid w:val="00EF5122"/>
    <w:rsid w:val="00F07A9A"/>
    <w:rsid w:val="00F30D21"/>
    <w:rsid w:val="00F56BFC"/>
    <w:rsid w:val="00F61F4B"/>
    <w:rsid w:val="00F9678C"/>
    <w:rsid w:val="00FB6495"/>
    <w:rsid w:val="00FC09CA"/>
    <w:rsid w:val="00FC38E7"/>
    <w:rsid w:val="00FE5883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D8E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27"/>
  </w:style>
  <w:style w:type="paragraph" w:styleId="Footer">
    <w:name w:val="footer"/>
    <w:basedOn w:val="Normal"/>
    <w:link w:val="FooterChar"/>
    <w:uiPriority w:val="99"/>
    <w:unhideWhenUsed/>
    <w:rsid w:val="0045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27"/>
  </w:style>
  <w:style w:type="character" w:styleId="CommentReference">
    <w:name w:val="annotation reference"/>
    <w:basedOn w:val="DefaultParagraphFont"/>
    <w:uiPriority w:val="99"/>
    <w:semiHidden/>
    <w:unhideWhenUsed/>
    <w:rsid w:val="00C56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7B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6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27"/>
  </w:style>
  <w:style w:type="paragraph" w:styleId="Footer">
    <w:name w:val="footer"/>
    <w:basedOn w:val="Normal"/>
    <w:link w:val="FooterChar"/>
    <w:uiPriority w:val="99"/>
    <w:unhideWhenUsed/>
    <w:rsid w:val="0045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27"/>
  </w:style>
  <w:style w:type="character" w:styleId="CommentReference">
    <w:name w:val="annotation reference"/>
    <w:basedOn w:val="DefaultParagraphFont"/>
    <w:uiPriority w:val="99"/>
    <w:semiHidden/>
    <w:unhideWhenUsed/>
    <w:rsid w:val="00C56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7B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6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Shi, Qian, Ph.D.</dc:creator>
  <cp:lastModifiedBy>Shi, Qian, Ph.D.</cp:lastModifiedBy>
  <cp:revision>92</cp:revision>
  <dcterms:created xsi:type="dcterms:W3CDTF">2020-04-10T15:40:00Z</dcterms:created>
  <dcterms:modified xsi:type="dcterms:W3CDTF">2020-08-05T19:23:00Z</dcterms:modified>
</cp:coreProperties>
</file>