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3EA2D" w14:textId="2F66028B" w:rsidR="009F5272" w:rsidRPr="004F6EAB" w:rsidRDefault="00A47AB9" w:rsidP="00233D4C">
      <w:pPr>
        <w:suppressLineNumbers/>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Associations</w:t>
      </w:r>
      <w:r w:rsidRPr="004F6EAB">
        <w:rPr>
          <w:rFonts w:ascii="Times New Roman" w:hAnsi="Times New Roman" w:cs="Times New Roman"/>
          <w:b/>
          <w:bCs/>
          <w:sz w:val="24"/>
          <w:szCs w:val="24"/>
          <w:lang w:val="en-GB"/>
        </w:rPr>
        <w:t xml:space="preserve"> </w:t>
      </w:r>
      <w:r w:rsidR="009F5272" w:rsidRPr="004F6EAB">
        <w:rPr>
          <w:rFonts w:ascii="Times New Roman" w:hAnsi="Times New Roman" w:cs="Times New Roman"/>
          <w:b/>
          <w:bCs/>
          <w:sz w:val="24"/>
          <w:szCs w:val="24"/>
          <w:lang w:val="en-GB"/>
        </w:rPr>
        <w:t xml:space="preserve">of maternal dietary inflammatory potential and quality </w:t>
      </w:r>
      <w:r w:rsidR="0005123B">
        <w:rPr>
          <w:rFonts w:ascii="Times New Roman" w:hAnsi="Times New Roman" w:cs="Times New Roman"/>
          <w:b/>
          <w:bCs/>
          <w:sz w:val="24"/>
          <w:szCs w:val="24"/>
          <w:lang w:val="en-GB"/>
        </w:rPr>
        <w:t xml:space="preserve">with </w:t>
      </w:r>
      <w:r w:rsidR="009F5272" w:rsidRPr="004F6EAB">
        <w:rPr>
          <w:rFonts w:ascii="Times New Roman" w:hAnsi="Times New Roman" w:cs="Times New Roman"/>
          <w:b/>
          <w:bCs/>
          <w:sz w:val="24"/>
          <w:szCs w:val="24"/>
          <w:lang w:val="en-GB"/>
        </w:rPr>
        <w:t>offspring birth outcomes: a</w:t>
      </w:r>
      <w:r w:rsidR="005E4A27" w:rsidRPr="004F6EAB">
        <w:rPr>
          <w:rFonts w:ascii="Times New Roman" w:hAnsi="Times New Roman" w:cs="Times New Roman"/>
          <w:b/>
          <w:bCs/>
          <w:sz w:val="24"/>
          <w:szCs w:val="24"/>
          <w:lang w:val="en-GB"/>
        </w:rPr>
        <w:t>n i</w:t>
      </w:r>
      <w:r w:rsidR="001B152A" w:rsidRPr="004F6EAB">
        <w:rPr>
          <w:rFonts w:ascii="Times New Roman" w:hAnsi="Times New Roman" w:cs="Times New Roman"/>
          <w:b/>
          <w:bCs/>
          <w:sz w:val="24"/>
          <w:szCs w:val="24"/>
          <w:lang w:val="en-GB"/>
        </w:rPr>
        <w:t xml:space="preserve">ndividual participant data pooled </w:t>
      </w:r>
      <w:r w:rsidR="005E4A27" w:rsidRPr="004F6EAB">
        <w:rPr>
          <w:rFonts w:ascii="Times New Roman" w:hAnsi="Times New Roman" w:cs="Times New Roman"/>
          <w:b/>
          <w:bCs/>
          <w:sz w:val="24"/>
          <w:szCs w:val="24"/>
          <w:lang w:val="en-GB"/>
        </w:rPr>
        <w:t xml:space="preserve">analysis </w:t>
      </w:r>
      <w:r w:rsidR="009F5272" w:rsidRPr="004F6EAB">
        <w:rPr>
          <w:rFonts w:ascii="Times New Roman" w:hAnsi="Times New Roman" w:cs="Times New Roman"/>
          <w:b/>
          <w:bCs/>
          <w:sz w:val="24"/>
          <w:szCs w:val="24"/>
          <w:lang w:val="en-GB"/>
        </w:rPr>
        <w:t>of 7 European cohorts in the ALPHABET consortium</w:t>
      </w:r>
    </w:p>
    <w:p w14:paraId="76DB8A60" w14:textId="77777777" w:rsidR="009F5272" w:rsidRPr="004F6EAB" w:rsidRDefault="009F5272" w:rsidP="00233D4C">
      <w:pPr>
        <w:suppressLineNumbers/>
        <w:spacing w:line="480" w:lineRule="auto"/>
        <w:rPr>
          <w:rFonts w:ascii="Times New Roman" w:hAnsi="Times New Roman" w:cs="Times New Roman"/>
          <w:b/>
          <w:bCs/>
          <w:sz w:val="24"/>
          <w:szCs w:val="24"/>
          <w:lang w:val="en-GB"/>
        </w:rPr>
      </w:pPr>
    </w:p>
    <w:p w14:paraId="5F587065" w14:textId="4A9C7268" w:rsidR="009F5272" w:rsidRPr="004F6EAB" w:rsidRDefault="00E3377A" w:rsidP="00233D4C">
      <w:pPr>
        <w:suppressLineNumbers/>
        <w:spacing w:line="480" w:lineRule="auto"/>
        <w:rPr>
          <w:rFonts w:ascii="Times New Roman" w:hAnsi="Times New Roman" w:cs="Times New Roman"/>
          <w:bCs/>
          <w:sz w:val="24"/>
          <w:szCs w:val="24"/>
          <w:lang w:val="en-AU"/>
        </w:rPr>
      </w:pPr>
      <w:r w:rsidRPr="004F6EAB">
        <w:rPr>
          <w:rFonts w:ascii="Times New Roman" w:hAnsi="Times New Roman" w:cs="Times New Roman"/>
          <w:bCs/>
          <w:sz w:val="24"/>
          <w:szCs w:val="24"/>
          <w:lang w:val="en-GB"/>
        </w:rPr>
        <w:t>Ling-Wei Chen</w:t>
      </w:r>
      <w:r w:rsidRPr="004F6EAB">
        <w:rPr>
          <w:rFonts w:ascii="Times New Roman" w:hAnsi="Times New Roman" w:cs="Times New Roman"/>
          <w:bCs/>
          <w:sz w:val="24"/>
          <w:szCs w:val="24"/>
          <w:vertAlign w:val="superscript"/>
          <w:lang w:val="en-AU"/>
        </w:rPr>
        <w:t>1,*</w:t>
      </w:r>
      <w:r w:rsidR="00EE4C66">
        <w:rPr>
          <w:rFonts w:ascii="Times New Roman" w:hAnsi="Times New Roman" w:cs="Times New Roman"/>
          <w:bCs/>
          <w:sz w:val="24"/>
          <w:szCs w:val="24"/>
          <w:lang w:val="en-AU"/>
        </w:rPr>
        <w:t>(</w:t>
      </w:r>
      <w:hyperlink r:id="rId8" w:history="1">
        <w:r w:rsidR="00EE4C66" w:rsidRPr="004F6EAB">
          <w:rPr>
            <w:rStyle w:val="Hyperlink"/>
            <w:rFonts w:ascii="Times New Roman" w:hAnsi="Times New Roman" w:cs="Times New Roman"/>
            <w:bCs/>
            <w:color w:val="auto"/>
            <w:sz w:val="24"/>
            <w:szCs w:val="24"/>
            <w:lang w:val="en-US"/>
          </w:rPr>
          <w:t>ling-wei.chen@ucd.ie</w:t>
        </w:r>
      </w:hyperlink>
      <w:r w:rsidR="00EE4C66">
        <w:rPr>
          <w:rStyle w:val="Hyperlink"/>
          <w:rFonts w:ascii="Times New Roman" w:hAnsi="Times New Roman" w:cs="Times New Roman"/>
          <w:bCs/>
          <w:color w:val="auto"/>
          <w:sz w:val="24"/>
          <w:szCs w:val="24"/>
          <w:lang w:val="en-US"/>
        </w:rPr>
        <w:t>)</w:t>
      </w:r>
      <w:r w:rsidRPr="004F6EAB">
        <w:rPr>
          <w:rFonts w:ascii="Times New Roman" w:hAnsi="Times New Roman" w:cs="Times New Roman"/>
          <w:bCs/>
          <w:sz w:val="24"/>
          <w:szCs w:val="24"/>
          <w:lang w:val="en-AU"/>
        </w:rPr>
        <w:t>, Adrien M Aubert</w:t>
      </w:r>
      <w:r w:rsidRPr="004F6EAB">
        <w:rPr>
          <w:rFonts w:ascii="Times New Roman" w:hAnsi="Times New Roman" w:cs="Times New Roman"/>
          <w:bCs/>
          <w:sz w:val="24"/>
          <w:szCs w:val="24"/>
          <w:vertAlign w:val="superscript"/>
          <w:lang w:val="en-AU"/>
        </w:rPr>
        <w:t>2</w:t>
      </w:r>
      <w:r w:rsidRPr="004F6EAB">
        <w:rPr>
          <w:rFonts w:ascii="Times New Roman" w:hAnsi="Times New Roman" w:cs="Times New Roman"/>
          <w:bCs/>
          <w:sz w:val="24"/>
          <w:szCs w:val="24"/>
          <w:lang w:val="en-AU"/>
        </w:rPr>
        <w:t>, Nitin Shivappa</w:t>
      </w:r>
      <w:r w:rsidRPr="004F6EAB">
        <w:rPr>
          <w:rFonts w:ascii="Times New Roman" w:hAnsi="Times New Roman" w:cs="Times New Roman"/>
          <w:bCs/>
          <w:sz w:val="24"/>
          <w:szCs w:val="24"/>
          <w:vertAlign w:val="superscript"/>
          <w:lang w:val="en-AU"/>
        </w:rPr>
        <w:t xml:space="preserve"> 3,4</w:t>
      </w:r>
      <w:r w:rsidRPr="004F6EAB">
        <w:rPr>
          <w:rFonts w:ascii="Times New Roman" w:hAnsi="Times New Roman" w:cs="Times New Roman"/>
          <w:bCs/>
          <w:sz w:val="24"/>
          <w:szCs w:val="24"/>
          <w:lang w:val="en-AU"/>
        </w:rPr>
        <w:t>, Jonathan Y Bernard</w:t>
      </w:r>
      <w:r w:rsidRPr="004F6EAB">
        <w:rPr>
          <w:rFonts w:ascii="Times New Roman" w:hAnsi="Times New Roman" w:cs="Times New Roman"/>
          <w:bCs/>
          <w:sz w:val="24"/>
          <w:szCs w:val="24"/>
          <w:vertAlign w:val="superscript"/>
          <w:lang w:val="en-AU"/>
        </w:rPr>
        <w:t xml:space="preserve"> 2,5</w:t>
      </w:r>
      <w:r w:rsidRPr="004F6EAB">
        <w:rPr>
          <w:rFonts w:ascii="Times New Roman" w:hAnsi="Times New Roman" w:cs="Times New Roman"/>
          <w:bCs/>
          <w:sz w:val="24"/>
          <w:szCs w:val="24"/>
          <w:lang w:val="en-AU"/>
        </w:rPr>
        <w:t>, Sara M Mensink-Bout</w:t>
      </w:r>
      <w:r w:rsidRPr="004F6EAB">
        <w:rPr>
          <w:rFonts w:ascii="Times New Roman" w:hAnsi="Times New Roman" w:cs="Times New Roman"/>
          <w:bCs/>
          <w:sz w:val="24"/>
          <w:szCs w:val="24"/>
          <w:vertAlign w:val="superscript"/>
          <w:lang w:val="en-AU"/>
        </w:rPr>
        <w:t>6,7</w:t>
      </w:r>
      <w:r w:rsidRPr="004F6EAB">
        <w:rPr>
          <w:rFonts w:ascii="Times New Roman" w:hAnsi="Times New Roman" w:cs="Times New Roman"/>
          <w:bCs/>
          <w:sz w:val="24"/>
          <w:szCs w:val="24"/>
          <w:lang w:val="en-AU"/>
        </w:rPr>
        <w:t>, Aisling A Geraghty</w:t>
      </w:r>
      <w:r w:rsidRPr="004F6EAB">
        <w:rPr>
          <w:rFonts w:ascii="Times New Roman" w:hAnsi="Times New Roman" w:cs="Times New Roman"/>
          <w:bCs/>
          <w:sz w:val="24"/>
          <w:szCs w:val="24"/>
          <w:vertAlign w:val="superscript"/>
          <w:lang w:val="en-AU"/>
        </w:rPr>
        <w:t>8</w:t>
      </w:r>
      <w:r w:rsidRPr="004F6EAB">
        <w:rPr>
          <w:rFonts w:ascii="Times New Roman" w:hAnsi="Times New Roman" w:cs="Times New Roman"/>
          <w:bCs/>
          <w:sz w:val="24"/>
          <w:szCs w:val="24"/>
          <w:lang w:val="en-AU"/>
        </w:rPr>
        <w:t>, John Mehegan</w:t>
      </w:r>
      <w:r w:rsidRPr="004F6EAB">
        <w:rPr>
          <w:rFonts w:ascii="Times New Roman" w:hAnsi="Times New Roman" w:cs="Times New Roman"/>
          <w:bCs/>
          <w:sz w:val="24"/>
          <w:szCs w:val="24"/>
          <w:vertAlign w:val="superscript"/>
          <w:lang w:val="en-AU"/>
        </w:rPr>
        <w:t>1</w:t>
      </w:r>
      <w:r w:rsidRPr="004F6EAB">
        <w:rPr>
          <w:rFonts w:ascii="Times New Roman" w:hAnsi="Times New Roman" w:cs="Times New Roman"/>
          <w:bCs/>
          <w:sz w:val="24"/>
          <w:szCs w:val="24"/>
          <w:lang w:val="en-AU"/>
        </w:rPr>
        <w:t>, Matthew Suderman</w:t>
      </w:r>
      <w:r w:rsidRPr="004F6EAB">
        <w:rPr>
          <w:rFonts w:ascii="Times New Roman" w:hAnsi="Times New Roman" w:cs="Times New Roman"/>
          <w:bCs/>
          <w:sz w:val="24"/>
          <w:szCs w:val="24"/>
          <w:vertAlign w:val="superscript"/>
          <w:lang w:val="en-AU"/>
        </w:rPr>
        <w:t>9</w:t>
      </w:r>
      <w:r w:rsidRPr="004F6EAB">
        <w:rPr>
          <w:rFonts w:ascii="Times New Roman" w:hAnsi="Times New Roman" w:cs="Times New Roman"/>
          <w:bCs/>
          <w:sz w:val="24"/>
          <w:szCs w:val="24"/>
          <w:lang w:val="en-AU"/>
        </w:rPr>
        <w:t>, Kinga Polanska</w:t>
      </w:r>
      <w:r w:rsidRPr="004F6EAB">
        <w:rPr>
          <w:rFonts w:ascii="Times New Roman" w:hAnsi="Times New Roman" w:cs="Times New Roman"/>
          <w:bCs/>
          <w:sz w:val="24"/>
          <w:szCs w:val="24"/>
          <w:vertAlign w:val="superscript"/>
          <w:lang w:val="en-AU"/>
        </w:rPr>
        <w:t>10</w:t>
      </w:r>
      <w:r w:rsidRPr="004F6EAB">
        <w:rPr>
          <w:rFonts w:ascii="Times New Roman" w:hAnsi="Times New Roman" w:cs="Times New Roman"/>
          <w:bCs/>
          <w:sz w:val="24"/>
          <w:szCs w:val="24"/>
          <w:lang w:val="en-AU"/>
        </w:rPr>
        <w:t>, Wojciech Hanke</w:t>
      </w:r>
      <w:r w:rsidRPr="004F6EAB">
        <w:rPr>
          <w:rFonts w:ascii="Times New Roman" w:hAnsi="Times New Roman" w:cs="Times New Roman"/>
          <w:bCs/>
          <w:sz w:val="24"/>
          <w:szCs w:val="24"/>
          <w:vertAlign w:val="superscript"/>
          <w:lang w:val="en-AU"/>
        </w:rPr>
        <w:t>10</w:t>
      </w:r>
      <w:r w:rsidRPr="004F6EAB">
        <w:rPr>
          <w:rFonts w:ascii="Times New Roman" w:hAnsi="Times New Roman" w:cs="Times New Roman"/>
          <w:bCs/>
          <w:sz w:val="24"/>
          <w:szCs w:val="24"/>
          <w:lang w:val="en-AU"/>
        </w:rPr>
        <w:t xml:space="preserve">, </w:t>
      </w:r>
      <w:proofErr w:type="spellStart"/>
      <w:r w:rsidRPr="004F6EAB">
        <w:rPr>
          <w:rFonts w:ascii="Times New Roman" w:hAnsi="Times New Roman" w:cs="Times New Roman"/>
          <w:bCs/>
          <w:sz w:val="24"/>
          <w:szCs w:val="24"/>
          <w:lang w:val="en-AU"/>
        </w:rPr>
        <w:t>Elzbieta</w:t>
      </w:r>
      <w:proofErr w:type="spellEnd"/>
      <w:r w:rsidRPr="004F6EAB">
        <w:rPr>
          <w:rFonts w:ascii="Times New Roman" w:hAnsi="Times New Roman" w:cs="Times New Roman"/>
          <w:bCs/>
          <w:sz w:val="24"/>
          <w:szCs w:val="24"/>
          <w:lang w:val="en-AU"/>
        </w:rPr>
        <w:t xml:space="preserve"> Trafalska</w:t>
      </w:r>
      <w:r w:rsidRPr="004F6EAB">
        <w:rPr>
          <w:rFonts w:ascii="Times New Roman" w:hAnsi="Times New Roman" w:cs="Times New Roman"/>
          <w:bCs/>
          <w:sz w:val="24"/>
          <w:szCs w:val="24"/>
          <w:vertAlign w:val="superscript"/>
          <w:lang w:val="en-AU"/>
        </w:rPr>
        <w:t>11</w:t>
      </w:r>
      <w:r w:rsidRPr="004F6EAB">
        <w:rPr>
          <w:rFonts w:ascii="Times New Roman" w:hAnsi="Times New Roman" w:cs="Times New Roman"/>
          <w:bCs/>
          <w:sz w:val="24"/>
          <w:szCs w:val="24"/>
          <w:lang w:val="en-AU"/>
        </w:rPr>
        <w:t>, Caroline L Relton</w:t>
      </w:r>
      <w:r w:rsidRPr="004F6EAB">
        <w:rPr>
          <w:rFonts w:ascii="Times New Roman" w:hAnsi="Times New Roman" w:cs="Times New Roman"/>
          <w:bCs/>
          <w:sz w:val="24"/>
          <w:szCs w:val="24"/>
          <w:vertAlign w:val="superscript"/>
          <w:lang w:val="en-AU"/>
        </w:rPr>
        <w:t>9</w:t>
      </w:r>
      <w:r w:rsidRPr="004F6EAB">
        <w:rPr>
          <w:rFonts w:ascii="Times New Roman" w:hAnsi="Times New Roman" w:cs="Times New Roman"/>
          <w:bCs/>
          <w:sz w:val="24"/>
          <w:szCs w:val="24"/>
          <w:lang w:val="en-AU"/>
        </w:rPr>
        <w:t>, Sarah R Crozier</w:t>
      </w:r>
      <w:r w:rsidRPr="004F6EAB">
        <w:rPr>
          <w:rFonts w:ascii="Times New Roman" w:hAnsi="Times New Roman" w:cs="Times New Roman"/>
          <w:bCs/>
          <w:sz w:val="24"/>
          <w:szCs w:val="24"/>
          <w:vertAlign w:val="superscript"/>
          <w:lang w:val="en-AU"/>
        </w:rPr>
        <w:t>12</w:t>
      </w:r>
      <w:r w:rsidRPr="004F6EAB">
        <w:rPr>
          <w:rFonts w:ascii="Times New Roman" w:hAnsi="Times New Roman" w:cs="Times New Roman"/>
          <w:bCs/>
          <w:sz w:val="24"/>
          <w:szCs w:val="24"/>
          <w:lang w:val="en-AU"/>
        </w:rPr>
        <w:t>, Nicholas C Harvey</w:t>
      </w:r>
      <w:r w:rsidRPr="004F6EAB">
        <w:rPr>
          <w:rFonts w:ascii="Times New Roman" w:hAnsi="Times New Roman" w:cs="Times New Roman"/>
          <w:bCs/>
          <w:sz w:val="24"/>
          <w:szCs w:val="24"/>
          <w:vertAlign w:val="superscript"/>
          <w:lang w:val="en-AU"/>
        </w:rPr>
        <w:t>12</w:t>
      </w:r>
      <w:r w:rsidRPr="004F6EAB">
        <w:rPr>
          <w:rFonts w:ascii="Times New Roman" w:hAnsi="Times New Roman" w:cs="Times New Roman"/>
          <w:bCs/>
          <w:sz w:val="24"/>
          <w:szCs w:val="24"/>
          <w:lang w:val="en-AU"/>
        </w:rPr>
        <w:t>, Cyrus Cooper</w:t>
      </w:r>
      <w:r w:rsidRPr="004F6EAB">
        <w:rPr>
          <w:rFonts w:ascii="Times New Roman" w:hAnsi="Times New Roman" w:cs="Times New Roman"/>
          <w:bCs/>
          <w:sz w:val="24"/>
          <w:szCs w:val="24"/>
          <w:vertAlign w:val="superscript"/>
          <w:lang w:val="en-AU"/>
        </w:rPr>
        <w:t>12</w:t>
      </w:r>
      <w:r w:rsidRPr="004F6EAB">
        <w:rPr>
          <w:rFonts w:ascii="Times New Roman" w:hAnsi="Times New Roman" w:cs="Times New Roman"/>
          <w:bCs/>
          <w:sz w:val="24"/>
          <w:szCs w:val="24"/>
          <w:lang w:val="en-AU"/>
        </w:rPr>
        <w:t xml:space="preserve">, </w:t>
      </w:r>
      <w:proofErr w:type="spellStart"/>
      <w:r w:rsidRPr="004F6EAB">
        <w:rPr>
          <w:rFonts w:ascii="Times New Roman" w:hAnsi="Times New Roman" w:cs="Times New Roman"/>
          <w:bCs/>
          <w:sz w:val="24"/>
          <w:szCs w:val="24"/>
          <w:lang w:val="en-AU"/>
        </w:rPr>
        <w:t>Liesbeth</w:t>
      </w:r>
      <w:proofErr w:type="spellEnd"/>
      <w:r w:rsidRPr="004F6EAB">
        <w:rPr>
          <w:rFonts w:ascii="Times New Roman" w:hAnsi="Times New Roman" w:cs="Times New Roman"/>
          <w:bCs/>
          <w:sz w:val="24"/>
          <w:szCs w:val="24"/>
          <w:lang w:val="en-AU"/>
        </w:rPr>
        <w:t xml:space="preserve"> Duijts</w:t>
      </w:r>
      <w:r w:rsidRPr="004F6EAB">
        <w:rPr>
          <w:rFonts w:ascii="Times New Roman" w:hAnsi="Times New Roman" w:cs="Times New Roman"/>
          <w:bCs/>
          <w:sz w:val="24"/>
          <w:szCs w:val="24"/>
          <w:vertAlign w:val="superscript"/>
          <w:lang w:val="en-AU"/>
        </w:rPr>
        <w:t>6,7,13</w:t>
      </w:r>
      <w:r w:rsidRPr="004F6EAB">
        <w:rPr>
          <w:rFonts w:ascii="Times New Roman" w:hAnsi="Times New Roman" w:cs="Times New Roman"/>
          <w:bCs/>
          <w:sz w:val="24"/>
          <w:szCs w:val="24"/>
          <w:lang w:val="en-AU"/>
        </w:rPr>
        <w:t>, Barbara Heude</w:t>
      </w:r>
      <w:r w:rsidRPr="004F6EAB">
        <w:rPr>
          <w:rFonts w:ascii="Times New Roman" w:hAnsi="Times New Roman" w:cs="Times New Roman"/>
          <w:bCs/>
          <w:sz w:val="24"/>
          <w:szCs w:val="24"/>
          <w:vertAlign w:val="superscript"/>
          <w:lang w:val="en-AU"/>
        </w:rPr>
        <w:t>2</w:t>
      </w:r>
      <w:r w:rsidRPr="004F6EAB">
        <w:rPr>
          <w:rFonts w:ascii="Times New Roman" w:hAnsi="Times New Roman" w:cs="Times New Roman"/>
          <w:bCs/>
          <w:sz w:val="24"/>
          <w:szCs w:val="24"/>
          <w:lang w:val="en-AU"/>
        </w:rPr>
        <w:t>, James R Hébert</w:t>
      </w:r>
      <w:r w:rsidRPr="004F6EAB">
        <w:rPr>
          <w:rFonts w:ascii="Times New Roman" w:hAnsi="Times New Roman" w:cs="Times New Roman"/>
          <w:bCs/>
          <w:sz w:val="24"/>
          <w:szCs w:val="24"/>
          <w:vertAlign w:val="superscript"/>
          <w:lang w:val="en-AU"/>
        </w:rPr>
        <w:t>3,4</w:t>
      </w:r>
      <w:r w:rsidRPr="004F6EAB">
        <w:rPr>
          <w:rFonts w:ascii="Times New Roman" w:hAnsi="Times New Roman" w:cs="Times New Roman"/>
          <w:bCs/>
          <w:sz w:val="24"/>
          <w:szCs w:val="24"/>
          <w:lang w:val="en-AU"/>
        </w:rPr>
        <w:t xml:space="preserve">, </w:t>
      </w:r>
      <w:proofErr w:type="spellStart"/>
      <w:r w:rsidRPr="004F6EAB">
        <w:rPr>
          <w:rFonts w:ascii="Times New Roman" w:hAnsi="Times New Roman" w:cs="Times New Roman"/>
          <w:bCs/>
          <w:sz w:val="24"/>
          <w:szCs w:val="24"/>
          <w:lang w:val="en-AU"/>
        </w:rPr>
        <w:t>Fionnuala</w:t>
      </w:r>
      <w:proofErr w:type="spellEnd"/>
      <w:r w:rsidRPr="004F6EAB">
        <w:rPr>
          <w:rFonts w:ascii="Times New Roman" w:hAnsi="Times New Roman" w:cs="Times New Roman"/>
          <w:bCs/>
          <w:sz w:val="24"/>
          <w:szCs w:val="24"/>
          <w:lang w:val="en-AU"/>
        </w:rPr>
        <w:t xml:space="preserve"> M McAuliffe</w:t>
      </w:r>
      <w:r w:rsidRPr="004F6EAB">
        <w:rPr>
          <w:rFonts w:ascii="Times New Roman" w:hAnsi="Times New Roman" w:cs="Times New Roman"/>
          <w:bCs/>
          <w:sz w:val="24"/>
          <w:szCs w:val="24"/>
          <w:vertAlign w:val="superscript"/>
          <w:lang w:val="en-AU"/>
        </w:rPr>
        <w:t>8</w:t>
      </w:r>
      <w:r w:rsidRPr="004F6EAB">
        <w:rPr>
          <w:rFonts w:ascii="Times New Roman" w:hAnsi="Times New Roman" w:cs="Times New Roman"/>
          <w:bCs/>
          <w:sz w:val="24"/>
          <w:szCs w:val="24"/>
          <w:lang w:val="en-AU"/>
        </w:rPr>
        <w:t>,</w:t>
      </w:r>
      <w:r w:rsidRPr="004F6EAB">
        <w:rPr>
          <w:rFonts w:ascii="Times New Roman" w:hAnsi="Times New Roman" w:cs="Times New Roman"/>
          <w:bCs/>
          <w:sz w:val="24"/>
          <w:szCs w:val="24"/>
          <w:vertAlign w:val="superscript"/>
          <w:lang w:val="en-AU"/>
        </w:rPr>
        <w:t xml:space="preserve"> </w:t>
      </w:r>
      <w:r w:rsidRPr="004F6EAB">
        <w:rPr>
          <w:rFonts w:ascii="Times New Roman" w:hAnsi="Times New Roman" w:cs="Times New Roman"/>
          <w:bCs/>
          <w:sz w:val="24"/>
          <w:szCs w:val="24"/>
          <w:lang w:val="en-AU"/>
        </w:rPr>
        <w:t>Cecily C Kelleher</w:t>
      </w:r>
      <w:r w:rsidRPr="004F6EAB">
        <w:rPr>
          <w:rFonts w:ascii="Times New Roman" w:hAnsi="Times New Roman" w:cs="Times New Roman"/>
          <w:bCs/>
          <w:sz w:val="24"/>
          <w:szCs w:val="24"/>
          <w:vertAlign w:val="superscript"/>
          <w:lang w:val="en-AU"/>
        </w:rPr>
        <w:t>1</w:t>
      </w:r>
      <w:r w:rsidRPr="004F6EAB">
        <w:rPr>
          <w:rFonts w:ascii="Times New Roman" w:hAnsi="Times New Roman" w:cs="Times New Roman"/>
          <w:bCs/>
          <w:sz w:val="24"/>
          <w:szCs w:val="24"/>
          <w:lang w:val="en-AU"/>
        </w:rPr>
        <w:t xml:space="preserve">, </w:t>
      </w:r>
      <w:bookmarkStart w:id="0" w:name="_GoBack"/>
      <w:r w:rsidRPr="004F6EAB">
        <w:rPr>
          <w:rFonts w:ascii="Times New Roman" w:hAnsi="Times New Roman" w:cs="Times New Roman"/>
          <w:bCs/>
          <w:sz w:val="24"/>
          <w:szCs w:val="24"/>
          <w:lang w:val="en-AU"/>
        </w:rPr>
        <w:t>Catherine M Phillips</w:t>
      </w:r>
      <w:bookmarkEnd w:id="0"/>
      <w:r w:rsidRPr="004F6EAB">
        <w:rPr>
          <w:rFonts w:ascii="Times New Roman" w:hAnsi="Times New Roman" w:cs="Times New Roman"/>
          <w:bCs/>
          <w:sz w:val="24"/>
          <w:szCs w:val="24"/>
          <w:vertAlign w:val="superscript"/>
          <w:lang w:val="en-AU"/>
        </w:rPr>
        <w:t>1, *</w:t>
      </w:r>
      <w:r w:rsidR="00EE4C66">
        <w:rPr>
          <w:rFonts w:ascii="Times New Roman" w:hAnsi="Times New Roman" w:cs="Times New Roman"/>
          <w:bCs/>
          <w:sz w:val="24"/>
          <w:szCs w:val="24"/>
          <w:lang w:val="en-AU"/>
        </w:rPr>
        <w:t>(</w:t>
      </w:r>
      <w:hyperlink r:id="rId9" w:history="1">
        <w:r w:rsidR="00EE4C66" w:rsidRPr="004F6EAB">
          <w:rPr>
            <w:rStyle w:val="Hyperlink"/>
            <w:rFonts w:ascii="Times New Roman" w:hAnsi="Times New Roman" w:cs="Times New Roman"/>
            <w:color w:val="auto"/>
            <w:sz w:val="24"/>
            <w:szCs w:val="24"/>
          </w:rPr>
          <w:t>catherine.phillips@ucd.ie</w:t>
        </w:r>
      </w:hyperlink>
      <w:r w:rsidR="00EE4C66">
        <w:rPr>
          <w:rStyle w:val="Hyperlink"/>
          <w:rFonts w:ascii="Times New Roman" w:hAnsi="Times New Roman" w:cs="Times New Roman"/>
          <w:color w:val="auto"/>
          <w:sz w:val="24"/>
          <w:szCs w:val="24"/>
        </w:rPr>
        <w:t>)</w:t>
      </w:r>
      <w:r w:rsidR="009F5272" w:rsidRPr="004F6EAB">
        <w:rPr>
          <w:rFonts w:ascii="Times New Roman" w:hAnsi="Times New Roman" w:cs="Times New Roman"/>
          <w:bCs/>
          <w:sz w:val="24"/>
          <w:szCs w:val="24"/>
          <w:lang w:val="en-AU"/>
        </w:rPr>
        <w:br/>
      </w:r>
    </w:p>
    <w:p w14:paraId="5EDCC5B4" w14:textId="5CED4378" w:rsidR="009F5272" w:rsidRPr="004F6EAB" w:rsidRDefault="009F5272" w:rsidP="00233D4C">
      <w:pPr>
        <w:suppressLineNumbers/>
        <w:spacing w:after="0" w:line="480" w:lineRule="auto"/>
        <w:rPr>
          <w:rFonts w:ascii="Times New Roman" w:hAnsi="Times New Roman" w:cs="Times New Roman"/>
          <w:bCs/>
          <w:sz w:val="24"/>
          <w:szCs w:val="24"/>
        </w:rPr>
      </w:pPr>
      <w:r w:rsidRPr="004F6EAB">
        <w:rPr>
          <w:rFonts w:ascii="Times New Roman" w:hAnsi="Times New Roman" w:cs="Times New Roman"/>
          <w:bCs/>
          <w:sz w:val="24"/>
          <w:szCs w:val="24"/>
          <w:vertAlign w:val="superscript"/>
        </w:rPr>
        <w:t>1</w:t>
      </w:r>
      <w:r w:rsidRPr="004F6EAB">
        <w:rPr>
          <w:rFonts w:ascii="Times New Roman" w:hAnsi="Times New Roman" w:cs="Times New Roman"/>
          <w:bCs/>
          <w:sz w:val="24"/>
          <w:szCs w:val="24"/>
          <w:lang w:val="en-US"/>
        </w:rPr>
        <w:t xml:space="preserve">HRB Centre for Health </w:t>
      </w:r>
      <w:r w:rsidR="00FE7F46" w:rsidRPr="004F6EAB">
        <w:rPr>
          <w:rFonts w:ascii="Times New Roman" w:hAnsi="Times New Roman" w:cs="Times New Roman"/>
          <w:bCs/>
          <w:sz w:val="24"/>
          <w:szCs w:val="24"/>
          <w:lang w:val="en-US"/>
        </w:rPr>
        <w:t xml:space="preserve">and Diet </w:t>
      </w:r>
      <w:r w:rsidRPr="004F6EAB">
        <w:rPr>
          <w:rFonts w:ascii="Times New Roman" w:hAnsi="Times New Roman" w:cs="Times New Roman"/>
          <w:bCs/>
          <w:sz w:val="24"/>
          <w:szCs w:val="24"/>
          <w:lang w:val="en-US"/>
        </w:rPr>
        <w:t>Research</w:t>
      </w:r>
      <w:r w:rsidRPr="004F6EAB">
        <w:rPr>
          <w:rFonts w:ascii="Times New Roman" w:hAnsi="Times New Roman" w:cs="Times New Roman"/>
          <w:bCs/>
          <w:sz w:val="24"/>
          <w:szCs w:val="24"/>
        </w:rPr>
        <w:t>, School of Public Health, Physiotherapy, and Sports Science, University College Dublin, Dublin, Republic of Ireland</w:t>
      </w:r>
    </w:p>
    <w:p w14:paraId="4946A6A1" w14:textId="6EDDEEE6" w:rsidR="00C47023" w:rsidRPr="004F6EAB" w:rsidRDefault="009F5272" w:rsidP="00233D4C">
      <w:pPr>
        <w:pStyle w:val="NoSpacing"/>
        <w:suppressLineNumbers/>
        <w:spacing w:line="480" w:lineRule="auto"/>
      </w:pPr>
      <w:r w:rsidRPr="004F6EAB">
        <w:rPr>
          <w:vertAlign w:val="superscript"/>
        </w:rPr>
        <w:t>2</w:t>
      </w:r>
      <w:r w:rsidR="00C47023" w:rsidRPr="004F6EAB">
        <w:t>Université de Paris, C</w:t>
      </w:r>
      <w:r w:rsidR="00645DAD" w:rsidRPr="004F6EAB">
        <w:t xml:space="preserve">entre for </w:t>
      </w:r>
      <w:r w:rsidR="00C47023" w:rsidRPr="004F6EAB">
        <w:t>R</w:t>
      </w:r>
      <w:r w:rsidR="00645DAD" w:rsidRPr="004F6EAB">
        <w:t xml:space="preserve">esearch in </w:t>
      </w:r>
      <w:r w:rsidR="00C47023" w:rsidRPr="004F6EAB">
        <w:t>E</w:t>
      </w:r>
      <w:r w:rsidR="00645DAD" w:rsidRPr="004F6EAB">
        <w:t xml:space="preserve">pidemiology and </w:t>
      </w:r>
      <w:proofErr w:type="spellStart"/>
      <w:r w:rsidR="00C47023" w:rsidRPr="004F6EAB">
        <w:t>S</w:t>
      </w:r>
      <w:r w:rsidR="00645DAD" w:rsidRPr="004F6EAB">
        <w:t>tatistic</w:t>
      </w:r>
      <w:r w:rsidR="00C47023" w:rsidRPr="004F6EAB">
        <w:t>S</w:t>
      </w:r>
      <w:proofErr w:type="spellEnd"/>
      <w:r w:rsidR="00645DAD" w:rsidRPr="004F6EAB">
        <w:t xml:space="preserve"> (CRESS)</w:t>
      </w:r>
      <w:r w:rsidR="00C47023" w:rsidRPr="004F6EAB">
        <w:t xml:space="preserve">, </w:t>
      </w:r>
      <w:proofErr w:type="spellStart"/>
      <w:r w:rsidR="00C47023" w:rsidRPr="004F6EAB">
        <w:t>I</w:t>
      </w:r>
      <w:r w:rsidR="00645DAD" w:rsidRPr="004F6EAB">
        <w:t>nserm</w:t>
      </w:r>
      <w:proofErr w:type="spellEnd"/>
      <w:r w:rsidR="00C47023" w:rsidRPr="004F6EAB">
        <w:t xml:space="preserve">, </w:t>
      </w:r>
      <w:proofErr w:type="spellStart"/>
      <w:r w:rsidR="00C47023" w:rsidRPr="004F6EAB">
        <w:t>I</w:t>
      </w:r>
      <w:r w:rsidR="00645DAD" w:rsidRPr="004F6EAB">
        <w:t>nra</w:t>
      </w:r>
      <w:r w:rsidR="007736BD" w:rsidRPr="004F6EAB">
        <w:t>e</w:t>
      </w:r>
      <w:proofErr w:type="spellEnd"/>
      <w:r w:rsidR="00C47023" w:rsidRPr="004F6EAB">
        <w:t>, Paris, France</w:t>
      </w:r>
    </w:p>
    <w:p w14:paraId="5A5B66EB" w14:textId="5322D5B4" w:rsidR="009F5272" w:rsidRPr="004F6EAB" w:rsidRDefault="00E22E90" w:rsidP="00233D4C">
      <w:pPr>
        <w:suppressLineNumbers/>
        <w:spacing w:after="0" w:line="480" w:lineRule="auto"/>
        <w:rPr>
          <w:rFonts w:ascii="Times New Roman" w:hAnsi="Times New Roman" w:cs="Times New Roman"/>
          <w:bCs/>
          <w:sz w:val="24"/>
          <w:szCs w:val="24"/>
        </w:rPr>
      </w:pPr>
      <w:r w:rsidRPr="004F6EAB">
        <w:rPr>
          <w:rFonts w:ascii="Times New Roman" w:hAnsi="Times New Roman" w:cs="Times New Roman"/>
          <w:bCs/>
          <w:sz w:val="24"/>
          <w:szCs w:val="24"/>
          <w:vertAlign w:val="superscript"/>
        </w:rPr>
        <w:t>3</w:t>
      </w:r>
      <w:r w:rsidR="007736BD" w:rsidRPr="004F6EAB">
        <w:rPr>
          <w:rFonts w:ascii="Times New Roman" w:hAnsi="Times New Roman" w:cs="Times New Roman"/>
          <w:bCs/>
          <w:sz w:val="24"/>
          <w:szCs w:val="24"/>
        </w:rPr>
        <w:t>Cancer Prevention and Control Program,</w:t>
      </w:r>
      <w:r w:rsidR="007736BD" w:rsidRPr="004F6EAB">
        <w:rPr>
          <w:rFonts w:ascii="Times New Roman" w:hAnsi="Times New Roman" w:cs="Times New Roman"/>
          <w:bCs/>
          <w:sz w:val="24"/>
          <w:szCs w:val="24"/>
          <w:vertAlign w:val="superscript"/>
        </w:rPr>
        <w:t xml:space="preserve"> </w:t>
      </w:r>
      <w:r w:rsidR="009F5272" w:rsidRPr="004F6EAB">
        <w:rPr>
          <w:rFonts w:ascii="Times New Roman" w:hAnsi="Times New Roman" w:cs="Times New Roman"/>
          <w:bCs/>
          <w:sz w:val="24"/>
          <w:szCs w:val="24"/>
        </w:rPr>
        <w:t>Arnold School of Public Health, University of South Carolina, Columbia, S</w:t>
      </w:r>
      <w:r w:rsidR="00280F08">
        <w:rPr>
          <w:rFonts w:ascii="Times New Roman" w:hAnsi="Times New Roman" w:cs="Times New Roman"/>
          <w:bCs/>
          <w:sz w:val="24"/>
          <w:szCs w:val="24"/>
        </w:rPr>
        <w:t xml:space="preserve">outh </w:t>
      </w:r>
      <w:r w:rsidR="009F5272" w:rsidRPr="004F6EAB">
        <w:rPr>
          <w:rFonts w:ascii="Times New Roman" w:hAnsi="Times New Roman" w:cs="Times New Roman"/>
          <w:bCs/>
          <w:sz w:val="24"/>
          <w:szCs w:val="24"/>
        </w:rPr>
        <w:t>C</w:t>
      </w:r>
      <w:r w:rsidR="00280F08">
        <w:rPr>
          <w:rFonts w:ascii="Times New Roman" w:hAnsi="Times New Roman" w:cs="Times New Roman"/>
          <w:bCs/>
          <w:sz w:val="24"/>
          <w:szCs w:val="24"/>
        </w:rPr>
        <w:t>arolina</w:t>
      </w:r>
      <w:r w:rsidR="009F5272" w:rsidRPr="004F6EAB">
        <w:rPr>
          <w:rFonts w:ascii="Times New Roman" w:hAnsi="Times New Roman" w:cs="Times New Roman"/>
          <w:bCs/>
          <w:sz w:val="24"/>
          <w:szCs w:val="24"/>
        </w:rPr>
        <w:t>, USA</w:t>
      </w:r>
    </w:p>
    <w:p w14:paraId="3CEB9637" w14:textId="7A6D46CF" w:rsidR="00E22E90" w:rsidRPr="004F6EAB" w:rsidRDefault="00E22E90" w:rsidP="00233D4C">
      <w:pPr>
        <w:suppressLineNumbers/>
        <w:spacing w:after="0" w:line="480" w:lineRule="auto"/>
        <w:rPr>
          <w:rFonts w:ascii="Times New Roman" w:hAnsi="Times New Roman" w:cs="Times New Roman"/>
          <w:bCs/>
          <w:sz w:val="24"/>
          <w:szCs w:val="24"/>
        </w:rPr>
      </w:pPr>
      <w:r w:rsidRPr="004F6EAB">
        <w:rPr>
          <w:rFonts w:ascii="Times New Roman" w:hAnsi="Times New Roman" w:cs="Times New Roman"/>
          <w:bCs/>
          <w:sz w:val="24"/>
          <w:szCs w:val="24"/>
          <w:vertAlign w:val="superscript"/>
        </w:rPr>
        <w:t>4</w:t>
      </w:r>
      <w:r w:rsidRPr="004F6EAB">
        <w:rPr>
          <w:rFonts w:ascii="Times New Roman" w:hAnsi="Times New Roman" w:cs="Times New Roman"/>
          <w:bCs/>
          <w:sz w:val="24"/>
          <w:szCs w:val="24"/>
        </w:rPr>
        <w:t>Connecting Health Innovations, LLC, Columbia, S</w:t>
      </w:r>
      <w:r w:rsidR="00280F08">
        <w:rPr>
          <w:rFonts w:ascii="Times New Roman" w:hAnsi="Times New Roman" w:cs="Times New Roman"/>
          <w:bCs/>
          <w:sz w:val="24"/>
          <w:szCs w:val="24"/>
        </w:rPr>
        <w:t xml:space="preserve">outh </w:t>
      </w:r>
      <w:r w:rsidRPr="004F6EAB">
        <w:rPr>
          <w:rFonts w:ascii="Times New Roman" w:hAnsi="Times New Roman" w:cs="Times New Roman"/>
          <w:bCs/>
          <w:sz w:val="24"/>
          <w:szCs w:val="24"/>
        </w:rPr>
        <w:t>C</w:t>
      </w:r>
      <w:r w:rsidR="00280F08">
        <w:rPr>
          <w:rFonts w:ascii="Times New Roman" w:hAnsi="Times New Roman" w:cs="Times New Roman"/>
          <w:bCs/>
          <w:sz w:val="24"/>
          <w:szCs w:val="24"/>
        </w:rPr>
        <w:t>arolina</w:t>
      </w:r>
      <w:r w:rsidRPr="004F6EAB">
        <w:rPr>
          <w:rFonts w:ascii="Times New Roman" w:hAnsi="Times New Roman" w:cs="Times New Roman"/>
          <w:bCs/>
          <w:sz w:val="24"/>
          <w:szCs w:val="24"/>
        </w:rPr>
        <w:t>, USA</w:t>
      </w:r>
    </w:p>
    <w:p w14:paraId="297EE98B" w14:textId="4D426D08" w:rsidR="00E22E90" w:rsidRPr="004F6EAB" w:rsidRDefault="00E22E90" w:rsidP="00233D4C">
      <w:pPr>
        <w:suppressLineNumbers/>
        <w:spacing w:after="0" w:line="480" w:lineRule="auto"/>
        <w:rPr>
          <w:rFonts w:ascii="Times New Roman" w:hAnsi="Times New Roman" w:cs="Times New Roman"/>
          <w:sz w:val="24"/>
          <w:szCs w:val="24"/>
        </w:rPr>
      </w:pPr>
      <w:r w:rsidRPr="004F6EAB">
        <w:rPr>
          <w:rFonts w:ascii="Times New Roman" w:hAnsi="Times New Roman" w:cs="Times New Roman"/>
          <w:bCs/>
          <w:sz w:val="24"/>
          <w:szCs w:val="24"/>
          <w:vertAlign w:val="superscript"/>
        </w:rPr>
        <w:t>5</w:t>
      </w:r>
      <w:r w:rsidRPr="004F6EAB">
        <w:rPr>
          <w:rFonts w:ascii="Times New Roman" w:hAnsi="Times New Roman" w:cs="Times New Roman"/>
          <w:bCs/>
          <w:sz w:val="24"/>
          <w:szCs w:val="24"/>
        </w:rPr>
        <w:t>Singapore Institute for Clinical Sciences (SICS), Agency for Science, Technology and Research (A*STAR), Singapore, Singapore</w:t>
      </w:r>
    </w:p>
    <w:p w14:paraId="6004EF59" w14:textId="70D8EE0C" w:rsidR="00E22E90" w:rsidRPr="004F6EAB" w:rsidRDefault="00E22E90" w:rsidP="00233D4C">
      <w:pPr>
        <w:suppressLineNumbers/>
        <w:spacing w:after="0" w:line="480" w:lineRule="auto"/>
        <w:rPr>
          <w:rFonts w:ascii="Times New Roman" w:hAnsi="Times New Roman" w:cs="Times New Roman"/>
          <w:bCs/>
          <w:sz w:val="24"/>
          <w:szCs w:val="24"/>
        </w:rPr>
      </w:pPr>
      <w:r w:rsidRPr="004F6EAB">
        <w:rPr>
          <w:rFonts w:ascii="Times New Roman" w:hAnsi="Times New Roman" w:cs="Times New Roman"/>
          <w:bCs/>
          <w:sz w:val="24"/>
          <w:szCs w:val="24"/>
          <w:vertAlign w:val="superscript"/>
          <w:lang w:val="en-AU"/>
        </w:rPr>
        <w:t>6</w:t>
      </w:r>
      <w:r w:rsidR="009D5D9D" w:rsidRPr="004F6EAB">
        <w:rPr>
          <w:rFonts w:ascii="Times New Roman" w:hAnsi="Times New Roman" w:cs="Times New Roman"/>
          <w:bCs/>
          <w:sz w:val="24"/>
          <w:szCs w:val="24"/>
        </w:rPr>
        <w:t xml:space="preserve">The Generation R Study Group, Erasmus MC, University Medical </w:t>
      </w:r>
      <w:proofErr w:type="spellStart"/>
      <w:r w:rsidR="009D5D9D" w:rsidRPr="004F6EAB">
        <w:rPr>
          <w:rFonts w:ascii="Times New Roman" w:hAnsi="Times New Roman" w:cs="Times New Roman"/>
          <w:bCs/>
          <w:sz w:val="24"/>
          <w:szCs w:val="24"/>
        </w:rPr>
        <w:t>Center</w:t>
      </w:r>
      <w:proofErr w:type="spellEnd"/>
      <w:r w:rsidR="009D5D9D" w:rsidRPr="004F6EAB">
        <w:rPr>
          <w:rFonts w:ascii="Times New Roman" w:hAnsi="Times New Roman" w:cs="Times New Roman"/>
          <w:bCs/>
          <w:sz w:val="24"/>
          <w:szCs w:val="24"/>
        </w:rPr>
        <w:t>, Rotterdam, the Netherlands.</w:t>
      </w:r>
    </w:p>
    <w:p w14:paraId="7F881E62" w14:textId="3AA207CE" w:rsidR="009F5272" w:rsidRPr="004F6EAB" w:rsidRDefault="00E22E90" w:rsidP="00233D4C">
      <w:pPr>
        <w:suppressLineNumbers/>
        <w:spacing w:after="0" w:line="480" w:lineRule="auto"/>
        <w:rPr>
          <w:rFonts w:ascii="Times New Roman" w:hAnsi="Times New Roman" w:cs="Times New Roman"/>
          <w:bCs/>
          <w:sz w:val="24"/>
          <w:szCs w:val="24"/>
          <w:lang w:val="en-AU"/>
        </w:rPr>
      </w:pPr>
      <w:r w:rsidRPr="004F6EAB">
        <w:rPr>
          <w:rFonts w:ascii="Times New Roman" w:hAnsi="Times New Roman" w:cs="Times New Roman"/>
          <w:bCs/>
          <w:sz w:val="24"/>
          <w:szCs w:val="24"/>
          <w:vertAlign w:val="superscript"/>
          <w:lang w:val="en-AU"/>
        </w:rPr>
        <w:t>7</w:t>
      </w:r>
      <w:r w:rsidR="009F5272" w:rsidRPr="004F6EAB">
        <w:rPr>
          <w:rFonts w:ascii="Times New Roman" w:hAnsi="Times New Roman" w:cs="Times New Roman"/>
          <w:bCs/>
          <w:sz w:val="24"/>
          <w:szCs w:val="24"/>
          <w:lang w:val="en-AU"/>
        </w:rPr>
        <w:t xml:space="preserve">Department of </w:t>
      </w:r>
      <w:proofErr w:type="spellStart"/>
      <w:r w:rsidR="009F5272" w:rsidRPr="004F6EAB">
        <w:rPr>
          <w:rFonts w:ascii="Times New Roman" w:hAnsi="Times New Roman" w:cs="Times New Roman"/>
          <w:bCs/>
          <w:sz w:val="24"/>
          <w:szCs w:val="24"/>
          <w:lang w:val="en-AU"/>
        </w:rPr>
        <w:t>Pediatrics</w:t>
      </w:r>
      <w:proofErr w:type="spellEnd"/>
      <w:r w:rsidR="009F5272" w:rsidRPr="004F6EAB">
        <w:rPr>
          <w:rFonts w:ascii="Times New Roman" w:hAnsi="Times New Roman" w:cs="Times New Roman"/>
          <w:bCs/>
          <w:sz w:val="24"/>
          <w:szCs w:val="24"/>
          <w:lang w:val="en-AU"/>
        </w:rPr>
        <w:t xml:space="preserve">, </w:t>
      </w:r>
      <w:r w:rsidR="009D5D9D" w:rsidRPr="004F6EAB">
        <w:rPr>
          <w:rFonts w:ascii="Times New Roman" w:hAnsi="Times New Roman" w:cs="Times New Roman"/>
          <w:bCs/>
          <w:sz w:val="24"/>
          <w:szCs w:val="24"/>
          <w:lang w:val="en-AU"/>
        </w:rPr>
        <w:t>Division of Respiratory Medicine and Allergology</w:t>
      </w:r>
      <w:r w:rsidR="00F12B00" w:rsidRPr="004F6EAB">
        <w:rPr>
          <w:rFonts w:ascii="Times New Roman" w:hAnsi="Times New Roman" w:cs="Times New Roman"/>
          <w:bCs/>
          <w:sz w:val="24"/>
          <w:szCs w:val="24"/>
          <w:lang w:val="en-AU"/>
        </w:rPr>
        <w:t>,</w:t>
      </w:r>
      <w:r w:rsidR="009D5D9D" w:rsidRPr="004F6EAB">
        <w:rPr>
          <w:rFonts w:ascii="Times New Roman" w:hAnsi="Times New Roman" w:cs="Times New Roman"/>
          <w:bCs/>
          <w:sz w:val="24"/>
          <w:szCs w:val="24"/>
          <w:lang w:val="en-AU"/>
        </w:rPr>
        <w:t xml:space="preserve"> </w:t>
      </w:r>
      <w:r w:rsidR="009F5272" w:rsidRPr="004F6EAB">
        <w:rPr>
          <w:rFonts w:ascii="Times New Roman" w:hAnsi="Times New Roman" w:cs="Times New Roman"/>
          <w:bCs/>
          <w:sz w:val="24"/>
          <w:szCs w:val="24"/>
          <w:lang w:val="en-AU"/>
        </w:rPr>
        <w:t xml:space="preserve">Erasmus MC, University Medical </w:t>
      </w:r>
      <w:proofErr w:type="spellStart"/>
      <w:r w:rsidR="009F5272" w:rsidRPr="004F6EAB">
        <w:rPr>
          <w:rFonts w:ascii="Times New Roman" w:hAnsi="Times New Roman" w:cs="Times New Roman"/>
          <w:bCs/>
          <w:sz w:val="24"/>
          <w:szCs w:val="24"/>
          <w:lang w:val="en-AU"/>
        </w:rPr>
        <w:t>Center</w:t>
      </w:r>
      <w:proofErr w:type="spellEnd"/>
      <w:r w:rsidR="009F5272" w:rsidRPr="004F6EAB">
        <w:rPr>
          <w:rFonts w:ascii="Times New Roman" w:hAnsi="Times New Roman" w:cs="Times New Roman"/>
          <w:bCs/>
          <w:sz w:val="24"/>
          <w:szCs w:val="24"/>
          <w:lang w:val="en-AU"/>
        </w:rPr>
        <w:t xml:space="preserve"> Rotterdam, Rotterdam, the Netherlands</w:t>
      </w:r>
    </w:p>
    <w:p w14:paraId="24028DB7" w14:textId="1A800B57" w:rsidR="009F5272" w:rsidRPr="004F6EAB" w:rsidRDefault="00E22E90" w:rsidP="00233D4C">
      <w:pPr>
        <w:suppressLineNumbers/>
        <w:spacing w:after="0" w:line="480" w:lineRule="auto"/>
        <w:rPr>
          <w:rFonts w:ascii="Times New Roman" w:hAnsi="Times New Roman" w:cs="Times New Roman"/>
          <w:bCs/>
          <w:sz w:val="24"/>
          <w:szCs w:val="24"/>
          <w:lang w:val="en-AU"/>
        </w:rPr>
      </w:pPr>
      <w:r w:rsidRPr="004F6EAB">
        <w:rPr>
          <w:rFonts w:ascii="Times New Roman" w:hAnsi="Times New Roman" w:cs="Times New Roman"/>
          <w:bCs/>
          <w:sz w:val="24"/>
          <w:szCs w:val="24"/>
          <w:vertAlign w:val="superscript"/>
          <w:lang w:val="en-AU"/>
        </w:rPr>
        <w:lastRenderedPageBreak/>
        <w:t>8</w:t>
      </w:r>
      <w:r w:rsidR="009F5272" w:rsidRPr="004F6EAB">
        <w:rPr>
          <w:rFonts w:ascii="Times New Roman" w:hAnsi="Times New Roman" w:cs="Times New Roman"/>
          <w:bCs/>
          <w:sz w:val="24"/>
          <w:szCs w:val="24"/>
          <w:lang w:val="en-AU"/>
        </w:rPr>
        <w:t xml:space="preserve">UCD Perinatal Research Centre, School of Medicine, University College Dublin, National Maternity Hospital, Dublin, </w:t>
      </w:r>
      <w:r w:rsidR="00C9063F" w:rsidRPr="004F6EAB">
        <w:rPr>
          <w:rFonts w:ascii="Times New Roman" w:hAnsi="Times New Roman" w:cs="Times New Roman"/>
          <w:bCs/>
          <w:sz w:val="24"/>
          <w:szCs w:val="24"/>
        </w:rPr>
        <w:t xml:space="preserve">Republic of </w:t>
      </w:r>
      <w:r w:rsidR="009F5272" w:rsidRPr="004F6EAB">
        <w:rPr>
          <w:rFonts w:ascii="Times New Roman" w:hAnsi="Times New Roman" w:cs="Times New Roman"/>
          <w:bCs/>
          <w:sz w:val="24"/>
          <w:szCs w:val="24"/>
          <w:lang w:val="en-AU"/>
        </w:rPr>
        <w:t>Ireland</w:t>
      </w:r>
    </w:p>
    <w:p w14:paraId="11035F8E" w14:textId="1515CA8C" w:rsidR="009F5272" w:rsidRPr="004F6EAB" w:rsidRDefault="00E22E90" w:rsidP="00233D4C">
      <w:pPr>
        <w:suppressLineNumbers/>
        <w:spacing w:after="0" w:line="480" w:lineRule="auto"/>
        <w:rPr>
          <w:rFonts w:ascii="Times New Roman" w:hAnsi="Times New Roman" w:cs="Times New Roman"/>
          <w:bCs/>
          <w:sz w:val="24"/>
          <w:szCs w:val="24"/>
          <w:lang w:val="en-AU"/>
        </w:rPr>
      </w:pPr>
      <w:r w:rsidRPr="004F6EAB">
        <w:rPr>
          <w:rFonts w:ascii="Times New Roman" w:hAnsi="Times New Roman" w:cs="Times New Roman"/>
          <w:bCs/>
          <w:sz w:val="24"/>
          <w:szCs w:val="24"/>
          <w:vertAlign w:val="superscript"/>
          <w:lang w:val="en-AU"/>
        </w:rPr>
        <w:t>9</w:t>
      </w:r>
      <w:r w:rsidR="009F5272" w:rsidRPr="004F6EAB">
        <w:rPr>
          <w:rFonts w:ascii="Times New Roman" w:hAnsi="Times New Roman" w:cs="Times New Roman"/>
          <w:bCs/>
          <w:sz w:val="24"/>
          <w:szCs w:val="24"/>
          <w:lang w:val="en-AU"/>
        </w:rPr>
        <w:t>MRC Integrative Epidemiology Unit, University of Bristol, Bristol, UK</w:t>
      </w:r>
    </w:p>
    <w:p w14:paraId="4975754B" w14:textId="54F27F0F" w:rsidR="009F5272" w:rsidRPr="004F6EAB" w:rsidRDefault="00E22E90" w:rsidP="00233D4C">
      <w:pPr>
        <w:suppressLineNumbers/>
        <w:spacing w:after="0" w:line="480" w:lineRule="auto"/>
        <w:rPr>
          <w:rFonts w:ascii="Times New Roman" w:hAnsi="Times New Roman" w:cs="Times New Roman"/>
          <w:bCs/>
          <w:sz w:val="24"/>
          <w:szCs w:val="24"/>
          <w:lang w:val="en-AU"/>
        </w:rPr>
      </w:pPr>
      <w:r w:rsidRPr="004F6EAB">
        <w:rPr>
          <w:rFonts w:ascii="Times New Roman" w:hAnsi="Times New Roman" w:cs="Times New Roman"/>
          <w:bCs/>
          <w:sz w:val="24"/>
          <w:szCs w:val="24"/>
          <w:vertAlign w:val="superscript"/>
          <w:lang w:val="en-AU"/>
        </w:rPr>
        <w:t>10</w:t>
      </w:r>
      <w:r w:rsidR="00C60A0F" w:rsidRPr="004F6EAB">
        <w:rPr>
          <w:rFonts w:ascii="Times New Roman" w:hAnsi="Times New Roman" w:cs="Times New Roman"/>
          <w:bCs/>
          <w:sz w:val="24"/>
          <w:szCs w:val="24"/>
          <w:lang w:val="en-AU"/>
        </w:rPr>
        <w:t xml:space="preserve">Nofer </w:t>
      </w:r>
      <w:r w:rsidR="009F5272" w:rsidRPr="004F6EAB">
        <w:rPr>
          <w:rFonts w:ascii="Times New Roman" w:hAnsi="Times New Roman" w:cs="Times New Roman"/>
          <w:bCs/>
          <w:sz w:val="24"/>
          <w:szCs w:val="24"/>
          <w:lang w:val="en-AU"/>
        </w:rPr>
        <w:t>Institute of Occupational Medicine, Lodz, Poland</w:t>
      </w:r>
    </w:p>
    <w:p w14:paraId="76014161" w14:textId="085DB33C" w:rsidR="00E22E90" w:rsidRPr="004F6EAB" w:rsidRDefault="00E22E90" w:rsidP="00233D4C">
      <w:pPr>
        <w:suppressLineNumbers/>
        <w:autoSpaceDE w:val="0"/>
        <w:autoSpaceDN w:val="0"/>
        <w:adjustRightInd w:val="0"/>
        <w:spacing w:after="0" w:line="480" w:lineRule="auto"/>
        <w:rPr>
          <w:rFonts w:ascii="Times New Roman" w:hAnsi="Times New Roman" w:cs="Times New Roman"/>
          <w:sz w:val="24"/>
          <w:szCs w:val="24"/>
          <w:lang w:val="en-US"/>
        </w:rPr>
      </w:pPr>
      <w:r w:rsidRPr="004F6EAB">
        <w:rPr>
          <w:rFonts w:ascii="Times New Roman" w:hAnsi="Times New Roman" w:cs="Times New Roman"/>
          <w:bCs/>
          <w:sz w:val="24"/>
          <w:szCs w:val="24"/>
          <w:vertAlign w:val="superscript"/>
          <w:lang w:val="en-AU"/>
        </w:rPr>
        <w:t>11</w:t>
      </w:r>
      <w:r w:rsidRPr="004F6EAB">
        <w:rPr>
          <w:rFonts w:ascii="Times New Roman" w:hAnsi="Times New Roman" w:cs="Times New Roman"/>
          <w:sz w:val="24"/>
          <w:szCs w:val="24"/>
          <w:lang w:val="en-US"/>
        </w:rPr>
        <w:t xml:space="preserve">Department of Hygiene and Epidemiology, Medical University of Lodz, Lodz, Poland </w:t>
      </w:r>
    </w:p>
    <w:p w14:paraId="3A21AC9E" w14:textId="0461C029" w:rsidR="009F5272" w:rsidRPr="004F6EAB" w:rsidRDefault="00E22E90" w:rsidP="00233D4C">
      <w:pPr>
        <w:suppressLineNumbers/>
        <w:spacing w:after="0" w:line="480" w:lineRule="auto"/>
        <w:rPr>
          <w:rFonts w:ascii="Times New Roman" w:hAnsi="Times New Roman" w:cs="Times New Roman"/>
          <w:bCs/>
          <w:sz w:val="24"/>
          <w:szCs w:val="24"/>
          <w:lang w:val="en-AU"/>
        </w:rPr>
      </w:pPr>
      <w:r w:rsidRPr="004F6EAB">
        <w:rPr>
          <w:rFonts w:ascii="Times New Roman" w:hAnsi="Times New Roman" w:cs="Times New Roman"/>
          <w:bCs/>
          <w:sz w:val="24"/>
          <w:szCs w:val="24"/>
          <w:vertAlign w:val="superscript"/>
          <w:lang w:val="en-AU"/>
        </w:rPr>
        <w:t>12</w:t>
      </w:r>
      <w:r w:rsidR="00C60A0F" w:rsidRPr="004F6EAB">
        <w:rPr>
          <w:rFonts w:ascii="Times New Roman" w:hAnsi="Times New Roman" w:cs="Times New Roman"/>
          <w:bCs/>
          <w:sz w:val="24"/>
          <w:szCs w:val="24"/>
          <w:lang w:val="en-AU"/>
        </w:rPr>
        <w:t>MRC</w:t>
      </w:r>
      <w:r w:rsidR="009F5272" w:rsidRPr="004F6EAB">
        <w:rPr>
          <w:rFonts w:ascii="Times New Roman" w:hAnsi="Times New Roman" w:cs="Times New Roman"/>
          <w:bCs/>
          <w:sz w:val="24"/>
          <w:szCs w:val="24"/>
          <w:lang w:val="en-AU"/>
        </w:rPr>
        <w:t xml:space="preserve"> Lifecourse Epidemiology Unit (University of Southampton) Southampton General Hospital Southampton, Southampton, UK</w:t>
      </w:r>
    </w:p>
    <w:p w14:paraId="6797BEA3" w14:textId="0DB1CAC9" w:rsidR="00AC07D7" w:rsidRPr="004F6EAB" w:rsidRDefault="00E22E90" w:rsidP="00233D4C">
      <w:pPr>
        <w:suppressLineNumbers/>
        <w:spacing w:line="480" w:lineRule="auto"/>
        <w:rPr>
          <w:rFonts w:ascii="Times New Roman" w:hAnsi="Times New Roman" w:cs="Times New Roman"/>
          <w:bCs/>
          <w:sz w:val="24"/>
          <w:szCs w:val="24"/>
          <w:lang w:val="en-AU"/>
        </w:rPr>
      </w:pPr>
      <w:r w:rsidRPr="004F6EAB">
        <w:rPr>
          <w:rFonts w:ascii="Times New Roman" w:hAnsi="Times New Roman" w:cs="Times New Roman"/>
          <w:bCs/>
          <w:sz w:val="24"/>
          <w:szCs w:val="24"/>
          <w:vertAlign w:val="superscript"/>
          <w:lang w:val="en-AU"/>
        </w:rPr>
        <w:t>13</w:t>
      </w:r>
      <w:r w:rsidRPr="004F6EAB">
        <w:rPr>
          <w:rFonts w:ascii="Times New Roman" w:hAnsi="Times New Roman" w:cs="Times New Roman"/>
          <w:bCs/>
          <w:sz w:val="24"/>
          <w:szCs w:val="24"/>
          <w:lang w:val="en-AU"/>
        </w:rPr>
        <w:t xml:space="preserve">Department of </w:t>
      </w:r>
      <w:proofErr w:type="spellStart"/>
      <w:r w:rsidRPr="004F6EAB">
        <w:rPr>
          <w:rFonts w:ascii="Times New Roman" w:hAnsi="Times New Roman" w:cs="Times New Roman"/>
          <w:bCs/>
          <w:sz w:val="24"/>
          <w:szCs w:val="24"/>
          <w:lang w:val="en-AU"/>
        </w:rPr>
        <w:t>Pediatrics</w:t>
      </w:r>
      <w:proofErr w:type="spellEnd"/>
      <w:r w:rsidRPr="004F6EAB">
        <w:rPr>
          <w:rFonts w:ascii="Times New Roman" w:hAnsi="Times New Roman" w:cs="Times New Roman"/>
          <w:bCs/>
          <w:sz w:val="24"/>
          <w:szCs w:val="24"/>
          <w:lang w:val="en-AU"/>
        </w:rPr>
        <w:t xml:space="preserve">, Division of Neonatology, Erasmus MC, University Medical </w:t>
      </w:r>
      <w:proofErr w:type="spellStart"/>
      <w:r w:rsidRPr="004F6EAB">
        <w:rPr>
          <w:rFonts w:ascii="Times New Roman" w:hAnsi="Times New Roman" w:cs="Times New Roman"/>
          <w:bCs/>
          <w:sz w:val="24"/>
          <w:szCs w:val="24"/>
          <w:lang w:val="en-AU"/>
        </w:rPr>
        <w:t>Center</w:t>
      </w:r>
      <w:proofErr w:type="spellEnd"/>
      <w:r w:rsidRPr="004F6EAB">
        <w:rPr>
          <w:rFonts w:ascii="Times New Roman" w:hAnsi="Times New Roman" w:cs="Times New Roman"/>
          <w:bCs/>
          <w:sz w:val="24"/>
          <w:szCs w:val="24"/>
          <w:lang w:val="en-AU"/>
        </w:rPr>
        <w:t xml:space="preserve">, Rotterdam, </w:t>
      </w:r>
      <w:r w:rsidR="00C9063F">
        <w:rPr>
          <w:rFonts w:ascii="Times New Roman" w:hAnsi="Times New Roman" w:cs="Times New Roman"/>
          <w:bCs/>
          <w:sz w:val="24"/>
          <w:szCs w:val="24"/>
          <w:lang w:val="en-AU"/>
        </w:rPr>
        <w:t>t</w:t>
      </w:r>
      <w:r w:rsidR="00C9063F" w:rsidRPr="004F6EAB">
        <w:rPr>
          <w:rFonts w:ascii="Times New Roman" w:hAnsi="Times New Roman" w:cs="Times New Roman"/>
          <w:bCs/>
          <w:sz w:val="24"/>
          <w:szCs w:val="24"/>
          <w:lang w:val="en-AU"/>
        </w:rPr>
        <w:t xml:space="preserve">he </w:t>
      </w:r>
      <w:r w:rsidRPr="004F6EAB">
        <w:rPr>
          <w:rFonts w:ascii="Times New Roman" w:hAnsi="Times New Roman" w:cs="Times New Roman"/>
          <w:bCs/>
          <w:sz w:val="24"/>
          <w:szCs w:val="24"/>
          <w:lang w:val="en-AU"/>
        </w:rPr>
        <w:t>Netherlands.</w:t>
      </w:r>
    </w:p>
    <w:p w14:paraId="5ECAAC62" w14:textId="77777777" w:rsidR="00AC07D7" w:rsidRPr="004F6EAB" w:rsidRDefault="00AC07D7" w:rsidP="00233D4C">
      <w:pPr>
        <w:suppressLineNumbers/>
        <w:spacing w:line="480" w:lineRule="auto"/>
        <w:rPr>
          <w:rFonts w:ascii="Times New Roman" w:hAnsi="Times New Roman" w:cs="Times New Roman"/>
          <w:bCs/>
          <w:sz w:val="24"/>
          <w:szCs w:val="24"/>
          <w:lang w:val="en-AU"/>
        </w:rPr>
      </w:pPr>
    </w:p>
    <w:p w14:paraId="0C569AFF" w14:textId="0E9BF2AC" w:rsidR="00D852BD" w:rsidRPr="007B4C6A" w:rsidRDefault="00D852BD" w:rsidP="00233D4C">
      <w:pPr>
        <w:suppressLineNumbers/>
        <w:rPr>
          <w:rFonts w:ascii="Times New Roman" w:eastAsia="SimSun" w:hAnsi="Times New Roman" w:cs="Times New Roman"/>
          <w:sz w:val="24"/>
          <w:lang w:val="en-SG"/>
        </w:rPr>
      </w:pPr>
      <w:r w:rsidRPr="004F6EAB">
        <w:rPr>
          <w:rFonts w:ascii="Times New Roman" w:hAnsi="Times New Roman" w:cs="Times New Roman"/>
          <w:b/>
          <w:bCs/>
          <w:sz w:val="24"/>
          <w:szCs w:val="24"/>
          <w:lang w:val="en-AU"/>
        </w:rPr>
        <w:br w:type="page"/>
      </w:r>
    </w:p>
    <w:p w14:paraId="5D2D2FBC" w14:textId="7B60DD6D" w:rsidR="00482FAA" w:rsidRPr="004F6EAB" w:rsidRDefault="00482FAA" w:rsidP="00D6461C">
      <w:pPr>
        <w:spacing w:line="480" w:lineRule="auto"/>
        <w:rPr>
          <w:rFonts w:ascii="Times New Roman" w:hAnsi="Times New Roman" w:cs="Times New Roman"/>
          <w:b/>
          <w:bCs/>
          <w:sz w:val="24"/>
          <w:szCs w:val="24"/>
          <w:lang w:val="en-AU"/>
        </w:rPr>
      </w:pPr>
      <w:r w:rsidRPr="004F6EAB">
        <w:rPr>
          <w:rFonts w:ascii="Times New Roman" w:hAnsi="Times New Roman" w:cs="Times New Roman"/>
          <w:b/>
          <w:bCs/>
          <w:sz w:val="24"/>
          <w:szCs w:val="24"/>
          <w:lang w:val="en-AU"/>
        </w:rPr>
        <w:lastRenderedPageBreak/>
        <w:t>ABSTRACT</w:t>
      </w:r>
    </w:p>
    <w:p w14:paraId="675E8AC8" w14:textId="3A50F76D" w:rsidR="00C040C7" w:rsidRPr="004F6EAB" w:rsidRDefault="00C040C7" w:rsidP="00C040C7">
      <w:pPr>
        <w:spacing w:before="240" w:line="480" w:lineRule="auto"/>
        <w:rPr>
          <w:rFonts w:ascii="Times New Roman" w:hAnsi="Times New Roman" w:cs="Times New Roman"/>
          <w:b/>
          <w:sz w:val="24"/>
          <w:szCs w:val="24"/>
        </w:rPr>
      </w:pPr>
      <w:r w:rsidRPr="004F6EAB">
        <w:rPr>
          <w:rFonts w:ascii="Times New Roman" w:hAnsi="Times New Roman" w:cs="Times New Roman"/>
          <w:b/>
          <w:sz w:val="24"/>
          <w:szCs w:val="24"/>
        </w:rPr>
        <w:t>Background</w:t>
      </w:r>
    </w:p>
    <w:p w14:paraId="6E021BB7" w14:textId="0FB34FDE" w:rsidR="004D65B6" w:rsidRPr="004F6EAB" w:rsidRDefault="001749CB" w:rsidP="001749CB">
      <w:pPr>
        <w:spacing w:line="480" w:lineRule="auto"/>
        <w:rPr>
          <w:rFonts w:ascii="Times New Roman" w:hAnsi="Times New Roman" w:cs="Times New Roman"/>
          <w:sz w:val="24"/>
          <w:szCs w:val="24"/>
        </w:rPr>
      </w:pPr>
      <w:r w:rsidRPr="004F6EAB">
        <w:rPr>
          <w:rFonts w:ascii="Times New Roman" w:hAnsi="Times New Roman" w:cs="Times New Roman"/>
          <w:sz w:val="24"/>
          <w:szCs w:val="24"/>
        </w:rPr>
        <w:t>Adverse birth outcomes are major causes of morbidity and mortality during childhood and</w:t>
      </w:r>
      <w:r w:rsidR="0066445F">
        <w:rPr>
          <w:rFonts w:ascii="Times New Roman" w:hAnsi="Times New Roman" w:cs="Times New Roman"/>
          <w:sz w:val="24"/>
          <w:szCs w:val="24"/>
        </w:rPr>
        <w:t xml:space="preserve"> associate with</w:t>
      </w:r>
      <w:r w:rsidRPr="004F6EAB">
        <w:rPr>
          <w:rFonts w:ascii="Times New Roman" w:hAnsi="Times New Roman" w:cs="Times New Roman"/>
          <w:sz w:val="24"/>
          <w:szCs w:val="24"/>
        </w:rPr>
        <w:t xml:space="preserve"> a higher risk of non-communicable diseases in adult life. Maternal peri-conception and antenatal nutrition, mostly focusing on single nutrients or foods, has been shown to influence infant birth outcomes</w:t>
      </w:r>
      <w:r w:rsidR="0066445F">
        <w:rPr>
          <w:rFonts w:ascii="Times New Roman" w:hAnsi="Times New Roman" w:cs="Times New Roman"/>
          <w:sz w:val="24"/>
          <w:szCs w:val="24"/>
        </w:rPr>
        <w:t>. However,</w:t>
      </w:r>
      <w:r w:rsidR="00C040C7" w:rsidRPr="004F6EAB">
        <w:rPr>
          <w:rFonts w:ascii="Times New Roman" w:hAnsi="Times New Roman" w:cs="Times New Roman"/>
          <w:sz w:val="24"/>
          <w:szCs w:val="24"/>
        </w:rPr>
        <w:t xml:space="preserve"> evidence on whole diet that considers complex nutrient and food interaction is rare</w:t>
      </w:r>
      <w:r w:rsidRPr="004F6EAB">
        <w:rPr>
          <w:rFonts w:ascii="Times New Roman" w:hAnsi="Times New Roman" w:cs="Times New Roman"/>
          <w:sz w:val="24"/>
          <w:szCs w:val="24"/>
        </w:rPr>
        <w:t xml:space="preserve"> and conflicting</w:t>
      </w:r>
      <w:r w:rsidR="00C040C7" w:rsidRPr="004F6EAB">
        <w:rPr>
          <w:rFonts w:ascii="Times New Roman" w:hAnsi="Times New Roman" w:cs="Times New Roman"/>
          <w:sz w:val="24"/>
          <w:szCs w:val="24"/>
        </w:rPr>
        <w:t>. We aim to</w:t>
      </w:r>
      <w:r w:rsidR="004D65B6" w:rsidRPr="004F6EAB">
        <w:rPr>
          <w:rFonts w:ascii="Times New Roman" w:hAnsi="Times New Roman" w:cs="Times New Roman"/>
          <w:sz w:val="24"/>
          <w:szCs w:val="24"/>
          <w:lang w:val="en-AU"/>
        </w:rPr>
        <w:t xml:space="preserve"> elucidate the influence of whole-diet maternal dietary inflammatory potential and quality during peri-conceptional and antenatal periods on birth outcomes.</w:t>
      </w:r>
    </w:p>
    <w:p w14:paraId="539C5C67" w14:textId="7F86D932" w:rsidR="00C040C7" w:rsidRPr="004F6EAB" w:rsidRDefault="00C040C7" w:rsidP="004D65B6">
      <w:pPr>
        <w:spacing w:line="480" w:lineRule="auto"/>
        <w:rPr>
          <w:rFonts w:ascii="Times New Roman" w:hAnsi="Times New Roman" w:cs="Times New Roman"/>
          <w:b/>
          <w:bCs/>
          <w:sz w:val="24"/>
          <w:szCs w:val="24"/>
          <w:lang w:val="en-AU"/>
        </w:rPr>
      </w:pPr>
      <w:r w:rsidRPr="004F6EAB">
        <w:rPr>
          <w:rFonts w:ascii="Times New Roman" w:hAnsi="Times New Roman" w:cs="Times New Roman"/>
          <w:b/>
          <w:bCs/>
          <w:sz w:val="24"/>
          <w:szCs w:val="24"/>
          <w:lang w:val="en-AU"/>
        </w:rPr>
        <w:t>Methods</w:t>
      </w:r>
      <w:r w:rsidR="00840688">
        <w:rPr>
          <w:rFonts w:ascii="Times New Roman" w:hAnsi="Times New Roman" w:cs="Times New Roman"/>
          <w:b/>
          <w:bCs/>
          <w:sz w:val="24"/>
          <w:szCs w:val="24"/>
          <w:lang w:val="en-AU"/>
        </w:rPr>
        <w:t xml:space="preserve"> and findings</w:t>
      </w:r>
    </w:p>
    <w:p w14:paraId="2F21C192" w14:textId="01340AE9" w:rsidR="00840688" w:rsidRDefault="004D65B6" w:rsidP="00D6461C">
      <w:pPr>
        <w:spacing w:line="480" w:lineRule="auto"/>
        <w:rPr>
          <w:rFonts w:ascii="Times New Roman" w:hAnsi="Times New Roman" w:cs="Times New Roman"/>
          <w:sz w:val="24"/>
          <w:szCs w:val="24"/>
          <w:lang w:val="en-AU"/>
        </w:rPr>
      </w:pPr>
      <w:r w:rsidRPr="004F6EAB">
        <w:rPr>
          <w:rFonts w:ascii="Times New Roman" w:hAnsi="Times New Roman" w:cs="Times New Roman"/>
          <w:sz w:val="24"/>
          <w:szCs w:val="24"/>
          <w:lang w:val="en-AU"/>
        </w:rPr>
        <w:t>We harmonized and pooled</w:t>
      </w:r>
      <w:r w:rsidR="00C040C7" w:rsidRPr="004F6EAB">
        <w:rPr>
          <w:rFonts w:ascii="Times New Roman" w:hAnsi="Times New Roman" w:cs="Times New Roman"/>
          <w:sz w:val="24"/>
          <w:szCs w:val="24"/>
          <w:lang w:val="en-AU"/>
        </w:rPr>
        <w:t xml:space="preserve"> individual participant data (IPD) </w:t>
      </w:r>
      <w:r w:rsidRPr="004F6EAB">
        <w:rPr>
          <w:rFonts w:ascii="Times New Roman" w:hAnsi="Times New Roman" w:cs="Times New Roman"/>
          <w:sz w:val="24"/>
          <w:szCs w:val="24"/>
          <w:lang w:val="en-AU"/>
        </w:rPr>
        <w:t>from up to 24,861 mother-child pairs in seven European mother-offspring cohorts</w:t>
      </w:r>
      <w:r w:rsidR="00E979EE">
        <w:rPr>
          <w:rFonts w:ascii="Times New Roman" w:hAnsi="Times New Roman" w:cs="Times New Roman"/>
          <w:sz w:val="24"/>
          <w:szCs w:val="24"/>
          <w:lang w:val="en-AU"/>
        </w:rPr>
        <w:t xml:space="preserve"> </w:t>
      </w:r>
      <w:r w:rsidR="005A69B2">
        <w:rPr>
          <w:rFonts w:ascii="Times New Roman" w:hAnsi="Times New Roman" w:cs="Times New Roman"/>
          <w:sz w:val="24"/>
          <w:szCs w:val="24"/>
          <w:lang w:val="en-AU"/>
        </w:rPr>
        <w:t>[cohort name, country</w:t>
      </w:r>
      <w:r w:rsidR="00C16EE3">
        <w:rPr>
          <w:rFonts w:ascii="Times New Roman" w:hAnsi="Times New Roman" w:cs="Times New Roman"/>
          <w:sz w:val="24"/>
          <w:szCs w:val="24"/>
          <w:lang w:val="en-AU"/>
        </w:rPr>
        <w:t xml:space="preserve"> </w:t>
      </w:r>
      <w:r w:rsidR="005A69B2">
        <w:rPr>
          <w:rFonts w:ascii="Times New Roman" w:hAnsi="Times New Roman" w:cs="Times New Roman"/>
          <w:sz w:val="24"/>
          <w:szCs w:val="24"/>
          <w:lang w:val="en-AU"/>
        </w:rPr>
        <w:t>(</w:t>
      </w:r>
      <w:r w:rsidR="00E979EE">
        <w:rPr>
          <w:rFonts w:ascii="Times New Roman" w:hAnsi="Times New Roman" w:cs="Times New Roman"/>
          <w:sz w:val="24"/>
          <w:szCs w:val="24"/>
          <w:lang w:val="en-AU"/>
        </w:rPr>
        <w:t>recruitment dates): ALSPAC</w:t>
      </w:r>
      <w:r w:rsidR="005A69B2">
        <w:rPr>
          <w:rFonts w:ascii="Times New Roman" w:hAnsi="Times New Roman" w:cs="Times New Roman"/>
          <w:sz w:val="24"/>
          <w:szCs w:val="24"/>
          <w:lang w:val="en-AU"/>
        </w:rPr>
        <w:t>, UK</w:t>
      </w:r>
      <w:r w:rsidR="00C16EE3">
        <w:rPr>
          <w:rFonts w:ascii="Times New Roman" w:hAnsi="Times New Roman" w:cs="Times New Roman"/>
          <w:sz w:val="24"/>
          <w:szCs w:val="24"/>
          <w:lang w:val="en-AU"/>
        </w:rPr>
        <w:t xml:space="preserve"> </w:t>
      </w:r>
      <w:r w:rsidR="005A69B2">
        <w:rPr>
          <w:rFonts w:ascii="Times New Roman" w:hAnsi="Times New Roman" w:cs="Times New Roman"/>
          <w:sz w:val="24"/>
          <w:szCs w:val="24"/>
          <w:lang w:val="en-AU"/>
        </w:rPr>
        <w:t>(1/4/1991-31/12/1992); EDEN, France</w:t>
      </w:r>
      <w:r w:rsidR="00C16EE3">
        <w:rPr>
          <w:rFonts w:ascii="Times New Roman" w:hAnsi="Times New Roman" w:cs="Times New Roman"/>
          <w:sz w:val="24"/>
          <w:szCs w:val="24"/>
          <w:lang w:val="en-AU"/>
        </w:rPr>
        <w:t xml:space="preserve"> </w:t>
      </w:r>
      <w:r w:rsidR="005A69B2">
        <w:rPr>
          <w:rFonts w:ascii="Times New Roman" w:hAnsi="Times New Roman" w:cs="Times New Roman"/>
          <w:sz w:val="24"/>
          <w:szCs w:val="24"/>
          <w:lang w:val="en-AU"/>
        </w:rPr>
        <w:t>(27/1/2003-6/3/2006); Generation R, the Netherlands</w:t>
      </w:r>
      <w:r w:rsidR="00C16EE3">
        <w:rPr>
          <w:rFonts w:ascii="Times New Roman" w:hAnsi="Times New Roman" w:cs="Times New Roman"/>
          <w:sz w:val="24"/>
          <w:szCs w:val="24"/>
          <w:lang w:val="en-AU"/>
        </w:rPr>
        <w:t xml:space="preserve"> </w:t>
      </w:r>
      <w:r w:rsidR="005A69B2">
        <w:rPr>
          <w:rFonts w:ascii="Times New Roman" w:hAnsi="Times New Roman" w:cs="Times New Roman"/>
          <w:sz w:val="24"/>
          <w:szCs w:val="24"/>
          <w:lang w:val="en-AU"/>
        </w:rPr>
        <w:t>(1/4/2002-31/1/2006); Lifeways, Ireland</w:t>
      </w:r>
      <w:r w:rsidR="00C16EE3">
        <w:rPr>
          <w:rFonts w:ascii="Times New Roman" w:hAnsi="Times New Roman" w:cs="Times New Roman"/>
          <w:sz w:val="24"/>
          <w:szCs w:val="24"/>
          <w:lang w:val="en-AU"/>
        </w:rPr>
        <w:t xml:space="preserve"> </w:t>
      </w:r>
      <w:r w:rsidR="005A69B2">
        <w:rPr>
          <w:rFonts w:ascii="Times New Roman" w:hAnsi="Times New Roman" w:cs="Times New Roman"/>
          <w:sz w:val="24"/>
          <w:szCs w:val="24"/>
          <w:lang w:val="en-AU"/>
        </w:rPr>
        <w:t>(2/10/2001-4/4/2003); REPRO_PL</w:t>
      </w:r>
      <w:r w:rsidR="00C16EE3">
        <w:rPr>
          <w:rFonts w:ascii="Times New Roman" w:hAnsi="Times New Roman" w:cs="Times New Roman"/>
          <w:sz w:val="24"/>
          <w:szCs w:val="24"/>
          <w:lang w:val="en-AU"/>
        </w:rPr>
        <w:t>, Poland</w:t>
      </w:r>
      <w:r w:rsidR="005A69B2">
        <w:rPr>
          <w:rFonts w:ascii="Times New Roman" w:hAnsi="Times New Roman" w:cs="Times New Roman"/>
          <w:sz w:val="24"/>
          <w:szCs w:val="24"/>
          <w:lang w:val="en-AU"/>
        </w:rPr>
        <w:t xml:space="preserve"> (18/9/2007-16</w:t>
      </w:r>
      <w:r w:rsidR="0035081B">
        <w:rPr>
          <w:rFonts w:ascii="Times New Roman" w:hAnsi="Times New Roman" w:cs="Times New Roman"/>
          <w:sz w:val="24"/>
          <w:szCs w:val="24"/>
          <w:lang w:val="en-AU"/>
        </w:rPr>
        <w:t xml:space="preserve">/12/2011); </w:t>
      </w:r>
      <w:r w:rsidR="00C16EE3">
        <w:rPr>
          <w:rFonts w:ascii="Times New Roman" w:hAnsi="Times New Roman" w:cs="Times New Roman"/>
          <w:sz w:val="24"/>
          <w:szCs w:val="24"/>
          <w:lang w:val="en-AU"/>
        </w:rPr>
        <w:t>ROLO, Ireland (</w:t>
      </w:r>
      <w:r w:rsidR="001F2588">
        <w:rPr>
          <w:rFonts w:ascii="Times New Roman" w:hAnsi="Times New Roman" w:cs="Times New Roman"/>
          <w:sz w:val="24"/>
          <w:szCs w:val="24"/>
          <w:lang w:val="en-AU"/>
        </w:rPr>
        <w:t>1/1/2007-1/1/2011</w:t>
      </w:r>
      <w:r w:rsidR="00C16EE3">
        <w:rPr>
          <w:rFonts w:ascii="Times New Roman" w:hAnsi="Times New Roman" w:cs="Times New Roman"/>
          <w:sz w:val="24"/>
          <w:szCs w:val="24"/>
          <w:lang w:val="en-AU"/>
        </w:rPr>
        <w:t xml:space="preserve">); </w:t>
      </w:r>
      <w:r w:rsidR="0035081B">
        <w:rPr>
          <w:rFonts w:ascii="Times New Roman" w:hAnsi="Times New Roman" w:cs="Times New Roman"/>
          <w:sz w:val="24"/>
          <w:szCs w:val="24"/>
          <w:lang w:val="en-AU"/>
        </w:rPr>
        <w:t>SWS, UK</w:t>
      </w:r>
      <w:r w:rsidR="001F2588">
        <w:rPr>
          <w:rFonts w:ascii="Times New Roman" w:hAnsi="Times New Roman" w:cs="Times New Roman"/>
          <w:sz w:val="24"/>
          <w:szCs w:val="24"/>
          <w:lang w:val="en-AU"/>
        </w:rPr>
        <w:t xml:space="preserve"> </w:t>
      </w:r>
      <w:r w:rsidR="0035081B">
        <w:rPr>
          <w:rFonts w:ascii="Times New Roman" w:hAnsi="Times New Roman" w:cs="Times New Roman"/>
          <w:sz w:val="24"/>
          <w:szCs w:val="24"/>
          <w:lang w:val="en-AU"/>
        </w:rPr>
        <w:t>(6/4/1998-17/12/2002</w:t>
      </w:r>
      <w:r w:rsidR="005A69B2">
        <w:rPr>
          <w:rFonts w:ascii="Times New Roman" w:hAnsi="Times New Roman" w:cs="Times New Roman"/>
          <w:sz w:val="24"/>
          <w:szCs w:val="24"/>
          <w:lang w:val="en-AU"/>
        </w:rPr>
        <w:t>)]</w:t>
      </w:r>
      <w:r w:rsidRPr="004F6EAB">
        <w:rPr>
          <w:rFonts w:ascii="Times New Roman" w:hAnsi="Times New Roman" w:cs="Times New Roman"/>
          <w:sz w:val="24"/>
          <w:szCs w:val="24"/>
          <w:lang w:val="en-AU"/>
        </w:rPr>
        <w:t>.</w:t>
      </w:r>
      <w:r w:rsidR="00132C10" w:rsidRPr="004F6EAB">
        <w:rPr>
          <w:rFonts w:ascii="Times New Roman" w:hAnsi="Times New Roman" w:cs="Times New Roman"/>
          <w:sz w:val="24"/>
          <w:szCs w:val="24"/>
          <w:lang w:val="en-AU"/>
        </w:rPr>
        <w:t xml:space="preserve"> </w:t>
      </w:r>
      <w:r w:rsidRPr="004F6EAB">
        <w:rPr>
          <w:rFonts w:ascii="Times New Roman" w:hAnsi="Times New Roman" w:cs="Times New Roman"/>
          <w:sz w:val="24"/>
          <w:szCs w:val="24"/>
          <w:lang w:val="en-AU"/>
        </w:rPr>
        <w:t>Maternal diets were assessed pre-conceptionally (</w:t>
      </w:r>
      <w:r w:rsidRPr="004F6EAB">
        <w:rPr>
          <w:rFonts w:ascii="Times New Roman" w:hAnsi="Times New Roman" w:cs="Times New Roman"/>
          <w:i/>
          <w:iCs/>
          <w:sz w:val="24"/>
          <w:szCs w:val="24"/>
          <w:lang w:val="en-AU"/>
        </w:rPr>
        <w:t>n</w:t>
      </w:r>
      <w:r w:rsidRPr="004F6EAB">
        <w:rPr>
          <w:rFonts w:ascii="Times New Roman" w:hAnsi="Times New Roman" w:cs="Times New Roman"/>
          <w:sz w:val="24"/>
          <w:szCs w:val="24"/>
          <w:lang w:val="en-AU"/>
        </w:rPr>
        <w:t>=2 cohorts) and antenatally (</w:t>
      </w:r>
      <w:r w:rsidRPr="004F6EAB">
        <w:rPr>
          <w:rFonts w:ascii="Times New Roman" w:hAnsi="Times New Roman" w:cs="Times New Roman"/>
          <w:i/>
          <w:iCs/>
          <w:sz w:val="24"/>
          <w:szCs w:val="24"/>
          <w:lang w:val="en-AU"/>
        </w:rPr>
        <w:t>n</w:t>
      </w:r>
      <w:r w:rsidRPr="004F6EAB">
        <w:rPr>
          <w:rFonts w:ascii="Times New Roman" w:hAnsi="Times New Roman" w:cs="Times New Roman"/>
          <w:sz w:val="24"/>
          <w:szCs w:val="24"/>
          <w:lang w:val="en-AU"/>
        </w:rPr>
        <w:t xml:space="preserve">=7 cohorts). Maternal dietary inflammatory potential and quality were </w:t>
      </w:r>
      <w:r w:rsidR="00132C10" w:rsidRPr="004F6EAB">
        <w:rPr>
          <w:rFonts w:ascii="Times New Roman" w:hAnsi="Times New Roman" w:cs="Times New Roman"/>
          <w:sz w:val="24"/>
          <w:szCs w:val="24"/>
          <w:lang w:val="en-AU"/>
        </w:rPr>
        <w:t xml:space="preserve">ranked </w:t>
      </w:r>
      <w:r w:rsidRPr="004F6EAB">
        <w:rPr>
          <w:rFonts w:ascii="Times New Roman" w:hAnsi="Times New Roman" w:cs="Times New Roman"/>
          <w:sz w:val="24"/>
          <w:szCs w:val="24"/>
          <w:lang w:val="en-AU"/>
        </w:rPr>
        <w:t xml:space="preserve">using the energy-adjusted Dietary Inflammatory Index (E-DII) and Dietary Approaches to Stop Hypertension (DASH) </w:t>
      </w:r>
      <w:r w:rsidR="00132C10" w:rsidRPr="004F6EAB">
        <w:rPr>
          <w:rFonts w:ascii="Times New Roman" w:hAnsi="Times New Roman" w:cs="Times New Roman"/>
          <w:sz w:val="24"/>
          <w:szCs w:val="24"/>
          <w:lang w:val="en-AU"/>
        </w:rPr>
        <w:t>index</w:t>
      </w:r>
      <w:r w:rsidRPr="004F6EAB">
        <w:rPr>
          <w:rFonts w:ascii="Times New Roman" w:hAnsi="Times New Roman" w:cs="Times New Roman"/>
          <w:sz w:val="24"/>
          <w:szCs w:val="24"/>
          <w:lang w:val="en-AU"/>
        </w:rPr>
        <w:t>, respectively.</w:t>
      </w:r>
      <w:r w:rsidR="00C040C7" w:rsidRPr="004F6EAB">
        <w:rPr>
          <w:rFonts w:ascii="Times New Roman" w:hAnsi="Times New Roman" w:cs="Times New Roman"/>
          <w:sz w:val="24"/>
          <w:szCs w:val="24"/>
          <w:lang w:val="en-AU"/>
        </w:rPr>
        <w:t xml:space="preserve"> </w:t>
      </w:r>
      <w:r w:rsidR="004A32ED" w:rsidRPr="004F6EAB">
        <w:rPr>
          <w:rFonts w:ascii="Times New Roman" w:hAnsi="Times New Roman" w:cs="Times New Roman"/>
          <w:sz w:val="24"/>
          <w:szCs w:val="24"/>
          <w:lang w:val="en-AU"/>
        </w:rPr>
        <w:t xml:space="preserve">Primary outcomes were birth weight and </w:t>
      </w:r>
      <w:r w:rsidR="00790BD2" w:rsidRPr="004F6EAB">
        <w:rPr>
          <w:rFonts w:ascii="Times New Roman" w:hAnsi="Times New Roman" w:cs="Times New Roman"/>
          <w:sz w:val="24"/>
          <w:szCs w:val="24"/>
          <w:lang w:val="en-AU"/>
        </w:rPr>
        <w:t>gestational age</w:t>
      </w:r>
      <w:r w:rsidR="004A32ED" w:rsidRPr="004F6EAB">
        <w:rPr>
          <w:rFonts w:ascii="Times New Roman" w:hAnsi="Times New Roman" w:cs="Times New Roman"/>
          <w:sz w:val="24"/>
          <w:szCs w:val="24"/>
          <w:lang w:val="en-AU"/>
        </w:rPr>
        <w:t xml:space="preserve"> at birth</w:t>
      </w:r>
      <w:r w:rsidR="00AE7B4C" w:rsidRPr="004F6EAB">
        <w:rPr>
          <w:rFonts w:ascii="Times New Roman" w:hAnsi="Times New Roman" w:cs="Times New Roman"/>
          <w:sz w:val="24"/>
          <w:szCs w:val="24"/>
          <w:lang w:val="en-AU"/>
        </w:rPr>
        <w:t>.</w:t>
      </w:r>
      <w:r w:rsidR="004A32ED" w:rsidRPr="004F6EAB">
        <w:rPr>
          <w:rFonts w:ascii="Times New Roman" w:hAnsi="Times New Roman" w:cs="Times New Roman"/>
          <w:sz w:val="24"/>
          <w:szCs w:val="24"/>
          <w:lang w:val="en-AU"/>
        </w:rPr>
        <w:t xml:space="preserve"> </w:t>
      </w:r>
      <w:r w:rsidR="00AE7B4C" w:rsidRPr="004F6EAB">
        <w:rPr>
          <w:rFonts w:ascii="Times New Roman" w:hAnsi="Times New Roman" w:cs="Times New Roman"/>
          <w:sz w:val="24"/>
          <w:szCs w:val="24"/>
          <w:lang w:val="en-AU"/>
        </w:rPr>
        <w:t>Adverse birth outcomes</w:t>
      </w:r>
      <w:r w:rsidR="00790BD2" w:rsidRPr="004F6EAB">
        <w:rPr>
          <w:rFonts w:ascii="Times New Roman" w:hAnsi="Times New Roman" w:cs="Times New Roman"/>
          <w:sz w:val="24"/>
          <w:szCs w:val="24"/>
          <w:lang w:val="en-AU"/>
        </w:rPr>
        <w:t xml:space="preserve"> i.e.</w:t>
      </w:r>
      <w:r w:rsidR="00AE7B4C" w:rsidRPr="004F6EAB">
        <w:rPr>
          <w:rFonts w:ascii="Times New Roman" w:hAnsi="Times New Roman" w:cs="Times New Roman"/>
          <w:sz w:val="24"/>
          <w:szCs w:val="24"/>
          <w:lang w:val="en-AU"/>
        </w:rPr>
        <w:t xml:space="preserve"> l</w:t>
      </w:r>
      <w:r w:rsidR="009F5272" w:rsidRPr="004F6EAB">
        <w:rPr>
          <w:rFonts w:ascii="Times New Roman" w:hAnsi="Times New Roman" w:cs="Times New Roman"/>
          <w:sz w:val="24"/>
          <w:szCs w:val="24"/>
          <w:lang w:val="en-AU"/>
        </w:rPr>
        <w:t>ow birth weight (LBW)</w:t>
      </w:r>
      <w:r w:rsidR="00AE7B4C" w:rsidRPr="004F6EAB">
        <w:rPr>
          <w:rFonts w:ascii="Times New Roman" w:hAnsi="Times New Roman" w:cs="Times New Roman"/>
          <w:sz w:val="24"/>
          <w:szCs w:val="24"/>
          <w:lang w:val="en-AU"/>
        </w:rPr>
        <w:t>, macrosomia, small-for-gestational-age</w:t>
      </w:r>
      <w:r w:rsidR="0008371A" w:rsidRPr="004F6EAB">
        <w:rPr>
          <w:rFonts w:ascii="Times New Roman" w:hAnsi="Times New Roman" w:cs="Times New Roman"/>
          <w:sz w:val="24"/>
          <w:szCs w:val="24"/>
          <w:lang w:val="en-AU"/>
        </w:rPr>
        <w:t xml:space="preserve"> (SGA)</w:t>
      </w:r>
      <w:r w:rsidR="00AE7B4C" w:rsidRPr="004F6EAB">
        <w:rPr>
          <w:rFonts w:ascii="Times New Roman" w:hAnsi="Times New Roman" w:cs="Times New Roman"/>
          <w:sz w:val="24"/>
          <w:szCs w:val="24"/>
          <w:lang w:val="en-AU"/>
        </w:rPr>
        <w:t xml:space="preserve">, </w:t>
      </w:r>
      <w:r w:rsidR="0008371A" w:rsidRPr="004F6EAB">
        <w:rPr>
          <w:rFonts w:ascii="Times New Roman" w:hAnsi="Times New Roman" w:cs="Times New Roman"/>
          <w:sz w:val="24"/>
          <w:szCs w:val="24"/>
          <w:lang w:val="en-AU"/>
        </w:rPr>
        <w:t xml:space="preserve">large-for-gestational-age (LGA), </w:t>
      </w:r>
      <w:r w:rsidR="009F5272" w:rsidRPr="004F6EAB">
        <w:rPr>
          <w:rFonts w:ascii="Times New Roman" w:hAnsi="Times New Roman" w:cs="Times New Roman"/>
          <w:sz w:val="24"/>
          <w:szCs w:val="24"/>
          <w:lang w:val="en-AU"/>
        </w:rPr>
        <w:t xml:space="preserve">preterm </w:t>
      </w:r>
      <w:r w:rsidR="00AE7B4C" w:rsidRPr="004F6EAB">
        <w:rPr>
          <w:rFonts w:ascii="Times New Roman" w:hAnsi="Times New Roman" w:cs="Times New Roman"/>
          <w:sz w:val="24"/>
          <w:szCs w:val="24"/>
          <w:lang w:val="en-AU"/>
        </w:rPr>
        <w:t xml:space="preserve">and post-term </w:t>
      </w:r>
      <w:r w:rsidR="009F5272" w:rsidRPr="004F6EAB">
        <w:rPr>
          <w:rFonts w:ascii="Times New Roman" w:hAnsi="Times New Roman" w:cs="Times New Roman"/>
          <w:sz w:val="24"/>
          <w:szCs w:val="24"/>
          <w:lang w:val="en-AU"/>
        </w:rPr>
        <w:t>birth</w:t>
      </w:r>
      <w:r w:rsidR="00AE7B4C" w:rsidRPr="004F6EAB">
        <w:rPr>
          <w:rFonts w:ascii="Times New Roman" w:hAnsi="Times New Roman" w:cs="Times New Roman"/>
          <w:sz w:val="24"/>
          <w:szCs w:val="24"/>
          <w:lang w:val="en-AU"/>
        </w:rPr>
        <w:t>s</w:t>
      </w:r>
      <w:r w:rsidR="009F5272" w:rsidRPr="004F6EAB">
        <w:rPr>
          <w:rFonts w:ascii="Times New Roman" w:hAnsi="Times New Roman" w:cs="Times New Roman"/>
          <w:sz w:val="24"/>
          <w:szCs w:val="24"/>
          <w:lang w:val="en-AU"/>
        </w:rPr>
        <w:t xml:space="preserve"> </w:t>
      </w:r>
      <w:r w:rsidR="00AE7B4C" w:rsidRPr="004F6EAB">
        <w:rPr>
          <w:rFonts w:ascii="Times New Roman" w:hAnsi="Times New Roman" w:cs="Times New Roman"/>
          <w:sz w:val="24"/>
          <w:szCs w:val="24"/>
          <w:lang w:val="en-AU"/>
        </w:rPr>
        <w:t>were defined according to standard clinical cut-offs</w:t>
      </w:r>
      <w:r w:rsidR="009F5272" w:rsidRPr="004F6EAB">
        <w:rPr>
          <w:rFonts w:ascii="Times New Roman" w:hAnsi="Times New Roman" w:cs="Times New Roman"/>
          <w:sz w:val="24"/>
          <w:szCs w:val="24"/>
          <w:lang w:val="en-AU"/>
        </w:rPr>
        <w:t xml:space="preserve">. </w:t>
      </w:r>
      <w:r w:rsidR="0037443F" w:rsidRPr="004F6EAB">
        <w:rPr>
          <w:rFonts w:ascii="Times New Roman" w:hAnsi="Times New Roman" w:cs="Times New Roman"/>
          <w:sz w:val="24"/>
          <w:szCs w:val="24"/>
          <w:lang w:val="en-AU"/>
        </w:rPr>
        <w:t>A</w:t>
      </w:r>
      <w:r w:rsidR="009F5272" w:rsidRPr="004F6EAB">
        <w:rPr>
          <w:rFonts w:ascii="Times New Roman" w:hAnsi="Times New Roman" w:cs="Times New Roman"/>
          <w:sz w:val="24"/>
          <w:szCs w:val="24"/>
          <w:lang w:val="en-AU"/>
        </w:rPr>
        <w:t xml:space="preserve">ssociations of maternal </w:t>
      </w:r>
      <w:r w:rsidRPr="004F6EAB">
        <w:rPr>
          <w:rFonts w:ascii="Times New Roman" w:hAnsi="Times New Roman" w:cs="Times New Roman"/>
          <w:sz w:val="24"/>
          <w:szCs w:val="24"/>
          <w:lang w:val="en-AU"/>
        </w:rPr>
        <w:t>E-DII</w:t>
      </w:r>
      <w:r w:rsidR="009F5272" w:rsidRPr="004F6EAB">
        <w:rPr>
          <w:rFonts w:ascii="Times New Roman" w:hAnsi="Times New Roman" w:cs="Times New Roman"/>
          <w:sz w:val="24"/>
          <w:szCs w:val="24"/>
          <w:lang w:val="en-AU"/>
        </w:rPr>
        <w:t xml:space="preserve"> and </w:t>
      </w:r>
      <w:r w:rsidRPr="004F6EAB">
        <w:rPr>
          <w:rFonts w:ascii="Times New Roman" w:hAnsi="Times New Roman" w:cs="Times New Roman"/>
          <w:sz w:val="24"/>
          <w:szCs w:val="24"/>
          <w:lang w:val="en-AU"/>
        </w:rPr>
        <w:t>DASH</w:t>
      </w:r>
      <w:r w:rsidR="009F5272" w:rsidRPr="004F6EAB">
        <w:rPr>
          <w:rFonts w:ascii="Times New Roman" w:hAnsi="Times New Roman" w:cs="Times New Roman"/>
          <w:sz w:val="24"/>
          <w:szCs w:val="24"/>
          <w:lang w:val="en-AU"/>
        </w:rPr>
        <w:t xml:space="preserve"> </w:t>
      </w:r>
      <w:r w:rsidR="00FE7F46" w:rsidRPr="004F6EAB">
        <w:rPr>
          <w:rFonts w:ascii="Times New Roman" w:hAnsi="Times New Roman" w:cs="Times New Roman"/>
          <w:sz w:val="24"/>
          <w:szCs w:val="24"/>
          <w:lang w:val="en-AU"/>
        </w:rPr>
        <w:t>score</w:t>
      </w:r>
      <w:r w:rsidRPr="004F6EAB">
        <w:rPr>
          <w:rFonts w:ascii="Times New Roman" w:hAnsi="Times New Roman" w:cs="Times New Roman"/>
          <w:sz w:val="24"/>
          <w:szCs w:val="24"/>
          <w:lang w:val="en-AU"/>
        </w:rPr>
        <w:t>s</w:t>
      </w:r>
      <w:r w:rsidR="00FE7F46" w:rsidRPr="004F6EAB">
        <w:rPr>
          <w:rFonts w:ascii="Times New Roman" w:hAnsi="Times New Roman" w:cs="Times New Roman"/>
          <w:sz w:val="24"/>
          <w:szCs w:val="24"/>
          <w:lang w:val="en-AU"/>
        </w:rPr>
        <w:t xml:space="preserve"> </w:t>
      </w:r>
      <w:r w:rsidR="009F5272" w:rsidRPr="004F6EAB">
        <w:rPr>
          <w:rFonts w:ascii="Times New Roman" w:hAnsi="Times New Roman" w:cs="Times New Roman"/>
          <w:sz w:val="24"/>
          <w:szCs w:val="24"/>
          <w:lang w:val="en-AU"/>
        </w:rPr>
        <w:t xml:space="preserve">with </w:t>
      </w:r>
      <w:r w:rsidR="00E87499" w:rsidRPr="004F6EAB">
        <w:rPr>
          <w:rFonts w:ascii="Times New Roman" w:hAnsi="Times New Roman" w:cs="Times New Roman"/>
          <w:sz w:val="24"/>
          <w:szCs w:val="24"/>
          <w:lang w:val="en-AU"/>
        </w:rPr>
        <w:t xml:space="preserve">infant </w:t>
      </w:r>
      <w:r w:rsidR="009F5272" w:rsidRPr="004F6EAB">
        <w:rPr>
          <w:rFonts w:ascii="Times New Roman" w:hAnsi="Times New Roman" w:cs="Times New Roman"/>
          <w:sz w:val="24"/>
          <w:szCs w:val="24"/>
          <w:lang w:val="en-AU"/>
        </w:rPr>
        <w:t>birth outcomes</w:t>
      </w:r>
      <w:r w:rsidR="00790BD2" w:rsidRPr="004F6EAB">
        <w:rPr>
          <w:rFonts w:ascii="Times New Roman" w:hAnsi="Times New Roman" w:cs="Times New Roman"/>
          <w:sz w:val="24"/>
          <w:szCs w:val="24"/>
          <w:lang w:val="en-AU"/>
        </w:rPr>
        <w:t xml:space="preserve"> were assessed using</w:t>
      </w:r>
      <w:r w:rsidR="009F5272" w:rsidRPr="004F6EAB">
        <w:rPr>
          <w:rFonts w:ascii="Times New Roman" w:hAnsi="Times New Roman" w:cs="Times New Roman"/>
          <w:sz w:val="24"/>
          <w:szCs w:val="24"/>
          <w:lang w:val="en-AU"/>
        </w:rPr>
        <w:t xml:space="preserve"> cohort-specific</w:t>
      </w:r>
      <w:r w:rsidR="0037443F" w:rsidRPr="004F6EAB">
        <w:rPr>
          <w:rFonts w:ascii="Times New Roman" w:hAnsi="Times New Roman" w:cs="Times New Roman"/>
          <w:sz w:val="24"/>
          <w:szCs w:val="24"/>
          <w:lang w:val="en-AU"/>
        </w:rPr>
        <w:t xml:space="preserve"> multivariable regression</w:t>
      </w:r>
      <w:r w:rsidR="009F5272" w:rsidRPr="004F6EAB">
        <w:rPr>
          <w:rFonts w:ascii="Times New Roman" w:hAnsi="Times New Roman" w:cs="Times New Roman"/>
          <w:sz w:val="24"/>
          <w:szCs w:val="24"/>
          <w:lang w:val="en-AU"/>
        </w:rPr>
        <w:t xml:space="preserve"> analyses</w:t>
      </w:r>
      <w:r w:rsidR="00C334FB" w:rsidRPr="004F6EAB">
        <w:rPr>
          <w:rFonts w:ascii="Times New Roman" w:hAnsi="Times New Roman" w:cs="Times New Roman"/>
          <w:sz w:val="24"/>
          <w:szCs w:val="24"/>
          <w:lang w:val="en-AU"/>
        </w:rPr>
        <w:t xml:space="preserve"> (adjusted for confounders</w:t>
      </w:r>
      <w:r w:rsidR="009C021F">
        <w:t xml:space="preserve"> </w:t>
      </w:r>
      <w:r w:rsidR="009C021F" w:rsidRPr="009C021F">
        <w:rPr>
          <w:rFonts w:ascii="Times New Roman" w:hAnsi="Times New Roman" w:cs="Times New Roman"/>
          <w:sz w:val="24"/>
          <w:szCs w:val="24"/>
        </w:rPr>
        <w:t>inc</w:t>
      </w:r>
      <w:r w:rsidR="009C021F">
        <w:rPr>
          <w:rFonts w:ascii="Times New Roman" w:hAnsi="Times New Roman" w:cs="Times New Roman"/>
          <w:sz w:val="24"/>
          <w:szCs w:val="24"/>
        </w:rPr>
        <w:t xml:space="preserve">luding </w:t>
      </w:r>
      <w:r w:rsidR="009C021F" w:rsidRPr="009C021F">
        <w:rPr>
          <w:rFonts w:ascii="Times New Roman" w:hAnsi="Times New Roman" w:cs="Times New Roman"/>
          <w:sz w:val="24"/>
          <w:szCs w:val="24"/>
          <w:lang w:val="en-AU"/>
        </w:rPr>
        <w:t xml:space="preserve">maternal education, </w:t>
      </w:r>
      <w:r w:rsidR="009C021F" w:rsidRPr="009C021F">
        <w:rPr>
          <w:rFonts w:ascii="Times New Roman" w:hAnsi="Times New Roman" w:cs="Times New Roman"/>
          <w:sz w:val="24"/>
          <w:szCs w:val="24"/>
          <w:lang w:val="en-AU"/>
        </w:rPr>
        <w:lastRenderedPageBreak/>
        <w:t>ethnicity, pre-pregnancy BMI, maternal height, parity</w:t>
      </w:r>
      <w:r w:rsidR="009C021F">
        <w:rPr>
          <w:rFonts w:ascii="Times New Roman" w:hAnsi="Times New Roman" w:cs="Times New Roman"/>
          <w:sz w:val="24"/>
          <w:szCs w:val="24"/>
          <w:lang w:val="en-AU"/>
        </w:rPr>
        <w:t>, cigarettes smoking, and alcohol consumption</w:t>
      </w:r>
      <w:r w:rsidR="00C334FB" w:rsidRPr="004F6EAB">
        <w:rPr>
          <w:rFonts w:ascii="Times New Roman" w:hAnsi="Times New Roman" w:cs="Times New Roman"/>
          <w:sz w:val="24"/>
          <w:szCs w:val="24"/>
          <w:lang w:val="en-AU"/>
        </w:rPr>
        <w:t>)</w:t>
      </w:r>
      <w:r w:rsidR="009F5272" w:rsidRPr="004F6EAB">
        <w:rPr>
          <w:rFonts w:ascii="Times New Roman" w:hAnsi="Times New Roman" w:cs="Times New Roman"/>
          <w:sz w:val="24"/>
          <w:szCs w:val="24"/>
          <w:lang w:val="en-AU"/>
        </w:rPr>
        <w:t xml:space="preserve">, with subsequent random-effects meta-analyses. </w:t>
      </w:r>
    </w:p>
    <w:p w14:paraId="569EC05E" w14:textId="7A0D0A50" w:rsidR="008A785E" w:rsidRPr="008A785E" w:rsidRDefault="0024767A" w:rsidP="008A785E">
      <w:pPr>
        <w:spacing w:line="480" w:lineRule="auto"/>
        <w:rPr>
          <w:rFonts w:ascii="Times New Roman" w:hAnsi="Times New Roman" w:cs="Times New Roman"/>
          <w:sz w:val="24"/>
          <w:szCs w:val="24"/>
          <w:lang w:val="en-AU"/>
        </w:rPr>
      </w:pPr>
      <w:bookmarkStart w:id="1" w:name="_Hlk26815828"/>
      <w:r w:rsidRPr="004F6EAB">
        <w:rPr>
          <w:rFonts w:ascii="Times New Roman" w:hAnsi="Times New Roman" w:cs="Times New Roman"/>
          <w:sz w:val="24"/>
          <w:szCs w:val="24"/>
        </w:rPr>
        <w:t>Overal</w:t>
      </w:r>
      <w:r w:rsidR="00190257">
        <w:rPr>
          <w:rFonts w:ascii="Times New Roman" w:hAnsi="Times New Roman" w:cs="Times New Roman"/>
          <w:sz w:val="24"/>
          <w:szCs w:val="24"/>
        </w:rPr>
        <w:t xml:space="preserve">l, the study mothers had a </w:t>
      </w:r>
      <w:proofErr w:type="spellStart"/>
      <w:r w:rsidR="00190257">
        <w:rPr>
          <w:rFonts w:ascii="Times New Roman" w:hAnsi="Times New Roman" w:cs="Times New Roman"/>
          <w:sz w:val="24"/>
          <w:szCs w:val="24"/>
        </w:rPr>
        <w:t>mean±SD</w:t>
      </w:r>
      <w:proofErr w:type="spellEnd"/>
      <w:r w:rsidR="00190257">
        <w:rPr>
          <w:rFonts w:ascii="Times New Roman" w:hAnsi="Times New Roman" w:cs="Times New Roman"/>
          <w:sz w:val="24"/>
          <w:szCs w:val="24"/>
        </w:rPr>
        <w:t xml:space="preserve"> age of 29.5±</w:t>
      </w:r>
      <w:r w:rsidRPr="004F6EAB">
        <w:rPr>
          <w:rFonts w:ascii="Times New Roman" w:hAnsi="Times New Roman" w:cs="Times New Roman"/>
          <w:sz w:val="24"/>
          <w:szCs w:val="24"/>
        </w:rPr>
        <w:t>4.9 y at de</w:t>
      </w:r>
      <w:r w:rsidR="00190257">
        <w:rPr>
          <w:rFonts w:ascii="Times New Roman" w:hAnsi="Times New Roman" w:cs="Times New Roman"/>
          <w:sz w:val="24"/>
          <w:szCs w:val="24"/>
        </w:rPr>
        <w:t>livery and a mean BMI of 23.3±</w:t>
      </w:r>
      <w:r w:rsidRPr="004F6EAB">
        <w:rPr>
          <w:rFonts w:ascii="Times New Roman" w:hAnsi="Times New Roman" w:cs="Times New Roman"/>
          <w:sz w:val="24"/>
          <w:szCs w:val="24"/>
        </w:rPr>
        <w:t>4.2 kg/m</w:t>
      </w:r>
      <w:r w:rsidRPr="004F6EAB">
        <w:rPr>
          <w:rFonts w:ascii="Times New Roman" w:hAnsi="Times New Roman" w:cs="Times New Roman"/>
          <w:sz w:val="24"/>
          <w:szCs w:val="24"/>
          <w:vertAlign w:val="superscript"/>
        </w:rPr>
        <w:t>2</w:t>
      </w:r>
      <w:r>
        <w:rPr>
          <w:rFonts w:ascii="Times New Roman" w:hAnsi="Times New Roman" w:cs="Times New Roman"/>
          <w:sz w:val="24"/>
          <w:szCs w:val="24"/>
        </w:rPr>
        <w:t>.</w:t>
      </w:r>
      <w:r w:rsidRPr="004F6EAB">
        <w:rPr>
          <w:rFonts w:ascii="Times New Roman" w:hAnsi="Times New Roman" w:cs="Times New Roman"/>
          <w:sz w:val="24"/>
          <w:szCs w:val="24"/>
          <w:vertAlign w:val="superscript"/>
        </w:rPr>
        <w:t xml:space="preserve"> </w:t>
      </w:r>
      <w:r w:rsidR="008A785E" w:rsidRPr="008A785E">
        <w:rPr>
          <w:rFonts w:ascii="Times New Roman" w:hAnsi="Times New Roman" w:cs="Times New Roman"/>
          <w:sz w:val="24"/>
          <w:szCs w:val="24"/>
        </w:rPr>
        <w:t>Higher pregnancy DASH score (higher dietary quality) was associated with higher birth weight [β(95%CI)=18.5(5.7, 31.3)</w:t>
      </w:r>
      <w:r w:rsidR="00190257">
        <w:rPr>
          <w:rFonts w:ascii="Times New Roman" w:hAnsi="Times New Roman" w:cs="Times New Roman"/>
          <w:sz w:val="24"/>
          <w:szCs w:val="24"/>
        </w:rPr>
        <w:t xml:space="preserve"> </w:t>
      </w:r>
      <w:r w:rsidR="008A785E" w:rsidRPr="008A785E">
        <w:rPr>
          <w:rFonts w:ascii="Times New Roman" w:hAnsi="Times New Roman" w:cs="Times New Roman"/>
          <w:sz w:val="24"/>
          <w:szCs w:val="24"/>
        </w:rPr>
        <w:t>g per 1-SD higher DASH score</w:t>
      </w:r>
      <w:r w:rsidR="00190257">
        <w:rPr>
          <w:rFonts w:ascii="Times New Roman" w:hAnsi="Times New Roman" w:cs="Times New Roman"/>
          <w:sz w:val="24"/>
          <w:szCs w:val="24"/>
        </w:rPr>
        <w:t xml:space="preserve">; </w:t>
      </w:r>
      <w:r w:rsidR="00FC73AF" w:rsidRPr="00FC73AF">
        <w:rPr>
          <w:rFonts w:ascii="Times New Roman" w:hAnsi="Times New Roman" w:cs="Times New Roman"/>
          <w:i/>
          <w:sz w:val="24"/>
          <w:szCs w:val="24"/>
        </w:rPr>
        <w:t>P</w:t>
      </w:r>
      <w:r w:rsidR="00FC73AF">
        <w:rPr>
          <w:rFonts w:ascii="Times New Roman" w:hAnsi="Times New Roman" w:cs="Times New Roman"/>
          <w:sz w:val="24"/>
          <w:szCs w:val="24"/>
        </w:rPr>
        <w:t>-value=0.005</w:t>
      </w:r>
      <w:r w:rsidR="008A785E" w:rsidRPr="008A785E">
        <w:rPr>
          <w:rFonts w:ascii="Times New Roman" w:hAnsi="Times New Roman" w:cs="Times New Roman"/>
          <w:sz w:val="24"/>
          <w:szCs w:val="24"/>
        </w:rPr>
        <w:t>] and head circumference [0.03(0.01, 0.06)</w:t>
      </w:r>
      <w:r w:rsidR="00190257">
        <w:rPr>
          <w:rFonts w:ascii="Times New Roman" w:hAnsi="Times New Roman" w:cs="Times New Roman"/>
          <w:sz w:val="24"/>
          <w:szCs w:val="24"/>
        </w:rPr>
        <w:t xml:space="preserve"> </w:t>
      </w:r>
      <w:r w:rsidR="008A785E" w:rsidRPr="008A785E">
        <w:rPr>
          <w:rFonts w:ascii="Times New Roman" w:hAnsi="Times New Roman" w:cs="Times New Roman"/>
          <w:sz w:val="24"/>
          <w:szCs w:val="24"/>
        </w:rPr>
        <w:t>cm</w:t>
      </w:r>
      <w:r w:rsidR="00190257">
        <w:rPr>
          <w:rFonts w:ascii="Times New Roman" w:hAnsi="Times New Roman" w:cs="Times New Roman"/>
          <w:sz w:val="24"/>
          <w:szCs w:val="24"/>
        </w:rPr>
        <w:t xml:space="preserve">; </w:t>
      </w:r>
      <w:r w:rsidR="00FC73AF" w:rsidRPr="00FC73AF">
        <w:rPr>
          <w:rFonts w:ascii="Times New Roman" w:hAnsi="Times New Roman" w:cs="Times New Roman"/>
          <w:i/>
          <w:sz w:val="24"/>
          <w:szCs w:val="24"/>
        </w:rPr>
        <w:t>P</w:t>
      </w:r>
      <w:r w:rsidR="00FC73AF">
        <w:rPr>
          <w:rFonts w:ascii="Times New Roman" w:hAnsi="Times New Roman" w:cs="Times New Roman"/>
          <w:sz w:val="24"/>
          <w:szCs w:val="24"/>
        </w:rPr>
        <w:t>-value=0.004</w:t>
      </w:r>
      <w:r w:rsidR="008A785E" w:rsidRPr="008A785E">
        <w:rPr>
          <w:rFonts w:ascii="Times New Roman" w:hAnsi="Times New Roman" w:cs="Times New Roman"/>
          <w:sz w:val="24"/>
          <w:szCs w:val="24"/>
        </w:rPr>
        <w:t>], longer birth length [0.05(0.01, 0.10)</w:t>
      </w:r>
      <w:r w:rsidR="00190257">
        <w:rPr>
          <w:rFonts w:ascii="Times New Roman" w:hAnsi="Times New Roman" w:cs="Times New Roman"/>
          <w:sz w:val="24"/>
          <w:szCs w:val="24"/>
        </w:rPr>
        <w:t xml:space="preserve"> </w:t>
      </w:r>
      <w:r w:rsidR="008A785E" w:rsidRPr="008A785E">
        <w:rPr>
          <w:rFonts w:ascii="Times New Roman" w:hAnsi="Times New Roman" w:cs="Times New Roman"/>
          <w:sz w:val="24"/>
          <w:szCs w:val="24"/>
        </w:rPr>
        <w:t>cm</w:t>
      </w:r>
      <w:r w:rsidR="00190257">
        <w:rPr>
          <w:rFonts w:ascii="Times New Roman" w:hAnsi="Times New Roman" w:cs="Times New Roman"/>
          <w:sz w:val="24"/>
          <w:szCs w:val="24"/>
        </w:rPr>
        <w:t xml:space="preserve">; </w:t>
      </w:r>
      <w:r w:rsidR="00FC73AF" w:rsidRPr="00FC73AF">
        <w:rPr>
          <w:rFonts w:ascii="Times New Roman" w:hAnsi="Times New Roman" w:cs="Times New Roman"/>
          <w:i/>
          <w:sz w:val="24"/>
          <w:szCs w:val="24"/>
        </w:rPr>
        <w:t>P</w:t>
      </w:r>
      <w:r w:rsidR="00FC73AF">
        <w:rPr>
          <w:rFonts w:ascii="Times New Roman" w:hAnsi="Times New Roman" w:cs="Times New Roman"/>
          <w:sz w:val="24"/>
          <w:szCs w:val="24"/>
        </w:rPr>
        <w:t>-value=0.010</w:t>
      </w:r>
      <w:r w:rsidR="008A785E" w:rsidRPr="008A785E">
        <w:rPr>
          <w:rFonts w:ascii="Times New Roman" w:hAnsi="Times New Roman" w:cs="Times New Roman"/>
          <w:sz w:val="24"/>
          <w:szCs w:val="24"/>
        </w:rPr>
        <w:t>], and lower risk of delivering LBW [OR (95%CI)=0.89(0.82, 0.95)</w:t>
      </w:r>
      <w:r w:rsidR="00FC73AF">
        <w:rPr>
          <w:rFonts w:ascii="Times New Roman" w:hAnsi="Times New Roman" w:cs="Times New Roman"/>
          <w:sz w:val="24"/>
          <w:szCs w:val="24"/>
        </w:rPr>
        <w:t>;</w:t>
      </w:r>
      <w:r w:rsidR="00190257">
        <w:rPr>
          <w:rFonts w:ascii="Times New Roman" w:hAnsi="Times New Roman" w:cs="Times New Roman"/>
          <w:sz w:val="24"/>
          <w:szCs w:val="24"/>
        </w:rPr>
        <w:t xml:space="preserve"> </w:t>
      </w:r>
      <w:r w:rsidR="00FC73AF" w:rsidRPr="00FC73AF">
        <w:rPr>
          <w:rFonts w:ascii="Times New Roman" w:hAnsi="Times New Roman" w:cs="Times New Roman"/>
          <w:i/>
          <w:sz w:val="24"/>
          <w:szCs w:val="24"/>
        </w:rPr>
        <w:t>P</w:t>
      </w:r>
      <w:r w:rsidR="00FC73AF">
        <w:rPr>
          <w:rFonts w:ascii="Times New Roman" w:hAnsi="Times New Roman" w:cs="Times New Roman"/>
          <w:sz w:val="24"/>
          <w:szCs w:val="24"/>
        </w:rPr>
        <w:t>-value=0.001</w:t>
      </w:r>
      <w:r w:rsidR="008A785E" w:rsidRPr="008A785E">
        <w:rPr>
          <w:rFonts w:ascii="Times New Roman" w:hAnsi="Times New Roman" w:cs="Times New Roman"/>
          <w:sz w:val="24"/>
          <w:szCs w:val="24"/>
        </w:rPr>
        <w:t>] and SGA [0.87(0.82, 0.94)</w:t>
      </w:r>
      <w:r w:rsidR="00FC73AF">
        <w:rPr>
          <w:rFonts w:ascii="Times New Roman" w:hAnsi="Times New Roman" w:cs="Times New Roman"/>
          <w:sz w:val="24"/>
          <w:szCs w:val="24"/>
        </w:rPr>
        <w:t>;</w:t>
      </w:r>
      <w:r w:rsidR="00FC73AF">
        <w:rPr>
          <w:rFonts w:ascii="Times New Roman" w:hAnsi="Times New Roman" w:cs="Times New Roman"/>
          <w:i/>
          <w:sz w:val="24"/>
          <w:szCs w:val="24"/>
        </w:rPr>
        <w:t xml:space="preserve"> </w:t>
      </w:r>
      <w:r w:rsidR="00FC73AF" w:rsidRPr="00FC73AF">
        <w:rPr>
          <w:rFonts w:ascii="Times New Roman" w:hAnsi="Times New Roman" w:cs="Times New Roman"/>
          <w:i/>
          <w:sz w:val="24"/>
          <w:szCs w:val="24"/>
        </w:rPr>
        <w:t>P</w:t>
      </w:r>
      <w:r w:rsidR="00FC73AF">
        <w:rPr>
          <w:rFonts w:ascii="Times New Roman" w:hAnsi="Times New Roman" w:cs="Times New Roman"/>
          <w:sz w:val="24"/>
          <w:szCs w:val="24"/>
        </w:rPr>
        <w:t>-value&lt;0.001</w:t>
      </w:r>
      <w:r w:rsidR="008A785E" w:rsidRPr="008A785E">
        <w:rPr>
          <w:rFonts w:ascii="Times New Roman" w:hAnsi="Times New Roman" w:cs="Times New Roman"/>
          <w:sz w:val="24"/>
          <w:szCs w:val="24"/>
        </w:rPr>
        <w:t>] infants. Higher maternal pre-pregnancy E-DII score (more pro-inflammatory diet) was associated with lower birth weight [β(95%CI)=-18.7(-34.8, -2.6)</w:t>
      </w:r>
      <w:r w:rsidR="00190257">
        <w:rPr>
          <w:rFonts w:ascii="Times New Roman" w:hAnsi="Times New Roman" w:cs="Times New Roman"/>
          <w:sz w:val="24"/>
          <w:szCs w:val="24"/>
        </w:rPr>
        <w:t xml:space="preserve"> </w:t>
      </w:r>
      <w:r w:rsidR="008A785E" w:rsidRPr="008A785E">
        <w:rPr>
          <w:rFonts w:ascii="Times New Roman" w:hAnsi="Times New Roman" w:cs="Times New Roman"/>
          <w:sz w:val="24"/>
          <w:szCs w:val="24"/>
        </w:rPr>
        <w:t>g per 1-SD higher E-DII score</w:t>
      </w:r>
      <w:r w:rsidR="00190257">
        <w:rPr>
          <w:rFonts w:ascii="Times New Roman" w:hAnsi="Times New Roman" w:cs="Times New Roman"/>
          <w:sz w:val="24"/>
          <w:szCs w:val="24"/>
        </w:rPr>
        <w:t xml:space="preserve">; </w:t>
      </w:r>
      <w:r w:rsidR="00FC73AF" w:rsidRPr="00FC73AF">
        <w:rPr>
          <w:rFonts w:ascii="Times New Roman" w:hAnsi="Times New Roman" w:cs="Times New Roman"/>
          <w:i/>
          <w:sz w:val="24"/>
          <w:szCs w:val="24"/>
        </w:rPr>
        <w:t>P</w:t>
      </w:r>
      <w:r w:rsidR="00FC73AF">
        <w:rPr>
          <w:rFonts w:ascii="Times New Roman" w:hAnsi="Times New Roman" w:cs="Times New Roman"/>
          <w:sz w:val="24"/>
          <w:szCs w:val="24"/>
        </w:rPr>
        <w:t>-value=0.023</w:t>
      </w:r>
      <w:r w:rsidR="008A785E" w:rsidRPr="008A785E">
        <w:rPr>
          <w:rFonts w:ascii="Times New Roman" w:hAnsi="Times New Roman" w:cs="Times New Roman"/>
          <w:sz w:val="24"/>
          <w:szCs w:val="24"/>
        </w:rPr>
        <w:t>] and shorter birth length [-0.07(-0.14, -0.01)</w:t>
      </w:r>
      <w:r w:rsidR="00190257">
        <w:rPr>
          <w:rFonts w:ascii="Times New Roman" w:hAnsi="Times New Roman" w:cs="Times New Roman"/>
          <w:sz w:val="24"/>
          <w:szCs w:val="24"/>
        </w:rPr>
        <w:t xml:space="preserve"> </w:t>
      </w:r>
      <w:r w:rsidR="008A785E" w:rsidRPr="008A785E">
        <w:rPr>
          <w:rFonts w:ascii="Times New Roman" w:hAnsi="Times New Roman" w:cs="Times New Roman"/>
          <w:sz w:val="24"/>
          <w:szCs w:val="24"/>
        </w:rPr>
        <w:t>cm</w:t>
      </w:r>
      <w:r w:rsidR="00190257">
        <w:rPr>
          <w:rFonts w:ascii="Times New Roman" w:hAnsi="Times New Roman" w:cs="Times New Roman"/>
          <w:i/>
          <w:sz w:val="24"/>
          <w:szCs w:val="24"/>
        </w:rPr>
        <w:t xml:space="preserve">; </w:t>
      </w:r>
      <w:r w:rsidR="00FC73AF" w:rsidRPr="00FC73AF">
        <w:rPr>
          <w:rFonts w:ascii="Times New Roman" w:hAnsi="Times New Roman" w:cs="Times New Roman"/>
          <w:i/>
          <w:sz w:val="24"/>
          <w:szCs w:val="24"/>
        </w:rPr>
        <w:t>P</w:t>
      </w:r>
      <w:r w:rsidR="00FC73AF">
        <w:rPr>
          <w:rFonts w:ascii="Times New Roman" w:hAnsi="Times New Roman" w:cs="Times New Roman"/>
          <w:sz w:val="24"/>
          <w:szCs w:val="24"/>
        </w:rPr>
        <w:t>-value=0.031</w:t>
      </w:r>
      <w:r w:rsidR="008A785E" w:rsidRPr="008A785E">
        <w:rPr>
          <w:rFonts w:ascii="Times New Roman" w:hAnsi="Times New Roman" w:cs="Times New Roman"/>
          <w:sz w:val="24"/>
          <w:szCs w:val="24"/>
        </w:rPr>
        <w:t>], whereas higher pregnancy E-DII score was associated with a shorter birth length [-0.06(-0.10, -0.01)</w:t>
      </w:r>
      <w:r w:rsidR="00190257">
        <w:rPr>
          <w:rFonts w:ascii="Times New Roman" w:hAnsi="Times New Roman" w:cs="Times New Roman"/>
          <w:sz w:val="24"/>
          <w:szCs w:val="24"/>
        </w:rPr>
        <w:t xml:space="preserve"> </w:t>
      </w:r>
      <w:r w:rsidR="008A785E" w:rsidRPr="008A785E">
        <w:rPr>
          <w:rFonts w:ascii="Times New Roman" w:hAnsi="Times New Roman" w:cs="Times New Roman"/>
          <w:sz w:val="24"/>
          <w:szCs w:val="24"/>
        </w:rPr>
        <w:t>cm</w:t>
      </w:r>
      <w:r w:rsidR="00FC73AF">
        <w:rPr>
          <w:rFonts w:ascii="Times New Roman" w:hAnsi="Times New Roman" w:cs="Times New Roman"/>
          <w:sz w:val="24"/>
          <w:szCs w:val="24"/>
        </w:rPr>
        <w:t>;</w:t>
      </w:r>
      <w:r w:rsidR="00190257">
        <w:rPr>
          <w:rFonts w:ascii="Times New Roman" w:hAnsi="Times New Roman" w:cs="Times New Roman"/>
          <w:sz w:val="24"/>
          <w:szCs w:val="24"/>
        </w:rPr>
        <w:t xml:space="preserve"> </w:t>
      </w:r>
      <w:r w:rsidR="00FC73AF" w:rsidRPr="00FC73AF">
        <w:rPr>
          <w:rFonts w:ascii="Times New Roman" w:hAnsi="Times New Roman" w:cs="Times New Roman"/>
          <w:i/>
          <w:sz w:val="24"/>
          <w:szCs w:val="24"/>
        </w:rPr>
        <w:t>P</w:t>
      </w:r>
      <w:r w:rsidR="00FC73AF">
        <w:rPr>
          <w:rFonts w:ascii="Times New Roman" w:hAnsi="Times New Roman" w:cs="Times New Roman"/>
          <w:sz w:val="24"/>
          <w:szCs w:val="24"/>
        </w:rPr>
        <w:t>-value=0.026</w:t>
      </w:r>
      <w:r w:rsidR="008A785E" w:rsidRPr="008A785E">
        <w:rPr>
          <w:rFonts w:ascii="Times New Roman" w:hAnsi="Times New Roman" w:cs="Times New Roman"/>
          <w:sz w:val="24"/>
          <w:szCs w:val="24"/>
        </w:rPr>
        <w:t>] and higher risk of SGA [OR(95%CI)=1.1</w:t>
      </w:r>
      <w:r w:rsidR="00B4754A">
        <w:rPr>
          <w:rFonts w:ascii="Times New Roman" w:hAnsi="Times New Roman" w:cs="Times New Roman"/>
          <w:sz w:val="24"/>
          <w:szCs w:val="24"/>
        </w:rPr>
        <w:t>8</w:t>
      </w:r>
      <w:r w:rsidR="008A785E" w:rsidRPr="008A785E">
        <w:rPr>
          <w:rFonts w:ascii="Times New Roman" w:hAnsi="Times New Roman" w:cs="Times New Roman"/>
          <w:sz w:val="24"/>
          <w:szCs w:val="24"/>
        </w:rPr>
        <w:t>(1.</w:t>
      </w:r>
      <w:r w:rsidR="00B4754A">
        <w:rPr>
          <w:rFonts w:ascii="Times New Roman" w:hAnsi="Times New Roman" w:cs="Times New Roman"/>
          <w:sz w:val="24"/>
          <w:szCs w:val="24"/>
        </w:rPr>
        <w:t>11</w:t>
      </w:r>
      <w:r w:rsidR="008A785E" w:rsidRPr="008A785E">
        <w:rPr>
          <w:rFonts w:ascii="Times New Roman" w:hAnsi="Times New Roman" w:cs="Times New Roman"/>
          <w:sz w:val="24"/>
          <w:szCs w:val="24"/>
        </w:rPr>
        <w:t>, 1.2</w:t>
      </w:r>
      <w:r w:rsidR="00B4754A">
        <w:rPr>
          <w:rFonts w:ascii="Times New Roman" w:hAnsi="Times New Roman" w:cs="Times New Roman"/>
          <w:sz w:val="24"/>
          <w:szCs w:val="24"/>
        </w:rPr>
        <w:t>6</w:t>
      </w:r>
      <w:r w:rsidR="008A785E" w:rsidRPr="008A785E">
        <w:rPr>
          <w:rFonts w:ascii="Times New Roman" w:hAnsi="Times New Roman" w:cs="Times New Roman"/>
          <w:sz w:val="24"/>
          <w:szCs w:val="24"/>
        </w:rPr>
        <w:t>)</w:t>
      </w:r>
      <w:r w:rsidR="00190257">
        <w:rPr>
          <w:rFonts w:ascii="Times New Roman" w:hAnsi="Times New Roman" w:cs="Times New Roman"/>
          <w:sz w:val="24"/>
          <w:szCs w:val="24"/>
        </w:rPr>
        <w:t xml:space="preserve">; </w:t>
      </w:r>
      <w:r w:rsidR="00FC73AF" w:rsidRPr="00FC73AF">
        <w:rPr>
          <w:rFonts w:ascii="Times New Roman" w:hAnsi="Times New Roman" w:cs="Times New Roman"/>
          <w:i/>
          <w:sz w:val="24"/>
          <w:szCs w:val="24"/>
        </w:rPr>
        <w:t>P</w:t>
      </w:r>
      <w:r w:rsidR="00FC73AF">
        <w:rPr>
          <w:rFonts w:ascii="Times New Roman" w:hAnsi="Times New Roman" w:cs="Times New Roman"/>
          <w:sz w:val="24"/>
          <w:szCs w:val="24"/>
        </w:rPr>
        <w:t>-value&lt;0.001</w:t>
      </w:r>
      <w:r w:rsidR="008A785E" w:rsidRPr="008A785E">
        <w:rPr>
          <w:rFonts w:ascii="Times New Roman" w:hAnsi="Times New Roman" w:cs="Times New Roman"/>
          <w:sz w:val="24"/>
          <w:szCs w:val="24"/>
        </w:rPr>
        <w:t>]. In male but not female infants, higher maternal pre-pregnancy E-DII was associated with lower birth weight and head circumference, shorter birth length, and higher risk of SGA (</w:t>
      </w:r>
      <w:r w:rsidR="008A785E" w:rsidRPr="008A785E">
        <w:rPr>
          <w:rFonts w:ascii="Times New Roman" w:hAnsi="Times New Roman" w:cs="Times New Roman"/>
          <w:i/>
          <w:iCs/>
          <w:sz w:val="24"/>
          <w:szCs w:val="24"/>
        </w:rPr>
        <w:t>P</w:t>
      </w:r>
      <w:r w:rsidR="008A785E" w:rsidRPr="008A785E">
        <w:rPr>
          <w:rFonts w:ascii="Times New Roman" w:hAnsi="Times New Roman" w:cs="Times New Roman"/>
          <w:sz w:val="24"/>
          <w:szCs w:val="24"/>
        </w:rPr>
        <w:t>-for-sex-interaction</w:t>
      </w:r>
      <w:r w:rsidR="00FC73AF">
        <w:rPr>
          <w:rFonts w:ascii="Times New Roman" w:hAnsi="Times New Roman" w:cs="Times New Roman"/>
          <w:sz w:val="24"/>
          <w:szCs w:val="24"/>
        </w:rPr>
        <w:t>=0.029, 0.05</w:t>
      </w:r>
      <w:r w:rsidR="008F34BF">
        <w:rPr>
          <w:rFonts w:ascii="Times New Roman" w:hAnsi="Times New Roman" w:cs="Times New Roman"/>
          <w:sz w:val="24"/>
          <w:szCs w:val="24"/>
        </w:rPr>
        <w:t>9</w:t>
      </w:r>
      <w:r w:rsidR="00FC73AF">
        <w:rPr>
          <w:rFonts w:ascii="Times New Roman" w:hAnsi="Times New Roman" w:cs="Times New Roman"/>
          <w:sz w:val="24"/>
          <w:szCs w:val="24"/>
        </w:rPr>
        <w:t>, 0.</w:t>
      </w:r>
      <w:r w:rsidR="008F34BF">
        <w:rPr>
          <w:rFonts w:ascii="Times New Roman" w:hAnsi="Times New Roman" w:cs="Times New Roman"/>
          <w:sz w:val="24"/>
          <w:szCs w:val="24"/>
        </w:rPr>
        <w:t>104</w:t>
      </w:r>
      <w:r w:rsidR="00FC73AF">
        <w:rPr>
          <w:rFonts w:ascii="Times New Roman" w:hAnsi="Times New Roman" w:cs="Times New Roman"/>
          <w:sz w:val="24"/>
          <w:szCs w:val="24"/>
        </w:rPr>
        <w:t>, and 0.075, respectively</w:t>
      </w:r>
      <w:r w:rsidR="008A785E" w:rsidRPr="008A785E">
        <w:rPr>
          <w:rFonts w:ascii="Times New Roman" w:hAnsi="Times New Roman" w:cs="Times New Roman"/>
          <w:sz w:val="24"/>
          <w:szCs w:val="24"/>
        </w:rPr>
        <w:t>). No consistent associations were observed for maternal E-DII and DASH scores with gestational age, preterm and post-term birth, or macrosomia and LGA.</w:t>
      </w:r>
      <w:r w:rsidR="00840688">
        <w:rPr>
          <w:rFonts w:ascii="Times New Roman" w:hAnsi="Times New Roman" w:cs="Times New Roman"/>
          <w:sz w:val="24"/>
          <w:szCs w:val="24"/>
        </w:rPr>
        <w:t xml:space="preserve"> </w:t>
      </w:r>
      <w:r w:rsidR="009C021F" w:rsidRPr="009C021F">
        <w:rPr>
          <w:rFonts w:ascii="Times New Roman" w:hAnsi="Times New Roman" w:cs="Times New Roman"/>
          <w:sz w:val="24"/>
          <w:szCs w:val="24"/>
        </w:rPr>
        <w:t xml:space="preserve">Limitations of this study were that </w:t>
      </w:r>
      <w:r w:rsidR="009C021F">
        <w:rPr>
          <w:rFonts w:ascii="Times New Roman" w:hAnsi="Times New Roman" w:cs="Times New Roman"/>
          <w:sz w:val="24"/>
          <w:szCs w:val="24"/>
        </w:rPr>
        <w:t>s</w:t>
      </w:r>
      <w:r w:rsidR="009C021F" w:rsidRPr="00CB32E0">
        <w:rPr>
          <w:rFonts w:ascii="Times New Roman" w:hAnsi="Times New Roman" w:cs="Times New Roman"/>
          <w:sz w:val="24"/>
          <w:szCs w:val="24"/>
        </w:rPr>
        <w:t>elf</w:t>
      </w:r>
      <w:r w:rsidR="00840688" w:rsidRPr="00CB32E0">
        <w:rPr>
          <w:rFonts w:ascii="Times New Roman" w:hAnsi="Times New Roman" w:cs="Times New Roman"/>
          <w:sz w:val="24"/>
          <w:szCs w:val="24"/>
        </w:rPr>
        <w:t>-reported dietary data might have increased non-</w:t>
      </w:r>
      <w:r w:rsidR="00840688">
        <w:rPr>
          <w:rFonts w:ascii="Times New Roman" w:hAnsi="Times New Roman" w:cs="Times New Roman"/>
          <w:sz w:val="24"/>
          <w:szCs w:val="24"/>
        </w:rPr>
        <w:t>differential measurement error and causality cannot be claimed with observational design.</w:t>
      </w:r>
    </w:p>
    <w:bookmarkEnd w:id="1"/>
    <w:p w14:paraId="3339B2E4" w14:textId="3CA7AADE" w:rsidR="009F5272" w:rsidRPr="004F6EAB" w:rsidRDefault="009F5272" w:rsidP="00D6461C">
      <w:pPr>
        <w:spacing w:line="480" w:lineRule="auto"/>
        <w:rPr>
          <w:rFonts w:ascii="Times New Roman" w:hAnsi="Times New Roman" w:cs="Times New Roman"/>
          <w:b/>
          <w:bCs/>
          <w:sz w:val="24"/>
          <w:szCs w:val="24"/>
          <w:lang w:val="en-AU"/>
        </w:rPr>
      </w:pPr>
      <w:r w:rsidRPr="004F6EAB">
        <w:rPr>
          <w:rFonts w:ascii="Times New Roman" w:hAnsi="Times New Roman" w:cs="Times New Roman"/>
          <w:b/>
          <w:bCs/>
          <w:sz w:val="24"/>
          <w:szCs w:val="24"/>
          <w:lang w:val="en-AU"/>
        </w:rPr>
        <w:t>Conclusions</w:t>
      </w:r>
    </w:p>
    <w:p w14:paraId="752833E2" w14:textId="39A941CF" w:rsidR="00840688" w:rsidRDefault="009C021F" w:rsidP="001749CB">
      <w:pPr>
        <w:spacing w:line="480" w:lineRule="auto"/>
        <w:rPr>
          <w:rFonts w:ascii="Times New Roman" w:hAnsi="Times New Roman" w:cs="Times New Roman"/>
          <w:sz w:val="24"/>
          <w:szCs w:val="24"/>
          <w:lang w:val="en-AU"/>
        </w:rPr>
      </w:pPr>
      <w:r w:rsidRPr="009C021F">
        <w:rPr>
          <w:rFonts w:ascii="Times New Roman" w:hAnsi="Times New Roman" w:cs="Times New Roman"/>
          <w:sz w:val="24"/>
          <w:szCs w:val="24"/>
          <w:lang w:val="en-AU"/>
        </w:rPr>
        <w:t xml:space="preserve">In this cohort study, we observed that </w:t>
      </w:r>
      <w:r>
        <w:rPr>
          <w:rFonts w:ascii="Times New Roman" w:hAnsi="Times New Roman" w:cs="Times New Roman"/>
          <w:sz w:val="24"/>
          <w:szCs w:val="24"/>
          <w:lang w:val="en-AU"/>
        </w:rPr>
        <w:t>m</w:t>
      </w:r>
      <w:r w:rsidRPr="004F6EAB">
        <w:rPr>
          <w:rFonts w:ascii="Times New Roman" w:hAnsi="Times New Roman" w:cs="Times New Roman"/>
          <w:sz w:val="24"/>
          <w:szCs w:val="24"/>
          <w:lang w:val="en-AU"/>
        </w:rPr>
        <w:t xml:space="preserve">aternal </w:t>
      </w:r>
      <w:r w:rsidR="001749CB" w:rsidRPr="004F6EAB">
        <w:rPr>
          <w:rFonts w:ascii="Times New Roman" w:hAnsi="Times New Roman" w:cs="Times New Roman"/>
          <w:sz w:val="24"/>
          <w:szCs w:val="24"/>
          <w:lang w:val="en-AU"/>
        </w:rPr>
        <w:t xml:space="preserve">diet that is of low quality and high inflammatory potential is associated with lower offspring birth size and higher risk of offspring being born SGA in this multi-centre meta-analysis using harmonized IPD. </w:t>
      </w:r>
      <w:r w:rsidR="001749CB" w:rsidRPr="004F6EAB">
        <w:rPr>
          <w:rFonts w:ascii="Times New Roman" w:hAnsi="Times New Roman" w:cs="Times New Roman"/>
          <w:sz w:val="24"/>
          <w:szCs w:val="24"/>
          <w:lang w:val="en-AU"/>
        </w:rPr>
        <w:lastRenderedPageBreak/>
        <w:t>Improving overall maternal dietary pattern based on pre-defined criteria may optimize foetal growth and avert substantial healthcare burden associated with adverse birth outcomes.</w:t>
      </w:r>
    </w:p>
    <w:p w14:paraId="18F3209F" w14:textId="559CA8A5" w:rsidR="00840688" w:rsidRPr="007B4C6A" w:rsidRDefault="00000311" w:rsidP="001749CB">
      <w:pPr>
        <w:spacing w:line="480" w:lineRule="auto"/>
        <w:rPr>
          <w:rFonts w:ascii="Times New Roman" w:hAnsi="Times New Roman" w:cs="Times New Roman"/>
          <w:b/>
          <w:sz w:val="24"/>
          <w:szCs w:val="24"/>
          <w:lang w:val="en-AU"/>
        </w:rPr>
      </w:pPr>
      <w:r w:rsidRPr="007B4C6A">
        <w:rPr>
          <w:rFonts w:ascii="Times New Roman" w:hAnsi="Times New Roman" w:cs="Times New Roman"/>
          <w:b/>
          <w:sz w:val="24"/>
          <w:szCs w:val="24"/>
          <w:lang w:val="en-AU"/>
        </w:rPr>
        <w:t>Author Summary</w:t>
      </w:r>
    </w:p>
    <w:p w14:paraId="74A9920F" w14:textId="77AFD912" w:rsidR="00840688" w:rsidRPr="0030220D" w:rsidRDefault="00840688" w:rsidP="00853A7A">
      <w:pPr>
        <w:spacing w:after="0" w:line="480" w:lineRule="auto"/>
        <w:rPr>
          <w:rFonts w:ascii="Times New Roman" w:hAnsi="Times New Roman" w:cs="Times New Roman"/>
          <w:sz w:val="24"/>
          <w:szCs w:val="24"/>
        </w:rPr>
      </w:pPr>
      <w:r w:rsidRPr="0030220D">
        <w:rPr>
          <w:rFonts w:ascii="Times New Roman" w:hAnsi="Times New Roman" w:cs="Times New Roman"/>
          <w:b/>
          <w:bCs/>
          <w:sz w:val="24"/>
          <w:szCs w:val="24"/>
        </w:rPr>
        <w:t xml:space="preserve">Why Was This Study Done? </w:t>
      </w:r>
    </w:p>
    <w:p w14:paraId="28552CBB" w14:textId="77777777" w:rsidR="00840688" w:rsidRPr="0030220D" w:rsidRDefault="00840688" w:rsidP="00853A7A">
      <w:pPr>
        <w:numPr>
          <w:ilvl w:val="0"/>
          <w:numId w:val="3"/>
        </w:numPr>
        <w:spacing w:after="0" w:line="480" w:lineRule="auto"/>
        <w:rPr>
          <w:rFonts w:ascii="Times New Roman" w:hAnsi="Times New Roman" w:cs="Times New Roman"/>
          <w:sz w:val="24"/>
          <w:szCs w:val="24"/>
        </w:rPr>
      </w:pPr>
      <w:r w:rsidRPr="0030220D">
        <w:rPr>
          <w:rFonts w:ascii="Times New Roman" w:hAnsi="Times New Roman" w:cs="Times New Roman"/>
          <w:sz w:val="24"/>
          <w:szCs w:val="24"/>
        </w:rPr>
        <w:t>Adverse birth outcomes are associated with higher morbidity and mortality during childhood and a higher risk of non-communicable diseases in adult life.</w:t>
      </w:r>
    </w:p>
    <w:p w14:paraId="66A1CF55" w14:textId="77777777" w:rsidR="00840688" w:rsidRDefault="00840688" w:rsidP="00853A7A">
      <w:pPr>
        <w:numPr>
          <w:ilvl w:val="0"/>
          <w:numId w:val="3"/>
        </w:numPr>
        <w:spacing w:after="0" w:line="480" w:lineRule="auto"/>
        <w:rPr>
          <w:rFonts w:ascii="Times New Roman" w:hAnsi="Times New Roman" w:cs="Times New Roman"/>
          <w:sz w:val="24"/>
          <w:szCs w:val="24"/>
        </w:rPr>
      </w:pPr>
      <w:r w:rsidRPr="004F6EAB">
        <w:rPr>
          <w:rFonts w:ascii="Times New Roman" w:hAnsi="Times New Roman" w:cs="Times New Roman"/>
          <w:sz w:val="24"/>
          <w:szCs w:val="24"/>
        </w:rPr>
        <w:t>The Developmental Origins of Health and Diseases (DOHaD) theory posits that maternal peri-conceptional and intrauterine nutrition can alter the health trajectory of the offspring.</w:t>
      </w:r>
    </w:p>
    <w:p w14:paraId="689BE211" w14:textId="77777777" w:rsidR="00840688" w:rsidRPr="004D5C1A" w:rsidRDefault="00840688" w:rsidP="00853A7A">
      <w:pPr>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Although individual m</w:t>
      </w:r>
      <w:r w:rsidRPr="0030220D">
        <w:rPr>
          <w:rFonts w:ascii="Times New Roman" w:hAnsi="Times New Roman" w:cs="Times New Roman"/>
          <w:sz w:val="24"/>
          <w:szCs w:val="24"/>
        </w:rPr>
        <w:t xml:space="preserve">aternal </w:t>
      </w:r>
      <w:r>
        <w:rPr>
          <w:rFonts w:ascii="Times New Roman" w:hAnsi="Times New Roman" w:cs="Times New Roman"/>
          <w:sz w:val="24"/>
          <w:szCs w:val="24"/>
        </w:rPr>
        <w:t>dietary factors have</w:t>
      </w:r>
      <w:r w:rsidRPr="0030220D">
        <w:rPr>
          <w:rFonts w:ascii="Times New Roman" w:hAnsi="Times New Roman" w:cs="Times New Roman"/>
          <w:sz w:val="24"/>
          <w:szCs w:val="24"/>
        </w:rPr>
        <w:t xml:space="preserve"> been </w:t>
      </w:r>
      <w:r>
        <w:rPr>
          <w:rFonts w:ascii="Times New Roman" w:hAnsi="Times New Roman" w:cs="Times New Roman"/>
          <w:sz w:val="24"/>
          <w:szCs w:val="24"/>
        </w:rPr>
        <w:t>studied widely</w:t>
      </w:r>
      <w:r w:rsidRPr="004D5C1A">
        <w:rPr>
          <w:rFonts w:ascii="Times New Roman" w:hAnsi="Times New Roman" w:cs="Times New Roman"/>
          <w:sz w:val="24"/>
          <w:szCs w:val="24"/>
        </w:rPr>
        <w:t>, evidence on the impact of whole-diet maternal dietary inflammatory potential and quality on birth outcomes is scarce and conflicting.</w:t>
      </w:r>
    </w:p>
    <w:p w14:paraId="3F3C9F7C" w14:textId="77777777" w:rsidR="00840688" w:rsidRPr="0030220D" w:rsidRDefault="00840688" w:rsidP="00853A7A">
      <w:pPr>
        <w:spacing w:after="0" w:line="480" w:lineRule="auto"/>
        <w:rPr>
          <w:rFonts w:ascii="Times New Roman" w:hAnsi="Times New Roman" w:cs="Times New Roman"/>
          <w:sz w:val="24"/>
          <w:szCs w:val="24"/>
        </w:rPr>
      </w:pPr>
    </w:p>
    <w:p w14:paraId="13BF34D0" w14:textId="77777777" w:rsidR="00840688" w:rsidRPr="0030220D" w:rsidRDefault="00840688" w:rsidP="00853A7A">
      <w:pPr>
        <w:spacing w:after="0" w:line="480" w:lineRule="auto"/>
        <w:rPr>
          <w:rFonts w:ascii="Times New Roman" w:hAnsi="Times New Roman" w:cs="Times New Roman"/>
          <w:sz w:val="24"/>
          <w:szCs w:val="24"/>
        </w:rPr>
      </w:pPr>
      <w:r w:rsidRPr="0030220D">
        <w:rPr>
          <w:rFonts w:ascii="Times New Roman" w:hAnsi="Times New Roman" w:cs="Times New Roman"/>
          <w:b/>
          <w:bCs/>
          <w:sz w:val="24"/>
          <w:szCs w:val="24"/>
        </w:rPr>
        <w:t>What Did the Researchers Do and Find?</w:t>
      </w:r>
      <w:r w:rsidRPr="0030220D">
        <w:rPr>
          <w:rFonts w:ascii="Times New Roman" w:hAnsi="Times New Roman" w:cs="Times New Roman"/>
          <w:sz w:val="24"/>
          <w:szCs w:val="24"/>
        </w:rPr>
        <w:t> </w:t>
      </w:r>
    </w:p>
    <w:p w14:paraId="2959BE18" w14:textId="77777777" w:rsidR="00840688" w:rsidRPr="0030220D" w:rsidRDefault="00840688" w:rsidP="00853A7A">
      <w:pPr>
        <w:numPr>
          <w:ilvl w:val="0"/>
          <w:numId w:val="4"/>
        </w:numPr>
        <w:spacing w:after="0" w:line="480" w:lineRule="auto"/>
        <w:rPr>
          <w:rFonts w:ascii="Times New Roman" w:hAnsi="Times New Roman" w:cs="Times New Roman"/>
          <w:sz w:val="24"/>
          <w:szCs w:val="24"/>
        </w:rPr>
      </w:pPr>
      <w:r w:rsidRPr="0030220D">
        <w:rPr>
          <w:rFonts w:ascii="Times New Roman" w:hAnsi="Times New Roman" w:cs="Times New Roman"/>
          <w:sz w:val="24"/>
          <w:szCs w:val="24"/>
        </w:rPr>
        <w:t>We investigated whether maternal pre-pregnancy and antenatal dietary quality and inflammatory potential are associated with birth outcomes in a consortium of seven European cohorts in five countries using harmonized individual participant data from up to 24,861 mother-child pairs.</w:t>
      </w:r>
    </w:p>
    <w:p w14:paraId="72DE70D6" w14:textId="77777777" w:rsidR="00840688" w:rsidRPr="0030220D" w:rsidRDefault="00840688" w:rsidP="00853A7A">
      <w:pPr>
        <w:numPr>
          <w:ilvl w:val="0"/>
          <w:numId w:val="4"/>
        </w:numPr>
        <w:spacing w:after="0" w:line="480" w:lineRule="auto"/>
        <w:rPr>
          <w:rFonts w:ascii="Times New Roman" w:hAnsi="Times New Roman" w:cs="Times New Roman"/>
          <w:b/>
          <w:sz w:val="24"/>
          <w:szCs w:val="24"/>
        </w:rPr>
      </w:pPr>
      <w:r w:rsidRPr="0030220D">
        <w:rPr>
          <w:rFonts w:ascii="Times New Roman" w:hAnsi="Times New Roman" w:cs="Times New Roman"/>
          <w:sz w:val="24"/>
          <w:szCs w:val="24"/>
        </w:rPr>
        <w:t>After adjusting for confounders, we found that a low quality and pro-inflammatory maternal diet during pregnancy is significantly associated with lower offspring birth weight and higher risk of offspring being born small-for-gestational-age.</w:t>
      </w:r>
    </w:p>
    <w:p w14:paraId="5A9BC4F1" w14:textId="2E8E4688" w:rsidR="00840688" w:rsidRPr="0030220D" w:rsidRDefault="00840688" w:rsidP="00853A7A">
      <w:pPr>
        <w:numPr>
          <w:ilvl w:val="0"/>
          <w:numId w:val="4"/>
        </w:numPr>
        <w:spacing w:after="0" w:line="480" w:lineRule="auto"/>
        <w:rPr>
          <w:rFonts w:ascii="Times New Roman" w:hAnsi="Times New Roman" w:cs="Times New Roman"/>
          <w:b/>
          <w:sz w:val="24"/>
          <w:szCs w:val="24"/>
        </w:rPr>
      </w:pPr>
      <w:r w:rsidRPr="0030220D">
        <w:rPr>
          <w:rFonts w:ascii="Times New Roman" w:hAnsi="Times New Roman" w:cs="Times New Roman"/>
          <w:sz w:val="24"/>
          <w:szCs w:val="24"/>
        </w:rPr>
        <w:t xml:space="preserve">In male but not female infants, higher maternal pre-pregnancy </w:t>
      </w:r>
      <w:r w:rsidR="00000311">
        <w:rPr>
          <w:rFonts w:ascii="Times New Roman" w:hAnsi="Times New Roman" w:cs="Times New Roman"/>
          <w:sz w:val="24"/>
          <w:szCs w:val="24"/>
        </w:rPr>
        <w:t>energy-adjusted Dietary Inflammatory Index (</w:t>
      </w:r>
      <w:r w:rsidRPr="0030220D">
        <w:rPr>
          <w:rFonts w:ascii="Times New Roman" w:hAnsi="Times New Roman" w:cs="Times New Roman"/>
          <w:sz w:val="24"/>
          <w:szCs w:val="24"/>
        </w:rPr>
        <w:t>E-DII</w:t>
      </w:r>
      <w:r w:rsidR="00000311">
        <w:rPr>
          <w:rFonts w:ascii="Times New Roman" w:hAnsi="Times New Roman" w:cs="Times New Roman"/>
          <w:sz w:val="24"/>
          <w:szCs w:val="24"/>
        </w:rPr>
        <w:t>) score</w:t>
      </w:r>
      <w:r w:rsidRPr="0030220D">
        <w:rPr>
          <w:rFonts w:ascii="Times New Roman" w:hAnsi="Times New Roman" w:cs="Times New Roman"/>
          <w:sz w:val="24"/>
          <w:szCs w:val="24"/>
        </w:rPr>
        <w:t xml:space="preserve"> was associated with lower birth weight and head circumference, shorter birth length, and higher risk of </w:t>
      </w:r>
      <w:r w:rsidR="00000311">
        <w:rPr>
          <w:rFonts w:ascii="Times New Roman" w:hAnsi="Times New Roman" w:cs="Times New Roman"/>
          <w:sz w:val="24"/>
          <w:szCs w:val="24"/>
        </w:rPr>
        <w:t>small-for-gestational age (</w:t>
      </w:r>
      <w:r w:rsidRPr="0030220D">
        <w:rPr>
          <w:rFonts w:ascii="Times New Roman" w:hAnsi="Times New Roman" w:cs="Times New Roman"/>
          <w:sz w:val="24"/>
          <w:szCs w:val="24"/>
        </w:rPr>
        <w:t>SGA</w:t>
      </w:r>
      <w:r w:rsidR="00000311">
        <w:rPr>
          <w:rFonts w:ascii="Times New Roman" w:hAnsi="Times New Roman" w:cs="Times New Roman"/>
          <w:sz w:val="24"/>
          <w:szCs w:val="24"/>
        </w:rPr>
        <w:t>)</w:t>
      </w:r>
      <w:r w:rsidR="007E5F17">
        <w:rPr>
          <w:rFonts w:ascii="Times New Roman" w:hAnsi="Times New Roman" w:cs="Times New Roman"/>
          <w:sz w:val="24"/>
          <w:szCs w:val="24"/>
        </w:rPr>
        <w:t>.</w:t>
      </w:r>
    </w:p>
    <w:p w14:paraId="24DF2D7D" w14:textId="77777777" w:rsidR="00840688" w:rsidRPr="0030220D" w:rsidRDefault="00840688" w:rsidP="00853A7A">
      <w:pPr>
        <w:spacing w:after="0" w:line="480" w:lineRule="auto"/>
        <w:rPr>
          <w:rFonts w:ascii="Times New Roman" w:hAnsi="Times New Roman" w:cs="Times New Roman"/>
          <w:b/>
          <w:sz w:val="24"/>
          <w:szCs w:val="24"/>
        </w:rPr>
      </w:pPr>
    </w:p>
    <w:p w14:paraId="20E0E962" w14:textId="77777777" w:rsidR="00840688" w:rsidRPr="0030220D" w:rsidRDefault="00840688" w:rsidP="00853A7A">
      <w:pPr>
        <w:spacing w:after="0" w:line="480" w:lineRule="auto"/>
        <w:rPr>
          <w:rFonts w:ascii="Times New Roman" w:hAnsi="Times New Roman" w:cs="Times New Roman"/>
          <w:b/>
          <w:sz w:val="24"/>
          <w:szCs w:val="24"/>
        </w:rPr>
      </w:pPr>
      <w:r w:rsidRPr="0030220D">
        <w:rPr>
          <w:rFonts w:ascii="Times New Roman" w:hAnsi="Times New Roman" w:cs="Times New Roman"/>
          <w:b/>
          <w:sz w:val="24"/>
          <w:szCs w:val="24"/>
        </w:rPr>
        <w:t>What Do These Findings Mean?</w:t>
      </w:r>
    </w:p>
    <w:p w14:paraId="6F660753" w14:textId="77777777" w:rsidR="00840688" w:rsidRPr="0030220D" w:rsidRDefault="00840688" w:rsidP="00853A7A">
      <w:pPr>
        <w:numPr>
          <w:ilvl w:val="0"/>
          <w:numId w:val="5"/>
        </w:numPr>
        <w:spacing w:after="0" w:line="480" w:lineRule="auto"/>
        <w:rPr>
          <w:rFonts w:ascii="Times New Roman" w:hAnsi="Times New Roman" w:cs="Times New Roman"/>
          <w:sz w:val="24"/>
          <w:szCs w:val="24"/>
        </w:rPr>
      </w:pPr>
      <w:r w:rsidRPr="0030220D">
        <w:rPr>
          <w:rFonts w:ascii="Times New Roman" w:hAnsi="Times New Roman" w:cs="Times New Roman"/>
          <w:sz w:val="24"/>
          <w:szCs w:val="24"/>
        </w:rPr>
        <w:t xml:space="preserve">Improving overall maternal dietary </w:t>
      </w:r>
      <w:r>
        <w:rPr>
          <w:rFonts w:ascii="Times New Roman" w:hAnsi="Times New Roman" w:cs="Times New Roman"/>
          <w:sz w:val="24"/>
          <w:szCs w:val="24"/>
        </w:rPr>
        <w:t>quality and reducing dietary inflammatory potential</w:t>
      </w:r>
      <w:r w:rsidRPr="0030220D">
        <w:rPr>
          <w:rFonts w:ascii="Times New Roman" w:hAnsi="Times New Roman" w:cs="Times New Roman"/>
          <w:sz w:val="24"/>
          <w:szCs w:val="24"/>
        </w:rPr>
        <w:t xml:space="preserve"> may optimize foetal growth and avert substantial healthcare burden associated with adverse birth outcomes.</w:t>
      </w:r>
    </w:p>
    <w:p w14:paraId="1280DD4A" w14:textId="0EA1A981" w:rsidR="00AE7B4C" w:rsidRPr="00000311" w:rsidRDefault="00840688" w:rsidP="001749CB">
      <w:pPr>
        <w:numPr>
          <w:ilvl w:val="0"/>
          <w:numId w:val="5"/>
        </w:numPr>
        <w:spacing w:after="0" w:line="480" w:lineRule="auto"/>
        <w:rPr>
          <w:rFonts w:ascii="Times New Roman" w:hAnsi="Times New Roman" w:cs="Times New Roman"/>
          <w:sz w:val="24"/>
          <w:szCs w:val="24"/>
        </w:rPr>
      </w:pPr>
      <w:r w:rsidRPr="0030220D">
        <w:rPr>
          <w:rFonts w:ascii="Times New Roman" w:hAnsi="Times New Roman" w:cs="Times New Roman"/>
          <w:sz w:val="24"/>
          <w:szCs w:val="24"/>
        </w:rPr>
        <w:t>Policies to ensure availability of affordable healthy foods and programmatic efforts to inform and support women of reproductive age, such as raising awareness of the importance of maternal diet and prenatal and antenatal counselling would help women achieve a healthier diet.</w:t>
      </w:r>
      <w:r w:rsidR="00AE7B4C" w:rsidRPr="00000311">
        <w:rPr>
          <w:rFonts w:ascii="Times New Roman" w:hAnsi="Times New Roman" w:cs="Times New Roman"/>
          <w:b/>
          <w:sz w:val="24"/>
          <w:szCs w:val="24"/>
          <w:lang w:val="en-GB"/>
        </w:rPr>
        <w:br w:type="page"/>
      </w:r>
    </w:p>
    <w:p w14:paraId="72C7E406" w14:textId="7EC24D59" w:rsidR="00B52D3B" w:rsidRPr="004F6EAB" w:rsidRDefault="009F23EC" w:rsidP="005E62D3">
      <w:pPr>
        <w:spacing w:line="480" w:lineRule="auto"/>
        <w:rPr>
          <w:rFonts w:ascii="Times New Roman" w:hAnsi="Times New Roman" w:cs="Times New Roman"/>
          <w:b/>
          <w:sz w:val="24"/>
          <w:szCs w:val="24"/>
        </w:rPr>
      </w:pPr>
      <w:r w:rsidRPr="004F6EAB">
        <w:rPr>
          <w:rFonts w:ascii="Times New Roman" w:hAnsi="Times New Roman" w:cs="Times New Roman"/>
          <w:b/>
          <w:sz w:val="24"/>
          <w:szCs w:val="24"/>
        </w:rPr>
        <w:lastRenderedPageBreak/>
        <w:t>INTRODUCTION</w:t>
      </w:r>
    </w:p>
    <w:p w14:paraId="0C84B2F3" w14:textId="7D1EA640" w:rsidR="00F315DB" w:rsidRPr="004F6EAB" w:rsidRDefault="0041219F" w:rsidP="00F315DB">
      <w:pPr>
        <w:spacing w:line="480" w:lineRule="auto"/>
        <w:rPr>
          <w:rFonts w:ascii="Times New Roman" w:hAnsi="Times New Roman" w:cs="Times New Roman"/>
          <w:sz w:val="24"/>
          <w:szCs w:val="24"/>
        </w:rPr>
      </w:pPr>
      <w:bookmarkStart w:id="2" w:name="_Hlk26815540"/>
      <w:r w:rsidRPr="004F6EAB">
        <w:rPr>
          <w:rFonts w:ascii="Times New Roman" w:hAnsi="Times New Roman" w:cs="Times New Roman"/>
          <w:sz w:val="24"/>
          <w:szCs w:val="24"/>
        </w:rPr>
        <w:t xml:space="preserve">Adverse birth outcomes including low birth weight (LBW), macrosomia, preterm or post-term birth are associated with higher morbidity and mortality during childhood and </w:t>
      </w:r>
      <w:r w:rsidR="003C6B1E" w:rsidRPr="004F6EAB">
        <w:rPr>
          <w:rFonts w:ascii="Times New Roman" w:hAnsi="Times New Roman" w:cs="Times New Roman"/>
          <w:sz w:val="24"/>
          <w:szCs w:val="24"/>
        </w:rPr>
        <w:t>higher risk of</w:t>
      </w:r>
      <w:r w:rsidR="00D6461C" w:rsidRPr="004F6EAB">
        <w:rPr>
          <w:rFonts w:ascii="Times New Roman" w:hAnsi="Times New Roman" w:cs="Times New Roman"/>
          <w:sz w:val="24"/>
          <w:szCs w:val="24"/>
        </w:rPr>
        <w:t xml:space="preserve"> </w:t>
      </w:r>
      <w:r w:rsidRPr="004F6EAB">
        <w:rPr>
          <w:rFonts w:ascii="Times New Roman" w:hAnsi="Times New Roman" w:cs="Times New Roman"/>
          <w:sz w:val="24"/>
          <w:szCs w:val="24"/>
        </w:rPr>
        <w:t xml:space="preserve">non-communicable diseases in adult life </w:t>
      </w:r>
      <w:r w:rsidR="003B2ECD"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{"citationItems":[{"id":"ITEM-1","itemData":{"DOI":"10.1046/j.1471-0528.2003.00013.x","ISSN":"14700328","author":[{"dropping-particle":"","family":"Petrou","given":"Stavros","non-dropping-particle":"","parse-names":false,"suffix":""}],"container-title":"BJOG: An International Journal of Obstetrics &amp; Gynaecology","id":"ITEM-1","issue":"s20","issued":{"date-parts":[["2003","4","1"]]},"page":"17-23","title":"Economic consequences of preterm birth and low birthweight","type":"article-journal","volume":"110"},"uris":["http://www.mendeley.com/documents/?uuid=d0b349e9-8af3-3000-9303-7e8fef85bda9"]},{"id":"ITEM-2","itemData":{"DOI":"10.1186/s12933-016-0389-2","ISSN":"1475-2840","PMID":"27141948","abstract":"BACKGROUND Low birth weight is associated with increased rates of obesity, insulin resistance and type 2 diabetes, but the precise mechanisms for this association remain unclear. We aimed to assess the relationships between birth weight and markers of glucose homeostasis or obesity in adults</w:instrText>
      </w:r>
      <w:r w:rsidR="005C1ADD">
        <w:rPr>
          <w:rFonts w:ascii="Times New Roman" w:hAnsi="Times New Roman" w:cs="Times New Roman" w:hint="eastAsia"/>
          <w:sz w:val="24"/>
          <w:szCs w:val="24"/>
        </w:rPr>
        <w:instrText xml:space="preserve">. METHODS Cross-sectional population-based study on 1458 women and 1088 men aged 35-75 years living in Lausanne, Switzerland. Birth weight was self-reported and categorized into </w:instrText>
      </w:r>
      <w:r w:rsidR="005C1ADD">
        <w:rPr>
          <w:rFonts w:ascii="Times New Roman" w:hAnsi="Times New Roman" w:cs="Times New Roman" w:hint="eastAsia"/>
          <w:sz w:val="24"/>
          <w:szCs w:val="24"/>
        </w:rPr>
        <w:instrText>≤</w:instrText>
      </w:r>
      <w:r w:rsidR="005C1ADD">
        <w:rPr>
          <w:rFonts w:ascii="Times New Roman" w:hAnsi="Times New Roman" w:cs="Times New Roman" w:hint="eastAsia"/>
          <w:sz w:val="24"/>
          <w:szCs w:val="24"/>
        </w:rPr>
        <w:instrText xml:space="preserve"> 2.5, 2.6-3.5, 3.6-4.0 and &gt;4.0 kg. Body composition was assessed by bioimpedance. Leptin and adiponectin levels were measured by ELISA. RESULTS Women with low birth weight (</w:instrText>
      </w:r>
      <w:r w:rsidR="005C1ADD">
        <w:rPr>
          <w:rFonts w:ascii="Times New Roman" w:hAnsi="Times New Roman" w:cs="Times New Roman" w:hint="eastAsia"/>
          <w:sz w:val="24"/>
          <w:szCs w:val="24"/>
        </w:rPr>
        <w:instrText>≤</w:instrText>
      </w:r>
      <w:r w:rsidR="005C1ADD">
        <w:rPr>
          <w:rFonts w:ascii="Times New Roman" w:hAnsi="Times New Roman" w:cs="Times New Roman" w:hint="eastAsia"/>
          <w:sz w:val="24"/>
          <w:szCs w:val="24"/>
        </w:rPr>
        <w:instrText xml:space="preserve"> 2.5 kg) had higher levels of fasting plasma glucose, insulin, HOMA, diabetes and metabolic syndrome; a non significant similar trend was seen in men. In bo</w:instrText>
      </w:r>
      <w:r w:rsidR="005C1ADD">
        <w:rPr>
          <w:rFonts w:ascii="Times New Roman" w:hAnsi="Times New Roman" w:cs="Times New Roman"/>
          <w:sz w:val="24"/>
          <w:szCs w:val="24"/>
        </w:rPr>
        <w:instrText>th genders, height increased with birth weight, whereas a U-shaped association was found between birth weight and body mass index, waist circumference and body fat percentage. After adjusting for age, smoking status, physical activity and fat mass, an inv</w:instrText>
      </w:r>
      <w:r w:rsidR="005C1ADD">
        <w:rPr>
          <w:rFonts w:ascii="Times New Roman" w:hAnsi="Times New Roman" w:cs="Times New Roman" w:hint="eastAsia"/>
          <w:sz w:val="24"/>
          <w:szCs w:val="24"/>
        </w:rPr>
        <w:instrText xml:space="preserve">erse association was found between leptin and birth weight categories: adjusted mean </w:instrText>
      </w:r>
      <w:r w:rsidR="005C1ADD">
        <w:rPr>
          <w:rFonts w:ascii="Times New Roman" w:hAnsi="Times New Roman" w:cs="Times New Roman" w:hint="eastAsia"/>
          <w:sz w:val="24"/>
          <w:szCs w:val="24"/>
        </w:rPr>
        <w:instrText>±</w:instrText>
      </w:r>
      <w:r w:rsidR="005C1ADD">
        <w:rPr>
          <w:rFonts w:ascii="Times New Roman" w:hAnsi="Times New Roman" w:cs="Times New Roman" w:hint="eastAsia"/>
          <w:sz w:val="24"/>
          <w:szCs w:val="24"/>
        </w:rPr>
        <w:instrText xml:space="preserve"> standard error 17.3 </w:instrText>
      </w:r>
      <w:r w:rsidR="005C1ADD">
        <w:rPr>
          <w:rFonts w:ascii="Times New Roman" w:hAnsi="Times New Roman" w:cs="Times New Roman" w:hint="eastAsia"/>
          <w:sz w:val="24"/>
          <w:szCs w:val="24"/>
        </w:rPr>
        <w:instrText>±</w:instrText>
      </w:r>
      <w:r w:rsidR="005C1ADD">
        <w:rPr>
          <w:rFonts w:ascii="Times New Roman" w:hAnsi="Times New Roman" w:cs="Times New Roman" w:hint="eastAsia"/>
          <w:sz w:val="24"/>
          <w:szCs w:val="24"/>
        </w:rPr>
        <w:instrText xml:space="preserve"> 0.7, 16.2 </w:instrText>
      </w:r>
      <w:r w:rsidR="005C1ADD">
        <w:rPr>
          <w:rFonts w:ascii="Times New Roman" w:hAnsi="Times New Roman" w:cs="Times New Roman" w:hint="eastAsia"/>
          <w:sz w:val="24"/>
          <w:szCs w:val="24"/>
        </w:rPr>
        <w:instrText>±</w:instrText>
      </w:r>
      <w:r w:rsidR="005C1ADD">
        <w:rPr>
          <w:rFonts w:ascii="Times New Roman" w:hAnsi="Times New Roman" w:cs="Times New Roman" w:hint="eastAsia"/>
          <w:sz w:val="24"/>
          <w:szCs w:val="24"/>
        </w:rPr>
        <w:instrText xml:space="preserve"> 0.3, 15.6 </w:instrText>
      </w:r>
      <w:r w:rsidR="005C1ADD">
        <w:rPr>
          <w:rFonts w:ascii="Times New Roman" w:hAnsi="Times New Roman" w:cs="Times New Roman" w:hint="eastAsia"/>
          <w:sz w:val="24"/>
          <w:szCs w:val="24"/>
        </w:rPr>
        <w:instrText>±</w:instrText>
      </w:r>
      <w:r w:rsidR="005C1ADD">
        <w:rPr>
          <w:rFonts w:ascii="Times New Roman" w:hAnsi="Times New Roman" w:cs="Times New Roman" w:hint="eastAsia"/>
          <w:sz w:val="24"/>
          <w:szCs w:val="24"/>
        </w:rPr>
        <w:instrText xml:space="preserve"> 0.5 and 14.0 </w:instrText>
      </w:r>
      <w:r w:rsidR="005C1ADD">
        <w:rPr>
          <w:rFonts w:ascii="Times New Roman" w:hAnsi="Times New Roman" w:cs="Times New Roman" w:hint="eastAsia"/>
          <w:sz w:val="24"/>
          <w:szCs w:val="24"/>
        </w:rPr>
        <w:instrText>±</w:instrText>
      </w:r>
      <w:r w:rsidR="005C1ADD">
        <w:rPr>
          <w:rFonts w:ascii="Times New Roman" w:hAnsi="Times New Roman" w:cs="Times New Roman" w:hint="eastAsia"/>
          <w:sz w:val="24"/>
          <w:szCs w:val="24"/>
        </w:rPr>
        <w:instrText xml:space="preserve"> 0.8 ng/dL for birth weight categories </w:instrText>
      </w:r>
      <w:r w:rsidR="005C1ADD">
        <w:rPr>
          <w:rFonts w:ascii="Times New Roman" w:hAnsi="Times New Roman" w:cs="Times New Roman" w:hint="eastAsia"/>
          <w:sz w:val="24"/>
          <w:szCs w:val="24"/>
        </w:rPr>
        <w:instrText>≤</w:instrText>
      </w:r>
      <w:r w:rsidR="005C1ADD">
        <w:rPr>
          <w:rFonts w:ascii="Times New Roman" w:hAnsi="Times New Roman" w:cs="Times New Roman" w:hint="eastAsia"/>
          <w:sz w:val="24"/>
          <w:szCs w:val="24"/>
        </w:rPr>
        <w:instrText xml:space="preserve"> 2.5, 2.6-3.5, 3.6-4.0 and &gt;4.0 kg, respectively, in women (p &lt; 0.05</w:instrText>
      </w:r>
      <w:r w:rsidR="005C1ADD">
        <w:rPr>
          <w:rFonts w:ascii="Times New Roman" w:hAnsi="Times New Roman" w:cs="Times New Roman"/>
          <w:sz w:val="24"/>
          <w:szCs w:val="24"/>
        </w:rPr>
        <w:instrText>) and 9.8 ± 0.8, 9.1 ± 03, 7.8 ± 0.4 and 7.7 ± 0.5 ng/dL in men (p &lt; 0.05). An inverse association was also found between reported birth weight and leptin to fat mass ratio: mean ± standard error 0.77 ± 0.04, 0.73 ± 0.02, 0.69 ± 0.03 and 0.62 ± 0.04 in women (p &lt; 0.05); 0.46 ± 0.05, 0.45 ± 0.02, 0.39 ± 0.02 and 0.38 ± 0.03 in men (p &lt; 0.05). No differences in adiponectin levels were found between birth weight groups. CONCLUSIONS Middle-aged adults born with a low weight present a higher prevalence of diabetes and obesity and also higher leptin levels and leptin to fat mass ratio than adults born with a normal weight. The higher leptin levels and leptin to fat mass ratio among adults born with a low weight might be related to nutritional factors during childhood or to the development of leptin resistance and/or higher leptin production by body fat unit. Subjects born with a low weight should be counselled regarding the risks of developing diabetes and/or cardiovascular disease.","author":[{"dropping-particle":"","family":"Jornayvaz","given":"François R","non-dropping-particle":"","parse-names":false,"suffix":""},{"dropping-particle":"","family":"Vollenweider","given":"Peter","non-dropping-particle":"","parse-names":false,"suffix":""},{"dropping-particle":"","family":"Bochud","given":"Murielle","non-dropping-particle":"","parse-names":false,"suffix":""},{"dropping-particle":"","family":"Mooser","given":"Vincent","non-dropping-particle":"","parse-names":false,"suffix":""},{"dropping-particle":"","family":"Waeber","given":"Gérard","non-dropping-particle":"","parse-names":false,"suffix":""},{"dropping-particle":"","family":"Marques-Vidal","given":"Pedro","non-dropping-particle":"","parse-names":false,"suffix":""}],"container-title":"Cardiovascular diabetology","id":"ITEM-2","issued":{"date-parts":[["2016","5","3"]]},"page":"73","title":"Low birth weight leads to obesity, diabetes and increased leptin levels in adults: the CoLaus study.","type":"article-journal","volume":"15"},"uris":["http://www.mendeley.com/documents/?uuid=fce2b123-49db-31b2-9a0c-d4922961a154"]},{"id":"ITEM-3","itemData":{"DOI":"10.1038/ijo.2009.131","ISSN":"0307-0565","PMID":"19564880","abstract":"OBJECTIVE To assess the association between fetal macrosomia and adolescent obesity. DESIGN Longitudinal cohort study of the association between macrosomia and adolescent obesity. SUBJECTS Between 1 October 2005 and 1 February 2007, a follow-up study of live-born infants born in 1993-1995 in Wuxi, a suburban area of Shanghai, was conducted. Subjects with birth weight &gt; 4000 g were selected as the exposed. For each exposed subject, one subject with a birth weight of 2500-4000 g, matched by year of birth, sex of infant, and type of institute at birth, was chosen as non-exposed. Clinical data were collected by structured interview and physical examination. Obesity was defined as body mass index (weight (kg)/height (m(2))) higher than the sex-age-specific criteria by the working group on obesity in China. Distribution of baseline characteristics and adolescent obesity rate between the exposed and non-exposed groups was compared. RESULTS A total of 1435 pairs of exposed and non-exposed subjects were included in the final analysis. No major difference in baseline characteristics (other than birth weight) was found between the exposed and non-exposed groups. Obesity rate was significantly higher in the exposed group (2.9%) than in the non-exposed group (1.6%). Adolescent obesity rates were 1.4, 1.9, 2.6, and 5.6%, respectively, in study subjects with a birth weight of 2500-3499, 3500-3999, 4000-4499, and &gt; or =4500 g. The association between birth weight and adolescent obesity remained essentially the same when mother's demographic and anthropometric factors, breast feeding, and adolescent life-style factors were adjusted. CONCLUSION Compared with infants of normal birth weight, infants with birth weight &gt;4000 g, especially those &gt;4500 g, are at increased risk of adolescent obesity.","author":[{"dropping-particle":"","family":"Wang","given":"Y","non-dropping-particle":"","parse-names":false,"suffix":""},{"dropping-particle":"","family":"Gao","given":"E","non-dropping-particle":"","parse-names":false,"suffix":""},{"dropping-particle":"","family":"Wu","given":"J","non-dropping-particle":"","parse-names":false,"suffix":""},{"dropping-particle":"","family":"Zhou","given":"J","non-dropping-particle":"","parse-names":false,"suffix":""},{"dropping-particle":"","family":"Yang","given":"Q","non-dropping-particle":"","parse-names":false,"suffix":""},{"dropping-particle":"","family":"Walker","given":"M C","non-dropping-particle":"","parse-names":false,"suffix":""},{"dropping-particle":"","family":"Mbikay","given":"M","non-dropping-particle":"","parse-names":false,"suffix":""},{"dropping-particle":"","family":"Sigal","given":"R J","non-dropping-particle":"","parse-names":false,"suffix":""},{"dropping-particle":"","family":"Nair","given":"R C","non-dropping-particle":"","parse-names":false,"suffix":""},{"dropping-particle":"","family":"Wen","given":"S W","non-dropping-particle":"","parse-names":false,"suffix":""}],"container-title":"International Journal of Obesity","id":"ITEM-3","issue":"8","issued":{"date-parts":[["2009","8","30"]]},"page":"923-928","title":"Fetal macrosomia and adolescence obesity: results from a longitudinal cohort study","type":"article-journal","volume":"33"},"uris":["http://www.mendeley.com/documents/?uuid=8148c741-f8bc-3a74-a30a-2aa5fc62b190"]},{"id":"ITEM-4","itemData":{"ISSN":"2032-0418","PMID":"24753906","abstract":"Postterm pregnancy is a pregnancy that extends to 42 weeks of gestation or beyond. Fetal, neonatal and maternal complications associated with this condition have always been underestimated. It is not well understood why some women become postterm although in obesity, hormonal and genetic factors have been implicated. The management of postterm pregnancy constitutes a challenge to clinicians; knowing who to induce, who will respond to induction and who will require a caesarean section (CS). The current definition and management of postterm pregnancy have been challenged in several studies as the emerging evidence demonstrates that the incidence of complications associated with postterm pregnancy also increase prior to 42 weeks of gestation. For example the incidence of stillbirth increases from 39 weeks onwards with a sharp rise after 40 weeks of gestation. Induction of labour before 42 weeks of gestation has the potential to prevent these complications; however, both patients and clinicians alike are concerned about risks associated with induction of labour such as failure of induction and increases in CS rates. There is a strong body of evidence however that demonstrates that induction of labour at term and prior to 42 weeks of gestation (particularly between 40 &amp; 42 weeks) is associated with a reduction in perinatal complications without an associated increase in CS rates. It seems therefore that a policy of induction of labour at 41 weeks in postterm women could be beneficial with potential improvement in perinatal outcome and a reduction in maternal complications.","author":[{"dropping-particle":"","family":"Galal","given":"M","non-dropping-particle":"","parse-names":false,"suffix":""},{"dropping-particle":"","family":"Symonds","given":"I","non-dropping-particle":"","parse-names":false,"suffix":""},{"dropping-particle":"","family":"Murray","given":"H","non-dropping-particle":"","parse-names":false,"suffix":""},{"dropping-particle":"","family":"Petraglia","given":"F","non-dropping-particle":"","parse-names":false,"suffix":""},{"dropping-particle":"","family":"Smith","given":"R","non-dropping-particle":"","parse-names":false,"suffix":""}],"container-title":"Facts, views &amp; vision in ObGyn","id":"ITEM-4","issue":"3","issued":{"date-parts":[["2012"]]},"page":"175-87","title":"Postterm pregnancy.","type":"article-journal","volume":"4"},"uris":["http://www.mendeley.com/documents/?uuid=a6b042c5-728b-35cb-86e4-aa45f92a3656"]}],"mendeley":{"formattedCitation":"[1–4]","plainTextFormattedCitation":"[1–4]","previouslyFormattedCitation":"[1–4]"},"properties":{"noteIndex":0},"schema":"https://github.com/citation-style-language/schema/raw/master/csl-citation.json"}</w:instrText>
      </w:r>
      <w:r w:rsidR="003B2ECD"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[1–4]</w:t>
      </w:r>
      <w:r w:rsidR="003B2ECD" w:rsidRPr="004F6EAB">
        <w:rPr>
          <w:rFonts w:ascii="Times New Roman" w:hAnsi="Times New Roman" w:cs="Times New Roman"/>
          <w:sz w:val="24"/>
          <w:szCs w:val="24"/>
        </w:rPr>
        <w:fldChar w:fldCharType="end"/>
      </w:r>
      <w:r w:rsidR="00F315DB" w:rsidRPr="004F6EAB">
        <w:rPr>
          <w:rFonts w:ascii="Times New Roman" w:hAnsi="Times New Roman" w:cs="Times New Roman"/>
          <w:sz w:val="24"/>
          <w:szCs w:val="24"/>
        </w:rPr>
        <w:t>. Globally,</w:t>
      </w:r>
      <w:r w:rsidR="00B30F35" w:rsidRPr="004F6EAB">
        <w:rPr>
          <w:rFonts w:ascii="Times New Roman" w:hAnsi="Times New Roman" w:cs="Times New Roman"/>
          <w:sz w:val="24"/>
          <w:szCs w:val="24"/>
        </w:rPr>
        <w:t xml:space="preserve"> i</w:t>
      </w:r>
      <w:r w:rsidR="00E6534B" w:rsidRPr="004F6EAB">
        <w:rPr>
          <w:rFonts w:ascii="Times New Roman" w:hAnsi="Times New Roman" w:cs="Times New Roman"/>
          <w:sz w:val="24"/>
          <w:szCs w:val="24"/>
        </w:rPr>
        <w:t>t</w:t>
      </w:r>
      <w:r w:rsidR="00B30F35" w:rsidRPr="004F6EAB">
        <w:rPr>
          <w:rFonts w:ascii="Times New Roman" w:hAnsi="Times New Roman" w:cs="Times New Roman"/>
          <w:sz w:val="24"/>
          <w:szCs w:val="24"/>
        </w:rPr>
        <w:t xml:space="preserve"> has been estimated that</w:t>
      </w:r>
      <w:r w:rsidR="00F315DB" w:rsidRPr="004F6EAB">
        <w:rPr>
          <w:rFonts w:ascii="Times New Roman" w:hAnsi="Times New Roman" w:cs="Times New Roman"/>
          <w:sz w:val="24"/>
          <w:szCs w:val="24"/>
        </w:rPr>
        <w:t xml:space="preserve"> LBW and pre</w:t>
      </w:r>
      <w:r w:rsidR="00E6534B" w:rsidRPr="004F6EAB">
        <w:rPr>
          <w:rFonts w:ascii="Times New Roman" w:hAnsi="Times New Roman" w:cs="Times New Roman"/>
          <w:sz w:val="24"/>
          <w:szCs w:val="24"/>
        </w:rPr>
        <w:t>-</w:t>
      </w:r>
      <w:r w:rsidR="00F315DB" w:rsidRPr="004F6EAB">
        <w:rPr>
          <w:rFonts w:ascii="Times New Roman" w:hAnsi="Times New Roman" w:cs="Times New Roman"/>
          <w:sz w:val="24"/>
          <w:szCs w:val="24"/>
        </w:rPr>
        <w:t>term birth occur in 15-20% and 5-18%</w:t>
      </w:r>
      <w:r w:rsidR="00355562" w:rsidRPr="004F6EAB">
        <w:rPr>
          <w:rFonts w:ascii="Times New Roman" w:hAnsi="Times New Roman" w:cs="Times New Roman"/>
          <w:sz w:val="24"/>
          <w:szCs w:val="24"/>
        </w:rPr>
        <w:t xml:space="preserve"> </w:t>
      </w:r>
      <w:r w:rsidR="00F315DB" w:rsidRPr="004F6EAB">
        <w:rPr>
          <w:rFonts w:ascii="Times New Roman" w:hAnsi="Times New Roman" w:cs="Times New Roman"/>
          <w:sz w:val="24"/>
          <w:szCs w:val="24"/>
        </w:rPr>
        <w:t>of all livebirths</w:t>
      </w:r>
      <w:r w:rsidR="00355562" w:rsidRPr="004F6EAB">
        <w:rPr>
          <w:rFonts w:ascii="Times New Roman" w:hAnsi="Times New Roman" w:cs="Times New Roman"/>
          <w:sz w:val="24"/>
          <w:szCs w:val="24"/>
        </w:rPr>
        <w:t>, respectively</w:t>
      </w:r>
      <w:r w:rsidR="00F315DB" w:rsidRPr="004F6EAB">
        <w:rPr>
          <w:rFonts w:ascii="Times New Roman" w:hAnsi="Times New Roman" w:cs="Times New Roman"/>
          <w:sz w:val="24"/>
          <w:szCs w:val="24"/>
        </w:rPr>
        <w:t xml:space="preserve"> </w:t>
      </w:r>
      <w:r w:rsidR="00F315DB"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ISBN":"0140-6736","author":[{"dropping-particle":"","family":"Blencowe","given":"Hannah","non-dropping-particle":"","parse-names":false,"suffix":""},{"dropping-particle":"","family":"Cousens","given":"Simon","non-dropping-particle":"","parse-names":false,"suffix":""},{"dropping-particle":"","family":"Oestergaard","given":"Mikkel Z","non-dropping-particle":"","parse-names":false,"suffix":""},{"dropping-particle":"","family":"Chou","given":"Doris","non-dropping-particle":"","parse-names":false,"suffix":""},{"dropping-particle":"","family":"Moller","given":"Ann-Beth","non-dropping-particle":"","parse-names":false,"suffix":""},{"dropping-particle":"","family":"Narwal","given":"Rajesh","non-dropping-particle":"","parse-names":false,"suffix":""},{"dropping-particle":"","family":"Adler","given":"Alma","non-dropping-particle":"","parse-names":false,"suffix":""},{"dropping-particle":"","family":"Garcia","given":"Claudia Vera","non-dropping-particle":"","parse-names":false,"suffix":""},{"dropping-particle":"","family":"Rohde","given":"Sarah","non-dropping-particle":"","parse-names":false,"suffix":""},{"dropping-particle":"","family":"Say","given":"Lale","non-dropping-particle":"","parse-names":false,"suffix":""}],"container-title":"The Lancet","id":"ITEM-1","issue":"9832","issued":{"date-parts":[["2012"]]},"page":"2162-2172","title":"National, regional, and worldwide estimates of preterm birth rates in the year 2010 with time trends since 1990 for selected countries: a systematic analysis and implications","type":"article-journal","volume":"379"},"uris":["http://www.mendeley.com/documents/?uuid=007c4706-158c-4831-954d-6fb668588aee"]},{"id":"ITEM-2","itemData":{"abstract":"In 2012, the World Health Assembly Resolution 65.6 endorsed a Comprehensive implementation plan on maternal, infant and young child nutrition 1 , which specified six global nutrition targets for 2025 2 . This policy brief covers the third target: a 30% reduction of low birth weight. The purpose of this policy brief is to increase attention to, investment in, and action for a set of cost-effective interventions and policies that can help Member States and their partners in reducing rates of low birth weight. TARGET: 30% reduction of low birth weight Low birth weight (LBW) is defined by the World Health Organization (WHO) as weight at birth less than 2500 g (5.5 lb). Low birth weight continues to be a significant public health problem globally and is associated with a range of both short-and long-term consequences. Overall, it is estimated that 15% to 20% of all births worldwide are LBW, representing more than 20 million births a year. The goal is to achieve a 30% reduction of the number of infants born with a weight lower than 2500 g by the year 2025 1 . This would translate into a 3.9% relative reduction per year between 2012 and 2025 and a reduction from approximately 20 million to about 14 million infants with low weight at birth. Preterm birth is the most common direct cause of neonatal mortality 3 . Every year, 1.1 million babies die from complications of preterm birth. Low birth weight is not only a major predictor of prenatal mortality and morbidity, but recent studies have found that low birth weight also increases the risk for noncommunicable diseases such as diabetes and cardiovascular disease later in life 4,5 . There is considerable variation in the prevalence of low birth weight across regions and within countries; however, the great majority of low birth weight births occur in low-and middle-income countries and especially in the most vulnerable populations 6,7 . Regional estimates of LBW include 28% in south Asia, 13% in sub-Saharan Africa and 9% in Latin America (see Table 1). It is worth noting that these rates are high, in spite of the fact that the data on LBW remain limited or unreliable, as many deliveries occur in homes or small health clinics and are not reported in official figures, which may result in an underestimation of the prevalence of LBW. To improve maternal, infant and young child nutrition","author":[{"dropping-particle":"","family":"World Health Organization","given":"","non-dropping-particle":"","parse-names":false,"suffix":""}],"id":"ITEM-2","issued":{"date-parts":[["2014"]]},"title":"WHA Global Nutrition Targets 2025: Low Birth Weight Policy Brief","type":"article-journal"},"uris":["http://www.mendeley.com/documents/?uuid=d9fdb60f-d141-3509-88ce-7246b2de17bf"]}],"mendeley":{"formattedCitation":"[5,6]","plainTextFormattedCitation":"[5,6]","previouslyFormattedCitation":"[5,6]"},"properties":{"noteIndex":0},"schema":"https://github.com/citation-style-language/schema/raw/master/csl-citation.json"}</w:instrText>
      </w:r>
      <w:r w:rsidR="00F315DB"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[5,6]</w:t>
      </w:r>
      <w:r w:rsidR="00F315DB" w:rsidRPr="004F6EAB">
        <w:rPr>
          <w:rFonts w:ascii="Times New Roman" w:hAnsi="Times New Roman" w:cs="Times New Roman"/>
          <w:sz w:val="24"/>
          <w:szCs w:val="24"/>
        </w:rPr>
        <w:fldChar w:fldCharType="end"/>
      </w:r>
      <w:r w:rsidR="00F315DB" w:rsidRPr="004F6EAB">
        <w:rPr>
          <w:rFonts w:ascii="Times New Roman" w:hAnsi="Times New Roman" w:cs="Times New Roman"/>
          <w:sz w:val="24"/>
          <w:szCs w:val="24"/>
        </w:rPr>
        <w:t xml:space="preserve">. </w:t>
      </w:r>
      <w:r w:rsidR="00355562" w:rsidRPr="004F6EAB">
        <w:rPr>
          <w:rFonts w:ascii="Times New Roman" w:hAnsi="Times New Roman" w:cs="Times New Roman"/>
          <w:sz w:val="24"/>
          <w:szCs w:val="24"/>
        </w:rPr>
        <w:t>Thus</w:t>
      </w:r>
      <w:r w:rsidRPr="004F6EAB">
        <w:rPr>
          <w:rFonts w:ascii="Times New Roman" w:hAnsi="Times New Roman" w:cs="Times New Roman"/>
          <w:sz w:val="24"/>
          <w:szCs w:val="24"/>
        </w:rPr>
        <w:t>,</w:t>
      </w:r>
      <w:r w:rsidR="00355562" w:rsidRPr="004F6EAB">
        <w:rPr>
          <w:rFonts w:ascii="Times New Roman" w:hAnsi="Times New Roman" w:cs="Times New Roman"/>
          <w:sz w:val="24"/>
          <w:szCs w:val="24"/>
        </w:rPr>
        <w:t xml:space="preserve"> i</w:t>
      </w:r>
      <w:r w:rsidR="00DD2A19" w:rsidRPr="004F6EAB">
        <w:rPr>
          <w:rFonts w:ascii="Times New Roman" w:hAnsi="Times New Roman" w:cs="Times New Roman"/>
          <w:sz w:val="24"/>
          <w:szCs w:val="24"/>
        </w:rPr>
        <w:t xml:space="preserve">dentifying </w:t>
      </w:r>
      <w:r w:rsidR="00F315DB" w:rsidRPr="004F6EAB">
        <w:rPr>
          <w:rFonts w:ascii="Times New Roman" w:hAnsi="Times New Roman" w:cs="Times New Roman"/>
          <w:sz w:val="24"/>
          <w:szCs w:val="24"/>
        </w:rPr>
        <w:t xml:space="preserve">modifiable risk factors </w:t>
      </w:r>
      <w:r w:rsidR="003B2ECD" w:rsidRPr="004F6EAB">
        <w:rPr>
          <w:rFonts w:ascii="Times New Roman" w:hAnsi="Times New Roman" w:cs="Times New Roman"/>
          <w:sz w:val="24"/>
          <w:szCs w:val="24"/>
        </w:rPr>
        <w:t>of adverse birth outcomes</w:t>
      </w:r>
      <w:r w:rsidR="00F315DB" w:rsidRPr="004F6EAB">
        <w:rPr>
          <w:rFonts w:ascii="Times New Roman" w:hAnsi="Times New Roman" w:cs="Times New Roman"/>
          <w:sz w:val="24"/>
          <w:szCs w:val="24"/>
        </w:rPr>
        <w:t xml:space="preserve"> is </w:t>
      </w:r>
      <w:r w:rsidR="00DD2A19" w:rsidRPr="004F6EAB">
        <w:rPr>
          <w:rFonts w:ascii="Times New Roman" w:hAnsi="Times New Roman" w:cs="Times New Roman"/>
          <w:sz w:val="24"/>
          <w:szCs w:val="24"/>
        </w:rPr>
        <w:t xml:space="preserve">paramount for improving </w:t>
      </w:r>
      <w:r w:rsidR="00355562" w:rsidRPr="004F6EAB">
        <w:rPr>
          <w:rFonts w:ascii="Times New Roman" w:hAnsi="Times New Roman" w:cs="Times New Roman"/>
          <w:sz w:val="24"/>
          <w:szCs w:val="24"/>
        </w:rPr>
        <w:t xml:space="preserve">both </w:t>
      </w:r>
      <w:r w:rsidR="00DD2A19" w:rsidRPr="004F6EAB">
        <w:rPr>
          <w:rFonts w:ascii="Times New Roman" w:hAnsi="Times New Roman" w:cs="Times New Roman"/>
          <w:sz w:val="24"/>
          <w:szCs w:val="24"/>
        </w:rPr>
        <w:t>child and adult health outcomes.</w:t>
      </w:r>
    </w:p>
    <w:p w14:paraId="7299052E" w14:textId="0F8E1B99" w:rsidR="00245174" w:rsidRPr="004F6EAB" w:rsidRDefault="00AC61FB" w:rsidP="005E62D3">
      <w:pPr>
        <w:spacing w:line="480" w:lineRule="auto"/>
        <w:rPr>
          <w:rFonts w:ascii="Times New Roman" w:hAnsi="Times New Roman" w:cs="Times New Roman"/>
          <w:bCs/>
          <w:sz w:val="24"/>
          <w:szCs w:val="24"/>
          <w:lang w:val="en-SG"/>
        </w:rPr>
      </w:pPr>
      <w:bookmarkStart w:id="3" w:name="_Hlk26815629"/>
      <w:bookmarkEnd w:id="2"/>
      <w:r w:rsidRPr="004F6EAB">
        <w:rPr>
          <w:rFonts w:ascii="Times New Roman" w:hAnsi="Times New Roman" w:cs="Times New Roman"/>
          <w:sz w:val="24"/>
          <w:szCs w:val="24"/>
        </w:rPr>
        <w:t xml:space="preserve">The </w:t>
      </w:r>
      <w:r w:rsidR="003B2ECD" w:rsidRPr="004F6EAB">
        <w:rPr>
          <w:rFonts w:ascii="Times New Roman" w:hAnsi="Times New Roman" w:cs="Times New Roman"/>
          <w:sz w:val="24"/>
          <w:szCs w:val="24"/>
        </w:rPr>
        <w:t>Developmental Origins of Health and Diseases (DOHaD) theory</w:t>
      </w:r>
      <w:r w:rsidRPr="004F6EAB">
        <w:rPr>
          <w:rFonts w:ascii="Times New Roman" w:hAnsi="Times New Roman" w:cs="Times New Roman"/>
          <w:sz w:val="24"/>
          <w:szCs w:val="24"/>
        </w:rPr>
        <w:t xml:space="preserve"> </w:t>
      </w:r>
      <w:r w:rsidR="003B2ECD" w:rsidRPr="004F6EAB">
        <w:rPr>
          <w:rFonts w:ascii="Times New Roman" w:hAnsi="Times New Roman" w:cs="Times New Roman"/>
          <w:sz w:val="24"/>
          <w:szCs w:val="24"/>
        </w:rPr>
        <w:t xml:space="preserve">posits </w:t>
      </w:r>
      <w:r w:rsidRPr="004F6EAB">
        <w:rPr>
          <w:rFonts w:ascii="Times New Roman" w:hAnsi="Times New Roman" w:cs="Times New Roman"/>
          <w:sz w:val="24"/>
          <w:szCs w:val="24"/>
        </w:rPr>
        <w:t xml:space="preserve">that </w:t>
      </w:r>
      <w:r w:rsidR="00355562" w:rsidRPr="004F6EAB">
        <w:rPr>
          <w:rFonts w:ascii="Times New Roman" w:hAnsi="Times New Roman" w:cs="Times New Roman"/>
          <w:sz w:val="24"/>
          <w:szCs w:val="24"/>
        </w:rPr>
        <w:t xml:space="preserve">maternal </w:t>
      </w:r>
      <w:r w:rsidR="003B2ECD" w:rsidRPr="004F6EAB">
        <w:rPr>
          <w:rFonts w:ascii="Times New Roman" w:hAnsi="Times New Roman" w:cs="Times New Roman"/>
          <w:sz w:val="24"/>
          <w:szCs w:val="24"/>
        </w:rPr>
        <w:t>peri</w:t>
      </w:r>
      <w:r w:rsidR="00F500C9" w:rsidRPr="004F6EAB">
        <w:rPr>
          <w:rFonts w:ascii="Times New Roman" w:hAnsi="Times New Roman" w:cs="Times New Roman"/>
          <w:sz w:val="24"/>
          <w:szCs w:val="24"/>
        </w:rPr>
        <w:t>-</w:t>
      </w:r>
      <w:r w:rsidR="003B2ECD" w:rsidRPr="004F6EAB">
        <w:rPr>
          <w:rFonts w:ascii="Times New Roman" w:hAnsi="Times New Roman" w:cs="Times New Roman"/>
          <w:sz w:val="24"/>
          <w:szCs w:val="24"/>
        </w:rPr>
        <w:t xml:space="preserve">conceptional and </w:t>
      </w:r>
      <w:r w:rsidRPr="004F6EAB">
        <w:rPr>
          <w:rFonts w:ascii="Times New Roman" w:hAnsi="Times New Roman" w:cs="Times New Roman"/>
          <w:sz w:val="24"/>
          <w:szCs w:val="24"/>
        </w:rPr>
        <w:t xml:space="preserve">intrauterine nutrition </w:t>
      </w:r>
      <w:r w:rsidR="00E87499" w:rsidRPr="004F6EAB">
        <w:rPr>
          <w:rFonts w:ascii="Times New Roman" w:hAnsi="Times New Roman" w:cs="Times New Roman"/>
          <w:sz w:val="24"/>
          <w:szCs w:val="24"/>
        </w:rPr>
        <w:t xml:space="preserve">can </w:t>
      </w:r>
      <w:r w:rsidRPr="004F6EAB">
        <w:rPr>
          <w:rFonts w:ascii="Times New Roman" w:hAnsi="Times New Roman" w:cs="Times New Roman"/>
          <w:sz w:val="24"/>
          <w:szCs w:val="24"/>
        </w:rPr>
        <w:t>alter the health trajectory of the offspring</w:t>
      </w:r>
      <w:r w:rsidR="003B2ECD" w:rsidRPr="004F6EAB">
        <w:rPr>
          <w:rFonts w:ascii="Times New Roman" w:hAnsi="Times New Roman" w:cs="Times New Roman"/>
          <w:sz w:val="24"/>
          <w:szCs w:val="24"/>
        </w:rPr>
        <w:t xml:space="preserve">. </w:t>
      </w:r>
      <w:bookmarkEnd w:id="3"/>
      <w:r w:rsidR="003B2ECD" w:rsidRPr="004F6EAB">
        <w:rPr>
          <w:rFonts w:ascii="Times New Roman" w:hAnsi="Times New Roman" w:cs="Times New Roman"/>
          <w:sz w:val="24"/>
          <w:szCs w:val="24"/>
        </w:rPr>
        <w:t>Several lines of evidence from</w:t>
      </w:r>
      <w:r w:rsidR="00D1651F" w:rsidRPr="004F6EAB">
        <w:rPr>
          <w:rFonts w:ascii="Times New Roman" w:hAnsi="Times New Roman" w:cs="Times New Roman"/>
          <w:sz w:val="24"/>
          <w:szCs w:val="24"/>
        </w:rPr>
        <w:t xml:space="preserve"> animal studies </w:t>
      </w:r>
      <w:r w:rsidR="00D1651F"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{"citationItems":[{"id":"ITEM-1","itemData":{"DOI":"10.1098/rstb.2018.0116","ISSN":"0962-8436","abstract":"Animal models have been indispensable in elucidating the potential causative mechanisms underlying the effects of maternal diet on offspring health. Of these, the mouse has been widely used to mode...","author":[{"dropping-particle":"","family":"Nicholas","given":"Lisa M.","non-dropping-particle":"","parse-names":false,"suffix":""},{"dropping-particle":"","family":"Ozanne","given":"Susan E.","non-dropping-particle":"","parse-names":false,"suffix":""}],"container-title":"Philosophical Transactions of the Royal Society B: Biological Sciences","id":"ITEM-1","issue":"1770","issued":{"date-parts":[["2019","4","15"]]},"page":"20180116","publisher":"\nThe Royal Society\n","title":"Early life programming in mice by maternal overnutrition: mechanistic insights and interventional approaches","type":"article-journal","volume":"374"},"uris":["http://www.mendeley.com/documents/?uuid=1ab0028a-8aec-3d0f-9440-9a7332e516c6"]}],"mendeley":{"formattedCitation":"[7]","plainTextFormattedCitation":"[7]","previouslyFormattedCitation":"[7]"},"properties":{"noteIndex":0},"schema":"https://github.com/citation-style-language/schema/raw/master/csl-citation.json"}</w:instrText>
      </w:r>
      <w:r w:rsidR="00D1651F"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[7]</w:t>
      </w:r>
      <w:r w:rsidR="00D1651F" w:rsidRPr="004F6EAB">
        <w:rPr>
          <w:rFonts w:ascii="Times New Roman" w:hAnsi="Times New Roman" w:cs="Times New Roman"/>
          <w:sz w:val="24"/>
          <w:szCs w:val="24"/>
        </w:rPr>
        <w:fldChar w:fldCharType="end"/>
      </w:r>
      <w:r w:rsidR="00D1651F" w:rsidRPr="004F6EAB">
        <w:rPr>
          <w:rFonts w:ascii="Times New Roman" w:hAnsi="Times New Roman" w:cs="Times New Roman"/>
          <w:sz w:val="24"/>
          <w:szCs w:val="24"/>
        </w:rPr>
        <w:t xml:space="preserve">, human famine studies </w:t>
      </w:r>
      <w:r w:rsidR="00D1651F"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{"citationItems":[{"id":"ITEM-1","itemData":{"DOI":"10.3945/jn.110.121293","ISSN":"1541-6100","PMID":"20702751","abstract":"The Chinese famine of 1959-1961 was the largest in human history. We used data on 35,025 women born in 1957-1963 to assess the impact of famine exposure on height, BMI, and hypertension at ~32 y of age. The data were from the China-U.S. Collaborative Project for Neural Tube Defect Prevention. The famine varied in intensity across provinces and counties and affected rural areas disproportionately. We used a measure of famine intensity at the county level based on the size of birth year cohorts in a difference-in-difference model, which compared each cohort to the unexposed 1963 cohort, after correcting for age and time trends, and estimated impact for the average level of intensity across counties. The impact was confined to rural areas, but this could be due to small sample sizes in urban areas. Height was reduced in the 1958 and 1959 cohorts by 1.7 and 1.3 cm, respectively. This corresponded to exposures during 0.5-3.5 y for the 1958 cohort and late pregnancy and 0-2.5 y for the 1959 cohort. BMI increased by 0.92 kg/m(2) in the 1957 cohort, exposed from 1.5 to 4.5 y, but decreased by 0.3 kg/m(2) in the 1960-1961 cohorts, exposed during pregnancy and infancy. Famine exposure was associated with a 3-fold increase in the odds of hypertension for the 1958 cohort. In general, postnatal exposure during the first 2-3 y of life reduced height and increased BMI and hypertension, whereas exposure during pregnancy and infancy reduced BMI.","author":[{"dropping-particle":"","family":"Huang","given":"Cheng","non-dropping-particle":"","parse-names":false,"suffix":""},{"dropping-particle":"","family":"Li","given":"Zhu","non-dropping-particle":"","parse-names":false,"suffix":""},{"dropping-particle":"","family":"Wang","given":"Meng","non-dropping-particle":"","parse-names":false,"suffix":""},{"dropping-particle":"","family":"Martorell","given":"Reynaldo","non-dropping-particle":"","parse-names":false,"suffix":""}],"container-title":"The Journal of nutrition","id":"ITEM-1","issue":"10","issued":{"date-parts":[["2010","10"]]},"page":"1874-8","title":"Early life exposure to the 1959-1961 Chinese famine has long-term health consequences.","type":"article-journal","volume":"140"},"uris":["http://www.mendeley.com/documents/?uuid=18f75215-73e0-3309-a47c-ac1a6f90c94e"]},{"id":"ITEM-2","itemData":{"ISSN":"1468-201X","PMID":"11083734","abstract":"OBJECTIVE To assess the effect of prenatal exposure to maternal malnutrition on coronary heart disease in people born around the time of the Dutch famine, 1944-45. DESIGN Historical cohort study. SETTING Community study. PATIENTS Singletons born alive between November 1943 and February 1947 for whom detailed birth records were available. DESIGN The prevalence of coronary heart disease was compared between those exposed to famine in late gestation (n = 120), in mid-gestation (n = 108), or in early gestation (n = 68), and those born in the year before the famine or those conceived in the year after the famine (non-exposed subjects, n = 440). MAIN OUTCOME MEASURES Prevalence of coronary heart disease, defined as the presence of angina pectoris according to the Rose questionnaire, Q waves on the ECG, or a history of coronary revascularisation. RESULTS The prevalence of coronary heart disease was higher in those exposed in early gestation than in non-exposed people (8.8% v 3.2%; odds ratio adjusted for sex 3.0, 95% confidence interval (CI) 1.1 to 8.1). The prevalence was not increased in those exposed in mid gestation (0.9%) or late gestation (2.5%). People with coronary heart disease tended to have lower birth weights (3215 g v 3352 g, p = 0.13), and smaller head circumferences at birth (32.2 cm v 32.8 cm, p = 0.05), but the effect of exposure to famine in early gestation was independent of birth weight (adjusted odds ratio 3.2, 95% CI 1.2 to 8.8). CONCLUSIONS Although the numbers are very small, this is the first evidence suggesting that maternal malnutrition during early gestation contributes to the occurrence of coronary heart disease in the offspring.","author":[{"dropping-particle":"","family":"Roseboom","given":"T J","non-dropping-particle":"","parse-names":false,"suffix":""},{"dropping-particle":"","family":"Meulen","given":"J H","non-dropping-particle":"van der","parse-names":false,"suffix":""},{"dropping-particle":"","family":"Osmond","given":"C","non-dropping-particle":"","parse-names":false,"suffix":""},{"dropping-particle":"","family":"Barker","given":"D J","non-dropping-particle":"","parse-names":false,"suffix":""},{"dropping-particle":"","family":"Ravelli","given":"A C","non-dropping-particle":"","parse-names":false,"suffix":""},{"dropping-particle":"","family":"Schroeder-Tanka","given":"J M","non-dropping-particle":"","parse-names":false,"suffix":""},{"dropping-particle":"","family":"Montfrans","given":"G A","non-dropping-particle":"van","parse-names":false,"suffix":""},{"dropping-particle":"","family":"Michels","given":"R P","non-dropping-particle":"","parse-names":false,"suffix":""},{"dropping-particle":"","family":"Bleker","given":"O P","non-dropping-particle":"","parse-names":false,"suffix":""}],"container-title":"Heart (British Cardiac Society)","id":"ITEM-2","issue":"6","issued":{"date-parts":[["2000","12"]]},"page":"595-8","title":"Coronary heart disease after prenatal exposure to the Dutch famine, 1944-45.","type":"article-journal","volume":"84"},"uris":["http://www.mendeley.com/documents/?uuid=cd6c1ff2-fca2-39d7-b350-4222ad15bd30"]}],"mendeley":{"formattedCitation":"[8,9]","plainTextFormattedCitation":"[8,9]","previouslyFormattedCitation":"[8,9]"},"properties":{"noteIndex":0},"schema":"https://github.com/citation-style-language/schema/raw/master/csl-citation.json"}</w:instrText>
      </w:r>
      <w:r w:rsidR="00D1651F"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[8,9]</w:t>
      </w:r>
      <w:r w:rsidR="00D1651F" w:rsidRPr="004F6EAB">
        <w:rPr>
          <w:rFonts w:ascii="Times New Roman" w:hAnsi="Times New Roman" w:cs="Times New Roman"/>
          <w:sz w:val="24"/>
          <w:szCs w:val="24"/>
        </w:rPr>
        <w:fldChar w:fldCharType="end"/>
      </w:r>
      <w:r w:rsidR="00D1651F" w:rsidRPr="004F6EAB">
        <w:rPr>
          <w:rFonts w:ascii="Times New Roman" w:hAnsi="Times New Roman" w:cs="Times New Roman"/>
          <w:sz w:val="24"/>
          <w:szCs w:val="24"/>
        </w:rPr>
        <w:t xml:space="preserve">, </w:t>
      </w:r>
      <w:r w:rsidRPr="004F6EAB">
        <w:rPr>
          <w:rFonts w:ascii="Times New Roman" w:hAnsi="Times New Roman" w:cs="Times New Roman"/>
          <w:sz w:val="24"/>
          <w:szCs w:val="24"/>
        </w:rPr>
        <w:t xml:space="preserve">and recent human studies with milder nutritional challenge </w:t>
      </w:r>
      <w:r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 xml:space="preserve">ADDIN CSL_CITATION {"citationItems":[{"id":"ITEM-1","itemData":{"DOI":"10.3945/ajcn.113.082222","ISSN":"1938-3207","PMID":"25099541","abstract":"BACKGROUND: Animal studies have shown that protein intake in pregnancy may influence offspring fat metabolism and adiposity. The macronutrient ratio in human pregnancy appears to be important for offspring glucose tolerance; however, less is known about the influence on offspring adiposity.\n\nOBJECTIVE: We examined the relation between maternal dietary protein intake during pregnancy and offspring anthropometric measures and biomarkers of adiposity and glucose metabolism.\n\nDESIGN: We used a prospective cohort of 965 Danish pregnant women recruited in 1988-1989 with offspring follow-up at 19-21 y. Macronutrient intake was collected in gestational week 30, and we divided protein according to its source (animal and vegetable including cereals). Offspring body mass index (BMI; in kg/m(2)) and waist circumference were recorded at follow-up (n = 695-697), and biomarkers were quantified in a subset (n = 443) of participants. We used multivariable linear and log-binomial regression to calculate effect estimates and 95% CIs for a 1:1-g substitution of carbohydrates for protein.\n\nRESULTS: Offspring mean (±SD) BMI was </w:instrText>
      </w:r>
      <w:r w:rsidR="005C1ADD">
        <w:rPr>
          <w:rFonts w:ascii="Times New Roman" w:hAnsi="Times New Roman" w:cs="Times New Roman" w:hint="eastAsia"/>
          <w:sz w:val="24"/>
          <w:szCs w:val="24"/>
        </w:rPr>
        <w:instrText xml:space="preserve">22.1 </w:instrText>
      </w:r>
      <w:r w:rsidR="005C1ADD">
        <w:rPr>
          <w:rFonts w:ascii="Times New Roman" w:hAnsi="Times New Roman" w:cs="Times New Roman" w:hint="eastAsia"/>
          <w:sz w:val="24"/>
          <w:szCs w:val="24"/>
        </w:rPr>
        <w:instrText>±</w:instrText>
      </w:r>
      <w:r w:rsidR="005C1ADD">
        <w:rPr>
          <w:rFonts w:ascii="Times New Roman" w:hAnsi="Times New Roman" w:cs="Times New Roman" w:hint="eastAsia"/>
          <w:sz w:val="24"/>
          <w:szCs w:val="24"/>
        </w:rPr>
        <w:instrText xml:space="preserve"> 3.3 and 22.8 </w:instrText>
      </w:r>
      <w:r w:rsidR="005C1ADD">
        <w:rPr>
          <w:rFonts w:ascii="Times New Roman" w:hAnsi="Times New Roman" w:cs="Times New Roman" w:hint="eastAsia"/>
          <w:sz w:val="24"/>
          <w:szCs w:val="24"/>
        </w:rPr>
        <w:instrText>±</w:instrText>
      </w:r>
      <w:r w:rsidR="005C1ADD">
        <w:rPr>
          <w:rFonts w:ascii="Times New Roman" w:hAnsi="Times New Roman" w:cs="Times New Roman" w:hint="eastAsia"/>
          <w:sz w:val="24"/>
          <w:szCs w:val="24"/>
        </w:rPr>
        <w:instrText xml:space="preserve"> 2.9 for women and men, respectively. The prevalence of overweight (BMI </w:instrText>
      </w:r>
      <w:r w:rsidR="005C1ADD">
        <w:rPr>
          <w:rFonts w:ascii="Times New Roman" w:hAnsi="Times New Roman" w:cs="Times New Roman" w:hint="eastAsia"/>
          <w:sz w:val="24"/>
          <w:szCs w:val="24"/>
        </w:rPr>
        <w:instrText>≥</w:instrText>
      </w:r>
      <w:r w:rsidR="005C1ADD">
        <w:rPr>
          <w:rFonts w:ascii="Times New Roman" w:hAnsi="Times New Roman" w:cs="Times New Roman" w:hint="eastAsia"/>
          <w:sz w:val="24"/>
          <w:szCs w:val="24"/>
        </w:rPr>
        <w:instrText xml:space="preserve">25) was 16.9% for women and 19.1% for men. We showed that a 1:1-g substitution of animal protein for carbohydrates increased risk of BMI </w:instrText>
      </w:r>
      <w:r w:rsidR="005C1ADD">
        <w:rPr>
          <w:rFonts w:ascii="Times New Roman" w:hAnsi="Times New Roman" w:cs="Times New Roman" w:hint="eastAsia"/>
          <w:sz w:val="24"/>
          <w:szCs w:val="24"/>
        </w:rPr>
        <w:instrText>≥</w:instrText>
      </w:r>
      <w:r w:rsidR="005C1ADD">
        <w:rPr>
          <w:rFonts w:ascii="Times New Roman" w:hAnsi="Times New Roman" w:cs="Times New Roman" w:hint="eastAsia"/>
          <w:sz w:val="24"/>
          <w:szCs w:val="24"/>
        </w:rPr>
        <w:instrText xml:space="preserve">25 in female [quartile </w:instrText>
      </w:r>
      <w:r w:rsidR="005C1ADD">
        <w:rPr>
          <w:rFonts w:ascii="Times New Roman" w:hAnsi="Times New Roman" w:cs="Times New Roman"/>
          <w:sz w:val="24"/>
          <w:szCs w:val="24"/>
        </w:rPr>
        <w:instrText>4 compared with quartile 1: risk ratio (RR): 3.36; 95% CI: 1.52, 7.42] and male (quartile 4 compared with quartile 1: RR: 2.22; 95% CI: 0.92, 5.35) offspring. These results appeared to be accounted for by protein from meat sources. The results could not be explained by postnatal risk factors.\n\nCONCLUSIONS: Protein from animal sources, primarily meat products, consumed during pregnancy may increase risk of overweight in offspring; this association appeared to be stronger for female offspring. Because of the lack of information on postnatal exposure in this cohort, these results are hypothesis-generating and need to be replicated in other cohorts.","author":[{"dropping-particle":"","family":"Maslova","given":"Ekaterina","non-dropping-particle":"","parse-names":false,"suffix":""},{"dropping-particle":"","family":"Rytter","given":"Dorte","non-dropping-particle":"","parse-names":false,"suffix":""},{"dropping-particle":"","family":"Bech","given":"Bodil H","non-dropping-particle":"","parse-names":false,"suffix":""},{"dropping-particle":"","family":"Henriksen","given":"Tine B","non-dropping-particle":"","parse-names":false,"suffix":""},{"dropping-particle":"","family":"Rasmussen","given":"Morten A","non-dropping-particle":"","parse-names":false,"suffix":""},{"dropping-particle":"","family":"Olsen","given":"Sjurdur F","non-dropping-particle":"","parse-names":false,"suffix":""},{"dropping-particle":"","family":"Halldorsson","given":"Thorhallur I","non-dropping-particle":"","parse-names":false,"suffix":""}],"container-title":"The American journal of clinical nutrition","id":"ITEM-1","issue":"4","issued":{"date-parts":[["2014","10"]]},"page":"1139-48","title":"Maternal protein intake during pregnancy and offspring overweight 20 y later.","type":"article-journal","volume":"100"},"uris":["http://www.mendeley.com/documents/?uuid=3e87e98d-3452-4701-92a9-e2538e89de8c"]},{"id":"ITEM-2","itemData":{"DOI":"10.3945/ajcn.116.148270","ISSN":"0002-9165","author":[{"dropping-particle":"","family":"Chen","given":"Ling-Wei","non-dropping-particle":"","parse-names":false,"suffix":""},{"dropping-particle":"","family":"Aris","given":"Izzuddin M","non-dropping-particle":"","parse-names":false,"suffix":""},{"dropping-particle":"","family":"Bernard","given":"Jonathan Y","non-dropping-particle":"","parse-names":false,"suffix":""},{"dropping-particle":"","family":"Tint","given":"Mya-Thway","non-dropping-particle":"","parse-names":false,"suffix":""},{"dropping-particle":"","family":"Colega","given":"Marjorelee","non-dropping-particle":"","parse-names":false,"suffix":""},{"dropping-particle":"","family":"Gluckman","given":"Peter D","non-dropping-particle":"","parse-names":false,"suffix":""},{"dropping-particle":"","family":"Tan","given":"Kok Hian","non-dropping-particle":"","parse-names":false,"suffix":""},{"dropping-particle":"","family":"Shek","given":"Lynette Pei-Chi","non-dropping-particle":"","parse-names":false,"suffix":""},{"dropping-particle":"","family":"Chong","given":"Yap-Seng","non-dropping-particle":"","parse-names":false,"suffix":""},{"dropping-particle":"","family":"Yap","given":"Fabian","non-dropping-particle":"","parse-names":false,"suffix":""},{"dropping-particle":"","family":"Godfrey","given":"Keith M","non-dropping-particle":"","parse-names":false,"suffix":""},{"dropping-particle":"","family":"Dam","given":"Rob M","non-dropping-particle":"van","parse-names":false,"suffix":""},{"dropping-particle":"","family":"Chong","given":"Mary Foong-Fong","non-dropping-particle":"","parse-names":false,"suffix":""},{"dropping-particle":"","family":"Lee","given":"Yung Seng","non-dropping-particle":"","parse-names":false,"suffix":""}],"container-title":"The American Journal of Clinical Nutrition","id":"ITEM-2","issue":"3","issued":{"date-parts":[["2017","3","1"]]},"page":"705-713","title":"Associations of maternal macronutrient intake during pregnancy with infant BMI peak characteristics and childhood BMI","type":"article-journal","volume":"105"},"uris":["http://www.mendeley.com/documents/?uuid=20f5e981-3e89-3cf0-b521-c2a278a008f2"]}],"mendeley":{"formattedCitation":"[10,11]","plainTextFormattedCitation":"[10,11]","previouslyFormattedCitation":"[10,11]"},"properties":{"noteIndex":0},"schema":"https://github.com/citation-style-language/schema/raw/master/csl-citation.json"}</w:instrText>
      </w:r>
      <w:r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[10,11]</w:t>
      </w:r>
      <w:r w:rsidRPr="004F6EAB">
        <w:rPr>
          <w:rFonts w:ascii="Times New Roman" w:hAnsi="Times New Roman" w:cs="Times New Roman"/>
          <w:sz w:val="24"/>
          <w:szCs w:val="24"/>
        </w:rPr>
        <w:fldChar w:fldCharType="end"/>
      </w:r>
      <w:r w:rsidR="00D1651F" w:rsidRPr="004F6EAB">
        <w:rPr>
          <w:rFonts w:ascii="Times New Roman" w:hAnsi="Times New Roman" w:cs="Times New Roman"/>
          <w:sz w:val="24"/>
          <w:szCs w:val="24"/>
        </w:rPr>
        <w:t xml:space="preserve"> support this theory</w:t>
      </w:r>
      <w:r w:rsidRPr="004F6EAB">
        <w:rPr>
          <w:rFonts w:ascii="Times New Roman" w:hAnsi="Times New Roman" w:cs="Times New Roman"/>
          <w:sz w:val="24"/>
          <w:szCs w:val="24"/>
        </w:rPr>
        <w:t xml:space="preserve">. </w:t>
      </w:r>
      <w:r w:rsidR="00D460B0" w:rsidRPr="004F6EAB">
        <w:rPr>
          <w:rFonts w:ascii="Times New Roman" w:hAnsi="Times New Roman" w:cs="Times New Roman"/>
          <w:sz w:val="24"/>
          <w:szCs w:val="24"/>
        </w:rPr>
        <w:t>Non</w:t>
      </w:r>
      <w:r w:rsidR="00564EC0" w:rsidRPr="004F6EAB">
        <w:rPr>
          <w:rFonts w:ascii="Times New Roman" w:hAnsi="Times New Roman" w:cs="Times New Roman"/>
          <w:sz w:val="24"/>
          <w:szCs w:val="24"/>
        </w:rPr>
        <w:t>e</w:t>
      </w:r>
      <w:r w:rsidR="00D460B0" w:rsidRPr="004F6EAB">
        <w:rPr>
          <w:rFonts w:ascii="Times New Roman" w:hAnsi="Times New Roman" w:cs="Times New Roman"/>
          <w:sz w:val="24"/>
          <w:szCs w:val="24"/>
        </w:rPr>
        <w:t>theless</w:t>
      </w:r>
      <w:r w:rsidR="00564EC0" w:rsidRPr="004F6EAB">
        <w:rPr>
          <w:rFonts w:ascii="Times New Roman" w:hAnsi="Times New Roman" w:cs="Times New Roman"/>
          <w:sz w:val="24"/>
          <w:szCs w:val="24"/>
        </w:rPr>
        <w:t xml:space="preserve">, </w:t>
      </w:r>
      <w:r w:rsidR="00184622" w:rsidRPr="004F6EAB">
        <w:rPr>
          <w:rFonts w:ascii="Times New Roman" w:hAnsi="Times New Roman" w:cs="Times New Roman"/>
          <w:sz w:val="24"/>
          <w:szCs w:val="24"/>
          <w:lang w:val="en-US"/>
        </w:rPr>
        <w:t xml:space="preserve">human diet </w:t>
      </w:r>
      <w:r w:rsidR="00D1651F" w:rsidRPr="004F6EAB">
        <w:rPr>
          <w:rFonts w:ascii="Times New Roman" w:hAnsi="Times New Roman" w:cs="Times New Roman"/>
          <w:sz w:val="24"/>
          <w:szCs w:val="24"/>
          <w:lang w:val="en-US"/>
        </w:rPr>
        <w:t>in free-living condition</w:t>
      </w:r>
      <w:r w:rsidR="00355562" w:rsidRPr="004F6EAB">
        <w:rPr>
          <w:rFonts w:ascii="Times New Roman" w:hAnsi="Times New Roman" w:cs="Times New Roman"/>
          <w:sz w:val="24"/>
          <w:szCs w:val="24"/>
          <w:lang w:val="en-US"/>
        </w:rPr>
        <w:t>s</w:t>
      </w:r>
      <w:r w:rsidR="00D1651F" w:rsidRPr="004F6EAB">
        <w:rPr>
          <w:rFonts w:ascii="Times New Roman" w:hAnsi="Times New Roman" w:cs="Times New Roman"/>
          <w:sz w:val="24"/>
          <w:szCs w:val="24"/>
          <w:lang w:val="en-US"/>
        </w:rPr>
        <w:t xml:space="preserve"> </w:t>
      </w:r>
      <w:r w:rsidR="00184622" w:rsidRPr="004F6EAB">
        <w:rPr>
          <w:rFonts w:ascii="Times New Roman" w:hAnsi="Times New Roman" w:cs="Times New Roman"/>
          <w:sz w:val="24"/>
          <w:szCs w:val="24"/>
          <w:lang w:val="en-US"/>
        </w:rPr>
        <w:t xml:space="preserve">is complex with </w:t>
      </w:r>
      <w:r w:rsidR="00D1651F" w:rsidRPr="004F6EAB">
        <w:rPr>
          <w:rFonts w:ascii="Times New Roman" w:hAnsi="Times New Roman" w:cs="Times New Roman"/>
          <w:sz w:val="24"/>
          <w:szCs w:val="24"/>
          <w:lang w:val="en-US"/>
        </w:rPr>
        <w:t xml:space="preserve">high correlations and interactions among </w:t>
      </w:r>
      <w:r w:rsidR="00184622" w:rsidRPr="004F6EAB">
        <w:rPr>
          <w:rFonts w:ascii="Times New Roman" w:hAnsi="Times New Roman" w:cs="Times New Roman"/>
          <w:sz w:val="24"/>
          <w:szCs w:val="24"/>
          <w:lang w:val="en-US"/>
        </w:rPr>
        <w:t>nutrients</w:t>
      </w:r>
      <w:r w:rsidR="00245174" w:rsidRPr="004F6EAB">
        <w:rPr>
          <w:rFonts w:ascii="Times New Roman" w:hAnsi="Times New Roman" w:cs="Times New Roman"/>
          <w:sz w:val="24"/>
          <w:szCs w:val="24"/>
          <w:lang w:val="en-US"/>
        </w:rPr>
        <w:t xml:space="preserve"> and foods</w:t>
      </w:r>
      <w:r w:rsidR="00184622" w:rsidRPr="004F6EAB">
        <w:rPr>
          <w:rFonts w:ascii="Times New Roman" w:hAnsi="Times New Roman" w:cs="Times New Roman"/>
          <w:sz w:val="24"/>
          <w:szCs w:val="24"/>
          <w:lang w:val="en-US"/>
        </w:rPr>
        <w:t xml:space="preserve"> </w:t>
      </w:r>
      <w:r w:rsidR="00184622" w:rsidRPr="004F6EAB">
        <w:rPr>
          <w:rFonts w:ascii="Times New Roman" w:hAnsi="Times New Roman" w:cs="Times New Roman"/>
          <w:sz w:val="24"/>
          <w:szCs w:val="24"/>
          <w:lang w:val="en-US"/>
        </w:rPr>
        <w:fldChar w:fldCharType="begin" w:fldLock="1"/>
      </w:r>
      <w:r w:rsidR="005C1ADD">
        <w:rPr>
          <w:rFonts w:ascii="Times New Roman" w:hAnsi="Times New Roman" w:cs="Times New Roman"/>
          <w:sz w:val="24"/>
          <w:szCs w:val="24"/>
          <w:lang w:val="en-US"/>
        </w:rPr>
        <w:instrText>ADDIN CSL_CITATION {"citationItems":[{"id":"ITEM-1","itemData":{"DOI":"10.1016/S0002-8223(96)00217-9","ISSN":"00028223","abstract":"This article reviews the published indexes of overall diet quality. Approaches used for measuring overall diet quality include those based on examination of the intake of nutrients, food groups, or a combination of both. A majority of the indexes have been examined in relation to nutrient adequacy only; few have been evaluated for assessment of quality according to current dietary guidelines, namely, a diet relatively low in fat that meets energy and nutrient needs. The indexes of overall diet quality were related to the risk of disease more strongly than individual nutrients or foods. J Am Diet Assoc. 1996; 96:785–791.","author":[{"dropping-particle":"","family":"Kant","given":"Ashima K.","non-dropping-particle":"","parse-names":false,"suffix":""}],"container-title":"Journal of the American Dietetic Association","id":"ITEM-1","issue":"8","issued":{"date-parts":[["1996"]]},"page":"785-791","title":"Indexes of Overall Diet Quality: A Review","type":"article-journal","volume":"96"},"uris":["http://www.mendeley.com/documents/?uuid=1170bacf-20b1-3f38-a31c-fd282ff6edc8","http://www.mendeley.com/documents/?uuid=2045ed41-e45e-469e-a2d8-7bba953bde04"]}],"mendeley":{"formattedCitation":"[12]","plainTextFormattedCitation":"[12]","previouslyFormattedCitation":"[12]"},"properties":{"noteIndex":0},"schema":"https://github.com/citation-style-language/schema/raw/master/csl-citation.json"}</w:instrText>
      </w:r>
      <w:r w:rsidR="00184622" w:rsidRPr="004F6EAB">
        <w:rPr>
          <w:rFonts w:ascii="Times New Roman" w:hAnsi="Times New Roman" w:cs="Times New Roman"/>
          <w:sz w:val="24"/>
          <w:szCs w:val="24"/>
          <w:lang w:val="en-US"/>
        </w:rPr>
        <w:fldChar w:fldCharType="separate"/>
      </w:r>
      <w:r w:rsidR="00AE282C" w:rsidRPr="00AE282C">
        <w:rPr>
          <w:rFonts w:ascii="Times New Roman" w:hAnsi="Times New Roman" w:cs="Times New Roman"/>
          <w:noProof/>
          <w:sz w:val="24"/>
          <w:szCs w:val="24"/>
          <w:lang w:val="en-US"/>
        </w:rPr>
        <w:t>[12]</w:t>
      </w:r>
      <w:r w:rsidR="00184622" w:rsidRPr="004F6EAB">
        <w:rPr>
          <w:rFonts w:ascii="Times New Roman" w:hAnsi="Times New Roman" w:cs="Times New Roman"/>
          <w:sz w:val="24"/>
          <w:szCs w:val="24"/>
        </w:rPr>
        <w:fldChar w:fldCharType="end"/>
      </w:r>
      <w:r w:rsidR="00184622" w:rsidRPr="004F6EAB">
        <w:rPr>
          <w:rFonts w:ascii="Times New Roman" w:hAnsi="Times New Roman" w:cs="Times New Roman"/>
          <w:sz w:val="24"/>
          <w:szCs w:val="24"/>
          <w:lang w:val="en-US"/>
        </w:rPr>
        <w:t xml:space="preserve">. Furthermore, </w:t>
      </w:r>
      <w:r w:rsidR="00355562" w:rsidRPr="004F6EAB">
        <w:rPr>
          <w:rFonts w:ascii="Times New Roman" w:hAnsi="Times New Roman" w:cs="Times New Roman"/>
          <w:sz w:val="24"/>
          <w:szCs w:val="24"/>
          <w:lang w:val="en-US"/>
        </w:rPr>
        <w:t xml:space="preserve">the </w:t>
      </w:r>
      <w:r w:rsidR="00184622" w:rsidRPr="004F6EAB">
        <w:rPr>
          <w:rFonts w:ascii="Times New Roman" w:hAnsi="Times New Roman" w:cs="Times New Roman"/>
          <w:sz w:val="24"/>
          <w:szCs w:val="24"/>
          <w:lang w:val="en-US"/>
        </w:rPr>
        <w:t>effect of individual nutrient</w:t>
      </w:r>
      <w:r w:rsidR="00D1651F" w:rsidRPr="004F6EAB">
        <w:rPr>
          <w:rFonts w:ascii="Times New Roman" w:hAnsi="Times New Roman" w:cs="Times New Roman"/>
          <w:sz w:val="24"/>
          <w:szCs w:val="24"/>
          <w:lang w:val="en-US"/>
        </w:rPr>
        <w:t>s</w:t>
      </w:r>
      <w:r w:rsidR="00245174" w:rsidRPr="004F6EAB">
        <w:rPr>
          <w:rFonts w:ascii="Times New Roman" w:hAnsi="Times New Roman" w:cs="Times New Roman"/>
          <w:sz w:val="24"/>
          <w:szCs w:val="24"/>
          <w:lang w:val="en-US"/>
        </w:rPr>
        <w:t xml:space="preserve"> and foods</w:t>
      </w:r>
      <w:r w:rsidR="00184622" w:rsidRPr="004F6EAB">
        <w:rPr>
          <w:rFonts w:ascii="Times New Roman" w:hAnsi="Times New Roman" w:cs="Times New Roman"/>
          <w:sz w:val="24"/>
          <w:szCs w:val="24"/>
          <w:lang w:val="en-US"/>
        </w:rPr>
        <w:t xml:space="preserve"> on health may be too small to</w:t>
      </w:r>
      <w:r w:rsidR="00CC139F" w:rsidRPr="004F6EAB">
        <w:rPr>
          <w:rFonts w:ascii="Times New Roman" w:hAnsi="Times New Roman" w:cs="Times New Roman"/>
          <w:sz w:val="24"/>
          <w:szCs w:val="24"/>
          <w:lang w:val="en-US"/>
        </w:rPr>
        <w:t xml:space="preserve"> be</w:t>
      </w:r>
      <w:r w:rsidR="00184622" w:rsidRPr="004F6EAB">
        <w:rPr>
          <w:rFonts w:ascii="Times New Roman" w:hAnsi="Times New Roman" w:cs="Times New Roman"/>
          <w:sz w:val="24"/>
          <w:szCs w:val="24"/>
          <w:lang w:val="en-US"/>
        </w:rPr>
        <w:t xml:space="preserve"> detect</w:t>
      </w:r>
      <w:r w:rsidR="00CC139F" w:rsidRPr="004F6EAB">
        <w:rPr>
          <w:rFonts w:ascii="Times New Roman" w:hAnsi="Times New Roman" w:cs="Times New Roman"/>
          <w:sz w:val="24"/>
          <w:szCs w:val="24"/>
          <w:lang w:val="en-US"/>
        </w:rPr>
        <w:t>ed</w:t>
      </w:r>
      <w:r w:rsidR="002D7551" w:rsidRPr="004F6EAB">
        <w:rPr>
          <w:rFonts w:ascii="Times New Roman" w:hAnsi="Times New Roman" w:cs="Times New Roman"/>
          <w:sz w:val="24"/>
          <w:szCs w:val="24"/>
          <w:lang w:val="en-US"/>
        </w:rPr>
        <w:t xml:space="preserve"> in studies with average sample size</w:t>
      </w:r>
      <w:r w:rsidR="00184622" w:rsidRPr="004F6EAB">
        <w:rPr>
          <w:rFonts w:ascii="Times New Roman" w:hAnsi="Times New Roman" w:cs="Times New Roman"/>
          <w:sz w:val="24"/>
          <w:szCs w:val="24"/>
          <w:lang w:val="en-US"/>
        </w:rPr>
        <w:t xml:space="preserve"> </w:t>
      </w:r>
      <w:r w:rsidR="00184622" w:rsidRPr="004F6EAB">
        <w:rPr>
          <w:rFonts w:ascii="Times New Roman" w:hAnsi="Times New Roman" w:cs="Times New Roman"/>
          <w:sz w:val="24"/>
          <w:szCs w:val="24"/>
          <w:lang w:val="en-US"/>
        </w:rPr>
        <w:fldChar w:fldCharType="begin" w:fldLock="1"/>
      </w:r>
      <w:r w:rsidR="005C1ADD">
        <w:rPr>
          <w:rFonts w:ascii="Times New Roman" w:hAnsi="Times New Roman" w:cs="Times New Roman"/>
          <w:sz w:val="24"/>
          <w:szCs w:val="24"/>
          <w:lang w:val="en-US"/>
        </w:rPr>
        <w:instrText>ADDIN CSL_CITATION {"citationItems":[{"id":"ITEM-1","itemData":{"ISSN":"0957-9672","PMID":"11790957","abstract":"Recently, dietary pattern analysis has emerged as an alternative and complementary approach to examining the relationship between diet and the risk of chronic diseases. Instead of looking at individual nutrients or foods, pattern analysis examines the effects of overall diet. Conceptually, dietary patterns represent a broader picture of food and nutrient consumption, and may thus be more predictive of disease risk than individual foods or nutrients. Several studies have suggested that dietary patterns derived from factor or cluster analysis predict disease risk or mortality. In addition, there is growing interest in using dietary quality indices to evaluate whether adherence to a certain dietary pattern (e.g. Mediterranean pattern) or current dietary guidelines lowers the risk of disease. In this review, we describe the rationale for studying dietary patterns, and discuss quantitative methods for analysing dietary patterns and their reproducibility and validity, and the available evidence regarding the relationship between major dietary patterns and the risk of cardiovascular disease.","author":[{"dropping-particle":"","family":"Hu","given":"Frank B","non-dropping-particle":"","parse-names":false,"suffix":""}],"container-title":"Current opinion in lipidology","id":"ITEM-1","issue":"1","issued":{"date-parts":[["2002","2"]]},"page":"3-9","title":"Dietary pattern analysis: a new direction in nutritional epidemiology.","type":"article-journal","volume":"13"},"uris":["http://www.mendeley.com/documents/?uuid=3ab77c92-9b32-4370-8f16-abb51b95b686"]}],"mendeley":{"formattedCitation":"[13]","plainTextFormattedCitation":"[13]","previouslyFormattedCitation":"[13]"},"properties":{"noteIndex":0},"schema":"https://github.com/citation-style-language/schema/raw/master/csl-citation.json"}</w:instrText>
      </w:r>
      <w:r w:rsidR="00184622" w:rsidRPr="004F6EAB">
        <w:rPr>
          <w:rFonts w:ascii="Times New Roman" w:hAnsi="Times New Roman" w:cs="Times New Roman"/>
          <w:sz w:val="24"/>
          <w:szCs w:val="24"/>
          <w:lang w:val="en-US"/>
        </w:rPr>
        <w:fldChar w:fldCharType="separate"/>
      </w:r>
      <w:r w:rsidR="00AE282C" w:rsidRPr="00AE282C">
        <w:rPr>
          <w:rFonts w:ascii="Times New Roman" w:hAnsi="Times New Roman" w:cs="Times New Roman"/>
          <w:noProof/>
          <w:sz w:val="24"/>
          <w:szCs w:val="24"/>
          <w:lang w:val="en-US"/>
        </w:rPr>
        <w:t>[13]</w:t>
      </w:r>
      <w:r w:rsidR="00184622" w:rsidRPr="004F6EAB">
        <w:rPr>
          <w:rFonts w:ascii="Times New Roman" w:hAnsi="Times New Roman" w:cs="Times New Roman"/>
          <w:sz w:val="24"/>
          <w:szCs w:val="24"/>
        </w:rPr>
        <w:fldChar w:fldCharType="end"/>
      </w:r>
      <w:r w:rsidR="00184622" w:rsidRPr="004F6EAB">
        <w:rPr>
          <w:rFonts w:ascii="Times New Roman" w:hAnsi="Times New Roman" w:cs="Times New Roman"/>
          <w:sz w:val="24"/>
          <w:szCs w:val="24"/>
          <w:lang w:val="en-US"/>
        </w:rPr>
        <w:t xml:space="preserve">. </w:t>
      </w:r>
      <w:r w:rsidR="00FE275C" w:rsidRPr="004F6EAB">
        <w:rPr>
          <w:rFonts w:ascii="Times New Roman" w:hAnsi="Times New Roman" w:cs="Times New Roman"/>
          <w:sz w:val="24"/>
          <w:szCs w:val="24"/>
          <w:lang w:val="en-US"/>
        </w:rPr>
        <w:t>By examining</w:t>
      </w:r>
      <w:r w:rsidR="00184622" w:rsidRPr="004F6EAB">
        <w:rPr>
          <w:rFonts w:ascii="Times New Roman" w:hAnsi="Times New Roman" w:cs="Times New Roman"/>
          <w:sz w:val="24"/>
          <w:szCs w:val="24"/>
          <w:lang w:val="en-US"/>
        </w:rPr>
        <w:t xml:space="preserve"> diet as a whole and measuring several aspects of dietary intake against dietary recommendations</w:t>
      </w:r>
      <w:r w:rsidR="00FE275C" w:rsidRPr="004F6EAB">
        <w:rPr>
          <w:rFonts w:ascii="Times New Roman" w:hAnsi="Times New Roman" w:cs="Times New Roman"/>
          <w:sz w:val="24"/>
          <w:szCs w:val="24"/>
          <w:lang w:val="en-US"/>
        </w:rPr>
        <w:t>, diet quality ind</w:t>
      </w:r>
      <w:r w:rsidR="00355562" w:rsidRPr="004F6EAB">
        <w:rPr>
          <w:rFonts w:ascii="Times New Roman" w:hAnsi="Times New Roman" w:cs="Times New Roman"/>
          <w:sz w:val="24"/>
          <w:szCs w:val="24"/>
          <w:lang w:val="en-US"/>
        </w:rPr>
        <w:t>ices</w:t>
      </w:r>
      <w:r w:rsidR="00FE275C" w:rsidRPr="004F6EAB">
        <w:rPr>
          <w:rFonts w:ascii="Times New Roman" w:hAnsi="Times New Roman" w:cs="Times New Roman"/>
          <w:sz w:val="24"/>
          <w:szCs w:val="24"/>
          <w:lang w:val="en-US"/>
        </w:rPr>
        <w:t xml:space="preserve"> offer a holistic view of diet and could be more effective for public health messaging </w:t>
      </w:r>
      <w:r w:rsidR="00184622" w:rsidRPr="004F6EAB">
        <w:rPr>
          <w:rFonts w:ascii="Times New Roman" w:hAnsi="Times New Roman" w:cs="Times New Roman"/>
          <w:sz w:val="24"/>
          <w:szCs w:val="24"/>
          <w:lang w:val="en-US"/>
        </w:rPr>
        <w:fldChar w:fldCharType="begin" w:fldLock="1"/>
      </w:r>
      <w:r w:rsidR="005C1ADD">
        <w:rPr>
          <w:rFonts w:ascii="Times New Roman" w:hAnsi="Times New Roman" w:cs="Times New Roman"/>
          <w:sz w:val="24"/>
          <w:szCs w:val="24"/>
          <w:lang w:val="en-US"/>
        </w:rPr>
        <w:instrText>ADDIN CSL_CITATION {"citationItems":[{"id":"ITEM-1","itemData":{"DOI":"10.3945/ajcn.115.110213","ISSN":"0002-9165","author":[{"dropping-particle":"","family":"Cespedes","given":"E. M.","non-dropping-particle":"","parse-names":false,"suffix":""},{"dropping-particle":"","family":"Hu","given":"F. B.","non-dropping-particle":"","parse-names":false,"suffix":""}],"container-title":"American Journal of Clinical Nutrition","id":"ITEM-1","issue":"5","issued":{"date-parts":[["2015","5","1"]]},"page":"899-900","publisher":"American Society for Nutrition","title":"Dietary patterns: from nutritional epidemiologic analysis to national guidelines","type":"article-journal","volume":"101"},"uris":["http://www.mendeley.com/documents/?uuid=d9c1858c-c6cc-3783-a1d9-c01aa9e7e1e0"]}],"mendeley":{"formattedCitation":"[14]","plainTextFormattedCitation":"[14]","previouslyFormattedCitation":"[14]"},"properties":{"noteIndex":0},"schema":"https://github.com/citation-style-language/schema/raw/master/csl-citation.json"}</w:instrText>
      </w:r>
      <w:r w:rsidR="00184622" w:rsidRPr="004F6EAB">
        <w:rPr>
          <w:rFonts w:ascii="Times New Roman" w:hAnsi="Times New Roman" w:cs="Times New Roman"/>
          <w:sz w:val="24"/>
          <w:szCs w:val="24"/>
          <w:lang w:val="en-US"/>
        </w:rPr>
        <w:fldChar w:fldCharType="separate"/>
      </w:r>
      <w:r w:rsidR="00AE282C" w:rsidRPr="00AE282C">
        <w:rPr>
          <w:rFonts w:ascii="Times New Roman" w:hAnsi="Times New Roman" w:cs="Times New Roman"/>
          <w:noProof/>
          <w:sz w:val="24"/>
          <w:szCs w:val="24"/>
          <w:lang w:val="en-US"/>
        </w:rPr>
        <w:t>[14]</w:t>
      </w:r>
      <w:r w:rsidR="00184622" w:rsidRPr="004F6EAB">
        <w:rPr>
          <w:rFonts w:ascii="Times New Roman" w:hAnsi="Times New Roman" w:cs="Times New Roman"/>
          <w:sz w:val="24"/>
          <w:szCs w:val="24"/>
        </w:rPr>
        <w:fldChar w:fldCharType="end"/>
      </w:r>
      <w:r w:rsidR="00184622" w:rsidRPr="004F6EAB">
        <w:rPr>
          <w:rFonts w:ascii="Times New Roman" w:hAnsi="Times New Roman" w:cs="Times New Roman"/>
          <w:sz w:val="24"/>
          <w:szCs w:val="24"/>
          <w:lang w:val="en-US"/>
        </w:rPr>
        <w:t>.</w:t>
      </w:r>
      <w:r w:rsidR="001A4A9D" w:rsidRPr="004F6EAB">
        <w:rPr>
          <w:rFonts w:ascii="Times New Roman" w:hAnsi="Times New Roman" w:cs="Times New Roman"/>
          <w:sz w:val="24"/>
          <w:szCs w:val="24"/>
          <w:lang w:val="en-US"/>
        </w:rPr>
        <w:t xml:space="preserve"> </w:t>
      </w:r>
      <w:r w:rsidR="00245174" w:rsidRPr="004F6EAB">
        <w:rPr>
          <w:rFonts w:ascii="Times New Roman" w:hAnsi="Times New Roman" w:cs="Times New Roman"/>
          <w:sz w:val="24"/>
          <w:szCs w:val="24"/>
          <w:lang w:val="en-US"/>
        </w:rPr>
        <w:t>Pregnancy</w:t>
      </w:r>
      <w:r w:rsidR="001A4A9D" w:rsidRPr="004F6EAB">
        <w:rPr>
          <w:rFonts w:ascii="Times New Roman" w:hAnsi="Times New Roman" w:cs="Times New Roman"/>
          <w:sz w:val="24"/>
          <w:szCs w:val="24"/>
          <w:lang w:val="en-US"/>
        </w:rPr>
        <w:t xml:space="preserve"> </w:t>
      </w:r>
      <w:r w:rsidR="002C65B1" w:rsidRPr="004F6EAB">
        <w:rPr>
          <w:rFonts w:ascii="Times New Roman" w:hAnsi="Times New Roman" w:cs="Times New Roman"/>
          <w:sz w:val="24"/>
          <w:szCs w:val="24"/>
          <w:lang w:val="en-US"/>
        </w:rPr>
        <w:t>is</w:t>
      </w:r>
      <w:r w:rsidR="00245174" w:rsidRPr="004F6EAB">
        <w:rPr>
          <w:rFonts w:ascii="Times New Roman" w:hAnsi="Times New Roman" w:cs="Times New Roman"/>
          <w:sz w:val="24"/>
          <w:szCs w:val="24"/>
          <w:lang w:val="en-US"/>
        </w:rPr>
        <w:t xml:space="preserve"> also</w:t>
      </w:r>
      <w:r w:rsidR="002C65B1" w:rsidRPr="004F6EAB">
        <w:rPr>
          <w:rFonts w:ascii="Times New Roman" w:hAnsi="Times New Roman" w:cs="Times New Roman"/>
          <w:sz w:val="24"/>
          <w:szCs w:val="24"/>
          <w:lang w:val="en-US"/>
        </w:rPr>
        <w:t xml:space="preserve"> </w:t>
      </w:r>
      <w:r w:rsidR="00C94951" w:rsidRPr="004F6EAB">
        <w:rPr>
          <w:rFonts w:ascii="Times New Roman" w:hAnsi="Times New Roman" w:cs="Times New Roman"/>
          <w:sz w:val="24"/>
          <w:szCs w:val="24"/>
          <w:lang w:val="en-US"/>
        </w:rPr>
        <w:t xml:space="preserve">known to alter maternal immune and inflammatory </w:t>
      </w:r>
      <w:r w:rsidR="00245174" w:rsidRPr="004F6EAB">
        <w:rPr>
          <w:rFonts w:ascii="Times New Roman" w:hAnsi="Times New Roman" w:cs="Times New Roman"/>
          <w:sz w:val="24"/>
          <w:szCs w:val="24"/>
          <w:lang w:val="en-US"/>
        </w:rPr>
        <w:t>milieu</w:t>
      </w:r>
      <w:r w:rsidR="00C94951" w:rsidRPr="004F6EAB">
        <w:rPr>
          <w:rFonts w:ascii="Times New Roman" w:hAnsi="Times New Roman" w:cs="Times New Roman"/>
          <w:sz w:val="24"/>
          <w:szCs w:val="24"/>
          <w:lang w:val="en-US"/>
        </w:rPr>
        <w:t xml:space="preserve"> </w:t>
      </w:r>
      <w:r w:rsidR="00C94951" w:rsidRPr="004F6EAB">
        <w:rPr>
          <w:rFonts w:ascii="Times New Roman" w:hAnsi="Times New Roman" w:cs="Times New Roman"/>
          <w:sz w:val="24"/>
          <w:szCs w:val="24"/>
          <w:lang w:val="en-US"/>
        </w:rPr>
        <w:fldChar w:fldCharType="begin" w:fldLock="1"/>
      </w:r>
      <w:r w:rsidR="005C1ADD">
        <w:rPr>
          <w:rFonts w:ascii="Times New Roman" w:hAnsi="Times New Roman" w:cs="Times New Roman"/>
          <w:sz w:val="24"/>
          <w:szCs w:val="24"/>
          <w:lang w:val="en-US"/>
        </w:rPr>
        <w:instrText>ADDIN CSL_CITATION {"citationItems":[{"id":"ITEM-1","itemData":{"DOI":"10.1016/j.jri.2007.06.051","ISSN":"01650378","PMID":"17692390","abstract":"Few studies have assessed longitudinal changes in circulating cytokine levels during normal pregnancy. We have examined the natural history of maternal plasma cytokines from early- to mid-pregnancy in a large, longitudinal cohort. Multiplex flow cytometry was used to measure interleukin (IL)-2, IL-6, IL-12, tumor necrosis factor (TNF)-alpha, interferon (IFN)-gamma and granulocyte-macrophage colony-stimulating factor (GM-CSF) in early- (median [IQR]: 8.5 weeks [7.1, 10.0]) and mid-pregnancy (25.0 [24.1, 26.1]) from 1274 Danish women delivering singleton term infants. GM-CSF decreased from early- to mid-pregnancy (median percent change [95% CI]: -51.3% [-59.1%, -41.8%]), while increases were observed in IL-6 (24.3% [4.6%, 43.9%]), IL-12 (21.3% [8.9%, 35.7%]) and IFN-gamma (131.7% [100.2%, 171.6%]); IL-2 (-2.8% [-11.5%, 0.0%]) and TNF-alpha (0% [-5.9%, 25.6%]) remained stable. Positive correlations were found between all cytokines, both in early- and mid-pregnancy (all p&lt;0.001). Early- and mid-pregnancy levels were rank-correlated for IL-2, IL-12, TNF-alpha and GM-CSF, but not IL-6 and IFN-gamma; these correlations were generally weaker than correlations between different cytokines at a single time point in pregnancy. Women with a pre-pregnancy BMI &lt;18.5 had reduced levels of IFN-gamma and GM-CSF compared to women in other BMI categories, while women aged &gt;or=35 years had elevated IL-2, IL-6, TNF-alpha and IFN-gamma. Early-pregnancy levels of TNF-alpha were higher in women with a prior preterm delivery. Cytokine levels were not associated with gravidity. In conclusion, cytokines were detected in plasma during early- and mid-pregnancy, with IL-6, IL-12, IFN-gamma and GM-CSF concentrations varying over pregnancy. Concentrations may depend on BMI, maternal age and prior preterm delivery.","author":[{"dropping-particle":"","family":"Curry","given":"A.E.","non-dropping-particle":"","parse-names":false,"suffix":""},{"dropping-particle":"","family":"Vogel","given":"I.","non-dropping-particle":"","parse-names":false,"suffix":""},{"dropping-particle":"","family":"Skogstrand","given":"K.","non-dropping-particle":"","parse-names":false,"suffix":""},{"dropping-particle":"","family":"Drews","given":"C.","non-dropping-particle":"","parse-names":false,"suffix":""},{"dropping-particle":"","family":"Schendel","given":"D.E.","non-dropping-particle":"","parse-names":false,"suffix":""},{"dropping-particle":"","family":"Flanders","given":"W.D.","non-dropping-particle":"","parse-names":false,"suffix":""},{"dropping-particle":"","family":"Hougaard","given":"D.M.","non-dropping-particle":"","parse-names":false,"suffix":""},{"dropping-particle":"","family":"Thorsen","given":"P.","non-dropping-particle":"","parse-names":false,"suffix":""}],"container-title":"Journal of Reproductive Immunology","id":"ITEM-1","issue":"2","issued":{"date-parts":[["2008","4"]]},"page":"152-160","title":"Maternal plasma cytokines in early- and mid-gestation of normal human pregnancy and their association with maternal factors","type":"article-journal","volume":"77"},"uris":["http://www.mendeley.com/documents/?uuid=8d47e2d5-ca5e-33e3-852e-8b374e84ef55"]}],"mendeley":{"formattedCitation":"[15]","plainTextFormattedCitation":"[15]","previouslyFormattedCitation":"[15]"},"properties":{"noteIndex":0},"schema":"https://github.com/citation-style-language/schema/raw/master/csl-citation.json"}</w:instrText>
      </w:r>
      <w:r w:rsidR="00C94951" w:rsidRPr="004F6EAB">
        <w:rPr>
          <w:rFonts w:ascii="Times New Roman" w:hAnsi="Times New Roman" w:cs="Times New Roman"/>
          <w:sz w:val="24"/>
          <w:szCs w:val="24"/>
          <w:lang w:val="en-US"/>
        </w:rPr>
        <w:fldChar w:fldCharType="separate"/>
      </w:r>
      <w:r w:rsidR="00AE282C" w:rsidRPr="00AE282C">
        <w:rPr>
          <w:rFonts w:ascii="Times New Roman" w:hAnsi="Times New Roman" w:cs="Times New Roman"/>
          <w:noProof/>
          <w:sz w:val="24"/>
          <w:szCs w:val="24"/>
          <w:lang w:val="en-US"/>
        </w:rPr>
        <w:t>[15]</w:t>
      </w:r>
      <w:r w:rsidR="00C94951" w:rsidRPr="004F6EAB">
        <w:rPr>
          <w:rFonts w:ascii="Times New Roman" w:hAnsi="Times New Roman" w:cs="Times New Roman"/>
          <w:sz w:val="24"/>
          <w:szCs w:val="24"/>
          <w:lang w:val="en-US"/>
        </w:rPr>
        <w:fldChar w:fldCharType="end"/>
      </w:r>
      <w:r w:rsidR="002C65B1" w:rsidRPr="004F6EAB">
        <w:rPr>
          <w:rFonts w:ascii="Times New Roman" w:hAnsi="Times New Roman" w:cs="Times New Roman"/>
          <w:sz w:val="24"/>
          <w:szCs w:val="24"/>
          <w:lang w:val="en-US"/>
        </w:rPr>
        <w:t xml:space="preserve">, </w:t>
      </w:r>
      <w:r w:rsidR="009617EA" w:rsidRPr="004F6EAB">
        <w:rPr>
          <w:rFonts w:ascii="Times New Roman" w:hAnsi="Times New Roman" w:cs="Times New Roman"/>
          <w:sz w:val="24"/>
          <w:szCs w:val="24"/>
          <w:lang w:val="en-US"/>
        </w:rPr>
        <w:t xml:space="preserve">and imbalance in inflammatory cytokines is in turn associated with pregnancy complications and adverse birth outcomes </w:t>
      </w:r>
      <w:r w:rsidR="009617EA" w:rsidRPr="004F6EAB">
        <w:rPr>
          <w:rFonts w:ascii="Times New Roman" w:hAnsi="Times New Roman" w:cs="Times New Roman"/>
          <w:sz w:val="24"/>
          <w:szCs w:val="24"/>
          <w:lang w:val="en-US"/>
        </w:rPr>
        <w:fldChar w:fldCharType="begin" w:fldLock="1"/>
      </w:r>
      <w:r w:rsidR="005C1ADD">
        <w:rPr>
          <w:rFonts w:ascii="Times New Roman" w:hAnsi="Times New Roman" w:cs="Times New Roman"/>
          <w:sz w:val="24"/>
          <w:szCs w:val="24"/>
          <w:lang w:val="en-US"/>
        </w:rPr>
        <w:instrText>ADDIN CSL_CITATION {"citationItems":[{"id":"ITEM-1","itemData":{"DOI":"10.1111/aji.12265","ISSN":"10467408","PMID":"24807462","abstract":"PROBLEM Previous studies have investigated the utility of inflammation markers as predictors of preterm birth, but none have compared trends in levels between uncomplicated and preterm pregnancy. METHOD OF STUDY We explored longitudinal changes in plasma cytokines, including IL-1β, IL-6, IL-10, and TNF-α, as well as C-reactive protein in pregnant women from a nested case-control study. RESULTS IL-6 was associated with increased odds of spontaneous preterm birth, defined by presentation of spontaneous preterm labor and/or preterm premature rupture of the membranes. Associations were strongest later in pregnancy. IL-10 was associated with increased odds of placentally mediated preterm birth, defined by presentation with preeclampsia or intrauterine growth restriction, and odds ratios were also highest near the end of pregnancy. CONCLUSION Maternal inflammation markers were associated with increased risk of preterm birth, and relationships differed by etiology of preterm delivery and gestational age at sample collection.","author":[{"dropping-particle":"","family":"Ferguson","given":"Kelly K.","non-dropping-particle":"","parse-names":false,"suffix":""},{"dropping-particle":"","family":"McElrath","given":"Thomas F.","non-dropping-particle":"","parse-names":false,"suffix":""},{"dropping-particle":"","family":"Chen","given":"Yin-Hsiu","non-dropping-particle":"","parse-names":false,"suffix":""},{"dropping-particle":"","family":"Mukherjee","given":"Bhramar","non-dropping-particle":"","parse-names":false,"suffix":""},{"dropping-particle":"","family":"Meeker","given":"John D.","non-dropping-particle":"","parse-names":false,"suffix":""}],"container-title":"American Journal of Reproductive Immunology","id":"ITEM-1","issue":"3","issued":{"date-parts":[["2014","9"]]},"page":"326-336","title":"Longitudinal Profiling of Inflammatory Cytokines and C-reactive Protein during Uncomplicated and Preterm Pregnancy","type":"article-journal","volume":"72"},"uris":["http://www.mendeley.com/documents/?uuid=d0576402-b307-3ed3-b42d-2039520e524d"]},{"id":"ITEM-2","itemData":{"DOI":"10.1042/CS20150702","ISSN":"1470-8736","PMID":"26846579","abstract":"Preeclampsia (PE) affects 5-7% of all pregnancies in the United States and is the leading cause of maternal and prenatal morbidity. PE is associated with hypertension after week 20 of gestation, decreased renal function and small-for-gestational-age babies. Women with PE exhibit chronic inflammation and production of autoantibodies. It is hypothesized that during PE, placental ischaemia occurs as a result of shallow trophoblast invasion which is associated with an immune imbalance where pro-inflammatory CD4(+) T-cells are increased and T regulatory cells (Tregs) are decreased. This imbalance leads to chronic inflammation characterized by oxidative stress, pro-inflammatory cytokines and autoantibodies. Studies conducted in our laboratory have demonstrated the importance of this immune imbalance in causing hypertension in response to placental ischaemia in pregnant rats. These studies confirm that increased CD4(+) T-cells and decreased Tregs during pregnancy leads to elevated inflammatory cytokines, endothelin (ET-1), reactive oxygen species (ROS) and agonistic autoantibodies to the angiotensin II (Ang II), type 1 receptor (AT1-AA). All of these factors taken together play an important role in increasing the blood pressure during pregnancy. Specifically, this review focuses on the decrease in Tregs, and their associated regulatory cytokine interleukin (IL)-10, which is seen in response to placental ischaemia during pregnancy. This study will also examine the effect of regulatory immune cell repopulation on the pathophysiology of PE. These studies show that restoring the balance of the immune system through increasing Tregs, either by adoptive transfer or by infusing IL-10, reduces the blood pressure and pathophysiology associated with placental ischaemia in pregnant rats.","author":[{"dropping-particle":"","family":"Harmon","given":"Ashlyn C","non-dropping-particle":"","parse-names":false,"suffix":""},{"dropping-particle":"","family":"Cornelius","given":"Denise C","non-dropping-particle":"","parse-names":false,"suffix":""},{"dropping-particle":"","family":"Amaral","given":"Lorena M","non-dropping-particle":"","parse-names":false,"suffix":""},{"dropping-particle":"","family":"Faulkner","given":"Jessica L","non-dropping-particle":"","parse-names":false,"suffix":""},{"dropping-particle":"","family":"Cunningham","given":"Mark W","non-dropping-particle":"","parse-names":false,"suffix":""},{"dropping-particle":"","family":"Wallace","given":"Kedra","non-dropping-particle":"","parse-names":false,"suffix":""},{"dropping-particle":"","family":"LaMarca","given":"Babbette","non-dropping-particle":"","parse-names":false,"suffix":""},{"dropping-particle":"","family":"LaMarca","given":"Babbette","non-dropping-particle":"","parse-names":false,"suffix":""}],"container-title":"Clinical science (London, England : 1979)","id":"ITEM-2","issue":"6","issued":{"date-parts":[["2016","3"]]},"page":"409-19","publisher":"NIH Public Access","title":"The role of inflammation in the pathology of preeclampsia.","type":"article-journal","volume":"130"},"uris":["http://www.mendeley.com/documents/?uuid=3ef33b61-5690-3fd5-a03e-95725e9faf38"]}],"mendeley":{"formattedCitation":"[16,17]","plainTextFormattedCitation":"[16,17]","previouslyFormattedCitation":"[16,17]"},"properties":{"noteIndex":0},"schema":"https://github.com/citation-style-language/schema/raw/master/csl-citation.json"}</w:instrText>
      </w:r>
      <w:r w:rsidR="009617EA" w:rsidRPr="004F6EAB">
        <w:rPr>
          <w:rFonts w:ascii="Times New Roman" w:hAnsi="Times New Roman" w:cs="Times New Roman"/>
          <w:sz w:val="24"/>
          <w:szCs w:val="24"/>
          <w:lang w:val="en-US"/>
        </w:rPr>
        <w:fldChar w:fldCharType="separate"/>
      </w:r>
      <w:r w:rsidR="00AE282C" w:rsidRPr="00AE282C">
        <w:rPr>
          <w:rFonts w:ascii="Times New Roman" w:hAnsi="Times New Roman" w:cs="Times New Roman"/>
          <w:noProof/>
          <w:sz w:val="24"/>
          <w:szCs w:val="24"/>
          <w:lang w:val="en-US"/>
        </w:rPr>
        <w:t>[16,17]</w:t>
      </w:r>
      <w:r w:rsidR="009617EA" w:rsidRPr="004F6EAB">
        <w:rPr>
          <w:rFonts w:ascii="Times New Roman" w:hAnsi="Times New Roman" w:cs="Times New Roman"/>
          <w:sz w:val="24"/>
          <w:szCs w:val="24"/>
          <w:lang w:val="en-US"/>
        </w:rPr>
        <w:fldChar w:fldCharType="end"/>
      </w:r>
      <w:r w:rsidR="009617EA" w:rsidRPr="004F6EAB">
        <w:rPr>
          <w:rFonts w:ascii="Times New Roman" w:hAnsi="Times New Roman" w:cs="Times New Roman"/>
          <w:sz w:val="24"/>
          <w:szCs w:val="24"/>
          <w:lang w:val="en-US"/>
        </w:rPr>
        <w:t xml:space="preserve">. </w:t>
      </w:r>
      <w:r w:rsidR="00C60A0F" w:rsidRPr="004F6EAB">
        <w:rPr>
          <w:rFonts w:ascii="Times New Roman" w:hAnsi="Times New Roman" w:cs="Times New Roman"/>
          <w:bCs/>
          <w:sz w:val="24"/>
          <w:szCs w:val="24"/>
          <w:lang w:val="en-SG"/>
        </w:rPr>
        <w:t>Because</w:t>
      </w:r>
      <w:r w:rsidR="00245174" w:rsidRPr="004F6EAB">
        <w:rPr>
          <w:rFonts w:ascii="Times New Roman" w:hAnsi="Times New Roman" w:cs="Times New Roman"/>
          <w:bCs/>
          <w:sz w:val="24"/>
          <w:szCs w:val="24"/>
          <w:lang w:val="en-SG"/>
        </w:rPr>
        <w:t xml:space="preserve"> d</w:t>
      </w:r>
      <w:r w:rsidR="009617EA" w:rsidRPr="004F6EAB">
        <w:rPr>
          <w:rFonts w:ascii="Times New Roman" w:hAnsi="Times New Roman" w:cs="Times New Roman"/>
          <w:bCs/>
          <w:sz w:val="24"/>
          <w:szCs w:val="24"/>
          <w:lang w:val="en-SG"/>
        </w:rPr>
        <w:t>iet is a major modifiable factor</w:t>
      </w:r>
      <w:r w:rsidR="00E349D8" w:rsidRPr="004F6EAB">
        <w:rPr>
          <w:rFonts w:ascii="Times New Roman" w:hAnsi="Times New Roman" w:cs="Times New Roman"/>
          <w:bCs/>
          <w:sz w:val="24"/>
          <w:szCs w:val="24"/>
          <w:lang w:val="en-SG"/>
        </w:rPr>
        <w:t xml:space="preserve"> of inflammation</w:t>
      </w:r>
      <w:r w:rsidR="000A1B56" w:rsidRPr="004F6EAB">
        <w:rPr>
          <w:rFonts w:ascii="Times New Roman" w:hAnsi="Times New Roman" w:cs="Times New Roman"/>
          <w:bCs/>
          <w:sz w:val="24"/>
          <w:szCs w:val="24"/>
          <w:lang w:val="en-SG"/>
        </w:rPr>
        <w:t xml:space="preserve"> </w:t>
      </w:r>
      <w:r w:rsidR="000A1B56" w:rsidRPr="004F6EAB">
        <w:rPr>
          <w:rFonts w:ascii="Times New Roman" w:hAnsi="Times New Roman" w:cs="Times New Roman"/>
          <w:bCs/>
          <w:sz w:val="24"/>
          <w:szCs w:val="24"/>
          <w:lang w:val="en-SG"/>
        </w:rPr>
        <w:fldChar w:fldCharType="begin" w:fldLock="1"/>
      </w:r>
      <w:r w:rsidR="005C1ADD">
        <w:rPr>
          <w:rFonts w:ascii="Times New Roman" w:hAnsi="Times New Roman" w:cs="Times New Roman"/>
          <w:bCs/>
          <w:sz w:val="24"/>
          <w:szCs w:val="24"/>
          <w:lang w:val="en-SG"/>
        </w:rPr>
        <w:instrText>ADDIN CSL_CITATION {"citationItems":[{"id":"ITEM-1","itemData":{"DOI":"10.1017/S0007114515002093","ISSN":"0007-1145","PMID":"26228057","abstract":"&lt;p&gt;The importance of chronic low-grade inflammation in the pathology of numerous age-related chronic conditions is now clear. An unresolved inflammatory response is likely to be involved from the early stages of disease development. The present position paper is the most recent in a series produced by the International Life Sciences Institute's European Branch (ILSI Europe). It is co-authored by the speakers from a 2013 workshop led by the Obesity and Diabetes Task Force entitled ‘Low-grade inflammation, a high-grade challenge: biomarkers and modulation by dietary strategies’. The latest research in the areas of acute and chronic inflammation and cardiometabolic, gut and cognitive health is presented along with the cellular and molecular mechanisms underlying inflammation–health/disease associations. The evidence relating diet composition and early-life nutrition to inflammatory status is reviewed. Human epidemiological and intervention data are thus far heavily reliant on the measurement of inflammatory markers in the circulation, and in particular cytokines in the fasting state, which are recognised as an insensitive and highly variable index of tissue inflammation. Potential novel kinetic and integrated approaches to capture inflammatory status in humans are discussed. Such approaches are likely to provide a more discriminating means of quantifying inflammation–health/disease associations, and the ability of diet to positively modulate inflammation and provide the much needed evidence to develop research portfolios that will inform new product development and associated health claims.&lt;/p&gt;","author":[{"dropping-particle":"","family":"Minihane","given":"Anne M.","non-dropping-particle":"","parse-names":false,"suffix":""},{"dropping-particle":"","family":"Vinoy","given":"Sophie","non-dropping-particle":"","parse-names":false,"suffix":""},{"dropping-particle":"","family":"Russell","given":"Wendy R.","non-dropping-particle":"","parse-names":false,"suffix":""},{"dropping-particle":"","family":"Baka","given":"Athanasia","non-dropping-particle":"","parse-names":false,"suffix":""},{"dropping-particle":"","family":"Roche","given":"Helen M.","non-dropping-particle":"","parse-names":false,"suffix":""},{"dropping-particle":"","family":"Tuohy","given":"Kieran M.","non-dropping-particle":"","parse-names":false,"suffix":""},{"dropping-particle":"","family":"Teeling","given":"Jessica L.","non-dropping-particle":"","parse-names":false,"suffix":""},{"dropping-particle":"","family":"Blaak","given":"Ellen E.","non-dropping-particle":"","parse-names":false,"suffix":""},{"dropping-particle":"","family":"Fenech","given":"Michael","non-dropping-particle":"","parse-names":false,"suffix":""},{"dropping-particle":"","family":"Vauzour","given":"David","non-dropping-particle":"","parse-names":false,"suffix":""},{"dropping-particle":"","family":"McArdle","given":"Harry J.","non-dropping-particle":"","parse-names":false,"suffix":""},{"dropping-particle":"","family":"Kremer","given":"Bas H. A.","non-dropping-particle":"","parse-names":false,"suffix":""},{"dropping-particle":"","family":"Sterkman","given":"Luc","non-dropping-particle":"","parse-names":false,"suffix":""},{"dropping-particle":"","family":"Vafeiadou","given":"Katerina","non-dropping-particle":"","parse-names":false,"suffix":""},{"dropping-particle":"","family":"Benedetti","given":"Massimo Massi","non-dropping-particle":"","parse-names":false,"suffix":""},{"dropping-particle":"","family":"Williams","given":"Christine M.","non-dropping-particle":"","parse-names":false,"suffix":""},{"dropping-particle":"","family":"Calder","given":"Philip C.","non-dropping-particle":"","parse-names":false,"suffix":""}],"container-title":"British Journal of Nutrition","id":"ITEM-1","issue":"7","issued":{"date-parts":[["2015","10","14"]]},"page":"999-1012","title":"Low-grade inflammation, diet composition and health: current research evidence and its translation","type":"article-journal","volume":"114"},"uris":["http://www.mendeley.com/documents/?uuid=9eea9799-e251-39bf-a830-17e09e2e48b9"]},{"id":"ITEM-2","itemData":{"DOI":"10.3390/NU11081873","abstract":"There are over 1,000,000 publications on diet and health and over 480,000 references on inflammation in the National Library of Medicine database. In addition, there have now been over 30,000 peer-reviewed articles published on the relationship between diet, inflammation, and health outcomes. Based on this voluminous literature, it is now recognized that low-grade, chronic systemic inflammation is associated with most non-communicable diseases (NCDs), including diabetes, obesity, cardiovascular disease, cancers, respiratory and musculoskeletal disorders, as well as impaired neurodevelopment and adverse mental health outcomes. Dietary components modulate inflammatory status. In recent years, the Dietary Inflammatory Index (DII&amp;reg;), a literature-derived dietary index, was developed to characterize the inflammatory potential of habitual diet. Subsequently, a large and rapidly growing body of research investigating associations between dietary inflammatory potential, determined by the DII, and risk of a wide range of NCDs has emerged. In this narrative review, we examine the current state of the science regarding relationships between the DII and cancer, cardiometabolic, respiratory and musculoskeletal diseases, neurodevelopment, and adverse mental health outcomes. We synthesize the findings from recent studies, discuss potential underlying mechanisms, and look to the future regarding novel applications of the adult and children&amp;rsquo;s DII (C-DII) scores and new avenues of investigation in this field of nutritional research.","author":[{"dropping-particle":"","family":"Phillips","given":"Catherine M.","non-dropping-particle":"","parse-names":false,"suffix":""},{"dropping-particle":"","family":"Chen","given":"Ling-Wei","non-dropping-particle":"","parse-names":false,"suffix":""},{"dropping-particle":"","family":"Heude","given":"Barbara","non-dropping-particle":"","parse-names":false,"suffix":""},{"dropping-particle":"","family":"Bernard","given":"Jonathan Y.","non-dropping-particle":"","parse-names":false,"suffix":""},{"dropping-particle":"","family":"Harvey","given":"Nicholas C.","non-dropping-particle":"","parse-names":false,"suffix":""},{"dropping-particle":"","family":"Duijts","given":"Liesbeth","non-dropping-particle":"","parse-names":false,"suffix":""},{"dropping-particle":"","family":"Mensink-Bout","given":"Sara M.","non-dropping-particle":"","parse-names":false,"suffix":""},{"dropping-particle":"","family":"Polanska","given":"Kinga","non-dropping-particle":"","parse-names":false,"suffix":""},{"dropping-particle":"","family":"Mancano","given":"Giulia","non-dropping-particle":"","parse-names":false,"suffix":""},{"dropping-particle":"","family":"Suderman","given":"Matthew","non-dropping-particle":"","parse-names":false,"suffix":""},{"dropping-particle":"","family":"Shivappa","given":"Nitin","non-dropping-particle":"","parse-names":false,"suffix":""},{"dropping-particle":"","family":"Hébert","given":"James R.","non-dropping-particle":"","parse-names":false,"suffix":""}],"container-title":"Nutrients","id":"ITEM-2","issue":"8","issued":{"date-parts":[["2019","8","12"]]},"page":"1873","publisher":"Multidisciplinary Digital Publishing Institute","title":"Dietary Inflammatory Index and Non-Communicable Disease Risk: A Narrative Review","type":"article-journal","volume":"11"},"uris":["http://www.mendeley.com/documents/?uuid=b46685b9-aaba-3ac1-b8e0-693873b3e004"]}],"mendeley":{"formattedCitation":"[18,19]","plainTextFormattedCitation":"[18,19]","previouslyFormattedCitation":"[18,19]"},"properties":{"noteIndex":0},"schema":"https://github.com/citation-style-language/schema/raw/master/csl-citation.json"}</w:instrText>
      </w:r>
      <w:r w:rsidR="000A1B56" w:rsidRPr="004F6EAB">
        <w:rPr>
          <w:rFonts w:ascii="Times New Roman" w:hAnsi="Times New Roman" w:cs="Times New Roman"/>
          <w:bCs/>
          <w:sz w:val="24"/>
          <w:szCs w:val="24"/>
          <w:lang w:val="en-SG"/>
        </w:rPr>
        <w:fldChar w:fldCharType="separate"/>
      </w:r>
      <w:r w:rsidR="00AE282C" w:rsidRPr="00AE282C">
        <w:rPr>
          <w:rFonts w:ascii="Times New Roman" w:hAnsi="Times New Roman" w:cs="Times New Roman"/>
          <w:bCs/>
          <w:noProof/>
          <w:sz w:val="24"/>
          <w:szCs w:val="24"/>
          <w:lang w:val="en-SG"/>
        </w:rPr>
        <w:t>[18,19]</w:t>
      </w:r>
      <w:r w:rsidR="000A1B56" w:rsidRPr="004F6EAB">
        <w:rPr>
          <w:rFonts w:ascii="Times New Roman" w:hAnsi="Times New Roman" w:cs="Times New Roman"/>
          <w:bCs/>
          <w:sz w:val="24"/>
          <w:szCs w:val="24"/>
          <w:lang w:val="en-SG"/>
        </w:rPr>
        <w:fldChar w:fldCharType="end"/>
      </w:r>
      <w:r w:rsidR="00E349D8" w:rsidRPr="004F6EAB">
        <w:rPr>
          <w:rFonts w:ascii="Times New Roman" w:hAnsi="Times New Roman" w:cs="Times New Roman"/>
          <w:bCs/>
          <w:sz w:val="24"/>
          <w:szCs w:val="24"/>
          <w:lang w:val="en-SG"/>
        </w:rPr>
        <w:t xml:space="preserve">, </w:t>
      </w:r>
      <w:r w:rsidR="00245174" w:rsidRPr="004F6EAB">
        <w:rPr>
          <w:rFonts w:ascii="Times New Roman" w:hAnsi="Times New Roman" w:cs="Times New Roman"/>
          <w:bCs/>
          <w:sz w:val="24"/>
          <w:szCs w:val="24"/>
          <w:lang w:val="en-SG"/>
        </w:rPr>
        <w:t xml:space="preserve">one of the </w:t>
      </w:r>
      <w:r w:rsidR="00E349D8" w:rsidRPr="004F6EAB">
        <w:rPr>
          <w:rFonts w:ascii="Times New Roman" w:hAnsi="Times New Roman" w:cs="Times New Roman"/>
          <w:bCs/>
          <w:sz w:val="24"/>
          <w:szCs w:val="24"/>
          <w:lang w:val="en-SG"/>
        </w:rPr>
        <w:t xml:space="preserve">potential </w:t>
      </w:r>
      <w:r w:rsidR="00245174" w:rsidRPr="004F6EAB">
        <w:rPr>
          <w:rFonts w:ascii="Times New Roman" w:hAnsi="Times New Roman" w:cs="Times New Roman"/>
          <w:bCs/>
          <w:sz w:val="24"/>
          <w:szCs w:val="24"/>
          <w:lang w:val="en-SG"/>
        </w:rPr>
        <w:t>strategies</w:t>
      </w:r>
      <w:r w:rsidR="00E349D8" w:rsidRPr="004F6EAB">
        <w:rPr>
          <w:rFonts w:ascii="Times New Roman" w:hAnsi="Times New Roman" w:cs="Times New Roman"/>
          <w:bCs/>
          <w:sz w:val="24"/>
          <w:szCs w:val="24"/>
          <w:lang w:val="en-SG"/>
        </w:rPr>
        <w:t xml:space="preserve"> in optimizing birth outcomes</w:t>
      </w:r>
      <w:r w:rsidR="00245174" w:rsidRPr="004F6EAB">
        <w:rPr>
          <w:rFonts w:ascii="Times New Roman" w:hAnsi="Times New Roman" w:cs="Times New Roman"/>
          <w:bCs/>
          <w:sz w:val="24"/>
          <w:szCs w:val="24"/>
          <w:lang w:val="en-SG"/>
        </w:rPr>
        <w:t xml:space="preserve"> could be through reducing </w:t>
      </w:r>
      <w:r w:rsidR="00CC139F" w:rsidRPr="004F6EAB">
        <w:rPr>
          <w:rFonts w:ascii="Times New Roman" w:hAnsi="Times New Roman" w:cs="Times New Roman"/>
          <w:bCs/>
          <w:sz w:val="24"/>
          <w:szCs w:val="24"/>
          <w:lang w:val="en-SG"/>
        </w:rPr>
        <w:t>dietary inflammation.</w:t>
      </w:r>
    </w:p>
    <w:p w14:paraId="64FB8881" w14:textId="4B9E8355" w:rsidR="005E62D3" w:rsidRPr="004F6EAB" w:rsidRDefault="00245174" w:rsidP="00233D4C">
      <w:pPr>
        <w:spacing w:line="480" w:lineRule="auto"/>
        <w:rPr>
          <w:rFonts w:ascii="Times New Roman" w:hAnsi="Times New Roman" w:cs="Times New Roman"/>
          <w:sz w:val="24"/>
          <w:szCs w:val="24"/>
          <w:lang w:val="en-US"/>
        </w:rPr>
      </w:pPr>
      <w:r w:rsidRPr="004F6EAB">
        <w:rPr>
          <w:rFonts w:ascii="Times New Roman" w:hAnsi="Times New Roman" w:cs="Times New Roman"/>
          <w:sz w:val="24"/>
          <w:szCs w:val="24"/>
          <w:lang w:val="en-US"/>
        </w:rPr>
        <w:t>Despite the importance of dietary quality and inflammatory potential, limited</w:t>
      </w:r>
      <w:r w:rsidR="002C65B1" w:rsidRPr="004F6EAB">
        <w:rPr>
          <w:rFonts w:ascii="Times New Roman" w:hAnsi="Times New Roman" w:cs="Times New Roman"/>
          <w:sz w:val="24"/>
          <w:szCs w:val="24"/>
          <w:lang w:val="en-US"/>
        </w:rPr>
        <w:t xml:space="preserve"> studies </w:t>
      </w:r>
      <w:r w:rsidR="00E349D8" w:rsidRPr="004F6EAB">
        <w:rPr>
          <w:rFonts w:ascii="Times New Roman" w:hAnsi="Times New Roman" w:cs="Times New Roman"/>
          <w:sz w:val="24"/>
          <w:szCs w:val="24"/>
          <w:lang w:val="en-US"/>
        </w:rPr>
        <w:t xml:space="preserve">have </w:t>
      </w:r>
      <w:r w:rsidRPr="004F6EAB">
        <w:rPr>
          <w:rFonts w:ascii="Times New Roman" w:hAnsi="Times New Roman" w:cs="Times New Roman"/>
          <w:sz w:val="24"/>
          <w:szCs w:val="24"/>
          <w:lang w:val="en-US"/>
        </w:rPr>
        <w:t>investigated their relationships with</w:t>
      </w:r>
      <w:r w:rsidR="000D52CD" w:rsidRPr="004F6EAB">
        <w:rPr>
          <w:rFonts w:ascii="Times New Roman" w:hAnsi="Times New Roman" w:cs="Times New Roman"/>
          <w:sz w:val="24"/>
          <w:szCs w:val="24"/>
          <w:lang w:val="en-US"/>
        </w:rPr>
        <w:t xml:space="preserve"> birth outcomes, with inconsistent findings reported</w:t>
      </w:r>
      <w:r w:rsidR="00F55EC2" w:rsidRPr="004F6EAB">
        <w:rPr>
          <w:rFonts w:ascii="Times New Roman" w:hAnsi="Times New Roman" w:cs="Times New Roman"/>
          <w:sz w:val="24"/>
          <w:szCs w:val="24"/>
          <w:lang w:val="en-US"/>
        </w:rPr>
        <w:t xml:space="preserve"> </w:t>
      </w:r>
      <w:r w:rsidR="00F55EC2" w:rsidRPr="004F6EAB">
        <w:rPr>
          <w:rFonts w:ascii="Times New Roman" w:hAnsi="Times New Roman" w:cs="Times New Roman"/>
          <w:sz w:val="24"/>
          <w:szCs w:val="24"/>
          <w:lang w:val="en-US"/>
        </w:rPr>
        <w:fldChar w:fldCharType="begin" w:fldLock="1"/>
      </w:r>
      <w:r w:rsidR="005C1ADD">
        <w:rPr>
          <w:rFonts w:ascii="Times New Roman" w:hAnsi="Times New Roman" w:cs="Times New Roman"/>
          <w:sz w:val="24"/>
          <w:szCs w:val="24"/>
          <w:lang w:val="en-US"/>
        </w:rPr>
        <w:instrText>ADDIN CSL_CITATION {"citationItems":[{"id":"ITEM-1","itemData":{"DOI":"10.1093/ajcn/nqy353","ISSN":"0002-9165","author":[{"dropping-particle":"","family":"Raghavan","given":"Ramkripa","non-dropping-particle":"","parse-names":false,"suffix":""},{"dropping-particle":"","family":"Dreibelbis","given":"Carol","non-dropping-particle":"","parse-names":false,"suffix":""},{"dropping-particle":"","family":"Kingshipp","given":"Brittany L","non-dropping-particle":"","parse-names":false,"suffix":""},{"dropping-particle":"","family":"Wong","given":"Yat Ping","non-dropping-particle":"","parse-names":false,"suffix":""},{"dropping-particle":"","family":"Abrams","given":"Barbara","non-dropping-particle":"","parse-names":false,"suffix":""},{"dropping-particle":"","family":"Gernand","given":"Alison D","non-dropping-particle":"","parse-names":false,"suffix":""},{"dropping-particle":"","family":"Rasmussen","given":"Kathleen M","non-dropping-particle":"","parse-names":false,"suffix":""},{"dropping-particle":"","family":"Siega-Riz","given":"Anna Maria","non-dropping-particle":"","parse-names":false,"suffix":""},{"dropping-particle":"","family":"Stang","given":"Jamie","non-dropping-particle":"","parse-names":false,"suffix":""},{"dropping-particle":"","family":"Casavale","given":"Kellie O","non-dropping-particle":"","parse-names":false,"suffix":""},{"dropping-particle":"","family":"Spahn","given":"Joanne M","non-dropping-particle":"","parse-names":false,"suffix":""},{"dropping-particle":"","family":"Stoody","given":"Eve E","non-dropping-particle":"","parse-names":false,"suffix":""}],"container-title":"The American Journal of Clinical Nutrition","id":"ITEM-1","issue":"Supplement_1","issued":{"date-parts":[["2019","3","1"]]},"page":"729S-756S","publisher":"Narnia","title":"Dietary patterns before and during pregnancy and birth outcomes: a systematic review","type":"article-journal","volume":"109"},"uris":["http://www.mendeley.com/documents/?uuid=054abb7b-8228-330b-861c-80fab6fe4569"]},{"id":"ITEM-2","itemData":{"DOI":"10.1093/advances/nmy123","ISSN":"2161-8313","abstract":"&lt;p&gt;Findings on the relations of maternal dietary patterns during pregnancy and risk of preterm birth and offspring birth size remain inconclusive. We aimed to systematically review and quantify these associations. We searched MEDLINE, Embase, CENTRAL, and CINAHL up to December 2017. Three authors independently conducted a literature search, study selection, data extraction, and quality assessment. Summary effect sizes were calculated with random effects models and studies were summarized narratively if results could not be pooled. We included 36 studies and pooled results from 25 observational studies (167,507 participants). Two common dietary patterns—“healthy” and “unhealthy”—were identified. Healthy dietary patterns—characterized by high intakes of vegetables, fruits, wholegrains, low-fat dairy, and lean protein foods—were associated with lower risk of preterm birth (OR for top compared with bottom tertile: 0.79; 95% CI: 0.68, 0.91; I2 = 32%) and a weak trend towards a lower risk of small-for-gestational-age (OR: 0.86; 95% CI: 0.73, 1.01; I2 = 34%). Only statistically data-driven healthy dietary patterns, and not dietary index-based patterns, were associated with higher birth weight (mean difference: 67 g; 95% CI: 37, 96 g; I2 = 75%). Unhealthy dietary patterns—characterized by high intakes of refined grains, processed meat, and foods high in saturated fat or sugar—were associated with lower birth weight (mean difference: −40 g; 95% CI: −61, −20 g; I2 = 0%) and a trend towards a higher risk of preterm birth (OR: 1.17; 95% CI: 0.99, 1.39; I2 = 76%). Data from observational studies indicate that greater adherence to healthy dietary patterns during pregnancy is significantly related to lower risk of preterm birth. No consistent associations with birth weight and small- or large-for-gestational-age were observed.&lt;/p&gt;","author":[{"dropping-particle":"","family":"Chia","given":"Ai-Ru","non-dropping-particle":"","parse-names":false,"suffix":""},{"dropping-particle":"","family":"Chen","given":"Ling-Wei","non-dropping-particle":"","parse-names":false,"suffix":""},{"dropping-particle":"","family":"Lai","given":"Jun Shi","non-dropping-particle":"","parse-names":false,"suffix":""},{"dropping-particle":"","family":"Wong","given":"Chun Hong","non-dropping-particle":"","parse-names":false,"suffix":""},{"dropping-particle":"","family":"Neelakantan","given":"Nithya","non-dropping-particle":"","parse-names":false,"suffix":""},{"dropping-particle":"","family":"van Dam","given":"Rob Martinus","non-dropping-particle":"","parse-names":false,"suffix":""},{"dropping-particle":"","family":"Chong","given":"Mary Foong-Fong","non-dropping-particle":"","parse-names":false,"suffix":""}],"container-title":"Advances in Nutrition","id":"ITEM-2","issue":"4","issued":{"date-parts":[["2019","7","1"]]},"page":"685-695","publisher":"Narnia","title":"Maternal Dietary Patterns and Birth Outcomes: A Systematic Review and Meta-Analysis","type":"article-journal","volume":"10"},"uris":["http://www.mendeley.com/documents/?uuid=7d486979-0c5c-364b-aa03-9b485157514c"]}],"mendeley":{"formattedCitation":"[20,21]","plainTextFormattedCitation":"[20,21]","previouslyFormattedCitation":"[20,21]"},"properties":{"noteIndex":0},"schema":"https://github.com/citation-style-language/schema/raw/master/csl-citation.json"}</w:instrText>
      </w:r>
      <w:r w:rsidR="00F55EC2" w:rsidRPr="004F6EAB">
        <w:rPr>
          <w:rFonts w:ascii="Times New Roman" w:hAnsi="Times New Roman" w:cs="Times New Roman"/>
          <w:sz w:val="24"/>
          <w:szCs w:val="24"/>
          <w:lang w:val="en-US"/>
        </w:rPr>
        <w:fldChar w:fldCharType="separate"/>
      </w:r>
      <w:r w:rsidR="00AE282C" w:rsidRPr="00AE282C">
        <w:rPr>
          <w:rFonts w:ascii="Times New Roman" w:hAnsi="Times New Roman" w:cs="Times New Roman"/>
          <w:noProof/>
          <w:sz w:val="24"/>
          <w:szCs w:val="24"/>
          <w:lang w:val="en-US"/>
        </w:rPr>
        <w:t>[20,21]</w:t>
      </w:r>
      <w:r w:rsidR="00F55EC2" w:rsidRPr="004F6EAB">
        <w:rPr>
          <w:rFonts w:ascii="Times New Roman" w:hAnsi="Times New Roman" w:cs="Times New Roman"/>
          <w:sz w:val="24"/>
          <w:szCs w:val="24"/>
          <w:lang w:val="en-US"/>
        </w:rPr>
        <w:fldChar w:fldCharType="end"/>
      </w:r>
      <w:r w:rsidR="00F55EC2" w:rsidRPr="004F6EAB">
        <w:rPr>
          <w:rFonts w:ascii="Times New Roman" w:hAnsi="Times New Roman" w:cs="Times New Roman"/>
          <w:sz w:val="24"/>
          <w:szCs w:val="24"/>
          <w:lang w:val="en-US"/>
        </w:rPr>
        <w:t>.</w:t>
      </w:r>
      <w:r w:rsidR="00045485" w:rsidRPr="004F6EAB">
        <w:rPr>
          <w:rFonts w:ascii="Times New Roman" w:hAnsi="Times New Roman" w:cs="Times New Roman"/>
          <w:sz w:val="24"/>
          <w:szCs w:val="24"/>
          <w:lang w:val="en-US"/>
        </w:rPr>
        <w:t xml:space="preserve"> A</w:t>
      </w:r>
      <w:r w:rsidR="00FB7EF4" w:rsidRPr="004F6EAB">
        <w:rPr>
          <w:rFonts w:ascii="Times New Roman" w:hAnsi="Times New Roman" w:cs="Times New Roman"/>
          <w:sz w:val="24"/>
          <w:szCs w:val="24"/>
          <w:lang w:val="en-US"/>
        </w:rPr>
        <w:t xml:space="preserve">lthough there have been recent attempts to synthesize evidence surrounding </w:t>
      </w:r>
      <w:r w:rsidR="00FB7EF4" w:rsidRPr="004F6EAB">
        <w:rPr>
          <w:rFonts w:ascii="Times New Roman" w:hAnsi="Times New Roman" w:cs="Times New Roman"/>
          <w:sz w:val="24"/>
          <w:szCs w:val="24"/>
          <w:lang w:val="en-US"/>
        </w:rPr>
        <w:lastRenderedPageBreak/>
        <w:t xml:space="preserve">maternal dietary patterns and birth outcomes using aggregate data meta-analysis, notable heterogeneity of dietary </w:t>
      </w:r>
      <w:r w:rsidR="00163EB7" w:rsidRPr="004F6EAB">
        <w:rPr>
          <w:rFonts w:ascii="Times New Roman" w:hAnsi="Times New Roman" w:cs="Times New Roman"/>
          <w:sz w:val="24"/>
          <w:szCs w:val="24"/>
          <w:lang w:val="en-US"/>
        </w:rPr>
        <w:t xml:space="preserve">pattern derivation (data driven or predefined criteria), </w:t>
      </w:r>
      <w:r w:rsidR="00FB7EF4" w:rsidRPr="004F6EAB">
        <w:rPr>
          <w:rFonts w:ascii="Times New Roman" w:hAnsi="Times New Roman" w:cs="Times New Roman"/>
          <w:sz w:val="24"/>
          <w:szCs w:val="24"/>
          <w:lang w:val="en-US"/>
        </w:rPr>
        <w:t>adjustment and analysis strategy, and what constitute</w:t>
      </w:r>
      <w:r w:rsidR="00355562" w:rsidRPr="004F6EAB">
        <w:rPr>
          <w:rFonts w:ascii="Times New Roman" w:hAnsi="Times New Roman" w:cs="Times New Roman"/>
          <w:sz w:val="24"/>
          <w:szCs w:val="24"/>
          <w:lang w:val="en-US"/>
        </w:rPr>
        <w:t>s</w:t>
      </w:r>
      <w:r w:rsidR="00FB7EF4" w:rsidRPr="004F6EAB">
        <w:rPr>
          <w:rFonts w:ascii="Times New Roman" w:hAnsi="Times New Roman" w:cs="Times New Roman"/>
          <w:sz w:val="24"/>
          <w:szCs w:val="24"/>
          <w:lang w:val="en-US"/>
        </w:rPr>
        <w:t xml:space="preserve"> a ‘healthy pattern’ impedes conclusive </w:t>
      </w:r>
      <w:r w:rsidR="00CC139F" w:rsidRPr="004F6EAB">
        <w:rPr>
          <w:rFonts w:ascii="Times New Roman" w:hAnsi="Times New Roman" w:cs="Times New Roman"/>
          <w:sz w:val="24"/>
          <w:szCs w:val="24"/>
          <w:lang w:val="en-US"/>
        </w:rPr>
        <w:t>inference</w:t>
      </w:r>
      <w:r w:rsidR="004D4443" w:rsidRPr="004F6EAB">
        <w:rPr>
          <w:rFonts w:ascii="Times New Roman" w:hAnsi="Times New Roman" w:cs="Times New Roman"/>
          <w:sz w:val="24"/>
          <w:szCs w:val="24"/>
          <w:lang w:val="en-US"/>
        </w:rPr>
        <w:t xml:space="preserve"> </w:t>
      </w:r>
      <w:r w:rsidR="004D4443" w:rsidRPr="004F6EAB">
        <w:rPr>
          <w:rFonts w:ascii="Times New Roman" w:hAnsi="Times New Roman" w:cs="Times New Roman"/>
          <w:sz w:val="24"/>
          <w:szCs w:val="24"/>
          <w:lang w:val="en-US"/>
        </w:rPr>
        <w:fldChar w:fldCharType="begin" w:fldLock="1"/>
      </w:r>
      <w:r w:rsidR="005C1ADD">
        <w:rPr>
          <w:rFonts w:ascii="Times New Roman" w:hAnsi="Times New Roman" w:cs="Times New Roman"/>
          <w:sz w:val="24"/>
          <w:szCs w:val="24"/>
          <w:lang w:val="en-US"/>
        </w:rPr>
        <w:instrText>ADDIN CSL_CITATION {"citationItems":[{"id":"ITEM-1","itemData":{"DOI":"10.1093/ajcn/nqy353","ISSN":"0002-9165","author":[{"dropping-particle":"","family":"Raghavan","given":"Ramkripa","non-dropping-particle":"","parse-names":false,"suffix":""},{"dropping-particle":"","family":"Dreibelbis","given":"Carol","non-dropping-particle":"","parse-names":false,"suffix":""},{"dropping-particle":"","family":"Kingshipp","given":"Brittany L","non-dropping-particle":"","parse-names":false,"suffix":""},{"dropping-particle":"","family":"Wong","given":"Yat Ping","non-dropping-particle":"","parse-names":false,"suffix":""},{"dropping-particle":"","family":"Abrams","given":"Barbara","non-dropping-particle":"","parse-names":false,"suffix":""},{"dropping-particle":"","family":"Gernand","given":"Alison D","non-dropping-particle":"","parse-names":false,"suffix":""},{"dropping-particle":"","family":"Rasmussen","given":"Kathleen M","non-dropping-particle":"","parse-names":false,"suffix":""},{"dropping-particle":"","family":"Siega-Riz","given":"Anna Maria","non-dropping-particle":"","parse-names":false,"suffix":""},{"dropping-particle":"","family":"Stang","given":"Jamie","non-dropping-particle":"","parse-names":false,"suffix":""},{"dropping-particle":"","family":"Casavale","given":"Kellie O","non-dropping-particle":"","parse-names":false,"suffix":""},{"dropping-particle":"","family":"Spahn","given":"Joanne M","non-dropping-particle":"","parse-names":false,"suffix":""},{"dropping-particle":"","family":"Stoody","given":"Eve E","non-dropping-particle":"","parse-names":false,"suffix":""}],"container-title":"The American Journal of Clinical Nutrition","id":"ITEM-1","issue":"Supplement_1","issued":{"date-parts":[["2019","3","1"]]},"page":"729S-756S","publisher":"Narnia","title":"Dietary patterns before and during pregnancy and birth outcomes: a systematic review","type":"article-journal","volume":"109"},"uris":["http://www.mendeley.com/documents/?uuid=054abb7b-8228-330b-861c-80fab6fe4569"]},{"id":"ITEM-2","itemData":{"DOI":"10.1093/advances/nmy123","ISSN":"2161-8313","abstract":"&lt;p&gt;Findings on the relations of maternal dietary patterns during pregnancy and risk of preterm birth and offspring birth size remain inconclusive. We aimed to systematically review and quantify these associations. We searched MEDLINE, Embase, CENTRAL, and CINAHL up to December 2017. Three authors independently conducted a literature search, study selection, data extraction, and quality assessment. Summary effect sizes were calculated with random effects models and studies were summarized narratively if results could not be pooled. We included 36 studies and pooled results from 25 observational studies (167,507 participants). Two common dietary patterns—“healthy” and “unhealthy”—were identified. Healthy dietary patterns—characterized by high intakes of vegetables, fruits, wholegrains, low-fat dairy, and lean protein foods—were associated with lower risk of preterm birth (OR for top compared with bottom tertile: 0.79; 95% CI: 0.68, 0.91; I2 = 32%) and a weak trend towards a lower risk of small-for-gestational-age (OR: 0.86; 95% CI: 0.73, 1.01; I2 = 34%). Only statistically data-driven healthy dietary patterns, and not dietary index-based patterns, were associated with higher birth weight (mean difference: 67 g; 95% CI: 37, 96 g; I2 = 75%). Unhealthy dietary patterns—characterized by high intakes of refined grains, processed meat, and foods high in saturated fat or sugar—were associated with lower birth weight (mean difference: −40 g; 95% CI: −61, −20 g; I2 = 0%) and a trend towards a higher risk of preterm birth (OR: 1.17; 95% CI: 0.99, 1.39; I2 = 76%). Data from observational studies indicate that greater adherence to healthy dietary patterns during pregnancy is significantly related to lower risk of preterm birth. No consistent associations with birth weight and small- or large-for-gestational-age were observed.&lt;/p&gt;","author":[{"dropping-particle":"","family":"Chia","given":"Ai-Ru","non-dropping-particle":"","parse-names":false,"suffix":""},{"dropping-particle":"","family":"Chen","given":"Ling-Wei","non-dropping-particle":"","parse-names":false,"suffix":""},{"dropping-particle":"","family":"Lai","given":"Jun Shi","non-dropping-particle":"","parse-names":false,"suffix":""},{"dropping-particle":"","family":"Wong","given":"Chun Hong","non-dropping-particle":"","parse-names":false,"suffix":""},{"dropping-particle":"","family":"Neelakantan","given":"Nithya","non-dropping-particle":"","parse-names":false,"suffix":""},{"dropping-particle":"","family":"van Dam","given":"Rob Martinus","non-dropping-particle":"","parse-names":false,"suffix":""},{"dropping-particle":"","family":"Chong","given":"Mary Foong-Fong","non-dropping-particle":"","parse-names":false,"suffix":""}],"container-title":"Advances in Nutrition","id":"ITEM-2","issue":"4","issued":{"date-parts":[["2019","7","1"]]},"page":"685-695","publisher":"Narnia","title":"Maternal Dietary Patterns and Birth Outcomes: A Systematic Review and Meta-Analysis","type":"article-journal","volume":"10"},"uris":["http://www.mendeley.com/documents/?uuid=7d486979-0c5c-364b-aa03-9b485157514c"]}],"mendeley":{"formattedCitation":"[20,21]","plainTextFormattedCitation":"[20,21]","previouslyFormattedCitation":"[20,21]"},"properties":{"noteIndex":0},"schema":"https://github.com/citation-style-language/schema/raw/master/csl-citation.json"}</w:instrText>
      </w:r>
      <w:r w:rsidR="004D4443" w:rsidRPr="004F6EAB">
        <w:rPr>
          <w:rFonts w:ascii="Times New Roman" w:hAnsi="Times New Roman" w:cs="Times New Roman"/>
          <w:sz w:val="24"/>
          <w:szCs w:val="24"/>
          <w:lang w:val="en-US"/>
        </w:rPr>
        <w:fldChar w:fldCharType="separate"/>
      </w:r>
      <w:r w:rsidR="00AE282C" w:rsidRPr="00AE282C">
        <w:rPr>
          <w:rFonts w:ascii="Times New Roman" w:hAnsi="Times New Roman" w:cs="Times New Roman"/>
          <w:noProof/>
          <w:sz w:val="24"/>
          <w:szCs w:val="24"/>
          <w:lang w:val="en-US"/>
        </w:rPr>
        <w:t>[20,21]</w:t>
      </w:r>
      <w:r w:rsidR="004D4443" w:rsidRPr="004F6EAB">
        <w:rPr>
          <w:rFonts w:ascii="Times New Roman" w:hAnsi="Times New Roman" w:cs="Times New Roman"/>
          <w:sz w:val="24"/>
          <w:szCs w:val="24"/>
          <w:lang w:val="en-US"/>
        </w:rPr>
        <w:fldChar w:fldCharType="end"/>
      </w:r>
      <w:r w:rsidR="00FB7EF4" w:rsidRPr="004F6EAB">
        <w:rPr>
          <w:rFonts w:ascii="Times New Roman" w:hAnsi="Times New Roman" w:cs="Times New Roman"/>
          <w:sz w:val="24"/>
          <w:szCs w:val="24"/>
          <w:lang w:val="en-US"/>
        </w:rPr>
        <w:t xml:space="preserve">. To this end, </w:t>
      </w:r>
      <w:r w:rsidR="00FF6852" w:rsidRPr="004F6EAB">
        <w:rPr>
          <w:rFonts w:ascii="Times New Roman" w:hAnsi="Times New Roman" w:cs="Times New Roman"/>
          <w:sz w:val="24"/>
          <w:szCs w:val="24"/>
          <w:lang w:val="en-US"/>
        </w:rPr>
        <w:t xml:space="preserve">conducting an individual participant data meta-analysis implementing a harmonized data and analysis approach is a strategy which is likely </w:t>
      </w:r>
      <w:r w:rsidR="00FB7EF4" w:rsidRPr="004F6EAB">
        <w:rPr>
          <w:rFonts w:ascii="Times New Roman" w:hAnsi="Times New Roman" w:cs="Times New Roman"/>
          <w:sz w:val="24"/>
          <w:szCs w:val="24"/>
          <w:lang w:val="en-US"/>
        </w:rPr>
        <w:t xml:space="preserve">to </w:t>
      </w:r>
      <w:r w:rsidR="002D7551" w:rsidRPr="004F6EAB">
        <w:rPr>
          <w:rFonts w:ascii="Times New Roman" w:hAnsi="Times New Roman" w:cs="Times New Roman"/>
          <w:sz w:val="24"/>
          <w:szCs w:val="24"/>
          <w:lang w:val="en-US"/>
        </w:rPr>
        <w:t xml:space="preserve">reduce clinical heterogeneity and </w:t>
      </w:r>
      <w:r w:rsidR="00FB7EF4" w:rsidRPr="004F6EAB">
        <w:rPr>
          <w:rFonts w:ascii="Times New Roman" w:hAnsi="Times New Roman" w:cs="Times New Roman"/>
          <w:sz w:val="24"/>
          <w:szCs w:val="24"/>
          <w:lang w:val="en-US"/>
        </w:rPr>
        <w:t>yield more robust evidence.</w:t>
      </w:r>
      <w:r w:rsidR="00163EB7" w:rsidRPr="004F6EAB">
        <w:rPr>
          <w:rFonts w:ascii="Times New Roman" w:hAnsi="Times New Roman" w:cs="Times New Roman"/>
          <w:b/>
          <w:bCs/>
          <w:sz w:val="24"/>
          <w:szCs w:val="24"/>
          <w:lang w:val="en-US"/>
        </w:rPr>
        <w:t xml:space="preserve"> </w:t>
      </w:r>
      <w:bookmarkStart w:id="4" w:name="_Hlk26815812"/>
      <w:r w:rsidR="00FB7EF4" w:rsidRPr="004F6EAB">
        <w:rPr>
          <w:rFonts w:ascii="Times New Roman" w:hAnsi="Times New Roman" w:cs="Times New Roman"/>
          <w:sz w:val="24"/>
          <w:szCs w:val="24"/>
          <w:lang w:val="en-US"/>
        </w:rPr>
        <w:t xml:space="preserve">We thus investigate </w:t>
      </w:r>
      <w:r w:rsidR="002C65B1" w:rsidRPr="004F6EAB">
        <w:rPr>
          <w:rFonts w:ascii="Times New Roman" w:hAnsi="Times New Roman" w:cs="Times New Roman"/>
          <w:sz w:val="24"/>
          <w:szCs w:val="24"/>
          <w:lang w:val="en-US"/>
        </w:rPr>
        <w:t>whether maternal pre</w:t>
      </w:r>
      <w:r w:rsidR="00CC139F" w:rsidRPr="004F6EAB">
        <w:rPr>
          <w:rFonts w:ascii="Times New Roman" w:hAnsi="Times New Roman" w:cs="Times New Roman"/>
          <w:sz w:val="24"/>
          <w:szCs w:val="24"/>
          <w:lang w:val="en-US"/>
        </w:rPr>
        <w:t>-pregnancy</w:t>
      </w:r>
      <w:r w:rsidR="002C65B1" w:rsidRPr="004F6EAB">
        <w:rPr>
          <w:rFonts w:ascii="Times New Roman" w:hAnsi="Times New Roman" w:cs="Times New Roman"/>
          <w:sz w:val="24"/>
          <w:szCs w:val="24"/>
          <w:lang w:val="en-US"/>
        </w:rPr>
        <w:t xml:space="preserve"> and </w:t>
      </w:r>
      <w:r w:rsidR="00893B23" w:rsidRPr="004F6EAB">
        <w:rPr>
          <w:rFonts w:ascii="Times New Roman" w:hAnsi="Times New Roman" w:cs="Times New Roman"/>
          <w:sz w:val="24"/>
          <w:szCs w:val="24"/>
          <w:lang w:val="en-US"/>
        </w:rPr>
        <w:t>antenatal</w:t>
      </w:r>
      <w:r w:rsidR="002C65B1" w:rsidRPr="004F6EAB">
        <w:rPr>
          <w:rFonts w:ascii="Times New Roman" w:hAnsi="Times New Roman" w:cs="Times New Roman"/>
          <w:sz w:val="24"/>
          <w:szCs w:val="24"/>
          <w:lang w:val="en-US"/>
        </w:rPr>
        <w:t xml:space="preserve"> dietary quality and inflammatory potential are associated with birth outcomes</w:t>
      </w:r>
      <w:r w:rsidR="00FB7EF4" w:rsidRPr="004F6EAB">
        <w:rPr>
          <w:rFonts w:ascii="Times New Roman" w:hAnsi="Times New Roman" w:cs="Times New Roman"/>
          <w:sz w:val="24"/>
          <w:szCs w:val="24"/>
          <w:lang w:val="en-US"/>
        </w:rPr>
        <w:t xml:space="preserve"> in a consortium of </w:t>
      </w:r>
      <w:r w:rsidR="00465C45" w:rsidRPr="004F6EAB">
        <w:rPr>
          <w:rFonts w:ascii="Times New Roman" w:hAnsi="Times New Roman" w:cs="Times New Roman"/>
          <w:sz w:val="24"/>
          <w:szCs w:val="24"/>
          <w:lang w:val="en-US"/>
        </w:rPr>
        <w:t>seven</w:t>
      </w:r>
      <w:r w:rsidR="00FB7EF4" w:rsidRPr="004F6EAB">
        <w:rPr>
          <w:rFonts w:ascii="Times New Roman" w:hAnsi="Times New Roman" w:cs="Times New Roman"/>
          <w:sz w:val="24"/>
          <w:szCs w:val="24"/>
          <w:lang w:val="en-US"/>
        </w:rPr>
        <w:t xml:space="preserve"> European cohorts in </w:t>
      </w:r>
      <w:r w:rsidR="004622D3" w:rsidRPr="004F6EAB">
        <w:rPr>
          <w:rFonts w:ascii="Times New Roman" w:hAnsi="Times New Roman" w:cs="Times New Roman"/>
          <w:sz w:val="24"/>
          <w:szCs w:val="24"/>
          <w:lang w:val="en-US"/>
        </w:rPr>
        <w:t>five</w:t>
      </w:r>
      <w:r w:rsidR="00FB7EF4" w:rsidRPr="004F6EAB">
        <w:rPr>
          <w:rFonts w:ascii="Times New Roman" w:hAnsi="Times New Roman" w:cs="Times New Roman"/>
          <w:sz w:val="24"/>
          <w:szCs w:val="24"/>
          <w:lang w:val="en-US"/>
        </w:rPr>
        <w:t xml:space="preserve"> countries using harmonized individual participant data.</w:t>
      </w:r>
      <w:r w:rsidR="00CC786B" w:rsidRPr="004F6EAB">
        <w:rPr>
          <w:rFonts w:ascii="Times New Roman" w:hAnsi="Times New Roman" w:cs="Times New Roman"/>
          <w:sz w:val="24"/>
          <w:szCs w:val="24"/>
          <w:lang w:val="en-US"/>
        </w:rPr>
        <w:t xml:space="preserve"> </w:t>
      </w:r>
      <w:bookmarkEnd w:id="4"/>
      <w:r w:rsidR="005E62D3" w:rsidRPr="004F6EAB">
        <w:rPr>
          <w:rFonts w:ascii="Times New Roman" w:hAnsi="Times New Roman" w:cs="Times New Roman"/>
          <w:b/>
          <w:sz w:val="24"/>
          <w:szCs w:val="24"/>
        </w:rPr>
        <w:br w:type="page"/>
      </w:r>
    </w:p>
    <w:p w14:paraId="47A2D7E7" w14:textId="27E5681A" w:rsidR="0044414A" w:rsidRPr="004F6EAB" w:rsidRDefault="0044414A" w:rsidP="005E62D3">
      <w:pPr>
        <w:spacing w:line="480" w:lineRule="auto"/>
        <w:rPr>
          <w:rFonts w:ascii="Times New Roman" w:hAnsi="Times New Roman" w:cs="Times New Roman"/>
          <w:b/>
          <w:sz w:val="24"/>
          <w:szCs w:val="24"/>
        </w:rPr>
      </w:pPr>
      <w:r w:rsidRPr="004F6EAB">
        <w:rPr>
          <w:rFonts w:ascii="Times New Roman" w:hAnsi="Times New Roman" w:cs="Times New Roman"/>
          <w:b/>
          <w:sz w:val="24"/>
          <w:szCs w:val="24"/>
        </w:rPr>
        <w:lastRenderedPageBreak/>
        <w:t>METHODS</w:t>
      </w:r>
    </w:p>
    <w:p w14:paraId="1287CA68" w14:textId="2418215F" w:rsidR="00CD3D42" w:rsidRPr="004F6EAB" w:rsidRDefault="00CD3D42" w:rsidP="005E62D3">
      <w:pPr>
        <w:spacing w:line="480" w:lineRule="auto"/>
        <w:rPr>
          <w:rFonts w:ascii="Times New Roman" w:hAnsi="Times New Roman" w:cs="Times New Roman"/>
          <w:b/>
          <w:bCs/>
          <w:sz w:val="24"/>
          <w:szCs w:val="24"/>
        </w:rPr>
      </w:pPr>
      <w:r w:rsidRPr="004F6EAB">
        <w:rPr>
          <w:rFonts w:ascii="Times New Roman" w:hAnsi="Times New Roman" w:cs="Times New Roman"/>
          <w:b/>
          <w:bCs/>
          <w:sz w:val="24"/>
          <w:szCs w:val="24"/>
        </w:rPr>
        <w:t>Study population</w:t>
      </w:r>
    </w:p>
    <w:p w14:paraId="33543C9C" w14:textId="3A16FCDE" w:rsidR="002703BA" w:rsidRDefault="00E20335" w:rsidP="00C96450">
      <w:pPr>
        <w:spacing w:line="480" w:lineRule="auto"/>
        <w:rPr>
          <w:rFonts w:ascii="Times New Roman" w:hAnsi="Times New Roman" w:cs="Times New Roman"/>
          <w:sz w:val="24"/>
          <w:szCs w:val="24"/>
        </w:rPr>
      </w:pPr>
      <w:r w:rsidRPr="004F6EAB">
        <w:rPr>
          <w:rFonts w:ascii="Times New Roman" w:hAnsi="Times New Roman" w:cs="Times New Roman"/>
          <w:sz w:val="24"/>
          <w:szCs w:val="24"/>
        </w:rPr>
        <w:t xml:space="preserve">This study involves </w:t>
      </w:r>
      <w:r w:rsidR="00D6461C" w:rsidRPr="004F6EAB">
        <w:rPr>
          <w:rFonts w:ascii="Times New Roman" w:hAnsi="Times New Roman" w:cs="Times New Roman"/>
          <w:sz w:val="24"/>
          <w:szCs w:val="24"/>
        </w:rPr>
        <w:t>seven</w:t>
      </w:r>
      <w:r w:rsidRPr="004F6EAB">
        <w:rPr>
          <w:rFonts w:ascii="Times New Roman" w:hAnsi="Times New Roman" w:cs="Times New Roman"/>
          <w:sz w:val="24"/>
          <w:szCs w:val="24"/>
        </w:rPr>
        <w:t xml:space="preserve"> mother-offspring cohort studies across </w:t>
      </w:r>
      <w:r w:rsidR="00ED1E0E" w:rsidRPr="004F6EAB">
        <w:rPr>
          <w:rFonts w:ascii="Times New Roman" w:hAnsi="Times New Roman" w:cs="Times New Roman"/>
          <w:sz w:val="24"/>
          <w:szCs w:val="24"/>
        </w:rPr>
        <w:t>five</w:t>
      </w:r>
      <w:r w:rsidRPr="004F6EAB">
        <w:rPr>
          <w:rFonts w:ascii="Times New Roman" w:hAnsi="Times New Roman" w:cs="Times New Roman"/>
          <w:sz w:val="24"/>
          <w:szCs w:val="24"/>
        </w:rPr>
        <w:t xml:space="preserve"> European countries within the ALPHABET consortium, formed in 2017 with an overarching aim to investigate the complex interplay between maternal dietary environment, epigenetics, and a </w:t>
      </w:r>
      <w:r w:rsidR="00DB6247" w:rsidRPr="004F6EAB">
        <w:rPr>
          <w:rFonts w:ascii="Times New Roman" w:hAnsi="Times New Roman" w:cs="Times New Roman"/>
          <w:sz w:val="24"/>
          <w:szCs w:val="24"/>
        </w:rPr>
        <w:t>range of child health outcomes.</w:t>
      </w:r>
      <w:r w:rsidR="00963803" w:rsidRPr="004F6EAB">
        <w:rPr>
          <w:rFonts w:ascii="Times New Roman" w:eastAsia="SimSun" w:hAnsi="Times New Roman" w:cs="Times New Roman"/>
          <w:sz w:val="24"/>
          <w:szCs w:val="24"/>
          <w:lang w:val="en-SG"/>
        </w:rPr>
        <w:t xml:space="preserve"> </w:t>
      </w:r>
      <w:r w:rsidRPr="004F6EAB">
        <w:rPr>
          <w:rFonts w:ascii="Times New Roman" w:hAnsi="Times New Roman" w:cs="Times New Roman"/>
          <w:sz w:val="24"/>
          <w:szCs w:val="24"/>
        </w:rPr>
        <w:t xml:space="preserve">These cohorts/longitudinal follow-up from </w:t>
      </w:r>
      <w:r w:rsidR="001E5043" w:rsidRPr="004F6EAB">
        <w:rPr>
          <w:rFonts w:ascii="Times New Roman" w:hAnsi="Times New Roman" w:cs="Times New Roman"/>
          <w:sz w:val="24"/>
          <w:szCs w:val="24"/>
        </w:rPr>
        <w:t xml:space="preserve">a </w:t>
      </w:r>
      <w:r w:rsidRPr="004F6EAB">
        <w:rPr>
          <w:rFonts w:ascii="Times New Roman" w:hAnsi="Times New Roman" w:cs="Times New Roman"/>
          <w:sz w:val="24"/>
          <w:szCs w:val="24"/>
        </w:rPr>
        <w:t xml:space="preserve">randomized controlled trial include </w:t>
      </w:r>
      <w:r w:rsidR="00AC4361" w:rsidRPr="004F6EAB">
        <w:rPr>
          <w:rFonts w:ascii="Times New Roman" w:hAnsi="Times New Roman" w:cs="Times New Roman"/>
          <w:sz w:val="24"/>
          <w:szCs w:val="24"/>
        </w:rPr>
        <w:t>the Lifeways Cross-Generation Cohort Study (</w:t>
      </w:r>
      <w:r w:rsidRPr="004F6EAB">
        <w:rPr>
          <w:rFonts w:ascii="Times New Roman" w:hAnsi="Times New Roman" w:cs="Times New Roman"/>
          <w:sz w:val="24"/>
          <w:szCs w:val="24"/>
        </w:rPr>
        <w:t>Lifeways</w:t>
      </w:r>
      <w:r w:rsidR="00C96450">
        <w:rPr>
          <w:rFonts w:ascii="Times New Roman" w:hAnsi="Times New Roman" w:cs="Times New Roman"/>
          <w:sz w:val="24"/>
          <w:szCs w:val="24"/>
        </w:rPr>
        <w:t>; recruitment from 2 October 2001 to 4 April 2003</w:t>
      </w:r>
      <w:r w:rsidR="00AC4361" w:rsidRPr="004F6EAB">
        <w:rPr>
          <w:rFonts w:ascii="Times New Roman" w:hAnsi="Times New Roman" w:cs="Times New Roman"/>
          <w:sz w:val="24"/>
          <w:szCs w:val="24"/>
        </w:rPr>
        <w:t>)</w:t>
      </w:r>
      <w:r w:rsidRPr="004F6EAB">
        <w:rPr>
          <w:rFonts w:ascii="Times New Roman" w:hAnsi="Times New Roman" w:cs="Times New Roman"/>
          <w:sz w:val="24"/>
          <w:szCs w:val="24"/>
        </w:rPr>
        <w:t xml:space="preserve"> and </w:t>
      </w:r>
      <w:r w:rsidR="000B0CD2" w:rsidRPr="004F6EAB">
        <w:rPr>
          <w:rFonts w:ascii="Times New Roman" w:hAnsi="Times New Roman" w:cs="Times New Roman"/>
          <w:sz w:val="24"/>
          <w:szCs w:val="24"/>
        </w:rPr>
        <w:t xml:space="preserve">the </w:t>
      </w:r>
      <w:r w:rsidR="00295BD2" w:rsidRPr="004F6EAB">
        <w:rPr>
          <w:rFonts w:ascii="Times New Roman" w:hAnsi="Times New Roman" w:cs="Times New Roman"/>
          <w:sz w:val="24"/>
          <w:szCs w:val="24"/>
        </w:rPr>
        <w:t xml:space="preserve">Randomised </w:t>
      </w:r>
      <w:proofErr w:type="spellStart"/>
      <w:r w:rsidR="00295BD2" w:rsidRPr="004F6EAB">
        <w:rPr>
          <w:rFonts w:ascii="Times New Roman" w:hAnsi="Times New Roman" w:cs="Times New Roman"/>
          <w:sz w:val="24"/>
          <w:szCs w:val="24"/>
        </w:rPr>
        <w:t>cOntrol</w:t>
      </w:r>
      <w:proofErr w:type="spellEnd"/>
      <w:r w:rsidR="00295BD2" w:rsidRPr="004F6EAB">
        <w:rPr>
          <w:rFonts w:ascii="Times New Roman" w:hAnsi="Times New Roman" w:cs="Times New Roman"/>
          <w:sz w:val="24"/>
          <w:szCs w:val="24"/>
        </w:rPr>
        <w:t xml:space="preserve"> trial of </w:t>
      </w:r>
      <w:proofErr w:type="spellStart"/>
      <w:r w:rsidR="00295BD2" w:rsidRPr="004F6EAB">
        <w:rPr>
          <w:rFonts w:ascii="Times New Roman" w:hAnsi="Times New Roman" w:cs="Times New Roman"/>
          <w:sz w:val="24"/>
          <w:szCs w:val="24"/>
        </w:rPr>
        <w:t>LOw</w:t>
      </w:r>
      <w:proofErr w:type="spellEnd"/>
      <w:r w:rsidR="00295BD2" w:rsidRPr="004F6EAB">
        <w:rPr>
          <w:rFonts w:ascii="Times New Roman" w:hAnsi="Times New Roman" w:cs="Times New Roman"/>
          <w:sz w:val="24"/>
          <w:szCs w:val="24"/>
        </w:rPr>
        <w:t xml:space="preserve"> glycaemic index diet </w:t>
      </w:r>
      <w:r w:rsidR="00E917EF" w:rsidRPr="004F6EAB">
        <w:rPr>
          <w:rFonts w:ascii="Times New Roman" w:hAnsi="Times New Roman" w:cs="Times New Roman"/>
          <w:sz w:val="24"/>
          <w:szCs w:val="24"/>
        </w:rPr>
        <w:t>during pregnancy</w:t>
      </w:r>
      <w:r w:rsidR="000B0CD2" w:rsidRPr="004F6EAB">
        <w:rPr>
          <w:rFonts w:ascii="Times New Roman" w:hAnsi="Times New Roman" w:cs="Times New Roman"/>
          <w:sz w:val="24"/>
          <w:szCs w:val="24"/>
        </w:rPr>
        <w:t xml:space="preserve"> </w:t>
      </w:r>
      <w:r w:rsidR="00AC4361" w:rsidRPr="004F6EAB">
        <w:rPr>
          <w:rFonts w:ascii="Times New Roman" w:hAnsi="Times New Roman" w:cs="Times New Roman"/>
          <w:sz w:val="24"/>
          <w:szCs w:val="24"/>
        </w:rPr>
        <w:t xml:space="preserve">study </w:t>
      </w:r>
      <w:r w:rsidR="000B0CD2" w:rsidRPr="004F6EAB">
        <w:rPr>
          <w:rFonts w:ascii="Times New Roman" w:hAnsi="Times New Roman" w:cs="Times New Roman"/>
          <w:sz w:val="24"/>
          <w:szCs w:val="24"/>
        </w:rPr>
        <w:t>(ROLO</w:t>
      </w:r>
      <w:r w:rsidR="00C96450">
        <w:rPr>
          <w:rFonts w:ascii="Times New Roman" w:hAnsi="Times New Roman" w:cs="Times New Roman"/>
          <w:sz w:val="24"/>
          <w:szCs w:val="24"/>
        </w:rPr>
        <w:t xml:space="preserve">; recruitment from </w:t>
      </w:r>
      <w:r w:rsidR="00C96450" w:rsidRPr="00C96450">
        <w:rPr>
          <w:rFonts w:ascii="Times New Roman" w:hAnsi="Times New Roman" w:cs="Times New Roman"/>
          <w:sz w:val="24"/>
          <w:szCs w:val="24"/>
        </w:rPr>
        <w:t>1 January 2007 to 1 January 2011</w:t>
      </w:r>
      <w:r w:rsidR="000B0CD2" w:rsidRPr="004F6EAB">
        <w:rPr>
          <w:rFonts w:ascii="Times New Roman" w:hAnsi="Times New Roman" w:cs="Times New Roman"/>
          <w:sz w:val="24"/>
          <w:szCs w:val="24"/>
        </w:rPr>
        <w:t>)</w:t>
      </w:r>
      <w:r w:rsidRPr="004F6EAB">
        <w:rPr>
          <w:rFonts w:ascii="Times New Roman" w:hAnsi="Times New Roman" w:cs="Times New Roman"/>
          <w:sz w:val="24"/>
          <w:szCs w:val="24"/>
        </w:rPr>
        <w:t xml:space="preserve"> in Ireland, </w:t>
      </w:r>
      <w:r w:rsidR="00AC4361" w:rsidRPr="004F6EAB">
        <w:rPr>
          <w:rFonts w:ascii="Times New Roman" w:hAnsi="Times New Roman" w:cs="Times New Roman"/>
          <w:sz w:val="24"/>
          <w:szCs w:val="24"/>
        </w:rPr>
        <w:t>the study on the pre- and early postnatal determinants of child health and development (EDEN</w:t>
      </w:r>
      <w:r w:rsidR="00C96450">
        <w:rPr>
          <w:rFonts w:ascii="Times New Roman" w:hAnsi="Times New Roman" w:cs="Times New Roman"/>
          <w:sz w:val="24"/>
          <w:szCs w:val="24"/>
        </w:rPr>
        <w:t xml:space="preserve">; recruitment from </w:t>
      </w:r>
      <w:r w:rsidR="00C96450" w:rsidRPr="00C96450">
        <w:rPr>
          <w:rFonts w:ascii="Times New Roman" w:hAnsi="Times New Roman" w:cs="Times New Roman"/>
          <w:sz w:val="24"/>
          <w:szCs w:val="24"/>
        </w:rPr>
        <w:t>27 January 2003 to 6 March 2006</w:t>
      </w:r>
      <w:r w:rsidR="00AC4361" w:rsidRPr="004F6EAB">
        <w:rPr>
          <w:rFonts w:ascii="Times New Roman" w:hAnsi="Times New Roman" w:cs="Times New Roman"/>
          <w:sz w:val="24"/>
          <w:szCs w:val="24"/>
        </w:rPr>
        <w:t>)</w:t>
      </w:r>
      <w:r w:rsidRPr="004F6EAB">
        <w:rPr>
          <w:rFonts w:ascii="Times New Roman" w:hAnsi="Times New Roman" w:cs="Times New Roman"/>
          <w:sz w:val="24"/>
          <w:szCs w:val="24"/>
        </w:rPr>
        <w:t xml:space="preserve"> in </w:t>
      </w:r>
      <w:r w:rsidR="00A86CA0" w:rsidRPr="004F6EAB">
        <w:rPr>
          <w:rFonts w:ascii="Times New Roman" w:hAnsi="Times New Roman" w:cs="Times New Roman"/>
          <w:sz w:val="24"/>
          <w:szCs w:val="24"/>
        </w:rPr>
        <w:t xml:space="preserve">France, </w:t>
      </w:r>
      <w:r w:rsidR="000B0CD2" w:rsidRPr="004F6EAB">
        <w:rPr>
          <w:rFonts w:ascii="Times New Roman" w:hAnsi="Times New Roman" w:cs="Times New Roman"/>
          <w:sz w:val="24"/>
          <w:szCs w:val="24"/>
        </w:rPr>
        <w:t>the Avon Longitudinal Study of Parents and Children (ALSPAC</w:t>
      </w:r>
      <w:r w:rsidR="00C96450">
        <w:rPr>
          <w:rFonts w:ascii="Times New Roman" w:hAnsi="Times New Roman" w:cs="Times New Roman"/>
          <w:sz w:val="24"/>
          <w:szCs w:val="24"/>
        </w:rPr>
        <w:t xml:space="preserve">; recruitment from </w:t>
      </w:r>
      <w:r w:rsidR="00C96450" w:rsidRPr="00C96450">
        <w:rPr>
          <w:rFonts w:ascii="Times New Roman" w:hAnsi="Times New Roman" w:cs="Times New Roman"/>
          <w:sz w:val="24"/>
          <w:szCs w:val="24"/>
        </w:rPr>
        <w:t>1 April 1991 to 31 December 1992</w:t>
      </w:r>
      <w:r w:rsidR="000B0CD2" w:rsidRPr="004F6EAB">
        <w:rPr>
          <w:rFonts w:ascii="Times New Roman" w:hAnsi="Times New Roman" w:cs="Times New Roman"/>
          <w:sz w:val="24"/>
          <w:szCs w:val="24"/>
        </w:rPr>
        <w:t>)</w:t>
      </w:r>
      <w:r w:rsidR="00A86CA0" w:rsidRPr="004F6EAB">
        <w:rPr>
          <w:rFonts w:ascii="Times New Roman" w:hAnsi="Times New Roman" w:cs="Times New Roman"/>
          <w:sz w:val="24"/>
          <w:szCs w:val="24"/>
        </w:rPr>
        <w:t xml:space="preserve"> and </w:t>
      </w:r>
      <w:r w:rsidR="00AC4361" w:rsidRPr="004F6EAB">
        <w:rPr>
          <w:rFonts w:ascii="Times New Roman" w:hAnsi="Times New Roman" w:cs="Times New Roman"/>
          <w:sz w:val="24"/>
          <w:szCs w:val="24"/>
        </w:rPr>
        <w:t>the Southampton Women’s Survey (SWS</w:t>
      </w:r>
      <w:r w:rsidR="00C96450">
        <w:rPr>
          <w:rFonts w:ascii="Times New Roman" w:hAnsi="Times New Roman" w:cs="Times New Roman"/>
          <w:sz w:val="24"/>
          <w:szCs w:val="24"/>
        </w:rPr>
        <w:t xml:space="preserve">; recruitment from </w:t>
      </w:r>
      <w:r w:rsidR="008D5586" w:rsidRPr="008D5586">
        <w:rPr>
          <w:rFonts w:ascii="Times New Roman" w:hAnsi="Times New Roman" w:cs="Times New Roman"/>
          <w:sz w:val="24"/>
          <w:szCs w:val="24"/>
        </w:rPr>
        <w:t>6 April 1998 to 17 Dec 2002</w:t>
      </w:r>
      <w:r w:rsidR="00AC4361" w:rsidRPr="004F6EAB">
        <w:rPr>
          <w:rFonts w:ascii="Times New Roman" w:hAnsi="Times New Roman" w:cs="Times New Roman"/>
          <w:sz w:val="24"/>
          <w:szCs w:val="24"/>
        </w:rPr>
        <w:t>)</w:t>
      </w:r>
      <w:r w:rsidR="00A86CA0" w:rsidRPr="004F6EAB">
        <w:rPr>
          <w:rFonts w:ascii="Times New Roman" w:hAnsi="Times New Roman" w:cs="Times New Roman"/>
          <w:sz w:val="24"/>
          <w:szCs w:val="24"/>
        </w:rPr>
        <w:t xml:space="preserve"> in </w:t>
      </w:r>
      <w:r w:rsidR="00465C45" w:rsidRPr="004F6EAB">
        <w:rPr>
          <w:rFonts w:ascii="Times New Roman" w:hAnsi="Times New Roman" w:cs="Times New Roman"/>
          <w:sz w:val="24"/>
          <w:szCs w:val="24"/>
        </w:rPr>
        <w:t xml:space="preserve">the </w:t>
      </w:r>
      <w:r w:rsidR="00A86CA0" w:rsidRPr="004F6EAB">
        <w:rPr>
          <w:rFonts w:ascii="Times New Roman" w:hAnsi="Times New Roman" w:cs="Times New Roman"/>
          <w:sz w:val="24"/>
          <w:szCs w:val="24"/>
        </w:rPr>
        <w:t xml:space="preserve">UK, </w:t>
      </w:r>
      <w:r w:rsidR="00AC4361" w:rsidRPr="004F6EAB">
        <w:rPr>
          <w:rFonts w:ascii="Times New Roman" w:hAnsi="Times New Roman" w:cs="Times New Roman"/>
          <w:sz w:val="24"/>
          <w:szCs w:val="24"/>
        </w:rPr>
        <w:t>the Polish Mother and Child Cohort (REPRO_PL</w:t>
      </w:r>
      <w:r w:rsidR="00C96450">
        <w:rPr>
          <w:rFonts w:ascii="Times New Roman" w:hAnsi="Times New Roman" w:cs="Times New Roman"/>
          <w:sz w:val="24"/>
          <w:szCs w:val="24"/>
        </w:rPr>
        <w:t xml:space="preserve">; recruitment from </w:t>
      </w:r>
      <w:r w:rsidR="00C96450" w:rsidRPr="00C96450">
        <w:rPr>
          <w:rFonts w:ascii="Times New Roman" w:hAnsi="Times New Roman" w:cs="Times New Roman"/>
          <w:sz w:val="24"/>
          <w:szCs w:val="24"/>
        </w:rPr>
        <w:t>18 September 2007 to 16 December 2011</w:t>
      </w:r>
      <w:r w:rsidR="00AC4361" w:rsidRPr="004F6EAB">
        <w:rPr>
          <w:rFonts w:ascii="Times New Roman" w:hAnsi="Times New Roman" w:cs="Times New Roman"/>
          <w:sz w:val="24"/>
          <w:szCs w:val="24"/>
        </w:rPr>
        <w:t xml:space="preserve">) </w:t>
      </w:r>
      <w:r w:rsidR="00A86CA0" w:rsidRPr="004F6EAB">
        <w:rPr>
          <w:rFonts w:ascii="Times New Roman" w:hAnsi="Times New Roman" w:cs="Times New Roman"/>
          <w:sz w:val="24"/>
          <w:szCs w:val="24"/>
        </w:rPr>
        <w:t xml:space="preserve">in Poland, and </w:t>
      </w:r>
      <w:r w:rsidR="00A00834" w:rsidRPr="004F6EAB">
        <w:rPr>
          <w:rFonts w:ascii="Times New Roman" w:hAnsi="Times New Roman" w:cs="Times New Roman"/>
          <w:sz w:val="24"/>
          <w:szCs w:val="24"/>
        </w:rPr>
        <w:t xml:space="preserve">The </w:t>
      </w:r>
      <w:r w:rsidR="00AC4361" w:rsidRPr="004F6EAB">
        <w:rPr>
          <w:rFonts w:ascii="Times New Roman" w:hAnsi="Times New Roman" w:cs="Times New Roman"/>
          <w:sz w:val="24"/>
          <w:szCs w:val="24"/>
        </w:rPr>
        <w:t>Generation R Study (</w:t>
      </w:r>
      <w:r w:rsidR="00A86CA0" w:rsidRPr="004F6EAB">
        <w:rPr>
          <w:rFonts w:ascii="Times New Roman" w:hAnsi="Times New Roman" w:cs="Times New Roman"/>
          <w:sz w:val="24"/>
          <w:szCs w:val="24"/>
        </w:rPr>
        <w:t>Generation R</w:t>
      </w:r>
      <w:r w:rsidR="00C96450">
        <w:rPr>
          <w:rFonts w:ascii="Times New Roman" w:hAnsi="Times New Roman" w:cs="Times New Roman"/>
          <w:sz w:val="24"/>
          <w:szCs w:val="24"/>
        </w:rPr>
        <w:t>; recruitment of p</w:t>
      </w:r>
      <w:r w:rsidR="00C96450" w:rsidRPr="00C96450">
        <w:rPr>
          <w:rFonts w:ascii="Times New Roman" w:hAnsi="Times New Roman" w:cs="Times New Roman"/>
          <w:sz w:val="24"/>
          <w:szCs w:val="24"/>
        </w:rPr>
        <w:t>regnant women</w:t>
      </w:r>
      <w:r w:rsidR="00C96450">
        <w:rPr>
          <w:rFonts w:ascii="Times New Roman" w:hAnsi="Times New Roman" w:cs="Times New Roman"/>
          <w:sz w:val="24"/>
          <w:szCs w:val="24"/>
        </w:rPr>
        <w:t xml:space="preserve"> with an expected delivery date </w:t>
      </w:r>
      <w:r w:rsidR="00C96450" w:rsidRPr="00C96450">
        <w:rPr>
          <w:rFonts w:ascii="Times New Roman" w:hAnsi="Times New Roman" w:cs="Times New Roman"/>
          <w:sz w:val="24"/>
          <w:szCs w:val="24"/>
        </w:rPr>
        <w:t xml:space="preserve">between </w:t>
      </w:r>
      <w:r w:rsidR="00C96450">
        <w:rPr>
          <w:rFonts w:ascii="Times New Roman" w:hAnsi="Times New Roman" w:cs="Times New Roman"/>
          <w:sz w:val="24"/>
          <w:szCs w:val="24"/>
        </w:rPr>
        <w:t xml:space="preserve">1 </w:t>
      </w:r>
      <w:r w:rsidR="00C96450" w:rsidRPr="00C96450">
        <w:rPr>
          <w:rFonts w:ascii="Times New Roman" w:hAnsi="Times New Roman" w:cs="Times New Roman"/>
          <w:sz w:val="24"/>
          <w:szCs w:val="24"/>
        </w:rPr>
        <w:t xml:space="preserve">April 2002 and </w:t>
      </w:r>
      <w:r w:rsidR="00C96450">
        <w:rPr>
          <w:rFonts w:ascii="Times New Roman" w:hAnsi="Times New Roman" w:cs="Times New Roman"/>
          <w:sz w:val="24"/>
          <w:szCs w:val="24"/>
        </w:rPr>
        <w:t xml:space="preserve">31 </w:t>
      </w:r>
      <w:r w:rsidR="00C96450" w:rsidRPr="00C96450">
        <w:rPr>
          <w:rFonts w:ascii="Times New Roman" w:hAnsi="Times New Roman" w:cs="Times New Roman"/>
          <w:sz w:val="24"/>
          <w:szCs w:val="24"/>
        </w:rPr>
        <w:t>January 2006</w:t>
      </w:r>
      <w:r w:rsidR="00AC4361" w:rsidRPr="004F6EAB">
        <w:rPr>
          <w:rFonts w:ascii="Times New Roman" w:hAnsi="Times New Roman" w:cs="Times New Roman"/>
          <w:sz w:val="24"/>
          <w:szCs w:val="24"/>
        </w:rPr>
        <w:t>)</w:t>
      </w:r>
      <w:r w:rsidR="00A86CA0" w:rsidRPr="004F6EAB">
        <w:rPr>
          <w:rFonts w:ascii="Times New Roman" w:hAnsi="Times New Roman" w:cs="Times New Roman"/>
          <w:sz w:val="24"/>
          <w:szCs w:val="24"/>
        </w:rPr>
        <w:t xml:space="preserve"> in the Netherlands</w:t>
      </w:r>
      <w:r w:rsidR="000C3EC0" w:rsidRPr="004F6EAB">
        <w:rPr>
          <w:rFonts w:ascii="Times New Roman" w:hAnsi="Times New Roman" w:cs="Times New Roman"/>
          <w:sz w:val="24"/>
          <w:szCs w:val="24"/>
        </w:rPr>
        <w:t xml:space="preserve">. The </w:t>
      </w:r>
      <w:r w:rsidR="00A86CA0" w:rsidRPr="004F6EAB">
        <w:rPr>
          <w:rFonts w:ascii="Times New Roman" w:hAnsi="Times New Roman" w:cs="Times New Roman"/>
          <w:sz w:val="24"/>
          <w:szCs w:val="24"/>
        </w:rPr>
        <w:t xml:space="preserve">study design </w:t>
      </w:r>
      <w:r w:rsidR="000C3EC0" w:rsidRPr="004F6EAB">
        <w:rPr>
          <w:rFonts w:ascii="Times New Roman" w:hAnsi="Times New Roman" w:cs="Times New Roman"/>
          <w:sz w:val="24"/>
          <w:szCs w:val="24"/>
        </w:rPr>
        <w:t xml:space="preserve">for each cohort </w:t>
      </w:r>
      <w:r w:rsidR="00A86CA0" w:rsidRPr="004F6EAB">
        <w:rPr>
          <w:rFonts w:ascii="Times New Roman" w:hAnsi="Times New Roman" w:cs="Times New Roman"/>
          <w:sz w:val="24"/>
          <w:szCs w:val="24"/>
        </w:rPr>
        <w:t>has been described in detail elsewhere</w:t>
      </w:r>
      <w:r w:rsidR="000A3AB6" w:rsidRPr="004F6EAB">
        <w:rPr>
          <w:rFonts w:ascii="Times New Roman" w:hAnsi="Times New Roman" w:cs="Times New Roman"/>
          <w:sz w:val="24"/>
          <w:szCs w:val="24"/>
        </w:rPr>
        <w:t xml:space="preserve"> </w:t>
      </w:r>
      <w:r w:rsidR="000A3AB6"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{"citationItems":[{"id":"ITEM-1","itemData":{"DOI":"10.1007/s10654-006-9022-0","ISSN":"0393-2990","PMID":"16826450","abstract":"The Generation R Study is a population-based prospective cohort study from fetal life until young adulthood. The study is designed to identify early environmental and genetic causes of normal and abnormal growth, development and health from fetal life until young adulthood. The study focuses on four primary areas of research: (1) growth and physical development; (2) behavioral and cognitive development; (3) diseases in childhood; and (4) health and healthcare for pregnant women and children. In total, 9778 mothers with a delivery date from April 2002 until January 2006 were enrolled in the study. Of all eligible children at birth, 61% participate in the study. Data collection in the prenatal phase included physical examinations, questionnaires, fetal ultrasound examinations and biological samples. In addition, more detailed assessments are conducted in a subgroup of 1232 pregnant women and their children. The children form a prenatally recruited birth-cohort that will be followed until young adulthood. Eventually, results forthcoming from the Generation R Study have to contribute to the development of strategies for optimizing health and healthcare for pregnant women and children.","author":[{"dropping-particle":"V.","family":"Jaddoe","given":"Vincent W.","non-dropping-particle":"","parse-names":false,"suffix":""},{"dropping-particle":"","family":"Mackenbach","given":"Johan P.","non-dropping-particle":"","parse-names":false,"suffix":""},{"dropping-particle":"","family":"Moll","given":"Henriëtte A.","non-dropping-particle":"","parse-names":false,"suffix":""},{"dropping-particle":"","family":"Steegers","given":"Eric A. P.","non-dropping-particle":"","parse-names":false,"suffix":""},{"dropping-particle":"","family":"Tiemeier","given":"Henning","non-dropping-particle":"","parse-names":false,"suffix":""},{"dropping-particle":"","family":"Verhulst","given":"Frank C.","non-dropping-particle":"","parse-names":false,"suffix":""},{"dropping-particle":"","family":"Witteman","given":"Jacqueline C. M.","non-dropping-particle":"","parse-names":false,"suffix":""},{"dropping-particle":"","family":"Hofman","given":"Albert","non-dropping-particle":"","parse-names":false,"suffix":""}],"container-title":"European Journal of Epidemiology","id":"ITEM-1","issue":"6","issued":{"date-parts":[["2006","6","7"]]},"page":"475-484","title":"The Generation R Study: Design and cohort profile","type":"article-journal","volume":"21"},"uris":["http://www.mendeley.com/documents/?uuid=28ea79b8-32ae-30ff-9442-6dc28d7d553f"]},{"id":"ITEM-2","itemData":{"DOI":"10.2478/v10001-009-0037-0","ISSN":"1896-494X","author":[{"dropping-particle":"","family":"Polańska","given":"Kinga","non-dropping-particle":"","parse-names":false,"suffix":""},{"dropping-particle":"","family":"Hanke","given":"Wojciech","non-dropping-particle":"","parse-names":false,"suffix":""},{"dropping-particle":"","family":"Gromadzińska","given":"Jolanta","non-dropping-particle":"","parse-names":false,"suffix":""},{"dropping-particle":"","family":"Ligocka","given":"Danuta","non-dropping-particle":"","parse-names":false,"suffix":""},{"dropping-particle":"","family":"Gulczyńska","given":"Ewa","non-dropping-particle":"","parse-names":false,"suffix":""},{"dropping-particle":"","family":"Sobala","given":"Wojciech","non-dropping-particle":"","parse-names":false,"suffix":""},{"dropping-particle":"","family":"Wąsowicz","given":"Wojciech","non-dropping-particle":"","parse-names":false,"suffix":""}],"container-title":"International Journal of Occupational Medicine and Environmental Health","id":"ITEM-2","issue":"4","issued":{"date-parts":[["2009"]]},"publisher":"Nofer Institute of Occupational Medicine","title":"Polish mother and child cohort study — defining the problem, the aim of the study and methodological assumptions","type":"article-journal","volume":"22"},"uris":["http://www.mendeley.com/documents/?uuid=3f703fa9-9ee5-440b-ba91-67cc063aeaa6"]},{"id":"ITEM-3","itemData":{"DOI":"10.1093/ije/dyv151","ISSN":"0300-5771","author":[{"dropping-particle":"","family":"Heude","given":"Barbara","non-dropping-particle":"","parse-names":false,"suffix":""},{"dropping-particle":"","family":"Forhan","given":"Anne","non-dropping-particle":"","parse-names":false,"suffix":""},{"dropping-particle":"","family":"Slama","given":"Rémy","non-dropping-particle":"","parse-names":false,"suffix":""},{"dropping-particle":"","family":"Douhaud","given":"Lorraine","non-dropping-particle":"","parse-names":false,"suffix":""},{"dropping-particle":"","family":"Bedel","given":"Sophie","non-dropping-particle":"","parse-names":false,"suffix":""},{"dropping-particle":"","family":"Saurel-Cubizolles","given":"Marie-Josèphe","non-dropping-particle":"","parse-names":false,"suffix":""},{"dropping-particle":"","family":"Hankard","given":"Régis","non-dropping-particle":"","parse-names":false,"suffix":""},{"dropping-particle":"","family":"Thiebaugeorges","given":"Olivier","non-dropping-particle":"","parse-names":false,"suffix":""},{"dropping-particle":"","family":"Agostini","given":"Maria","non-dropping-particle":"De","parse-names":false,"suffix":""},{"dropping-particle":"","family":"Annesi-Maesano","given":"Isabella","non-dropping-particle":"","parse-names":false,"suffix":""},{"dropping-particle":"","family":"Kaminski","given":"Monique","non-dropping-particle":"","parse-names":false,"suffix":""},{"dropping-particle":"","family":"Charles","given":"Marie-Aline","non-dropping-particle":"","parse-names":false,"suffix":""},{"dropping-particle":"","family":"Annesi-Maesano","given":"I","non-dropping-particle":"","parse-names":false,"suffix":""},{"dropping-particle":"","family":"Bernard","given":"JY","non-dropping-particle":"","parse-names":false,"suffix":""},{"dropping-particle":"","family":"Botton","given":"J","non-dropping-particle":"","parse-names":false,"suffix":""},{"dropping-particle":"","family":"Charles","given":"M-A","non-dropping-particle":"","parse-names":false,"suffix":""},{"dropping-particle":"","family":"Dargent-Molina","given":"P","non-dropping-particle":"","parse-names":false,"suffix":""},{"dropping-particle":"","family":"Lauzon-Guillain","given":"B","non-dropping-particle":"de","parse-names":false,"suffix":""},{"dropping-particle":"","family":"Ducimetière","given":"P","non-dropping-particle":"","parse-names":false,"suffix":""},{"dropping-particle":"","family":"Agostini","given":"M","non-dropping-particle":"de","parse-names":false,"suffix":""},{"dropping-particle":"","family":"Foliguet","given":"B","non-dropping-particle":"","parse-names":false,"suffix":""},{"dropping-particle":"","family":"Forhan","given":"A","non-dropping-particle":"","parse-names":false,"suffix":""},{"dropping-particle":"","family":"Fritel","given":"X","non-dropping-particle":"","parse-names":false,"suffix":""},{"dropping-particle":"","family":"Germa","given":"A","non-dropping-particle":"","parse-names":false,"suffix":""},{"dropping-particle":"","family":"Goua","given":"V","non-dropping-particle":"","parse-names":false,"suffix":""},{"dropping-particle":"","family":"Hankard","given":"R","non-dropping-particle":"","parse-names":false,"suffix":""},{"dropping-particle":"","family":"Heude","given":"B","non-dropping-particle":"","parse-names":false,"suffix":""},{"dropping-particle":"","family":"Kaminski","given":"M","non-dropping-particle":"","parse-names":false,"suffix":""},{"dropping-particle":"","family":"Larroque","given":"B","non-dropping-particle":"","parse-names":false,"suffix":""},{"dropping-particle":"","family":"Lelong","given":"N","non-dropping-particle":"","parse-names":false,"suffix":""},{"dropping-particle":"","family":"Lepeule","given":"J","non-dropping-particle":"","parse-names":false,"suffix":""},{"dropping-particle":"","family":"Magnin","given":"G","non-dropping-particle":"","parse-names":false,"suffix":""},{"dropping-particle":"","family":"Marchand","given":"L","non-dropping-particle":"","parse-names":false,"suffix":""},{"dropping-particle":"","family":"Nabet","given":"C","non-dropping-particle":"","parse-names":false,"suffix":""},{"dropping-particle":"","family":"Pierre","given":"F","non-dropping-particle":"","parse-names":false,"suffix":""},{"dropping-particle":"","family":"Slama","given":"R","non-dropping-particle":"","parse-names":false,"suffix":""},{"dropping-particle":"","family":"Saurel-Cubizolles","given":"MJ","non-dropping-particle":"","parse-names":false,"suffix":""},{"dropping-particle":"","family":"Schweitzer","given":"M","non-dropping-particle":"","parse-names":false,"suffix":""},{"dropping-particle":"","family":"Thiebaugeorges","given":"O","non-dropping-particle":"","parse-names":false,"suffix":""}],"container-title":"International Journal of Epidemiology","id":"ITEM-3","issue":"2","issued":{"date-parts":[["2016","4"]]},"page":"353-363","publisher":"Oxford University Press","title":"Cohort Profile: The EDEN mother-child cohort on the prenatal and early postnatal determinants of child health and development","type":"article-journal","volume":"45"},"uris":["http://www.mendeley.com/documents/?uuid=be5cdbbe-731a-3696-a7ed-6b005d81887c"]},{"id":"ITEM-4","itemData":{"ISSN":"0332-3102","PMID":"17955692","abstract":"The Lifeways Cross-Generation Cohort Study was first established in 2001 and is a unique longitudinal database in Ireland, with currently over three and a half thousand family participants derived from 1124 mothers recruited initially during pregnancy, mainly during 2002. The database comprises a) baseline self-reported health data for all mothers, a third of fathers and at least one grandparent b) clinical hospital data at recruitment, c) three year follow-up data from the families' General Practitioners, and d) linkage to hospital and vaccination databases. Data collection for the five-year follow-up with parents is underway, continuing through 2007. Because there is at present no single national/regional health information system in Ireland, original data instruments were designed to capture data directly from family members and through their hospitals and healthcare providers. A system of relational databases was designed to coordinate data capture for a complex array of study instruments and to facilitate tracking of family members at different time points.","author":[{"dropping-particle":"","family":"O'Mahony","given":"D","non-dropping-particle":"","parse-names":false,"suffix":""},{"dropping-particle":"","family":"Fallon","given":"U B","non-dropping-particle":"","parse-names":false,"suffix":""},{"dropping-particle":"","family":"Hannon","given":"F","non-dropping-particle":"","parse-names":false,"suffix":""},{"dropping-particle":"","family":"Kloeckner","given":"K","non-dropping-particle":"","parse-names":false,"suffix":""},{"dropping-particle":"","family":"Avalos","given":"G","non-dropping-particle":"","parse-names":false,"suffix":""},{"dropping-particle":"","family":"Murphy","given":"A W","non-dropping-particle":"","parse-names":false,"suffix":""},{"dropping-particle":"","family":"Kelleher","given":"C C","non-dropping-particle":"","parse-names":false,"suffix":""},{"dropping-particle":"","family":"Lifeways Cross Generation Cohort Study Steering Group","given":"","non-dropping-particle":"","parse-names":false,"suffix":""}],"container-title":"Irish medical journal","id":"ITEM-4","issue":"8","issued":{"date-parts":[["2007","9"]]},"page":"suppl 3-6","title":"The Lifeways Cross-Generation Study: design, recruitment and data management considerations.","type":"article-journal","volume":"100"},"uris":["http://www.mendeley.com/documents/?uuid=a3134b36-ab4b-3c4e-ae95-8c706ca887e5"]},{"id":"ITEM-5","itemData":{"DOI":"10.1093/ije/dys066","ISSN":"0300-5771","author":[{"dropping-particle":"","family":"Fraser","given":"A.","non-dropping-particle":"","parse-names":false,"suffix":""},{"dropping-particle":"","family":"Macdonald-Wallis","given":"C.","non-dropping-particle":"","parse-names":false,"suffix":""},{"dropping-particle":"","family":"Tilling","given":"K.","non-dropping-particle":"","parse-names":false,"suffix":""},{"dropping-particle":"","family":"Boyd","given":"A.","non-dropping-particle":"","parse-names":false,"suffix":""},{"dropping-particle":"","family":"Golding","given":"J.","non-dropping-particle":"","parse-names":false,"suffix":""},{"dropping-particle":"","family":"Davey Smith","given":"G.","non-dropping-particle":"","parse-names":false,"suffix":""},{"dropping-particle":"","family":"Henderson","given":"J.","non-dropping-particle":"","parse-names":false,"suffix":""},{"dropping-particle":"","family":"Macleod","given":"J.","non-dropping-particle":"","parse-names":false,"suffix":""},{"dropping-particle":"","family":"Molloy","given":"L.","non-dropping-particle":"","parse-names":false,"suffix":""},{"dropping-particle":"","family":"Ness","given":"A.","non-dropping-particle":"","parse-names":false,"suffix":""},{"dropping-particle":"","family":"Ring","given":"S.","non-dropping-particle":"","parse-names":false,"suffix":""},{"dropping-particle":"","family":"Nelson","given":"S. M.","non-dropping-particle":"","parse-names":false,"suffix":""},{"dropping-particle":"","family":"Lawlor","given":"D. A.","non-dropping-particle":"","parse-names":false,"suffix":""}],"container-title":"International Journal of Epidemiology","id":"ITEM-5","issue":"1","issued":{"date-parts":[["2013","2","1"]]},"page":"97-110","title":"Cohort Profile: The Avon Longitudinal Study of Parents and Children: ALSPAC mothers cohort","type":"article-journal","volume":"42"},"uris":["http://www.mendeley.com/documents/?uuid=2d74bcb7-b6e8-3c41-b772-208c4b465a5c"]},{"id":"ITEM-6","itemData":{"DOI":"10.1093/ije/dyi202","ISSN":"1464-3685","PMID":"16195252","author":[{"dropping-particle":"","family":"Inskip","given":"Hazel M","non-dropping-particle":"","parse-names":false,"suffix":""},{"dropping-particle":"","family":"Godfrey","given":"Keith M","non-dropping-particle":"","parse-names":false,"suffix":""},{"dropping-particle":"","family":"Robinson","given":"Siân M","non-dropping-particle":"","parse-names":false,"suffix":""},{"dropping-particle":"","family":"Law","given":"Catherine M","non-dropping-particle":"","parse-names":false,"suffix":""},{"dropping-particle":"","family":"Barker","given":"David JP P","non-dropping-particle":"","parse-names":false,"suffix":""},{"dropping-particle":"","family":"Cooper","given":"Cyrus","non-dropping-particle":"","parse-names":false,"suffix":""},{"dropping-particle":"","family":"SWS Study Group","given":"","non-dropping-particle":"","parse-names":false,"suffix":""}],"container-title":"International Journal of Epidemiology","id":"ITEM-6","issue":"1","issued":{"date-parts":[["2005","2","1"]]},"page":"42-48","publisher":"Oxford University Press (OUP)","title":"Cohort profile: The Southampton Women's Survey","type":"article-journal","volume":"35"},"uris":["http://www.mendeley.com/documents/?uuid=3923a911-9071-4386-94bb-a925237226bf"]},{"id":"ITEM-7","itemData":{"DOI":"10.1159/000356110","ISBN":"9783318025651","ISSN":"16623975","PMID":"22936795","abstract":"OBJECTIVE: To determine if a low glycaemic index diet in pregnancy could reduce the incidence of macrosomia in an at risk group.\\n\\nDESIGN: Randomised controlled trial.\\n\\nSETTING: Maternity hospital in Dublin, Ireland.\\n\\nPARTICIPANTS: 800 women without diabetes, all in their second pregnancy between January 2007 to January 2011, having previously delivered an infant weighing greater than 4 kg.\\n\\nINTERVENTION: Women were randomised to receive no dietary intervention or start on a low glycaemic index diet from early pregnancy.\\n\\nMAIN OUTCOMES: The primary outcome measure was difference in birth weight. The secondary outcome measure was difference in gestational weight gain.\\n\\nRESULTS: No significant difference was seen between the two groups in absolute birth weight, birthweight centile, or ponderal index. Significantly less gestational weight gain occurred in women in the intervention arm (12.2 v 13.7 kg; mean difference -1.3, 95% confidence interval -2.4 to -0.2; P=0.01). The rate of glucose intolerance was also lower in the intervention arm: 21% (67/320) compared with 28% (100/352) of controls had a fasting glucose of 5.1 mmol/L or greater or a 1 hour glucose challenge test result of greater than 7.8 mmol/L (P=0.02).\\n\\nCONCLUSION: A low glycaemic index diet in pregnancy did not reduce the incidence of large for gestational age infants in a group at risk of fetal macrosomia. It did, however, have a significant positive effect on gestational weight gain and maternal glucose intolerance.\\n\\nTRIAL REGISTRATION: Current Controlled Trials ISRCTN54392969.","author":[{"dropping-particle":"","family":"Walsh","given":"Jennifer M","non-dropping-particle":"","parse-names":false,"suffix":""},{"dropping-particle":"","family":"McGowan","given":"Ciara A","non-dropping-particle":"","parse-names":false,"suffix":""},{"dropping-particle":"","family":"Mahony","given":"Rhona","non-dropping-particle":"","parse-names":false,"suffix":""},{"dropping-particle":"","family":"Foley","given":"Michael E","non-dropping-particle":"","parse-names":false,"suffix":""},{"dropping-particle":"","family":"McAuliffe","given":"Fionnuala M","non-dropping-particle":"","parse-names":false,"suffix":""}],"container-title":"BMJ","id":"ITEM-7","issued":{"date-parts":[["2012","8","30"]]},"page":"e5605","title":"Low glycaemic index diet in pregnancy to prevent macrosomia (ROLO study): Randomised control trial","type":"article-journal","volume":"345"},"uris":["http://www.mendeley.com/documents/?uuid=ffbcbc44-8f51-349b-96db-8f94a7ad8e99"]},{"id":"ITEM-8","itemData":{"DOI":"10.1007/s10654-016-0224-9","ISSN":"15737284","abstract":"The Generation R Study is a population-based prospective cohort study from fetal life until adulthood. The study is designed to identify early environmental and genetic causes and causal pathways leading to normal and abnormal growth, development and health from fetal life, childhood and young adulthood. This multidisciplinary study focuses on several health outcomes including behaviour and cognition, body composition, eye development, growth, hearing, heart and vascular development, infectious disease and immunity, oral health and facial growth, respiratory health, allergy and skin disorders of children and their parents. Main exposures of interest include environmental, endocrine, genomic (genetic, epigenetic, microbiome), lifestyle related, nutritional and socio-demographic determinants. In total, 9778 mothers with a delivery date from April 2002 until January 2006 were enrolled in the study. Response at baseline was 61%, and general follow-up rates until the age of 10 years were around 80%. Data collection in children and their parents includes questionnaires, interviews, detailed physical and ultrasound examinations, behavioural observations, lung function, Magnetic Resonance Imaging and biological sampling. Genome and epigenome wide association screens are available. Eventually, results from the Generation R Study contribute to the development of strategies for optimizing health and healthcare for pregnant women and children.","author":[{"dropping-particle":"","family":"Kooijman","given":"Marjolein N.","non-dropping-particle":"","parse-names":false,"suffix":""},{"dropping-particle":"","family":"Kruithof","given":"Claudia J.","non-dropping-particle":"","parse-names":false,"suffix":""},{"dropping-particle":"","family":"Duijn","given":"Cornelia M.","non-dropping-particle":"van","parse-names":false,"suffix":""},{"dropping-particle":"","family":"Duijts","given":"Liesbeth","non-dropping-particle":"","parse-names":false,"suffix":""},{"dropping-particle":"","family":"Franco","given":"Oscar H.","non-dropping-particle":"","parse-names":false,"suffix":""},{"dropping-particle":"","family":"IJzendoorn","given":"Marinus H.","non-dropping-particle":"van","parse-names":false,"suffix":""},{"dropping-particle":"","family":"Jongste","given":"Johan C.","non-dropping-particle":"de","parse-names":false,"suffix":""},{"dropping-particle":"","family":"Klaver","given":"Caroline C.W.","non-dropping-particle":"","parse-names":false,"suffix":""},{"dropping-particle":"","family":"Lugt","given":"Aad","non-dropping-particle":"van der","parse-names":false,"suffix":""},{"dropping-particle":"","family":"Mackenbach","given":"Johan P.","non-dropping-particle":"","parse-names":false,"suffix":""},{"dropping-particle":"","family":"Moll","given":"Henriëtte A.","non-dropping-particle":"","parse-names":false,"suffix":""},{"dropping-particle":"","family":"Peeters","given":"Robin P.","non-dropping-particle":"","parse-names":false,"suffix":""},{"dropping-particle":"","family":"Raat","given":"Hein","non-dropping-particle":"","parse-names":false,"suffix":""},{"dropping-particle":"","family":"Rings","given":"Edmond H.H.M.","non-dropping-particle":"","parse-names":false,"suffix":""},{"dropping-particle":"","family":"Rivadeneira","given":"Fernando","non-dropping-particle":"","parse-names":false,"suffix":""},{"dropping-particle":"","family":"Schroeff","given":"Marc P.","non-dropping-particle":"van der","parse-names":false,"suffix":""},{"dropping-particle":"","family":"Steegers","given":"Eric A.P.","non-dropping-particle":"","parse-names":false,"suffix":""},{"dropping-particle":"","family":"Tiemeier","given":"Henning","non-dropping-particle":"","parse-names":false,"suffix":""},{"dropping-particle":"","family":"Uitterlinden","given":"André G.","non-dropping-particle":"","parse-names":false,"suffix":""},{"dropping-particle":"","family":"Verhulst","given":"Frank C.","non-dropping-particle":"","parse-names":false,"suffix":""},{"dropping-particle":"","family":"Wolvius","given":"Eppo","non-dropping-particle":"","parse-names":false,"suffix":""},{"dropping-particle":"","family":"Felix","given":"Janine F.","non-dropping-particle":"","parse-names":false,"suffix":""},{"dropping-particle":"","family":"Jaddoe","given":"Vincent W.V.","non-dropping-particle":"","parse-names":false,"suffix":""}],"container-title":"European Journal of Epidemiology","id":"ITEM-8","issue":"12","issued":{"date-parts":[["2016","12","1"]]},"page":"1243-1264","publisher":"Springer Netherlands","title":"The Generation R Study: design and cohort update 2017","type":"article-journal","volume":"31"},"uris":["http://www.mendeley.com/documents/?uuid=c1358de5-8fd8-36f5-b267-46aef70b195b"]},{"id":"ITEM-9","itemData":{"DOI":"10.1093/ije/dys064","ISSN":"03005771","PMID":"22507743","abstract":"The Avon Longitudinal Study of Parents and Children (ALSPAC) is a transgenerational prospective observational study investigating influences on health and development across the life course. It considers multiple genetic, epigenetic, biological, psychological, social and other environmental exposures in relation to a similarly diverse range of health, social and developmental outcomes. Recruitment sought to enrol pregnant women in the Bristol area of the UK during 1990-92; this was extended to include additional children eligible using the original enrolment definition up to the age of 18 years. The children from 14 541 pregnancies were recruited in 1990-92, increasing to 15 247 pregnancies by the age of 18 years. This cohort profile describes the index children of these pregnancies. Follow-up includes 59 questionnaires (4 weeks-18 years of age) and 9 clinical assessment visits (7-17 years of age). The resource comprises a wide range of phenotypic and environmental measures in addition to biological samples, genetic (DNA on 11 343 children, genome-wide data on 8365 children, complete genome sequencing on 2000 children) and epigenetic (methylation sampling on 1000 children) information and linkage to health and administrative records. Data access is described in this article and is currently set up as a supported access resource. To date, over 700 peer-reviewed articles have been published using ALSPAC data. © The Author 2012; all rights reserved.","author":[{"dropping-particle":"","family":"Boyd","given":"Andy","non-dropping-particle":"","parse-names":false,"suffix":""},{"dropping-particle":"","family":"Golding","given":"Jean","non-dropping-particle":"","parse-names":false,"suffix":""},{"dropping-particle":"","family":"Macleod","given":"John","non-dropping-particle":"","parse-names":false,"suffix":""},{"dropping-particle":"","family":"Lawlor","given":"Debbie A.","non-dropping-particle":"","parse-names":false,"suffix":""},{"dropping-particle":"","family":"Fraser","given":"Abigail","non-dropping-particle":"","parse-names":false,"suffix":""},{"dropping-particle":"","family":"Henderson","given":"John","non-dropping-particle":"","parse-names":false,"suffix":""},{"dropping-particle":"","family":"Molloy","given":"Lynn","non-dropping-particle":"","parse-names":false,"suffix":""},{"dropping-particle":"","family":"Ness","given":"Andy","non-dropping-particle":"","parse-names":false,"suffix":""},{"dropping-particle":"","family":"Ring","given":"Susan","non-dropping-particle":"","parse-names":false,"suffix":""},{"dropping-particle":"","family":"Smith","given":"George Davey","non-dropping-particle":"","parse-names":false,"suffix":""}],"container-title":"International Journal of Epidemiology","id":"ITEM-9","issue":"1","issued":{"date-parts":[["2013","2"]]},"page":"111-127","title":"Cohort profile: The 'Children of the 90s'-The index offspring of the avon longitudinal study of parents and children","type":"article-journal","volume":"42"},"uris":["http://www.mendeley.com/documents/?uuid=fb7be27d-9f4c-33e5-995d-24dcad5b756e"]}],"mendeley":{"formattedCitation":"[22–30]","plainTextFormattedCitation":"[22–30]","previouslyFormattedCitation":"[22–30]"},"properties":{"noteIndex":0},"schema":"https://github.com/citation-style-language/schema/raw/master/csl-citation.json"}</w:instrText>
      </w:r>
      <w:r w:rsidR="000A3AB6"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[22–30]</w:t>
      </w:r>
      <w:r w:rsidR="000A3AB6" w:rsidRPr="004F6EAB">
        <w:rPr>
          <w:rFonts w:ascii="Times New Roman" w:hAnsi="Times New Roman" w:cs="Times New Roman"/>
          <w:sz w:val="24"/>
          <w:szCs w:val="24"/>
        </w:rPr>
        <w:fldChar w:fldCharType="end"/>
      </w:r>
      <w:r w:rsidR="00A86CA0" w:rsidRPr="004F6EAB">
        <w:rPr>
          <w:rFonts w:ascii="Times New Roman" w:hAnsi="Times New Roman" w:cs="Times New Roman"/>
          <w:sz w:val="24"/>
          <w:szCs w:val="24"/>
        </w:rPr>
        <w:t xml:space="preserve">. </w:t>
      </w:r>
      <w:r w:rsidR="004A41A0" w:rsidRPr="004F6EAB">
        <w:rPr>
          <w:rFonts w:ascii="Times New Roman" w:hAnsi="Times New Roman" w:cs="Times New Roman"/>
          <w:sz w:val="24"/>
          <w:szCs w:val="24"/>
        </w:rPr>
        <w:t>Following the signing of consortium and data transfer agreement</w:t>
      </w:r>
      <w:r w:rsidR="000C3EC0" w:rsidRPr="004F6EAB">
        <w:rPr>
          <w:rFonts w:ascii="Times New Roman" w:hAnsi="Times New Roman" w:cs="Times New Roman"/>
          <w:sz w:val="24"/>
          <w:szCs w:val="24"/>
        </w:rPr>
        <w:t>s</w:t>
      </w:r>
      <w:r w:rsidR="004A41A0" w:rsidRPr="004F6EAB">
        <w:rPr>
          <w:rFonts w:ascii="Times New Roman" w:hAnsi="Times New Roman" w:cs="Times New Roman"/>
          <w:sz w:val="24"/>
          <w:szCs w:val="24"/>
        </w:rPr>
        <w:t>, anonymized individual participant data were transferred to University College Dublin, Ireland</w:t>
      </w:r>
      <w:r w:rsidR="00465C45" w:rsidRPr="004F6EAB">
        <w:rPr>
          <w:rFonts w:ascii="Times New Roman" w:hAnsi="Times New Roman" w:cs="Times New Roman"/>
          <w:sz w:val="24"/>
          <w:szCs w:val="24"/>
        </w:rPr>
        <w:t>,</w:t>
      </w:r>
      <w:r w:rsidR="004A41A0" w:rsidRPr="004F6EAB">
        <w:rPr>
          <w:rFonts w:ascii="Times New Roman" w:hAnsi="Times New Roman" w:cs="Times New Roman"/>
          <w:sz w:val="24"/>
          <w:szCs w:val="24"/>
        </w:rPr>
        <w:t xml:space="preserve"> for analysi</w:t>
      </w:r>
      <w:r w:rsidR="000A3AB6" w:rsidRPr="004F6EAB">
        <w:rPr>
          <w:rFonts w:ascii="Times New Roman" w:hAnsi="Times New Roman" w:cs="Times New Roman"/>
          <w:sz w:val="24"/>
          <w:szCs w:val="24"/>
        </w:rPr>
        <w:t>s</w:t>
      </w:r>
      <w:r w:rsidR="004A41A0" w:rsidRPr="004F6EAB">
        <w:rPr>
          <w:rFonts w:ascii="Times New Roman" w:hAnsi="Times New Roman" w:cs="Times New Roman"/>
          <w:sz w:val="24"/>
          <w:szCs w:val="24"/>
        </w:rPr>
        <w:t xml:space="preserve">. </w:t>
      </w:r>
      <w:r w:rsidR="00A86CA0" w:rsidRPr="004F6EAB">
        <w:rPr>
          <w:rFonts w:ascii="Times New Roman" w:hAnsi="Times New Roman" w:cs="Times New Roman"/>
          <w:sz w:val="24"/>
          <w:szCs w:val="24"/>
        </w:rPr>
        <w:t>The characteristics of each study and numbers of participants</w:t>
      </w:r>
      <w:r w:rsidR="00B116E3" w:rsidRPr="004F6EAB">
        <w:rPr>
          <w:rFonts w:ascii="Times New Roman" w:hAnsi="Times New Roman" w:cs="Times New Roman"/>
          <w:sz w:val="24"/>
          <w:szCs w:val="24"/>
        </w:rPr>
        <w:t xml:space="preserve"> </w:t>
      </w:r>
      <w:r w:rsidR="00A86CA0" w:rsidRPr="004F6EAB">
        <w:rPr>
          <w:rFonts w:ascii="Times New Roman" w:hAnsi="Times New Roman" w:cs="Times New Roman"/>
          <w:sz w:val="24"/>
          <w:szCs w:val="24"/>
        </w:rPr>
        <w:t xml:space="preserve">included for the current analysis are summarized in </w:t>
      </w:r>
      <w:r w:rsidR="00F47BEA" w:rsidRPr="004F6EAB">
        <w:rPr>
          <w:rFonts w:ascii="Times New Roman" w:hAnsi="Times New Roman" w:cs="Times New Roman"/>
          <w:b/>
          <w:bCs/>
          <w:sz w:val="24"/>
          <w:szCs w:val="24"/>
        </w:rPr>
        <w:t>S</w:t>
      </w:r>
      <w:r w:rsidR="008E250D">
        <w:rPr>
          <w:rFonts w:ascii="Times New Roman" w:hAnsi="Times New Roman" w:cs="Times New Roman"/>
          <w:b/>
          <w:bCs/>
          <w:sz w:val="24"/>
          <w:szCs w:val="24"/>
        </w:rPr>
        <w:t>1</w:t>
      </w:r>
      <w:r w:rsidR="00F47BEA" w:rsidRPr="004F6EAB">
        <w:rPr>
          <w:rFonts w:ascii="Times New Roman" w:hAnsi="Times New Roman" w:cs="Times New Roman"/>
          <w:b/>
          <w:bCs/>
          <w:sz w:val="24"/>
          <w:szCs w:val="24"/>
        </w:rPr>
        <w:t xml:space="preserve"> </w:t>
      </w:r>
      <w:r w:rsidR="00A86CA0" w:rsidRPr="004F6EAB">
        <w:rPr>
          <w:rFonts w:ascii="Times New Roman" w:hAnsi="Times New Roman" w:cs="Times New Roman"/>
          <w:b/>
          <w:bCs/>
          <w:sz w:val="24"/>
          <w:szCs w:val="24"/>
        </w:rPr>
        <w:t>Table</w:t>
      </w:r>
      <w:r w:rsidR="00AC4361" w:rsidRPr="004F6EAB">
        <w:rPr>
          <w:rFonts w:ascii="Times New Roman" w:hAnsi="Times New Roman" w:cs="Times New Roman"/>
          <w:sz w:val="24"/>
          <w:szCs w:val="24"/>
        </w:rPr>
        <w:t>.</w:t>
      </w:r>
      <w:r w:rsidR="00853A7A">
        <w:rPr>
          <w:rFonts w:ascii="Times New Roman" w:hAnsi="Times New Roman" w:cs="Times New Roman"/>
          <w:sz w:val="24"/>
          <w:szCs w:val="24"/>
        </w:rPr>
        <w:t xml:space="preserve"> We followed the planning and analysis approach laid out in our </w:t>
      </w:r>
      <w:r w:rsidR="00853A7A">
        <w:rPr>
          <w:rFonts w:ascii="Times New Roman" w:hAnsi="Times New Roman" w:cs="Times New Roman" w:hint="eastAsia"/>
          <w:sz w:val="24"/>
          <w:szCs w:val="24"/>
        </w:rPr>
        <w:t>proj</w:t>
      </w:r>
      <w:r w:rsidR="00853A7A">
        <w:rPr>
          <w:rFonts w:ascii="Times New Roman" w:hAnsi="Times New Roman" w:cs="Times New Roman"/>
          <w:sz w:val="24"/>
          <w:szCs w:val="24"/>
        </w:rPr>
        <w:t xml:space="preserve">ect protocol for funding application (see </w:t>
      </w:r>
      <w:r w:rsidR="00F47BEA">
        <w:rPr>
          <w:rFonts w:ascii="Times New Roman" w:hAnsi="Times New Roman" w:cs="Times New Roman"/>
          <w:sz w:val="24"/>
          <w:szCs w:val="24"/>
        </w:rPr>
        <w:t>S</w:t>
      </w:r>
      <w:r w:rsidR="00890949">
        <w:rPr>
          <w:rFonts w:ascii="Times New Roman" w:hAnsi="Times New Roman" w:cs="Times New Roman"/>
          <w:sz w:val="24"/>
          <w:szCs w:val="24"/>
        </w:rPr>
        <w:t>2</w:t>
      </w:r>
      <w:r w:rsidR="00F47BEA">
        <w:rPr>
          <w:rFonts w:ascii="Times New Roman" w:hAnsi="Times New Roman" w:cs="Times New Roman"/>
          <w:sz w:val="24"/>
          <w:szCs w:val="24"/>
        </w:rPr>
        <w:t xml:space="preserve"> </w:t>
      </w:r>
      <w:r w:rsidR="00853A7A">
        <w:rPr>
          <w:rFonts w:ascii="Times New Roman" w:hAnsi="Times New Roman" w:cs="Times New Roman"/>
          <w:sz w:val="24"/>
          <w:szCs w:val="24"/>
        </w:rPr>
        <w:t xml:space="preserve">Text for the extracted part for this work package; only part of the plan is relevant as our work package consists of several sub-studies). </w:t>
      </w:r>
      <w:r w:rsidR="00853A7A" w:rsidRPr="007244DF">
        <w:rPr>
          <w:rFonts w:ascii="Times New Roman" w:hAnsi="Times New Roman" w:cs="Times New Roman"/>
          <w:sz w:val="24"/>
          <w:szCs w:val="24"/>
        </w:rPr>
        <w:t xml:space="preserve">This study is reported according to the </w:t>
      </w:r>
      <w:r w:rsidR="00853A7A" w:rsidRPr="007244DF">
        <w:rPr>
          <w:rFonts w:ascii="Times New Roman" w:hAnsi="Times New Roman" w:cs="Times New Roman"/>
          <w:sz w:val="24"/>
          <w:szCs w:val="24"/>
        </w:rPr>
        <w:lastRenderedPageBreak/>
        <w:t>Preferred Reporting Items for Systematic Reviews and Meta-Analyse</w:t>
      </w:r>
      <w:r w:rsidR="00853A7A">
        <w:rPr>
          <w:rFonts w:ascii="Times New Roman" w:hAnsi="Times New Roman" w:cs="Times New Roman"/>
          <w:sz w:val="24"/>
          <w:szCs w:val="24"/>
        </w:rPr>
        <w:t>s of Individual Participants Data</w:t>
      </w:r>
      <w:r w:rsidR="00853A7A" w:rsidRPr="007244DF">
        <w:rPr>
          <w:rFonts w:ascii="Times New Roman" w:hAnsi="Times New Roman" w:cs="Times New Roman"/>
          <w:sz w:val="24"/>
          <w:szCs w:val="24"/>
        </w:rPr>
        <w:t xml:space="preserve"> (PRISMA</w:t>
      </w:r>
      <w:r w:rsidR="00853A7A">
        <w:rPr>
          <w:rFonts w:ascii="Times New Roman" w:hAnsi="Times New Roman" w:cs="Times New Roman"/>
          <w:sz w:val="24"/>
          <w:szCs w:val="24"/>
        </w:rPr>
        <w:t>-IPD</w:t>
      </w:r>
      <w:r w:rsidR="00853A7A" w:rsidRPr="007244DF">
        <w:rPr>
          <w:rFonts w:ascii="Times New Roman" w:hAnsi="Times New Roman" w:cs="Times New Roman"/>
          <w:sz w:val="24"/>
          <w:szCs w:val="24"/>
        </w:rPr>
        <w:t>) g</w:t>
      </w:r>
      <w:r w:rsidR="00853A7A">
        <w:rPr>
          <w:rFonts w:ascii="Times New Roman" w:hAnsi="Times New Roman" w:cs="Times New Roman"/>
          <w:sz w:val="24"/>
          <w:szCs w:val="24"/>
        </w:rPr>
        <w:t>uideline (</w:t>
      </w:r>
      <w:r w:rsidR="00F47BEA">
        <w:rPr>
          <w:rFonts w:ascii="Times New Roman" w:hAnsi="Times New Roman" w:cs="Times New Roman"/>
          <w:sz w:val="24"/>
          <w:szCs w:val="24"/>
        </w:rPr>
        <w:t xml:space="preserve">S1 </w:t>
      </w:r>
      <w:r w:rsidR="00853A7A">
        <w:rPr>
          <w:rFonts w:ascii="Times New Roman" w:hAnsi="Times New Roman" w:cs="Times New Roman"/>
          <w:sz w:val="24"/>
          <w:szCs w:val="24"/>
        </w:rPr>
        <w:t>PRISMA Checklist).</w:t>
      </w:r>
    </w:p>
    <w:p w14:paraId="294518B5" w14:textId="7F616B99" w:rsidR="003E0CD8" w:rsidRDefault="003E0CD8" w:rsidP="00C96450">
      <w:pPr>
        <w:spacing w:line="480" w:lineRule="auto"/>
        <w:rPr>
          <w:rFonts w:ascii="Times New Roman" w:hAnsi="Times New Roman" w:cs="Times New Roman"/>
          <w:sz w:val="24"/>
          <w:szCs w:val="24"/>
        </w:rPr>
      </w:pPr>
      <w:r w:rsidRPr="003E0CD8">
        <w:rPr>
          <w:rFonts w:ascii="Times New Roman" w:hAnsi="Times New Roman" w:cs="Times New Roman"/>
          <w:sz w:val="24"/>
          <w:szCs w:val="24"/>
        </w:rPr>
        <w:t>Ethics Statement</w:t>
      </w:r>
    </w:p>
    <w:p w14:paraId="5769D7F3" w14:textId="1F342AED" w:rsidR="003E0CD8" w:rsidRPr="004F6EAB" w:rsidRDefault="003E0CD8" w:rsidP="00C96450">
      <w:pPr>
        <w:spacing w:line="480" w:lineRule="auto"/>
        <w:rPr>
          <w:rFonts w:ascii="Times New Roman" w:hAnsi="Times New Roman" w:cs="Times New Roman"/>
          <w:sz w:val="24"/>
          <w:szCs w:val="24"/>
        </w:rPr>
      </w:pPr>
      <w:r w:rsidRPr="004F6EAB">
        <w:rPr>
          <w:rFonts w:ascii="Times New Roman" w:hAnsi="Times New Roman" w:cs="Times New Roman"/>
          <w:sz w:val="24"/>
          <w:szCs w:val="24"/>
        </w:rPr>
        <w:t>All studies have been approved by the respective local ethical review committees</w:t>
      </w:r>
      <w:r>
        <w:rPr>
          <w:rFonts w:ascii="Times New Roman" w:hAnsi="Times New Roman" w:cs="Times New Roman"/>
          <w:sz w:val="24"/>
          <w:szCs w:val="24"/>
        </w:rPr>
        <w:t xml:space="preserve"> (listed in </w:t>
      </w:r>
      <w:r w:rsidR="00F47BEA">
        <w:rPr>
          <w:rFonts w:ascii="Times New Roman" w:hAnsi="Times New Roman" w:cs="Times New Roman"/>
          <w:sz w:val="24"/>
          <w:szCs w:val="24"/>
        </w:rPr>
        <w:t>S2 Table</w:t>
      </w:r>
      <w:r>
        <w:rPr>
          <w:rFonts w:ascii="Times New Roman" w:hAnsi="Times New Roman" w:cs="Times New Roman"/>
          <w:sz w:val="24"/>
          <w:szCs w:val="24"/>
        </w:rPr>
        <w:t>)</w:t>
      </w:r>
      <w:r w:rsidRPr="004F6EAB">
        <w:rPr>
          <w:rFonts w:ascii="Times New Roman" w:hAnsi="Times New Roman" w:cs="Times New Roman"/>
          <w:sz w:val="24"/>
          <w:szCs w:val="24"/>
        </w:rPr>
        <w:t xml:space="preserve"> and written </w:t>
      </w:r>
      <w:r>
        <w:rPr>
          <w:rFonts w:ascii="Times New Roman" w:hAnsi="Times New Roman" w:cs="Times New Roman"/>
          <w:sz w:val="24"/>
          <w:szCs w:val="24"/>
        </w:rPr>
        <w:t xml:space="preserve">informed </w:t>
      </w:r>
      <w:r w:rsidRPr="004F6EAB">
        <w:rPr>
          <w:rFonts w:ascii="Times New Roman" w:hAnsi="Times New Roman" w:cs="Times New Roman"/>
          <w:sz w:val="24"/>
          <w:szCs w:val="24"/>
        </w:rPr>
        <w:t>consent was obtained from all mothers.</w:t>
      </w:r>
    </w:p>
    <w:p w14:paraId="51758627" w14:textId="4F6BD4D7" w:rsidR="00CD3D42" w:rsidRPr="004F6EAB" w:rsidRDefault="00CD3D42" w:rsidP="005E62D3">
      <w:pPr>
        <w:spacing w:line="480" w:lineRule="auto"/>
        <w:rPr>
          <w:rFonts w:ascii="Times New Roman" w:hAnsi="Times New Roman" w:cs="Times New Roman"/>
          <w:b/>
          <w:bCs/>
          <w:sz w:val="24"/>
          <w:szCs w:val="24"/>
        </w:rPr>
      </w:pPr>
      <w:r w:rsidRPr="004F6EAB">
        <w:rPr>
          <w:rFonts w:ascii="Times New Roman" w:hAnsi="Times New Roman" w:cs="Times New Roman"/>
          <w:b/>
          <w:bCs/>
          <w:sz w:val="24"/>
          <w:szCs w:val="24"/>
        </w:rPr>
        <w:t>Exposure</w:t>
      </w:r>
    </w:p>
    <w:p w14:paraId="2DB43CAC" w14:textId="552D9303" w:rsidR="00893B23" w:rsidRPr="004F6EAB" w:rsidRDefault="00893B23" w:rsidP="005E62D3">
      <w:pPr>
        <w:spacing w:line="480" w:lineRule="auto"/>
        <w:rPr>
          <w:rFonts w:ascii="Times New Roman" w:hAnsi="Times New Roman" w:cs="Times New Roman"/>
          <w:i/>
          <w:iCs/>
          <w:sz w:val="24"/>
          <w:szCs w:val="24"/>
        </w:rPr>
      </w:pPr>
      <w:r w:rsidRPr="004F6EAB">
        <w:rPr>
          <w:rFonts w:ascii="Times New Roman" w:hAnsi="Times New Roman" w:cs="Times New Roman"/>
          <w:i/>
          <w:iCs/>
          <w:sz w:val="24"/>
          <w:szCs w:val="24"/>
        </w:rPr>
        <w:t>Maternal dietary assessment</w:t>
      </w:r>
      <w:r w:rsidR="00F55545" w:rsidRPr="004F6EAB">
        <w:rPr>
          <w:rFonts w:ascii="Times New Roman" w:hAnsi="Times New Roman" w:cs="Times New Roman"/>
          <w:i/>
          <w:iCs/>
          <w:sz w:val="24"/>
          <w:szCs w:val="24"/>
        </w:rPr>
        <w:t xml:space="preserve"> </w:t>
      </w:r>
    </w:p>
    <w:p w14:paraId="2226925D" w14:textId="059C8B84" w:rsidR="003739C8" w:rsidRPr="004F6EAB" w:rsidRDefault="00331079" w:rsidP="005E62D3">
      <w:pPr>
        <w:spacing w:line="480" w:lineRule="auto"/>
        <w:rPr>
          <w:rFonts w:ascii="Times New Roman" w:hAnsi="Times New Roman" w:cs="Times New Roman"/>
          <w:sz w:val="24"/>
          <w:szCs w:val="24"/>
          <w:lang w:val="en-GB"/>
        </w:rPr>
      </w:pPr>
      <w:r w:rsidRPr="004F6EAB">
        <w:rPr>
          <w:rFonts w:ascii="Times New Roman" w:hAnsi="Times New Roman" w:cs="Times New Roman"/>
          <w:sz w:val="24"/>
          <w:szCs w:val="24"/>
          <w:lang w:val="en-GB"/>
        </w:rPr>
        <w:t>Pre-</w:t>
      </w:r>
      <w:r w:rsidR="00CC139F" w:rsidRPr="004F6EAB">
        <w:rPr>
          <w:rFonts w:ascii="Times New Roman" w:hAnsi="Times New Roman" w:cs="Times New Roman"/>
          <w:sz w:val="24"/>
          <w:szCs w:val="24"/>
          <w:lang w:val="en-GB"/>
        </w:rPr>
        <w:t xml:space="preserve">pregnancy </w:t>
      </w:r>
      <w:r w:rsidRPr="004F6EAB">
        <w:rPr>
          <w:rFonts w:ascii="Times New Roman" w:hAnsi="Times New Roman" w:cs="Times New Roman"/>
          <w:sz w:val="24"/>
          <w:szCs w:val="24"/>
          <w:lang w:val="en-GB"/>
        </w:rPr>
        <w:t xml:space="preserve">or antenatal dietary intakes of the study mothers were assessed using </w:t>
      </w:r>
      <w:r w:rsidR="009B0860" w:rsidRPr="004F6EAB">
        <w:rPr>
          <w:rFonts w:ascii="Times New Roman" w:hAnsi="Times New Roman" w:cs="Times New Roman"/>
          <w:sz w:val="24"/>
          <w:szCs w:val="24"/>
          <w:lang w:val="en-GB"/>
        </w:rPr>
        <w:t>validated (except ALSPAC) food frequency questionnaire (FFQ)</w:t>
      </w:r>
      <w:r w:rsidR="00465C45" w:rsidRPr="004F6EAB">
        <w:rPr>
          <w:rFonts w:ascii="Times New Roman" w:hAnsi="Times New Roman" w:cs="Times New Roman"/>
          <w:sz w:val="24"/>
          <w:szCs w:val="24"/>
          <w:lang w:val="en-GB"/>
        </w:rPr>
        <w:t>,</w:t>
      </w:r>
      <w:r w:rsidR="009B0860" w:rsidRPr="004F6EAB">
        <w:rPr>
          <w:rFonts w:ascii="Times New Roman" w:hAnsi="Times New Roman" w:cs="Times New Roman"/>
          <w:sz w:val="24"/>
          <w:szCs w:val="24"/>
          <w:lang w:val="en-GB"/>
        </w:rPr>
        <w:t xml:space="preserve"> which have been described in detail elsewhere </w:t>
      </w:r>
      <w:r w:rsidR="009B0860" w:rsidRPr="004F6EAB">
        <w:rPr>
          <w:rFonts w:ascii="Times New Roman" w:hAnsi="Times New Roman" w:cs="Times New Roman"/>
          <w:sz w:val="24"/>
          <w:szCs w:val="24"/>
          <w:lang w:val="en-GB"/>
        </w:rPr>
        <w:fldChar w:fldCharType="begin" w:fldLock="1"/>
      </w:r>
      <w:r w:rsidR="005C1ADD">
        <w:rPr>
          <w:rFonts w:ascii="Times New Roman" w:hAnsi="Times New Roman" w:cs="Times New Roman"/>
          <w:sz w:val="24"/>
          <w:szCs w:val="24"/>
          <w:lang w:val="en-GB"/>
        </w:rPr>
        <w:instrText>ADDIN CSL_CITATION {"citationItems":[{"id":"ITEM-1","itemData":{"DOI":"10.1038/sj.ejcn.1602914","ISSN":"0954-3007","author":[{"dropping-particle":"","family":"Deschamps","given":"V","non-dropping-particle":"","parse-names":false,"suffix":""},{"dropping-particle":"","family":"Lauzon-Guillain","given":"B","non-dropping-particle":"de","parse-names":false,"suffix":""},{"dropping-particle":"","family":"Lafay","given":"L","non-dropping-particle":"","parse-names":false,"suffix":""},{"dropping-particle":"","family":"Borys","given":"J-M","non-dropping-particle":"","parse-names":false,"suffix":""},{"dropping-particle":"","family":"Charles","given":"M A","non-dropping-particle":"","parse-names":false,"suffix":""},{"dropping-particle":"","family":"Romon","given":"M","non-dropping-particle":"","parse-names":false,"suffix":""}],"container-title":"European Journal of Clinical Nutrition","id":"ITEM-1","issue":"2","issued":{"date-parts":[["2007"]]},"page":"282-291","publisher":"Springer Nature","title":"Reproducibility and relative validity of a food-frequency questionnaire among French adults and adolescents","type":"article-journal","volume":"63"},"uris":["http://www.mendeley.com/documents/?uuid=d17713ea-5377-46ff-b999-9602c8a5f243"]},{"id":"ITEM-2","itemData":{"DOI":"10.1038/sj.ejcn.1600611","ISSN":"0954-3007","author":[{"dropping-particle":"","family":"Klipstein-Grobusch","given":"K","non-dropping-particle":"","parse-names":false,"suffix":""},{"dropping-particle":"","family":"Breeijen","given":"J H","non-dropping-particle":"den","parse-names":false,"suffix":""},{"dropping-particle":"","family":"Goldbohm","given":"R A","non-dropping-particle":"","parse-names":false,"suffix":""},{"dropping-particle":"","family":"Geleijnse","given":"J M","non-dropping-particle":"","parse-names":false,"suffix":""},{"dropping-particle":"","family":"Hofman","given":"A","non-dropping-particle":"","parse-names":false,"suffix":""},{"dropping-particle":"","family":"Grobbee","given":"D E","non-dropping-particle":"","parse-names":false,"suffix":""},{"dropping-particle":"","family":"Witteman","given":"J C M","non-dropping-particle":"","parse-names":false,"suffix":""}],"container-title":"European Journal of Clinical Nutrition","id":"ITEM-2","issue":"8","issued":{"date-parts":[["1998"]]},"page":"588-596","publisher":"Springer Nature","title":"Dietary assessment in the elderly: validation of a semiquantitative food frequency questionnaire","type":"article-journal","volume":"52"},"uris":["http://www.mendeley.com/documents/?uuid=86a4a3e4-b5b3-4203-aca9-f06567277a87"]},{"id":"ITEM-3","itemData":{"DOI":"10.1038/ejcn.2013.76","ISSN":"0954-3007","abstract":"Maternal macronutrient intake during pregnancy and 5 years postpartum and associations with child weight status aged five","author":[{"dropping-particle":"","family":"Murrin","given":"C","non-dropping-particle":"","parse-names":false,"suffix":""},{"dropping-particle":"","family":"Shrivastava","given":"A","non-dropping-particle":"","parse-names":false,"suffix":""},{"dropping-particle":"","family":"Kelleher","given":"C C","non-dropping-particle":"","parse-names":false,"suffix":""}],"container-title":"European Journal of Clinical Nutrition","id":"ITEM-3","issue":"6","issued":{"date-parts":[["2013","6","24"]]},"page":"670-679","title":"Maternal macronutrient intake during pregnancy and 5 years postpartum and associations with child weight status aged five","type":"article-journal","volume":"67"},"uris":["http://www.mendeley.com/documents/?uuid=a9ef62b2-a764-3374-bdc1-8b850076dc7b"]},{"id":"ITEM-4","itemData":{"author":[{"dropping-particle":"","family":"Harrington","given":"J","non-dropping-particle":"","parse-names":false,"suffix":""}],"id":"ITEM-4","issued":{"date-parts":[["1997"]]},"publisher":"National University of Ireland Galway, Galway","title":"Validation of a Food Frequency Questionnaire as a tool for assessing nutrient intake (MA Thesis)","type":"book"},"uris":["http://www.mendeley.com/documents/?uuid=65fd2d04-15e5-443d-b47e-6b5a7de310bb"]},{"id":"ITEM-5","itemData":{"DOI":"10.1038/ejcn.2013.212","ISSN":"0954-3007","author":[{"dropping-particle":"","family":"Horan","given":"M K","non-dropping-particle":"","parse-names":false,"suffix":""},{"dropping-particle":"","family":"McGowan","given":"C A","non-dropping-particle":"","parse-names":false,"suffix":""},{"dropping-particle":"","family":"Doyle","given":"O","non-dropping-particle":"","parse-names":false,"suffix":""},{"dropping-particle":"","family":"McAuliffe","given":"F M","non-dropping-particle":"","parse-names":false,"suffix":""}],"container-title":"European Journal of Clinical Nutrition","id":"ITEM-5","issue":"1","issued":{"date-parts":[["2013"]]},"page":"19-24","publisher":"Springer Nature","title":"Well-being in pregnancy: an examination of the effect of socioeconomic, dietary and lifestyle factors including impact of a low glycaemic index dietary intervention","type":"article-journal","volume":"68"},"uris":["http://www.mendeley.com/documents/?uuid=da2843ff-92fa-4387-a0a7-e1f5325c65c2"]},{"id":"ITEM-6","itemData":{"DOI":"10.1038/sj.ejcn.1600543","ISSN":"0954-3007","author":[{"dropping-particle":"","family":"Rogers","given":"I","non-dropping-particle":"","parse-names":false,"suffix":""},{"dropping-particle":"","family":"Emmett","given":"P","non-dropping-particle":"","parse-names":false,"suffix":""}],"container-title":"European Journal of Clinical Nutrition","id":"ITEM-6","issue":"4","issued":{"date-parts":[["1998"]]},"page":"246-250","publisher":"Springer Nature","title":"Diet during pregnancy in a population of pregnant women in South West England","type":"article-journal","volume":"52"},"uris":["http://www.mendeley.com/documents/?uuid=75f95a57-965a-4cf4-8f93-aba824c27967"]},{"id":"ITEM-7","itemData":{"DOI":"10.3390/ijerph16050754","ISSN":"16604601","abstract":"Background: Characterization of dietary patterns represents a valid and meaningful measure of overall diet quality and nutrient intake. The study aims at evaluating the sociodemographic, lifestyle, environmental, and pregnancy-related determinants of maternal dietary patterns during pregnancy. Methods: The analysis was conducted on a group of pregnant women from the Polish Mother and Child Cohort (REPRO_PL). During the second trimester of pregnancy, 1306 women filled in a modified version of the validated food frequency questionnaire (FFQ). Dietary patterns were estimated using an exploratory factor analysis. Potential dietary determinants were assessed via a questionnaire or biomarker measurements (saliva cotinine level). Results: Two dietary patterns were identified. The Prudent dietary pattern was characterized by high consumption of fruit, vegetables, legumes, whole grains, poultry, and low-fat dairy products, while the Western dietary pattern included high intake of refined grains, processed meat, potatoes, and very low intake of whole grains. Clear sociodemographic, environmental, lifestyle, and pregnancy-related determinants of diet quality were established. Older age (β = 0.2; p &lt; 0.01), higher educational level (β = 0.3; p &lt; 0.01), and socioeconomic status (SES) (β = 0.2; p &lt; 0.01), overweight/obesity before (β = 0.3; p &lt; 0.01), as well as physical activity during pregnancy (β = 0.2; p = 0.01) were positive determinants of a healthier diet (increasing Prudent–Western difference in dietary pattern scores). On the other hand, parity (β = −0.2; p = 0.04) and living in small cities (β = −0.3; p = 0.02) were significantly related to a rather Western dietary pattern. Conclusions: The current study presents evidence on specific factors influencing dietary patterns. They need to be accounted for in educational programs and interventions focused on healthy diet recommendations during pregnancy.","author":[{"dropping-particle":"","family":"Wesołowska","given":"Ewelina","non-dropping-particle":"","parse-names":false,"suffix":""},{"dropping-particle":"","family":"Jankowska","given":"Agnieszka","non-dropping-particle":"","parse-names":false,"suffix":""},{"dropping-particle":"","family":"Trafalska","given":"Elżbieta","non-dropping-particle":"","parse-names":false,"suffix":""},{"dropping-particle":"","family":"Kałużny","given":"Paweł","non-dropping-particle":"","parse-names":false,"suffix":""},{"dropping-particle":"","family":"Grzesiak","given":"Mariusz","non-dropping-particle":"","parse-names":false,"suffix":""},{"dropping-particle":"","family":"Dominowska","given":"Jolanta","non-dropping-particle":"","parse-names":false,"suffix":""},{"dropping-particle":"","family":"Hanke","given":"Wojciech","non-dropping-particle":"","parse-names":false,"suffix":""},{"dropping-particle":"","family":"Calamandrei","given":"Gemma","non-dropping-particle":"","parse-names":false,"suffix":""},{"dropping-particle":"","family":"Polańska","given":"Kinga","non-dropping-particle":"","parse-names":false,"suffix":""}],"container-title":"International Journal of Environmental Research and Public Health","id":"ITEM-7","issue":"5","issued":{"date-parts":[["2019","3","1"]]},"publisher":"MDPI AG","title":"Sociodemographic, lifestyle, environmental and pregnancy-related determinants of dietary patterns during pregnancy","type":"article-journal","volume":"16"},"uris":["http://www.mendeley.com/documents/?uuid=d6f6c879-dded-310b-b8bc-6db1bd745c64"]},{"id":"ITEM-8","itemData":{"ISSN":"09543007","abstract":"OBJECTIVE: To compare nutrient intakes assessed by food frequency questionnaire (FFQ) with those determined from food diaries.\\n\\nDESIGN: A 100-item FFQ was administered to women at 15 weeks of pregnancy. Food diaries were kept for a 4-day period at 16 weeks of pregnancy.\\n\\nSETTING: Community-based study of a general population sample of pregnant women booked for delivery at the Princess Anne Maternity Hospital, Southampton, UK.\\n\\nSUBJECTS: 603 women were recruited. Complete dietary data were provided by 569 women.\\n\\nRESULTS: Nutrient intakes determined by FFQ were greater than those from food diaries. Spearman rank correlation coefficients for macronutrients ranged from 0.27 (protein and starch) to 0.37 (fat). Stronger correlations for energy, fat and carbohydrate were seen in women who did not experience nausea, suggesting that the level of agreement observed between the FFQ and food diary in the whole group may be an underestimate of the true agreement. The percentage of individuals classified to the same quarter of the distribution of nutrient intake by the FFQ and diaries ranged from 30% (starch) to 41% (calcium), with between 4% (riboflavin) and 8% (energy, protein and vitamin E) classified to the opposite quarters. Using serum vitamin C as an independent biomarker of intake, the percentage of individuals classified to the correct quarter of intake was similar for the FFQ and diary (34% and 37%), with 8% (FFQ) and 6% (diary) misclassified to the opposite quarter.\\n\\nCONCLUSION: The FFQ appears to give meaningful estimates of nutrient intake in early pregnancy which can be used to rank individuals within the distribution.","author":[{"dropping-particle":"","family":"Robinson","given":"S.","non-dropping-particle":"","parse-names":false,"suffix":""},{"dropping-particle":"","family":"Godfrey","given":"K.","non-dropping-particle":"","parse-names":false,"suffix":""},{"dropping-particle":"","family":"Osmond","given":"C.","non-dropping-particle":"","parse-names":false,"suffix":""},{"dropping-particle":"","family":"Cox","given":"V.","non-dropping-particle":"","parse-names":false,"suffix":""},{"dropping-particle":"","family":"Barker","given":"D.","non-dropping-particle":"","parse-names":false,"suffix":""}],"container-title":"European Journal of Clinical Nutrition","id":"ITEM-8","issue":"5","issued":{"date-parts":[["1996"]]},"page":"302-308","title":"Evaluation of a food frequency questionnaire used to assess nutrient intakes in pregnant women","type":"article-journal","volume":"50"},"uris":["http://www.mendeley.com/documents/?uuid=fa743fc3-86de-45be-9139-b3325cfdb047"]}],"mendeley":{"formattedCitation":"[31–38]","plainTextFormattedCitation":"[31–38]","previouslyFormattedCitation":"[31–38]"},"properties":{"noteIndex":0},"schema":"https://github.com/citation-style-language/schema/raw/master/csl-citation.json"}</w:instrText>
      </w:r>
      <w:r w:rsidR="009B0860" w:rsidRPr="004F6EAB">
        <w:rPr>
          <w:rFonts w:ascii="Times New Roman" w:hAnsi="Times New Roman" w:cs="Times New Roman"/>
          <w:sz w:val="24"/>
          <w:szCs w:val="24"/>
          <w:lang w:val="en-GB"/>
        </w:rPr>
        <w:fldChar w:fldCharType="separate"/>
      </w:r>
      <w:r w:rsidR="00AE282C" w:rsidRPr="00AE282C">
        <w:rPr>
          <w:rFonts w:ascii="Times New Roman" w:hAnsi="Times New Roman" w:cs="Times New Roman"/>
          <w:noProof/>
          <w:sz w:val="24"/>
          <w:szCs w:val="24"/>
          <w:lang w:val="en-GB"/>
        </w:rPr>
        <w:t>[31–38]</w:t>
      </w:r>
      <w:r w:rsidR="009B0860" w:rsidRPr="004F6EAB">
        <w:rPr>
          <w:rFonts w:ascii="Times New Roman" w:hAnsi="Times New Roman" w:cs="Times New Roman"/>
          <w:sz w:val="24"/>
          <w:szCs w:val="24"/>
          <w:lang w:val="en-GB"/>
        </w:rPr>
        <w:fldChar w:fldCharType="end"/>
      </w:r>
      <w:r w:rsidR="009B0860" w:rsidRPr="004F6EAB">
        <w:rPr>
          <w:rFonts w:ascii="Times New Roman" w:hAnsi="Times New Roman" w:cs="Times New Roman"/>
          <w:sz w:val="24"/>
          <w:szCs w:val="24"/>
          <w:lang w:val="en-GB"/>
        </w:rPr>
        <w:t xml:space="preserve">. </w:t>
      </w:r>
      <w:r w:rsidR="003739C8" w:rsidRPr="004F6EAB">
        <w:rPr>
          <w:rFonts w:ascii="Times New Roman" w:hAnsi="Times New Roman" w:cs="Times New Roman"/>
          <w:sz w:val="24"/>
          <w:szCs w:val="24"/>
          <w:lang w:val="en-GB"/>
        </w:rPr>
        <w:t>Intake for a comprehensive list of site-specific foods (mean in ALPHABET: 137 food items) were declared on a frequency scale ranging from five to nine response categories. For comparability across the consortium, the reported frequency was standardized as frequency of consumption per day (e.g. ‘once a week’ was converted to daily frequency using the formula 1/7).</w:t>
      </w:r>
      <w:r w:rsidR="00381099" w:rsidRPr="004F6EAB">
        <w:rPr>
          <w:rFonts w:ascii="Times New Roman" w:hAnsi="Times New Roman" w:cs="Times New Roman"/>
          <w:sz w:val="24"/>
          <w:szCs w:val="24"/>
          <w:lang w:val="en-GB"/>
        </w:rPr>
        <w:t xml:space="preserve"> In ALPHABET, </w:t>
      </w:r>
      <w:r w:rsidR="00683633" w:rsidRPr="004F6EAB">
        <w:rPr>
          <w:rFonts w:ascii="Times New Roman" w:hAnsi="Times New Roman" w:cs="Times New Roman"/>
          <w:sz w:val="24"/>
          <w:szCs w:val="24"/>
          <w:lang w:val="en-GB"/>
        </w:rPr>
        <w:t xml:space="preserve">pre-pregnancy </w:t>
      </w:r>
      <w:r w:rsidR="00381099" w:rsidRPr="004F6EAB">
        <w:rPr>
          <w:rFonts w:ascii="Times New Roman" w:hAnsi="Times New Roman" w:cs="Times New Roman"/>
          <w:sz w:val="24"/>
          <w:szCs w:val="24"/>
          <w:lang w:val="en-GB"/>
        </w:rPr>
        <w:t xml:space="preserve">maternal diet was </w:t>
      </w:r>
      <w:r w:rsidR="00683633" w:rsidRPr="004F6EAB">
        <w:rPr>
          <w:rFonts w:ascii="Times New Roman" w:hAnsi="Times New Roman" w:cs="Times New Roman"/>
          <w:sz w:val="24"/>
          <w:szCs w:val="24"/>
          <w:lang w:val="en-GB"/>
        </w:rPr>
        <w:t xml:space="preserve">available </w:t>
      </w:r>
      <w:r w:rsidR="00381099" w:rsidRPr="004F6EAB">
        <w:rPr>
          <w:rFonts w:ascii="Times New Roman" w:hAnsi="Times New Roman" w:cs="Times New Roman"/>
          <w:sz w:val="24"/>
          <w:szCs w:val="24"/>
          <w:lang w:val="en-GB"/>
        </w:rPr>
        <w:t xml:space="preserve">in </w:t>
      </w:r>
      <w:r w:rsidR="00F500C9" w:rsidRPr="004F6EAB">
        <w:rPr>
          <w:rFonts w:ascii="Times New Roman" w:hAnsi="Times New Roman" w:cs="Times New Roman"/>
          <w:sz w:val="24"/>
          <w:szCs w:val="24"/>
          <w:lang w:val="en-GB"/>
        </w:rPr>
        <w:t xml:space="preserve">two </w:t>
      </w:r>
      <w:r w:rsidR="00381099" w:rsidRPr="004F6EAB">
        <w:rPr>
          <w:rFonts w:ascii="Times New Roman" w:hAnsi="Times New Roman" w:cs="Times New Roman"/>
          <w:sz w:val="24"/>
          <w:szCs w:val="24"/>
          <w:lang w:val="en-GB"/>
        </w:rPr>
        <w:t>studies (SWS and EDEN)</w:t>
      </w:r>
      <w:r w:rsidR="00683633" w:rsidRPr="004F6EAB">
        <w:rPr>
          <w:rFonts w:ascii="Times New Roman" w:hAnsi="Times New Roman" w:cs="Times New Roman"/>
          <w:sz w:val="24"/>
          <w:szCs w:val="24"/>
          <w:lang w:val="en-GB"/>
        </w:rPr>
        <w:t>, while</w:t>
      </w:r>
      <w:r w:rsidR="00381099" w:rsidRPr="004F6EAB">
        <w:rPr>
          <w:rFonts w:ascii="Times New Roman" w:hAnsi="Times New Roman" w:cs="Times New Roman"/>
          <w:sz w:val="24"/>
          <w:szCs w:val="24"/>
          <w:lang w:val="en-GB"/>
        </w:rPr>
        <w:t xml:space="preserve"> </w:t>
      </w:r>
      <w:r w:rsidR="00381099" w:rsidRPr="004F6EAB">
        <w:rPr>
          <w:rFonts w:ascii="Times New Roman" w:hAnsi="Times New Roman" w:cs="Times New Roman"/>
          <w:sz w:val="24"/>
          <w:szCs w:val="24"/>
        </w:rPr>
        <w:t>pregnancy</w:t>
      </w:r>
      <w:r w:rsidR="00683633" w:rsidRPr="004F6EAB">
        <w:rPr>
          <w:rFonts w:ascii="Times New Roman" w:hAnsi="Times New Roman" w:cs="Times New Roman"/>
          <w:sz w:val="24"/>
          <w:szCs w:val="24"/>
        </w:rPr>
        <w:t xml:space="preserve"> maternal diet was assessed in all studies</w:t>
      </w:r>
      <w:r w:rsidR="00381099" w:rsidRPr="004F6EAB">
        <w:rPr>
          <w:rFonts w:ascii="Times New Roman" w:hAnsi="Times New Roman" w:cs="Times New Roman"/>
          <w:sz w:val="24"/>
          <w:szCs w:val="24"/>
        </w:rPr>
        <w:t>. Pregnancy diet was further classified based on period of assessment: early pregnancy (1</w:t>
      </w:r>
      <w:r w:rsidR="00381099" w:rsidRPr="004F6EAB">
        <w:rPr>
          <w:rFonts w:ascii="Times New Roman" w:hAnsi="Times New Roman" w:cs="Times New Roman"/>
          <w:sz w:val="24"/>
          <w:szCs w:val="24"/>
          <w:vertAlign w:val="superscript"/>
        </w:rPr>
        <w:t>st</w:t>
      </w:r>
      <w:r w:rsidR="00381099" w:rsidRPr="004F6EAB">
        <w:rPr>
          <w:rFonts w:ascii="Times New Roman" w:hAnsi="Times New Roman" w:cs="Times New Roman"/>
          <w:sz w:val="24"/>
          <w:szCs w:val="24"/>
        </w:rPr>
        <w:t>/</w:t>
      </w:r>
      <w:r w:rsidR="00F500C9" w:rsidRPr="004F6EAB">
        <w:rPr>
          <w:rFonts w:ascii="Times New Roman" w:hAnsi="Times New Roman" w:cs="Times New Roman"/>
          <w:sz w:val="24"/>
          <w:szCs w:val="24"/>
        </w:rPr>
        <w:t xml:space="preserve">early </w:t>
      </w:r>
      <w:r w:rsidR="00381099" w:rsidRPr="004F6EAB">
        <w:rPr>
          <w:rFonts w:ascii="Times New Roman" w:hAnsi="Times New Roman" w:cs="Times New Roman"/>
          <w:sz w:val="24"/>
          <w:szCs w:val="24"/>
        </w:rPr>
        <w:t>2</w:t>
      </w:r>
      <w:r w:rsidR="00381099" w:rsidRPr="004F6EAB">
        <w:rPr>
          <w:rFonts w:ascii="Times New Roman" w:hAnsi="Times New Roman" w:cs="Times New Roman"/>
          <w:sz w:val="24"/>
          <w:szCs w:val="24"/>
          <w:vertAlign w:val="superscript"/>
        </w:rPr>
        <w:t xml:space="preserve">nd </w:t>
      </w:r>
      <w:r w:rsidR="00381099" w:rsidRPr="004F6EAB">
        <w:rPr>
          <w:rFonts w:ascii="Times New Roman" w:hAnsi="Times New Roman" w:cs="Times New Roman"/>
          <w:sz w:val="24"/>
          <w:szCs w:val="24"/>
        </w:rPr>
        <w:t xml:space="preserve">trimester; </w:t>
      </w:r>
      <w:r w:rsidR="00381099" w:rsidRPr="004F6EAB">
        <w:rPr>
          <w:rFonts w:ascii="Times New Roman" w:hAnsi="Times New Roman" w:cs="Times New Roman"/>
          <w:i/>
          <w:iCs/>
          <w:sz w:val="24"/>
          <w:szCs w:val="24"/>
        </w:rPr>
        <w:t>n</w:t>
      </w:r>
      <w:r w:rsidR="00381099" w:rsidRPr="004F6EAB">
        <w:rPr>
          <w:rFonts w:ascii="Times New Roman" w:hAnsi="Times New Roman" w:cs="Times New Roman"/>
          <w:sz w:val="24"/>
          <w:szCs w:val="24"/>
        </w:rPr>
        <w:t>= 5 cohorts) and late pregnancy (3</w:t>
      </w:r>
      <w:r w:rsidR="00381099" w:rsidRPr="004F6EAB">
        <w:rPr>
          <w:rFonts w:ascii="Times New Roman" w:hAnsi="Times New Roman" w:cs="Times New Roman"/>
          <w:sz w:val="24"/>
          <w:szCs w:val="24"/>
          <w:vertAlign w:val="superscript"/>
        </w:rPr>
        <w:t>rd</w:t>
      </w:r>
      <w:r w:rsidR="00381099" w:rsidRPr="004F6EAB">
        <w:rPr>
          <w:rFonts w:ascii="Times New Roman" w:hAnsi="Times New Roman" w:cs="Times New Roman"/>
          <w:sz w:val="24"/>
          <w:szCs w:val="24"/>
        </w:rPr>
        <w:t xml:space="preserve"> trimester; </w:t>
      </w:r>
      <w:r w:rsidR="00381099" w:rsidRPr="004F6EAB">
        <w:rPr>
          <w:rFonts w:ascii="Times New Roman" w:hAnsi="Times New Roman" w:cs="Times New Roman"/>
          <w:i/>
          <w:iCs/>
          <w:sz w:val="24"/>
          <w:szCs w:val="24"/>
        </w:rPr>
        <w:t>n</w:t>
      </w:r>
      <w:r w:rsidR="00381099" w:rsidRPr="004F6EAB">
        <w:rPr>
          <w:rFonts w:ascii="Times New Roman" w:hAnsi="Times New Roman" w:cs="Times New Roman"/>
          <w:sz w:val="24"/>
          <w:szCs w:val="24"/>
        </w:rPr>
        <w:t xml:space="preserve">= 3 cohorts) (maternal diet was assessed </w:t>
      </w:r>
      <w:r w:rsidR="002B226A" w:rsidRPr="004F6EAB">
        <w:rPr>
          <w:rFonts w:ascii="Times New Roman" w:hAnsi="Times New Roman" w:cs="Times New Roman"/>
          <w:sz w:val="24"/>
          <w:szCs w:val="24"/>
        </w:rPr>
        <w:t>during both</w:t>
      </w:r>
      <w:r w:rsidR="00381099" w:rsidRPr="004F6EAB">
        <w:rPr>
          <w:rFonts w:ascii="Times New Roman" w:hAnsi="Times New Roman" w:cs="Times New Roman"/>
          <w:sz w:val="24"/>
          <w:szCs w:val="24"/>
        </w:rPr>
        <w:t xml:space="preserve"> early and late pregnancy in SWS</w:t>
      </w:r>
      <w:r w:rsidR="00683633" w:rsidRPr="004F6EAB">
        <w:rPr>
          <w:rFonts w:ascii="Times New Roman" w:hAnsi="Times New Roman" w:cs="Times New Roman"/>
          <w:sz w:val="24"/>
          <w:szCs w:val="24"/>
        </w:rPr>
        <w:t>; both were included and the average was taken to reflect overall pregnancy exposure</w:t>
      </w:r>
      <w:r w:rsidR="00381099" w:rsidRPr="004F6EAB">
        <w:rPr>
          <w:rFonts w:ascii="Times New Roman" w:hAnsi="Times New Roman" w:cs="Times New Roman"/>
          <w:sz w:val="24"/>
          <w:szCs w:val="24"/>
        </w:rPr>
        <w:t>).</w:t>
      </w:r>
    </w:p>
    <w:p w14:paraId="551EA986" w14:textId="553F3682" w:rsidR="00CD3D42" w:rsidRPr="004F6EAB" w:rsidRDefault="00CD3D42" w:rsidP="005E62D3">
      <w:pPr>
        <w:spacing w:line="480" w:lineRule="auto"/>
        <w:rPr>
          <w:rFonts w:ascii="Times New Roman" w:hAnsi="Times New Roman" w:cs="Times New Roman"/>
          <w:sz w:val="24"/>
          <w:szCs w:val="24"/>
          <w:lang w:val="en-GB"/>
        </w:rPr>
      </w:pPr>
      <w:r w:rsidRPr="004F6EAB">
        <w:rPr>
          <w:rFonts w:ascii="Times New Roman" w:hAnsi="Times New Roman" w:cs="Times New Roman"/>
          <w:i/>
          <w:iCs/>
          <w:sz w:val="24"/>
          <w:szCs w:val="24"/>
        </w:rPr>
        <w:t xml:space="preserve">Derivation of maternal </w:t>
      </w:r>
      <w:r w:rsidR="00273E1F" w:rsidRPr="004F6EAB">
        <w:rPr>
          <w:rFonts w:ascii="Times New Roman" w:hAnsi="Times New Roman" w:cs="Times New Roman"/>
          <w:i/>
          <w:iCs/>
          <w:sz w:val="24"/>
          <w:szCs w:val="24"/>
        </w:rPr>
        <w:t xml:space="preserve">dietary inflammatory potential </w:t>
      </w:r>
      <w:r w:rsidR="00CC139F" w:rsidRPr="004F6EAB">
        <w:rPr>
          <w:rFonts w:ascii="Times New Roman" w:hAnsi="Times New Roman" w:cs="Times New Roman"/>
          <w:i/>
          <w:iCs/>
          <w:sz w:val="24"/>
          <w:szCs w:val="24"/>
        </w:rPr>
        <w:t>score</w:t>
      </w:r>
    </w:p>
    <w:p w14:paraId="50326A9A" w14:textId="00A8B655" w:rsidR="00A95E86" w:rsidRPr="004F6EAB" w:rsidRDefault="00273E1F" w:rsidP="005E62D3">
      <w:pPr>
        <w:spacing w:line="480" w:lineRule="auto"/>
        <w:rPr>
          <w:rFonts w:ascii="Times New Roman" w:hAnsi="Times New Roman" w:cs="Times New Roman"/>
          <w:sz w:val="24"/>
          <w:szCs w:val="24"/>
        </w:rPr>
      </w:pPr>
      <w:r w:rsidRPr="004F6EAB">
        <w:rPr>
          <w:rFonts w:ascii="Times New Roman" w:hAnsi="Times New Roman" w:cs="Times New Roman"/>
          <w:sz w:val="24"/>
          <w:szCs w:val="24"/>
        </w:rPr>
        <w:t xml:space="preserve">Maternal dietary inflammatory potential was </w:t>
      </w:r>
      <w:r w:rsidR="008063F5" w:rsidRPr="004F6EAB">
        <w:rPr>
          <w:rFonts w:ascii="Times New Roman" w:hAnsi="Times New Roman" w:cs="Times New Roman"/>
          <w:sz w:val="24"/>
          <w:szCs w:val="24"/>
        </w:rPr>
        <w:t xml:space="preserve">scored </w:t>
      </w:r>
      <w:r w:rsidRPr="004F6EAB">
        <w:rPr>
          <w:rFonts w:ascii="Times New Roman" w:hAnsi="Times New Roman" w:cs="Times New Roman"/>
          <w:sz w:val="24"/>
          <w:szCs w:val="24"/>
        </w:rPr>
        <w:t xml:space="preserve">using the </w:t>
      </w:r>
      <w:r w:rsidR="007D45FB" w:rsidRPr="004F6EAB">
        <w:rPr>
          <w:rFonts w:ascii="Times New Roman" w:hAnsi="Times New Roman" w:cs="Times New Roman"/>
          <w:sz w:val="24"/>
          <w:szCs w:val="24"/>
        </w:rPr>
        <w:t>energy-adjusted</w:t>
      </w:r>
      <w:r w:rsidR="006D3E96" w:rsidRPr="004F6EAB">
        <w:rPr>
          <w:rFonts w:ascii="Times New Roman" w:hAnsi="Times New Roman" w:cs="Times New Roman"/>
          <w:sz w:val="24"/>
          <w:szCs w:val="24"/>
        </w:rPr>
        <w:t xml:space="preserve"> (using density method)</w:t>
      </w:r>
      <w:r w:rsidR="007D45FB" w:rsidRPr="004F6EAB">
        <w:rPr>
          <w:rFonts w:ascii="Times New Roman" w:hAnsi="Times New Roman" w:cs="Times New Roman"/>
          <w:sz w:val="24"/>
          <w:szCs w:val="24"/>
        </w:rPr>
        <w:t xml:space="preserve"> </w:t>
      </w:r>
      <w:r w:rsidRPr="004F6EAB">
        <w:rPr>
          <w:rFonts w:ascii="Times New Roman" w:hAnsi="Times New Roman" w:cs="Times New Roman"/>
          <w:sz w:val="24"/>
          <w:szCs w:val="24"/>
        </w:rPr>
        <w:t>Dietary Inflammatory Index (</w:t>
      </w:r>
      <w:r w:rsidR="007D45FB" w:rsidRPr="004F6EAB">
        <w:rPr>
          <w:rFonts w:ascii="Times New Roman" w:hAnsi="Times New Roman" w:cs="Times New Roman"/>
          <w:sz w:val="24"/>
          <w:szCs w:val="24"/>
        </w:rPr>
        <w:t>E-</w:t>
      </w:r>
      <w:r w:rsidRPr="004F6EAB">
        <w:rPr>
          <w:rFonts w:ascii="Times New Roman" w:hAnsi="Times New Roman" w:cs="Times New Roman"/>
          <w:sz w:val="24"/>
          <w:szCs w:val="24"/>
        </w:rPr>
        <w:t xml:space="preserve">DII), a well-validated </w:t>
      </w:r>
      <w:r w:rsidR="00F26DDC" w:rsidRPr="004F6EAB">
        <w:rPr>
          <w:rFonts w:ascii="Times New Roman" w:hAnsi="Times New Roman" w:cs="Times New Roman"/>
          <w:sz w:val="24"/>
          <w:szCs w:val="24"/>
        </w:rPr>
        <w:t>literature-</w:t>
      </w:r>
      <w:r w:rsidR="008063F5" w:rsidRPr="004F6EAB">
        <w:rPr>
          <w:rFonts w:ascii="Times New Roman" w:hAnsi="Times New Roman" w:cs="Times New Roman"/>
          <w:sz w:val="24"/>
          <w:szCs w:val="24"/>
        </w:rPr>
        <w:t>derived</w:t>
      </w:r>
      <w:r w:rsidR="00F26DDC" w:rsidRPr="004F6EAB">
        <w:rPr>
          <w:rFonts w:ascii="Times New Roman" w:hAnsi="Times New Roman" w:cs="Times New Roman"/>
          <w:sz w:val="24"/>
          <w:szCs w:val="24"/>
        </w:rPr>
        <w:t xml:space="preserve"> score of which development has been described in detail elsewhere</w:t>
      </w:r>
      <w:r w:rsidR="007D45FB" w:rsidRPr="004F6EAB">
        <w:rPr>
          <w:rFonts w:ascii="Times New Roman" w:hAnsi="Times New Roman" w:cs="Times New Roman"/>
          <w:sz w:val="24"/>
          <w:szCs w:val="24"/>
        </w:rPr>
        <w:t xml:space="preserve"> </w:t>
      </w:r>
      <w:r w:rsidR="007D45FB"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10.1017/S1368980013002115","ISSN":"1368-9800","author":[{"dropping-particle":"","family":"Shivappa","given":"Nitin","non-dropping-particle":"","parse-names":false,"suffix":""},{"dropping-particle":"","family":"Steck","given":"Susan E","non-dropping-particle":"","parse-names":false,"suffix":""},{"dropping-particle":"","family":"Hurley","given":"Thomas G","non-dropping-particle":"","parse-names":false,"suffix":""},{"dropping-particle":"","family":"Hussey","given":"James R","non-dropping-particle":"","parse-names":false,"suffix":""},{"dropping-particle":"","family":"Hébert","given":"James R","non-dropping-particle":"","parse-names":false,"suffix":""}],"container-title":"Public Health Nutrition","id":"ITEM-1","issued":{"date-parts":[["2014","8","14"]]},"page":"1689-1696","publisher":"Cambridge University Press","title":"Designing and developing a literature-derived, population-based dietary inflammatory index","type":"article-journal","volume":"17"},"uris":["http://www.mendeley.com/documents/?uuid=5a4eb967-af30-4912-915e-eb20b4c8efd4"]}],"mendeley":{"formattedCitation":"[39]","plainTextFormattedCitation":"[39]","previouslyFormattedCitation":"[39]"},"properties":{"noteIndex":0},"schema":"https://github.com/citation-style-language/schema/raw/master/csl-citation.json"}</w:instrText>
      </w:r>
      <w:r w:rsidR="007D45FB"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[39]</w:t>
      </w:r>
      <w:r w:rsidR="007D45FB" w:rsidRPr="004F6EAB">
        <w:rPr>
          <w:rFonts w:ascii="Times New Roman" w:hAnsi="Times New Roman" w:cs="Times New Roman"/>
          <w:sz w:val="24"/>
          <w:szCs w:val="24"/>
        </w:rPr>
        <w:fldChar w:fldCharType="end"/>
      </w:r>
      <w:r w:rsidR="00F26DDC" w:rsidRPr="004F6EAB">
        <w:rPr>
          <w:rFonts w:ascii="Times New Roman" w:hAnsi="Times New Roman" w:cs="Times New Roman"/>
          <w:sz w:val="24"/>
          <w:szCs w:val="24"/>
        </w:rPr>
        <w:t xml:space="preserve">. Briefly, </w:t>
      </w:r>
      <w:r w:rsidR="007D45FB" w:rsidRPr="004F6EAB">
        <w:rPr>
          <w:rFonts w:ascii="Times New Roman" w:hAnsi="Times New Roman" w:cs="Times New Roman"/>
          <w:sz w:val="24"/>
          <w:szCs w:val="24"/>
        </w:rPr>
        <w:t xml:space="preserve">dietary information </w:t>
      </w:r>
      <w:r w:rsidR="007D45FB" w:rsidRPr="004F6EAB">
        <w:rPr>
          <w:rFonts w:ascii="Times New Roman" w:hAnsi="Times New Roman" w:cs="Times New Roman"/>
          <w:sz w:val="24"/>
          <w:szCs w:val="24"/>
        </w:rPr>
        <w:lastRenderedPageBreak/>
        <w:t>for each mother was</w:t>
      </w:r>
      <w:r w:rsidR="008063F5" w:rsidRPr="004F6EAB">
        <w:rPr>
          <w:rFonts w:ascii="Times New Roman" w:hAnsi="Times New Roman" w:cs="Times New Roman"/>
          <w:sz w:val="24"/>
          <w:szCs w:val="24"/>
        </w:rPr>
        <w:t xml:space="preserve"> converted to </w:t>
      </w:r>
      <w:r w:rsidR="009B4675" w:rsidRPr="004F6EAB">
        <w:rPr>
          <w:rFonts w:ascii="Times New Roman" w:hAnsi="Times New Roman" w:cs="Times New Roman"/>
          <w:sz w:val="24"/>
          <w:szCs w:val="24"/>
        </w:rPr>
        <w:t xml:space="preserve">amount </w:t>
      </w:r>
      <w:r w:rsidR="008063F5" w:rsidRPr="004F6EAB">
        <w:rPr>
          <w:rFonts w:ascii="Times New Roman" w:hAnsi="Times New Roman" w:cs="Times New Roman"/>
          <w:sz w:val="24"/>
          <w:szCs w:val="24"/>
        </w:rPr>
        <w:t>per 1000</w:t>
      </w:r>
      <w:r w:rsidR="002379B2" w:rsidRPr="004F6EAB">
        <w:rPr>
          <w:rFonts w:ascii="Times New Roman" w:hAnsi="Times New Roman" w:cs="Times New Roman"/>
          <w:sz w:val="24"/>
          <w:szCs w:val="24"/>
        </w:rPr>
        <w:t>-</w:t>
      </w:r>
      <w:r w:rsidR="008063F5" w:rsidRPr="004F6EAB">
        <w:rPr>
          <w:rFonts w:ascii="Times New Roman" w:hAnsi="Times New Roman" w:cs="Times New Roman"/>
          <w:sz w:val="24"/>
          <w:szCs w:val="24"/>
        </w:rPr>
        <w:t>kcal</w:t>
      </w:r>
      <w:r w:rsidR="00295BD2" w:rsidRPr="004F6EAB">
        <w:rPr>
          <w:rFonts w:ascii="Times New Roman" w:hAnsi="Times New Roman" w:cs="Times New Roman"/>
          <w:sz w:val="24"/>
          <w:szCs w:val="24"/>
        </w:rPr>
        <w:t xml:space="preserve"> </w:t>
      </w:r>
      <w:r w:rsidR="008063F5" w:rsidRPr="004F6EAB">
        <w:rPr>
          <w:rFonts w:ascii="Times New Roman" w:hAnsi="Times New Roman" w:cs="Times New Roman"/>
          <w:sz w:val="24"/>
          <w:szCs w:val="24"/>
        </w:rPr>
        <w:t>values and then</w:t>
      </w:r>
      <w:r w:rsidR="007D45FB" w:rsidRPr="004F6EAB">
        <w:rPr>
          <w:rFonts w:ascii="Times New Roman" w:hAnsi="Times New Roman" w:cs="Times New Roman"/>
          <w:sz w:val="24"/>
          <w:szCs w:val="24"/>
        </w:rPr>
        <w:t xml:space="preserve"> linked to a regionally representative database, which provides a</w:t>
      </w:r>
      <w:r w:rsidR="002379B2" w:rsidRPr="004F6EAB">
        <w:rPr>
          <w:rFonts w:ascii="Times New Roman" w:hAnsi="Times New Roman" w:cs="Times New Roman"/>
          <w:sz w:val="24"/>
          <w:szCs w:val="24"/>
        </w:rPr>
        <w:t>n overall</w:t>
      </w:r>
      <w:r w:rsidR="007D45FB" w:rsidRPr="004F6EAB">
        <w:rPr>
          <w:rFonts w:ascii="Times New Roman" w:hAnsi="Times New Roman" w:cs="Times New Roman"/>
          <w:sz w:val="24"/>
          <w:szCs w:val="24"/>
        </w:rPr>
        <w:t xml:space="preserve"> estimate of mean and standard deviation of </w:t>
      </w:r>
      <w:r w:rsidR="009B4675" w:rsidRPr="004F6EAB">
        <w:rPr>
          <w:rFonts w:ascii="Times New Roman" w:hAnsi="Times New Roman" w:cs="Times New Roman"/>
          <w:sz w:val="24"/>
          <w:szCs w:val="24"/>
        </w:rPr>
        <w:t xml:space="preserve">energy-standardized </w:t>
      </w:r>
      <w:r w:rsidR="007D45FB" w:rsidRPr="004F6EAB">
        <w:rPr>
          <w:rFonts w:ascii="Times New Roman" w:hAnsi="Times New Roman" w:cs="Times New Roman"/>
          <w:sz w:val="24"/>
          <w:szCs w:val="24"/>
        </w:rPr>
        <w:t>intakes for each of the dietary parameters (i.e. nutrients, foods, and other food components)</w:t>
      </w:r>
      <w:r w:rsidR="002379B2" w:rsidRPr="004F6EAB">
        <w:rPr>
          <w:rFonts w:ascii="Times New Roman" w:hAnsi="Times New Roman" w:cs="Times New Roman"/>
          <w:sz w:val="24"/>
          <w:szCs w:val="24"/>
        </w:rPr>
        <w:t>,</w:t>
      </w:r>
      <w:r w:rsidR="00295BD2" w:rsidRPr="004F6EAB">
        <w:rPr>
          <w:rFonts w:ascii="Times New Roman" w:hAnsi="Times New Roman" w:cs="Times New Roman"/>
          <w:sz w:val="24"/>
          <w:szCs w:val="24"/>
        </w:rPr>
        <w:t xml:space="preserve"> </w:t>
      </w:r>
      <w:r w:rsidR="008063F5" w:rsidRPr="004F6EAB">
        <w:rPr>
          <w:rFonts w:ascii="Times New Roman" w:hAnsi="Times New Roman" w:cs="Times New Roman"/>
          <w:sz w:val="24"/>
          <w:szCs w:val="24"/>
        </w:rPr>
        <w:t xml:space="preserve">which </w:t>
      </w:r>
      <w:r w:rsidR="009B4675" w:rsidRPr="004F6EAB">
        <w:rPr>
          <w:rFonts w:ascii="Times New Roman" w:hAnsi="Times New Roman" w:cs="Times New Roman"/>
          <w:sz w:val="24"/>
          <w:szCs w:val="24"/>
        </w:rPr>
        <w:t xml:space="preserve">also </w:t>
      </w:r>
      <w:r w:rsidR="008063F5" w:rsidRPr="004F6EAB">
        <w:rPr>
          <w:rFonts w:ascii="Times New Roman" w:hAnsi="Times New Roman" w:cs="Times New Roman"/>
          <w:sz w:val="24"/>
          <w:szCs w:val="24"/>
        </w:rPr>
        <w:t>were adjusted for energy using the density method</w:t>
      </w:r>
      <w:r w:rsidR="007D45FB" w:rsidRPr="004F6EAB">
        <w:rPr>
          <w:rFonts w:ascii="Times New Roman" w:hAnsi="Times New Roman" w:cs="Times New Roman"/>
          <w:sz w:val="24"/>
          <w:szCs w:val="24"/>
        </w:rPr>
        <w:t>. By subtracting the mean of the energy-adjusted regionally representative database from the participants-reported amount and dividing this value by the parameter’s representative standard deviation</w:t>
      </w:r>
      <w:r w:rsidR="006D3E96" w:rsidRPr="004F6EAB">
        <w:rPr>
          <w:rFonts w:ascii="Times New Roman" w:hAnsi="Times New Roman" w:cs="Times New Roman"/>
          <w:sz w:val="24"/>
          <w:szCs w:val="24"/>
        </w:rPr>
        <w:t xml:space="preserve">, z-scores for each dietary parameter were </w:t>
      </w:r>
      <w:r w:rsidR="00864A2A" w:rsidRPr="004F6EAB">
        <w:rPr>
          <w:rFonts w:ascii="Times New Roman" w:hAnsi="Times New Roman" w:cs="Times New Roman"/>
          <w:sz w:val="24"/>
          <w:szCs w:val="24"/>
        </w:rPr>
        <w:t>derived</w:t>
      </w:r>
      <w:r w:rsidR="007D45FB" w:rsidRPr="004F6EAB">
        <w:rPr>
          <w:rFonts w:ascii="Times New Roman" w:hAnsi="Times New Roman" w:cs="Times New Roman"/>
          <w:sz w:val="24"/>
          <w:szCs w:val="24"/>
        </w:rPr>
        <w:t xml:space="preserve">. These z-scores were converted to </w:t>
      </w:r>
      <w:r w:rsidR="00853A7A">
        <w:rPr>
          <w:rFonts w:ascii="Times New Roman" w:hAnsi="Times New Roman" w:cs="Times New Roman"/>
          <w:sz w:val="24"/>
          <w:szCs w:val="24"/>
        </w:rPr>
        <w:t xml:space="preserve">cumulative </w:t>
      </w:r>
      <w:r w:rsidR="007D45FB" w:rsidRPr="004F6EAB">
        <w:rPr>
          <w:rFonts w:ascii="Times New Roman" w:hAnsi="Times New Roman" w:cs="Times New Roman"/>
          <w:sz w:val="24"/>
          <w:szCs w:val="24"/>
        </w:rPr>
        <w:t>proportions (i.e. with values ranging from 0 to 1) and then centr</w:t>
      </w:r>
      <w:r w:rsidR="002379B2" w:rsidRPr="004F6EAB">
        <w:rPr>
          <w:rFonts w:ascii="Times New Roman" w:hAnsi="Times New Roman" w:cs="Times New Roman"/>
          <w:sz w:val="24"/>
          <w:szCs w:val="24"/>
        </w:rPr>
        <w:t>ed</w:t>
      </w:r>
      <w:r w:rsidR="007D45FB" w:rsidRPr="004F6EAB">
        <w:rPr>
          <w:rFonts w:ascii="Times New Roman" w:hAnsi="Times New Roman" w:cs="Times New Roman"/>
          <w:sz w:val="24"/>
          <w:szCs w:val="24"/>
        </w:rPr>
        <w:t xml:space="preserve"> by doubling and subtracting 1. The resulting value was then multiplied by the corresponding food parameter effect score (derived from a comprehensive literature review of 1</w:t>
      </w:r>
      <w:r w:rsidR="002379B2" w:rsidRPr="004F6EAB">
        <w:rPr>
          <w:rFonts w:ascii="Times New Roman" w:hAnsi="Times New Roman" w:cs="Times New Roman"/>
          <w:sz w:val="24"/>
          <w:szCs w:val="24"/>
        </w:rPr>
        <w:t>,</w:t>
      </w:r>
      <w:r w:rsidR="007D45FB" w:rsidRPr="004F6EAB">
        <w:rPr>
          <w:rFonts w:ascii="Times New Roman" w:hAnsi="Times New Roman" w:cs="Times New Roman"/>
          <w:sz w:val="24"/>
          <w:szCs w:val="24"/>
        </w:rPr>
        <w:t xml:space="preserve">943 peer-reviewed articles). </w:t>
      </w:r>
      <w:r w:rsidR="006D3E96" w:rsidRPr="004F6EAB">
        <w:rPr>
          <w:rFonts w:ascii="Times New Roman" w:hAnsi="Times New Roman" w:cs="Times New Roman"/>
          <w:sz w:val="24"/>
          <w:szCs w:val="24"/>
        </w:rPr>
        <w:t>These</w:t>
      </w:r>
      <w:r w:rsidR="007D45FB" w:rsidRPr="004F6EAB">
        <w:rPr>
          <w:rFonts w:ascii="Times New Roman" w:hAnsi="Times New Roman" w:cs="Times New Roman"/>
          <w:sz w:val="24"/>
          <w:szCs w:val="24"/>
        </w:rPr>
        <w:t xml:space="preserve"> food parameter-specific E-DII scores were then summed to </w:t>
      </w:r>
      <w:r w:rsidR="006D3E96" w:rsidRPr="004F6EAB">
        <w:rPr>
          <w:rFonts w:ascii="Times New Roman" w:hAnsi="Times New Roman" w:cs="Times New Roman"/>
          <w:sz w:val="24"/>
          <w:szCs w:val="24"/>
        </w:rPr>
        <w:t xml:space="preserve">yield </w:t>
      </w:r>
      <w:r w:rsidR="007D45FB" w:rsidRPr="004F6EAB">
        <w:rPr>
          <w:rFonts w:ascii="Times New Roman" w:hAnsi="Times New Roman" w:cs="Times New Roman"/>
          <w:sz w:val="24"/>
          <w:szCs w:val="24"/>
        </w:rPr>
        <w:t>the overall E-DII score</w:t>
      </w:r>
      <w:r w:rsidR="006D3E96" w:rsidRPr="004F6EAB">
        <w:rPr>
          <w:rFonts w:ascii="Times New Roman" w:hAnsi="Times New Roman" w:cs="Times New Roman"/>
          <w:sz w:val="24"/>
          <w:szCs w:val="24"/>
        </w:rPr>
        <w:t xml:space="preserve">. </w:t>
      </w:r>
      <w:r w:rsidR="007D45FB" w:rsidRPr="004F6EAB">
        <w:rPr>
          <w:rFonts w:ascii="Times New Roman" w:hAnsi="Times New Roman" w:cs="Times New Roman"/>
          <w:sz w:val="24"/>
          <w:szCs w:val="24"/>
        </w:rPr>
        <w:t>A higher E-DII score indicates a more pro-inflammatory diet.</w:t>
      </w:r>
      <w:r w:rsidR="006D3E96" w:rsidRPr="004F6EAB">
        <w:rPr>
          <w:rFonts w:ascii="Times New Roman" w:hAnsi="Times New Roman" w:cs="Times New Roman"/>
          <w:sz w:val="24"/>
          <w:szCs w:val="24"/>
        </w:rPr>
        <w:t xml:space="preserve"> </w:t>
      </w:r>
      <w:r w:rsidR="00A95E86" w:rsidRPr="004F6EAB">
        <w:rPr>
          <w:rFonts w:ascii="Times New Roman" w:hAnsi="Times New Roman" w:cs="Times New Roman"/>
          <w:sz w:val="24"/>
          <w:szCs w:val="24"/>
        </w:rPr>
        <w:t xml:space="preserve">The </w:t>
      </w:r>
      <w:r w:rsidR="006D3E96" w:rsidRPr="004F6EAB">
        <w:rPr>
          <w:rFonts w:ascii="Times New Roman" w:hAnsi="Times New Roman" w:cs="Times New Roman"/>
          <w:sz w:val="24"/>
          <w:szCs w:val="24"/>
        </w:rPr>
        <w:t>E-</w:t>
      </w:r>
      <w:r w:rsidR="00A95E86" w:rsidRPr="004F6EAB">
        <w:rPr>
          <w:rFonts w:ascii="Times New Roman" w:hAnsi="Times New Roman" w:cs="Times New Roman"/>
          <w:sz w:val="24"/>
          <w:szCs w:val="24"/>
        </w:rPr>
        <w:t xml:space="preserve">DII </w:t>
      </w:r>
      <w:r w:rsidR="006D3E96" w:rsidRPr="004F6EAB">
        <w:rPr>
          <w:rFonts w:ascii="Times New Roman" w:hAnsi="Times New Roman" w:cs="Times New Roman"/>
          <w:sz w:val="24"/>
          <w:szCs w:val="24"/>
        </w:rPr>
        <w:t xml:space="preserve">score in ALPHABET </w:t>
      </w:r>
      <w:r w:rsidR="00A95E86" w:rsidRPr="004F6EAB">
        <w:rPr>
          <w:rFonts w:ascii="Times New Roman" w:hAnsi="Times New Roman" w:cs="Times New Roman"/>
          <w:sz w:val="24"/>
          <w:szCs w:val="24"/>
        </w:rPr>
        <w:t xml:space="preserve">was generated from </w:t>
      </w:r>
      <w:r w:rsidR="005E5B5F">
        <w:rPr>
          <w:rFonts w:ascii="Times New Roman" w:hAnsi="Times New Roman" w:cs="Times New Roman"/>
          <w:sz w:val="24"/>
          <w:szCs w:val="24"/>
        </w:rPr>
        <w:t>24-28</w:t>
      </w:r>
      <w:r w:rsidR="00A95E86" w:rsidRPr="004F6EAB">
        <w:rPr>
          <w:rFonts w:ascii="Times New Roman" w:hAnsi="Times New Roman" w:cs="Times New Roman"/>
          <w:sz w:val="24"/>
          <w:szCs w:val="24"/>
        </w:rPr>
        <w:t xml:space="preserve"> </w:t>
      </w:r>
      <w:r w:rsidR="006D3E96" w:rsidRPr="004F6EAB">
        <w:rPr>
          <w:rFonts w:ascii="Times New Roman" w:hAnsi="Times New Roman" w:cs="Times New Roman"/>
          <w:sz w:val="24"/>
          <w:szCs w:val="24"/>
        </w:rPr>
        <w:t xml:space="preserve">(out of </w:t>
      </w:r>
      <w:r w:rsidR="005E5B5F">
        <w:rPr>
          <w:rFonts w:ascii="Times New Roman" w:hAnsi="Times New Roman" w:cs="Times New Roman"/>
          <w:sz w:val="24"/>
          <w:szCs w:val="24"/>
        </w:rPr>
        <w:t>44</w:t>
      </w:r>
      <w:r w:rsidR="005E5B5F" w:rsidRPr="004F6EAB">
        <w:rPr>
          <w:rFonts w:ascii="Times New Roman" w:hAnsi="Times New Roman" w:cs="Times New Roman"/>
          <w:sz w:val="24"/>
          <w:szCs w:val="24"/>
        </w:rPr>
        <w:t xml:space="preserve"> </w:t>
      </w:r>
      <w:r w:rsidR="006D3E96" w:rsidRPr="004F6EAB">
        <w:rPr>
          <w:rFonts w:ascii="Times New Roman" w:hAnsi="Times New Roman" w:cs="Times New Roman"/>
          <w:sz w:val="24"/>
          <w:szCs w:val="24"/>
        </w:rPr>
        <w:t xml:space="preserve">possible) </w:t>
      </w:r>
      <w:r w:rsidR="00A95E86" w:rsidRPr="004F6EAB">
        <w:rPr>
          <w:rFonts w:ascii="Times New Roman" w:hAnsi="Times New Roman" w:cs="Times New Roman"/>
          <w:sz w:val="24"/>
          <w:szCs w:val="24"/>
        </w:rPr>
        <w:t xml:space="preserve">dietary parameters </w:t>
      </w:r>
      <w:r w:rsidR="000E69C1" w:rsidRPr="004F6EAB">
        <w:rPr>
          <w:rFonts w:ascii="Times New Roman" w:hAnsi="Times New Roman" w:cs="Times New Roman"/>
          <w:sz w:val="24"/>
          <w:szCs w:val="24"/>
        </w:rPr>
        <w:t>in all cohorts except for Generation R,</w:t>
      </w:r>
      <w:r w:rsidR="00864A2A" w:rsidRPr="004F6EAB">
        <w:rPr>
          <w:rFonts w:ascii="Times New Roman" w:hAnsi="Times New Roman" w:cs="Times New Roman"/>
          <w:sz w:val="24"/>
          <w:szCs w:val="24"/>
        </w:rPr>
        <w:t xml:space="preserve"> </w:t>
      </w:r>
      <w:r w:rsidR="006D3E96" w:rsidRPr="004F6EAB">
        <w:rPr>
          <w:rFonts w:ascii="Times New Roman" w:hAnsi="Times New Roman" w:cs="Times New Roman"/>
          <w:sz w:val="24"/>
          <w:szCs w:val="24"/>
        </w:rPr>
        <w:t>which has</w:t>
      </w:r>
      <w:r w:rsidR="000E69C1" w:rsidRPr="004F6EAB">
        <w:rPr>
          <w:rFonts w:ascii="Times New Roman" w:hAnsi="Times New Roman" w:cs="Times New Roman"/>
          <w:sz w:val="24"/>
          <w:szCs w:val="24"/>
        </w:rPr>
        <w:t xml:space="preserve"> </w:t>
      </w:r>
      <w:r w:rsidR="00C52A96" w:rsidRPr="004F6EAB">
        <w:rPr>
          <w:rFonts w:ascii="Times New Roman" w:hAnsi="Times New Roman" w:cs="Times New Roman"/>
          <w:sz w:val="24"/>
          <w:szCs w:val="24"/>
        </w:rPr>
        <w:t>20</w:t>
      </w:r>
      <w:r w:rsidR="000E69C1" w:rsidRPr="004F6EAB">
        <w:rPr>
          <w:rFonts w:ascii="Times New Roman" w:hAnsi="Times New Roman" w:cs="Times New Roman"/>
          <w:sz w:val="24"/>
          <w:szCs w:val="24"/>
        </w:rPr>
        <w:t xml:space="preserve"> dietary parameters</w:t>
      </w:r>
      <w:r w:rsidR="00037B6E" w:rsidRPr="004F6EAB">
        <w:rPr>
          <w:rFonts w:ascii="Times New Roman" w:hAnsi="Times New Roman" w:cs="Times New Roman"/>
          <w:sz w:val="24"/>
          <w:szCs w:val="24"/>
        </w:rPr>
        <w:t xml:space="preserve"> </w:t>
      </w:r>
      <w:r w:rsidR="00037B6E" w:rsidRPr="004F6EAB">
        <w:rPr>
          <w:rFonts w:ascii="Times New Roman" w:hAnsi="Times New Roman" w:cs="Times New Roman"/>
          <w:sz w:val="24"/>
          <w:szCs w:val="24"/>
          <w:lang w:val="en-SG"/>
        </w:rPr>
        <w:t>(</w:t>
      </w:r>
      <w:r w:rsidR="00F47BEA" w:rsidRPr="004F6EAB">
        <w:rPr>
          <w:rFonts w:ascii="Times New Roman" w:hAnsi="Times New Roman" w:cs="Times New Roman"/>
          <w:sz w:val="24"/>
          <w:szCs w:val="24"/>
          <w:lang w:val="en-SG"/>
        </w:rPr>
        <w:t>S</w:t>
      </w:r>
      <w:r w:rsidR="00F47BEA">
        <w:rPr>
          <w:rFonts w:ascii="Times New Roman" w:hAnsi="Times New Roman" w:cs="Times New Roman"/>
          <w:sz w:val="24"/>
          <w:szCs w:val="24"/>
          <w:lang w:val="en-SG"/>
        </w:rPr>
        <w:t>3</w:t>
      </w:r>
      <w:r w:rsidR="00F47BEA" w:rsidRPr="004F6EAB">
        <w:rPr>
          <w:rFonts w:ascii="Times New Roman" w:hAnsi="Times New Roman" w:cs="Times New Roman"/>
          <w:sz w:val="24"/>
          <w:szCs w:val="24"/>
          <w:lang w:val="en-SG"/>
        </w:rPr>
        <w:t xml:space="preserve"> </w:t>
      </w:r>
      <w:proofErr w:type="gramStart"/>
      <w:r w:rsidR="00037B6E" w:rsidRPr="004F6EAB">
        <w:rPr>
          <w:rFonts w:ascii="Times New Roman" w:hAnsi="Times New Roman" w:cs="Times New Roman"/>
          <w:sz w:val="24"/>
          <w:szCs w:val="24"/>
          <w:lang w:val="en-SG"/>
        </w:rPr>
        <w:t>Table )</w:t>
      </w:r>
      <w:proofErr w:type="gramEnd"/>
      <w:r w:rsidR="000E69C1" w:rsidRPr="004F6EAB">
        <w:rPr>
          <w:rFonts w:ascii="Times New Roman" w:hAnsi="Times New Roman" w:cs="Times New Roman"/>
          <w:sz w:val="24"/>
          <w:szCs w:val="24"/>
        </w:rPr>
        <w:t xml:space="preserve">. </w:t>
      </w:r>
    </w:p>
    <w:p w14:paraId="56CC9051" w14:textId="46F0A361" w:rsidR="00CD3D42" w:rsidRPr="004F6EAB" w:rsidRDefault="00CD3D42" w:rsidP="005E62D3">
      <w:pPr>
        <w:spacing w:line="480" w:lineRule="auto"/>
        <w:rPr>
          <w:rFonts w:ascii="Times New Roman" w:hAnsi="Times New Roman" w:cs="Times New Roman"/>
          <w:i/>
          <w:iCs/>
          <w:sz w:val="24"/>
          <w:szCs w:val="24"/>
        </w:rPr>
      </w:pPr>
      <w:r w:rsidRPr="004F6EAB">
        <w:rPr>
          <w:rFonts w:ascii="Times New Roman" w:hAnsi="Times New Roman" w:cs="Times New Roman"/>
          <w:i/>
          <w:iCs/>
          <w:sz w:val="24"/>
          <w:szCs w:val="24"/>
        </w:rPr>
        <w:t xml:space="preserve">Derivation of maternal </w:t>
      </w:r>
      <w:r w:rsidR="00273E1F" w:rsidRPr="004F6EAB">
        <w:rPr>
          <w:rFonts w:ascii="Times New Roman" w:hAnsi="Times New Roman" w:cs="Times New Roman"/>
          <w:i/>
          <w:iCs/>
          <w:sz w:val="24"/>
          <w:szCs w:val="24"/>
        </w:rPr>
        <w:t xml:space="preserve">dietary quality </w:t>
      </w:r>
      <w:r w:rsidRPr="004F6EAB">
        <w:rPr>
          <w:rFonts w:ascii="Times New Roman" w:hAnsi="Times New Roman" w:cs="Times New Roman"/>
          <w:i/>
          <w:iCs/>
          <w:sz w:val="24"/>
          <w:szCs w:val="24"/>
        </w:rPr>
        <w:t>score</w:t>
      </w:r>
    </w:p>
    <w:p w14:paraId="715AA6A1" w14:textId="3F64C72B" w:rsidR="00CD3D42" w:rsidRPr="004F6EAB" w:rsidRDefault="00273E1F" w:rsidP="005E62D3">
      <w:pPr>
        <w:spacing w:line="480" w:lineRule="auto"/>
        <w:rPr>
          <w:rFonts w:ascii="Times New Roman" w:hAnsi="Times New Roman" w:cs="Times New Roman"/>
          <w:sz w:val="24"/>
          <w:szCs w:val="24"/>
        </w:rPr>
      </w:pPr>
      <w:r w:rsidRPr="004F6EAB">
        <w:rPr>
          <w:rFonts w:ascii="Times New Roman" w:hAnsi="Times New Roman" w:cs="Times New Roman"/>
          <w:sz w:val="24"/>
          <w:szCs w:val="24"/>
        </w:rPr>
        <w:t>Dietary quality was assessed by degree of adherence to the Dietary Approach</w:t>
      </w:r>
      <w:r w:rsidR="008D45D2" w:rsidRPr="004F6EAB">
        <w:rPr>
          <w:rFonts w:ascii="Times New Roman" w:hAnsi="Times New Roman" w:cs="Times New Roman"/>
          <w:sz w:val="24"/>
          <w:szCs w:val="24"/>
        </w:rPr>
        <w:t>es</w:t>
      </w:r>
      <w:r w:rsidRPr="004F6EAB">
        <w:rPr>
          <w:rFonts w:ascii="Times New Roman" w:hAnsi="Times New Roman" w:cs="Times New Roman"/>
          <w:sz w:val="24"/>
          <w:szCs w:val="24"/>
        </w:rPr>
        <w:t xml:space="preserve"> to Stop Hypertension (DASH) diet</w:t>
      </w:r>
      <w:r w:rsidR="00FF6852" w:rsidRPr="004F6EAB">
        <w:rPr>
          <w:rFonts w:ascii="Times New Roman" w:hAnsi="Times New Roman" w:cs="Times New Roman"/>
          <w:sz w:val="24"/>
          <w:szCs w:val="24"/>
        </w:rPr>
        <w:t>.</w:t>
      </w:r>
      <w:r w:rsidR="00FC202C" w:rsidRPr="004F6EAB">
        <w:rPr>
          <w:rFonts w:ascii="Times New Roman" w:hAnsi="Times New Roman" w:cs="Times New Roman"/>
          <w:sz w:val="24"/>
          <w:szCs w:val="24"/>
        </w:rPr>
        <w:t xml:space="preserve"> </w:t>
      </w:r>
      <w:r w:rsidR="003A41F6" w:rsidRPr="004F6EAB">
        <w:rPr>
          <w:rFonts w:ascii="Times New Roman" w:hAnsi="Times New Roman" w:cs="Times New Roman"/>
          <w:sz w:val="24"/>
          <w:szCs w:val="24"/>
        </w:rPr>
        <w:t xml:space="preserve">The harmonization </w:t>
      </w:r>
      <w:r w:rsidR="00186EBD" w:rsidRPr="004F6EAB">
        <w:rPr>
          <w:rFonts w:ascii="Times New Roman" w:hAnsi="Times New Roman" w:cs="Times New Roman"/>
          <w:sz w:val="24"/>
          <w:szCs w:val="24"/>
        </w:rPr>
        <w:t xml:space="preserve">and moderation </w:t>
      </w:r>
      <w:r w:rsidR="003A41F6" w:rsidRPr="004F6EAB">
        <w:rPr>
          <w:rFonts w:ascii="Times New Roman" w:hAnsi="Times New Roman" w:cs="Times New Roman"/>
          <w:sz w:val="24"/>
          <w:szCs w:val="24"/>
        </w:rPr>
        <w:t>process for DASH score generation within the ALPHABET consortium has been described elsewhere</w:t>
      </w:r>
      <w:r w:rsidR="007D4AE6" w:rsidRPr="004F6EAB">
        <w:rPr>
          <w:rFonts w:ascii="Times New Roman" w:hAnsi="Times New Roman" w:cs="Times New Roman"/>
          <w:sz w:val="24"/>
          <w:szCs w:val="24"/>
        </w:rPr>
        <w:t xml:space="preserve"> </w:t>
      </w:r>
      <w:r w:rsidR="00311F4B"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{"citationItems":[{"id":"ITEM-1","itemData":{"DOI":"10.3390/nu11112706","ISSN":"2072-6643","abstract":"&lt;p&gt;The ALPHABET consortium aims to examine the interplays between maternal diet quality, epigenetics and offspring health in seven pregnancy/birth cohorts from five European countries. We aimed to use the Dietary Approaches to Stop Hypertension (DASH) score to assess diet quality, but different versions have been published. To derive a single DASH score allowing cross-country, cross-co</w:instrText>
      </w:r>
      <w:r w:rsidR="005C1ADD">
        <w:rPr>
          <w:rFonts w:ascii="Times New Roman" w:hAnsi="Times New Roman" w:cs="Times New Roman" w:hint="eastAsia"/>
          <w:sz w:val="24"/>
          <w:szCs w:val="24"/>
        </w:rPr>
        <w:instrText xml:space="preserve">hort and cross-period comparison and limiting data heterogeneity within the ALPHABET consortium, we harmonised food frequency questionnaire (FFQ) data collected before and during pregnancy in </w:instrText>
      </w:r>
      <w:r w:rsidR="005C1ADD">
        <w:rPr>
          <w:rFonts w:ascii="Times New Roman" w:hAnsi="Times New Roman" w:cs="Times New Roman" w:hint="eastAsia"/>
          <w:sz w:val="24"/>
          <w:szCs w:val="24"/>
        </w:rPr>
        <w:instrText>≥</w:instrText>
      </w:r>
      <w:r w:rsidR="005C1ADD">
        <w:rPr>
          <w:rFonts w:ascii="Times New Roman" w:hAnsi="Times New Roman" w:cs="Times New Roman" w:hint="eastAsia"/>
          <w:sz w:val="24"/>
          <w:szCs w:val="24"/>
        </w:rPr>
        <w:instrText>26,500 women. Although FFQs differed strongly in length and co</w:instrText>
      </w:r>
      <w:r w:rsidR="005C1ADD">
        <w:rPr>
          <w:rFonts w:ascii="Times New Roman" w:hAnsi="Times New Roman" w:cs="Times New Roman"/>
          <w:sz w:val="24"/>
          <w:szCs w:val="24"/>
        </w:rPr>
        <w:instrText>ntent, we derived a consortium DASH score composed of eight food components by combining the prescriptive original DASH and the DASH described by Fung et al. Statistical issues tied to the nature of the FFQs led us to re-classify two food groups (grains and dairy products). Most DASH food components exhibited pronounced between-cohort variability, including non-full-fat dairy products (median intake ranging from 0.1 to 2.2 servings/day), sugar-sweetened beverages/sweets/added sugars (0.3–1.7 servings/day), fruits (1.1–3.1 servings/day), and vegetables (1.5–3.6 servings/day). We successfully developed a harmonized DASH score adapted to all cohorts being part of the ALPHABET consortium. This methodological work may benefit other research teams in adapting the DASH to their study’s specificities.&lt;/p&gt;","author":[{"dropping-particle":"","family":"Aubert","given":"Adrien M.","non-dropping-particle":"","parse-names":false,"suffix":""},{"dropping-particle":"","family":"Forhan","given":"Anne","non-dropping-particle":"","parse-names":false,"suffix":""},{"dropping-particle":"","family":"Lauzon-Guillain","given":"Blandine","non-dropping-particle":"de","parse-names":false,"suffix":""},{"dropping-particle":"","family":"Chen","given":"Ling-Wei","non-dropping-particle":"","parse-names":false,"suffix":""},{"dropping-particle":"","family":"Polanska","given":"Kinga","non-dropping-particle":"","parse-names":false,"suffix":""},{"dropping-particle":"","family":"Hanke","given":"Wojciech","non-dropping-particle":"","parse-names":false,"suffix":""},{"dropping-particle":"","family":"Jankowska","given":"Agnieszka","non-dropping-particle":"","parse-names":false,"suffix":""},{"dropping-particle":"","family":"Mensink-Bout","given":"Sara M.","non-dropping-particle":"","parse-names":false,"suffix":""},{"dropping-particle":"","family":"Duijts","given":"Liesbeth","non-dropping-particle":"","parse-names":false,"suffix":""},{"dropping-particle":"","family":"Suderman","given":"Matthew","non-dropping-particle":"","parse-names":false,"suffix":""},{"dropping-particle":"","family":"Relton","given":"Caroline L.","non-dropping-particle":"","parse-names":false,"suffix":""},{"dropping-particle":"","family":"Crozier","given":"Sarah R.","non-dropping-particle":"","parse-names":false,"suffix":""},{"dropping-particle":"","family":"Harvey","given":"Nicholas C.","non-dropping-particle":"","parse-names":false,"suffix":""},{"dropping-particle":"","family":"Cooper","given":"Cyrus","non-dropping-particle":"","parse-names":false,"suffix":""},{"dropping-particle":"","family":"McAuliffe","given":"Fionnuala M.","non-dropping-particle":"","parse-names":false,"suffix":""},{"dropping-particle":"","family":"Kelleher","given":"Cecily C.","non-dropping-particle":"","parse-names":false,"suffix":""},{"dropping-particle":"","family":"Phillips","given":"Catherine M.","non-dropping-particle":"","parse-names":false,"suffix":""},{"dropping-particle":"","family":"Heude","given":"Barbara","non-dropping-particle":"","parse-names":false,"suffix":""},{"dropping-particle":"","family":"Bernard","given":"Jonathan Y.","non-dropping-particle":"","parse-names":false,"suffix":""}],"container-title":"Nutrients","id":"ITEM-1","issue":"11","issued":{"date-parts":[["2019","11","8"]]},"page":"2706","title":"Deriving the Dietary Approaches to Stop Hypertension (DASH) Score in Women from Seven Pregnancy Cohorts from the European ALPHABET Consortium","type":"article-journal","volume":"11"},"uris":["http://www.mendeley.com/documents/?uuid=84f34415-05c8-3d40-95e3-2ed6a33ee226"]}],"mendeley":{"formattedCitation":"[40]","plainTextFormattedCitation":"[40]","previouslyFormattedCitation":"[40]"},"properties":{"noteIndex":0},"schema":"https://github.com/citation-style-language/schema/raw/master/csl-citation.json"}</w:instrText>
      </w:r>
      <w:r w:rsidR="00311F4B"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[40]</w:t>
      </w:r>
      <w:r w:rsidR="00311F4B" w:rsidRPr="004F6EAB">
        <w:rPr>
          <w:rFonts w:ascii="Times New Roman" w:hAnsi="Times New Roman" w:cs="Times New Roman"/>
          <w:sz w:val="24"/>
          <w:szCs w:val="24"/>
        </w:rPr>
        <w:fldChar w:fldCharType="end"/>
      </w:r>
      <w:r w:rsidR="00311F4B" w:rsidRPr="004F6EAB">
        <w:rPr>
          <w:rFonts w:ascii="Times New Roman" w:hAnsi="Times New Roman" w:cs="Times New Roman"/>
          <w:sz w:val="24"/>
          <w:szCs w:val="24"/>
        </w:rPr>
        <w:t xml:space="preserve">. </w:t>
      </w:r>
      <w:r w:rsidR="00A47A6E" w:rsidRPr="004F6EAB">
        <w:rPr>
          <w:rFonts w:ascii="Times New Roman" w:hAnsi="Times New Roman" w:cs="Times New Roman"/>
          <w:sz w:val="24"/>
          <w:szCs w:val="24"/>
          <w:lang w:val="en-SG"/>
        </w:rPr>
        <w:t>In ALPHABET, we used 48.1% to 79.1% of the total FFQ food items (excluding alcohol) for creating the DASH score (ALPHABET’s mean = 57.8%). Most food components comprised a significant number of food items: at least five food items (</w:t>
      </w:r>
      <w:r w:rsidR="00F47BEA" w:rsidRPr="004F6EAB">
        <w:rPr>
          <w:rFonts w:ascii="Times New Roman" w:hAnsi="Times New Roman" w:cs="Times New Roman"/>
          <w:sz w:val="24"/>
          <w:szCs w:val="24"/>
          <w:lang w:val="en-SG"/>
        </w:rPr>
        <w:t>S</w:t>
      </w:r>
      <w:r w:rsidR="00F47BEA">
        <w:rPr>
          <w:rFonts w:ascii="Times New Roman" w:hAnsi="Times New Roman" w:cs="Times New Roman"/>
          <w:sz w:val="24"/>
          <w:szCs w:val="24"/>
          <w:lang w:val="en-SG"/>
        </w:rPr>
        <w:t>3</w:t>
      </w:r>
      <w:r w:rsidR="00F47BEA" w:rsidRPr="004F6EAB">
        <w:rPr>
          <w:rFonts w:ascii="Times New Roman" w:hAnsi="Times New Roman" w:cs="Times New Roman"/>
          <w:sz w:val="24"/>
          <w:szCs w:val="24"/>
          <w:lang w:val="en-SG"/>
        </w:rPr>
        <w:t xml:space="preserve"> </w:t>
      </w:r>
      <w:r w:rsidR="005C6E0D">
        <w:rPr>
          <w:rFonts w:ascii="Times New Roman" w:hAnsi="Times New Roman" w:cs="Times New Roman"/>
          <w:sz w:val="24"/>
          <w:szCs w:val="24"/>
          <w:lang w:val="en-SG"/>
        </w:rPr>
        <w:t>Table</w:t>
      </w:r>
      <w:r w:rsidR="00A47A6E" w:rsidRPr="004F6EAB">
        <w:rPr>
          <w:rFonts w:ascii="Times New Roman" w:hAnsi="Times New Roman" w:cs="Times New Roman"/>
          <w:sz w:val="24"/>
          <w:szCs w:val="24"/>
          <w:lang w:val="en-SG"/>
        </w:rPr>
        <w:t xml:space="preserve">). </w:t>
      </w:r>
      <w:r w:rsidR="00FC202C" w:rsidRPr="004F6EAB">
        <w:rPr>
          <w:rFonts w:ascii="Times New Roman" w:hAnsi="Times New Roman" w:cs="Times New Roman"/>
          <w:sz w:val="24"/>
          <w:szCs w:val="24"/>
        </w:rPr>
        <w:t>T</w:t>
      </w:r>
      <w:r w:rsidRPr="004F6EAB">
        <w:rPr>
          <w:rFonts w:ascii="Times New Roman" w:hAnsi="Times New Roman" w:cs="Times New Roman"/>
          <w:sz w:val="24"/>
          <w:szCs w:val="24"/>
        </w:rPr>
        <w:t>he DASH score in ALPHABET w</w:t>
      </w:r>
      <w:r w:rsidR="00864A2A" w:rsidRPr="004F6EAB">
        <w:rPr>
          <w:rFonts w:ascii="Times New Roman" w:hAnsi="Times New Roman" w:cs="Times New Roman"/>
          <w:sz w:val="24"/>
          <w:szCs w:val="24"/>
        </w:rPr>
        <w:t>as</w:t>
      </w:r>
      <w:r w:rsidRPr="004F6EAB">
        <w:rPr>
          <w:rFonts w:ascii="Times New Roman" w:hAnsi="Times New Roman" w:cs="Times New Roman"/>
          <w:sz w:val="24"/>
          <w:szCs w:val="24"/>
        </w:rPr>
        <w:t xml:space="preserve"> generated based mainly on the index proposed by Fung </w:t>
      </w:r>
      <w:r w:rsidRPr="004F6EAB">
        <w:rPr>
          <w:rFonts w:ascii="Times New Roman" w:hAnsi="Times New Roman" w:cs="Times New Roman"/>
          <w:i/>
          <w:iCs/>
          <w:sz w:val="24"/>
          <w:szCs w:val="24"/>
        </w:rPr>
        <w:t xml:space="preserve">et al. </w:t>
      </w:r>
      <w:r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{"citationItems":[{"id":"ITEM-1","itemData":{"DOI":"10.1001/archinte.168.7.713","ISSN":"0003-9926","PMID":"18413553","abstract":"BACKGROUND The Dietary Approaches to Stop Hypertension (DASH) diet has been shown to lower blood pressure, but little is known about its long-term effect on cardiovascular end points. Our objective was to assess the association between a DASH-style diet adherence score and risk of coronary heart disease (CHD) and stroke in women. METHODS In this prospective cohort study, diet was assessed 7 times during 24 years of follow-up (1980-2004) with validated food frequency questionnaires. A DASH score based on 8 food and nutrient components (fruits, vegetables, whole grains, nuts and legumes, low-fat dairy, red and processed meats, sweetened beverages, and sodium) was calculated. Lifestyle and medical information was collected biennially with a questionnaire. The Cox proportional hazard model was used to adjust for potential confounders. The study population comprised 88,517 female nurses aged 34 to 59 years without a history of cardiovascular disease or diabetes in 1980. The main outcome measures were the numbers of confirmed incident cases of nonfatal myocardial infarction, CHD death, and stroke. RESULTS We documented 2129 cases of incident nonfatal myocardial infarction, 976 CHD deaths, and 2317 [corrected] cases of stroke. After adjustment for age, smoking, and other cardiovascular risk factors, the relative risks of CHD across quintiles of the DASH score were 1.0, 0.99, 0.86, 0.87, and 0.76 (95% confidence interval, 0.67-0.85) (P&lt;.001 for trend). The magnitude of risk difference was similar for nonfatal myocardial infarction and fatal CHD. The DASH score was also significantly associated with lower risk of stroke (multivariate relative risks across quintiles of the DASH score were 1.0, 0.92, 0.91, 0.89, and 0.82) (P=.002 for trend). Cross-sectional analysis in a subgroup of women with blood samples showed that the DASH score was significantly associated with lower plasma levels of C-reactive protein (P=.008 for trend) and interleukin 6 (P=.04 for trend). CONCLUSION Adherence to the DASH-style diet is associated with a lower risk of CHD and stroke among middle-aged women during 24 years of follow-up.","author":[{"dropping-particle":"","family":"Fung","given":"Teresa T.","non-dropping-particle":"","parse-names":false,"suffix":""},{"dropping-particle":"","family":"Chiuve","given":"Stephanie E","non-dropping-particle":"","parse-names":false,"suffix":""},{"dropping-particle":"","family":"McCullough","given":"Marjorie L","non-dropping-particle":"","parse-names":false,"suffix":""},{"dropping-particle":"","family":"Rexrode","given":"Kathryn M","non-dropping-particle":"","parse-names":false,"suffix":""},{"dropping-particle":"","family":"Logroscino","given":"Giancarlo","non-dropping-particle":"","parse-names":false,"suffix":""},{"dropping-particle":"","family":"Hu","given":"Frank B","non-dropping-particle":"","parse-names":false,"suffix":""}],"container-title":"Archives of Internal Medicine","id":"ITEM-1","issue":"7","issued":{"date-parts":[["2008","4","14"]]},"page":"713","title":"Adherence to a DASH-Style Diet and Risk of Coronary Heart Disease and Stroke in Women","type":"article-journal","volume":"168"},"uris":["http://www.mendeley.com/documents/?uuid=4b4244b3-2985-3ea0-b029-1a9092e91008"]}],"mendeley":{"formattedCitation":"[41]","plainTextFormattedCitation":"[41]","previouslyFormattedCitation":"[41]"},"properties":{"noteIndex":0},"schema":"https://github.com/citation-style-language/schema/raw/master/csl-citation.json"}</w:instrText>
      </w:r>
      <w:r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[41]</w:t>
      </w:r>
      <w:r w:rsidRPr="004F6EAB">
        <w:rPr>
          <w:rFonts w:ascii="Times New Roman" w:hAnsi="Times New Roman" w:cs="Times New Roman"/>
          <w:sz w:val="24"/>
          <w:szCs w:val="24"/>
        </w:rPr>
        <w:fldChar w:fldCharType="end"/>
      </w:r>
      <w:r w:rsidRPr="004F6EAB">
        <w:rPr>
          <w:rFonts w:ascii="Times New Roman" w:hAnsi="Times New Roman" w:cs="Times New Roman"/>
          <w:sz w:val="24"/>
          <w:szCs w:val="24"/>
        </w:rPr>
        <w:t xml:space="preserve">, which </w:t>
      </w:r>
      <w:r w:rsidR="00FF2911" w:rsidRPr="004F6EAB">
        <w:rPr>
          <w:rFonts w:ascii="Times New Roman" w:hAnsi="Times New Roman" w:cs="Times New Roman"/>
          <w:sz w:val="24"/>
          <w:szCs w:val="24"/>
        </w:rPr>
        <w:t>ranks an individual’s diet based on population quintile ranking. Compared with other methods based on whether one meets recommended servings of foods</w:t>
      </w:r>
      <w:r w:rsidR="00FC202C" w:rsidRPr="004F6EAB">
        <w:rPr>
          <w:rFonts w:ascii="Times New Roman" w:hAnsi="Times New Roman" w:cs="Times New Roman"/>
          <w:sz w:val="24"/>
          <w:szCs w:val="24"/>
        </w:rPr>
        <w:t xml:space="preserve"> </w:t>
      </w:r>
      <w:r w:rsidR="00FC202C"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{"citationItems":[{"id":"ITEM-1","itemData":{"DOI":"10.3945/ajcn.113.063602","ISSN":"0002-9165","author":[{"dropping-particle":"","family":"Miller","given":"Paige E","non-dropping-particle":"","parse-names":false,"suffix":""},{"dropping-particle":"","family":"Cross","given":"Amanda J","non-dropping-particle":"","parse-names":false,"suffix":""},{"dropping-particle":"","family":"Subar","given":"Amy F","non-dropping-particle":"","parse-names":false,"suffix":""},{"dropping-particle":"","family":"Krebs-Smith","given":"Susan M","non-dropping-particle":"","parse-names":false,"suffix":""},{"dropping-particle":"","family":"Park","given":"Yikyung","non-dropping-particle":"","parse-names":false,"suffix":""},{"dropping-particle":"","family":"Powell-Wiley","given":"Tiffany","non-dropping-particle":"","parse-names":false,"suffix":""},{"dropping-particle":"","family":"Hollenbeck","given":"Albert","non-dropping-particle":"","parse-names":false,"suffix":""},{"dropping-particle":"","family":"Reedy","given":"Jill","non-dropping-particle":"","parse-names":false,"suffix":""}],"container-title":"The American Journal of Clinical Nutrition","id":"ITEM-1","issue":"3","issued":{"date-parts":[["2013"]]},"page":"794-803","publisher":"Oxford University Press (OUP)","title":"Comparison of 4 established DASH diet indexes: examining associations of index scores and colorectal cancer","type":"article-journal","volume":"98"},"uris":["http://www.mendeley.com/documents/?uuid=1161c06b-bf82-4d69-ae9e-c9f892983f30"]}],"mendeley":{"formattedCitation":"[42]","plainTextFormattedCitation":"[42]","previouslyFormattedCitation":"[42]"},"properties":{"noteIndex":0},"schema":"https://github.com/citation-style-language/schema/raw/master/csl-citation.json"}</w:instrText>
      </w:r>
      <w:r w:rsidR="00FC202C"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[42]</w:t>
      </w:r>
      <w:r w:rsidR="00FC202C" w:rsidRPr="004F6EAB">
        <w:rPr>
          <w:rFonts w:ascii="Times New Roman" w:hAnsi="Times New Roman" w:cs="Times New Roman"/>
          <w:sz w:val="24"/>
          <w:szCs w:val="24"/>
        </w:rPr>
        <w:fldChar w:fldCharType="end"/>
      </w:r>
      <w:r w:rsidR="00FF2911" w:rsidRPr="004F6EAB">
        <w:rPr>
          <w:rFonts w:ascii="Times New Roman" w:hAnsi="Times New Roman" w:cs="Times New Roman"/>
          <w:sz w:val="24"/>
          <w:szCs w:val="24"/>
        </w:rPr>
        <w:t>, we deem</w:t>
      </w:r>
      <w:r w:rsidR="00FC202C" w:rsidRPr="004F6EAB">
        <w:rPr>
          <w:rFonts w:ascii="Times New Roman" w:hAnsi="Times New Roman" w:cs="Times New Roman"/>
          <w:sz w:val="24"/>
          <w:szCs w:val="24"/>
        </w:rPr>
        <w:t>ed</w:t>
      </w:r>
      <w:r w:rsidR="00FF2911" w:rsidRPr="004F6EAB">
        <w:rPr>
          <w:rFonts w:ascii="Times New Roman" w:hAnsi="Times New Roman" w:cs="Times New Roman"/>
          <w:sz w:val="24"/>
          <w:szCs w:val="24"/>
        </w:rPr>
        <w:t xml:space="preserve"> Fung </w:t>
      </w:r>
      <w:r w:rsidR="00FF2911" w:rsidRPr="004F6EAB">
        <w:rPr>
          <w:rFonts w:ascii="Times New Roman" w:hAnsi="Times New Roman" w:cs="Times New Roman"/>
          <w:i/>
          <w:iCs/>
          <w:sz w:val="24"/>
          <w:szCs w:val="24"/>
        </w:rPr>
        <w:lastRenderedPageBreak/>
        <w:t>et al</w:t>
      </w:r>
      <w:r w:rsidR="002B226A" w:rsidRPr="004F6EAB">
        <w:rPr>
          <w:rFonts w:ascii="Times New Roman" w:hAnsi="Times New Roman" w:cs="Times New Roman"/>
          <w:i/>
          <w:iCs/>
          <w:sz w:val="24"/>
          <w:szCs w:val="24"/>
        </w:rPr>
        <w:t>.</w:t>
      </w:r>
      <w:r w:rsidR="00FF2911" w:rsidRPr="004F6EAB">
        <w:rPr>
          <w:rFonts w:ascii="Times New Roman" w:hAnsi="Times New Roman" w:cs="Times New Roman"/>
          <w:sz w:val="24"/>
          <w:szCs w:val="24"/>
        </w:rPr>
        <w:t xml:space="preserve">’s approach more suitable for our data derived from FFQ, which aims to rank participants according to their intakes rather than </w:t>
      </w:r>
      <w:r w:rsidR="00FC202C" w:rsidRPr="004F6EAB">
        <w:rPr>
          <w:rFonts w:ascii="Times New Roman" w:hAnsi="Times New Roman" w:cs="Times New Roman"/>
          <w:sz w:val="24"/>
          <w:szCs w:val="24"/>
        </w:rPr>
        <w:t xml:space="preserve">for </w:t>
      </w:r>
      <w:r w:rsidR="00FF2911" w:rsidRPr="004F6EAB">
        <w:rPr>
          <w:rFonts w:ascii="Times New Roman" w:hAnsi="Times New Roman" w:cs="Times New Roman"/>
          <w:sz w:val="24"/>
          <w:szCs w:val="24"/>
        </w:rPr>
        <w:t xml:space="preserve">absolute estimation of food intakes. The final ALPHABET DASH score </w:t>
      </w:r>
      <w:r w:rsidR="00F247D9" w:rsidRPr="004F6EAB">
        <w:rPr>
          <w:rFonts w:ascii="Times New Roman" w:hAnsi="Times New Roman" w:cs="Times New Roman"/>
          <w:sz w:val="24"/>
          <w:szCs w:val="24"/>
        </w:rPr>
        <w:t>is composed</w:t>
      </w:r>
      <w:r w:rsidR="00FF2911" w:rsidRPr="004F6EAB">
        <w:rPr>
          <w:rFonts w:ascii="Times New Roman" w:hAnsi="Times New Roman" w:cs="Times New Roman"/>
          <w:sz w:val="24"/>
          <w:szCs w:val="24"/>
        </w:rPr>
        <w:t xml:space="preserve"> of </w:t>
      </w:r>
      <w:r w:rsidR="00186EBD" w:rsidRPr="004F6EAB">
        <w:rPr>
          <w:rFonts w:ascii="Times New Roman" w:hAnsi="Times New Roman" w:cs="Times New Roman"/>
          <w:sz w:val="24"/>
          <w:szCs w:val="24"/>
        </w:rPr>
        <w:t>8 components</w:t>
      </w:r>
      <w:r w:rsidR="00295BD2" w:rsidRPr="004F6EAB">
        <w:rPr>
          <w:rFonts w:ascii="Times New Roman" w:hAnsi="Times New Roman" w:cs="Times New Roman"/>
          <w:sz w:val="24"/>
          <w:szCs w:val="24"/>
        </w:rPr>
        <w:t>. P</w:t>
      </w:r>
      <w:r w:rsidR="00440605" w:rsidRPr="004F6EAB">
        <w:rPr>
          <w:rFonts w:ascii="Times New Roman" w:hAnsi="Times New Roman" w:cs="Times New Roman"/>
          <w:sz w:val="24"/>
          <w:szCs w:val="24"/>
        </w:rPr>
        <w:t>articipants in the highest quintile received a score of 5 f</w:t>
      </w:r>
      <w:r w:rsidR="00186EBD" w:rsidRPr="004F6EAB">
        <w:rPr>
          <w:rFonts w:ascii="Times New Roman" w:hAnsi="Times New Roman" w:cs="Times New Roman"/>
          <w:sz w:val="24"/>
          <w:szCs w:val="24"/>
        </w:rPr>
        <w:t>or food components with higher intake recommended (fruits, vegetables excluding potatoes, total grains, non-full-fat dairy products, and nuts/seeds/legumes)</w:t>
      </w:r>
      <w:r w:rsidR="002379B2" w:rsidRPr="004F6EAB">
        <w:rPr>
          <w:rFonts w:ascii="Times New Roman" w:hAnsi="Times New Roman" w:cs="Times New Roman"/>
          <w:sz w:val="24"/>
          <w:szCs w:val="24"/>
        </w:rPr>
        <w:t>,</w:t>
      </w:r>
      <w:r w:rsidR="00295BD2" w:rsidRPr="004F6EAB">
        <w:rPr>
          <w:rFonts w:ascii="Times New Roman" w:hAnsi="Times New Roman" w:cs="Times New Roman"/>
          <w:sz w:val="24"/>
          <w:szCs w:val="24"/>
        </w:rPr>
        <w:t xml:space="preserve"> </w:t>
      </w:r>
      <w:r w:rsidR="00186EBD" w:rsidRPr="004F6EAB">
        <w:rPr>
          <w:rFonts w:ascii="Times New Roman" w:hAnsi="Times New Roman" w:cs="Times New Roman"/>
          <w:sz w:val="24"/>
          <w:szCs w:val="24"/>
        </w:rPr>
        <w:t xml:space="preserve">while those in the lowest quintile received a score of 1. Reverse scoring was applied to food components with moderation recommended (red and processed meats, sugar-sweetened beverages/sweets/added sugars, and sodium). </w:t>
      </w:r>
      <w:r w:rsidR="00440605" w:rsidRPr="004F6EAB">
        <w:rPr>
          <w:rFonts w:ascii="Times New Roman" w:hAnsi="Times New Roman" w:cs="Times New Roman"/>
          <w:sz w:val="24"/>
          <w:szCs w:val="24"/>
        </w:rPr>
        <w:t>A higher DASH score reflects a higher dietary quality.</w:t>
      </w:r>
    </w:p>
    <w:p w14:paraId="3DDF9380" w14:textId="1F5B6F4E" w:rsidR="00CD3D42" w:rsidRPr="004F6EAB" w:rsidRDefault="00CD3D42" w:rsidP="005E62D3">
      <w:pPr>
        <w:spacing w:line="480" w:lineRule="auto"/>
        <w:rPr>
          <w:rFonts w:ascii="Times New Roman" w:hAnsi="Times New Roman" w:cs="Times New Roman"/>
          <w:b/>
          <w:bCs/>
          <w:sz w:val="24"/>
          <w:szCs w:val="24"/>
        </w:rPr>
      </w:pPr>
      <w:r w:rsidRPr="004F6EAB">
        <w:rPr>
          <w:rFonts w:ascii="Times New Roman" w:hAnsi="Times New Roman" w:cs="Times New Roman"/>
          <w:b/>
          <w:bCs/>
          <w:sz w:val="24"/>
          <w:szCs w:val="24"/>
        </w:rPr>
        <w:t>Outcomes</w:t>
      </w:r>
    </w:p>
    <w:p w14:paraId="7E681B9E" w14:textId="7CFD43E3" w:rsidR="00CD3D42" w:rsidRPr="004F6EAB" w:rsidRDefault="00CD3D42" w:rsidP="00CD3D42">
      <w:pPr>
        <w:spacing w:line="480" w:lineRule="auto"/>
        <w:rPr>
          <w:rFonts w:ascii="Times New Roman" w:hAnsi="Times New Roman" w:cs="Times New Roman"/>
          <w:sz w:val="24"/>
          <w:szCs w:val="24"/>
        </w:rPr>
      </w:pPr>
      <w:r w:rsidRPr="004F6EAB">
        <w:rPr>
          <w:rFonts w:ascii="Times New Roman" w:hAnsi="Times New Roman" w:cs="Times New Roman"/>
          <w:sz w:val="24"/>
          <w:szCs w:val="24"/>
        </w:rPr>
        <w:t xml:space="preserve">Primary outcomes </w:t>
      </w:r>
      <w:r w:rsidR="002379B2" w:rsidRPr="004F6EAB">
        <w:rPr>
          <w:rFonts w:ascii="Times New Roman" w:hAnsi="Times New Roman" w:cs="Times New Roman"/>
          <w:sz w:val="24"/>
          <w:szCs w:val="24"/>
        </w:rPr>
        <w:t>we</w:t>
      </w:r>
      <w:r w:rsidRPr="004F6EAB">
        <w:rPr>
          <w:rFonts w:ascii="Times New Roman" w:hAnsi="Times New Roman" w:cs="Times New Roman"/>
          <w:sz w:val="24"/>
          <w:szCs w:val="24"/>
        </w:rPr>
        <w:t>re birth weight and gestational age, both modelled continuously and categorized based on clinical cut-offs</w:t>
      </w:r>
      <w:r w:rsidR="002D7551" w:rsidRPr="004F6EAB">
        <w:rPr>
          <w:rFonts w:ascii="Times New Roman" w:hAnsi="Times New Roman" w:cs="Times New Roman"/>
          <w:sz w:val="24"/>
          <w:szCs w:val="24"/>
        </w:rPr>
        <w:t xml:space="preserve"> </w:t>
      </w:r>
      <w:r w:rsidRPr="004F6EAB">
        <w:rPr>
          <w:rFonts w:ascii="Times New Roman" w:hAnsi="Times New Roman" w:cs="Times New Roman"/>
          <w:sz w:val="24"/>
          <w:szCs w:val="24"/>
        </w:rPr>
        <w:t xml:space="preserve">as follows: 1) low birth weight (LBW, </w:t>
      </w:r>
      <w:r w:rsidR="002379B2" w:rsidRPr="004F6EAB">
        <w:rPr>
          <w:rFonts w:ascii="Times New Roman" w:hAnsi="Times New Roman" w:cs="Times New Roman"/>
          <w:sz w:val="24"/>
          <w:szCs w:val="24"/>
        </w:rPr>
        <w:t xml:space="preserve">i.e. </w:t>
      </w:r>
      <w:r w:rsidRPr="004F6EAB">
        <w:rPr>
          <w:rFonts w:ascii="Times New Roman" w:hAnsi="Times New Roman" w:cs="Times New Roman"/>
          <w:sz w:val="24"/>
          <w:szCs w:val="24"/>
        </w:rPr>
        <w:t>birth weight &lt;2500 g</w:t>
      </w:r>
      <w:r w:rsidR="002379B2" w:rsidRPr="004F6EAB">
        <w:rPr>
          <w:rFonts w:ascii="Times New Roman" w:hAnsi="Times New Roman" w:cs="Times New Roman"/>
          <w:sz w:val="24"/>
          <w:szCs w:val="24"/>
        </w:rPr>
        <w:t>)</w:t>
      </w:r>
      <w:r w:rsidRPr="004F6EAB">
        <w:rPr>
          <w:rFonts w:ascii="Times New Roman" w:hAnsi="Times New Roman" w:cs="Times New Roman"/>
          <w:sz w:val="24"/>
          <w:szCs w:val="24"/>
        </w:rPr>
        <w:t>; 2) macrosomia</w:t>
      </w:r>
      <w:r w:rsidR="006E4747" w:rsidRPr="004F6EAB">
        <w:rPr>
          <w:rFonts w:ascii="Times New Roman" w:hAnsi="Times New Roman" w:cs="Times New Roman"/>
          <w:sz w:val="24"/>
          <w:szCs w:val="24"/>
        </w:rPr>
        <w:t xml:space="preserve"> (</w:t>
      </w:r>
      <w:r w:rsidR="002379B2" w:rsidRPr="004F6EAB">
        <w:rPr>
          <w:rFonts w:ascii="Times New Roman" w:hAnsi="Times New Roman" w:cs="Times New Roman"/>
          <w:sz w:val="24"/>
          <w:szCs w:val="24"/>
        </w:rPr>
        <w:t>i.e.</w:t>
      </w:r>
      <w:r w:rsidRPr="004F6EAB">
        <w:rPr>
          <w:rFonts w:ascii="Times New Roman" w:hAnsi="Times New Roman" w:cs="Times New Roman"/>
          <w:sz w:val="24"/>
          <w:szCs w:val="24"/>
        </w:rPr>
        <w:t xml:space="preserve"> birth weight &gt;4000 g</w:t>
      </w:r>
      <w:r w:rsidR="006E4747" w:rsidRPr="004F6EAB">
        <w:rPr>
          <w:rFonts w:ascii="Times New Roman" w:hAnsi="Times New Roman" w:cs="Times New Roman"/>
          <w:sz w:val="24"/>
          <w:szCs w:val="24"/>
        </w:rPr>
        <w:t>)</w:t>
      </w:r>
      <w:r w:rsidRPr="004F6EAB">
        <w:rPr>
          <w:rFonts w:ascii="Times New Roman" w:hAnsi="Times New Roman" w:cs="Times New Roman"/>
          <w:sz w:val="24"/>
          <w:szCs w:val="24"/>
        </w:rPr>
        <w:t>; 3) preterm birth</w:t>
      </w:r>
      <w:r w:rsidR="006E4747" w:rsidRPr="004F6EAB">
        <w:rPr>
          <w:rFonts w:ascii="Times New Roman" w:hAnsi="Times New Roman" w:cs="Times New Roman"/>
          <w:sz w:val="24"/>
          <w:szCs w:val="24"/>
        </w:rPr>
        <w:t xml:space="preserve"> (</w:t>
      </w:r>
      <w:r w:rsidRPr="004F6EAB">
        <w:rPr>
          <w:rFonts w:ascii="Times New Roman" w:hAnsi="Times New Roman" w:cs="Times New Roman"/>
          <w:sz w:val="24"/>
          <w:szCs w:val="24"/>
        </w:rPr>
        <w:t xml:space="preserve">delivery </w:t>
      </w:r>
      <w:r w:rsidR="00864A2A" w:rsidRPr="004F6EAB">
        <w:rPr>
          <w:rFonts w:ascii="Times New Roman" w:hAnsi="Times New Roman" w:cs="Times New Roman"/>
          <w:sz w:val="24"/>
          <w:szCs w:val="24"/>
        </w:rPr>
        <w:t>at &lt;</w:t>
      </w:r>
      <w:r w:rsidRPr="004F6EAB">
        <w:rPr>
          <w:rFonts w:ascii="Times New Roman" w:hAnsi="Times New Roman" w:cs="Times New Roman"/>
          <w:sz w:val="24"/>
          <w:szCs w:val="24"/>
        </w:rPr>
        <w:t>37 completed weeks of gestation</w:t>
      </w:r>
      <w:r w:rsidR="006E4747" w:rsidRPr="004F6EAB">
        <w:rPr>
          <w:rFonts w:ascii="Times New Roman" w:hAnsi="Times New Roman" w:cs="Times New Roman"/>
          <w:sz w:val="24"/>
          <w:szCs w:val="24"/>
        </w:rPr>
        <w:t>)</w:t>
      </w:r>
      <w:r w:rsidRPr="004F6EAB">
        <w:rPr>
          <w:rFonts w:ascii="Times New Roman" w:hAnsi="Times New Roman" w:cs="Times New Roman"/>
          <w:sz w:val="24"/>
          <w:szCs w:val="24"/>
        </w:rPr>
        <w:t>; 4) post-term birth</w:t>
      </w:r>
      <w:r w:rsidR="006E4747" w:rsidRPr="004F6EAB">
        <w:rPr>
          <w:rFonts w:ascii="Times New Roman" w:hAnsi="Times New Roman" w:cs="Times New Roman"/>
          <w:sz w:val="24"/>
          <w:szCs w:val="24"/>
        </w:rPr>
        <w:t xml:space="preserve"> (</w:t>
      </w:r>
      <w:r w:rsidR="00864A2A" w:rsidRPr="004F6EAB">
        <w:rPr>
          <w:rFonts w:ascii="Times New Roman" w:hAnsi="Times New Roman" w:cs="Times New Roman"/>
          <w:sz w:val="24"/>
          <w:szCs w:val="24"/>
        </w:rPr>
        <w:t>delivery at ≥</w:t>
      </w:r>
      <w:r w:rsidRPr="004F6EAB">
        <w:rPr>
          <w:rFonts w:ascii="Times New Roman" w:hAnsi="Times New Roman" w:cs="Times New Roman"/>
          <w:sz w:val="24"/>
          <w:szCs w:val="24"/>
        </w:rPr>
        <w:t>42 completed weeks of gestation</w:t>
      </w:r>
      <w:r w:rsidR="006E4747" w:rsidRPr="004F6EAB">
        <w:rPr>
          <w:rFonts w:ascii="Times New Roman" w:hAnsi="Times New Roman" w:cs="Times New Roman"/>
          <w:sz w:val="24"/>
          <w:szCs w:val="24"/>
        </w:rPr>
        <w:t>)</w:t>
      </w:r>
      <w:r w:rsidRPr="004F6EAB">
        <w:rPr>
          <w:rFonts w:ascii="Times New Roman" w:hAnsi="Times New Roman" w:cs="Times New Roman"/>
          <w:sz w:val="24"/>
          <w:szCs w:val="24"/>
        </w:rPr>
        <w:t xml:space="preserve"> </w:t>
      </w:r>
      <w:r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{"citationItems":[{"id":"ITEM-1","itemData":{"DOI":"10.1016/j.bpobgyn.2016.08.003","ISSN":"15216934","PMID":"27727018","abstract":"Fetal macrosomia is defined as birth weight &gt;4000 g and is associated with several maternal and fetal complications such as maternal birth canal trauma, shoulder dystocia, and perinatal asphyxia. Early identification of risk factors could allow preventive measures to be taken to avoid adverse perinatal outcomes. Prenatal diagnosis is based on two-dimensional ultrasound formulae, but accuracy is low, particularly at advanced gestation. Three-dimensional ultrasound could be an alternative to soft tissue monitoring, allowing better prediction of birth weight than two-dimensional ultrasound. In this article, we describe the definition, risk factors, diagnosis, prevention, ultrasound monitoring, prenatal care, and delivery in fetal macrosomia cases.","author":[{"dropping-particle":"","family":"Araujo Júnior","given":"Edward","non-dropping-particle":"","parse-names":false,"suffix":""},{"dropping-particle":"","family":"Peixoto","given":"Alberto Borges","non-dropping-particle":"","parse-names":false,"suffix":""},{"dropping-particle":"","family":"Zamarian","given":"Ana Cristina Perez","non-dropping-particle":"","parse-names":false,"suffix":""},{"dropping-particle":"","family":"Elito Júnior","given":"Júlio","non-dropping-particle":"","parse-names":false,"suffix":""},{"dropping-particle":"","family":"Tonni","given":"Gabriele","non-dropping-particle":"","parse-names":false,"suffix":""}],"container-title":"Best Practice &amp; Research Clinical Obstetrics &amp; Gynaecology","id":"ITEM-1","issued":{"date-parts":[["2017","1"]]},"page":"83-96","title":"Macrosomia","type":"article-journal","volume":"38"},"uris":["http://www.mendeley.com/documents/?uuid=adc6d80e-4b28-323b-b03c-81ccc282d49f"]},{"id":"ITEM-2","itemData":{"ISSN":"2032-0418","PMID":"24753906","abstract":"Postterm pregnancy is a pregnancy that extends to 42 weeks of gestation or beyond. Fetal, neonatal and maternal complications associated with this condition have always been underestimated. It is not well understood why some women become postterm although in obesity, hormonal and genetic factors have been implicated. The management of postterm pregnancy constitutes a challenge to clinicians; knowing who to induce, who will respond to induction and who will require a caesarean section (CS). The current definition and management of postterm pregnancy have been challenged in several studies as the emerging evidence demonstrates that the incidence of complications associated with postterm pregnancy also increase prior to 42 weeks of gestation. For example the incidence of stillbirth increases from 39 weeks onwards with a sharp rise after 40 weeks of gestation. Induction of labour before 42 weeks of gestation has the potential to prevent these complications; however, both patients and clinicians alike are concerned about risks associated with induction of labour such as failure of induction and increases in CS rates. There is a strong body of evidence however that demonstrates that induction of labour at term and prior to 42 weeks of gestation (particularly between 40 &amp; 42 weeks) is associated with a reduction in perinatal complications without an associated increase in CS rates. It seems therefore that a policy of induction of labour at 41 weeks in postterm women could be beneficial with potential improvement in perinatal outcome and a reduction in maternal complications.","author":[{"dropping-particle":"","family":"Galal","given":"M","non-dropping-particle":"","parse-names":false,"suffix":""},{"dropping-particle":"","family":"Symonds","given":"I","non-dropping-particle":"","parse-names":false,"suffix":""},{"dropping-particle":"","family":"Murray","given":"H","non-dropping-particle":"","parse-names":false,"suffix":""},{"dropping-particle":"","family":"Petraglia","given":"F","non-dropping-particle":"","parse-names":false,"suffix":""},{"dropping-particle":"","family":"Smith","given":"R","non-dropping-particle":"","parse-names":false,"suffix":""}],"container-title":"Facts, views &amp; vision in ObGyn","id":"ITEM-2","issue":"3","issued":{"date-parts":[["2012"]]},"page":"175-87","title":"Postterm pregnancy.","type":"article-journal","volume":"4"},"uris":["http://www.mendeley.com/documents/?uuid=a6b042c5-728b-35cb-86e4-aa45f92a3656"]},{"id":"ITEM-3","itemData":{"ISBN":"9280638327","abstract":"Children can be ensured a healthy start in life if woman start prenancy healthy and well nuorished, and go through prenancy and childbirth safely","author":[{"dropping-particle":"","family":"United Nations Children's Fund and World Health Organization","given":"","non-dropping-particle":"","parse-names":false,"suffix":""}],"container-title":"World Health Organization","id":"ITEM-3","issued":{"date-parts":[["2004"]]},"number-of-pages":"1-31","title":"Low Birthweight: Country, regional and global estimates","type":"book"},"uris":["http://www.mendeley.com/documents/?uuid=eca2a469-1c05-3e69-9a4b-56f2e2da3a03"]}],"mendeley":{"formattedCitation":"[4,43,44]","plainTextFormattedCitation":"[4,43,44]","previouslyFormattedCitation":"[4,43,44]"},"properties":{"noteIndex":0},"schema":"https://github.com/citation-style-language/schema/raw/master/csl-citation.json"}</w:instrText>
      </w:r>
      <w:r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[4,43,44]</w:t>
      </w:r>
      <w:r w:rsidRPr="004F6EAB">
        <w:rPr>
          <w:rFonts w:ascii="Times New Roman" w:hAnsi="Times New Roman" w:cs="Times New Roman"/>
          <w:sz w:val="24"/>
          <w:szCs w:val="24"/>
        </w:rPr>
        <w:fldChar w:fldCharType="end"/>
      </w:r>
      <w:r w:rsidRPr="004F6EAB">
        <w:rPr>
          <w:rFonts w:ascii="Times New Roman" w:hAnsi="Times New Roman" w:cs="Times New Roman"/>
          <w:sz w:val="24"/>
          <w:szCs w:val="24"/>
        </w:rPr>
        <w:t>.</w:t>
      </w:r>
      <w:r w:rsidRPr="004F6EAB">
        <w:rPr>
          <w:rFonts w:ascii="Times New Roman" w:hAnsi="Times New Roman" w:cs="Times New Roman"/>
          <w:b/>
          <w:sz w:val="24"/>
          <w:szCs w:val="24"/>
        </w:rPr>
        <w:t xml:space="preserve"> </w:t>
      </w:r>
      <w:r w:rsidRPr="004F6EAB">
        <w:rPr>
          <w:rFonts w:ascii="Times New Roman" w:hAnsi="Times New Roman" w:cs="Times New Roman"/>
          <w:bCs/>
          <w:sz w:val="24"/>
          <w:szCs w:val="24"/>
        </w:rPr>
        <w:t>Furthermore, small-for-gestational</w:t>
      </w:r>
      <w:r w:rsidR="00864A2A" w:rsidRPr="004F6EAB">
        <w:rPr>
          <w:rFonts w:ascii="Times New Roman" w:hAnsi="Times New Roman" w:cs="Times New Roman"/>
          <w:bCs/>
          <w:sz w:val="24"/>
          <w:szCs w:val="24"/>
        </w:rPr>
        <w:t>-</w:t>
      </w:r>
      <w:r w:rsidRPr="004F6EAB">
        <w:rPr>
          <w:rFonts w:ascii="Times New Roman" w:hAnsi="Times New Roman" w:cs="Times New Roman"/>
          <w:bCs/>
          <w:sz w:val="24"/>
          <w:szCs w:val="24"/>
        </w:rPr>
        <w:t>age (SGA) and large-for-gestational</w:t>
      </w:r>
      <w:r w:rsidR="00864A2A" w:rsidRPr="004F6EAB">
        <w:rPr>
          <w:rFonts w:ascii="Times New Roman" w:hAnsi="Times New Roman" w:cs="Times New Roman"/>
          <w:bCs/>
          <w:sz w:val="24"/>
          <w:szCs w:val="24"/>
        </w:rPr>
        <w:t>-</w:t>
      </w:r>
      <w:r w:rsidRPr="004F6EAB">
        <w:rPr>
          <w:rFonts w:ascii="Times New Roman" w:hAnsi="Times New Roman" w:cs="Times New Roman"/>
          <w:bCs/>
          <w:sz w:val="24"/>
          <w:szCs w:val="24"/>
        </w:rPr>
        <w:t>age (LGA) were defined as having sex-and-gestational-age-specific birth weight &lt;10</w:t>
      </w:r>
      <w:r w:rsidRPr="004F6EAB">
        <w:rPr>
          <w:rFonts w:ascii="Times New Roman" w:hAnsi="Times New Roman" w:cs="Times New Roman"/>
          <w:bCs/>
          <w:sz w:val="24"/>
          <w:szCs w:val="24"/>
          <w:vertAlign w:val="superscript"/>
        </w:rPr>
        <w:t>th</w:t>
      </w:r>
      <w:r w:rsidRPr="004F6EAB">
        <w:rPr>
          <w:rFonts w:ascii="Times New Roman" w:hAnsi="Times New Roman" w:cs="Times New Roman"/>
          <w:bCs/>
          <w:sz w:val="24"/>
          <w:szCs w:val="24"/>
        </w:rPr>
        <w:t xml:space="preserve"> and &gt;90</w:t>
      </w:r>
      <w:r w:rsidRPr="004F6EAB">
        <w:rPr>
          <w:rFonts w:ascii="Times New Roman" w:hAnsi="Times New Roman" w:cs="Times New Roman"/>
          <w:bCs/>
          <w:sz w:val="24"/>
          <w:szCs w:val="24"/>
          <w:vertAlign w:val="superscript"/>
        </w:rPr>
        <w:t>th</w:t>
      </w:r>
      <w:r w:rsidRPr="004F6EAB">
        <w:rPr>
          <w:rFonts w:ascii="Times New Roman" w:hAnsi="Times New Roman" w:cs="Times New Roman"/>
          <w:bCs/>
          <w:sz w:val="24"/>
          <w:szCs w:val="24"/>
        </w:rPr>
        <w:t xml:space="preserve"> percentiles, respectively, based on the INTERGROWTH-21 birthweight</w:t>
      </w:r>
      <w:r w:rsidR="00864A2A" w:rsidRPr="004F6EAB">
        <w:rPr>
          <w:rFonts w:ascii="Times New Roman" w:hAnsi="Times New Roman" w:cs="Times New Roman"/>
          <w:bCs/>
          <w:sz w:val="24"/>
          <w:szCs w:val="24"/>
        </w:rPr>
        <w:t>-</w:t>
      </w:r>
      <w:r w:rsidRPr="004F6EAB">
        <w:rPr>
          <w:rFonts w:ascii="Times New Roman" w:hAnsi="Times New Roman" w:cs="Times New Roman"/>
          <w:bCs/>
          <w:sz w:val="24"/>
          <w:szCs w:val="24"/>
        </w:rPr>
        <w:t>for</w:t>
      </w:r>
      <w:r w:rsidR="00864A2A" w:rsidRPr="004F6EAB">
        <w:rPr>
          <w:rFonts w:ascii="Times New Roman" w:hAnsi="Times New Roman" w:cs="Times New Roman"/>
          <w:bCs/>
          <w:sz w:val="24"/>
          <w:szCs w:val="24"/>
        </w:rPr>
        <w:t>-</w:t>
      </w:r>
      <w:r w:rsidRPr="004F6EAB">
        <w:rPr>
          <w:rFonts w:ascii="Times New Roman" w:hAnsi="Times New Roman" w:cs="Times New Roman"/>
          <w:bCs/>
          <w:sz w:val="24"/>
          <w:szCs w:val="24"/>
        </w:rPr>
        <w:t>gestational</w:t>
      </w:r>
      <w:r w:rsidR="00864A2A" w:rsidRPr="004F6EAB">
        <w:rPr>
          <w:rFonts w:ascii="Times New Roman" w:hAnsi="Times New Roman" w:cs="Times New Roman"/>
          <w:bCs/>
          <w:sz w:val="24"/>
          <w:szCs w:val="24"/>
        </w:rPr>
        <w:t>-</w:t>
      </w:r>
      <w:r w:rsidRPr="004F6EAB">
        <w:rPr>
          <w:rFonts w:ascii="Times New Roman" w:hAnsi="Times New Roman" w:cs="Times New Roman"/>
          <w:bCs/>
          <w:sz w:val="24"/>
          <w:szCs w:val="24"/>
        </w:rPr>
        <w:t xml:space="preserve">age reference </w:t>
      </w:r>
      <w:r w:rsidRPr="004F6EAB">
        <w:rPr>
          <w:rFonts w:ascii="Times New Roman" w:hAnsi="Times New Roman" w:cs="Times New Roman"/>
          <w:bCs/>
          <w:sz w:val="24"/>
          <w:szCs w:val="24"/>
        </w:rPr>
        <w:fldChar w:fldCharType="begin" w:fldLock="1"/>
      </w:r>
      <w:r w:rsidR="005C1ADD">
        <w:rPr>
          <w:rFonts w:ascii="Times New Roman" w:hAnsi="Times New Roman" w:cs="Times New Roman"/>
          <w:bCs/>
          <w:sz w:val="24"/>
          <w:szCs w:val="24"/>
        </w:rPr>
        <w:instrText>ADDIN CSL_CITATION {"citationItems":[{"id":"ITEM-1","itemData":{"DOI":"10.1016/s0140-6736(14)60932-6","ISSN":"1474547X","abstract":"Background In 2006, WHO published international growth standards for children younger than 5 years, which are now accepted worldwide. In the INTERGROWTH-21st Project, our aim was to complement them by developing international standards for fetuses, newborn infants, and the postnatal growth period of preterm infants. Methods INTERGROWTH-21st is a population-based project that assessed fetal growth and newborn size in eight geographically defi ned urban populations. These groups were selected because most of the health and nutrition needs of mothers were met, adequate antenatal care was provided, and there were no major environmental constraints on growth. As part of the Newborn Cross-Sectional Study (NCSS), a component of INTERGROWTH-21st Project, we measured weight, length, and head circumference in all newborn infants, in addition to collecting data prospectively for pregnancy and the perinatal period. To construct the newborn standards, we selected all pregnancies in women meeting (in addition to the underlying population characteristics) strict individual eligibility criteria for a population at low risk of impaired fetal growth (labelled the NCSS prescriptive subpopulation). Women had a reliable ultrasound estimate of gestational age using crown-rump length before 14 weeks of gestation or biparietal diameter if antenatal care started between 14 weeks and 24 weeks or less of gestation. Newborn anthropometric measures were obtained within 12 h of birth by identically trained anthropometric teams using the same equipment at all sites. Fractional polynomials assuming a skewed t distribution were used to estimate the fi tted centiles. Findings We identifi ed 20 486 (35%) eligible women from the 59 137 pregnant women enrolled in NCSS between May 14, 2009, and Aug 2, 2013. We calculated sex-specifi c observed and smoothed centiles for weight, length, and head circumference for gestational age at birth. The observed and smoothed centiles were almost identical. We present the 3rd, 10th, 50th, 90th, and 97th centile curves according to gestational age and sex. Interpretation We have developed, for routine clinical practice, international anthropometric standards to assess newborn size that are intended to complement the WHO Child Growth Standards and allow comparisons across multiethnic populations. Funding Bill &amp; Melinda Gates Foundation.","author":[{"dropping-particle":"","family":"Villar","given":"José","non-dropping-particle":"","parse-names":false,"suffix":""},{"dropping-particle":"","family":"Ismail","given":"Leila Cheikh","non-dropping-particle":"","parse-names":false,"suffix":""},{"dropping-particle":"","family":"Victora","given":"Cesar G","non-dropping-particle":"","parse-names":false,"suffix":""},{"dropping-particle":"","family":"Ohuma","given":"Eric O","non-dropping-particle":"","parse-names":false,"suffix":""},{"dropping-particle":"","family":"Bertino","given":"Enrico","non-dropping-particle":"","parse-names":false,"suffix":""},{"dropping-particle":"","family":"Altman","given":"Doug G","non-dropping-particle":"","parse-names":false,"suffix":""},{"dropping-particle":"","family":"Lambert","given":"Ann","non-dropping-particle":"","parse-names":false,"suffix":""},{"dropping-particle":"","family":"Papageorghiou","given":"Aris T","non-dropping-particle":"","parse-names":false,"suffix":""},{"dropping-particle":"","family":"Carvalho","given":"Maria","non-dropping-particle":"","parse-names":false,"suffix":""},{"dropping-particle":"","family":"Jaffer","given":"Yasmin A","non-dropping-particle":"","parse-names":false,"suffix":""},{"dropping-particle":"","family":"Gravett","given":"Michael G","non-dropping-particle":"","parse-names":false,"suffix":""},{"dropping-particle":"","family":"Purwar","given":"Manorama","non-dropping-particle":"","parse-names":false,"suffix":""},{"dropping-particle":"","family":"Frederick","given":"Ihunnaya O","non-dropping-particle":"","parse-names":false,"suffix":""},{"dropping-particle":"","family":"Noble","given":"Alison J","non-dropping-particle":"","parse-names":false,"suffix":""},{"dropping-particle":"","family":"Pang","given":"Ruyan","non-dropping-particle":"","parse-names":false,"suffix":""},{"dropping-particle":"","family":"Barros","given":"Fernando C","non-dropping-particle":"","parse-names":false,"suffix":""},{"dropping-particle":"","family":"Chumlea","given":"Cameron","non-dropping-particle":"","parse-names":false,"suffix":""},{"dropping-particle":"","family":"Bhutta","given":"Zulfiqar A","non-dropping-particle":"","parse-names":false,"suffix":""},{"dropping-particle":"","family":"Kennedy","given":"Stephen H","non-dropping-particle":"","parse-names":false,"suffix":""},{"dropping-particle":"","family":"Katz","given":"M.","non-dropping-particle":"","parse-names":false,"suffix":""},{"dropping-particle":"","family":"Bhan","given":"M. K.","non-dropping-particle":"","parse-names":false,"suffix":""},{"dropping-particle":"","family":"Garza","given":"C.","non-dropping-particle":"","parse-names":false,"suffix":""},{"dropping-particle":"","family":"Zaidi","given":"S.","non-dropping-particle":"","parse-names":false,"suffix":""},{"dropping-particle":"","family":"Langer","given":"A.","non-dropping-particle":"","parse-names":false,"suffix":""},{"dropping-particle":"","family":"Rothwell","given":"P. M.","non-dropping-particle":"","parse-names":false,"suffix":""},{"dropping-particle":"","family":"Weatherall","given":"D.","non-dropping-particle":"","parse-names":false,"suffix":""},{"dropping-particle":"","family":"Bhutta","given":"Zulfiqar A","non-dropping-particle":"","parse-names":false,"suffix":""},{"dropping-particle":"","family":"Kennedy","given":"S.","non-dropping-particle":"","parse-names":false,"suffix":""},{"dropping-particle":"","family":"Barros","given":"Fernando C","non-dropping-particle":"","parse-names":false,"suffix":""},{"dropping-particle":"","family":"Burton","given":"F.","non-dropping-particle":"","parse-names":false,"suffix":""},{"dropping-particle":"","family":"Chumlea","given":"W. C.","non-dropping-particle":"","parse-names":false,"suffix":""},{"dropping-particle":"","family":"Er","given":"Y. A.Jaff","non-dropping-particle":"","parse-names":false,"suffix":""},{"dropping-particle":"","family":"Lumbiganon","given":"P.","non-dropping-particle":"","parse-names":false,"suffix":""},{"dropping-particle":"","family":"Noble","given":"J. A.","non-dropping-particle":"","parse-names":false,"suffix":""},{"dropping-particle":"","family":"Pang","given":"R. Y.","non-dropping-particle":"","parse-names":false,"suffix":""},{"dropping-particle":"","family":"Rivera","given":"J.","non-dropping-particle":"","parse-names":false,"suffix":""},{"dropping-particle":"","family":"Shorten","given":"M.","non-dropping-particle":"","parse-names":false,"suffix":""},{"dropping-particle":"","family":"Hoch","given":"L.","non-dropping-particle":"","parse-names":false,"suffix":""},{"dropping-particle":"","family":"Knight","given":"H. E.","non-dropping-particle":"","parse-names":false,"suffix":""},{"dropping-particle":"","family":"Cosgrove","given":"C.","non-dropping-particle":"","parse-names":false,"suffix":""},{"dropping-particle":"","family":"Blakey","given":"I.","non-dropping-particle":"","parse-names":false,"suffix":""},{"dropping-particle":"","family":"Roseman","given":"F.","non-dropping-particle":"","parse-names":false,"suffix":""},{"dropping-particle":"","family":"Kunnawar","given":"N.","non-dropping-particle":"","parse-names":false,"suffix":""},{"dropping-particle":"","family":"Gu","given":"S. H.","non-dropping-particle":"","parse-names":false,"suffix":""},{"dropping-particle":"","family":"Wang","given":"J. H.","non-dropping-particle":"","parse-names":false,"suffix":""},{"dropping-particle":"","family":"Wu","given":"M. H.","non-dropping-particle":"","parse-names":false,"suffix":""},{"dropping-particle":"","family":"Domingues","given":"M.","non-dropping-particle":"","parse-names":false,"suffix":""},{"dropping-particle":"","family":"Gilli","given":"P.","non-dropping-particle":"","parse-names":false,"suffix":""},{"dropping-particle":"","family":"Juodvirsiene","given":"L.","non-dropping-particle":"","parse-names":false,"suffix":""},{"dropping-particle":"","family":"Musee","given":"N.","non-dropping-particle":"","parse-names":false,"suffix":""},{"dropping-particle":"","family":"Al-Jabri","given":"H.","non-dropping-particle":"","parse-names":false,"suffix":""},{"dropping-particle":"","family":"Waller","given":"S.","non-dropping-particle":"","parse-names":false,"suffix":""},{"dropping-particle":"","family":"Muninzwa","given":"D.","non-dropping-particle":"","parse-names":false,"suffix":""},{"dropping-particle":"","family":"Yellappan","given":"D.","non-dropping-particle":"","parse-names":false,"suffix":""},{"dropping-particle":"","family":"Carter","given":"A.","non-dropping-particle":"","parse-names":false,"suffix":""},{"dropping-particle":"","family":"Reade","given":"D.","non-dropping-particle":"","parse-names":false,"suffix":""},{"dropping-particle":"","family":"Miller","given":"R.","non-dropping-particle":"","parse-names":false,"suffix":""},{"dropping-particle":"","family":"Salomon","given":"L.","non-dropping-particle":"","parse-names":false,"suffix":""},{"dropping-particle":"","family":"Leston","given":"A.","non-dropping-particle":"","parse-names":false,"suffix":""},{"dropping-particle":"","family":"Mitidieri","given":"A.","non-dropping-particle":"","parse-names":false,"suffix":""},{"dropping-particle":"","family":"Al-Aamri","given":"F.","non-dropping-particle":"","parse-names":false,"suffix":""},{"dropping-particle":"","family":"Paulsene","given":"W.","non-dropping-particle":"","parse-names":false,"suffix":""},{"dropping-particle":"","family":"Sande","given":"J.","non-dropping-particle":"","parse-names":false,"suffix":""},{"dropping-particle":"","family":"Al-Zadjali","given":"W. K.S.","non-dropping-particle":"","parse-names":false,"suffix":""},{"dropping-particle":"","family":"Batiuk","given":"C.","non-dropping-particle":"","parse-names":false,"suffix":""},{"dropping-particle":"","family":"Bornemeier","given":"S.","non-dropping-particle":"","parse-names":false,"suffix":""},{"dropping-particle":"","family":"Dighe","given":"M.","non-dropping-particle":"","parse-names":false,"suffix":""},{"dropping-particle":"","family":"Gaglioti","given":"P.","non-dropping-particle":"","parse-names":false,"suffix":""},{"dropping-particle":"","family":"Jacinta","given":"N.","non-dropping-particle":"","parse-names":false,"suffix":""},{"dropping-particle":"","family":"Jaiswal","given":"S.","non-dropping-particle":"","parse-names":false,"suffix":""},{"dropping-particle":"","family":"Oas","given":"K.","non-dropping-particle":"","parse-names":false,"suffix":""},{"dropping-particle":"","family":"Oberto","given":"M.","non-dropping-particle":"","parse-names":false,"suffix":""},{"dropping-particle":"","family":"Olearo","given":"E.","non-dropping-particle":"","parse-names":false,"suffix":""},{"dropping-particle":"","family":"Owende","given":"M. G.","non-dropping-particle":"","parse-names":false,"suffix":""},{"dropping-particle":"","family":"Shah","given":"J.","non-dropping-particle":"","parse-names":false,"suffix":""},{"dropping-particle":"","family":"Sohoni","given":"S.","non-dropping-particle":"","parse-names":false,"suffix":""},{"dropping-particle":"","family":"Todros","given":"T.","non-dropping-particle":"","parse-names":false,"suffix":""},{"dropping-particle":"","family":"Venkataraman","given":"M.","non-dropping-particle":"","parse-names":false,"suffix":""},{"dropping-particle":"","family":"Vinayak","given":"S.","non-dropping-particle":"","parse-names":false,"suffix":""},{"dropping-particle":"","family":"Wang","given":"L.","non-dropping-particle":"","parse-names":false,"suffix":""},{"dropping-particle":"","family":"Wilson","given":"D.","non-dropping-particle":"","parse-names":false,"suffix":""},{"dropping-particle":"","family":"Wu","given":"Q. Q.","non-dropping-particle":"","parse-names":false,"suffix":""},{"dropping-particle":"","family":"Zaidi","given":"S.","non-dropping-particle":"","parse-names":false,"suffix":""},{"dropping-particle":"","family":"Zhang","given":"Y.","non-dropping-particle":"","parse-names":false,"suffix":""},{"dropping-particle":"","family":"Chamberlain","given":"P.","non-dropping-particle":"","parse-names":false,"suffix":""},{"dropping-particle":"","family":"Danelon","given":"D.","non-dropping-particle":"","parse-names":false,"suffix":""},{"dropping-particle":"","family":"Sarris","given":"I.","non-dropping-particle":"","parse-names":false,"suffix":""},{"dropping-particle":"","family":"Dhami","given":"J.","non-dropping-particle":"","parse-names":false,"suffix":""},{"dropping-particle":"","family":"Ioannou","given":"C.","non-dropping-particle":"","parse-names":false,"suffix":""},{"dropping-particle":"","family":"Knight","given":"C. L.","non-dropping-particle":"","parse-names":false,"suffix":""},{"dropping-particle":"","family":"Napolitano","given":"R.","non-dropping-particle":"","parse-names":false,"suffix":""},{"dropping-particle":"","family":"Wanyonyi","given":"S.","non-dropping-particle":"","parse-names":false,"suffix":""},{"dropping-particle":"","family":"Pace","given":"C.","non-dropping-particle":"","parse-names":false,"suffix":""},{"dropping-particle":"","family":"Mkrtychyan","given":"V.","non-dropping-particle":"","parse-names":false,"suffix":""},{"dropping-particle":"","family":"Al-Habsi","given":"F.","non-dropping-particle":"","parse-names":false,"suffix":""},{"dropping-particle":"","family":"Alija","given":"M.","non-dropping-particle":"","parse-names":false,"suffix":""},{"dropping-particle":"","family":"Jimenez-Bustos","given":"J. M.","non-dropping-particle":"","parse-names":false,"suffix":""},{"dropping-particle":"","family":"Kizidio","given":"J.","non-dropping-particle":"","parse-names":false,"suffix":""},{"dropping-particle":"","family":"Puglia","given":"F.","non-dropping-particle":"","parse-names":false,"suffix":""},{"dropping-particle":"","family":"Liu","given":"H.","non-dropping-particle":"","parse-names":false,"suffix":""},{"dropping-particle":"","family":"Lloyd","given":"S.","non-dropping-particle":"","parse-names":false,"suffix":""},{"dropping-particle":"","family":"Mota","given":"D.","non-dropping-particle":"","parse-names":false,"suffix":""},{"dropping-particle":"","family":"Ochieng","given":"R.","non-dropping-particle":"","parse-names":false,"suffix":""},{"dropping-particle":"","family":"Rossi","given":"C.","non-dropping-particle":"","parse-names":false,"suffix":""},{"dropping-particle":"","family":"Luna","given":"M. Sanchez","non-dropping-particle":"","parse-names":false,"suffix":""},{"dropping-particle":"","family":"Shen","given":"Y. J.","non-dropping-particle":"","parse-names":false,"suffix":""},{"dropping-particle":"","family":"Rocco","given":"D. A.","non-dropping-particle":"","parse-names":false,"suffix":""},{"dropping-particle":"","family":"Albernaz","given":"E.","non-dropping-particle":"","parse-names":false,"suffix":""},{"dropping-particle":"","family":"Batra","given":"M.","non-dropping-particle":"","parse-names":false,"suffix":""},{"dropping-particle":"","family":"Bhat","given":"B. A.","non-dropping-particle":"","parse-names":false,"suffix":""},{"dropping-particle":"","family":"Nicola","given":"P.","non-dropping-particle":"Di","parse-names":false,"suffix":""},{"dropping-particle":"","family":"Giuliani","given":"F.","non-dropping-particle":"","parse-names":false,"suffix":""},{"dropping-particle":"","family":"Rovelli","given":"I.","non-dropping-particle":"","parse-names":false,"suffix":""},{"dropping-particle":"","family":"McCormick","given":"K.","non-dropping-particle":"","parse-names":false,"suffix":""},{"dropping-particle":"","family":"Paul","given":"V.","non-dropping-particle":"","parse-names":false,"suffix":""},{"dropping-particle":"","family":"Rajan","given":"V.","non-dropping-particle":"","parse-names":false,"suffix":""},{"dropping-particle":"","family":"Wilkinson","given":"A.","non-dropping-particle":"","parse-names":false,"suffix":""},{"dropping-particle":"","family":"Varalda","given":"A.","non-dropping-particle":"","parse-names":false,"suffix":""},{"dropping-particle":"","family":"Eskenazi","given":"B.","non-dropping-particle":"","parse-names":false,"suffix":""},{"dropping-particle":"","family":"Corra","given":"L. A.","non-dropping-particle":"","parse-names":false,"suffix":""},{"dropping-particle":"","family":"Dolk","given":"H.","non-dropping-particle":"","parse-names":false,"suffix":""},{"dropping-particle":"","family":"Golding","given":"J.","non-dropping-particle":"","parse-names":false,"suffix":""},{"dropping-particle":"","family":"Matijasevich","given":"A.","non-dropping-particle":"","parse-names":false,"suffix":""},{"dropping-particle":"","family":"Wet","given":"T.","non-dropping-particle":"De","parse-names":false,"suffix":""},{"dropping-particle":"","family":"Zhang","given":"J. J.","non-dropping-particle":"","parse-names":false,"suffix":""},{"dropping-particle":"","family":"Bradman","given":"A.","non-dropping-particle":"","parse-names":false,"suffix":""},{"dropping-particle":"","family":"Finkton","given":"D.","non-dropping-particle":"","parse-names":false,"suffix":""},{"dropping-particle":"","family":"Burnham","given":"O.","non-dropping-particle":"","parse-names":false,"suffix":""},{"dropping-particle":"","family":"Farhi","given":"F.","non-dropping-particle":"","parse-names":false,"suffix":""},{"dropping-particle":"","family":"Fonseca","given":"S.","non-dropping-particle":"","parse-names":false,"suffix":""},{"dropping-particle":"","family":"Sclowitz","given":"I. K.","non-dropping-particle":"","parse-names":false,"suffix":""},{"dropping-particle":"","family":"Silveira","given":"M.","non-dropping-particle":"Da","parse-names":false,"suffix":""},{"dropping-particle":"","family":"He","given":"Y. P.","non-dropping-particle":"","parse-names":false,"suffix":""},{"dropping-particle":"","family":"Pan","given":"Y.","non-dropping-particle":"","parse-names":false,"suffix":""},{"dropping-particle":"","family":"Yuan","given":"Y.","non-dropping-particle":"","parse-names":false,"suffix":""},{"dropping-particle":"","family":"Choudhary","given":"A.","non-dropping-particle":"","parse-names":false,"suffix":""},{"dropping-particle":"","family":"Choudhary","given":"S.","non-dropping-particle":"","parse-names":false,"suffix":""},{"dropping-particle":"","family":"Deshmukh","given":"S.","non-dropping-particle":"","parse-names":false,"suffix":""},{"dropping-particle":"","family":"Dongaonkar","given":"D.","non-dropping-particle":"","parse-names":false,"suffix":""},{"dropping-particle":"","family":"Ketkar","given":"M.","non-dropping-particle":"","parse-names":false,"suffix":""},{"dropping-particle":"","family":"Khedikar","given":"V.","non-dropping-particle":"","parse-names":false,"suffix":""},{"dropping-particle":"","family":"Mahorkar","given":"C.","non-dropping-particle":"","parse-names":false,"suffix":""},{"dropping-particle":"","family":"Mulik","given":"I.","non-dropping-particle":"","parse-names":false,"suffix":""},{"dropping-particle":"","family":"Saboo","given":"K.","non-dropping-particle":"","parse-names":false,"suffix":""},{"dropping-particle":"","family":"Shembekar","given":"C.","non-dropping-particle":"","parse-names":false,"suffix":""},{"dropping-particle":"","family":"Singh","given":"A.","non-dropping-particle":"","parse-names":false,"suffix":""},{"dropping-particle":"","family":"Taori","given":"V.","non-dropping-particle":"","parse-names":false,"suffix":""},{"dropping-particle":"","family":"Tayade","given":"K.","non-dropping-particle":"","parse-names":false,"suffix":""},{"dropping-particle":"","family":"Somani","given":"A.","non-dropping-particle":"","parse-names":false,"suffix":""},{"dropping-particle":"","family":"Frigerio","given":"M.","non-dropping-particle":"","parse-names":false,"suffix":""},{"dropping-particle":"","family":"Gilli","given":"G.","non-dropping-particle":"","parse-names":false,"suffix":""},{"dropping-particle":"","family":"Giolito","given":"M.","non-dropping-particle":"","parse-names":false,"suffix":""},{"dropping-particle":"","family":"Occhi","given":"L.","non-dropping-particle":"","parse-names":false,"suffix":""},{"dropping-particle":"","family":"Signorile","given":"F.","non-dropping-particle":"","parse-names":false,"suffix":""},{"dropping-particle":"","family":"Stones","given":"T.","non-dropping-particle":"","parse-names":false,"suffix":""},{"dropping-particle":"","family":"Todros","given":"W.","non-dropping-particle":"","parse-names":false,"suffix":""},{"dropping-particle":"","family":"Kisiang'ani","given":"C.","non-dropping-particle":"","parse-names":false,"suffix":""},{"dropping-particle":"","family":"Al-Abri","given":"J.","non-dropping-particle":"","parse-names":false,"suffix":""},{"dropping-particle":"","family":"Al-Abduwani","given":"J.","non-dropping-particle":"","parse-names":false,"suffix":""},{"dropping-particle":"","family":"Al-Habsi","given":"F. M.","non-dropping-particle":"","parse-names":false,"suffix":""},{"dropping-particle":"","family":"Al-Lawatiya","given":"H.","non-dropping-particle":"","parse-names":false,"suffix":""},{"dropping-particle":"","family":"Al-Rashidiya","given":"B.","non-dropping-particle":"","parse-names":false,"suffix":""},{"dropping-particle":"","family":"Juangco","given":"F. R.","non-dropping-particle":"","parse-names":false,"suffix":""},{"dropping-particle":"","family":"Andersen","given":"H. F.","non-dropping-particle":"","parse-names":false,"suffix":""},{"dropping-particle":"","family":"Abbott","given":"S. E.","non-dropping-particle":"","parse-names":false,"suffix":""},{"dropping-particle":"","family":"Carter","given":"A. A.","non-dropping-particle":"","parse-names":false,"suffix":""},{"dropping-particle":"","family":"Algren","given":"H.","non-dropping-particle":"","parse-names":false,"suffix":""},{"dropping-particle":"","family":"Sorensen","given":"T. K.","non-dropping-particle":"","parse-names":false,"suffix":""},{"dropping-particle":"","family":"Enquobahrie","given":"D.","non-dropping-particle":"","parse-names":false,"suffix":""}],"container-title":"The Lancet","id":"ITEM-1","issue":"9946","issued":{"date-parts":[["2014","9","6"]]},"page":"857-868","publisher":"Elsevier","title":"International standards for newborn weight, length, and head circumference by gestational age and sex: The Newborn Cross-Sectional Study of the INTERGROWTH-21st Project","type":"article-journal","volume":"384"},"uris":["http://www.mendeley.com/documents/?uuid=d80a3c5c-8d94-38a2-9a3d-a0e148956a33"]},{"id":"ITEM-2","itemData":{"DOI":"10.1016/S0140-6736(16)00384-6","ISSN":"1474547X","PMID":"26898853","abstract":"The article discusses updates on the birth reference charts for international standards of newborn and pre-term baby sizes published by INTERGROWTH-21st Consortium. The authors realize the increasing demand for birth charts for low gestational ages facing many risk factors but prescriptive standards are difficult to construct. They opted to generate very preterm reference charts to avoid previous methodological shortcomings by supplementing the original sample with neonates population.","author":[{"dropping-particle":"","family":"Villar","given":"José","non-dropping-particle":"","parse-names":false,"suffix":""},{"dropping-particle":"","family":"Giuliani","given":"Francesca","non-dropping-particle":"","parse-names":false,"suffix":""},{"dropping-particle":"","family":"Fenton","given":"Tanis R","non-dropping-particle":"","parse-names":false,"suffix":""},{"dropping-particle":"","family":"Ohuma","given":"Eric O","non-dropping-particle":"","parse-names":false,"suffix":""},{"dropping-particle":"","family":"Ismail","given":"Leila Cheikh","non-dropping-particle":"","parse-names":false,"suffix":""},{"dropping-particle":"","family":"Kennedy","given":"Stephen H","non-dropping-particle":"","parse-names":false,"suffix":""}],"container-title":"The Lancet","id":"ITEM-2","issue":"10021","issued":{"date-parts":[["2016","2","27"]]},"page":"844-845","publisher":"Elsevier","title":"INTERGROWTH-21st very preterm size at birth reference charts","type":"article","volume":"387"},"uris":["http://www.mendeley.com/documents/?uuid=8b1d8753-b60c-3adc-9ca5-5172423ca80e"]}],"mendeley":{"formattedCitation":"[45,46]","plainTextFormattedCitation":"[45,46]","previouslyFormattedCitation":"[45,46]"},"properties":{"noteIndex":0},"schema":"https://github.com/citation-style-language/schema/raw/master/csl-citation.json"}</w:instrText>
      </w:r>
      <w:r w:rsidRPr="004F6EAB">
        <w:rPr>
          <w:rFonts w:ascii="Times New Roman" w:hAnsi="Times New Roman" w:cs="Times New Roman"/>
          <w:bCs/>
          <w:sz w:val="24"/>
          <w:szCs w:val="24"/>
        </w:rPr>
        <w:fldChar w:fldCharType="separate"/>
      </w:r>
      <w:r w:rsidR="00AE282C" w:rsidRPr="00AE282C">
        <w:rPr>
          <w:rFonts w:ascii="Times New Roman" w:hAnsi="Times New Roman" w:cs="Times New Roman"/>
          <w:bCs/>
          <w:noProof/>
          <w:sz w:val="24"/>
          <w:szCs w:val="24"/>
        </w:rPr>
        <w:t>[45,46]</w:t>
      </w:r>
      <w:r w:rsidRPr="004F6EAB">
        <w:rPr>
          <w:rFonts w:ascii="Times New Roman" w:hAnsi="Times New Roman" w:cs="Times New Roman"/>
          <w:bCs/>
          <w:sz w:val="24"/>
          <w:szCs w:val="24"/>
        </w:rPr>
        <w:fldChar w:fldCharType="end"/>
      </w:r>
      <w:r w:rsidRPr="004F6EAB">
        <w:rPr>
          <w:rFonts w:ascii="Times New Roman" w:hAnsi="Times New Roman" w:cs="Times New Roman"/>
          <w:bCs/>
          <w:sz w:val="24"/>
          <w:szCs w:val="24"/>
        </w:rPr>
        <w:t xml:space="preserve">. </w:t>
      </w:r>
      <w:r w:rsidR="00210B1C" w:rsidRPr="004F6EAB">
        <w:rPr>
          <w:rFonts w:ascii="Times New Roman" w:hAnsi="Times New Roman" w:cs="Times New Roman"/>
          <w:bCs/>
          <w:sz w:val="24"/>
          <w:szCs w:val="24"/>
        </w:rPr>
        <w:t>Because</w:t>
      </w:r>
      <w:r w:rsidRPr="004F6EAB">
        <w:rPr>
          <w:rFonts w:ascii="Times New Roman" w:hAnsi="Times New Roman" w:cs="Times New Roman"/>
          <w:bCs/>
          <w:sz w:val="24"/>
          <w:szCs w:val="24"/>
        </w:rPr>
        <w:t xml:space="preserve"> the included range of gestational age in the reference is 24-42 completed gestational weeks, </w:t>
      </w:r>
      <w:r w:rsidR="00F500C9" w:rsidRPr="004F6EAB">
        <w:rPr>
          <w:rFonts w:ascii="Times New Roman" w:hAnsi="Times New Roman" w:cs="Times New Roman"/>
          <w:bCs/>
          <w:sz w:val="24"/>
          <w:szCs w:val="24"/>
        </w:rPr>
        <w:t xml:space="preserve">infants </w:t>
      </w:r>
      <w:r w:rsidRPr="004F6EAB">
        <w:rPr>
          <w:rFonts w:ascii="Times New Roman" w:hAnsi="Times New Roman" w:cs="Times New Roman"/>
          <w:bCs/>
          <w:sz w:val="24"/>
          <w:szCs w:val="24"/>
        </w:rPr>
        <w:t xml:space="preserve">with gestational age outside this range were excluded from SGA and LGA calculation. </w:t>
      </w:r>
      <w:r w:rsidR="004022E4">
        <w:rPr>
          <w:rFonts w:ascii="Times New Roman" w:hAnsi="Times New Roman" w:cs="Times New Roman"/>
          <w:bCs/>
          <w:sz w:val="24"/>
          <w:szCs w:val="24"/>
        </w:rPr>
        <w:t xml:space="preserve">The proportions of infants with adverse birth outcomes are shown in </w:t>
      </w:r>
      <w:r w:rsidR="00F47BEA">
        <w:rPr>
          <w:rFonts w:ascii="Times New Roman" w:hAnsi="Times New Roman" w:cs="Times New Roman"/>
          <w:bCs/>
          <w:sz w:val="24"/>
          <w:szCs w:val="24"/>
        </w:rPr>
        <w:t xml:space="preserve">S4 </w:t>
      </w:r>
      <w:r w:rsidR="004022E4">
        <w:rPr>
          <w:rFonts w:ascii="Times New Roman" w:hAnsi="Times New Roman" w:cs="Times New Roman"/>
          <w:bCs/>
          <w:sz w:val="24"/>
          <w:szCs w:val="24"/>
        </w:rPr>
        <w:t xml:space="preserve">Table. </w:t>
      </w:r>
    </w:p>
    <w:p w14:paraId="7AF888E3" w14:textId="75D9DC0C" w:rsidR="00CD3D42" w:rsidRPr="004F6EAB" w:rsidRDefault="00CD3D42" w:rsidP="00CD3D42">
      <w:pPr>
        <w:spacing w:line="480" w:lineRule="auto"/>
        <w:rPr>
          <w:rFonts w:ascii="Times New Roman" w:hAnsi="Times New Roman" w:cs="Times New Roman"/>
          <w:bCs/>
          <w:sz w:val="24"/>
          <w:szCs w:val="24"/>
        </w:rPr>
      </w:pPr>
      <w:r w:rsidRPr="004F6EAB">
        <w:rPr>
          <w:rFonts w:ascii="Times New Roman" w:hAnsi="Times New Roman" w:cs="Times New Roman"/>
          <w:bCs/>
          <w:sz w:val="24"/>
          <w:szCs w:val="24"/>
        </w:rPr>
        <w:t xml:space="preserve">Secondary outcomes </w:t>
      </w:r>
      <w:r w:rsidR="006E4747" w:rsidRPr="004F6EAB">
        <w:rPr>
          <w:rFonts w:ascii="Times New Roman" w:hAnsi="Times New Roman" w:cs="Times New Roman"/>
          <w:bCs/>
          <w:sz w:val="24"/>
          <w:szCs w:val="24"/>
        </w:rPr>
        <w:t>we</w:t>
      </w:r>
      <w:r w:rsidRPr="004F6EAB">
        <w:rPr>
          <w:rFonts w:ascii="Times New Roman" w:hAnsi="Times New Roman" w:cs="Times New Roman"/>
          <w:bCs/>
          <w:sz w:val="24"/>
          <w:szCs w:val="24"/>
        </w:rPr>
        <w:t>re birth length and head circumference</w:t>
      </w:r>
      <w:r w:rsidR="00B05E2F" w:rsidRPr="004F6EAB">
        <w:rPr>
          <w:rFonts w:ascii="Times New Roman" w:hAnsi="Times New Roman" w:cs="Times New Roman"/>
          <w:bCs/>
          <w:sz w:val="24"/>
          <w:szCs w:val="24"/>
        </w:rPr>
        <w:t xml:space="preserve"> measured</w:t>
      </w:r>
      <w:r w:rsidRPr="004F6EAB">
        <w:rPr>
          <w:rFonts w:ascii="Times New Roman" w:hAnsi="Times New Roman" w:cs="Times New Roman"/>
          <w:bCs/>
          <w:sz w:val="24"/>
          <w:szCs w:val="24"/>
        </w:rPr>
        <w:t xml:space="preserve"> at birth. In some cohorts</w:t>
      </w:r>
      <w:r w:rsidR="00A531AE" w:rsidRPr="004F6EAB">
        <w:rPr>
          <w:rFonts w:ascii="Times New Roman" w:hAnsi="Times New Roman" w:cs="Times New Roman"/>
          <w:bCs/>
          <w:sz w:val="24"/>
          <w:szCs w:val="24"/>
        </w:rPr>
        <w:t xml:space="preserve"> (EDEN, ROLO, and SWS)</w:t>
      </w:r>
      <w:r w:rsidRPr="004F6EAB">
        <w:rPr>
          <w:rFonts w:ascii="Times New Roman" w:hAnsi="Times New Roman" w:cs="Times New Roman"/>
          <w:bCs/>
          <w:sz w:val="24"/>
          <w:szCs w:val="24"/>
        </w:rPr>
        <w:t xml:space="preserve">, abdominal circumference and </w:t>
      </w:r>
      <w:r w:rsidR="00F500C9" w:rsidRPr="004F6EAB">
        <w:rPr>
          <w:rFonts w:ascii="Times New Roman" w:hAnsi="Times New Roman" w:cs="Times New Roman"/>
          <w:bCs/>
          <w:sz w:val="24"/>
          <w:szCs w:val="24"/>
        </w:rPr>
        <w:t xml:space="preserve">sum of </w:t>
      </w:r>
      <w:r w:rsidRPr="004F6EAB">
        <w:rPr>
          <w:rFonts w:ascii="Times New Roman" w:hAnsi="Times New Roman" w:cs="Times New Roman"/>
          <w:bCs/>
          <w:sz w:val="24"/>
          <w:szCs w:val="24"/>
        </w:rPr>
        <w:t xml:space="preserve">subscapular and triceps skinfolds were also available </w:t>
      </w:r>
      <w:r w:rsidR="00864A2A" w:rsidRPr="004F6EAB">
        <w:rPr>
          <w:rFonts w:ascii="Times New Roman" w:hAnsi="Times New Roman" w:cs="Times New Roman"/>
          <w:bCs/>
          <w:sz w:val="24"/>
          <w:szCs w:val="24"/>
        </w:rPr>
        <w:t>for</w:t>
      </w:r>
      <w:r w:rsidRPr="004F6EAB">
        <w:rPr>
          <w:rFonts w:ascii="Times New Roman" w:hAnsi="Times New Roman" w:cs="Times New Roman"/>
          <w:bCs/>
          <w:sz w:val="24"/>
          <w:szCs w:val="24"/>
        </w:rPr>
        <w:t xml:space="preserve"> investigat</w:t>
      </w:r>
      <w:r w:rsidR="00864A2A" w:rsidRPr="004F6EAB">
        <w:rPr>
          <w:rFonts w:ascii="Times New Roman" w:hAnsi="Times New Roman" w:cs="Times New Roman"/>
          <w:bCs/>
          <w:sz w:val="24"/>
          <w:szCs w:val="24"/>
        </w:rPr>
        <w:t>ion.</w:t>
      </w:r>
    </w:p>
    <w:p w14:paraId="3443002A" w14:textId="096A09C0" w:rsidR="00893B23" w:rsidRPr="004F6EAB" w:rsidRDefault="00893B23" w:rsidP="00CD3D42">
      <w:pPr>
        <w:spacing w:line="480" w:lineRule="auto"/>
        <w:rPr>
          <w:rFonts w:ascii="Times New Roman" w:hAnsi="Times New Roman" w:cs="Times New Roman"/>
          <w:b/>
          <w:bCs/>
          <w:sz w:val="24"/>
          <w:szCs w:val="24"/>
        </w:rPr>
      </w:pPr>
      <w:r w:rsidRPr="004F6EAB">
        <w:rPr>
          <w:rFonts w:ascii="Times New Roman" w:hAnsi="Times New Roman" w:cs="Times New Roman"/>
          <w:b/>
          <w:bCs/>
          <w:sz w:val="24"/>
          <w:szCs w:val="24"/>
        </w:rPr>
        <w:lastRenderedPageBreak/>
        <w:t>Covariates</w:t>
      </w:r>
    </w:p>
    <w:p w14:paraId="6DD61F17" w14:textId="22DBA5C8" w:rsidR="003F4B16" w:rsidRPr="004F6EAB" w:rsidRDefault="003F4B16" w:rsidP="005E62D3">
      <w:pPr>
        <w:spacing w:line="480" w:lineRule="auto"/>
        <w:rPr>
          <w:rFonts w:ascii="Times New Roman" w:hAnsi="Times New Roman" w:cs="Times New Roman"/>
          <w:sz w:val="24"/>
          <w:szCs w:val="24"/>
        </w:rPr>
      </w:pPr>
      <w:r w:rsidRPr="004F6EAB">
        <w:rPr>
          <w:rFonts w:ascii="Times New Roman" w:hAnsi="Times New Roman" w:cs="Times New Roman"/>
          <w:sz w:val="24"/>
          <w:szCs w:val="24"/>
        </w:rPr>
        <w:t>Important covariates were identified and harmonized for subsequent analys</w:t>
      </w:r>
      <w:r w:rsidR="00C359CF" w:rsidRPr="004F6EAB">
        <w:rPr>
          <w:rFonts w:ascii="Times New Roman" w:hAnsi="Times New Roman" w:cs="Times New Roman"/>
          <w:sz w:val="24"/>
          <w:szCs w:val="24"/>
        </w:rPr>
        <w:t>e</w:t>
      </w:r>
      <w:r w:rsidRPr="004F6EAB">
        <w:rPr>
          <w:rFonts w:ascii="Times New Roman" w:hAnsi="Times New Roman" w:cs="Times New Roman"/>
          <w:sz w:val="24"/>
          <w:szCs w:val="24"/>
        </w:rPr>
        <w:t>s. These include</w:t>
      </w:r>
      <w:r w:rsidR="00E05CF2" w:rsidRPr="004F6EAB">
        <w:rPr>
          <w:rFonts w:ascii="Times New Roman" w:hAnsi="Times New Roman" w:cs="Times New Roman"/>
          <w:sz w:val="24"/>
          <w:szCs w:val="24"/>
        </w:rPr>
        <w:t>d</w:t>
      </w:r>
      <w:r w:rsidRPr="004F6EAB">
        <w:rPr>
          <w:rFonts w:ascii="Times New Roman" w:hAnsi="Times New Roman" w:cs="Times New Roman"/>
          <w:sz w:val="24"/>
          <w:szCs w:val="24"/>
        </w:rPr>
        <w:t xml:space="preserve"> maternal</w:t>
      </w:r>
      <w:r w:rsidR="0054213F" w:rsidRPr="004F6EAB">
        <w:rPr>
          <w:rFonts w:ascii="Times New Roman" w:hAnsi="Times New Roman" w:cs="Times New Roman"/>
          <w:sz w:val="24"/>
          <w:szCs w:val="24"/>
        </w:rPr>
        <w:t xml:space="preserve"> </w:t>
      </w:r>
      <w:r w:rsidRPr="004F6EAB">
        <w:rPr>
          <w:rFonts w:ascii="Times New Roman" w:hAnsi="Times New Roman" w:cs="Times New Roman"/>
          <w:sz w:val="24"/>
          <w:szCs w:val="24"/>
        </w:rPr>
        <w:t>height (in cm), pre-pregnancy body mass index (BMI; in kg/m</w:t>
      </w:r>
      <w:r w:rsidRPr="004F6EAB">
        <w:rPr>
          <w:rFonts w:ascii="Times New Roman" w:hAnsi="Times New Roman" w:cs="Times New Roman"/>
          <w:sz w:val="24"/>
          <w:szCs w:val="24"/>
          <w:vertAlign w:val="superscript"/>
        </w:rPr>
        <w:t>2</w:t>
      </w:r>
      <w:r w:rsidRPr="004F6EAB">
        <w:rPr>
          <w:rFonts w:ascii="Times New Roman" w:hAnsi="Times New Roman" w:cs="Times New Roman"/>
          <w:sz w:val="24"/>
          <w:szCs w:val="24"/>
        </w:rPr>
        <w:t>), m</w:t>
      </w:r>
      <w:r w:rsidR="0054213F" w:rsidRPr="004F6EAB">
        <w:rPr>
          <w:rFonts w:ascii="Times New Roman" w:hAnsi="Times New Roman" w:cs="Times New Roman"/>
          <w:sz w:val="24"/>
          <w:szCs w:val="24"/>
        </w:rPr>
        <w:t>aternal age</w:t>
      </w:r>
      <w:r w:rsidRPr="004F6EAB">
        <w:rPr>
          <w:rFonts w:ascii="Times New Roman" w:hAnsi="Times New Roman" w:cs="Times New Roman"/>
          <w:sz w:val="24"/>
          <w:szCs w:val="24"/>
        </w:rPr>
        <w:t xml:space="preserve"> at delivery (in year), m</w:t>
      </w:r>
      <w:r w:rsidR="0054213F" w:rsidRPr="004F6EAB">
        <w:rPr>
          <w:rFonts w:ascii="Times New Roman" w:hAnsi="Times New Roman" w:cs="Times New Roman"/>
          <w:sz w:val="24"/>
          <w:szCs w:val="24"/>
        </w:rPr>
        <w:t>aternal education status</w:t>
      </w:r>
      <w:r w:rsidRPr="004F6EAB">
        <w:rPr>
          <w:rFonts w:ascii="Times New Roman" w:hAnsi="Times New Roman" w:cs="Times New Roman"/>
          <w:sz w:val="24"/>
          <w:szCs w:val="24"/>
        </w:rPr>
        <w:t xml:space="preserve"> (study</w:t>
      </w:r>
      <w:r w:rsidR="00864A2A" w:rsidRPr="004F6EAB">
        <w:rPr>
          <w:rFonts w:ascii="Times New Roman" w:hAnsi="Times New Roman" w:cs="Times New Roman"/>
          <w:sz w:val="24"/>
          <w:szCs w:val="24"/>
        </w:rPr>
        <w:t>-</w:t>
      </w:r>
      <w:r w:rsidRPr="004F6EAB">
        <w:rPr>
          <w:rFonts w:ascii="Times New Roman" w:hAnsi="Times New Roman" w:cs="Times New Roman"/>
          <w:sz w:val="24"/>
          <w:szCs w:val="24"/>
        </w:rPr>
        <w:t xml:space="preserve">specific definition of low/medium/high), self-reported </w:t>
      </w:r>
      <w:r w:rsidR="006E2E71" w:rsidRPr="004F6EAB">
        <w:rPr>
          <w:rFonts w:ascii="Times New Roman" w:hAnsi="Times New Roman" w:cs="Times New Roman"/>
          <w:sz w:val="24"/>
          <w:szCs w:val="24"/>
        </w:rPr>
        <w:t>maternal birth place/</w:t>
      </w:r>
      <w:r w:rsidRPr="004F6EAB">
        <w:rPr>
          <w:rFonts w:ascii="Times New Roman" w:hAnsi="Times New Roman" w:cs="Times New Roman"/>
          <w:sz w:val="24"/>
          <w:szCs w:val="24"/>
        </w:rPr>
        <w:t>m</w:t>
      </w:r>
      <w:r w:rsidR="0054213F" w:rsidRPr="004F6EAB">
        <w:rPr>
          <w:rFonts w:ascii="Times New Roman" w:hAnsi="Times New Roman" w:cs="Times New Roman"/>
          <w:sz w:val="24"/>
          <w:szCs w:val="24"/>
        </w:rPr>
        <w:t>aternal ethnicity</w:t>
      </w:r>
      <w:r w:rsidRPr="004F6EAB">
        <w:rPr>
          <w:rFonts w:ascii="Times New Roman" w:hAnsi="Times New Roman" w:cs="Times New Roman"/>
          <w:sz w:val="24"/>
          <w:szCs w:val="24"/>
        </w:rPr>
        <w:t xml:space="preserve"> (European</w:t>
      </w:r>
      <w:r w:rsidR="006E2E71" w:rsidRPr="004F6EAB">
        <w:rPr>
          <w:rFonts w:ascii="Times New Roman" w:hAnsi="Times New Roman" w:cs="Times New Roman"/>
          <w:sz w:val="24"/>
          <w:szCs w:val="24"/>
        </w:rPr>
        <w:t>-born</w:t>
      </w:r>
      <w:r w:rsidRPr="004F6EAB">
        <w:rPr>
          <w:rFonts w:ascii="Times New Roman" w:hAnsi="Times New Roman" w:cs="Times New Roman"/>
          <w:sz w:val="24"/>
          <w:szCs w:val="24"/>
        </w:rPr>
        <w:t>/White or</w:t>
      </w:r>
      <w:r w:rsidR="00FF6852" w:rsidRPr="004F6EAB">
        <w:rPr>
          <w:rFonts w:ascii="Times New Roman" w:hAnsi="Times New Roman" w:cs="Times New Roman"/>
          <w:sz w:val="24"/>
          <w:szCs w:val="24"/>
        </w:rPr>
        <w:t xml:space="preserve"> non-European</w:t>
      </w:r>
      <w:r w:rsidR="006E2E71" w:rsidRPr="004F6EAB">
        <w:rPr>
          <w:rFonts w:ascii="Times New Roman" w:hAnsi="Times New Roman" w:cs="Times New Roman"/>
          <w:sz w:val="24"/>
          <w:szCs w:val="24"/>
        </w:rPr>
        <w:t>-born</w:t>
      </w:r>
      <w:r w:rsidR="00FF6852" w:rsidRPr="004F6EAB">
        <w:rPr>
          <w:rFonts w:ascii="Times New Roman" w:hAnsi="Times New Roman" w:cs="Times New Roman"/>
          <w:sz w:val="24"/>
          <w:szCs w:val="24"/>
        </w:rPr>
        <w:t>/non-White</w:t>
      </w:r>
      <w:r w:rsidRPr="004F6EAB">
        <w:rPr>
          <w:rFonts w:ascii="Times New Roman" w:hAnsi="Times New Roman" w:cs="Times New Roman"/>
          <w:sz w:val="24"/>
          <w:szCs w:val="24"/>
        </w:rPr>
        <w:t>), m</w:t>
      </w:r>
      <w:r w:rsidR="0054213F" w:rsidRPr="004F6EAB">
        <w:rPr>
          <w:rFonts w:ascii="Times New Roman" w:hAnsi="Times New Roman" w:cs="Times New Roman"/>
          <w:sz w:val="24"/>
          <w:szCs w:val="24"/>
        </w:rPr>
        <w:t>aternal</w:t>
      </w:r>
      <w:r w:rsidRPr="004F6EAB">
        <w:rPr>
          <w:rFonts w:ascii="Times New Roman" w:hAnsi="Times New Roman" w:cs="Times New Roman"/>
          <w:sz w:val="24"/>
          <w:szCs w:val="24"/>
        </w:rPr>
        <w:t xml:space="preserve"> cigarette</w:t>
      </w:r>
      <w:r w:rsidR="0054213F" w:rsidRPr="004F6EAB">
        <w:rPr>
          <w:rFonts w:ascii="Times New Roman" w:hAnsi="Times New Roman" w:cs="Times New Roman"/>
          <w:sz w:val="24"/>
          <w:szCs w:val="24"/>
        </w:rPr>
        <w:t xml:space="preserve"> smoking</w:t>
      </w:r>
      <w:r w:rsidRPr="004F6EAB">
        <w:rPr>
          <w:rFonts w:ascii="Times New Roman" w:hAnsi="Times New Roman" w:cs="Times New Roman"/>
          <w:sz w:val="24"/>
          <w:szCs w:val="24"/>
        </w:rPr>
        <w:t xml:space="preserve"> (never/ever/</w:t>
      </w:r>
      <w:r w:rsidR="00F55EC2" w:rsidRPr="004F6EAB">
        <w:rPr>
          <w:rFonts w:ascii="Times New Roman" w:hAnsi="Times New Roman" w:cs="Times New Roman"/>
          <w:sz w:val="24"/>
          <w:szCs w:val="24"/>
        </w:rPr>
        <w:t>current</w:t>
      </w:r>
      <w:r w:rsidRPr="004F6EAB">
        <w:rPr>
          <w:rFonts w:ascii="Times New Roman" w:hAnsi="Times New Roman" w:cs="Times New Roman"/>
          <w:sz w:val="24"/>
          <w:szCs w:val="24"/>
        </w:rPr>
        <w:t>), m</w:t>
      </w:r>
      <w:r w:rsidR="0054213F" w:rsidRPr="004F6EAB">
        <w:rPr>
          <w:rFonts w:ascii="Times New Roman" w:hAnsi="Times New Roman" w:cs="Times New Roman"/>
          <w:sz w:val="24"/>
          <w:szCs w:val="24"/>
        </w:rPr>
        <w:t>aternal alcohol intake</w:t>
      </w:r>
      <w:r w:rsidRPr="004F6EAB">
        <w:rPr>
          <w:rFonts w:ascii="Times New Roman" w:hAnsi="Times New Roman" w:cs="Times New Roman"/>
          <w:sz w:val="24"/>
          <w:szCs w:val="24"/>
        </w:rPr>
        <w:t xml:space="preserve"> during pregnancy (yes/no), maternal parity (primiparous</w:t>
      </w:r>
      <w:r w:rsidR="003812E9" w:rsidRPr="004F6EAB">
        <w:rPr>
          <w:rFonts w:ascii="Times New Roman" w:hAnsi="Times New Roman" w:cs="Times New Roman"/>
          <w:sz w:val="24"/>
          <w:szCs w:val="24"/>
        </w:rPr>
        <w:t>/</w:t>
      </w:r>
      <w:r w:rsidRPr="004F6EAB">
        <w:rPr>
          <w:rFonts w:ascii="Times New Roman" w:hAnsi="Times New Roman" w:cs="Times New Roman"/>
          <w:sz w:val="24"/>
          <w:szCs w:val="24"/>
        </w:rPr>
        <w:t xml:space="preserve">multiparous), and </w:t>
      </w:r>
      <w:r w:rsidR="00616120" w:rsidRPr="004F6EAB">
        <w:rPr>
          <w:rFonts w:ascii="Times New Roman" w:hAnsi="Times New Roman"/>
          <w:sz w:val="24"/>
          <w:szCs w:val="24"/>
        </w:rPr>
        <w:t>infant</w:t>
      </w:r>
      <w:r w:rsidR="00616120" w:rsidRPr="004F6EAB">
        <w:rPr>
          <w:rFonts w:ascii="Times New Roman" w:hAnsi="Times New Roman" w:cs="Times New Roman"/>
          <w:sz w:val="24"/>
          <w:szCs w:val="24"/>
        </w:rPr>
        <w:t xml:space="preserve"> </w:t>
      </w:r>
      <w:r w:rsidRPr="004F6EAB">
        <w:rPr>
          <w:rFonts w:ascii="Times New Roman" w:hAnsi="Times New Roman" w:cs="Times New Roman"/>
          <w:sz w:val="24"/>
          <w:szCs w:val="24"/>
        </w:rPr>
        <w:t xml:space="preserve">sex (male/female). These </w:t>
      </w:r>
      <w:r w:rsidR="00B05E2F" w:rsidRPr="004F6EAB">
        <w:rPr>
          <w:rFonts w:ascii="Times New Roman" w:hAnsi="Times New Roman" w:cs="Times New Roman"/>
          <w:sz w:val="24"/>
          <w:szCs w:val="24"/>
        </w:rPr>
        <w:t>data were originally collected by questionnaires (interviewer</w:t>
      </w:r>
      <w:r w:rsidR="00864A2A" w:rsidRPr="004F6EAB">
        <w:rPr>
          <w:rFonts w:ascii="Times New Roman" w:hAnsi="Times New Roman" w:cs="Times New Roman"/>
          <w:sz w:val="24"/>
          <w:szCs w:val="24"/>
        </w:rPr>
        <w:t>-</w:t>
      </w:r>
      <w:r w:rsidR="00B05E2F" w:rsidRPr="004F6EAB">
        <w:rPr>
          <w:rFonts w:ascii="Times New Roman" w:hAnsi="Times New Roman" w:cs="Times New Roman"/>
          <w:sz w:val="24"/>
          <w:szCs w:val="24"/>
        </w:rPr>
        <w:t xml:space="preserve"> or self-administered) or abstract</w:t>
      </w:r>
      <w:r w:rsidR="00440605" w:rsidRPr="004F6EAB">
        <w:rPr>
          <w:rFonts w:ascii="Times New Roman" w:hAnsi="Times New Roman" w:cs="Times New Roman"/>
          <w:sz w:val="24"/>
          <w:szCs w:val="24"/>
        </w:rPr>
        <w:t>ed</w:t>
      </w:r>
      <w:r w:rsidR="00B05E2F" w:rsidRPr="004F6EAB">
        <w:rPr>
          <w:rFonts w:ascii="Times New Roman" w:hAnsi="Times New Roman" w:cs="Times New Roman"/>
          <w:sz w:val="24"/>
          <w:szCs w:val="24"/>
        </w:rPr>
        <w:t xml:space="preserve"> from birth records. </w:t>
      </w:r>
      <w:r w:rsidR="00853A7A">
        <w:rPr>
          <w:rFonts w:ascii="Times New Roman" w:hAnsi="Times New Roman" w:cs="Times New Roman"/>
          <w:sz w:val="24"/>
          <w:szCs w:val="24"/>
        </w:rPr>
        <w:t>Data are expressed in different units and categories in different studies, thus we harmonized the covariates across studies through standardizing units and categories for downstream analysis. For example, educational attainment were re-categorized based on study-specific definitions of low, medium, and high. In addition, some countries did not allow specific question on ‘ethnicity’ and thus can only be</w:t>
      </w:r>
      <w:r w:rsidR="00853A7A" w:rsidRPr="00536CAD">
        <w:rPr>
          <w:rFonts w:ascii="Times New Roman" w:hAnsi="Times New Roman" w:cs="Times New Roman"/>
          <w:sz w:val="24"/>
          <w:szCs w:val="24"/>
        </w:rPr>
        <w:t xml:space="preserve"> proxie</w:t>
      </w:r>
      <w:r w:rsidR="00853A7A">
        <w:rPr>
          <w:rFonts w:ascii="Times New Roman" w:hAnsi="Times New Roman" w:cs="Times New Roman"/>
          <w:sz w:val="24"/>
          <w:szCs w:val="24"/>
        </w:rPr>
        <w:t>d by questions on place of birth. We grouped participants who specifically reported as being of European ancestry and those reported as being born in Europe into one group.</w:t>
      </w:r>
    </w:p>
    <w:p w14:paraId="5F6D3FF5" w14:textId="207E74CE" w:rsidR="00E26949" w:rsidRPr="004F6EAB" w:rsidRDefault="00E26949" w:rsidP="005E62D3">
      <w:pPr>
        <w:spacing w:line="480" w:lineRule="auto"/>
        <w:rPr>
          <w:rFonts w:ascii="Times New Roman" w:hAnsi="Times New Roman" w:cs="Times New Roman"/>
          <w:b/>
          <w:sz w:val="24"/>
          <w:szCs w:val="24"/>
        </w:rPr>
      </w:pPr>
      <w:r w:rsidRPr="004F6EAB">
        <w:rPr>
          <w:rFonts w:ascii="Times New Roman" w:hAnsi="Times New Roman" w:cs="Times New Roman"/>
          <w:b/>
          <w:sz w:val="24"/>
          <w:szCs w:val="24"/>
        </w:rPr>
        <w:t xml:space="preserve">Statistical analysis </w:t>
      </w:r>
    </w:p>
    <w:p w14:paraId="7D3B95C8" w14:textId="771501BB" w:rsidR="00B06D43" w:rsidRPr="004F6EAB" w:rsidRDefault="00E018A8" w:rsidP="005E62D3">
      <w:pPr>
        <w:spacing w:line="480" w:lineRule="auto"/>
        <w:rPr>
          <w:rFonts w:ascii="Times New Roman" w:hAnsi="Times New Roman" w:cs="Times New Roman"/>
          <w:sz w:val="24"/>
          <w:szCs w:val="24"/>
        </w:rPr>
      </w:pPr>
      <w:r w:rsidRPr="004F6EAB">
        <w:rPr>
          <w:rFonts w:ascii="Times New Roman" w:hAnsi="Times New Roman" w:cs="Times New Roman"/>
          <w:sz w:val="24"/>
          <w:szCs w:val="24"/>
        </w:rPr>
        <w:t>Participants’</w:t>
      </w:r>
      <w:r w:rsidR="00DD79A1" w:rsidRPr="004F6EAB">
        <w:rPr>
          <w:rFonts w:ascii="Times New Roman" w:hAnsi="Times New Roman" w:cs="Times New Roman"/>
          <w:sz w:val="24"/>
          <w:szCs w:val="24"/>
        </w:rPr>
        <w:t xml:space="preserve"> characteristics</w:t>
      </w:r>
      <w:r w:rsidR="00E850FD" w:rsidRPr="004F6EAB">
        <w:rPr>
          <w:rFonts w:ascii="Times New Roman" w:hAnsi="Times New Roman" w:cs="Times New Roman"/>
          <w:sz w:val="24"/>
          <w:szCs w:val="24"/>
        </w:rPr>
        <w:t xml:space="preserve"> </w:t>
      </w:r>
      <w:r w:rsidRPr="004F6EAB">
        <w:rPr>
          <w:rFonts w:ascii="Times New Roman" w:hAnsi="Times New Roman" w:cs="Times New Roman"/>
          <w:sz w:val="24"/>
          <w:szCs w:val="24"/>
        </w:rPr>
        <w:t xml:space="preserve">were summarized for the ALPHABET consortium and </w:t>
      </w:r>
      <w:r w:rsidR="00E850FD" w:rsidRPr="004F6EAB">
        <w:rPr>
          <w:rFonts w:ascii="Times New Roman" w:hAnsi="Times New Roman" w:cs="Times New Roman"/>
          <w:sz w:val="24"/>
          <w:szCs w:val="24"/>
        </w:rPr>
        <w:t xml:space="preserve">according to </w:t>
      </w:r>
      <w:r w:rsidRPr="004F6EAB">
        <w:rPr>
          <w:rFonts w:ascii="Times New Roman" w:hAnsi="Times New Roman" w:cs="Times New Roman"/>
          <w:sz w:val="24"/>
          <w:szCs w:val="24"/>
        </w:rPr>
        <w:t>its constituent studies.</w:t>
      </w:r>
      <w:r w:rsidR="00E850FD" w:rsidRPr="004F6EAB">
        <w:rPr>
          <w:rFonts w:ascii="Times New Roman" w:hAnsi="Times New Roman" w:cs="Times New Roman"/>
          <w:sz w:val="24"/>
          <w:szCs w:val="24"/>
        </w:rPr>
        <w:t xml:space="preserve"> </w:t>
      </w:r>
      <w:r w:rsidR="00B450B1" w:rsidRPr="004F6EAB">
        <w:rPr>
          <w:rFonts w:ascii="Times New Roman" w:hAnsi="Times New Roman" w:cs="Times New Roman"/>
          <w:sz w:val="24"/>
          <w:szCs w:val="24"/>
        </w:rPr>
        <w:t>These were limited to participants with availability of the exposure (maternal diet)</w:t>
      </w:r>
      <w:r w:rsidR="00F500C9" w:rsidRPr="004F6EAB">
        <w:rPr>
          <w:rFonts w:ascii="Times New Roman" w:hAnsi="Times New Roman" w:cs="Times New Roman"/>
          <w:sz w:val="24"/>
          <w:szCs w:val="24"/>
        </w:rPr>
        <w:t xml:space="preserve"> and</w:t>
      </w:r>
      <w:r w:rsidR="00B450B1" w:rsidRPr="004F6EAB">
        <w:rPr>
          <w:rFonts w:ascii="Times New Roman" w:hAnsi="Times New Roman" w:cs="Times New Roman"/>
          <w:sz w:val="24"/>
          <w:szCs w:val="24"/>
        </w:rPr>
        <w:t xml:space="preserve"> main outcomes (birth weight or gestational age)</w:t>
      </w:r>
      <w:r w:rsidR="00F500C9" w:rsidRPr="004F6EAB">
        <w:rPr>
          <w:rFonts w:ascii="Times New Roman" w:hAnsi="Times New Roman" w:cs="Times New Roman"/>
          <w:sz w:val="24"/>
          <w:szCs w:val="24"/>
        </w:rPr>
        <w:t xml:space="preserve"> </w:t>
      </w:r>
      <w:r w:rsidR="00B450B1" w:rsidRPr="004F6EAB">
        <w:rPr>
          <w:rFonts w:ascii="Times New Roman" w:hAnsi="Times New Roman" w:cs="Times New Roman"/>
          <w:sz w:val="24"/>
          <w:szCs w:val="24"/>
        </w:rPr>
        <w:t xml:space="preserve">information. </w:t>
      </w:r>
      <w:r w:rsidR="002712FB" w:rsidRPr="004F6EAB">
        <w:rPr>
          <w:rFonts w:ascii="Times New Roman" w:hAnsi="Times New Roman" w:cs="Times New Roman"/>
          <w:sz w:val="24"/>
          <w:szCs w:val="24"/>
        </w:rPr>
        <w:t>We</w:t>
      </w:r>
      <w:r w:rsidR="00B450B1" w:rsidRPr="004F6EAB">
        <w:rPr>
          <w:rFonts w:ascii="Times New Roman" w:hAnsi="Times New Roman" w:cs="Times New Roman"/>
          <w:sz w:val="24"/>
          <w:szCs w:val="24"/>
        </w:rPr>
        <w:t xml:space="preserve"> further excluded participants with implausible energy intakes (&lt;500 or &gt;3</w:t>
      </w:r>
      <w:r w:rsidR="006E4747" w:rsidRPr="004F6EAB">
        <w:rPr>
          <w:rFonts w:ascii="Times New Roman" w:hAnsi="Times New Roman" w:cs="Times New Roman"/>
          <w:sz w:val="24"/>
          <w:szCs w:val="24"/>
        </w:rPr>
        <w:t>,</w:t>
      </w:r>
      <w:r w:rsidR="00B450B1" w:rsidRPr="004F6EAB">
        <w:rPr>
          <w:rFonts w:ascii="Times New Roman" w:hAnsi="Times New Roman" w:cs="Times New Roman"/>
          <w:sz w:val="24"/>
          <w:szCs w:val="24"/>
        </w:rPr>
        <w:t>500 kcal/d)</w:t>
      </w:r>
      <w:r w:rsidR="002712FB" w:rsidRPr="004F6EAB">
        <w:rPr>
          <w:rFonts w:ascii="Times New Roman" w:hAnsi="Times New Roman" w:cs="Times New Roman"/>
          <w:sz w:val="24"/>
          <w:szCs w:val="24"/>
        </w:rPr>
        <w:t xml:space="preserve"> to avoid extreme misreporting</w:t>
      </w:r>
      <w:r w:rsidR="00B450B1" w:rsidRPr="004F6EAB">
        <w:rPr>
          <w:rFonts w:ascii="Times New Roman" w:hAnsi="Times New Roman" w:cs="Times New Roman"/>
          <w:sz w:val="24"/>
          <w:szCs w:val="24"/>
        </w:rPr>
        <w:t xml:space="preserve"> </w:t>
      </w:r>
      <w:r w:rsidR="002712FB"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{"citationItems":[{"id":"ITEM-1","itemData":{"DOI":"10.1001/archinternmed.2012.3747","ISSN":"1538-3679","PMID":"22987062","abstract":"BACKGROUND: Type 2 diabetes mellitus (T2DM) has reached epidemic proportions. Women with gestational diabetes mellitus (GDM) are at high risk for T2DM after pregnancy. Adherence to healthful dietary patterns has been inversely associated with T2DM in the general population; however, whether these dietary patterns are associated with progression to T2DM among a susceptible population is unknown.\n\nMETHODS: Four thousand four hundred thirteen participants from the Nurses' Health Study II cohort with prior GDM were followed up from 1991 to 2005. We derived the alternate Mediterranean diet (aMED), Dietary Approaches to Stop Hypertension (DASH), and alternate Healthy Eating Index (aHEI) dietary pattern adherence scores from a post-GDM validated food-frequency questionnaire, with cumulative average updating every 4 years. Multivariable Cox proportional hazards models estimated the relative risk (hazard ratios) and 95% confidence intervals.\n\nRESULTS: We observed 491 cases of incident T2DM during 52 743 person-years. All 3 patterns were inversely associated with T2DM risk with adjustment for age, total calorie intake, age at first birth, parity, ethnicity, parental diabetes, oral contraceptive use, menopause, and smoking. When we compared participants with the highest adherence (quartile 4) vs lowest (quartile 1), the aMED pattern was associated with 40% lower risk of T2DM (hazard ratio, 0.60 [95% CI, 0.44-0.82; P=.002]); the DASH pattern, with 46% lower risk (0.54 [0.39-0.73; P.001]); and the aHEI pattern, with 57% lower risk (0.43 [0.31-0.59; P.001]). Adjustment for body mass index moderately attenuated these findings.\n\nCONCLUSIONS: Adherence to healthful dietary patterns is associated with lower T2DM risk among women with a history of GDM. The inverse associations are partly mediated by body mass index.","author":[{"dropping-particle":"","family":"Tobias","given":"Deirdre K","non-dropping-particle":"","parse-names":false,"suffix":""},{"dropping-particle":"","family":"Hu","given":"Frank B","non-dropping-particle":"","parse-names":false,"suffix":""},{"dropping-particle":"","family":"Chavarro","given":"Jorge","non-dropping-particle":"","parse-names":false,"suffix":""},{"dropping-particle":"","family":"Rosner","given":"Bernard","non-dropping-particle":"","parse-names":false,"suffix":""},{"dropping-particle":"","family":"Mozaffarian","given":"Dariush","non-dropping-particle":"","parse-names":false,"suffix":""},{"dropping-particle":"","family":"Zhang","given":"Cuilin","non-dropping-particle":"","parse-names":false,"suffix":""}],"container-title":"Archives of internal medicine","id":"ITEM-1","issue":"20","issued":{"date-parts":[["2012","11","12"]]},"page":"1566-72","publisher":"American Medical Association","title":"Healthful dietary patterns and type 2 diabetes mellitus risk among women with a history of gestational diabetes mellitus.","type":"article-journal","volume":"172"},"uris":["http://www.mendeley.com/documents/?uuid=ea348f10-b90e-401e-a6b8-0842d815e2df"]},{"id":"ITEM-2","itemData":{"DOI":"10.2337/dc11-0135","ISSN":"1935-5548","PMID":"21709295","abstract":"OBJECTIVE Higher heme iron intake is associated with increased type 2 diabetes risk. However, no previous study has evaluated gestational diabetes mellitus (GDM) risk in relation to heme iron intake during pregnancy. We investigated associations of maternal preconceptional and early pregnancy heme and nonheme iron intake with subsequent GDM risk. RESEARCH DESIGN AND METHODS We conducted a prospective cohort study of 3,158 pregnant women. A food frequency questionnaire was used to assess maternal diet. Multivariable generalized linear regression models were used to derive estimates of relative risks (RRs) and 95% CIs. RESULTS Approximately 5.0% of the cohort developed GDM (n=158). Heme iron intake was positively and significantly associated with GDM risk (Ptrend=0.04). After adjusting for confounders, w</w:instrText>
      </w:r>
      <w:r w:rsidR="005C1ADD">
        <w:rPr>
          <w:rFonts w:ascii="Times New Roman" w:hAnsi="Times New Roman" w:cs="Times New Roman" w:hint="eastAsia"/>
          <w:sz w:val="24"/>
          <w:szCs w:val="24"/>
        </w:rPr>
        <w:instrText>omen reporting the highest heme iron intake levels (</w:instrText>
      </w:r>
      <w:r w:rsidR="005C1ADD">
        <w:rPr>
          <w:rFonts w:ascii="Times New Roman" w:hAnsi="Times New Roman" w:cs="Times New Roman" w:hint="eastAsia"/>
          <w:sz w:val="24"/>
          <w:szCs w:val="24"/>
        </w:rPr>
        <w:instrText>≥</w:instrText>
      </w:r>
      <w:r w:rsidR="005C1ADD">
        <w:rPr>
          <w:rFonts w:ascii="Times New Roman" w:hAnsi="Times New Roman" w:cs="Times New Roman" w:hint="eastAsia"/>
          <w:sz w:val="24"/>
          <w:szCs w:val="24"/>
        </w:rPr>
        <w:instrText>1.52 vs. &lt;0.48 mg per day) experienced a 3.31-fold-increased GDM risk (95% CI 1.02-10.72). In fully adjusted models, we noted that a 1-mg per day increase in heme iron was associated with a 51% increase</w:instrText>
      </w:r>
      <w:r w:rsidR="005C1ADD">
        <w:rPr>
          <w:rFonts w:ascii="Times New Roman" w:hAnsi="Times New Roman" w:cs="Times New Roman"/>
          <w:sz w:val="24"/>
          <w:szCs w:val="24"/>
        </w:rPr>
        <w:instrText>d GDM risk (RR 1.51 [95% CI 0.99-2.36]). Nonheme iron was inversely, though not statistically significantly, associated with GDM risk, and the corresponding RRs were 1.00, 0.83, 0.62, and 0.61 across quartiles of nonheme iron intake (Ptrend=0.08). CONCLUSIONS High levels of dietary heme iron intake during the preconceptional and early pregnancy period may be associated with increased GDM risk. Associations of GDM risk with dietary nonheme iron intake are less clear. Confirmation of these findings by future studies is warranted.","author":[{"dropping-particle":"","family":"Qiu","given":"Chunfang","non-dropping-particle":"","parse-names":false,"suffix":""},{"dropping-particle":"","family":"Zhang","given":"Cuilin","non-dropping-particle":"","parse-names":false,"suffix":""},{"dropping-particle":"","family":"Gelaye","given":"Bizu","non-dropping-particle":"","parse-names":false,"suffix":""},{"dropping-particle":"","family":"Enquobahrie","given":"Daniel A","non-dropping-particle":"","parse-names":false,"suffix":""},{"dropping-particle":"","family":"Frederick","given":"Ihunnaya O","non-dropping-particle":"","parse-names":false,"suffix":""},{"dropping-particle":"","family":"Williams","given":"Michelle A","non-dropping-particle":"","parse-names":false,"suffix":""}],"container-title":"Diabetes care","id":"ITEM-2","issue":"7","issued":{"date-parts":[["2011","7"]]},"page":"1564-9","publisher":"American Diabetes Association","title":"Gestational diabetes mellitus in relation to maternal dietary heme iron and nonheme iron intake.","type":"article-journal","volume":"34"},"uris":["http://www.mendeley.com/documents/?uuid=ea840f42-2ec2-3b50-a247-b7ae89a9bf46"]}],"mendeley":{"formattedCitation":"[47,48]","plainTextFormattedCitation":"[47,48]","previouslyFormattedCitation":"[47,48]"},"properties":{"noteIndex":0},"schema":"https://github.com/citation-style-language/schema/raw/master/csl-citation.json"}</w:instrText>
      </w:r>
      <w:r w:rsidR="002712FB"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[47,48]</w:t>
      </w:r>
      <w:r w:rsidR="002712FB" w:rsidRPr="004F6EAB">
        <w:rPr>
          <w:rFonts w:ascii="Times New Roman" w:hAnsi="Times New Roman" w:cs="Times New Roman"/>
          <w:sz w:val="24"/>
          <w:szCs w:val="24"/>
        </w:rPr>
        <w:fldChar w:fldCharType="end"/>
      </w:r>
      <w:r w:rsidR="00B450B1" w:rsidRPr="004F6EAB">
        <w:rPr>
          <w:rFonts w:ascii="Times New Roman" w:hAnsi="Times New Roman" w:cs="Times New Roman"/>
          <w:sz w:val="24"/>
          <w:szCs w:val="24"/>
        </w:rPr>
        <w:t xml:space="preserve">. </w:t>
      </w:r>
    </w:p>
    <w:p w14:paraId="63D85830" w14:textId="50B5A048" w:rsidR="00EC6F08" w:rsidRPr="004F6EAB" w:rsidRDefault="00E850FD" w:rsidP="005E62D3">
      <w:pPr>
        <w:spacing w:line="480" w:lineRule="auto"/>
        <w:rPr>
          <w:rFonts w:ascii="Times New Roman" w:hAnsi="Times New Roman" w:cs="Times New Roman"/>
          <w:sz w:val="24"/>
          <w:szCs w:val="24"/>
        </w:rPr>
      </w:pPr>
      <w:r w:rsidRPr="004F6EAB">
        <w:rPr>
          <w:rFonts w:ascii="Times New Roman" w:hAnsi="Times New Roman" w:cs="Times New Roman"/>
          <w:sz w:val="24"/>
          <w:szCs w:val="24"/>
        </w:rPr>
        <w:t>A two-stage individual participant data meta-analysis was used to assess the a</w:t>
      </w:r>
      <w:r w:rsidR="00DD79A1" w:rsidRPr="004F6EAB">
        <w:rPr>
          <w:rFonts w:ascii="Times New Roman" w:hAnsi="Times New Roman" w:cs="Times New Roman"/>
          <w:sz w:val="24"/>
          <w:szCs w:val="24"/>
        </w:rPr>
        <w:t xml:space="preserve">ssociations between maternal diet quality </w:t>
      </w:r>
      <w:r w:rsidR="005A7A69" w:rsidRPr="004F6EAB">
        <w:rPr>
          <w:rFonts w:ascii="Times New Roman" w:hAnsi="Times New Roman" w:cs="Times New Roman"/>
          <w:sz w:val="24"/>
          <w:szCs w:val="24"/>
        </w:rPr>
        <w:t xml:space="preserve">and inflammatory potential </w:t>
      </w:r>
      <w:r w:rsidR="00DD79A1" w:rsidRPr="004F6EAB">
        <w:rPr>
          <w:rFonts w:ascii="Times New Roman" w:hAnsi="Times New Roman" w:cs="Times New Roman"/>
          <w:sz w:val="24"/>
          <w:szCs w:val="24"/>
        </w:rPr>
        <w:t xml:space="preserve">and </w:t>
      </w:r>
      <w:r w:rsidRPr="004F6EAB">
        <w:rPr>
          <w:rFonts w:ascii="Times New Roman" w:hAnsi="Times New Roman" w:cs="Times New Roman"/>
          <w:sz w:val="24"/>
          <w:szCs w:val="24"/>
        </w:rPr>
        <w:t>birth outcomes</w:t>
      </w:r>
      <w:r w:rsidR="00B06D43" w:rsidRPr="004F6EAB">
        <w:rPr>
          <w:rFonts w:ascii="Times New Roman" w:hAnsi="Times New Roman" w:cs="Times New Roman"/>
          <w:sz w:val="24"/>
          <w:szCs w:val="24"/>
        </w:rPr>
        <w:t>.</w:t>
      </w:r>
      <w:r w:rsidRPr="004F6EAB">
        <w:rPr>
          <w:rFonts w:ascii="Times New Roman" w:hAnsi="Times New Roman" w:cs="Times New Roman"/>
          <w:sz w:val="24"/>
          <w:szCs w:val="24"/>
        </w:rPr>
        <w:t xml:space="preserve"> Cohort-specific effect estimates were first obtained by using linear and logistic regressions for </w:t>
      </w:r>
      <w:r w:rsidRPr="004F6EAB">
        <w:rPr>
          <w:rFonts w:ascii="Times New Roman" w:hAnsi="Times New Roman" w:cs="Times New Roman"/>
          <w:sz w:val="24"/>
          <w:szCs w:val="24"/>
        </w:rPr>
        <w:lastRenderedPageBreak/>
        <w:t>continuous and binary outcomes, respectively. The effect estimates were then pooled using random-effects meta-analysis</w:t>
      </w:r>
      <w:r w:rsidR="00F35ACD" w:rsidRPr="004F6EAB">
        <w:rPr>
          <w:rFonts w:ascii="Times New Roman" w:hAnsi="Times New Roman" w:cs="Times New Roman"/>
          <w:sz w:val="24"/>
          <w:szCs w:val="24"/>
        </w:rPr>
        <w:t xml:space="preserve"> following methods described by </w:t>
      </w:r>
      <w:proofErr w:type="spellStart"/>
      <w:r w:rsidR="00F35ACD" w:rsidRPr="004F6EAB">
        <w:rPr>
          <w:rFonts w:ascii="Times New Roman" w:hAnsi="Times New Roman" w:cs="Times New Roman"/>
          <w:sz w:val="24"/>
          <w:szCs w:val="24"/>
        </w:rPr>
        <w:t>DerSimonian</w:t>
      </w:r>
      <w:proofErr w:type="spellEnd"/>
      <w:r w:rsidR="00F35ACD" w:rsidRPr="004F6EAB">
        <w:rPr>
          <w:rFonts w:ascii="Times New Roman" w:hAnsi="Times New Roman" w:cs="Times New Roman"/>
          <w:sz w:val="24"/>
          <w:szCs w:val="24"/>
        </w:rPr>
        <w:t xml:space="preserve"> and Laird </w:t>
      </w:r>
      <w:r w:rsidR="00F35ACD"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{"citationItems":[{"id":"ITEM-1","itemData":{"ISSN":"0197-2456","PMID":"3802833","abstract":"This paper examines eight published reviews each reporting results from several related trials. Each review pools the results from the relevant trials in order to evaluate the efficacy of a certain treatment for a specified medical condition. These reviews lack consistent assessment of homogeneity of treatment effect before pooling. We discuss a random effects approach to combining evidence from a series of experiments comparing two treatments. This approach incorporates the heterogeneity of effects in the analysis of the overall treatment efficacy. The model can be extended to include relevant covariates which would reduce the heterogeneity and allow for more specific therapeutic recommendations. We suggest a simple noniterative procedure for characterizing the distribution of treatment effects in a series of studies.","author":[{"dropping-particle":"","family":"DerSimonian","given":"R","non-dropping-particle":"","parse-names":false,"suffix":""},{"dropping-particle":"","family":"Laird","given":"N","non-dropping-particle":"","parse-names":false,"suffix":""}],"container-title":"Controlled clinical trials","id":"ITEM-1","issue":"3","issued":{"date-parts":[["1986","9"]]},"page":"177-88","title":"Meta-analysis in clinical trials.","type":"article-journal","volume":"7"},"uris":["http://www.mendeley.com/documents/?uuid=123be8a7-18a8-3786-bbae-32135d43fe98"]}],"mendeley":{"formattedCitation":"[49]","plainTextFormattedCitation":"[49]","previouslyFormattedCitation":"[49]"},"properties":{"noteIndex":0},"schema":"https://github.com/citation-style-language/schema/raw/master/csl-citation.json"}</w:instrText>
      </w:r>
      <w:r w:rsidR="00F35ACD"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[49]</w:t>
      </w:r>
      <w:r w:rsidR="00F35ACD" w:rsidRPr="004F6EAB">
        <w:rPr>
          <w:rFonts w:ascii="Times New Roman" w:hAnsi="Times New Roman" w:cs="Times New Roman"/>
          <w:sz w:val="24"/>
          <w:szCs w:val="24"/>
        </w:rPr>
        <w:fldChar w:fldCharType="end"/>
      </w:r>
      <w:r w:rsidRPr="004F6EAB">
        <w:rPr>
          <w:rFonts w:ascii="Times New Roman" w:hAnsi="Times New Roman" w:cs="Times New Roman"/>
          <w:sz w:val="24"/>
          <w:szCs w:val="24"/>
        </w:rPr>
        <w:t xml:space="preserve">, which </w:t>
      </w:r>
      <w:r w:rsidR="00CD3D42" w:rsidRPr="004F6EAB">
        <w:rPr>
          <w:rFonts w:ascii="Times New Roman" w:hAnsi="Times New Roman" w:cs="Times New Roman"/>
          <w:sz w:val="24"/>
          <w:szCs w:val="24"/>
        </w:rPr>
        <w:t>considers</w:t>
      </w:r>
      <w:r w:rsidRPr="004F6EAB">
        <w:rPr>
          <w:rFonts w:ascii="Times New Roman" w:hAnsi="Times New Roman" w:cs="Times New Roman"/>
          <w:sz w:val="24"/>
          <w:szCs w:val="24"/>
        </w:rPr>
        <w:t xml:space="preserve"> both within- and between-study variability.</w:t>
      </w:r>
      <w:r w:rsidR="00AD3BEE" w:rsidRPr="004F6EAB">
        <w:rPr>
          <w:rFonts w:ascii="Times New Roman" w:hAnsi="Times New Roman" w:cs="Times New Roman"/>
          <w:sz w:val="24"/>
          <w:szCs w:val="24"/>
        </w:rPr>
        <w:t xml:space="preserve"> Statistical heterogeneity among included studies was assessed using the Cochran Q test and </w:t>
      </w:r>
      <w:r w:rsidR="00AD3BEE" w:rsidRPr="004F6EAB">
        <w:rPr>
          <w:rFonts w:ascii="Times New Roman" w:hAnsi="Times New Roman" w:cs="Times New Roman"/>
          <w:i/>
          <w:iCs/>
          <w:sz w:val="24"/>
          <w:szCs w:val="24"/>
        </w:rPr>
        <w:t>I</w:t>
      </w:r>
      <w:r w:rsidR="00AD3BEE" w:rsidRPr="004F6EAB">
        <w:rPr>
          <w:rFonts w:ascii="Times New Roman" w:hAnsi="Times New Roman" w:cs="Times New Roman"/>
          <w:sz w:val="24"/>
          <w:szCs w:val="24"/>
          <w:vertAlign w:val="superscript"/>
        </w:rPr>
        <w:t>2</w:t>
      </w:r>
      <w:r w:rsidR="00AD3BEE" w:rsidRPr="004F6EAB">
        <w:rPr>
          <w:rFonts w:ascii="Times New Roman" w:hAnsi="Times New Roman" w:cs="Times New Roman"/>
          <w:sz w:val="24"/>
          <w:szCs w:val="24"/>
        </w:rPr>
        <w:t>-statistic</w:t>
      </w:r>
      <w:r w:rsidR="00616120" w:rsidRPr="004F6EAB">
        <w:rPr>
          <w:rFonts w:ascii="Times New Roman" w:hAnsi="Times New Roman" w:cs="Times New Roman"/>
          <w:sz w:val="24"/>
          <w:szCs w:val="24"/>
        </w:rPr>
        <w:t xml:space="preserve"> </w:t>
      </w:r>
      <w:r w:rsidR="00AD3BEE"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{"citationItems":[{"id":"ITEM-1","itemData":{"DOI":"10.1136/bmj.327.7414.557","ISSN":"0959-8138","PMID":"12958120","author":[{"dropping-particle":"","family":"Higgins","given":"J. P T","non-dropping-particle":"","parse-names":false,"suffix":""},{"dropping-particle":"","family":"Thompson","given":"Simon G","non-dropping-particle":"","parse-names":false,"suffix":""},{"dropping-particle":"","family":"Deeks","given":"Jonathan J","non-dropping-particle":"","parse-names":false,"suffix":""},{"dropping-particle":"","family":"Altman","given":"Douglas G","non-dropping-particle":"","parse-names":false,"suffix":""}],"container-title":"BMJ","id":"ITEM-1","issue":"7414","issued":{"date-parts":[["2003","9","6"]]},"page":"557-560","title":"Measuring inconsistency in meta-analyses","type":"article-journal","volume":"327"},"uris":["http://www.mendeley.com/documents/?uuid=9e862f15-4bd3-3e50-a44e-b62fdf1b5a02"]},{"id":"ITEM-2","itemData":{"DOI":"10.1002/sim.1186","ISSN":"0277-6715","PMID":"12111919","abstract":"The extent of heterogeneity in a meta-analysis partly determines the difficulty in drawing overall conclusions. This extent may be measured by estimating a between-study variance, but interpretation is then specific to a particular treatment effect metric. A test for the existence of heterogeneity exists, but depends on the number of studies in the meta-analysis. We develop measures of the impact of heterogeneity on a meta-analysis, from mathematical criteria, that are independent of the number of studies and the treatment effect metric. We derive and propose three suitable statistics: H is the square root of the chi2 heterogeneity statistic divided by its degrees of freedom; R is the ratio of the standard error of the underlying mean from a random effects meta-analysis to the standard error of a fixed effect meta-analytic estimate, and I2 is a transformation of (H) that describes the proportion of total variation in study estimates that is due to heterogeneity. We discuss interpretation, interval estimates and other properties of these measures and examine them in five example data sets showing different amounts of heterogeneity. We conclude that H and I2, which can usually be calculated for published meta-analyses, are particularly useful summaries of the impact of heterogeneity. One or both should be presented in published meta-analyses in preference to the test for heterogeneity.","author":[{"dropping-particle":"","family":"Higgins","given":"Julian P. T.","non-dropping-particle":"","parse-names":false,"suffix":""},{"dropping-particle":"","family":"Thompson","given":"Simon G.","non-dropping-particle":"","parse-names":false,"suffix":""}],"container-title":"Statistics in Medicine","id":"ITEM-2","issue":"11","issued":{"date-parts":[["2002","6","15"]]},"page":"1539-1558","title":"Quantifying heterogeneity in a meta-analysis","type":"article-journal","volume":"21"},"uris":["http://www.mendeley.com/documents/?uuid=cc8331ca-b56c-3d77-bd81-128fa39200b6"]}],"mendeley":{"formattedCitation":"[50,51]","plainTextFormattedCitation":"[50,51]","previouslyFormattedCitation":"[50,51]"},"properties":{"noteIndex":0},"schema":"https://github.com/citation-style-language/schema/raw/master/csl-citation.json"}</w:instrText>
      </w:r>
      <w:r w:rsidR="00AD3BEE"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[50,51]</w:t>
      </w:r>
      <w:r w:rsidR="00AD3BEE" w:rsidRPr="004F6EAB">
        <w:rPr>
          <w:rFonts w:ascii="Times New Roman" w:hAnsi="Times New Roman" w:cs="Times New Roman"/>
          <w:sz w:val="24"/>
          <w:szCs w:val="24"/>
        </w:rPr>
        <w:fldChar w:fldCharType="end"/>
      </w:r>
      <w:r w:rsidR="00AD3BEE" w:rsidRPr="004F6EAB">
        <w:rPr>
          <w:rFonts w:ascii="Times New Roman" w:hAnsi="Times New Roman" w:cs="Times New Roman"/>
          <w:sz w:val="24"/>
          <w:szCs w:val="24"/>
        </w:rPr>
        <w:t xml:space="preserve">. </w:t>
      </w:r>
    </w:p>
    <w:p w14:paraId="4733374D" w14:textId="11C6272C" w:rsidR="00CD3D42" w:rsidRPr="004F6EAB" w:rsidRDefault="00616120" w:rsidP="005E62D3">
      <w:pPr>
        <w:spacing w:line="480" w:lineRule="auto"/>
        <w:rPr>
          <w:rFonts w:ascii="Times New Roman" w:hAnsi="Times New Roman" w:cs="Times New Roman"/>
          <w:sz w:val="24"/>
          <w:szCs w:val="24"/>
        </w:rPr>
      </w:pPr>
      <w:r w:rsidRPr="004F6EAB">
        <w:rPr>
          <w:rFonts w:ascii="Times New Roman" w:hAnsi="Times New Roman" w:cs="Times New Roman"/>
          <w:sz w:val="24"/>
          <w:szCs w:val="24"/>
        </w:rPr>
        <w:t>Based on literature, t</w:t>
      </w:r>
      <w:r w:rsidR="00CD3D42" w:rsidRPr="004F6EAB">
        <w:rPr>
          <w:rFonts w:ascii="Times New Roman" w:hAnsi="Times New Roman" w:cs="Times New Roman"/>
          <w:sz w:val="24"/>
          <w:szCs w:val="24"/>
        </w:rPr>
        <w:t xml:space="preserve">he following set of </w:t>
      </w:r>
      <w:r w:rsidR="00CD3D42" w:rsidRPr="004F6EAB">
        <w:rPr>
          <w:rFonts w:ascii="Times New Roman" w:hAnsi="Times New Roman" w:cs="Times New Roman"/>
          <w:i/>
          <w:iCs/>
          <w:sz w:val="24"/>
          <w:szCs w:val="24"/>
        </w:rPr>
        <w:t>a priori</w:t>
      </w:r>
      <w:r w:rsidR="00CD3D42" w:rsidRPr="004F6EAB">
        <w:rPr>
          <w:rFonts w:ascii="Times New Roman" w:hAnsi="Times New Roman" w:cs="Times New Roman"/>
          <w:sz w:val="24"/>
          <w:szCs w:val="24"/>
        </w:rPr>
        <w:t xml:space="preserve"> selected covariates were adjusted</w:t>
      </w:r>
      <w:r w:rsidR="00DE68EE" w:rsidRPr="004F6EAB">
        <w:rPr>
          <w:rFonts w:ascii="Times New Roman" w:hAnsi="Times New Roman" w:cs="Times New Roman"/>
          <w:sz w:val="24"/>
          <w:szCs w:val="24"/>
        </w:rPr>
        <w:t xml:space="preserve"> for</w:t>
      </w:r>
      <w:r w:rsidR="00CD3D42" w:rsidRPr="004F6EAB">
        <w:rPr>
          <w:rFonts w:ascii="Times New Roman" w:hAnsi="Times New Roman" w:cs="Times New Roman"/>
          <w:sz w:val="24"/>
          <w:szCs w:val="24"/>
        </w:rPr>
        <w:t>:</w:t>
      </w:r>
      <w:r w:rsidR="00A01461" w:rsidRPr="004F6EAB">
        <w:rPr>
          <w:sz w:val="24"/>
          <w:szCs w:val="24"/>
        </w:rPr>
        <w:t xml:space="preserve"> </w:t>
      </w:r>
      <w:bookmarkStart w:id="5" w:name="_Hlk19197002"/>
      <w:r w:rsidR="00A01461" w:rsidRPr="004F6EAB">
        <w:rPr>
          <w:rFonts w:ascii="Times New Roman" w:hAnsi="Times New Roman" w:cs="Times New Roman"/>
          <w:sz w:val="24"/>
          <w:szCs w:val="24"/>
        </w:rPr>
        <w:t>maternal education, ethnicity, pre-pregnancy BMI, maternal height, parity,</w:t>
      </w:r>
      <w:r w:rsidR="00F01FB3" w:rsidRPr="004F6EAB">
        <w:rPr>
          <w:rFonts w:ascii="Times New Roman" w:hAnsi="Times New Roman" w:cs="Times New Roman"/>
          <w:sz w:val="24"/>
          <w:szCs w:val="24"/>
        </w:rPr>
        <w:t xml:space="preserve"> energy intake</w:t>
      </w:r>
      <w:r w:rsidRPr="004F6EAB">
        <w:rPr>
          <w:rFonts w:ascii="Times New Roman" w:hAnsi="Times New Roman" w:cs="Times New Roman"/>
          <w:sz w:val="24"/>
          <w:szCs w:val="24"/>
        </w:rPr>
        <w:t xml:space="preserve"> for DASH</w:t>
      </w:r>
      <w:r w:rsidR="00F01FB3" w:rsidRPr="004F6EAB">
        <w:rPr>
          <w:rFonts w:ascii="Times New Roman" w:hAnsi="Times New Roman" w:cs="Times New Roman"/>
          <w:sz w:val="24"/>
          <w:szCs w:val="24"/>
        </w:rPr>
        <w:t>,</w:t>
      </w:r>
      <w:r w:rsidR="00A01461" w:rsidRPr="004F6EAB">
        <w:rPr>
          <w:rFonts w:ascii="Times New Roman" w:hAnsi="Times New Roman" w:cs="Times New Roman"/>
          <w:sz w:val="24"/>
          <w:szCs w:val="24"/>
        </w:rPr>
        <w:t xml:space="preserve"> cigarette smoking and alcohol consumption during pregnancy, and </w:t>
      </w:r>
      <w:r w:rsidRPr="004F6EAB">
        <w:rPr>
          <w:rFonts w:ascii="Times New Roman" w:hAnsi="Times New Roman"/>
          <w:sz w:val="24"/>
          <w:szCs w:val="24"/>
        </w:rPr>
        <w:t xml:space="preserve">infant </w:t>
      </w:r>
      <w:r w:rsidR="00A01461" w:rsidRPr="004F6EAB">
        <w:rPr>
          <w:rFonts w:ascii="Times New Roman" w:hAnsi="Times New Roman" w:cs="Times New Roman"/>
          <w:sz w:val="24"/>
          <w:szCs w:val="24"/>
        </w:rPr>
        <w:t>sex.</w:t>
      </w:r>
      <w:bookmarkEnd w:id="5"/>
      <w:r w:rsidR="00F55EC2" w:rsidRPr="004F6EAB">
        <w:rPr>
          <w:rFonts w:ascii="Times New Roman" w:hAnsi="Times New Roman" w:cs="Times New Roman"/>
          <w:sz w:val="24"/>
          <w:szCs w:val="24"/>
        </w:rPr>
        <w:t xml:space="preserve"> </w:t>
      </w:r>
      <w:r w:rsidR="00AF76D0" w:rsidRPr="004F6EAB">
        <w:rPr>
          <w:rFonts w:ascii="Times New Roman" w:eastAsia="SimSun" w:hAnsi="Times New Roman" w:cs="Times New Roman"/>
          <w:sz w:val="24"/>
          <w:szCs w:val="24"/>
          <w:lang w:val="en-SG"/>
        </w:rPr>
        <w:t xml:space="preserve">All the selected covariates were statistically significantly different across quartiles of DASH and </w:t>
      </w:r>
      <w:r w:rsidR="00A61A5B" w:rsidRPr="004F6EAB">
        <w:rPr>
          <w:rFonts w:ascii="Times New Roman" w:eastAsia="SimSun" w:hAnsi="Times New Roman" w:cs="Times New Roman"/>
          <w:sz w:val="24"/>
          <w:szCs w:val="24"/>
          <w:lang w:val="en-SG"/>
        </w:rPr>
        <w:t>E-</w:t>
      </w:r>
      <w:r w:rsidR="00AF76D0" w:rsidRPr="004F6EAB">
        <w:rPr>
          <w:rFonts w:ascii="Times New Roman" w:eastAsia="SimSun" w:hAnsi="Times New Roman" w:cs="Times New Roman"/>
          <w:sz w:val="24"/>
          <w:szCs w:val="24"/>
          <w:lang w:val="en-SG"/>
        </w:rPr>
        <w:t xml:space="preserve">DII, except for </w:t>
      </w:r>
      <w:r w:rsidR="009908CE" w:rsidRPr="004F6EAB">
        <w:rPr>
          <w:rFonts w:ascii="Times New Roman" w:eastAsia="SimSun" w:hAnsi="Times New Roman" w:cs="Times New Roman"/>
          <w:sz w:val="24"/>
          <w:szCs w:val="24"/>
          <w:lang w:val="en-SG"/>
        </w:rPr>
        <w:t xml:space="preserve">the </w:t>
      </w:r>
      <w:r w:rsidR="00A61A5B" w:rsidRPr="004F6EAB">
        <w:rPr>
          <w:rFonts w:ascii="Times New Roman" w:eastAsia="SimSun" w:hAnsi="Times New Roman" w:cs="Times New Roman"/>
          <w:sz w:val="24"/>
          <w:szCs w:val="24"/>
          <w:lang w:val="en-SG"/>
        </w:rPr>
        <w:t>E-</w:t>
      </w:r>
      <w:r w:rsidR="00AF76D0" w:rsidRPr="004F6EAB">
        <w:rPr>
          <w:rFonts w:ascii="Times New Roman" w:eastAsia="SimSun" w:hAnsi="Times New Roman" w:cs="Times New Roman"/>
          <w:sz w:val="24"/>
          <w:szCs w:val="24"/>
          <w:lang w:val="en-SG"/>
        </w:rPr>
        <w:t xml:space="preserve">DII-pre-pregnancy BMI relationship. </w:t>
      </w:r>
      <w:r w:rsidR="00F55EC2" w:rsidRPr="004F6EAB">
        <w:rPr>
          <w:rFonts w:ascii="Times New Roman" w:hAnsi="Times New Roman" w:cs="Times New Roman"/>
          <w:sz w:val="24"/>
          <w:szCs w:val="24"/>
        </w:rPr>
        <w:t xml:space="preserve">Missing covariates </w:t>
      </w:r>
      <w:r w:rsidR="007F681D" w:rsidRPr="004F6EAB">
        <w:rPr>
          <w:rFonts w:ascii="Times New Roman" w:hAnsi="Times New Roman" w:cs="Times New Roman"/>
          <w:sz w:val="24"/>
          <w:szCs w:val="24"/>
        </w:rPr>
        <w:t xml:space="preserve">information was </w:t>
      </w:r>
      <w:r w:rsidR="00F55EC2" w:rsidRPr="004F6EAB">
        <w:rPr>
          <w:rFonts w:ascii="Times New Roman" w:hAnsi="Times New Roman" w:cs="Times New Roman"/>
          <w:sz w:val="24"/>
          <w:szCs w:val="24"/>
        </w:rPr>
        <w:t>imputed using the cohort-specific means for continuous variables and the modal categories for categorical variables.</w:t>
      </w:r>
      <w:r w:rsidR="00411405" w:rsidRPr="004F6EAB">
        <w:rPr>
          <w:sz w:val="24"/>
          <w:szCs w:val="24"/>
        </w:rPr>
        <w:t xml:space="preserve"> </w:t>
      </w:r>
      <w:r w:rsidR="00411405" w:rsidRPr="004F6EAB">
        <w:rPr>
          <w:rFonts w:ascii="Times New Roman" w:hAnsi="Times New Roman" w:cs="Times New Roman"/>
          <w:sz w:val="24"/>
          <w:szCs w:val="24"/>
        </w:rPr>
        <w:t xml:space="preserve">Complete case analysis yielded largely similar results and did not affect study conclusions </w:t>
      </w:r>
      <w:r w:rsidR="00853A7A">
        <w:rPr>
          <w:rFonts w:ascii="Times New Roman" w:hAnsi="Times New Roman" w:cs="Times New Roman"/>
          <w:sz w:val="24"/>
          <w:szCs w:val="24"/>
        </w:rPr>
        <w:t>(</w:t>
      </w:r>
      <w:r w:rsidR="00F47BEA">
        <w:rPr>
          <w:rFonts w:ascii="Times New Roman" w:hAnsi="Times New Roman" w:cs="Times New Roman"/>
          <w:sz w:val="24"/>
          <w:szCs w:val="24"/>
        </w:rPr>
        <w:t xml:space="preserve">S5 </w:t>
      </w:r>
      <w:r w:rsidR="00853A7A">
        <w:rPr>
          <w:rFonts w:ascii="Times New Roman" w:hAnsi="Times New Roman" w:cs="Times New Roman"/>
          <w:sz w:val="24"/>
          <w:szCs w:val="24"/>
        </w:rPr>
        <w:t xml:space="preserve">Table and </w:t>
      </w:r>
      <w:r w:rsidR="00F47BEA">
        <w:rPr>
          <w:rFonts w:ascii="Times New Roman" w:hAnsi="Times New Roman" w:cs="Times New Roman"/>
          <w:sz w:val="24"/>
          <w:szCs w:val="24"/>
        </w:rPr>
        <w:t>S</w:t>
      </w:r>
      <w:r w:rsidR="00E25677">
        <w:rPr>
          <w:rFonts w:ascii="Times New Roman" w:hAnsi="Times New Roman" w:cs="Times New Roman"/>
          <w:sz w:val="24"/>
          <w:szCs w:val="24"/>
        </w:rPr>
        <w:t>6</w:t>
      </w:r>
      <w:r w:rsidR="00F47BEA">
        <w:rPr>
          <w:rFonts w:ascii="Times New Roman" w:hAnsi="Times New Roman" w:cs="Times New Roman"/>
          <w:sz w:val="24"/>
          <w:szCs w:val="24"/>
        </w:rPr>
        <w:t xml:space="preserve"> Table</w:t>
      </w:r>
      <w:r w:rsidR="00853A7A">
        <w:rPr>
          <w:rFonts w:ascii="Times New Roman" w:hAnsi="Times New Roman" w:cs="Times New Roman"/>
          <w:sz w:val="24"/>
          <w:szCs w:val="24"/>
        </w:rPr>
        <w:t>).</w:t>
      </w:r>
      <w:r w:rsidR="00411405" w:rsidRPr="004F6EAB">
        <w:rPr>
          <w:rFonts w:ascii="Times New Roman" w:hAnsi="Times New Roman" w:cs="Times New Roman"/>
          <w:sz w:val="24"/>
          <w:szCs w:val="24"/>
        </w:rPr>
        <w:t xml:space="preserve"> </w:t>
      </w:r>
    </w:p>
    <w:p w14:paraId="296278C5" w14:textId="57025A13" w:rsidR="00A531AE" w:rsidRPr="004F6EAB" w:rsidRDefault="00CD3D42" w:rsidP="005E62D3">
      <w:pPr>
        <w:spacing w:line="480" w:lineRule="auto"/>
        <w:rPr>
          <w:rFonts w:ascii="Times New Roman" w:hAnsi="Times New Roman" w:cs="Times New Roman"/>
          <w:b/>
          <w:sz w:val="24"/>
          <w:szCs w:val="24"/>
          <w:lang w:val="en-SG"/>
        </w:rPr>
      </w:pPr>
      <w:r w:rsidRPr="004F6EAB">
        <w:rPr>
          <w:rFonts w:ascii="Times New Roman" w:hAnsi="Times New Roman" w:cs="Times New Roman"/>
          <w:sz w:val="24"/>
          <w:szCs w:val="24"/>
        </w:rPr>
        <w:t xml:space="preserve">We also conducted several sensitivity analyses. First, </w:t>
      </w:r>
      <w:r w:rsidR="00610F21" w:rsidRPr="004F6EAB">
        <w:rPr>
          <w:rFonts w:ascii="Times New Roman" w:hAnsi="Times New Roman" w:cs="Times New Roman"/>
          <w:sz w:val="24"/>
          <w:szCs w:val="24"/>
        </w:rPr>
        <w:t>we limited our analysis to</w:t>
      </w:r>
      <w:r w:rsidR="0041219F" w:rsidRPr="004F6EAB">
        <w:rPr>
          <w:rFonts w:ascii="Times New Roman" w:hAnsi="Times New Roman" w:cs="Times New Roman"/>
          <w:sz w:val="24"/>
          <w:szCs w:val="24"/>
        </w:rPr>
        <w:t xml:space="preserve"> European</w:t>
      </w:r>
      <w:r w:rsidR="006E4AD0" w:rsidRPr="004F6EAB">
        <w:rPr>
          <w:rFonts w:ascii="Times New Roman" w:hAnsi="Times New Roman" w:cs="Times New Roman"/>
          <w:sz w:val="24"/>
          <w:szCs w:val="24"/>
        </w:rPr>
        <w:t>-born</w:t>
      </w:r>
      <w:r w:rsidR="0041219F" w:rsidRPr="004F6EAB">
        <w:rPr>
          <w:rFonts w:ascii="Times New Roman" w:hAnsi="Times New Roman" w:cs="Times New Roman"/>
          <w:sz w:val="24"/>
          <w:szCs w:val="24"/>
        </w:rPr>
        <w:t>/White</w:t>
      </w:r>
      <w:r w:rsidR="00610F21" w:rsidRPr="004F6EAB">
        <w:rPr>
          <w:rFonts w:ascii="Times New Roman" w:hAnsi="Times New Roman" w:cs="Times New Roman"/>
          <w:sz w:val="24"/>
          <w:szCs w:val="24"/>
        </w:rPr>
        <w:t xml:space="preserve"> participants. </w:t>
      </w:r>
      <w:r w:rsidR="00E90D44" w:rsidRPr="004F6EAB">
        <w:rPr>
          <w:rFonts w:ascii="Times New Roman" w:hAnsi="Times New Roman" w:cs="Times New Roman"/>
          <w:sz w:val="24"/>
          <w:szCs w:val="24"/>
        </w:rPr>
        <w:t>Second, we excluded participants with gestational diabetes</w:t>
      </w:r>
      <w:r w:rsidR="00BB315A" w:rsidRPr="004F6EAB">
        <w:rPr>
          <w:rFonts w:ascii="Times New Roman" w:hAnsi="Times New Roman" w:cs="Times New Roman"/>
          <w:sz w:val="24"/>
          <w:szCs w:val="24"/>
        </w:rPr>
        <w:t xml:space="preserve">, gestational hypertension </w:t>
      </w:r>
      <w:r w:rsidR="00E90D44" w:rsidRPr="004F6EAB">
        <w:rPr>
          <w:rFonts w:ascii="Times New Roman" w:hAnsi="Times New Roman" w:cs="Times New Roman"/>
          <w:sz w:val="24"/>
          <w:szCs w:val="24"/>
        </w:rPr>
        <w:t xml:space="preserve">and </w:t>
      </w:r>
      <w:r w:rsidR="003739C8" w:rsidRPr="004F6EAB">
        <w:rPr>
          <w:rFonts w:ascii="Times New Roman" w:hAnsi="Times New Roman" w:cs="Times New Roman"/>
          <w:sz w:val="24"/>
          <w:szCs w:val="24"/>
        </w:rPr>
        <w:t>pre</w:t>
      </w:r>
      <w:r w:rsidR="005531BF" w:rsidRPr="004F6EAB">
        <w:rPr>
          <w:rFonts w:ascii="Times New Roman" w:hAnsi="Times New Roman" w:cs="Times New Roman"/>
          <w:sz w:val="24"/>
          <w:szCs w:val="24"/>
        </w:rPr>
        <w:t>-</w:t>
      </w:r>
      <w:r w:rsidR="003739C8" w:rsidRPr="004F6EAB">
        <w:rPr>
          <w:rFonts w:ascii="Times New Roman" w:hAnsi="Times New Roman" w:cs="Times New Roman"/>
          <w:sz w:val="24"/>
          <w:szCs w:val="24"/>
        </w:rPr>
        <w:t>eclampsia</w:t>
      </w:r>
      <w:r w:rsidR="00E90D44" w:rsidRPr="004F6EAB">
        <w:rPr>
          <w:rFonts w:ascii="Times New Roman" w:hAnsi="Times New Roman" w:cs="Times New Roman"/>
          <w:sz w:val="24"/>
          <w:szCs w:val="24"/>
        </w:rPr>
        <w:t>. Third</w:t>
      </w:r>
      <w:r w:rsidR="00610F21" w:rsidRPr="004F6EAB">
        <w:rPr>
          <w:rFonts w:ascii="Times New Roman" w:hAnsi="Times New Roman" w:cs="Times New Roman"/>
          <w:sz w:val="24"/>
          <w:szCs w:val="24"/>
        </w:rPr>
        <w:t xml:space="preserve">, </w:t>
      </w:r>
      <w:r w:rsidR="00FA70DE" w:rsidRPr="004F6EAB">
        <w:rPr>
          <w:rFonts w:ascii="Times New Roman" w:hAnsi="Times New Roman" w:cs="Times New Roman"/>
          <w:sz w:val="24"/>
          <w:szCs w:val="24"/>
        </w:rPr>
        <w:t>for gestational age outcomes we restricted the analysis sample to spontaneous labours</w:t>
      </w:r>
      <w:r w:rsidR="00683633" w:rsidRPr="004F6EAB">
        <w:rPr>
          <w:rFonts w:ascii="Times New Roman" w:hAnsi="Times New Roman" w:cs="Times New Roman"/>
          <w:sz w:val="24"/>
          <w:szCs w:val="24"/>
        </w:rPr>
        <w:t xml:space="preserve"> to exclude influence of elective procedures</w:t>
      </w:r>
      <w:r w:rsidR="00FA70DE" w:rsidRPr="004F6EAB">
        <w:rPr>
          <w:rFonts w:ascii="Times New Roman" w:hAnsi="Times New Roman" w:cs="Times New Roman"/>
          <w:sz w:val="24"/>
          <w:szCs w:val="24"/>
        </w:rPr>
        <w:t xml:space="preserve">. </w:t>
      </w:r>
      <w:r w:rsidR="00E90D44" w:rsidRPr="004F6EAB">
        <w:rPr>
          <w:rFonts w:ascii="Times New Roman" w:hAnsi="Times New Roman" w:cs="Times New Roman"/>
          <w:sz w:val="24"/>
          <w:szCs w:val="24"/>
        </w:rPr>
        <w:t>Fourth</w:t>
      </w:r>
      <w:r w:rsidR="00FA70DE" w:rsidRPr="004F6EAB">
        <w:rPr>
          <w:rFonts w:ascii="Times New Roman" w:hAnsi="Times New Roman" w:cs="Times New Roman"/>
          <w:sz w:val="24"/>
          <w:szCs w:val="24"/>
        </w:rPr>
        <w:t>,</w:t>
      </w:r>
      <w:r w:rsidR="00BD199C" w:rsidRPr="004F6EAB">
        <w:rPr>
          <w:rFonts w:ascii="Times New Roman" w:hAnsi="Times New Roman" w:cs="Times New Roman"/>
          <w:sz w:val="24"/>
          <w:szCs w:val="24"/>
        </w:rPr>
        <w:t xml:space="preserve"> for</w:t>
      </w:r>
      <w:r w:rsidR="00A90D9B" w:rsidRPr="004F6EAB">
        <w:rPr>
          <w:rFonts w:ascii="Times New Roman" w:hAnsi="Times New Roman" w:cs="Times New Roman"/>
          <w:sz w:val="24"/>
          <w:szCs w:val="24"/>
        </w:rPr>
        <w:t xml:space="preserve"> primary</w:t>
      </w:r>
      <w:r w:rsidR="00BD199C" w:rsidRPr="004F6EAB">
        <w:rPr>
          <w:rFonts w:ascii="Times New Roman" w:hAnsi="Times New Roman" w:cs="Times New Roman"/>
          <w:sz w:val="24"/>
          <w:szCs w:val="24"/>
        </w:rPr>
        <w:t xml:space="preserve"> birth size measures we restricted the analysis sample to term (born between 37</w:t>
      </w:r>
      <w:r w:rsidR="00671A43" w:rsidRPr="004F6EAB">
        <w:rPr>
          <w:rFonts w:ascii="Times New Roman" w:hAnsi="Times New Roman" w:cs="Times New Roman"/>
          <w:sz w:val="24"/>
          <w:szCs w:val="24"/>
        </w:rPr>
        <w:t xml:space="preserve"> to &lt;</w:t>
      </w:r>
      <w:r w:rsidR="00BD199C" w:rsidRPr="004F6EAB">
        <w:rPr>
          <w:rFonts w:ascii="Times New Roman" w:hAnsi="Times New Roman" w:cs="Times New Roman"/>
          <w:sz w:val="24"/>
          <w:szCs w:val="24"/>
        </w:rPr>
        <w:t>42 completed weeks)</w:t>
      </w:r>
      <w:r w:rsidR="00671A43" w:rsidRPr="004F6EAB">
        <w:rPr>
          <w:rFonts w:ascii="Times New Roman" w:hAnsi="Times New Roman" w:cs="Times New Roman"/>
          <w:sz w:val="24"/>
          <w:szCs w:val="24"/>
        </w:rPr>
        <w:t xml:space="preserve"> and full-term (39 to &lt;41 completed weeks) </w:t>
      </w:r>
      <w:r w:rsidR="00671A43" w:rsidRPr="004F6EAB">
        <w:rPr>
          <w:rFonts w:ascii="Times New Roman" w:hAnsi="Times New Roman"/>
          <w:sz w:val="24"/>
          <w:szCs w:val="24"/>
        </w:rPr>
        <w:t>infants</w:t>
      </w:r>
      <w:r w:rsidR="00FA70DE" w:rsidRPr="004F6EAB">
        <w:rPr>
          <w:rFonts w:ascii="Times New Roman" w:hAnsi="Times New Roman" w:cs="Times New Roman"/>
          <w:sz w:val="24"/>
          <w:szCs w:val="24"/>
        </w:rPr>
        <w:t xml:space="preserve">. </w:t>
      </w:r>
      <w:r w:rsidR="00A531AE" w:rsidRPr="004F6EAB">
        <w:rPr>
          <w:rFonts w:ascii="Times New Roman" w:hAnsi="Times New Roman" w:cs="Times New Roman"/>
          <w:sz w:val="24"/>
          <w:szCs w:val="24"/>
        </w:rPr>
        <w:t xml:space="preserve">For </w:t>
      </w:r>
      <w:r w:rsidR="00D46B22" w:rsidRPr="004F6EAB">
        <w:rPr>
          <w:rFonts w:ascii="Times New Roman" w:hAnsi="Times New Roman" w:cs="Times New Roman"/>
          <w:sz w:val="24"/>
          <w:szCs w:val="24"/>
        </w:rPr>
        <w:t>continuous</w:t>
      </w:r>
      <w:r w:rsidR="00A90D9B" w:rsidRPr="004F6EAB">
        <w:rPr>
          <w:rFonts w:ascii="Times New Roman" w:hAnsi="Times New Roman" w:cs="Times New Roman"/>
          <w:sz w:val="24"/>
          <w:szCs w:val="24"/>
        </w:rPr>
        <w:t xml:space="preserve"> </w:t>
      </w:r>
      <w:r w:rsidR="00A531AE" w:rsidRPr="004F6EAB">
        <w:rPr>
          <w:rFonts w:ascii="Times New Roman" w:hAnsi="Times New Roman" w:cs="Times New Roman"/>
          <w:sz w:val="24"/>
          <w:szCs w:val="24"/>
        </w:rPr>
        <w:t>birth size measures</w:t>
      </w:r>
      <w:r w:rsidR="008971D7" w:rsidRPr="004F6EAB">
        <w:rPr>
          <w:rFonts w:ascii="Times New Roman" w:hAnsi="Times New Roman" w:cs="Times New Roman"/>
          <w:sz w:val="24"/>
          <w:szCs w:val="24"/>
        </w:rPr>
        <w:t xml:space="preserve"> (birth weight, </w:t>
      </w:r>
      <w:r w:rsidR="00D46B22" w:rsidRPr="004F6EAB">
        <w:rPr>
          <w:rFonts w:ascii="Times New Roman" w:hAnsi="Times New Roman" w:cs="Times New Roman"/>
          <w:sz w:val="24"/>
          <w:szCs w:val="24"/>
        </w:rPr>
        <w:t>birth length, and head circumference</w:t>
      </w:r>
      <w:r w:rsidR="008971D7" w:rsidRPr="004F6EAB">
        <w:rPr>
          <w:rFonts w:ascii="Times New Roman" w:hAnsi="Times New Roman" w:cs="Times New Roman"/>
          <w:sz w:val="24"/>
          <w:szCs w:val="24"/>
        </w:rPr>
        <w:t>)</w:t>
      </w:r>
      <w:r w:rsidR="00A531AE" w:rsidRPr="004F6EAB">
        <w:rPr>
          <w:rFonts w:ascii="Times New Roman" w:hAnsi="Times New Roman" w:cs="Times New Roman"/>
          <w:sz w:val="24"/>
          <w:szCs w:val="24"/>
        </w:rPr>
        <w:t xml:space="preserve">, we also further adjusted for gestational age </w:t>
      </w:r>
      <w:r w:rsidR="008971D7" w:rsidRPr="004F6EAB">
        <w:rPr>
          <w:rFonts w:ascii="Times New Roman" w:hAnsi="Times New Roman" w:cs="Times New Roman"/>
          <w:sz w:val="24"/>
          <w:szCs w:val="24"/>
        </w:rPr>
        <w:t>to assess potential mediation</w:t>
      </w:r>
      <w:r w:rsidR="00A531AE" w:rsidRPr="004F6EAB">
        <w:rPr>
          <w:rFonts w:ascii="Times New Roman" w:hAnsi="Times New Roman" w:cs="Times New Roman"/>
          <w:sz w:val="24"/>
          <w:szCs w:val="24"/>
        </w:rPr>
        <w:t xml:space="preserve">. </w:t>
      </w:r>
      <w:r w:rsidR="00926444" w:rsidRPr="004F6EAB">
        <w:rPr>
          <w:rFonts w:ascii="Times New Roman" w:hAnsi="Times New Roman" w:cs="Times New Roman"/>
          <w:sz w:val="24"/>
          <w:szCs w:val="24"/>
          <w:lang w:val="en-SG"/>
        </w:rPr>
        <w:t>Additionally, we also assess</w:t>
      </w:r>
      <w:r w:rsidR="00050443" w:rsidRPr="004F6EAB">
        <w:rPr>
          <w:rFonts w:ascii="Times New Roman" w:hAnsi="Times New Roman" w:cs="Times New Roman"/>
          <w:sz w:val="24"/>
          <w:szCs w:val="24"/>
          <w:lang w:val="en-SG"/>
        </w:rPr>
        <w:t>ed</w:t>
      </w:r>
      <w:r w:rsidR="00926444" w:rsidRPr="004F6EAB">
        <w:rPr>
          <w:rFonts w:ascii="Times New Roman" w:hAnsi="Times New Roman" w:cs="Times New Roman"/>
          <w:sz w:val="24"/>
          <w:szCs w:val="24"/>
          <w:lang w:val="en-SG"/>
        </w:rPr>
        <w:t xml:space="preserve"> whether imputation methods affect</w:t>
      </w:r>
      <w:r w:rsidR="00DB6247" w:rsidRPr="004F6EAB">
        <w:rPr>
          <w:rFonts w:ascii="Times New Roman" w:hAnsi="Times New Roman" w:cs="Times New Roman"/>
          <w:sz w:val="24"/>
          <w:szCs w:val="24"/>
          <w:lang w:val="en-SG"/>
        </w:rPr>
        <w:t>ed</w:t>
      </w:r>
      <w:r w:rsidR="00926444" w:rsidRPr="004F6EAB">
        <w:rPr>
          <w:rFonts w:ascii="Times New Roman" w:hAnsi="Times New Roman" w:cs="Times New Roman"/>
          <w:sz w:val="24"/>
          <w:szCs w:val="24"/>
          <w:lang w:val="en-SG"/>
        </w:rPr>
        <w:t xml:space="preserve"> our results by conducting a sensitivity analysis using multiple imputation of covariates durin</w:t>
      </w:r>
      <w:r w:rsidR="00DB6247" w:rsidRPr="004F6EAB">
        <w:rPr>
          <w:rFonts w:ascii="Times New Roman" w:hAnsi="Times New Roman" w:cs="Times New Roman"/>
          <w:sz w:val="24"/>
          <w:szCs w:val="24"/>
          <w:lang w:val="en-SG"/>
        </w:rPr>
        <w:t>g the pre-pregnancy</w:t>
      </w:r>
      <w:r w:rsidR="00926444" w:rsidRPr="004F6EAB">
        <w:rPr>
          <w:rFonts w:ascii="Times New Roman" w:hAnsi="Times New Roman" w:cs="Times New Roman"/>
          <w:sz w:val="24"/>
          <w:szCs w:val="24"/>
          <w:lang w:val="en-SG"/>
        </w:rPr>
        <w:t xml:space="preserve"> and whole pregnancy period</w:t>
      </w:r>
      <w:r w:rsidR="00DB6247" w:rsidRPr="004F6EAB">
        <w:rPr>
          <w:rFonts w:ascii="Times New Roman" w:hAnsi="Times New Roman" w:cs="Times New Roman"/>
          <w:sz w:val="24"/>
          <w:szCs w:val="24"/>
          <w:lang w:val="en-SG"/>
        </w:rPr>
        <w:t>s</w:t>
      </w:r>
      <w:r w:rsidR="00926444" w:rsidRPr="004F6EAB">
        <w:rPr>
          <w:rFonts w:ascii="Times New Roman" w:hAnsi="Times New Roman" w:cs="Times New Roman"/>
          <w:sz w:val="24"/>
          <w:szCs w:val="24"/>
          <w:lang w:val="en-SG"/>
        </w:rPr>
        <w:t xml:space="preserve">. Chained equation </w:t>
      </w:r>
      <w:r w:rsidR="00926444" w:rsidRPr="004F6EAB">
        <w:rPr>
          <w:rFonts w:ascii="Times New Roman" w:hAnsi="Times New Roman" w:cs="Times New Roman"/>
          <w:sz w:val="24"/>
          <w:szCs w:val="24"/>
          <w:lang w:val="en-SG"/>
        </w:rPr>
        <w:fldChar w:fldCharType="begin" w:fldLock="1"/>
      </w:r>
      <w:r w:rsidR="005C1ADD">
        <w:rPr>
          <w:rFonts w:ascii="Times New Roman" w:hAnsi="Times New Roman" w:cs="Times New Roman"/>
          <w:sz w:val="24"/>
          <w:szCs w:val="24"/>
          <w:lang w:val="en-SG"/>
        </w:rPr>
        <w:instrText>ADDIN CSL_CITATION {"citationItems":[{"id":"ITEM-1","itemData":{"DOI":"10.1016/j.enpol.2012.08.024","ISBN":"1364-0321","ISSN":"03014215","PMID":"17299665","abstract":"management in China. Representative technology options are appraised by employing innovation theory to demonstrate the logic of policy design within the framework. The work presented in this paper will be useful in informing policy-makers and other stakeholders in China and it may prove to be a valuable reference for other countries in energy transition management. © 2012 Elsevier Ltd.","author":[{"dropping-particle":"","family":"StataCorp","given":"","non-dropping-particle":"","parse-names":false,"suffix":""}],"id":"ITEM-1","issued":{"date-parts":[["2013"]]},"publisher":"College Station, TX: StataCorp LP","title":"Stata Multiple-Imputation Reference Manual Release 13","type":"article"},"uris":["http://www.mendeley.com/documents/?uuid=2091929d-1aee-3b70-a0c5-01b8f421d3c4"]}],"mendeley":{"formattedCitation":"[52]","plainTextFormattedCitation":"[52]","previouslyFormattedCitation":"[52]"},"properties":{"noteIndex":0},"schema":"https://github.com/citation-style-language/schema/raw/master/csl-citation.json"}</w:instrText>
      </w:r>
      <w:r w:rsidR="00926444" w:rsidRPr="004F6EAB">
        <w:rPr>
          <w:rFonts w:ascii="Times New Roman" w:hAnsi="Times New Roman" w:cs="Times New Roman"/>
          <w:sz w:val="24"/>
          <w:szCs w:val="24"/>
          <w:lang w:val="en-SG"/>
        </w:rPr>
        <w:fldChar w:fldCharType="separate"/>
      </w:r>
      <w:r w:rsidR="00AE282C" w:rsidRPr="00AE282C">
        <w:rPr>
          <w:rFonts w:ascii="Times New Roman" w:hAnsi="Times New Roman" w:cs="Times New Roman"/>
          <w:noProof/>
          <w:sz w:val="24"/>
          <w:szCs w:val="24"/>
          <w:lang w:val="en-SG"/>
        </w:rPr>
        <w:t>[52]</w:t>
      </w:r>
      <w:r w:rsidR="00926444" w:rsidRPr="004F6EAB">
        <w:rPr>
          <w:rFonts w:ascii="Times New Roman" w:hAnsi="Times New Roman" w:cs="Times New Roman"/>
          <w:sz w:val="24"/>
          <w:szCs w:val="24"/>
          <w:lang w:val="en-SG"/>
        </w:rPr>
        <w:fldChar w:fldCharType="end"/>
      </w:r>
      <w:r w:rsidR="00926444" w:rsidRPr="004F6EAB">
        <w:rPr>
          <w:rFonts w:ascii="Times New Roman" w:hAnsi="Times New Roman" w:cs="Times New Roman"/>
          <w:sz w:val="24"/>
          <w:szCs w:val="24"/>
          <w:lang w:val="en-SG"/>
        </w:rPr>
        <w:t xml:space="preserve"> was used to impute the missing covariates 10 times (separately in each cohort), resulting in 10 imputed analy</w:t>
      </w:r>
      <w:r w:rsidR="00DB6247" w:rsidRPr="004F6EAB">
        <w:rPr>
          <w:rFonts w:ascii="Times New Roman" w:hAnsi="Times New Roman" w:cs="Times New Roman"/>
          <w:sz w:val="24"/>
          <w:szCs w:val="24"/>
          <w:lang w:val="en-SG"/>
        </w:rPr>
        <w:t>tic</w:t>
      </w:r>
      <w:r w:rsidR="00926444" w:rsidRPr="004F6EAB">
        <w:rPr>
          <w:rFonts w:ascii="Times New Roman" w:hAnsi="Times New Roman" w:cs="Times New Roman"/>
          <w:sz w:val="24"/>
          <w:szCs w:val="24"/>
          <w:lang w:val="en-SG"/>
        </w:rPr>
        <w:t xml:space="preserve"> datasets, </w:t>
      </w:r>
      <w:r w:rsidR="00DB6247" w:rsidRPr="004F6EAB">
        <w:rPr>
          <w:rFonts w:ascii="Times New Roman" w:hAnsi="Times New Roman" w:cs="Times New Roman"/>
          <w:sz w:val="24"/>
          <w:szCs w:val="24"/>
          <w:lang w:val="en-SG"/>
        </w:rPr>
        <w:t xml:space="preserve">of </w:t>
      </w:r>
      <w:r w:rsidR="00926444" w:rsidRPr="004F6EAB">
        <w:rPr>
          <w:rFonts w:ascii="Times New Roman" w:hAnsi="Times New Roman" w:cs="Times New Roman"/>
          <w:sz w:val="24"/>
          <w:szCs w:val="24"/>
          <w:lang w:val="en-SG"/>
        </w:rPr>
        <w:t>which resulting regression coefficients were subsequently pooled.</w:t>
      </w:r>
      <w:r w:rsidR="00926444" w:rsidRPr="004F6EAB">
        <w:rPr>
          <w:rFonts w:ascii="Times New Roman" w:hAnsi="Times New Roman" w:cs="Times New Roman"/>
          <w:b/>
          <w:sz w:val="24"/>
          <w:szCs w:val="24"/>
          <w:lang w:val="en-SG"/>
        </w:rPr>
        <w:t xml:space="preserve"> </w:t>
      </w:r>
      <w:r w:rsidR="0043301D">
        <w:rPr>
          <w:rFonts w:ascii="Times New Roman" w:hAnsi="Times New Roman" w:cs="Times New Roman"/>
          <w:sz w:val="24"/>
          <w:szCs w:val="24"/>
        </w:rPr>
        <w:t>To</w:t>
      </w:r>
      <w:r w:rsidR="00BB315A" w:rsidRPr="004F6EAB">
        <w:rPr>
          <w:rFonts w:ascii="Times New Roman" w:hAnsi="Times New Roman" w:cs="Times New Roman"/>
          <w:sz w:val="24"/>
          <w:szCs w:val="24"/>
        </w:rPr>
        <w:t xml:space="preserve"> explore potential mechanism, we </w:t>
      </w:r>
      <w:r w:rsidR="00BB315A" w:rsidRPr="004F6EAB">
        <w:rPr>
          <w:rFonts w:ascii="Times New Roman" w:hAnsi="Times New Roman" w:cs="Times New Roman"/>
          <w:sz w:val="24"/>
          <w:szCs w:val="24"/>
        </w:rPr>
        <w:lastRenderedPageBreak/>
        <w:t>mutually adjusted for DASH and E-DII scores in the same model.</w:t>
      </w:r>
      <w:r w:rsidR="0043301D">
        <w:rPr>
          <w:rFonts w:ascii="Times New Roman" w:hAnsi="Times New Roman" w:cs="Times New Roman"/>
          <w:sz w:val="24"/>
          <w:szCs w:val="24"/>
        </w:rPr>
        <w:t xml:space="preserve"> To investigate potential threshold influence, we also modelled the dietary scores in quartiles for statistically significant associations.</w:t>
      </w:r>
    </w:p>
    <w:p w14:paraId="7685F051" w14:textId="6BFF5E52" w:rsidR="00682A68" w:rsidRPr="004F6EAB" w:rsidRDefault="00AA07D2" w:rsidP="005E62D3">
      <w:pPr>
        <w:spacing w:line="480" w:lineRule="auto"/>
        <w:rPr>
          <w:rFonts w:ascii="Times New Roman" w:hAnsi="Times New Roman" w:cs="Times New Roman"/>
          <w:sz w:val="24"/>
          <w:szCs w:val="24"/>
        </w:rPr>
      </w:pPr>
      <w:r w:rsidRPr="004F6EAB">
        <w:rPr>
          <w:rFonts w:ascii="Times New Roman" w:hAnsi="Times New Roman" w:cs="Times New Roman"/>
          <w:sz w:val="24"/>
          <w:szCs w:val="24"/>
        </w:rPr>
        <w:t xml:space="preserve">We investigated whether </w:t>
      </w:r>
      <w:r w:rsidR="00616120" w:rsidRPr="004F6EAB">
        <w:rPr>
          <w:rFonts w:ascii="Times New Roman" w:hAnsi="Times New Roman"/>
          <w:sz w:val="24"/>
          <w:szCs w:val="24"/>
        </w:rPr>
        <w:t>infant</w:t>
      </w:r>
      <w:r w:rsidRPr="004F6EAB">
        <w:rPr>
          <w:rFonts w:ascii="Times New Roman" w:hAnsi="Times New Roman" w:cs="Times New Roman"/>
          <w:sz w:val="24"/>
          <w:szCs w:val="24"/>
        </w:rPr>
        <w:t xml:space="preserve"> sex is a potential modifier for the associations of maternal dietary quality and inflammatory potential with birth outcomes by including the multiplicative interaction</w:t>
      </w:r>
      <w:r w:rsidR="003812E9" w:rsidRPr="004F6EAB">
        <w:rPr>
          <w:rFonts w:ascii="Times New Roman" w:hAnsi="Times New Roman" w:cs="Times New Roman"/>
          <w:sz w:val="24"/>
          <w:szCs w:val="24"/>
        </w:rPr>
        <w:t xml:space="preserve"> term</w:t>
      </w:r>
      <w:r w:rsidRPr="004F6EAB">
        <w:rPr>
          <w:rFonts w:ascii="Times New Roman" w:hAnsi="Times New Roman" w:cs="Times New Roman"/>
          <w:sz w:val="24"/>
          <w:szCs w:val="24"/>
        </w:rPr>
        <w:t xml:space="preserve"> into the model one at a time. This was done using participant</w:t>
      </w:r>
      <w:r w:rsidR="00210B1C" w:rsidRPr="004F6EAB">
        <w:rPr>
          <w:rFonts w:ascii="Times New Roman" w:hAnsi="Times New Roman" w:cs="Times New Roman"/>
          <w:sz w:val="24"/>
          <w:szCs w:val="24"/>
        </w:rPr>
        <w:t>-</w:t>
      </w:r>
      <w:r w:rsidRPr="004F6EAB">
        <w:rPr>
          <w:rFonts w:ascii="Times New Roman" w:hAnsi="Times New Roman" w:cs="Times New Roman"/>
          <w:sz w:val="24"/>
          <w:szCs w:val="24"/>
        </w:rPr>
        <w:t xml:space="preserve">level data at each cohort, and the </w:t>
      </w:r>
      <w:r w:rsidR="00CB02E1" w:rsidRPr="004F6EAB">
        <w:rPr>
          <w:rFonts w:ascii="Times New Roman" w:hAnsi="Times New Roman" w:cs="Times New Roman"/>
          <w:sz w:val="24"/>
          <w:szCs w:val="24"/>
        </w:rPr>
        <w:t xml:space="preserve">within-cohort interaction </w:t>
      </w:r>
      <w:r w:rsidRPr="004F6EAB">
        <w:rPr>
          <w:rFonts w:ascii="Times New Roman" w:hAnsi="Times New Roman" w:cs="Times New Roman"/>
          <w:sz w:val="24"/>
          <w:szCs w:val="24"/>
        </w:rPr>
        <w:t xml:space="preserve">estimates were subsequently pooled. </w:t>
      </w:r>
      <w:r w:rsidR="00DE68EE" w:rsidRPr="004F6EAB">
        <w:rPr>
          <w:rFonts w:ascii="Times New Roman" w:hAnsi="Times New Roman" w:cs="Times New Roman"/>
          <w:sz w:val="24"/>
          <w:szCs w:val="24"/>
        </w:rPr>
        <w:t>When</w:t>
      </w:r>
      <w:r w:rsidRPr="004F6EAB">
        <w:rPr>
          <w:rFonts w:ascii="Times New Roman" w:hAnsi="Times New Roman" w:cs="Times New Roman"/>
          <w:sz w:val="24"/>
          <w:szCs w:val="24"/>
        </w:rPr>
        <w:t xml:space="preserve"> </w:t>
      </w:r>
      <w:r w:rsidRPr="004F6EAB">
        <w:rPr>
          <w:rFonts w:ascii="Times New Roman" w:hAnsi="Times New Roman" w:cs="Times New Roman"/>
          <w:i/>
          <w:iCs/>
          <w:sz w:val="24"/>
          <w:szCs w:val="24"/>
        </w:rPr>
        <w:t>P</w:t>
      </w:r>
      <w:r w:rsidRPr="004F6EAB">
        <w:rPr>
          <w:rFonts w:ascii="Times New Roman" w:hAnsi="Times New Roman" w:cs="Times New Roman"/>
          <w:sz w:val="24"/>
          <w:szCs w:val="24"/>
        </w:rPr>
        <w:t>-interaction w</w:t>
      </w:r>
      <w:r w:rsidR="005531BF" w:rsidRPr="004F6EAB">
        <w:rPr>
          <w:rFonts w:ascii="Times New Roman" w:hAnsi="Times New Roman" w:cs="Times New Roman"/>
          <w:sz w:val="24"/>
          <w:szCs w:val="24"/>
        </w:rPr>
        <w:t>as</w:t>
      </w:r>
      <w:r w:rsidRPr="004F6EAB">
        <w:rPr>
          <w:rFonts w:ascii="Times New Roman" w:hAnsi="Times New Roman" w:cs="Times New Roman"/>
          <w:sz w:val="24"/>
          <w:szCs w:val="24"/>
        </w:rPr>
        <w:t xml:space="preserve"> </w:t>
      </w:r>
      <w:r w:rsidR="00621A5D" w:rsidRPr="004F6EAB">
        <w:rPr>
          <w:rFonts w:ascii="Times New Roman" w:hAnsi="Times New Roman" w:cs="Times New Roman"/>
          <w:sz w:val="24"/>
          <w:szCs w:val="24"/>
        </w:rPr>
        <w:t>≤</w:t>
      </w:r>
      <w:r w:rsidRPr="004F6EAB">
        <w:rPr>
          <w:rFonts w:ascii="Times New Roman" w:hAnsi="Times New Roman" w:cs="Times New Roman"/>
          <w:sz w:val="24"/>
          <w:szCs w:val="24"/>
        </w:rPr>
        <w:t>0.10, downstream</w:t>
      </w:r>
      <w:r w:rsidR="00CB02E1" w:rsidRPr="004F6EAB">
        <w:rPr>
          <w:rFonts w:ascii="Times New Roman" w:hAnsi="Times New Roman" w:cs="Times New Roman"/>
          <w:sz w:val="24"/>
          <w:szCs w:val="24"/>
        </w:rPr>
        <w:t xml:space="preserve"> subgroup</w:t>
      </w:r>
      <w:r w:rsidRPr="004F6EAB">
        <w:rPr>
          <w:rFonts w:ascii="Times New Roman" w:hAnsi="Times New Roman" w:cs="Times New Roman"/>
          <w:sz w:val="24"/>
          <w:szCs w:val="24"/>
        </w:rPr>
        <w:t xml:space="preserve"> stratification analyses were </w:t>
      </w:r>
      <w:r w:rsidR="00CB02E1" w:rsidRPr="004F6EAB">
        <w:rPr>
          <w:rFonts w:ascii="Times New Roman" w:hAnsi="Times New Roman" w:cs="Times New Roman"/>
          <w:sz w:val="24"/>
          <w:szCs w:val="24"/>
        </w:rPr>
        <w:t xml:space="preserve">also </w:t>
      </w:r>
      <w:r w:rsidRPr="004F6EAB">
        <w:rPr>
          <w:rFonts w:ascii="Times New Roman" w:hAnsi="Times New Roman" w:cs="Times New Roman"/>
          <w:sz w:val="24"/>
          <w:szCs w:val="24"/>
        </w:rPr>
        <w:t>conducted</w:t>
      </w:r>
      <w:r w:rsidR="00CB02E1" w:rsidRPr="004F6EAB">
        <w:rPr>
          <w:rFonts w:ascii="Times New Roman" w:hAnsi="Times New Roman" w:cs="Times New Roman"/>
          <w:sz w:val="24"/>
          <w:szCs w:val="24"/>
        </w:rPr>
        <w:t xml:space="preserve"> to aid visualization</w:t>
      </w:r>
      <w:r w:rsidRPr="004F6EAB">
        <w:rPr>
          <w:rFonts w:ascii="Times New Roman" w:hAnsi="Times New Roman" w:cs="Times New Roman"/>
          <w:sz w:val="24"/>
          <w:szCs w:val="24"/>
        </w:rPr>
        <w:t xml:space="preserve">. </w:t>
      </w:r>
    </w:p>
    <w:p w14:paraId="7B9DB725" w14:textId="742DEBC3" w:rsidR="00D85072" w:rsidRPr="004F6EAB" w:rsidRDefault="00FF2F50" w:rsidP="00233D4C">
      <w:pPr>
        <w:spacing w:line="480" w:lineRule="auto"/>
        <w:rPr>
          <w:rFonts w:ascii="Times New Roman" w:hAnsi="Times New Roman" w:cs="Times New Roman"/>
          <w:sz w:val="24"/>
          <w:szCs w:val="24"/>
        </w:rPr>
      </w:pPr>
      <w:r w:rsidRPr="004F6EAB">
        <w:rPr>
          <w:rFonts w:ascii="Times New Roman" w:hAnsi="Times New Roman" w:cs="Times New Roman"/>
          <w:sz w:val="24"/>
          <w:szCs w:val="24"/>
        </w:rPr>
        <w:t xml:space="preserve">All analyses </w:t>
      </w:r>
      <w:r w:rsidR="00E850FD" w:rsidRPr="004F6EAB">
        <w:rPr>
          <w:rFonts w:ascii="Times New Roman" w:hAnsi="Times New Roman" w:cs="Times New Roman"/>
          <w:sz w:val="24"/>
          <w:szCs w:val="24"/>
        </w:rPr>
        <w:t>were</w:t>
      </w:r>
      <w:r w:rsidRPr="004F6EAB">
        <w:rPr>
          <w:rFonts w:ascii="Times New Roman" w:hAnsi="Times New Roman" w:cs="Times New Roman"/>
          <w:sz w:val="24"/>
          <w:szCs w:val="24"/>
        </w:rPr>
        <w:t xml:space="preserve"> performed using the statistical software </w:t>
      </w:r>
      <w:r w:rsidR="00616120" w:rsidRPr="004F6EAB">
        <w:rPr>
          <w:rFonts w:ascii="Times New Roman" w:hAnsi="Times New Roman" w:cs="Times New Roman"/>
          <w:sz w:val="24"/>
          <w:szCs w:val="24"/>
        </w:rPr>
        <w:t>Stata</w:t>
      </w:r>
      <w:r w:rsidRPr="004F6EAB">
        <w:rPr>
          <w:rFonts w:ascii="Times New Roman" w:hAnsi="Times New Roman" w:cs="Times New Roman"/>
          <w:sz w:val="24"/>
          <w:szCs w:val="24"/>
        </w:rPr>
        <w:t xml:space="preserve"> version 13.1 (</w:t>
      </w:r>
      <w:proofErr w:type="spellStart"/>
      <w:r w:rsidRPr="004F6EAB">
        <w:rPr>
          <w:rFonts w:ascii="Times New Roman" w:hAnsi="Times New Roman" w:cs="Times New Roman"/>
          <w:sz w:val="24"/>
          <w:szCs w:val="24"/>
        </w:rPr>
        <w:t>StataCorp</w:t>
      </w:r>
      <w:proofErr w:type="spellEnd"/>
      <w:r w:rsidRPr="004F6EAB">
        <w:rPr>
          <w:rFonts w:ascii="Times New Roman" w:hAnsi="Times New Roman" w:cs="Times New Roman"/>
          <w:sz w:val="24"/>
          <w:szCs w:val="24"/>
        </w:rPr>
        <w:t xml:space="preserve">, College Station, TX, USA), and statistical significance </w:t>
      </w:r>
      <w:r w:rsidR="00DE68EE" w:rsidRPr="004F6EAB">
        <w:rPr>
          <w:rFonts w:ascii="Times New Roman" w:hAnsi="Times New Roman" w:cs="Times New Roman"/>
          <w:sz w:val="24"/>
          <w:szCs w:val="24"/>
        </w:rPr>
        <w:t>wa</w:t>
      </w:r>
      <w:r w:rsidRPr="004F6EAB">
        <w:rPr>
          <w:rFonts w:ascii="Times New Roman" w:hAnsi="Times New Roman" w:cs="Times New Roman"/>
          <w:sz w:val="24"/>
          <w:szCs w:val="24"/>
        </w:rPr>
        <w:t>s defined as two-sided</w:t>
      </w:r>
      <w:r w:rsidR="00DE68EE" w:rsidRPr="004F6EAB">
        <w:rPr>
          <w:rFonts w:ascii="Times New Roman" w:hAnsi="Times New Roman" w:cs="Times New Roman"/>
          <w:sz w:val="24"/>
          <w:szCs w:val="24"/>
        </w:rPr>
        <w:t xml:space="preserve"> </w:t>
      </w:r>
      <w:r w:rsidRPr="004F6EAB">
        <w:rPr>
          <w:rFonts w:ascii="Times New Roman" w:hAnsi="Times New Roman" w:cs="Times New Roman"/>
          <w:i/>
          <w:iCs/>
          <w:sz w:val="24"/>
          <w:szCs w:val="24"/>
        </w:rPr>
        <w:t>P</w:t>
      </w:r>
      <w:r w:rsidRPr="004F6EAB">
        <w:rPr>
          <w:rFonts w:ascii="Times New Roman" w:hAnsi="Times New Roman" w:cs="Times New Roman"/>
          <w:sz w:val="24"/>
          <w:szCs w:val="24"/>
        </w:rPr>
        <w:t>-values &lt;0.05.</w:t>
      </w:r>
      <w:r w:rsidR="00D85072" w:rsidRPr="004F6EAB">
        <w:rPr>
          <w:rFonts w:ascii="Times New Roman" w:hAnsi="Times New Roman" w:cs="Times New Roman"/>
          <w:b/>
          <w:bCs/>
          <w:sz w:val="24"/>
          <w:szCs w:val="24"/>
        </w:rPr>
        <w:br w:type="page"/>
      </w:r>
    </w:p>
    <w:p w14:paraId="63CBCE8C" w14:textId="3D763A0C" w:rsidR="00893B23" w:rsidRPr="004F6EAB" w:rsidRDefault="00E254E3" w:rsidP="005E62D3">
      <w:pPr>
        <w:spacing w:line="480" w:lineRule="auto"/>
        <w:rPr>
          <w:rFonts w:ascii="Times New Roman" w:hAnsi="Times New Roman" w:cs="Times New Roman"/>
          <w:b/>
          <w:bCs/>
          <w:sz w:val="24"/>
          <w:szCs w:val="24"/>
        </w:rPr>
      </w:pPr>
      <w:r w:rsidRPr="004F6EAB">
        <w:rPr>
          <w:rFonts w:ascii="Times New Roman" w:hAnsi="Times New Roman" w:cs="Times New Roman"/>
          <w:b/>
          <w:bCs/>
          <w:sz w:val="24"/>
          <w:szCs w:val="24"/>
        </w:rPr>
        <w:lastRenderedPageBreak/>
        <w:t>RESULTS</w:t>
      </w:r>
    </w:p>
    <w:p w14:paraId="18170F53" w14:textId="28639E96" w:rsidR="00BD199C" w:rsidRPr="004F6EAB" w:rsidRDefault="002712FB" w:rsidP="005E62D3">
      <w:pPr>
        <w:spacing w:line="480" w:lineRule="auto"/>
        <w:rPr>
          <w:rFonts w:ascii="Times New Roman" w:hAnsi="Times New Roman" w:cs="Times New Roman"/>
          <w:sz w:val="24"/>
          <w:szCs w:val="24"/>
        </w:rPr>
      </w:pPr>
      <w:r w:rsidRPr="004F6EAB">
        <w:rPr>
          <w:rFonts w:ascii="Times New Roman" w:hAnsi="Times New Roman" w:cs="Times New Roman"/>
          <w:sz w:val="24"/>
          <w:szCs w:val="24"/>
        </w:rPr>
        <w:t>The current analys</w:t>
      </w:r>
      <w:r w:rsidR="00AA07D2" w:rsidRPr="004F6EAB">
        <w:rPr>
          <w:rFonts w:ascii="Times New Roman" w:hAnsi="Times New Roman" w:cs="Times New Roman"/>
          <w:sz w:val="24"/>
          <w:szCs w:val="24"/>
        </w:rPr>
        <w:t>i</w:t>
      </w:r>
      <w:r w:rsidRPr="004F6EAB">
        <w:rPr>
          <w:rFonts w:ascii="Times New Roman" w:hAnsi="Times New Roman" w:cs="Times New Roman"/>
          <w:sz w:val="24"/>
          <w:szCs w:val="24"/>
        </w:rPr>
        <w:t xml:space="preserve">s included up to </w:t>
      </w:r>
      <w:r w:rsidR="00DA5636" w:rsidRPr="004F6EAB">
        <w:rPr>
          <w:rFonts w:ascii="Times New Roman" w:hAnsi="Times New Roman" w:cs="Times New Roman"/>
          <w:sz w:val="24"/>
          <w:szCs w:val="24"/>
        </w:rPr>
        <w:t>2</w:t>
      </w:r>
      <w:r w:rsidR="00784461" w:rsidRPr="004F6EAB">
        <w:rPr>
          <w:rFonts w:ascii="Times New Roman" w:hAnsi="Times New Roman" w:cs="Times New Roman"/>
          <w:sz w:val="24"/>
          <w:szCs w:val="24"/>
        </w:rPr>
        <w:t xml:space="preserve">4,861 </w:t>
      </w:r>
      <w:r w:rsidRPr="004F6EAB">
        <w:rPr>
          <w:rFonts w:ascii="Times New Roman" w:hAnsi="Times New Roman" w:cs="Times New Roman"/>
          <w:sz w:val="24"/>
          <w:szCs w:val="24"/>
        </w:rPr>
        <w:t>mother-child pairs from 7 European studies.</w:t>
      </w:r>
      <w:r w:rsidR="00B440EF" w:rsidRPr="004F6EAB">
        <w:rPr>
          <w:rFonts w:ascii="Times New Roman" w:hAnsi="Times New Roman" w:cs="Times New Roman"/>
          <w:sz w:val="24"/>
          <w:szCs w:val="24"/>
        </w:rPr>
        <w:t xml:space="preserve"> Overall, the study mothers had a mean </w:t>
      </w:r>
      <w:r w:rsidR="000A0B51" w:rsidRPr="004F6EAB">
        <w:rPr>
          <w:rFonts w:ascii="Times New Roman" w:hAnsi="Times New Roman" w:cs="Times New Roman"/>
          <w:sz w:val="24"/>
          <w:szCs w:val="24"/>
        </w:rPr>
        <w:t xml:space="preserve">± SD </w:t>
      </w:r>
      <w:r w:rsidR="00B440EF" w:rsidRPr="004F6EAB">
        <w:rPr>
          <w:rFonts w:ascii="Times New Roman" w:hAnsi="Times New Roman" w:cs="Times New Roman"/>
          <w:sz w:val="24"/>
          <w:szCs w:val="24"/>
        </w:rPr>
        <w:t>age of 29.</w:t>
      </w:r>
      <w:r w:rsidR="00844E2C" w:rsidRPr="004F6EAB">
        <w:rPr>
          <w:rFonts w:ascii="Times New Roman" w:hAnsi="Times New Roman" w:cs="Times New Roman"/>
          <w:sz w:val="24"/>
          <w:szCs w:val="24"/>
        </w:rPr>
        <w:t>5</w:t>
      </w:r>
      <w:r w:rsidR="000A0B51" w:rsidRPr="004F6EAB">
        <w:rPr>
          <w:rFonts w:ascii="Times New Roman" w:hAnsi="Times New Roman" w:cs="Times New Roman"/>
          <w:sz w:val="24"/>
          <w:szCs w:val="24"/>
        </w:rPr>
        <w:t xml:space="preserve"> ± </w:t>
      </w:r>
      <w:r w:rsidR="004B7CFB" w:rsidRPr="004F6EAB">
        <w:rPr>
          <w:rFonts w:ascii="Times New Roman" w:hAnsi="Times New Roman" w:cs="Times New Roman"/>
          <w:sz w:val="24"/>
          <w:szCs w:val="24"/>
        </w:rPr>
        <w:t>4.</w:t>
      </w:r>
      <w:r w:rsidR="00844E2C" w:rsidRPr="004F6EAB">
        <w:rPr>
          <w:rFonts w:ascii="Times New Roman" w:hAnsi="Times New Roman" w:cs="Times New Roman"/>
          <w:sz w:val="24"/>
          <w:szCs w:val="24"/>
        </w:rPr>
        <w:t>9</w:t>
      </w:r>
      <w:r w:rsidR="000A0B51" w:rsidRPr="004F6EAB">
        <w:rPr>
          <w:rFonts w:ascii="Times New Roman" w:hAnsi="Times New Roman" w:cs="Times New Roman"/>
          <w:sz w:val="24"/>
          <w:szCs w:val="24"/>
        </w:rPr>
        <w:t xml:space="preserve"> </w:t>
      </w:r>
      <w:r w:rsidR="00B440EF" w:rsidRPr="004F6EAB">
        <w:rPr>
          <w:rFonts w:ascii="Times New Roman" w:hAnsi="Times New Roman" w:cs="Times New Roman"/>
          <w:sz w:val="24"/>
          <w:szCs w:val="24"/>
        </w:rPr>
        <w:t>y at delivery and a mean BMI of 23.3</w:t>
      </w:r>
      <w:r w:rsidR="000A0B51" w:rsidRPr="004F6EAB">
        <w:rPr>
          <w:rFonts w:ascii="Times New Roman" w:hAnsi="Times New Roman" w:cs="Times New Roman"/>
          <w:sz w:val="24"/>
          <w:szCs w:val="24"/>
        </w:rPr>
        <w:t xml:space="preserve"> ± </w:t>
      </w:r>
      <w:r w:rsidR="004B7CFB" w:rsidRPr="004F6EAB">
        <w:rPr>
          <w:rFonts w:ascii="Times New Roman" w:hAnsi="Times New Roman" w:cs="Times New Roman"/>
          <w:sz w:val="24"/>
          <w:szCs w:val="24"/>
        </w:rPr>
        <w:t>4.</w:t>
      </w:r>
      <w:r w:rsidR="00844E2C" w:rsidRPr="004F6EAB">
        <w:rPr>
          <w:rFonts w:ascii="Times New Roman" w:hAnsi="Times New Roman" w:cs="Times New Roman"/>
          <w:sz w:val="24"/>
          <w:szCs w:val="24"/>
        </w:rPr>
        <w:t>2</w:t>
      </w:r>
      <w:r w:rsidR="000A0B51" w:rsidRPr="004F6EAB">
        <w:rPr>
          <w:rFonts w:ascii="Times New Roman" w:hAnsi="Times New Roman" w:cs="Times New Roman"/>
          <w:sz w:val="24"/>
          <w:szCs w:val="24"/>
        </w:rPr>
        <w:t xml:space="preserve"> </w:t>
      </w:r>
      <w:r w:rsidR="00B440EF" w:rsidRPr="004F6EAB">
        <w:rPr>
          <w:rFonts w:ascii="Times New Roman" w:hAnsi="Times New Roman" w:cs="Times New Roman"/>
          <w:sz w:val="24"/>
          <w:szCs w:val="24"/>
        </w:rPr>
        <w:t>kg/m</w:t>
      </w:r>
      <w:r w:rsidR="00B440EF" w:rsidRPr="004F6EAB">
        <w:rPr>
          <w:rFonts w:ascii="Times New Roman" w:hAnsi="Times New Roman" w:cs="Times New Roman"/>
          <w:sz w:val="24"/>
          <w:szCs w:val="24"/>
          <w:vertAlign w:val="superscript"/>
        </w:rPr>
        <w:t>2</w:t>
      </w:r>
      <w:r w:rsidR="00EF20CC" w:rsidRPr="004F6EAB">
        <w:rPr>
          <w:rFonts w:ascii="Times New Roman" w:hAnsi="Times New Roman" w:cs="Times New Roman"/>
          <w:sz w:val="24"/>
          <w:szCs w:val="24"/>
          <w:vertAlign w:val="superscript"/>
        </w:rPr>
        <w:t xml:space="preserve"> </w:t>
      </w:r>
      <w:r w:rsidR="00EF20CC" w:rsidRPr="004F6EAB">
        <w:rPr>
          <w:rFonts w:ascii="Times New Roman" w:hAnsi="Times New Roman" w:cs="Times New Roman"/>
          <w:sz w:val="24"/>
          <w:szCs w:val="24"/>
        </w:rPr>
        <w:t>(</w:t>
      </w:r>
      <w:r w:rsidR="00F47BEA" w:rsidRPr="004F6EAB">
        <w:rPr>
          <w:rFonts w:ascii="Times New Roman" w:hAnsi="Times New Roman" w:cs="Times New Roman"/>
          <w:b/>
          <w:bCs/>
          <w:sz w:val="24"/>
          <w:szCs w:val="24"/>
        </w:rPr>
        <w:t>S</w:t>
      </w:r>
      <w:r w:rsidR="00F47BEA">
        <w:rPr>
          <w:rFonts w:ascii="Times New Roman" w:hAnsi="Times New Roman" w:cs="Times New Roman"/>
          <w:b/>
          <w:bCs/>
          <w:sz w:val="24"/>
          <w:szCs w:val="24"/>
        </w:rPr>
        <w:t>1</w:t>
      </w:r>
      <w:r w:rsidR="00F47BEA" w:rsidRPr="004F6EAB">
        <w:rPr>
          <w:rFonts w:ascii="Times New Roman" w:hAnsi="Times New Roman" w:cs="Times New Roman"/>
          <w:b/>
          <w:bCs/>
          <w:sz w:val="24"/>
          <w:szCs w:val="24"/>
        </w:rPr>
        <w:t xml:space="preserve"> </w:t>
      </w:r>
      <w:r w:rsidR="0055572A">
        <w:rPr>
          <w:rFonts w:ascii="Times New Roman" w:hAnsi="Times New Roman" w:cs="Times New Roman"/>
          <w:b/>
          <w:bCs/>
          <w:sz w:val="24"/>
          <w:szCs w:val="24"/>
        </w:rPr>
        <w:t>Table</w:t>
      </w:r>
      <w:r w:rsidR="00EF20CC" w:rsidRPr="004F6EAB">
        <w:rPr>
          <w:rFonts w:ascii="Times New Roman" w:hAnsi="Times New Roman" w:cs="Times New Roman"/>
          <w:sz w:val="24"/>
          <w:szCs w:val="24"/>
        </w:rPr>
        <w:t>)</w:t>
      </w:r>
      <w:r w:rsidR="00B440EF" w:rsidRPr="004F6EAB">
        <w:rPr>
          <w:rFonts w:ascii="Times New Roman" w:hAnsi="Times New Roman" w:cs="Times New Roman"/>
          <w:sz w:val="24"/>
          <w:szCs w:val="24"/>
        </w:rPr>
        <w:t xml:space="preserve">. </w:t>
      </w:r>
      <w:r w:rsidR="002F3FCB" w:rsidRPr="004F6EAB">
        <w:rPr>
          <w:rFonts w:ascii="Times New Roman" w:hAnsi="Times New Roman" w:cs="Times New Roman"/>
          <w:sz w:val="24"/>
          <w:szCs w:val="24"/>
        </w:rPr>
        <w:t xml:space="preserve">Mean ± SD of dietary scores </w:t>
      </w:r>
      <w:r w:rsidR="000A0B51" w:rsidRPr="004F6EAB">
        <w:rPr>
          <w:rFonts w:ascii="Times New Roman" w:hAnsi="Times New Roman" w:cs="Times New Roman"/>
          <w:sz w:val="24"/>
          <w:szCs w:val="24"/>
        </w:rPr>
        <w:t>were:</w:t>
      </w:r>
      <w:r w:rsidR="002F3FCB" w:rsidRPr="004F6EAB">
        <w:rPr>
          <w:rFonts w:ascii="Times New Roman" w:hAnsi="Times New Roman" w:cs="Times New Roman"/>
          <w:sz w:val="24"/>
          <w:szCs w:val="24"/>
        </w:rPr>
        <w:t xml:space="preserve"> pre-pregnancy E-DII= 0.1 ± 1.7; pregnancy: E-DII= 0.2 ± 1.7; pre-pregnancy DASH= 24.</w:t>
      </w:r>
      <w:r w:rsidR="00844E2C" w:rsidRPr="004F6EAB">
        <w:rPr>
          <w:rFonts w:ascii="Times New Roman" w:hAnsi="Times New Roman" w:cs="Times New Roman"/>
          <w:sz w:val="24"/>
          <w:szCs w:val="24"/>
        </w:rPr>
        <w:t xml:space="preserve">1 </w:t>
      </w:r>
      <w:r w:rsidR="002F3FCB" w:rsidRPr="004F6EAB">
        <w:rPr>
          <w:rFonts w:ascii="Times New Roman" w:hAnsi="Times New Roman" w:cs="Times New Roman"/>
          <w:sz w:val="24"/>
          <w:szCs w:val="24"/>
        </w:rPr>
        <w:t>± 4.</w:t>
      </w:r>
      <w:r w:rsidR="00844E2C" w:rsidRPr="004F6EAB">
        <w:rPr>
          <w:rFonts w:ascii="Times New Roman" w:hAnsi="Times New Roman" w:cs="Times New Roman"/>
          <w:sz w:val="24"/>
          <w:szCs w:val="24"/>
        </w:rPr>
        <w:t>3</w:t>
      </w:r>
      <w:r w:rsidR="002F3FCB" w:rsidRPr="004F6EAB">
        <w:rPr>
          <w:rFonts w:ascii="Times New Roman" w:hAnsi="Times New Roman" w:cs="Times New Roman"/>
          <w:sz w:val="24"/>
          <w:szCs w:val="24"/>
        </w:rPr>
        <w:t>; pregnancy DASH= 24.</w:t>
      </w:r>
      <w:r w:rsidR="00844E2C" w:rsidRPr="004F6EAB">
        <w:rPr>
          <w:rFonts w:ascii="Times New Roman" w:hAnsi="Times New Roman" w:cs="Times New Roman"/>
          <w:sz w:val="24"/>
          <w:szCs w:val="24"/>
        </w:rPr>
        <w:t>0</w:t>
      </w:r>
      <w:r w:rsidR="002F3FCB" w:rsidRPr="004F6EAB">
        <w:rPr>
          <w:rFonts w:ascii="Times New Roman" w:hAnsi="Times New Roman" w:cs="Times New Roman"/>
          <w:sz w:val="24"/>
          <w:szCs w:val="24"/>
        </w:rPr>
        <w:t xml:space="preserve"> ± 4.2. </w:t>
      </w:r>
      <w:r w:rsidR="00F55EC2" w:rsidRPr="004F6EAB">
        <w:rPr>
          <w:rFonts w:ascii="Times New Roman" w:hAnsi="Times New Roman" w:cs="Times New Roman"/>
          <w:sz w:val="24"/>
          <w:szCs w:val="24"/>
        </w:rPr>
        <w:t xml:space="preserve">The </w:t>
      </w:r>
      <w:r w:rsidR="00ED1E0E" w:rsidRPr="004F6EAB">
        <w:rPr>
          <w:rFonts w:ascii="Times New Roman" w:hAnsi="Times New Roman" w:cs="Times New Roman"/>
          <w:sz w:val="24"/>
          <w:szCs w:val="24"/>
        </w:rPr>
        <w:t xml:space="preserve">Pearson’s </w:t>
      </w:r>
      <w:r w:rsidR="00F55EC2" w:rsidRPr="004F6EAB">
        <w:rPr>
          <w:rFonts w:ascii="Times New Roman" w:hAnsi="Times New Roman" w:cs="Times New Roman"/>
          <w:sz w:val="24"/>
          <w:szCs w:val="24"/>
        </w:rPr>
        <w:t xml:space="preserve">correlations </w:t>
      </w:r>
      <w:r w:rsidR="00ED1E0E" w:rsidRPr="004F6EAB">
        <w:rPr>
          <w:rFonts w:ascii="Times New Roman" w:hAnsi="Times New Roman" w:cs="Times New Roman"/>
          <w:sz w:val="24"/>
          <w:szCs w:val="24"/>
        </w:rPr>
        <w:t xml:space="preserve">coefficients </w:t>
      </w:r>
      <w:r w:rsidR="00F55EC2" w:rsidRPr="004F6EAB">
        <w:rPr>
          <w:rFonts w:ascii="Times New Roman" w:hAnsi="Times New Roman" w:cs="Times New Roman"/>
          <w:sz w:val="24"/>
          <w:szCs w:val="24"/>
        </w:rPr>
        <w:t xml:space="preserve">between E-DII and DASH </w:t>
      </w:r>
      <w:r w:rsidR="00ED1E0E" w:rsidRPr="004F6EAB">
        <w:rPr>
          <w:rFonts w:ascii="Times New Roman" w:hAnsi="Times New Roman" w:cs="Times New Roman"/>
          <w:sz w:val="24"/>
          <w:szCs w:val="24"/>
        </w:rPr>
        <w:t xml:space="preserve">were -0.60 for pre-pregnancy and -0.49 during pregnancy (both </w:t>
      </w:r>
      <w:r w:rsidR="00ED1E0E" w:rsidRPr="004F6EAB">
        <w:rPr>
          <w:rFonts w:ascii="Times New Roman" w:hAnsi="Times New Roman" w:cs="Times New Roman"/>
          <w:i/>
          <w:iCs/>
          <w:sz w:val="24"/>
          <w:szCs w:val="24"/>
        </w:rPr>
        <w:t>P</w:t>
      </w:r>
      <w:r w:rsidR="00ED1E0E" w:rsidRPr="004F6EAB">
        <w:rPr>
          <w:rFonts w:ascii="Times New Roman" w:hAnsi="Times New Roman" w:cs="Times New Roman"/>
          <w:sz w:val="24"/>
          <w:szCs w:val="24"/>
        </w:rPr>
        <w:t xml:space="preserve"> &lt;0.001). </w:t>
      </w:r>
      <w:r w:rsidR="002F3FCB" w:rsidRPr="004F6EAB">
        <w:rPr>
          <w:rFonts w:ascii="Times New Roman" w:hAnsi="Times New Roman" w:cs="Times New Roman"/>
          <w:sz w:val="24"/>
          <w:szCs w:val="24"/>
        </w:rPr>
        <w:t xml:space="preserve">Most </w:t>
      </w:r>
      <w:r w:rsidR="00EF20CC" w:rsidRPr="004F6EAB">
        <w:rPr>
          <w:rFonts w:ascii="Times New Roman" w:hAnsi="Times New Roman" w:cs="Times New Roman"/>
          <w:sz w:val="24"/>
          <w:szCs w:val="24"/>
        </w:rPr>
        <w:t>of the mothers reported European</w:t>
      </w:r>
      <w:r w:rsidR="006E4AD0" w:rsidRPr="004F6EAB">
        <w:rPr>
          <w:rFonts w:ascii="Times New Roman" w:hAnsi="Times New Roman" w:cs="Times New Roman"/>
          <w:sz w:val="24"/>
          <w:szCs w:val="24"/>
        </w:rPr>
        <w:t>-born</w:t>
      </w:r>
      <w:r w:rsidR="00EF20CC" w:rsidRPr="004F6EAB">
        <w:rPr>
          <w:rFonts w:ascii="Times New Roman" w:hAnsi="Times New Roman" w:cs="Times New Roman"/>
          <w:sz w:val="24"/>
          <w:szCs w:val="24"/>
        </w:rPr>
        <w:t>/White ethnicity</w:t>
      </w:r>
      <w:r w:rsidR="000A0B51" w:rsidRPr="004F6EAB">
        <w:rPr>
          <w:rFonts w:ascii="Times New Roman" w:hAnsi="Times New Roman" w:cs="Times New Roman"/>
          <w:sz w:val="24"/>
          <w:szCs w:val="24"/>
        </w:rPr>
        <w:t xml:space="preserve">. </w:t>
      </w:r>
      <w:r w:rsidR="00EF20CC" w:rsidRPr="004F6EAB">
        <w:rPr>
          <w:rFonts w:ascii="Times New Roman" w:hAnsi="Times New Roman" w:cs="Times New Roman"/>
          <w:sz w:val="24"/>
          <w:szCs w:val="24"/>
        </w:rPr>
        <w:t xml:space="preserve">There were </w:t>
      </w:r>
      <w:r w:rsidR="00DE03CC" w:rsidRPr="004F6EAB">
        <w:rPr>
          <w:rFonts w:ascii="Times New Roman" w:hAnsi="Times New Roman" w:cs="Times New Roman"/>
          <w:sz w:val="24"/>
          <w:szCs w:val="24"/>
        </w:rPr>
        <w:t>notable differences in participants</w:t>
      </w:r>
      <w:r w:rsidR="00AA07D2" w:rsidRPr="004F6EAB">
        <w:rPr>
          <w:rFonts w:ascii="Times New Roman" w:hAnsi="Times New Roman" w:cs="Times New Roman"/>
          <w:sz w:val="24"/>
          <w:szCs w:val="24"/>
        </w:rPr>
        <w:t>’</w:t>
      </w:r>
      <w:r w:rsidR="00DE03CC" w:rsidRPr="004F6EAB">
        <w:rPr>
          <w:rFonts w:ascii="Times New Roman" w:hAnsi="Times New Roman" w:cs="Times New Roman"/>
          <w:sz w:val="24"/>
          <w:szCs w:val="24"/>
        </w:rPr>
        <w:t xml:space="preserve"> characteristics across included studies, despite all </w:t>
      </w:r>
      <w:r w:rsidR="008C18B3" w:rsidRPr="004F6EAB">
        <w:rPr>
          <w:rFonts w:ascii="Times New Roman" w:hAnsi="Times New Roman" w:cs="Times New Roman"/>
          <w:sz w:val="24"/>
          <w:szCs w:val="24"/>
        </w:rPr>
        <w:t xml:space="preserve">being </w:t>
      </w:r>
      <w:r w:rsidR="00DE03CC" w:rsidRPr="004F6EAB">
        <w:rPr>
          <w:rFonts w:ascii="Times New Roman" w:hAnsi="Times New Roman" w:cs="Times New Roman"/>
          <w:sz w:val="24"/>
          <w:szCs w:val="24"/>
        </w:rPr>
        <w:t>set in Europe. For example, about one third of G</w:t>
      </w:r>
      <w:r w:rsidR="00AA07D2" w:rsidRPr="004F6EAB">
        <w:rPr>
          <w:rFonts w:ascii="Times New Roman" w:hAnsi="Times New Roman" w:cs="Times New Roman"/>
          <w:sz w:val="24"/>
          <w:szCs w:val="24"/>
        </w:rPr>
        <w:t>eneration</w:t>
      </w:r>
      <w:r w:rsidR="00DE03CC" w:rsidRPr="004F6EAB">
        <w:rPr>
          <w:rFonts w:ascii="Times New Roman" w:hAnsi="Times New Roman" w:cs="Times New Roman"/>
          <w:sz w:val="24"/>
          <w:szCs w:val="24"/>
        </w:rPr>
        <w:t xml:space="preserve"> R’s participants </w:t>
      </w:r>
      <w:r w:rsidR="00CF3FE1" w:rsidRPr="004F6EAB">
        <w:rPr>
          <w:rFonts w:ascii="Times New Roman" w:hAnsi="Times New Roman" w:cs="Times New Roman"/>
          <w:sz w:val="24"/>
          <w:szCs w:val="24"/>
        </w:rPr>
        <w:t xml:space="preserve">self-reported </w:t>
      </w:r>
      <w:r w:rsidR="00DE03CC" w:rsidRPr="004F6EAB">
        <w:rPr>
          <w:rFonts w:ascii="Times New Roman" w:hAnsi="Times New Roman" w:cs="Times New Roman"/>
          <w:sz w:val="24"/>
          <w:szCs w:val="24"/>
        </w:rPr>
        <w:t>to be of non-European</w:t>
      </w:r>
      <w:r w:rsidR="006E4AD0" w:rsidRPr="004F6EAB">
        <w:rPr>
          <w:rFonts w:ascii="Times New Roman" w:hAnsi="Times New Roman" w:cs="Times New Roman"/>
          <w:sz w:val="24"/>
          <w:szCs w:val="24"/>
        </w:rPr>
        <w:t>-born</w:t>
      </w:r>
      <w:r w:rsidR="00DE03CC" w:rsidRPr="004F6EAB">
        <w:rPr>
          <w:rFonts w:ascii="Times New Roman" w:hAnsi="Times New Roman" w:cs="Times New Roman"/>
          <w:sz w:val="24"/>
          <w:szCs w:val="24"/>
        </w:rPr>
        <w:t xml:space="preserve">/non-White ethnicity, in contrast to &lt;5% in other cohorts. </w:t>
      </w:r>
      <w:r w:rsidR="003739C8" w:rsidRPr="004F6EAB">
        <w:rPr>
          <w:rFonts w:ascii="Times New Roman" w:hAnsi="Times New Roman" w:cs="Times New Roman"/>
          <w:sz w:val="24"/>
          <w:szCs w:val="24"/>
        </w:rPr>
        <w:t>The distributions</w:t>
      </w:r>
      <w:r w:rsidR="00DA5636" w:rsidRPr="004F6EAB">
        <w:rPr>
          <w:rFonts w:ascii="Times New Roman" w:hAnsi="Times New Roman" w:cs="Times New Roman"/>
          <w:sz w:val="24"/>
          <w:szCs w:val="24"/>
        </w:rPr>
        <w:t xml:space="preserve"> of main exposure (maternal E-DII and DASH scores during pregnancy) and outcomes (birth weight and gestational age) are shown in </w:t>
      </w:r>
      <w:r w:rsidR="00DA5636" w:rsidRPr="004F6EAB">
        <w:rPr>
          <w:rFonts w:ascii="Times New Roman" w:hAnsi="Times New Roman" w:cs="Times New Roman"/>
          <w:b/>
          <w:bCs/>
          <w:sz w:val="24"/>
          <w:szCs w:val="24"/>
        </w:rPr>
        <w:t>Fig 1</w:t>
      </w:r>
      <w:r w:rsidR="00DA5636" w:rsidRPr="004F6EAB">
        <w:rPr>
          <w:rFonts w:ascii="Times New Roman" w:hAnsi="Times New Roman" w:cs="Times New Roman"/>
          <w:sz w:val="24"/>
          <w:szCs w:val="24"/>
        </w:rPr>
        <w:t>.</w:t>
      </w:r>
      <w:r w:rsidR="00DE03CC" w:rsidRPr="004F6EAB">
        <w:rPr>
          <w:rFonts w:ascii="Times New Roman" w:hAnsi="Times New Roman" w:cs="Times New Roman"/>
          <w:sz w:val="24"/>
          <w:szCs w:val="24"/>
        </w:rPr>
        <w:t xml:space="preserve"> </w:t>
      </w:r>
    </w:p>
    <w:p w14:paraId="1698C9C2" w14:textId="04921FEC" w:rsidR="001073AA" w:rsidRPr="004F6EAB" w:rsidRDefault="00CF3FE1" w:rsidP="001073AA">
      <w:pPr>
        <w:spacing w:line="480" w:lineRule="auto"/>
        <w:rPr>
          <w:rFonts w:ascii="Times New Roman" w:hAnsi="Times New Roman" w:cs="Times New Roman"/>
          <w:sz w:val="24"/>
          <w:szCs w:val="24"/>
        </w:rPr>
      </w:pPr>
      <w:r w:rsidRPr="004F6EAB">
        <w:rPr>
          <w:rFonts w:ascii="Times New Roman" w:hAnsi="Times New Roman" w:cs="Times New Roman"/>
          <w:sz w:val="24"/>
          <w:szCs w:val="24"/>
        </w:rPr>
        <w:t xml:space="preserve">The </w:t>
      </w:r>
      <w:r w:rsidR="00DE03CC" w:rsidRPr="004F6EAB">
        <w:rPr>
          <w:rFonts w:ascii="Times New Roman" w:hAnsi="Times New Roman" w:cs="Times New Roman"/>
          <w:sz w:val="24"/>
          <w:szCs w:val="24"/>
        </w:rPr>
        <w:t xml:space="preserve">associations </w:t>
      </w:r>
      <w:r w:rsidRPr="004F6EAB">
        <w:rPr>
          <w:rFonts w:ascii="Times New Roman" w:hAnsi="Times New Roman" w:cs="Times New Roman"/>
          <w:sz w:val="24"/>
          <w:szCs w:val="24"/>
        </w:rPr>
        <w:t>of</w:t>
      </w:r>
      <w:r w:rsidR="00DE03CC" w:rsidRPr="004F6EAB">
        <w:rPr>
          <w:rFonts w:ascii="Times New Roman" w:hAnsi="Times New Roman" w:cs="Times New Roman"/>
          <w:sz w:val="24"/>
          <w:szCs w:val="24"/>
        </w:rPr>
        <w:t xml:space="preserve"> maternal</w:t>
      </w:r>
      <w:r w:rsidRPr="004F6EAB">
        <w:rPr>
          <w:rFonts w:ascii="Times New Roman" w:hAnsi="Times New Roman" w:cs="Times New Roman"/>
          <w:sz w:val="24"/>
          <w:szCs w:val="24"/>
        </w:rPr>
        <w:t xml:space="preserve"> pre-pregnancy and pregnancy</w:t>
      </w:r>
      <w:r w:rsidR="00DE03CC" w:rsidRPr="004F6EAB">
        <w:rPr>
          <w:rFonts w:ascii="Times New Roman" w:hAnsi="Times New Roman" w:cs="Times New Roman"/>
          <w:sz w:val="24"/>
          <w:szCs w:val="24"/>
        </w:rPr>
        <w:t xml:space="preserve"> </w:t>
      </w:r>
      <w:r w:rsidRPr="004F6EAB">
        <w:rPr>
          <w:rFonts w:ascii="Times New Roman" w:hAnsi="Times New Roman" w:cs="Times New Roman"/>
          <w:sz w:val="24"/>
          <w:szCs w:val="24"/>
        </w:rPr>
        <w:t xml:space="preserve">E-DII and DASH scores with offspring birth outcomes are documented in </w:t>
      </w:r>
      <w:r w:rsidRPr="004F6EAB">
        <w:rPr>
          <w:rFonts w:ascii="Times New Roman" w:hAnsi="Times New Roman" w:cs="Times New Roman"/>
          <w:b/>
          <w:bCs/>
          <w:sz w:val="24"/>
          <w:szCs w:val="24"/>
        </w:rPr>
        <w:t>Table 1</w:t>
      </w:r>
      <w:r w:rsidRPr="004F6EAB">
        <w:rPr>
          <w:rFonts w:ascii="Times New Roman" w:hAnsi="Times New Roman" w:cs="Times New Roman"/>
          <w:sz w:val="24"/>
          <w:szCs w:val="24"/>
        </w:rPr>
        <w:t xml:space="preserve"> (continuous measures) and </w:t>
      </w:r>
      <w:r w:rsidRPr="004F6EAB">
        <w:rPr>
          <w:rFonts w:ascii="Times New Roman" w:hAnsi="Times New Roman" w:cs="Times New Roman"/>
          <w:b/>
          <w:bCs/>
          <w:sz w:val="24"/>
          <w:szCs w:val="24"/>
        </w:rPr>
        <w:t xml:space="preserve">Table 2 </w:t>
      </w:r>
      <w:r w:rsidRPr="004F6EAB">
        <w:rPr>
          <w:rFonts w:ascii="Times New Roman" w:hAnsi="Times New Roman" w:cs="Times New Roman"/>
          <w:sz w:val="24"/>
          <w:szCs w:val="24"/>
        </w:rPr>
        <w:t xml:space="preserve">(binary outcomes). </w:t>
      </w:r>
      <w:bookmarkStart w:id="6" w:name="_Hlk19551028"/>
      <w:r w:rsidR="004A32ED" w:rsidRPr="004F6EAB">
        <w:rPr>
          <w:rFonts w:ascii="Times New Roman" w:hAnsi="Times New Roman" w:cs="Times New Roman"/>
          <w:sz w:val="24"/>
          <w:szCs w:val="24"/>
        </w:rPr>
        <w:t xml:space="preserve">Overall, </w:t>
      </w:r>
      <w:r w:rsidR="00E0528E" w:rsidRPr="004F6EAB">
        <w:rPr>
          <w:rFonts w:ascii="Times New Roman" w:hAnsi="Times New Roman" w:cs="Times New Roman"/>
          <w:sz w:val="24"/>
          <w:szCs w:val="24"/>
        </w:rPr>
        <w:t xml:space="preserve">a more pro-inflammatory and </w:t>
      </w:r>
      <w:r w:rsidR="00191A8E" w:rsidRPr="004F6EAB">
        <w:rPr>
          <w:rFonts w:ascii="Times New Roman" w:hAnsi="Times New Roman" w:cs="Times New Roman"/>
          <w:sz w:val="24"/>
          <w:szCs w:val="24"/>
        </w:rPr>
        <w:t xml:space="preserve">a </w:t>
      </w:r>
      <w:r w:rsidR="00E0528E" w:rsidRPr="004F6EAB">
        <w:rPr>
          <w:rFonts w:ascii="Times New Roman" w:hAnsi="Times New Roman" w:cs="Times New Roman"/>
          <w:sz w:val="24"/>
          <w:szCs w:val="24"/>
        </w:rPr>
        <w:t>lower quality maternal diet</w:t>
      </w:r>
      <w:r w:rsidR="001073AA" w:rsidRPr="004F6EAB">
        <w:rPr>
          <w:rFonts w:ascii="Times New Roman" w:hAnsi="Times New Roman" w:cs="Times New Roman"/>
          <w:sz w:val="24"/>
          <w:szCs w:val="24"/>
        </w:rPr>
        <w:t xml:space="preserve"> </w:t>
      </w:r>
      <w:r w:rsidR="00061520" w:rsidRPr="004F6EAB">
        <w:rPr>
          <w:rFonts w:ascii="Times New Roman" w:hAnsi="Times New Roman" w:cs="Times New Roman"/>
          <w:sz w:val="24"/>
          <w:szCs w:val="24"/>
        </w:rPr>
        <w:t xml:space="preserve">during pregnancy </w:t>
      </w:r>
      <w:r w:rsidR="00E0528E" w:rsidRPr="004F6EAB">
        <w:rPr>
          <w:rFonts w:ascii="Times New Roman" w:hAnsi="Times New Roman" w:cs="Times New Roman"/>
          <w:sz w:val="24"/>
          <w:szCs w:val="24"/>
        </w:rPr>
        <w:t>w</w:t>
      </w:r>
      <w:r w:rsidR="00191A8E" w:rsidRPr="004F6EAB">
        <w:rPr>
          <w:rFonts w:ascii="Times New Roman" w:hAnsi="Times New Roman" w:cs="Times New Roman"/>
          <w:sz w:val="24"/>
          <w:szCs w:val="24"/>
        </w:rPr>
        <w:t>ere</w:t>
      </w:r>
      <w:r w:rsidR="00E0528E" w:rsidRPr="004F6EAB">
        <w:rPr>
          <w:rFonts w:ascii="Times New Roman" w:hAnsi="Times New Roman" w:cs="Times New Roman"/>
          <w:sz w:val="24"/>
          <w:szCs w:val="24"/>
        </w:rPr>
        <w:t xml:space="preserve"> associated with lower birth size measures and higher risk of giving birth to LBW or SG</w:t>
      </w:r>
      <w:r w:rsidR="001073AA" w:rsidRPr="004F6EAB">
        <w:rPr>
          <w:rFonts w:ascii="Times New Roman" w:hAnsi="Times New Roman" w:cs="Times New Roman"/>
          <w:sz w:val="24"/>
          <w:szCs w:val="24"/>
        </w:rPr>
        <w:t>A</w:t>
      </w:r>
      <w:r w:rsidR="00AA07D2" w:rsidRPr="004F6EAB">
        <w:rPr>
          <w:rFonts w:ascii="Times New Roman" w:hAnsi="Times New Roman" w:cs="Times New Roman"/>
          <w:sz w:val="24"/>
          <w:szCs w:val="24"/>
        </w:rPr>
        <w:t xml:space="preserve"> </w:t>
      </w:r>
      <w:r w:rsidR="00844E2C" w:rsidRPr="004F6EAB">
        <w:rPr>
          <w:rFonts w:ascii="Times New Roman" w:hAnsi="Times New Roman" w:cs="Times New Roman"/>
          <w:sz w:val="24"/>
          <w:szCs w:val="24"/>
        </w:rPr>
        <w:t>infant</w:t>
      </w:r>
      <w:r w:rsidR="00AA07D2" w:rsidRPr="004F6EAB">
        <w:rPr>
          <w:rFonts w:ascii="Times New Roman" w:hAnsi="Times New Roman" w:cs="Times New Roman"/>
          <w:sz w:val="24"/>
          <w:szCs w:val="24"/>
        </w:rPr>
        <w:t>s</w:t>
      </w:r>
      <w:r w:rsidR="001073AA" w:rsidRPr="004F6EAB">
        <w:rPr>
          <w:rFonts w:ascii="Times New Roman" w:hAnsi="Times New Roman" w:cs="Times New Roman"/>
          <w:sz w:val="24"/>
          <w:szCs w:val="24"/>
        </w:rPr>
        <w:t xml:space="preserve">. </w:t>
      </w:r>
      <w:r w:rsidR="002945EA" w:rsidRPr="004F6EAB">
        <w:rPr>
          <w:rFonts w:ascii="Times New Roman" w:hAnsi="Times New Roman" w:cs="Times New Roman"/>
          <w:sz w:val="24"/>
          <w:szCs w:val="24"/>
        </w:rPr>
        <w:t>Higher maternal pre-pregnancy E-DII score (more pro-inflammatory diet) was associated with lower birth weight [</w:t>
      </w:r>
      <w:r w:rsidR="00336D10" w:rsidRPr="004F6EAB">
        <w:rPr>
          <w:rFonts w:ascii="Times New Roman" w:hAnsi="Times New Roman" w:cs="Times New Roman"/>
          <w:sz w:val="24"/>
          <w:szCs w:val="24"/>
        </w:rPr>
        <w:t>β (95%</w:t>
      </w:r>
      <w:r w:rsidR="003812E9" w:rsidRPr="004F6EAB">
        <w:rPr>
          <w:rFonts w:ascii="Times New Roman" w:hAnsi="Times New Roman" w:cs="Times New Roman"/>
          <w:sz w:val="24"/>
          <w:szCs w:val="24"/>
        </w:rPr>
        <w:t xml:space="preserve"> </w:t>
      </w:r>
      <w:r w:rsidR="00336D10" w:rsidRPr="004F6EAB">
        <w:rPr>
          <w:rFonts w:ascii="Times New Roman" w:hAnsi="Times New Roman" w:cs="Times New Roman"/>
          <w:sz w:val="24"/>
          <w:szCs w:val="24"/>
        </w:rPr>
        <w:t xml:space="preserve">CI)= </w:t>
      </w:r>
      <w:r w:rsidR="00A306FD" w:rsidRPr="004F6EAB">
        <w:rPr>
          <w:rFonts w:ascii="Times New Roman" w:hAnsi="Times New Roman" w:cs="Times New Roman"/>
          <w:sz w:val="24"/>
          <w:szCs w:val="24"/>
        </w:rPr>
        <w:t>-18.7 (-34.8, -2.6)</w:t>
      </w:r>
      <w:r w:rsidR="002945EA" w:rsidRPr="004F6EAB">
        <w:rPr>
          <w:rFonts w:ascii="Times New Roman" w:hAnsi="Times New Roman" w:cs="Times New Roman"/>
          <w:sz w:val="24"/>
          <w:szCs w:val="24"/>
        </w:rPr>
        <w:t xml:space="preserve"> g</w:t>
      </w:r>
      <w:r w:rsidR="000E32DF" w:rsidRPr="004F6EAB">
        <w:rPr>
          <w:rFonts w:ascii="Times New Roman" w:hAnsi="Times New Roman" w:cs="Times New Roman"/>
          <w:sz w:val="24"/>
          <w:szCs w:val="24"/>
        </w:rPr>
        <w:t xml:space="preserve"> </w:t>
      </w:r>
      <w:r w:rsidR="003B287D" w:rsidRPr="004F6EAB">
        <w:rPr>
          <w:rFonts w:ascii="Times New Roman" w:hAnsi="Times New Roman" w:cs="Times New Roman"/>
          <w:sz w:val="24"/>
          <w:szCs w:val="24"/>
        </w:rPr>
        <w:t xml:space="preserve">per </w:t>
      </w:r>
      <w:r w:rsidR="00616120" w:rsidRPr="004F6EAB">
        <w:rPr>
          <w:rFonts w:ascii="Times New Roman" w:hAnsi="Times New Roman" w:cs="Times New Roman"/>
          <w:sz w:val="24"/>
          <w:szCs w:val="24"/>
        </w:rPr>
        <w:t>1-SD</w:t>
      </w:r>
      <w:r w:rsidR="003B287D" w:rsidRPr="004F6EAB">
        <w:rPr>
          <w:rFonts w:ascii="Times New Roman" w:hAnsi="Times New Roman" w:cs="Times New Roman"/>
          <w:sz w:val="24"/>
          <w:szCs w:val="24"/>
        </w:rPr>
        <w:t xml:space="preserve"> increase in maternal E-DII score</w:t>
      </w:r>
      <w:r w:rsidR="00E71904">
        <w:rPr>
          <w:rFonts w:ascii="Times New Roman" w:hAnsi="Times New Roman" w:cs="Times New Roman"/>
          <w:sz w:val="24"/>
          <w:szCs w:val="24"/>
        </w:rPr>
        <w:t xml:space="preserve">; </w:t>
      </w:r>
      <w:r w:rsidR="00E71904" w:rsidRPr="00FC73AF">
        <w:rPr>
          <w:rFonts w:ascii="Times New Roman" w:hAnsi="Times New Roman" w:cs="Times New Roman"/>
          <w:i/>
          <w:sz w:val="24"/>
          <w:szCs w:val="24"/>
        </w:rPr>
        <w:t>P</w:t>
      </w:r>
      <w:r w:rsidR="00E71904">
        <w:rPr>
          <w:rFonts w:ascii="Times New Roman" w:hAnsi="Times New Roman" w:cs="Times New Roman"/>
          <w:sz w:val="24"/>
          <w:szCs w:val="24"/>
        </w:rPr>
        <w:t>-value=0.023</w:t>
      </w:r>
      <w:r w:rsidR="000E32DF" w:rsidRPr="004F6EAB">
        <w:rPr>
          <w:rFonts w:ascii="Times New Roman" w:hAnsi="Times New Roman" w:cs="Times New Roman"/>
          <w:sz w:val="24"/>
          <w:szCs w:val="24"/>
        </w:rPr>
        <w:t>]</w:t>
      </w:r>
      <w:r w:rsidR="00336D10" w:rsidRPr="004F6EAB">
        <w:rPr>
          <w:rFonts w:ascii="Times New Roman" w:hAnsi="Times New Roman" w:cs="Times New Roman"/>
          <w:sz w:val="24"/>
          <w:szCs w:val="24"/>
        </w:rPr>
        <w:t xml:space="preserve"> and</w:t>
      </w:r>
      <w:r w:rsidR="002945EA" w:rsidRPr="004F6EAB">
        <w:rPr>
          <w:rFonts w:ascii="Times New Roman" w:hAnsi="Times New Roman" w:cs="Times New Roman"/>
          <w:sz w:val="24"/>
          <w:szCs w:val="24"/>
        </w:rPr>
        <w:t xml:space="preserve"> shorter birth length </w:t>
      </w:r>
      <w:r w:rsidR="00A306FD" w:rsidRPr="004F6EAB">
        <w:rPr>
          <w:rFonts w:ascii="Times New Roman" w:hAnsi="Times New Roman" w:cs="Times New Roman"/>
          <w:sz w:val="24"/>
          <w:szCs w:val="24"/>
        </w:rPr>
        <w:t xml:space="preserve">[-0.07 (-0.14, -0.01) </w:t>
      </w:r>
      <w:r w:rsidR="002945EA" w:rsidRPr="004F6EAB">
        <w:rPr>
          <w:rFonts w:ascii="Times New Roman" w:hAnsi="Times New Roman" w:cs="Times New Roman"/>
          <w:sz w:val="24"/>
          <w:szCs w:val="24"/>
        </w:rPr>
        <w:t>cm</w:t>
      </w:r>
      <w:r w:rsidR="00E71904">
        <w:rPr>
          <w:rFonts w:ascii="Times New Roman" w:hAnsi="Times New Roman" w:cs="Times New Roman"/>
          <w:sz w:val="24"/>
          <w:szCs w:val="24"/>
        </w:rPr>
        <w:t xml:space="preserve">; </w:t>
      </w:r>
      <w:r w:rsidR="00E71904" w:rsidRPr="00FC73AF">
        <w:rPr>
          <w:rFonts w:ascii="Times New Roman" w:hAnsi="Times New Roman" w:cs="Times New Roman"/>
          <w:i/>
          <w:sz w:val="24"/>
          <w:szCs w:val="24"/>
        </w:rPr>
        <w:t>P</w:t>
      </w:r>
      <w:r w:rsidR="00E71904">
        <w:rPr>
          <w:rFonts w:ascii="Times New Roman" w:hAnsi="Times New Roman" w:cs="Times New Roman"/>
          <w:sz w:val="24"/>
          <w:szCs w:val="24"/>
        </w:rPr>
        <w:t>-value=0.031</w:t>
      </w:r>
      <w:r w:rsidR="000E32DF" w:rsidRPr="004F6EAB">
        <w:rPr>
          <w:rFonts w:ascii="Times New Roman" w:hAnsi="Times New Roman" w:cs="Times New Roman"/>
          <w:sz w:val="24"/>
          <w:szCs w:val="24"/>
        </w:rPr>
        <w:t>]</w:t>
      </w:r>
      <w:r w:rsidR="007F681D" w:rsidRPr="004F6EAB">
        <w:rPr>
          <w:rFonts w:ascii="Times New Roman" w:hAnsi="Times New Roman" w:cs="Times New Roman"/>
          <w:sz w:val="24"/>
          <w:szCs w:val="24"/>
        </w:rPr>
        <w:t xml:space="preserve">, </w:t>
      </w:r>
      <w:r w:rsidR="002945EA" w:rsidRPr="004F6EAB">
        <w:rPr>
          <w:rFonts w:ascii="Times New Roman" w:hAnsi="Times New Roman" w:cs="Times New Roman"/>
          <w:sz w:val="24"/>
          <w:szCs w:val="24"/>
        </w:rPr>
        <w:t xml:space="preserve">whereas higher pregnancy </w:t>
      </w:r>
      <w:r w:rsidR="00336D10" w:rsidRPr="004F6EAB">
        <w:rPr>
          <w:rFonts w:ascii="Times New Roman" w:hAnsi="Times New Roman" w:cs="Times New Roman"/>
          <w:sz w:val="24"/>
          <w:szCs w:val="24"/>
        </w:rPr>
        <w:t>E</w:t>
      </w:r>
      <w:r w:rsidR="002945EA" w:rsidRPr="004F6EAB">
        <w:rPr>
          <w:rFonts w:ascii="Times New Roman" w:hAnsi="Times New Roman" w:cs="Times New Roman"/>
          <w:sz w:val="24"/>
          <w:szCs w:val="24"/>
        </w:rPr>
        <w:t xml:space="preserve">-DII score was associated with </w:t>
      </w:r>
      <w:r w:rsidR="00336D10" w:rsidRPr="004F6EAB">
        <w:rPr>
          <w:rFonts w:ascii="Times New Roman" w:hAnsi="Times New Roman" w:cs="Times New Roman"/>
          <w:sz w:val="24"/>
          <w:szCs w:val="24"/>
        </w:rPr>
        <w:t xml:space="preserve">a </w:t>
      </w:r>
      <w:r w:rsidR="00A306FD" w:rsidRPr="004F6EAB">
        <w:rPr>
          <w:rFonts w:ascii="Times New Roman" w:hAnsi="Times New Roman" w:cs="Times New Roman"/>
          <w:sz w:val="24"/>
          <w:szCs w:val="24"/>
        </w:rPr>
        <w:t>shorter birth length [-0.06 (-0.10, -0.01) cm</w:t>
      </w:r>
      <w:r w:rsidR="00E71904">
        <w:rPr>
          <w:rFonts w:ascii="Times New Roman" w:hAnsi="Times New Roman" w:cs="Times New Roman"/>
          <w:sz w:val="24"/>
          <w:szCs w:val="24"/>
        </w:rPr>
        <w:t xml:space="preserve">; </w:t>
      </w:r>
      <w:r w:rsidR="00E71904" w:rsidRPr="00FC73AF">
        <w:rPr>
          <w:rFonts w:ascii="Times New Roman" w:hAnsi="Times New Roman" w:cs="Times New Roman"/>
          <w:i/>
          <w:sz w:val="24"/>
          <w:szCs w:val="24"/>
        </w:rPr>
        <w:t>P</w:t>
      </w:r>
      <w:r w:rsidR="00E71904">
        <w:rPr>
          <w:rFonts w:ascii="Times New Roman" w:hAnsi="Times New Roman" w:cs="Times New Roman"/>
          <w:sz w:val="24"/>
          <w:szCs w:val="24"/>
        </w:rPr>
        <w:t>-value=0.031</w:t>
      </w:r>
      <w:r w:rsidR="00A306FD" w:rsidRPr="004F6EAB">
        <w:rPr>
          <w:rFonts w:ascii="Times New Roman" w:hAnsi="Times New Roman" w:cs="Times New Roman"/>
          <w:sz w:val="24"/>
          <w:szCs w:val="24"/>
        </w:rPr>
        <w:t xml:space="preserve">] and a </w:t>
      </w:r>
      <w:r w:rsidR="00336D10" w:rsidRPr="004F6EAB">
        <w:rPr>
          <w:rFonts w:ascii="Times New Roman" w:hAnsi="Times New Roman" w:cs="Times New Roman"/>
          <w:sz w:val="24"/>
          <w:szCs w:val="24"/>
        </w:rPr>
        <w:t xml:space="preserve">higher risk of </w:t>
      </w:r>
      <w:r w:rsidR="00114477" w:rsidRPr="004F6EAB">
        <w:rPr>
          <w:rFonts w:ascii="Times New Roman" w:hAnsi="Times New Roman" w:cs="Times New Roman"/>
          <w:sz w:val="24"/>
          <w:szCs w:val="24"/>
        </w:rPr>
        <w:t>LBW [OR (95% CI)= 1.14 (1.04, 1.26)</w:t>
      </w:r>
      <w:r w:rsidR="00E71904">
        <w:rPr>
          <w:rFonts w:ascii="Times New Roman" w:hAnsi="Times New Roman" w:cs="Times New Roman"/>
          <w:sz w:val="24"/>
          <w:szCs w:val="24"/>
        </w:rPr>
        <w:t xml:space="preserve">; </w:t>
      </w:r>
      <w:r w:rsidR="00E71904" w:rsidRPr="00FC73AF">
        <w:rPr>
          <w:rFonts w:ascii="Times New Roman" w:hAnsi="Times New Roman" w:cs="Times New Roman"/>
          <w:i/>
          <w:sz w:val="24"/>
          <w:szCs w:val="24"/>
        </w:rPr>
        <w:t>P</w:t>
      </w:r>
      <w:r w:rsidR="00E71904">
        <w:rPr>
          <w:rFonts w:ascii="Times New Roman" w:hAnsi="Times New Roman" w:cs="Times New Roman"/>
          <w:sz w:val="24"/>
          <w:szCs w:val="24"/>
        </w:rPr>
        <w:t>-value=0.008</w:t>
      </w:r>
      <w:r w:rsidR="00114477" w:rsidRPr="004F6EAB">
        <w:rPr>
          <w:rFonts w:ascii="Times New Roman" w:hAnsi="Times New Roman" w:cs="Times New Roman"/>
          <w:sz w:val="24"/>
          <w:szCs w:val="24"/>
        </w:rPr>
        <w:t xml:space="preserve">] and </w:t>
      </w:r>
      <w:r w:rsidR="00336D10" w:rsidRPr="004F6EAB">
        <w:rPr>
          <w:rFonts w:ascii="Times New Roman" w:hAnsi="Times New Roman" w:cs="Times New Roman"/>
          <w:sz w:val="24"/>
          <w:szCs w:val="24"/>
        </w:rPr>
        <w:t>SGA [1.</w:t>
      </w:r>
      <w:r w:rsidR="00551FC9" w:rsidRPr="004F6EAB">
        <w:rPr>
          <w:rFonts w:ascii="Times New Roman" w:hAnsi="Times New Roman" w:cs="Times New Roman"/>
          <w:sz w:val="24"/>
          <w:szCs w:val="24"/>
        </w:rPr>
        <w:t>1</w:t>
      </w:r>
      <w:r w:rsidR="00551FC9">
        <w:rPr>
          <w:rFonts w:ascii="Times New Roman" w:hAnsi="Times New Roman" w:cs="Times New Roman"/>
          <w:sz w:val="24"/>
          <w:szCs w:val="24"/>
        </w:rPr>
        <w:t>8</w:t>
      </w:r>
      <w:r w:rsidR="00551FC9" w:rsidRPr="004F6EAB">
        <w:rPr>
          <w:rFonts w:ascii="Times New Roman" w:hAnsi="Times New Roman" w:cs="Times New Roman"/>
          <w:sz w:val="24"/>
          <w:szCs w:val="24"/>
        </w:rPr>
        <w:t xml:space="preserve"> </w:t>
      </w:r>
      <w:r w:rsidR="00336D10" w:rsidRPr="004F6EAB">
        <w:rPr>
          <w:rFonts w:ascii="Times New Roman" w:hAnsi="Times New Roman" w:cs="Times New Roman"/>
          <w:sz w:val="24"/>
          <w:szCs w:val="24"/>
        </w:rPr>
        <w:t>(1.</w:t>
      </w:r>
      <w:r w:rsidR="00551FC9">
        <w:rPr>
          <w:rFonts w:ascii="Times New Roman" w:hAnsi="Times New Roman" w:cs="Times New Roman"/>
          <w:sz w:val="24"/>
          <w:szCs w:val="24"/>
        </w:rPr>
        <w:t>11</w:t>
      </w:r>
      <w:r w:rsidR="00336D10" w:rsidRPr="004F6EAB">
        <w:rPr>
          <w:rFonts w:ascii="Times New Roman" w:hAnsi="Times New Roman" w:cs="Times New Roman"/>
          <w:sz w:val="24"/>
          <w:szCs w:val="24"/>
        </w:rPr>
        <w:t>, 1.</w:t>
      </w:r>
      <w:r w:rsidR="00551FC9" w:rsidRPr="004F6EAB">
        <w:rPr>
          <w:rFonts w:ascii="Times New Roman" w:hAnsi="Times New Roman" w:cs="Times New Roman"/>
          <w:sz w:val="24"/>
          <w:szCs w:val="24"/>
        </w:rPr>
        <w:t>2</w:t>
      </w:r>
      <w:r w:rsidR="00551FC9">
        <w:rPr>
          <w:rFonts w:ascii="Times New Roman" w:hAnsi="Times New Roman" w:cs="Times New Roman"/>
          <w:sz w:val="24"/>
          <w:szCs w:val="24"/>
        </w:rPr>
        <w:t>6</w:t>
      </w:r>
      <w:r w:rsidR="00336D10" w:rsidRPr="004F6EAB">
        <w:rPr>
          <w:rFonts w:ascii="Times New Roman" w:hAnsi="Times New Roman" w:cs="Times New Roman"/>
          <w:sz w:val="24"/>
          <w:szCs w:val="24"/>
        </w:rPr>
        <w:t>)</w:t>
      </w:r>
      <w:r w:rsidR="00E71904">
        <w:rPr>
          <w:rFonts w:ascii="Times New Roman" w:hAnsi="Times New Roman" w:cs="Times New Roman"/>
          <w:sz w:val="24"/>
          <w:szCs w:val="24"/>
        </w:rPr>
        <w:t xml:space="preserve">; </w:t>
      </w:r>
      <w:r w:rsidR="00E71904" w:rsidRPr="00FC73AF">
        <w:rPr>
          <w:rFonts w:ascii="Times New Roman" w:hAnsi="Times New Roman" w:cs="Times New Roman"/>
          <w:i/>
          <w:sz w:val="24"/>
          <w:szCs w:val="24"/>
        </w:rPr>
        <w:t>P</w:t>
      </w:r>
      <w:r w:rsidR="00E71904">
        <w:rPr>
          <w:rFonts w:ascii="Times New Roman" w:hAnsi="Times New Roman" w:cs="Times New Roman"/>
          <w:sz w:val="24"/>
          <w:szCs w:val="24"/>
        </w:rPr>
        <w:t>-value&lt;0.001</w:t>
      </w:r>
      <w:r w:rsidR="00336D10" w:rsidRPr="004F6EAB">
        <w:rPr>
          <w:rFonts w:ascii="Times New Roman" w:hAnsi="Times New Roman" w:cs="Times New Roman"/>
          <w:sz w:val="24"/>
          <w:szCs w:val="24"/>
        </w:rPr>
        <w:t xml:space="preserve">]. </w:t>
      </w:r>
      <w:r w:rsidR="003D51FA" w:rsidRPr="004F6EAB">
        <w:rPr>
          <w:rFonts w:ascii="Times New Roman" w:hAnsi="Times New Roman" w:cs="Times New Roman"/>
          <w:sz w:val="24"/>
          <w:szCs w:val="24"/>
        </w:rPr>
        <w:t>No consistent association was observed between pre-pregnancy DASH and primary continuous and binary outcomes</w:t>
      </w:r>
      <w:r w:rsidR="005E4A27" w:rsidRPr="004F6EAB">
        <w:rPr>
          <w:rFonts w:ascii="Times New Roman" w:hAnsi="Times New Roman" w:cs="Times New Roman"/>
          <w:sz w:val="24"/>
          <w:szCs w:val="24"/>
        </w:rPr>
        <w:t xml:space="preserve"> (both birth weight and gestational age)</w:t>
      </w:r>
      <w:r w:rsidR="003D51FA" w:rsidRPr="004F6EAB">
        <w:rPr>
          <w:rFonts w:ascii="Times New Roman" w:hAnsi="Times New Roman" w:cs="Times New Roman"/>
          <w:sz w:val="24"/>
          <w:szCs w:val="24"/>
        </w:rPr>
        <w:t xml:space="preserve">. However, higher </w:t>
      </w:r>
      <w:r w:rsidR="003D51FA" w:rsidRPr="004F6EAB">
        <w:rPr>
          <w:rFonts w:ascii="Times New Roman" w:hAnsi="Times New Roman" w:cs="Times New Roman"/>
          <w:sz w:val="24"/>
          <w:szCs w:val="24"/>
        </w:rPr>
        <w:lastRenderedPageBreak/>
        <w:t xml:space="preserve">maternal pregnancy DASH score (higher dietary quality) was associated with higher birth weight [β (95%CI)= </w:t>
      </w:r>
      <w:r w:rsidR="00114477" w:rsidRPr="004F6EAB">
        <w:rPr>
          <w:rFonts w:ascii="Times New Roman" w:hAnsi="Times New Roman" w:cs="Times New Roman"/>
          <w:sz w:val="24"/>
          <w:szCs w:val="24"/>
        </w:rPr>
        <w:t xml:space="preserve">18.5 (5.7, 31.3) </w:t>
      </w:r>
      <w:r w:rsidR="003D51FA" w:rsidRPr="004F6EAB">
        <w:rPr>
          <w:rFonts w:ascii="Times New Roman" w:hAnsi="Times New Roman" w:cs="Times New Roman"/>
          <w:sz w:val="24"/>
          <w:szCs w:val="24"/>
        </w:rPr>
        <w:t>g</w:t>
      </w:r>
      <w:r w:rsidR="000E32DF" w:rsidRPr="004F6EAB">
        <w:rPr>
          <w:rFonts w:ascii="Times New Roman" w:hAnsi="Times New Roman" w:cs="Times New Roman"/>
          <w:sz w:val="24"/>
          <w:szCs w:val="24"/>
        </w:rPr>
        <w:t xml:space="preserve"> per 1-SD increase in DASH score</w:t>
      </w:r>
      <w:r w:rsidR="00E71904">
        <w:rPr>
          <w:rFonts w:ascii="Times New Roman" w:hAnsi="Times New Roman" w:cs="Times New Roman"/>
          <w:sz w:val="24"/>
          <w:szCs w:val="24"/>
        </w:rPr>
        <w:t xml:space="preserve">; </w:t>
      </w:r>
      <w:r w:rsidR="00E71904" w:rsidRPr="00FC73AF">
        <w:rPr>
          <w:rFonts w:ascii="Times New Roman" w:hAnsi="Times New Roman" w:cs="Times New Roman"/>
          <w:i/>
          <w:sz w:val="24"/>
          <w:szCs w:val="24"/>
        </w:rPr>
        <w:t>P</w:t>
      </w:r>
      <w:r w:rsidR="00E71904">
        <w:rPr>
          <w:rFonts w:ascii="Times New Roman" w:hAnsi="Times New Roman" w:cs="Times New Roman"/>
          <w:sz w:val="24"/>
          <w:szCs w:val="24"/>
        </w:rPr>
        <w:t>-value=0.005</w:t>
      </w:r>
      <w:r w:rsidR="003D51FA" w:rsidRPr="004F6EAB">
        <w:rPr>
          <w:rFonts w:ascii="Times New Roman" w:hAnsi="Times New Roman" w:cs="Times New Roman"/>
          <w:sz w:val="24"/>
          <w:szCs w:val="24"/>
        </w:rPr>
        <w:t>], longer birth length [0.05 (0.01, 0.</w:t>
      </w:r>
      <w:r w:rsidR="00114477" w:rsidRPr="004F6EAB">
        <w:rPr>
          <w:rFonts w:ascii="Times New Roman" w:hAnsi="Times New Roman" w:cs="Times New Roman"/>
          <w:sz w:val="24"/>
          <w:szCs w:val="24"/>
        </w:rPr>
        <w:t>10</w:t>
      </w:r>
      <w:r w:rsidR="003D51FA" w:rsidRPr="004F6EAB">
        <w:rPr>
          <w:rFonts w:ascii="Times New Roman" w:hAnsi="Times New Roman" w:cs="Times New Roman"/>
          <w:sz w:val="24"/>
          <w:szCs w:val="24"/>
        </w:rPr>
        <w:t>) cm</w:t>
      </w:r>
      <w:r w:rsidR="00E71904">
        <w:rPr>
          <w:rFonts w:ascii="Times New Roman" w:hAnsi="Times New Roman" w:cs="Times New Roman"/>
          <w:sz w:val="24"/>
          <w:szCs w:val="24"/>
        </w:rPr>
        <w:t xml:space="preserve">; </w:t>
      </w:r>
      <w:r w:rsidR="00E71904" w:rsidRPr="00FC73AF">
        <w:rPr>
          <w:rFonts w:ascii="Times New Roman" w:hAnsi="Times New Roman" w:cs="Times New Roman"/>
          <w:i/>
          <w:sz w:val="24"/>
          <w:szCs w:val="24"/>
        </w:rPr>
        <w:t>P</w:t>
      </w:r>
      <w:r w:rsidR="00E71904">
        <w:rPr>
          <w:rFonts w:ascii="Times New Roman" w:hAnsi="Times New Roman" w:cs="Times New Roman"/>
          <w:sz w:val="24"/>
          <w:szCs w:val="24"/>
        </w:rPr>
        <w:t>-value=0.010</w:t>
      </w:r>
      <w:r w:rsidR="003D51FA" w:rsidRPr="004F6EAB">
        <w:rPr>
          <w:rFonts w:ascii="Times New Roman" w:hAnsi="Times New Roman" w:cs="Times New Roman"/>
          <w:sz w:val="24"/>
          <w:szCs w:val="24"/>
        </w:rPr>
        <w:t>], higher head circumference [0.03 (0.01, 0.06) cm</w:t>
      </w:r>
      <w:r w:rsidR="00E71904">
        <w:rPr>
          <w:rFonts w:ascii="Times New Roman" w:hAnsi="Times New Roman" w:cs="Times New Roman"/>
          <w:sz w:val="24"/>
          <w:szCs w:val="24"/>
        </w:rPr>
        <w:t xml:space="preserve">; </w:t>
      </w:r>
      <w:r w:rsidR="00E71904" w:rsidRPr="00FC73AF">
        <w:rPr>
          <w:rFonts w:ascii="Times New Roman" w:hAnsi="Times New Roman" w:cs="Times New Roman"/>
          <w:i/>
          <w:sz w:val="24"/>
          <w:szCs w:val="24"/>
        </w:rPr>
        <w:t>P</w:t>
      </w:r>
      <w:r w:rsidR="00E71904">
        <w:rPr>
          <w:rFonts w:ascii="Times New Roman" w:hAnsi="Times New Roman" w:cs="Times New Roman"/>
          <w:sz w:val="24"/>
          <w:szCs w:val="24"/>
        </w:rPr>
        <w:t>-value=0.004</w:t>
      </w:r>
      <w:r w:rsidR="003D51FA" w:rsidRPr="004F6EAB">
        <w:rPr>
          <w:rFonts w:ascii="Times New Roman" w:hAnsi="Times New Roman" w:cs="Times New Roman"/>
          <w:sz w:val="24"/>
          <w:szCs w:val="24"/>
        </w:rPr>
        <w:t>], and lower risk of delivering LBW [OR (95%</w:t>
      </w:r>
      <w:r w:rsidR="003812E9" w:rsidRPr="004F6EAB">
        <w:rPr>
          <w:rFonts w:ascii="Times New Roman" w:hAnsi="Times New Roman" w:cs="Times New Roman"/>
          <w:sz w:val="24"/>
          <w:szCs w:val="24"/>
        </w:rPr>
        <w:t xml:space="preserve"> </w:t>
      </w:r>
      <w:r w:rsidR="003D51FA" w:rsidRPr="004F6EAB">
        <w:rPr>
          <w:rFonts w:ascii="Times New Roman" w:hAnsi="Times New Roman" w:cs="Times New Roman"/>
          <w:sz w:val="24"/>
          <w:szCs w:val="24"/>
        </w:rPr>
        <w:t>CI)= 0.8</w:t>
      </w:r>
      <w:r w:rsidR="00114477" w:rsidRPr="004F6EAB">
        <w:rPr>
          <w:rFonts w:ascii="Times New Roman" w:hAnsi="Times New Roman" w:cs="Times New Roman"/>
          <w:sz w:val="24"/>
          <w:szCs w:val="24"/>
        </w:rPr>
        <w:t>9</w:t>
      </w:r>
      <w:r w:rsidR="003D51FA" w:rsidRPr="004F6EAB">
        <w:rPr>
          <w:rFonts w:ascii="Times New Roman" w:hAnsi="Times New Roman" w:cs="Times New Roman"/>
          <w:sz w:val="24"/>
          <w:szCs w:val="24"/>
        </w:rPr>
        <w:t xml:space="preserve"> (0.</w:t>
      </w:r>
      <w:r w:rsidR="00114477" w:rsidRPr="004F6EAB">
        <w:rPr>
          <w:rFonts w:ascii="Times New Roman" w:hAnsi="Times New Roman" w:cs="Times New Roman"/>
          <w:sz w:val="24"/>
          <w:szCs w:val="24"/>
        </w:rPr>
        <w:t>82, 0.95</w:t>
      </w:r>
      <w:r w:rsidR="003D51FA" w:rsidRPr="004F6EAB">
        <w:rPr>
          <w:rFonts w:ascii="Times New Roman" w:hAnsi="Times New Roman" w:cs="Times New Roman"/>
          <w:sz w:val="24"/>
          <w:szCs w:val="24"/>
        </w:rPr>
        <w:t>)</w:t>
      </w:r>
      <w:r w:rsidR="00E71904">
        <w:rPr>
          <w:rFonts w:ascii="Times New Roman" w:hAnsi="Times New Roman" w:cs="Times New Roman"/>
          <w:sz w:val="24"/>
          <w:szCs w:val="24"/>
        </w:rPr>
        <w:t xml:space="preserve">; </w:t>
      </w:r>
      <w:r w:rsidR="00E71904" w:rsidRPr="00FC73AF">
        <w:rPr>
          <w:rFonts w:ascii="Times New Roman" w:hAnsi="Times New Roman" w:cs="Times New Roman"/>
          <w:i/>
          <w:sz w:val="24"/>
          <w:szCs w:val="24"/>
        </w:rPr>
        <w:t>P</w:t>
      </w:r>
      <w:r w:rsidR="00E71904">
        <w:rPr>
          <w:rFonts w:ascii="Times New Roman" w:hAnsi="Times New Roman" w:cs="Times New Roman"/>
          <w:sz w:val="24"/>
          <w:szCs w:val="24"/>
        </w:rPr>
        <w:t>-value=0.001</w:t>
      </w:r>
      <w:r w:rsidR="003D51FA" w:rsidRPr="004F6EAB">
        <w:rPr>
          <w:rFonts w:ascii="Times New Roman" w:hAnsi="Times New Roman" w:cs="Times New Roman"/>
          <w:sz w:val="24"/>
          <w:szCs w:val="24"/>
        </w:rPr>
        <w:t>] and SGA [0.8</w:t>
      </w:r>
      <w:r w:rsidR="00114477" w:rsidRPr="004F6EAB">
        <w:rPr>
          <w:rFonts w:ascii="Times New Roman" w:hAnsi="Times New Roman" w:cs="Times New Roman"/>
          <w:sz w:val="24"/>
          <w:szCs w:val="24"/>
        </w:rPr>
        <w:t>7</w:t>
      </w:r>
      <w:r w:rsidR="003D51FA" w:rsidRPr="004F6EAB">
        <w:rPr>
          <w:rFonts w:ascii="Times New Roman" w:hAnsi="Times New Roman" w:cs="Times New Roman"/>
          <w:sz w:val="24"/>
          <w:szCs w:val="24"/>
        </w:rPr>
        <w:t xml:space="preserve"> (0.8</w:t>
      </w:r>
      <w:r w:rsidR="00114477" w:rsidRPr="004F6EAB">
        <w:rPr>
          <w:rFonts w:ascii="Times New Roman" w:hAnsi="Times New Roman" w:cs="Times New Roman"/>
          <w:sz w:val="24"/>
          <w:szCs w:val="24"/>
        </w:rPr>
        <w:t>2</w:t>
      </w:r>
      <w:r w:rsidR="003D51FA" w:rsidRPr="004F6EAB">
        <w:rPr>
          <w:rFonts w:ascii="Times New Roman" w:hAnsi="Times New Roman" w:cs="Times New Roman"/>
          <w:sz w:val="24"/>
          <w:szCs w:val="24"/>
        </w:rPr>
        <w:t>, 0.94)</w:t>
      </w:r>
      <w:r w:rsidR="00E71904">
        <w:rPr>
          <w:rFonts w:ascii="Times New Roman" w:hAnsi="Times New Roman" w:cs="Times New Roman"/>
          <w:sz w:val="24"/>
          <w:szCs w:val="24"/>
        </w:rPr>
        <w:t xml:space="preserve">; </w:t>
      </w:r>
      <w:r w:rsidR="00E71904" w:rsidRPr="00FC73AF">
        <w:rPr>
          <w:rFonts w:ascii="Times New Roman" w:hAnsi="Times New Roman" w:cs="Times New Roman"/>
          <w:i/>
          <w:sz w:val="24"/>
          <w:szCs w:val="24"/>
        </w:rPr>
        <w:t>P</w:t>
      </w:r>
      <w:r w:rsidR="00E71904">
        <w:rPr>
          <w:rFonts w:ascii="Times New Roman" w:hAnsi="Times New Roman" w:cs="Times New Roman"/>
          <w:sz w:val="24"/>
          <w:szCs w:val="24"/>
        </w:rPr>
        <w:t>-value&lt;0.001</w:t>
      </w:r>
      <w:r w:rsidR="003D51FA" w:rsidRPr="004F6EAB">
        <w:rPr>
          <w:rFonts w:ascii="Times New Roman" w:hAnsi="Times New Roman" w:cs="Times New Roman"/>
          <w:sz w:val="24"/>
          <w:szCs w:val="24"/>
        </w:rPr>
        <w:t xml:space="preserve">] </w:t>
      </w:r>
      <w:r w:rsidR="00114477" w:rsidRPr="004F6EAB">
        <w:rPr>
          <w:rFonts w:ascii="Times New Roman" w:hAnsi="Times New Roman" w:cs="Times New Roman"/>
          <w:sz w:val="24"/>
          <w:szCs w:val="24"/>
        </w:rPr>
        <w:t>infants</w:t>
      </w:r>
      <w:r w:rsidR="003D51FA" w:rsidRPr="004F6EAB">
        <w:rPr>
          <w:rFonts w:ascii="Times New Roman" w:hAnsi="Times New Roman" w:cs="Times New Roman"/>
          <w:sz w:val="24"/>
          <w:szCs w:val="24"/>
        </w:rPr>
        <w:t xml:space="preserve">. These were consistently observed for early-pregnancy and late-pregnancy DASH scores. </w:t>
      </w:r>
      <w:r w:rsidR="00336D10" w:rsidRPr="004F6EAB">
        <w:rPr>
          <w:rFonts w:ascii="Times New Roman" w:hAnsi="Times New Roman" w:cs="Times New Roman"/>
          <w:sz w:val="24"/>
          <w:szCs w:val="24"/>
        </w:rPr>
        <w:t>Maternal E-DII and DASH scores were not associated with indicators of excessive foetal growth (macrosomia and LGA).</w:t>
      </w:r>
      <w:r w:rsidR="003D51FA" w:rsidRPr="004F6EAB">
        <w:rPr>
          <w:rFonts w:ascii="Times New Roman" w:hAnsi="Times New Roman" w:cs="Times New Roman"/>
          <w:sz w:val="24"/>
          <w:szCs w:val="24"/>
        </w:rPr>
        <w:t xml:space="preserve"> </w:t>
      </w:r>
      <w:bookmarkEnd w:id="6"/>
      <w:r w:rsidR="00336D10" w:rsidRPr="004F6EAB">
        <w:rPr>
          <w:rFonts w:ascii="Times New Roman" w:hAnsi="Times New Roman" w:cs="Times New Roman"/>
          <w:sz w:val="24"/>
          <w:szCs w:val="24"/>
        </w:rPr>
        <w:t>T</w:t>
      </w:r>
      <w:r w:rsidR="001073AA" w:rsidRPr="004F6EAB">
        <w:rPr>
          <w:rFonts w:ascii="Times New Roman" w:hAnsi="Times New Roman" w:cs="Times New Roman"/>
          <w:sz w:val="24"/>
          <w:szCs w:val="24"/>
        </w:rPr>
        <w:t xml:space="preserve">he main results for birth weight and risk of SGA were summarized in the form of forest plots in </w:t>
      </w:r>
      <w:r w:rsidR="001073AA" w:rsidRPr="004F6EAB">
        <w:rPr>
          <w:rFonts w:ascii="Times New Roman" w:hAnsi="Times New Roman" w:cs="Times New Roman"/>
          <w:b/>
          <w:bCs/>
          <w:sz w:val="24"/>
          <w:szCs w:val="24"/>
        </w:rPr>
        <w:t xml:space="preserve">Fig </w:t>
      </w:r>
      <w:r w:rsidR="0041219F" w:rsidRPr="004F6EAB">
        <w:rPr>
          <w:rFonts w:ascii="Times New Roman" w:hAnsi="Times New Roman" w:cs="Times New Roman"/>
          <w:b/>
          <w:bCs/>
          <w:sz w:val="24"/>
          <w:szCs w:val="24"/>
        </w:rPr>
        <w:t>2</w:t>
      </w:r>
      <w:r w:rsidR="001073AA" w:rsidRPr="004F6EAB">
        <w:rPr>
          <w:rFonts w:ascii="Times New Roman" w:hAnsi="Times New Roman" w:cs="Times New Roman"/>
          <w:sz w:val="24"/>
          <w:szCs w:val="24"/>
        </w:rPr>
        <w:t xml:space="preserve"> and </w:t>
      </w:r>
      <w:r w:rsidR="001073AA" w:rsidRPr="004F6EAB">
        <w:rPr>
          <w:rFonts w:ascii="Times New Roman" w:hAnsi="Times New Roman" w:cs="Times New Roman"/>
          <w:b/>
          <w:bCs/>
          <w:sz w:val="24"/>
          <w:szCs w:val="24"/>
        </w:rPr>
        <w:t xml:space="preserve">Fig </w:t>
      </w:r>
      <w:r w:rsidR="0041219F" w:rsidRPr="004F6EAB">
        <w:rPr>
          <w:rFonts w:ascii="Times New Roman" w:hAnsi="Times New Roman" w:cs="Times New Roman"/>
          <w:b/>
          <w:bCs/>
          <w:sz w:val="24"/>
          <w:szCs w:val="24"/>
        </w:rPr>
        <w:t>3</w:t>
      </w:r>
      <w:r w:rsidR="001073AA" w:rsidRPr="004F6EAB">
        <w:rPr>
          <w:rFonts w:ascii="Times New Roman" w:hAnsi="Times New Roman" w:cs="Times New Roman"/>
          <w:sz w:val="24"/>
          <w:szCs w:val="24"/>
        </w:rPr>
        <w:t xml:space="preserve">. </w:t>
      </w:r>
    </w:p>
    <w:p w14:paraId="6F82262B" w14:textId="3743B5D5" w:rsidR="001073AA" w:rsidRPr="004F6EAB" w:rsidRDefault="001073AA" w:rsidP="001073AA">
      <w:pPr>
        <w:spacing w:line="480" w:lineRule="auto"/>
        <w:rPr>
          <w:rFonts w:ascii="Times New Roman" w:hAnsi="Times New Roman" w:cs="Times New Roman"/>
          <w:sz w:val="24"/>
          <w:szCs w:val="24"/>
        </w:rPr>
      </w:pPr>
      <w:r w:rsidRPr="004F6EAB">
        <w:rPr>
          <w:rFonts w:ascii="Times New Roman" w:hAnsi="Times New Roman" w:cs="Times New Roman"/>
          <w:sz w:val="24"/>
          <w:szCs w:val="24"/>
        </w:rPr>
        <w:t xml:space="preserve">In contrast, no consistent associations were observed between maternal E-DII, DASH and gestational age at birth </w:t>
      </w:r>
      <w:r w:rsidR="00715DE2" w:rsidRPr="004F6EAB">
        <w:rPr>
          <w:rFonts w:ascii="Times New Roman" w:hAnsi="Times New Roman" w:cs="Times New Roman"/>
          <w:sz w:val="24"/>
          <w:szCs w:val="24"/>
        </w:rPr>
        <w:t>(</w:t>
      </w:r>
      <w:r w:rsidR="00715DE2" w:rsidRPr="004F6EAB">
        <w:rPr>
          <w:rFonts w:ascii="Times New Roman" w:hAnsi="Times New Roman" w:cs="Times New Roman"/>
          <w:b/>
          <w:bCs/>
          <w:sz w:val="24"/>
          <w:szCs w:val="24"/>
        </w:rPr>
        <w:t>Table 1</w:t>
      </w:r>
      <w:r w:rsidR="00715DE2" w:rsidRPr="004F6EAB">
        <w:rPr>
          <w:rFonts w:ascii="Times New Roman" w:hAnsi="Times New Roman" w:cs="Times New Roman"/>
          <w:sz w:val="24"/>
          <w:szCs w:val="24"/>
        </w:rPr>
        <w:t xml:space="preserve">) </w:t>
      </w:r>
      <w:r w:rsidRPr="004F6EAB">
        <w:rPr>
          <w:rFonts w:ascii="Times New Roman" w:hAnsi="Times New Roman" w:cs="Times New Roman"/>
          <w:sz w:val="24"/>
          <w:szCs w:val="24"/>
        </w:rPr>
        <w:t>and risk of delivering preterm and post-term</w:t>
      </w:r>
      <w:r w:rsidR="00715DE2" w:rsidRPr="004F6EAB">
        <w:rPr>
          <w:rFonts w:ascii="Times New Roman" w:hAnsi="Times New Roman" w:cs="Times New Roman"/>
          <w:sz w:val="24"/>
          <w:szCs w:val="24"/>
        </w:rPr>
        <w:t xml:space="preserve"> </w:t>
      </w:r>
      <w:r w:rsidR="00A16416" w:rsidRPr="004F6EAB">
        <w:rPr>
          <w:rFonts w:ascii="Times New Roman" w:hAnsi="Times New Roman" w:cs="Times New Roman"/>
          <w:sz w:val="24"/>
          <w:szCs w:val="24"/>
        </w:rPr>
        <w:t>infants</w:t>
      </w:r>
      <w:r w:rsidR="003812E9" w:rsidRPr="004F6EAB">
        <w:rPr>
          <w:rFonts w:ascii="Times New Roman" w:hAnsi="Times New Roman" w:cs="Times New Roman"/>
          <w:sz w:val="24"/>
          <w:szCs w:val="24"/>
        </w:rPr>
        <w:t xml:space="preserve"> </w:t>
      </w:r>
      <w:r w:rsidR="00715DE2" w:rsidRPr="004F6EAB">
        <w:rPr>
          <w:rFonts w:ascii="Times New Roman" w:hAnsi="Times New Roman" w:cs="Times New Roman"/>
          <w:sz w:val="24"/>
          <w:szCs w:val="24"/>
        </w:rPr>
        <w:t>(</w:t>
      </w:r>
      <w:r w:rsidR="00715DE2" w:rsidRPr="004F6EAB">
        <w:rPr>
          <w:rFonts w:ascii="Times New Roman" w:hAnsi="Times New Roman" w:cs="Times New Roman"/>
          <w:b/>
          <w:bCs/>
          <w:sz w:val="24"/>
          <w:szCs w:val="24"/>
        </w:rPr>
        <w:t>Table 2</w:t>
      </w:r>
      <w:r w:rsidR="00715DE2" w:rsidRPr="004F6EAB">
        <w:rPr>
          <w:rFonts w:ascii="Times New Roman" w:hAnsi="Times New Roman" w:cs="Times New Roman"/>
          <w:sz w:val="24"/>
          <w:szCs w:val="24"/>
        </w:rPr>
        <w:t>)</w:t>
      </w:r>
      <w:r w:rsidRPr="004F6EAB">
        <w:rPr>
          <w:rFonts w:ascii="Times New Roman" w:hAnsi="Times New Roman" w:cs="Times New Roman"/>
          <w:sz w:val="24"/>
          <w:szCs w:val="24"/>
        </w:rPr>
        <w:t xml:space="preserve">, </w:t>
      </w:r>
      <w:r w:rsidR="00A16416" w:rsidRPr="004F6EAB">
        <w:rPr>
          <w:rFonts w:ascii="Times New Roman" w:hAnsi="Times New Roman" w:cs="Times New Roman"/>
          <w:sz w:val="24"/>
          <w:szCs w:val="24"/>
        </w:rPr>
        <w:t>except that higher early pregnancy E-DII score was associated with a higher risk of preterm birth [OR (95% CI)= 1.10 (1.003, 1.21)</w:t>
      </w:r>
      <w:r w:rsidR="00E71904">
        <w:rPr>
          <w:rFonts w:ascii="Times New Roman" w:hAnsi="Times New Roman" w:cs="Times New Roman"/>
          <w:sz w:val="24"/>
          <w:szCs w:val="24"/>
        </w:rPr>
        <w:t xml:space="preserve">; </w:t>
      </w:r>
      <w:r w:rsidR="00E71904" w:rsidRPr="00FC73AF">
        <w:rPr>
          <w:rFonts w:ascii="Times New Roman" w:hAnsi="Times New Roman" w:cs="Times New Roman"/>
          <w:i/>
          <w:sz w:val="24"/>
          <w:szCs w:val="24"/>
        </w:rPr>
        <w:t>P</w:t>
      </w:r>
      <w:r w:rsidR="00E71904">
        <w:rPr>
          <w:rFonts w:ascii="Times New Roman" w:hAnsi="Times New Roman" w:cs="Times New Roman"/>
          <w:sz w:val="24"/>
          <w:szCs w:val="24"/>
        </w:rPr>
        <w:t>-value=0.042</w:t>
      </w:r>
      <w:r w:rsidR="00A16416" w:rsidRPr="004F6EAB">
        <w:rPr>
          <w:rFonts w:ascii="Times New Roman" w:hAnsi="Times New Roman" w:cs="Times New Roman"/>
          <w:sz w:val="24"/>
          <w:szCs w:val="24"/>
        </w:rPr>
        <w:t>]</w:t>
      </w:r>
      <w:r w:rsidRPr="004F6EAB">
        <w:rPr>
          <w:rFonts w:ascii="Times New Roman" w:hAnsi="Times New Roman" w:cs="Times New Roman"/>
          <w:sz w:val="24"/>
          <w:szCs w:val="24"/>
        </w:rPr>
        <w:t xml:space="preserve">. </w:t>
      </w:r>
      <w:r w:rsidR="00336D10" w:rsidRPr="004F6EAB">
        <w:rPr>
          <w:rFonts w:ascii="Times New Roman" w:hAnsi="Times New Roman" w:cs="Times New Roman"/>
          <w:sz w:val="24"/>
          <w:szCs w:val="24"/>
        </w:rPr>
        <w:t>In a small subset of studies</w:t>
      </w:r>
      <w:r w:rsidR="00FF6852" w:rsidRPr="004F6EAB">
        <w:rPr>
          <w:rFonts w:ascii="Times New Roman" w:hAnsi="Times New Roman" w:cs="Times New Roman"/>
          <w:sz w:val="24"/>
          <w:szCs w:val="24"/>
        </w:rPr>
        <w:t xml:space="preserve"> (EDEN, ROLO, SWS)</w:t>
      </w:r>
      <w:r w:rsidR="00336D10" w:rsidRPr="004F6EAB">
        <w:rPr>
          <w:rFonts w:ascii="Times New Roman" w:hAnsi="Times New Roman" w:cs="Times New Roman"/>
          <w:sz w:val="24"/>
          <w:szCs w:val="24"/>
        </w:rPr>
        <w:t>, h</w:t>
      </w:r>
      <w:r w:rsidR="00E0528E" w:rsidRPr="004F6EAB">
        <w:rPr>
          <w:rFonts w:ascii="Times New Roman" w:hAnsi="Times New Roman" w:cs="Times New Roman"/>
          <w:sz w:val="24"/>
          <w:szCs w:val="24"/>
        </w:rPr>
        <w:t>igher maternal pre-pregnancy and late-pregnancy DASH scores were associated with higher offspring abdominal circumference</w:t>
      </w:r>
      <w:r w:rsidR="00A16416" w:rsidRPr="004F6EAB">
        <w:rPr>
          <w:rFonts w:ascii="Times New Roman" w:hAnsi="Times New Roman" w:cs="Times New Roman"/>
          <w:sz w:val="24"/>
          <w:szCs w:val="24"/>
        </w:rPr>
        <w:t xml:space="preserve"> [only </w:t>
      </w:r>
      <w:r w:rsidR="007F681D" w:rsidRPr="004F6EAB">
        <w:rPr>
          <w:rFonts w:ascii="Times New Roman" w:hAnsi="Times New Roman" w:cs="Times New Roman"/>
          <w:sz w:val="24"/>
          <w:szCs w:val="24"/>
        </w:rPr>
        <w:t>one</w:t>
      </w:r>
      <w:r w:rsidR="00A16416" w:rsidRPr="004F6EAB">
        <w:rPr>
          <w:rFonts w:ascii="Times New Roman" w:hAnsi="Times New Roman" w:cs="Times New Roman"/>
          <w:sz w:val="24"/>
          <w:szCs w:val="24"/>
        </w:rPr>
        <w:t xml:space="preserve"> study (SWS) included]</w:t>
      </w:r>
      <w:r w:rsidR="00D566F7" w:rsidRPr="004F6EAB">
        <w:rPr>
          <w:rFonts w:ascii="Times New Roman" w:hAnsi="Times New Roman" w:cs="Times New Roman"/>
          <w:sz w:val="24"/>
          <w:szCs w:val="24"/>
        </w:rPr>
        <w:t>,</w:t>
      </w:r>
      <w:r w:rsidR="00E0528E" w:rsidRPr="004F6EAB">
        <w:rPr>
          <w:rFonts w:ascii="Times New Roman" w:hAnsi="Times New Roman" w:cs="Times New Roman"/>
          <w:sz w:val="24"/>
          <w:szCs w:val="24"/>
        </w:rPr>
        <w:t xml:space="preserve"> while higher early-pregnancy DASH score was associated with thicker offspring skinfolds, but these associations </w:t>
      </w:r>
      <w:r w:rsidR="00336D10" w:rsidRPr="004F6EAB">
        <w:rPr>
          <w:rFonts w:ascii="Times New Roman" w:hAnsi="Times New Roman" w:cs="Times New Roman"/>
          <w:sz w:val="24"/>
          <w:szCs w:val="24"/>
        </w:rPr>
        <w:t>should be interpreted with caution due to small</w:t>
      </w:r>
      <w:r w:rsidR="00AA07D2" w:rsidRPr="004F6EAB">
        <w:rPr>
          <w:rFonts w:ascii="Times New Roman" w:hAnsi="Times New Roman" w:cs="Times New Roman"/>
          <w:sz w:val="24"/>
          <w:szCs w:val="24"/>
        </w:rPr>
        <w:t>er</w:t>
      </w:r>
      <w:r w:rsidR="00336D10" w:rsidRPr="004F6EAB">
        <w:rPr>
          <w:rFonts w:ascii="Times New Roman" w:hAnsi="Times New Roman" w:cs="Times New Roman"/>
          <w:sz w:val="24"/>
          <w:szCs w:val="24"/>
        </w:rPr>
        <w:t xml:space="preserve"> numbers.</w:t>
      </w:r>
      <w:r w:rsidRPr="004F6EAB">
        <w:rPr>
          <w:rFonts w:ascii="Times New Roman" w:hAnsi="Times New Roman" w:cs="Times New Roman"/>
          <w:sz w:val="24"/>
          <w:szCs w:val="24"/>
        </w:rPr>
        <w:t xml:space="preserve"> </w:t>
      </w:r>
    </w:p>
    <w:p w14:paraId="109CED79" w14:textId="0D9BE15B" w:rsidR="00CF3FE1" w:rsidRPr="003F3730" w:rsidRDefault="001073AA" w:rsidP="005E62D3">
      <w:pPr>
        <w:spacing w:line="480" w:lineRule="auto"/>
        <w:rPr>
          <w:rFonts w:ascii="Times New Roman" w:hAnsi="Times New Roman" w:cs="Times New Roman"/>
          <w:sz w:val="24"/>
          <w:szCs w:val="24"/>
        </w:rPr>
      </w:pPr>
      <w:bookmarkStart w:id="7" w:name="_Hlk20868366"/>
      <w:r w:rsidRPr="004F6EAB">
        <w:rPr>
          <w:rFonts w:ascii="Times New Roman" w:hAnsi="Times New Roman" w:cs="Times New Roman"/>
          <w:sz w:val="24"/>
          <w:szCs w:val="24"/>
        </w:rPr>
        <w:t xml:space="preserve">In sensitivity analyses </w:t>
      </w:r>
      <w:r w:rsidR="00336D10" w:rsidRPr="004F6EAB">
        <w:rPr>
          <w:rFonts w:ascii="Times New Roman" w:hAnsi="Times New Roman" w:cs="Times New Roman"/>
          <w:sz w:val="24"/>
          <w:szCs w:val="24"/>
        </w:rPr>
        <w:t xml:space="preserve">restricted to </w:t>
      </w:r>
      <w:r w:rsidR="00715DE2" w:rsidRPr="004F6EAB">
        <w:rPr>
          <w:rFonts w:ascii="Times New Roman" w:hAnsi="Times New Roman" w:cs="Times New Roman"/>
          <w:sz w:val="24"/>
          <w:szCs w:val="24"/>
        </w:rPr>
        <w:t>European</w:t>
      </w:r>
      <w:r w:rsidR="006E4AD0" w:rsidRPr="004F6EAB">
        <w:rPr>
          <w:rFonts w:ascii="Times New Roman" w:hAnsi="Times New Roman" w:cs="Times New Roman"/>
          <w:sz w:val="24"/>
          <w:szCs w:val="24"/>
        </w:rPr>
        <w:t>-born</w:t>
      </w:r>
      <w:r w:rsidR="00715DE2" w:rsidRPr="004F6EAB">
        <w:rPr>
          <w:rFonts w:ascii="Times New Roman" w:hAnsi="Times New Roman" w:cs="Times New Roman"/>
          <w:sz w:val="24"/>
          <w:szCs w:val="24"/>
        </w:rPr>
        <w:t>/</w:t>
      </w:r>
      <w:r w:rsidR="00AA07D2" w:rsidRPr="004F6EAB">
        <w:rPr>
          <w:rFonts w:ascii="Times New Roman" w:hAnsi="Times New Roman" w:cs="Times New Roman"/>
          <w:sz w:val="24"/>
          <w:szCs w:val="24"/>
        </w:rPr>
        <w:t>W</w:t>
      </w:r>
      <w:r w:rsidR="00336D10" w:rsidRPr="004F6EAB">
        <w:rPr>
          <w:rFonts w:ascii="Times New Roman" w:hAnsi="Times New Roman" w:cs="Times New Roman"/>
          <w:sz w:val="24"/>
          <w:szCs w:val="24"/>
        </w:rPr>
        <w:t>hite participants (</w:t>
      </w:r>
      <w:r w:rsidR="00F47BEA" w:rsidRPr="004F6EAB">
        <w:rPr>
          <w:rFonts w:ascii="Times New Roman" w:hAnsi="Times New Roman" w:cs="Times New Roman"/>
          <w:b/>
          <w:bCs/>
          <w:sz w:val="24"/>
          <w:szCs w:val="24"/>
        </w:rPr>
        <w:t>S</w:t>
      </w:r>
      <w:r w:rsidR="00F47BEA">
        <w:rPr>
          <w:rFonts w:ascii="Times New Roman" w:hAnsi="Times New Roman" w:cs="Times New Roman"/>
          <w:b/>
          <w:bCs/>
          <w:sz w:val="24"/>
          <w:szCs w:val="24"/>
        </w:rPr>
        <w:t xml:space="preserve">7 </w:t>
      </w:r>
      <w:r w:rsidR="00336D10" w:rsidRPr="004F6EAB">
        <w:rPr>
          <w:rFonts w:ascii="Times New Roman" w:hAnsi="Times New Roman" w:cs="Times New Roman"/>
          <w:b/>
          <w:bCs/>
          <w:sz w:val="24"/>
          <w:szCs w:val="24"/>
        </w:rPr>
        <w:t xml:space="preserve">Table </w:t>
      </w:r>
      <w:r w:rsidR="00336D10" w:rsidRPr="004F6EAB">
        <w:rPr>
          <w:rFonts w:ascii="Times New Roman" w:hAnsi="Times New Roman" w:cs="Times New Roman"/>
          <w:sz w:val="24"/>
          <w:szCs w:val="24"/>
        </w:rPr>
        <w:t xml:space="preserve">and </w:t>
      </w:r>
      <w:r w:rsidR="00F47BEA">
        <w:rPr>
          <w:rFonts w:ascii="Times New Roman" w:hAnsi="Times New Roman" w:cs="Times New Roman"/>
          <w:b/>
          <w:bCs/>
          <w:sz w:val="24"/>
          <w:szCs w:val="24"/>
        </w:rPr>
        <w:t>S</w:t>
      </w:r>
      <w:r w:rsidR="00E25677">
        <w:rPr>
          <w:rFonts w:ascii="Times New Roman" w:hAnsi="Times New Roman" w:cs="Times New Roman"/>
          <w:b/>
          <w:bCs/>
          <w:sz w:val="24"/>
          <w:szCs w:val="24"/>
        </w:rPr>
        <w:t>8</w:t>
      </w:r>
      <w:r w:rsidR="00F47BEA">
        <w:rPr>
          <w:rFonts w:ascii="Times New Roman" w:hAnsi="Times New Roman" w:cs="Times New Roman"/>
          <w:b/>
          <w:bCs/>
          <w:sz w:val="24"/>
          <w:szCs w:val="24"/>
        </w:rPr>
        <w:t xml:space="preserve"> Table</w:t>
      </w:r>
      <w:r w:rsidR="00336D10" w:rsidRPr="004F6EAB">
        <w:rPr>
          <w:rFonts w:ascii="Times New Roman" w:hAnsi="Times New Roman" w:cs="Times New Roman"/>
          <w:sz w:val="24"/>
          <w:szCs w:val="24"/>
        </w:rPr>
        <w:t>)</w:t>
      </w:r>
      <w:r w:rsidR="00AA07D2" w:rsidRPr="004F6EAB">
        <w:rPr>
          <w:rFonts w:ascii="Times New Roman" w:hAnsi="Times New Roman" w:cs="Times New Roman"/>
          <w:sz w:val="24"/>
          <w:szCs w:val="24"/>
        </w:rPr>
        <w:t xml:space="preserve">, </w:t>
      </w:r>
      <w:r w:rsidR="00336D10" w:rsidRPr="004F6EAB">
        <w:rPr>
          <w:rFonts w:ascii="Times New Roman" w:hAnsi="Times New Roman" w:cs="Times New Roman"/>
          <w:sz w:val="24"/>
          <w:szCs w:val="24"/>
        </w:rPr>
        <w:t xml:space="preserve">participants without </w:t>
      </w:r>
      <w:r w:rsidR="007F681D" w:rsidRPr="004F6EAB">
        <w:rPr>
          <w:rFonts w:ascii="Times New Roman" w:hAnsi="Times New Roman" w:cs="Times New Roman"/>
          <w:sz w:val="24"/>
          <w:szCs w:val="24"/>
        </w:rPr>
        <w:t>pregnancy complications</w:t>
      </w:r>
      <w:r w:rsidR="00336D10" w:rsidRPr="004F6EAB">
        <w:rPr>
          <w:rFonts w:ascii="Times New Roman" w:hAnsi="Times New Roman" w:cs="Times New Roman"/>
          <w:sz w:val="24"/>
          <w:szCs w:val="24"/>
        </w:rPr>
        <w:t xml:space="preserve"> (</w:t>
      </w:r>
      <w:r w:rsidR="00F47BEA" w:rsidRPr="004F6EAB">
        <w:rPr>
          <w:rFonts w:ascii="Times New Roman" w:hAnsi="Times New Roman" w:cs="Times New Roman"/>
          <w:b/>
          <w:bCs/>
          <w:sz w:val="24"/>
          <w:szCs w:val="24"/>
        </w:rPr>
        <w:t>S</w:t>
      </w:r>
      <w:r w:rsidR="00F47BEA">
        <w:rPr>
          <w:rFonts w:ascii="Times New Roman" w:hAnsi="Times New Roman" w:cs="Times New Roman"/>
          <w:b/>
          <w:bCs/>
          <w:sz w:val="24"/>
          <w:szCs w:val="24"/>
        </w:rPr>
        <w:t xml:space="preserve">9 </w:t>
      </w:r>
      <w:r w:rsidR="00336D10" w:rsidRPr="004F6EAB">
        <w:rPr>
          <w:rFonts w:ascii="Times New Roman" w:hAnsi="Times New Roman" w:cs="Times New Roman"/>
          <w:b/>
          <w:bCs/>
          <w:sz w:val="24"/>
          <w:szCs w:val="24"/>
        </w:rPr>
        <w:t xml:space="preserve">Table </w:t>
      </w:r>
      <w:r w:rsidR="00336D10" w:rsidRPr="004F6EAB">
        <w:rPr>
          <w:rFonts w:ascii="Times New Roman" w:hAnsi="Times New Roman" w:cs="Times New Roman"/>
          <w:sz w:val="24"/>
          <w:szCs w:val="24"/>
        </w:rPr>
        <w:t xml:space="preserve">and </w:t>
      </w:r>
      <w:r w:rsidR="00F47BEA">
        <w:rPr>
          <w:rFonts w:ascii="Times New Roman" w:hAnsi="Times New Roman" w:cs="Times New Roman"/>
          <w:b/>
          <w:bCs/>
          <w:sz w:val="24"/>
          <w:szCs w:val="24"/>
        </w:rPr>
        <w:t>S</w:t>
      </w:r>
      <w:r w:rsidR="00E25677">
        <w:rPr>
          <w:rFonts w:ascii="Times New Roman" w:hAnsi="Times New Roman" w:cs="Times New Roman"/>
          <w:b/>
          <w:bCs/>
          <w:sz w:val="24"/>
          <w:szCs w:val="24"/>
        </w:rPr>
        <w:t>10</w:t>
      </w:r>
      <w:r w:rsidR="00F47BEA">
        <w:rPr>
          <w:rFonts w:ascii="Times New Roman" w:hAnsi="Times New Roman" w:cs="Times New Roman"/>
          <w:b/>
          <w:bCs/>
          <w:sz w:val="24"/>
          <w:szCs w:val="24"/>
        </w:rPr>
        <w:t xml:space="preserve"> Table</w:t>
      </w:r>
      <w:r w:rsidR="00336D10" w:rsidRPr="004F6EAB">
        <w:rPr>
          <w:rFonts w:ascii="Times New Roman" w:hAnsi="Times New Roman" w:cs="Times New Roman"/>
          <w:sz w:val="24"/>
          <w:szCs w:val="24"/>
        </w:rPr>
        <w:t>)</w:t>
      </w:r>
      <w:r w:rsidR="00AA07D2" w:rsidRPr="004F6EAB">
        <w:rPr>
          <w:rFonts w:ascii="Times New Roman" w:hAnsi="Times New Roman" w:cs="Times New Roman"/>
          <w:sz w:val="24"/>
          <w:szCs w:val="24"/>
        </w:rPr>
        <w:t xml:space="preserve">, </w:t>
      </w:r>
      <w:r w:rsidR="00336D10" w:rsidRPr="004F6EAB">
        <w:rPr>
          <w:rFonts w:ascii="Times New Roman" w:hAnsi="Times New Roman" w:cs="Times New Roman"/>
          <w:sz w:val="24"/>
          <w:szCs w:val="24"/>
        </w:rPr>
        <w:t>spontaneous labours (</w:t>
      </w:r>
      <w:r w:rsidR="00F47BEA" w:rsidRPr="004F6EAB">
        <w:rPr>
          <w:rFonts w:ascii="Times New Roman" w:hAnsi="Times New Roman" w:cs="Times New Roman"/>
          <w:b/>
          <w:bCs/>
          <w:sz w:val="24"/>
          <w:szCs w:val="24"/>
        </w:rPr>
        <w:t>S</w:t>
      </w:r>
      <w:r w:rsidR="00F47BEA">
        <w:rPr>
          <w:rFonts w:ascii="Times New Roman" w:hAnsi="Times New Roman" w:cs="Times New Roman"/>
          <w:b/>
          <w:bCs/>
          <w:sz w:val="24"/>
          <w:szCs w:val="24"/>
        </w:rPr>
        <w:t xml:space="preserve">11 </w:t>
      </w:r>
      <w:r w:rsidR="00336D10" w:rsidRPr="004F6EAB">
        <w:rPr>
          <w:rFonts w:ascii="Times New Roman" w:hAnsi="Times New Roman" w:cs="Times New Roman"/>
          <w:b/>
          <w:bCs/>
          <w:sz w:val="24"/>
          <w:szCs w:val="24"/>
        </w:rPr>
        <w:t>Table</w:t>
      </w:r>
      <w:r w:rsidR="00336D10" w:rsidRPr="004F6EAB">
        <w:rPr>
          <w:rFonts w:ascii="Times New Roman" w:hAnsi="Times New Roman" w:cs="Times New Roman"/>
          <w:sz w:val="24"/>
          <w:szCs w:val="24"/>
        </w:rPr>
        <w:t xml:space="preserve">), </w:t>
      </w:r>
      <w:r w:rsidR="00E917EF" w:rsidRPr="004F6EAB">
        <w:rPr>
          <w:rFonts w:ascii="Times New Roman" w:hAnsi="Times New Roman" w:cs="Times New Roman"/>
          <w:sz w:val="24"/>
          <w:szCs w:val="24"/>
        </w:rPr>
        <w:t xml:space="preserve">and </w:t>
      </w:r>
      <w:r w:rsidR="00336D10" w:rsidRPr="004F6EAB">
        <w:rPr>
          <w:rFonts w:ascii="Times New Roman" w:hAnsi="Times New Roman" w:cs="Times New Roman"/>
          <w:sz w:val="24"/>
          <w:szCs w:val="24"/>
        </w:rPr>
        <w:t>term</w:t>
      </w:r>
      <w:r w:rsidR="00671A43" w:rsidRPr="004F6EAB">
        <w:rPr>
          <w:rFonts w:ascii="Times New Roman" w:hAnsi="Times New Roman" w:cs="Times New Roman"/>
          <w:sz w:val="24"/>
          <w:szCs w:val="24"/>
        </w:rPr>
        <w:t xml:space="preserve"> and full-term infants</w:t>
      </w:r>
      <w:r w:rsidR="00336D10" w:rsidRPr="004F6EAB">
        <w:rPr>
          <w:rFonts w:ascii="Times New Roman" w:hAnsi="Times New Roman" w:cs="Times New Roman"/>
          <w:sz w:val="24"/>
          <w:szCs w:val="24"/>
        </w:rPr>
        <w:t xml:space="preserve"> (</w:t>
      </w:r>
      <w:r w:rsidR="00F47BEA" w:rsidRPr="004F6EAB">
        <w:rPr>
          <w:rFonts w:ascii="Times New Roman" w:hAnsi="Times New Roman" w:cs="Times New Roman"/>
          <w:b/>
          <w:bCs/>
          <w:sz w:val="24"/>
          <w:szCs w:val="24"/>
        </w:rPr>
        <w:t>S</w:t>
      </w:r>
      <w:r w:rsidR="00F47BEA">
        <w:rPr>
          <w:rFonts w:ascii="Times New Roman" w:hAnsi="Times New Roman" w:cs="Times New Roman"/>
          <w:b/>
          <w:bCs/>
          <w:sz w:val="24"/>
          <w:szCs w:val="24"/>
        </w:rPr>
        <w:t>12</w:t>
      </w:r>
      <w:r w:rsidR="00F47BEA" w:rsidRPr="004F6EAB">
        <w:rPr>
          <w:rFonts w:ascii="Times New Roman" w:hAnsi="Times New Roman" w:cs="Times New Roman"/>
          <w:b/>
          <w:bCs/>
          <w:sz w:val="24"/>
          <w:szCs w:val="24"/>
        </w:rPr>
        <w:t xml:space="preserve"> </w:t>
      </w:r>
      <w:r w:rsidR="00336D10" w:rsidRPr="004F6EAB">
        <w:rPr>
          <w:rFonts w:ascii="Times New Roman" w:hAnsi="Times New Roman" w:cs="Times New Roman"/>
          <w:b/>
          <w:bCs/>
          <w:sz w:val="24"/>
          <w:szCs w:val="24"/>
        </w:rPr>
        <w:t xml:space="preserve">Table </w:t>
      </w:r>
      <w:r w:rsidR="00671A43" w:rsidRPr="004F6EAB">
        <w:rPr>
          <w:rFonts w:ascii="Times New Roman" w:hAnsi="Times New Roman" w:cs="Times New Roman"/>
          <w:sz w:val="24"/>
          <w:szCs w:val="24"/>
        </w:rPr>
        <w:t>and</w:t>
      </w:r>
      <w:r w:rsidR="00671A43" w:rsidRPr="004F6EAB">
        <w:rPr>
          <w:rFonts w:ascii="Times New Roman" w:hAnsi="Times New Roman" w:cs="Times New Roman"/>
          <w:b/>
          <w:bCs/>
          <w:sz w:val="24"/>
          <w:szCs w:val="24"/>
        </w:rPr>
        <w:t xml:space="preserve"> </w:t>
      </w:r>
      <w:r w:rsidR="00F47BEA">
        <w:rPr>
          <w:rFonts w:ascii="Times New Roman" w:hAnsi="Times New Roman" w:cs="Times New Roman"/>
          <w:b/>
          <w:bCs/>
          <w:sz w:val="24"/>
          <w:szCs w:val="24"/>
        </w:rPr>
        <w:t>S</w:t>
      </w:r>
      <w:r w:rsidR="00E25677">
        <w:rPr>
          <w:rFonts w:ascii="Times New Roman" w:hAnsi="Times New Roman" w:cs="Times New Roman"/>
          <w:b/>
          <w:bCs/>
          <w:sz w:val="24"/>
          <w:szCs w:val="24"/>
        </w:rPr>
        <w:t>13</w:t>
      </w:r>
      <w:r w:rsidR="00F47BEA">
        <w:rPr>
          <w:rFonts w:ascii="Times New Roman" w:hAnsi="Times New Roman" w:cs="Times New Roman"/>
          <w:b/>
          <w:bCs/>
          <w:sz w:val="24"/>
          <w:szCs w:val="24"/>
        </w:rPr>
        <w:t xml:space="preserve"> Table</w:t>
      </w:r>
      <w:r w:rsidR="00336D10" w:rsidRPr="004F6EAB">
        <w:rPr>
          <w:rFonts w:ascii="Times New Roman" w:hAnsi="Times New Roman" w:cs="Times New Roman"/>
          <w:sz w:val="24"/>
          <w:szCs w:val="24"/>
        </w:rPr>
        <w:t>), the aforementioned results appeared robust and main conclusions remained unchanged.</w:t>
      </w:r>
      <w:r w:rsidR="00AC020F" w:rsidRPr="004F6EAB">
        <w:rPr>
          <w:rFonts w:ascii="Times New Roman" w:hAnsi="Times New Roman" w:cs="Times New Roman"/>
          <w:sz w:val="24"/>
          <w:szCs w:val="24"/>
        </w:rPr>
        <w:t xml:space="preserve"> When gestational age was adjusted, the estimates for continuous birth size measures changed little (</w:t>
      </w:r>
      <w:r w:rsidR="00F47BEA" w:rsidRPr="004F6EAB">
        <w:rPr>
          <w:rFonts w:ascii="Times New Roman" w:hAnsi="Times New Roman" w:cs="Times New Roman"/>
          <w:b/>
          <w:bCs/>
          <w:sz w:val="24"/>
          <w:szCs w:val="24"/>
        </w:rPr>
        <w:t>S</w:t>
      </w:r>
      <w:r w:rsidR="00F47BEA">
        <w:rPr>
          <w:rFonts w:ascii="Times New Roman" w:hAnsi="Times New Roman" w:cs="Times New Roman"/>
          <w:b/>
          <w:bCs/>
          <w:sz w:val="24"/>
          <w:szCs w:val="24"/>
        </w:rPr>
        <w:t xml:space="preserve">14 </w:t>
      </w:r>
      <w:r w:rsidR="00F8730E">
        <w:rPr>
          <w:rFonts w:ascii="Times New Roman" w:hAnsi="Times New Roman" w:cs="Times New Roman"/>
          <w:b/>
          <w:bCs/>
          <w:sz w:val="24"/>
          <w:szCs w:val="24"/>
        </w:rPr>
        <w:t>Table</w:t>
      </w:r>
      <w:r w:rsidR="00AC020F" w:rsidRPr="004F6EAB">
        <w:rPr>
          <w:rFonts w:ascii="Times New Roman" w:hAnsi="Times New Roman" w:cs="Times New Roman"/>
          <w:sz w:val="24"/>
          <w:szCs w:val="24"/>
        </w:rPr>
        <w:t>)</w:t>
      </w:r>
      <w:r w:rsidR="00CB28CA" w:rsidRPr="004F6EAB">
        <w:rPr>
          <w:rFonts w:ascii="Times New Roman" w:hAnsi="Times New Roman" w:cs="Times New Roman"/>
          <w:sz w:val="24"/>
          <w:szCs w:val="24"/>
        </w:rPr>
        <w:t>.</w:t>
      </w:r>
      <w:r w:rsidR="00AC020F" w:rsidRPr="004F6EAB">
        <w:rPr>
          <w:rFonts w:ascii="Times New Roman" w:hAnsi="Times New Roman" w:cs="Times New Roman"/>
          <w:sz w:val="24"/>
          <w:szCs w:val="24"/>
        </w:rPr>
        <w:t xml:space="preserve"> </w:t>
      </w:r>
      <w:r w:rsidR="00B90F61" w:rsidRPr="004F6EAB">
        <w:rPr>
          <w:rFonts w:ascii="Times New Roman" w:hAnsi="Times New Roman" w:cs="Times New Roman"/>
          <w:sz w:val="24"/>
          <w:szCs w:val="24"/>
          <w:lang w:val="en-SG"/>
        </w:rPr>
        <w:t>Results were also essentially the same when missing covariates were multiply imputed (</w:t>
      </w:r>
      <w:r w:rsidR="00F47BEA" w:rsidRPr="00F8730E">
        <w:rPr>
          <w:rFonts w:ascii="Times New Roman" w:hAnsi="Times New Roman" w:cs="Times New Roman"/>
          <w:b/>
          <w:sz w:val="24"/>
          <w:szCs w:val="24"/>
          <w:lang w:val="en-SG"/>
        </w:rPr>
        <w:t xml:space="preserve">S15 </w:t>
      </w:r>
      <w:r w:rsidR="00F8730E" w:rsidRPr="00F8730E">
        <w:rPr>
          <w:rFonts w:ascii="Times New Roman" w:hAnsi="Times New Roman" w:cs="Times New Roman"/>
          <w:b/>
          <w:sz w:val="24"/>
          <w:szCs w:val="24"/>
          <w:lang w:val="en-SG"/>
        </w:rPr>
        <w:t>Table</w:t>
      </w:r>
      <w:r w:rsidR="00B90F61" w:rsidRPr="004F6EAB">
        <w:rPr>
          <w:rFonts w:ascii="Times New Roman" w:hAnsi="Times New Roman" w:cs="Times New Roman"/>
          <w:sz w:val="24"/>
          <w:szCs w:val="24"/>
          <w:lang w:val="en-SG"/>
        </w:rPr>
        <w:t xml:space="preserve">). </w:t>
      </w:r>
      <w:r w:rsidR="00AC020F" w:rsidRPr="004F6EAB">
        <w:rPr>
          <w:rFonts w:ascii="Times New Roman" w:hAnsi="Times New Roman" w:cs="Times New Roman"/>
          <w:sz w:val="24"/>
          <w:szCs w:val="24"/>
        </w:rPr>
        <w:t xml:space="preserve">When E-DII and DASH were mutually adjusted, </w:t>
      </w:r>
      <w:r w:rsidR="00561A05" w:rsidRPr="004F6EAB">
        <w:rPr>
          <w:rFonts w:ascii="Times New Roman" w:hAnsi="Times New Roman" w:cs="Times New Roman"/>
          <w:sz w:val="24"/>
          <w:szCs w:val="24"/>
        </w:rPr>
        <w:t>statistical significance</w:t>
      </w:r>
      <w:r w:rsidR="007F681D" w:rsidRPr="004F6EAB">
        <w:rPr>
          <w:rFonts w:ascii="Times New Roman" w:hAnsi="Times New Roman" w:cs="Times New Roman"/>
          <w:sz w:val="24"/>
          <w:szCs w:val="24"/>
        </w:rPr>
        <w:t>s</w:t>
      </w:r>
      <w:r w:rsidR="00561A05" w:rsidRPr="004F6EAB">
        <w:rPr>
          <w:rFonts w:ascii="Times New Roman" w:hAnsi="Times New Roman" w:cs="Times New Roman"/>
          <w:sz w:val="24"/>
          <w:szCs w:val="24"/>
        </w:rPr>
        <w:t xml:space="preserve"> and point </w:t>
      </w:r>
      <w:r w:rsidR="0015078E" w:rsidRPr="004F6EAB">
        <w:rPr>
          <w:rFonts w:ascii="Times New Roman" w:hAnsi="Times New Roman" w:cs="Times New Roman"/>
          <w:sz w:val="24"/>
          <w:szCs w:val="24"/>
        </w:rPr>
        <w:t xml:space="preserve">estimates for birth size measures attenuated appreciably for both </w:t>
      </w:r>
      <w:r w:rsidR="0015078E" w:rsidRPr="004F6EAB">
        <w:rPr>
          <w:rFonts w:ascii="Times New Roman" w:hAnsi="Times New Roman" w:cs="Times New Roman"/>
          <w:sz w:val="24"/>
          <w:szCs w:val="24"/>
        </w:rPr>
        <w:lastRenderedPageBreak/>
        <w:t>dietary scores</w:t>
      </w:r>
      <w:r w:rsidR="006205EE" w:rsidRPr="004F6EAB">
        <w:rPr>
          <w:rFonts w:ascii="Times New Roman" w:hAnsi="Times New Roman" w:cs="Times New Roman"/>
          <w:sz w:val="24"/>
          <w:szCs w:val="24"/>
        </w:rPr>
        <w:t xml:space="preserve"> (</w:t>
      </w:r>
      <w:r w:rsidR="00F47BEA" w:rsidRPr="004F6EAB">
        <w:rPr>
          <w:rFonts w:ascii="Times New Roman" w:hAnsi="Times New Roman" w:cs="Times New Roman"/>
          <w:b/>
          <w:bCs/>
          <w:sz w:val="24"/>
          <w:szCs w:val="24"/>
        </w:rPr>
        <w:t>S</w:t>
      </w:r>
      <w:r w:rsidR="00F47BEA">
        <w:rPr>
          <w:rFonts w:ascii="Times New Roman" w:hAnsi="Times New Roman" w:cs="Times New Roman"/>
          <w:b/>
          <w:bCs/>
          <w:sz w:val="24"/>
          <w:szCs w:val="24"/>
        </w:rPr>
        <w:t xml:space="preserve">16 </w:t>
      </w:r>
      <w:r w:rsidR="006205EE" w:rsidRPr="004F6EAB">
        <w:rPr>
          <w:rFonts w:ascii="Times New Roman" w:hAnsi="Times New Roman" w:cs="Times New Roman"/>
          <w:b/>
          <w:bCs/>
          <w:sz w:val="24"/>
          <w:szCs w:val="24"/>
        </w:rPr>
        <w:t xml:space="preserve">Table </w:t>
      </w:r>
      <w:r w:rsidR="00E046BE" w:rsidRPr="004F6EAB">
        <w:rPr>
          <w:rFonts w:ascii="Times New Roman" w:hAnsi="Times New Roman" w:cs="Times New Roman"/>
          <w:b/>
          <w:bCs/>
          <w:sz w:val="24"/>
          <w:szCs w:val="24"/>
        </w:rPr>
        <w:t xml:space="preserve"> </w:t>
      </w:r>
      <w:r w:rsidR="006205EE" w:rsidRPr="004F6EAB">
        <w:rPr>
          <w:rFonts w:ascii="Times New Roman" w:hAnsi="Times New Roman" w:cs="Times New Roman"/>
          <w:b/>
          <w:bCs/>
          <w:sz w:val="24"/>
          <w:szCs w:val="24"/>
        </w:rPr>
        <w:t xml:space="preserve">and </w:t>
      </w:r>
      <w:r w:rsidR="00F47BEA">
        <w:rPr>
          <w:rFonts w:ascii="Times New Roman" w:hAnsi="Times New Roman" w:cs="Times New Roman"/>
          <w:b/>
          <w:bCs/>
          <w:sz w:val="24"/>
          <w:szCs w:val="24"/>
        </w:rPr>
        <w:t>S</w:t>
      </w:r>
      <w:r w:rsidR="00E25677">
        <w:rPr>
          <w:rFonts w:ascii="Times New Roman" w:hAnsi="Times New Roman" w:cs="Times New Roman"/>
          <w:b/>
          <w:bCs/>
          <w:sz w:val="24"/>
          <w:szCs w:val="24"/>
        </w:rPr>
        <w:t>17</w:t>
      </w:r>
      <w:r w:rsidR="00F47BEA">
        <w:rPr>
          <w:rFonts w:ascii="Times New Roman" w:hAnsi="Times New Roman" w:cs="Times New Roman"/>
          <w:b/>
          <w:bCs/>
          <w:sz w:val="24"/>
          <w:szCs w:val="24"/>
        </w:rPr>
        <w:t xml:space="preserve"> Table</w:t>
      </w:r>
      <w:r w:rsidR="006205EE" w:rsidRPr="004F6EAB">
        <w:rPr>
          <w:rFonts w:ascii="Times New Roman" w:hAnsi="Times New Roman" w:cs="Times New Roman"/>
          <w:sz w:val="24"/>
          <w:szCs w:val="24"/>
        </w:rPr>
        <w:t>)</w:t>
      </w:r>
      <w:r w:rsidR="00CB28CA" w:rsidRPr="004F6EAB">
        <w:rPr>
          <w:rFonts w:ascii="Times New Roman" w:hAnsi="Times New Roman" w:cs="Times New Roman"/>
          <w:sz w:val="24"/>
          <w:szCs w:val="24"/>
        </w:rPr>
        <w:t>.</w:t>
      </w:r>
      <w:r w:rsidR="00C97B88" w:rsidRPr="004F6EAB">
        <w:rPr>
          <w:sz w:val="24"/>
          <w:szCs w:val="24"/>
        </w:rPr>
        <w:t xml:space="preserve"> </w:t>
      </w:r>
      <w:r w:rsidR="00C97B88" w:rsidRPr="004F6EAB">
        <w:rPr>
          <w:rFonts w:ascii="Times New Roman" w:hAnsi="Times New Roman" w:cs="Times New Roman"/>
          <w:sz w:val="24"/>
          <w:szCs w:val="24"/>
        </w:rPr>
        <w:t>Of the significant associations reported in Table 1 and 2, only three relationships showed evidence of departure from linearity: early pregnancy DASH vs LBW, pre-pregnancy DASH vs birth length, and pre-pregnancy DASH vs abdominal circumference</w:t>
      </w:r>
      <w:r w:rsidR="003F3730">
        <w:rPr>
          <w:rFonts w:ascii="Times New Roman" w:hAnsi="Times New Roman" w:cs="Times New Roman"/>
          <w:sz w:val="24"/>
          <w:szCs w:val="24"/>
        </w:rPr>
        <w:t xml:space="preserve"> (</w:t>
      </w:r>
      <w:r w:rsidR="003F3730" w:rsidRPr="003F3730">
        <w:rPr>
          <w:rFonts w:ascii="Times New Roman" w:hAnsi="Times New Roman" w:cs="Times New Roman"/>
          <w:i/>
          <w:sz w:val="24"/>
          <w:szCs w:val="24"/>
        </w:rPr>
        <w:t>P</w:t>
      </w:r>
      <w:r w:rsidR="003F3730">
        <w:rPr>
          <w:rFonts w:ascii="Times New Roman" w:hAnsi="Times New Roman" w:cs="Times New Roman"/>
          <w:sz w:val="24"/>
          <w:szCs w:val="24"/>
        </w:rPr>
        <w:t xml:space="preserve"> for quadratic term= </w:t>
      </w:r>
      <w:r w:rsidR="00717B66">
        <w:rPr>
          <w:rFonts w:ascii="Times New Roman" w:hAnsi="Times New Roman" w:cs="Times New Roman"/>
          <w:sz w:val="24"/>
          <w:szCs w:val="24"/>
        </w:rPr>
        <w:t>0.007, 0.031</w:t>
      </w:r>
      <w:r w:rsidR="003F3730">
        <w:rPr>
          <w:rFonts w:ascii="Times New Roman" w:hAnsi="Times New Roman" w:cs="Times New Roman"/>
          <w:sz w:val="24"/>
          <w:szCs w:val="24"/>
        </w:rPr>
        <w:t>,</w:t>
      </w:r>
      <w:r w:rsidR="00717B66">
        <w:rPr>
          <w:rFonts w:ascii="Times New Roman" w:hAnsi="Times New Roman" w:cs="Times New Roman"/>
          <w:sz w:val="24"/>
          <w:szCs w:val="24"/>
        </w:rPr>
        <w:t xml:space="preserve"> and 0.001,</w:t>
      </w:r>
      <w:r w:rsidR="003F3730">
        <w:rPr>
          <w:rFonts w:ascii="Times New Roman" w:hAnsi="Times New Roman" w:cs="Times New Roman"/>
          <w:sz w:val="24"/>
          <w:szCs w:val="24"/>
        </w:rPr>
        <w:t xml:space="preserve"> respectively)</w:t>
      </w:r>
      <w:r w:rsidR="00C97B88" w:rsidRPr="004F6EAB">
        <w:rPr>
          <w:rFonts w:ascii="Times New Roman" w:hAnsi="Times New Roman" w:cs="Times New Roman"/>
          <w:sz w:val="24"/>
          <w:szCs w:val="24"/>
        </w:rPr>
        <w:t xml:space="preserve">. Upon closer inspection the influence of higher pre-pregnancy DASH vs longer birth length seemed to level off at the highest quartile, whereas higher pre-pregnancy DASH vs higher abdominal circumference and higher early-pregnancy DASH vs lower risk of LBW relationship </w:t>
      </w:r>
      <w:r w:rsidR="00E13F76" w:rsidRPr="004F6EAB">
        <w:rPr>
          <w:rFonts w:ascii="Times New Roman" w:hAnsi="Times New Roman" w:cs="Times New Roman"/>
          <w:sz w:val="24"/>
          <w:szCs w:val="24"/>
        </w:rPr>
        <w:t>appeared</w:t>
      </w:r>
      <w:r w:rsidR="00C97B88" w:rsidRPr="004F6EAB">
        <w:rPr>
          <w:rFonts w:ascii="Times New Roman" w:hAnsi="Times New Roman" w:cs="Times New Roman"/>
          <w:sz w:val="24"/>
          <w:szCs w:val="24"/>
        </w:rPr>
        <w:t xml:space="preserve"> to level off after </w:t>
      </w:r>
      <w:r w:rsidR="00E13F76" w:rsidRPr="004F6EAB">
        <w:rPr>
          <w:rFonts w:ascii="Times New Roman" w:hAnsi="Times New Roman" w:cs="Times New Roman"/>
          <w:sz w:val="24"/>
          <w:szCs w:val="24"/>
        </w:rPr>
        <w:t xml:space="preserve">the </w:t>
      </w:r>
      <w:r w:rsidR="00C97B88" w:rsidRPr="004F6EAB">
        <w:rPr>
          <w:rFonts w:ascii="Times New Roman" w:hAnsi="Times New Roman" w:cs="Times New Roman"/>
          <w:sz w:val="24"/>
          <w:szCs w:val="24"/>
        </w:rPr>
        <w:t xml:space="preserve">second quartile, as compared with those in lowest quartile (see </w:t>
      </w:r>
      <w:r w:rsidR="00F47BEA">
        <w:rPr>
          <w:rFonts w:ascii="Times New Roman" w:hAnsi="Times New Roman" w:cs="Times New Roman"/>
          <w:sz w:val="24"/>
          <w:szCs w:val="24"/>
        </w:rPr>
        <w:t>S</w:t>
      </w:r>
      <w:r w:rsidR="00E25677">
        <w:rPr>
          <w:rFonts w:ascii="Times New Roman" w:hAnsi="Times New Roman" w:cs="Times New Roman"/>
          <w:sz w:val="24"/>
          <w:szCs w:val="24"/>
        </w:rPr>
        <w:t>18</w:t>
      </w:r>
      <w:r w:rsidR="00F47BEA">
        <w:rPr>
          <w:rFonts w:ascii="Times New Roman" w:hAnsi="Times New Roman" w:cs="Times New Roman"/>
          <w:sz w:val="24"/>
          <w:szCs w:val="24"/>
        </w:rPr>
        <w:t xml:space="preserve"> Table</w:t>
      </w:r>
      <w:r w:rsidR="00E046BE" w:rsidRPr="004F6EAB">
        <w:rPr>
          <w:rFonts w:ascii="Times New Roman" w:hAnsi="Times New Roman" w:cs="Times New Roman"/>
          <w:sz w:val="24"/>
          <w:szCs w:val="24"/>
        </w:rPr>
        <w:t xml:space="preserve"> </w:t>
      </w:r>
      <w:r w:rsidR="00C97B88" w:rsidRPr="004F6EAB">
        <w:rPr>
          <w:rFonts w:ascii="Times New Roman" w:hAnsi="Times New Roman" w:cs="Times New Roman"/>
          <w:sz w:val="24"/>
          <w:szCs w:val="24"/>
        </w:rPr>
        <w:t xml:space="preserve">for estimates). </w:t>
      </w:r>
    </w:p>
    <w:bookmarkEnd w:id="7"/>
    <w:p w14:paraId="35E78F69" w14:textId="1F837A2B" w:rsidR="005D688C" w:rsidRPr="004F6EAB" w:rsidRDefault="00CF3FE1" w:rsidP="00233D4C">
      <w:pPr>
        <w:spacing w:line="480" w:lineRule="auto"/>
        <w:rPr>
          <w:rFonts w:ascii="Times New Roman" w:hAnsi="Times New Roman" w:cs="Times New Roman"/>
          <w:sz w:val="24"/>
          <w:szCs w:val="24"/>
        </w:rPr>
      </w:pPr>
      <w:r w:rsidRPr="004F6EAB">
        <w:rPr>
          <w:rFonts w:ascii="Times New Roman" w:hAnsi="Times New Roman" w:cs="Times New Roman"/>
          <w:sz w:val="24"/>
          <w:szCs w:val="24"/>
        </w:rPr>
        <w:t>We noted</w:t>
      </w:r>
      <w:r w:rsidR="00336D10" w:rsidRPr="004F6EAB">
        <w:rPr>
          <w:rFonts w:ascii="Times New Roman" w:hAnsi="Times New Roman" w:cs="Times New Roman"/>
          <w:sz w:val="24"/>
          <w:szCs w:val="24"/>
        </w:rPr>
        <w:t xml:space="preserve"> </w:t>
      </w:r>
      <w:r w:rsidRPr="004F6EAB">
        <w:rPr>
          <w:rFonts w:ascii="Times New Roman" w:hAnsi="Times New Roman" w:cs="Times New Roman"/>
          <w:sz w:val="24"/>
          <w:szCs w:val="24"/>
        </w:rPr>
        <w:t>sex</w:t>
      </w:r>
      <w:r w:rsidR="00336D10" w:rsidRPr="004F6EAB">
        <w:rPr>
          <w:rFonts w:ascii="Times New Roman" w:hAnsi="Times New Roman" w:cs="Times New Roman"/>
          <w:sz w:val="24"/>
          <w:szCs w:val="24"/>
        </w:rPr>
        <w:t>-</w:t>
      </w:r>
      <w:r w:rsidRPr="004F6EAB">
        <w:rPr>
          <w:rFonts w:ascii="Times New Roman" w:hAnsi="Times New Roman" w:cs="Times New Roman"/>
          <w:sz w:val="24"/>
          <w:szCs w:val="24"/>
        </w:rPr>
        <w:t>interaction</w:t>
      </w:r>
      <w:r w:rsidR="00336D10" w:rsidRPr="004F6EAB">
        <w:rPr>
          <w:rFonts w:ascii="Times New Roman" w:hAnsi="Times New Roman" w:cs="Times New Roman"/>
          <w:sz w:val="24"/>
          <w:szCs w:val="24"/>
        </w:rPr>
        <w:t xml:space="preserve"> </w:t>
      </w:r>
      <w:r w:rsidR="007D4136" w:rsidRPr="004F6EAB">
        <w:rPr>
          <w:rFonts w:ascii="Times New Roman" w:hAnsi="Times New Roman" w:cs="Times New Roman"/>
          <w:sz w:val="24"/>
          <w:szCs w:val="24"/>
        </w:rPr>
        <w:t xml:space="preserve">mainly </w:t>
      </w:r>
      <w:r w:rsidR="00336D10" w:rsidRPr="004F6EAB">
        <w:rPr>
          <w:rFonts w:ascii="Times New Roman" w:hAnsi="Times New Roman" w:cs="Times New Roman"/>
          <w:sz w:val="24"/>
          <w:szCs w:val="24"/>
        </w:rPr>
        <w:t xml:space="preserve">between </w:t>
      </w:r>
      <w:r w:rsidR="007D4136" w:rsidRPr="004F6EAB">
        <w:rPr>
          <w:rFonts w:ascii="Times New Roman" w:hAnsi="Times New Roman" w:cs="Times New Roman"/>
          <w:sz w:val="24"/>
          <w:szCs w:val="24"/>
        </w:rPr>
        <w:t xml:space="preserve">E-DII (especially pre-pregnancy) and birth size measures (see </w:t>
      </w:r>
      <w:r w:rsidR="00F47BEA" w:rsidRPr="004F6EAB">
        <w:rPr>
          <w:rFonts w:ascii="Times New Roman" w:hAnsi="Times New Roman" w:cs="Times New Roman"/>
          <w:b/>
          <w:bCs/>
          <w:sz w:val="24"/>
          <w:szCs w:val="24"/>
        </w:rPr>
        <w:t>S</w:t>
      </w:r>
      <w:r w:rsidR="00F47BEA">
        <w:rPr>
          <w:rFonts w:ascii="Times New Roman" w:hAnsi="Times New Roman" w:cs="Times New Roman"/>
          <w:b/>
          <w:bCs/>
          <w:sz w:val="24"/>
          <w:szCs w:val="24"/>
        </w:rPr>
        <w:t xml:space="preserve">19 </w:t>
      </w:r>
      <w:r w:rsidR="007D4136" w:rsidRPr="004F6EAB">
        <w:rPr>
          <w:rFonts w:ascii="Times New Roman" w:hAnsi="Times New Roman" w:cs="Times New Roman"/>
          <w:b/>
          <w:bCs/>
          <w:sz w:val="24"/>
          <w:szCs w:val="24"/>
        </w:rPr>
        <w:t xml:space="preserve">Table </w:t>
      </w:r>
      <w:r w:rsidR="007D4136" w:rsidRPr="004F6EAB">
        <w:rPr>
          <w:rFonts w:ascii="Times New Roman" w:hAnsi="Times New Roman" w:cs="Times New Roman"/>
          <w:sz w:val="24"/>
          <w:szCs w:val="24"/>
        </w:rPr>
        <w:t xml:space="preserve">for a compilation of </w:t>
      </w:r>
      <w:r w:rsidR="007D4136" w:rsidRPr="004F6EAB">
        <w:rPr>
          <w:rFonts w:ascii="Times New Roman" w:hAnsi="Times New Roman" w:cs="Times New Roman"/>
          <w:i/>
          <w:iCs/>
          <w:sz w:val="24"/>
          <w:szCs w:val="24"/>
        </w:rPr>
        <w:t>P</w:t>
      </w:r>
      <w:r w:rsidR="007D4136" w:rsidRPr="004F6EAB">
        <w:rPr>
          <w:rFonts w:ascii="Times New Roman" w:hAnsi="Times New Roman" w:cs="Times New Roman"/>
          <w:sz w:val="24"/>
          <w:szCs w:val="24"/>
        </w:rPr>
        <w:t xml:space="preserve">-interactions). Higher maternal pre-pregnancy E-DII was associated with lower birth weight and head circumference, shorter birth length, and a higher risk of SGA in male but not female </w:t>
      </w:r>
      <w:r w:rsidR="00D566F7" w:rsidRPr="004F6EAB">
        <w:rPr>
          <w:rFonts w:ascii="Times New Roman" w:hAnsi="Times New Roman" w:cs="Times New Roman"/>
          <w:sz w:val="24"/>
          <w:szCs w:val="24"/>
        </w:rPr>
        <w:t>infants</w:t>
      </w:r>
      <w:r w:rsidR="007D4136" w:rsidRPr="004F6EAB">
        <w:rPr>
          <w:rFonts w:ascii="Times New Roman" w:hAnsi="Times New Roman" w:cs="Times New Roman"/>
          <w:sz w:val="24"/>
          <w:szCs w:val="24"/>
        </w:rPr>
        <w:t xml:space="preserve"> (</w:t>
      </w:r>
      <w:r w:rsidR="007D4136" w:rsidRPr="004F6EAB">
        <w:rPr>
          <w:rFonts w:ascii="Times New Roman" w:hAnsi="Times New Roman" w:cs="Times New Roman"/>
          <w:b/>
          <w:bCs/>
          <w:sz w:val="24"/>
          <w:szCs w:val="24"/>
        </w:rPr>
        <w:t xml:space="preserve">Fig </w:t>
      </w:r>
      <w:r w:rsidR="00CB165E" w:rsidRPr="004F6EAB">
        <w:rPr>
          <w:rFonts w:ascii="Times New Roman" w:hAnsi="Times New Roman" w:cs="Times New Roman"/>
          <w:b/>
          <w:bCs/>
          <w:sz w:val="24"/>
          <w:szCs w:val="24"/>
        </w:rPr>
        <w:t>4</w:t>
      </w:r>
      <w:r w:rsidR="007D4136" w:rsidRPr="004F6EAB">
        <w:rPr>
          <w:rFonts w:ascii="Times New Roman" w:hAnsi="Times New Roman" w:cs="Times New Roman"/>
          <w:sz w:val="24"/>
          <w:szCs w:val="24"/>
        </w:rPr>
        <w:t xml:space="preserve">). </w:t>
      </w:r>
      <w:r w:rsidR="00137570" w:rsidRPr="004F6EAB">
        <w:rPr>
          <w:rFonts w:ascii="Times New Roman" w:hAnsi="Times New Roman" w:cs="Times New Roman"/>
          <w:sz w:val="24"/>
          <w:szCs w:val="24"/>
        </w:rPr>
        <w:t>For pregnancy</w:t>
      </w:r>
      <w:r w:rsidR="00AA07D2" w:rsidRPr="004F6EAB">
        <w:rPr>
          <w:rFonts w:ascii="Times New Roman" w:hAnsi="Times New Roman" w:cs="Times New Roman"/>
          <w:sz w:val="24"/>
          <w:szCs w:val="24"/>
        </w:rPr>
        <w:t xml:space="preserve"> period</w:t>
      </w:r>
      <w:r w:rsidR="00137570" w:rsidRPr="004F6EAB">
        <w:rPr>
          <w:rFonts w:ascii="Times New Roman" w:hAnsi="Times New Roman" w:cs="Times New Roman"/>
          <w:sz w:val="24"/>
          <w:szCs w:val="24"/>
        </w:rPr>
        <w:t>, higher maternal E-DII also seem</w:t>
      </w:r>
      <w:r w:rsidR="0081719E" w:rsidRPr="004F6EAB">
        <w:rPr>
          <w:rFonts w:ascii="Times New Roman" w:hAnsi="Times New Roman" w:cs="Times New Roman"/>
          <w:sz w:val="24"/>
          <w:szCs w:val="24"/>
        </w:rPr>
        <w:t xml:space="preserve">ed </w:t>
      </w:r>
      <w:r w:rsidR="00137570" w:rsidRPr="004F6EAB">
        <w:rPr>
          <w:rFonts w:ascii="Times New Roman" w:hAnsi="Times New Roman" w:cs="Times New Roman"/>
          <w:sz w:val="24"/>
          <w:szCs w:val="24"/>
        </w:rPr>
        <w:t xml:space="preserve">to affect male birth size (lower birth </w:t>
      </w:r>
      <w:r w:rsidR="00621A5D" w:rsidRPr="004F6EAB">
        <w:rPr>
          <w:rFonts w:ascii="Times New Roman" w:hAnsi="Times New Roman" w:cs="Times New Roman"/>
          <w:sz w:val="24"/>
          <w:szCs w:val="24"/>
        </w:rPr>
        <w:t>weight</w:t>
      </w:r>
      <w:r w:rsidR="00137570" w:rsidRPr="004F6EAB">
        <w:rPr>
          <w:rFonts w:ascii="Times New Roman" w:hAnsi="Times New Roman" w:cs="Times New Roman"/>
          <w:sz w:val="24"/>
          <w:szCs w:val="24"/>
        </w:rPr>
        <w:t>) more than female (</w:t>
      </w:r>
      <w:r w:rsidR="00F47BEA" w:rsidRPr="004F6EAB">
        <w:rPr>
          <w:rFonts w:ascii="Times New Roman" w:hAnsi="Times New Roman" w:cs="Times New Roman"/>
          <w:b/>
          <w:bCs/>
          <w:sz w:val="24"/>
          <w:szCs w:val="24"/>
        </w:rPr>
        <w:t>S</w:t>
      </w:r>
      <w:r w:rsidR="00F47BEA">
        <w:rPr>
          <w:rFonts w:ascii="Times New Roman" w:hAnsi="Times New Roman" w:cs="Times New Roman"/>
          <w:b/>
          <w:bCs/>
          <w:sz w:val="24"/>
          <w:szCs w:val="24"/>
        </w:rPr>
        <w:t>20</w:t>
      </w:r>
      <w:r w:rsidR="00F47BEA" w:rsidRPr="004F6EAB">
        <w:rPr>
          <w:rFonts w:ascii="Times New Roman" w:hAnsi="Times New Roman" w:cs="Times New Roman"/>
          <w:b/>
          <w:bCs/>
          <w:sz w:val="24"/>
          <w:szCs w:val="24"/>
        </w:rPr>
        <w:t xml:space="preserve"> </w:t>
      </w:r>
      <w:r w:rsidR="0055572A">
        <w:rPr>
          <w:rFonts w:ascii="Times New Roman" w:hAnsi="Times New Roman" w:cs="Times New Roman"/>
          <w:b/>
          <w:bCs/>
          <w:sz w:val="24"/>
          <w:szCs w:val="24"/>
        </w:rPr>
        <w:t>Table</w:t>
      </w:r>
      <w:r w:rsidR="0081719E" w:rsidRPr="004F6EAB">
        <w:rPr>
          <w:rFonts w:ascii="Times New Roman" w:hAnsi="Times New Roman" w:cs="Times New Roman"/>
          <w:sz w:val="24"/>
          <w:szCs w:val="24"/>
        </w:rPr>
        <w:t>).</w:t>
      </w:r>
      <w:r w:rsidR="00621A5D" w:rsidRPr="004F6EAB">
        <w:rPr>
          <w:rFonts w:ascii="Times New Roman" w:hAnsi="Times New Roman" w:cs="Times New Roman"/>
          <w:sz w:val="24"/>
          <w:szCs w:val="24"/>
        </w:rPr>
        <w:t xml:space="preserve"> No apparent sex-interaction was observed for maternal DASH and birth outcomes association, except for pre-pregnancy DASH-SGA relationship</w:t>
      </w:r>
      <w:r w:rsidR="00AC020F" w:rsidRPr="004F6EAB">
        <w:rPr>
          <w:rFonts w:ascii="Times New Roman" w:hAnsi="Times New Roman" w:cs="Times New Roman"/>
          <w:sz w:val="24"/>
          <w:szCs w:val="24"/>
        </w:rPr>
        <w:t>, which also appeared stronger in male infants</w:t>
      </w:r>
      <w:r w:rsidR="00621A5D" w:rsidRPr="004F6EAB">
        <w:rPr>
          <w:rFonts w:ascii="Times New Roman" w:hAnsi="Times New Roman" w:cs="Times New Roman"/>
          <w:sz w:val="24"/>
          <w:szCs w:val="24"/>
        </w:rPr>
        <w:t xml:space="preserve"> [OR (95% CI): 0.83 (0.70, 0.99) in male and 0.91 (0.73, 1.12) in female; </w:t>
      </w:r>
      <w:r w:rsidR="00621A5D" w:rsidRPr="004F6EAB">
        <w:rPr>
          <w:rFonts w:ascii="Times New Roman" w:hAnsi="Times New Roman" w:cs="Times New Roman"/>
          <w:i/>
          <w:iCs/>
          <w:sz w:val="24"/>
          <w:szCs w:val="24"/>
        </w:rPr>
        <w:t>P</w:t>
      </w:r>
      <w:r w:rsidR="00621A5D" w:rsidRPr="004F6EAB">
        <w:rPr>
          <w:rFonts w:ascii="Times New Roman" w:hAnsi="Times New Roman" w:cs="Times New Roman"/>
          <w:sz w:val="24"/>
          <w:szCs w:val="24"/>
        </w:rPr>
        <w:t>-interaction</w:t>
      </w:r>
      <w:r w:rsidR="00E71904">
        <w:rPr>
          <w:rFonts w:ascii="Times New Roman" w:hAnsi="Times New Roman" w:cs="Times New Roman"/>
          <w:sz w:val="24"/>
          <w:szCs w:val="24"/>
        </w:rPr>
        <w:t>=0.094</w:t>
      </w:r>
      <w:r w:rsidR="00621A5D" w:rsidRPr="004F6EAB">
        <w:rPr>
          <w:rFonts w:ascii="Times New Roman" w:hAnsi="Times New Roman" w:cs="Times New Roman"/>
          <w:sz w:val="24"/>
          <w:szCs w:val="24"/>
        </w:rPr>
        <w:t>].</w:t>
      </w:r>
      <w:r w:rsidR="005D688C" w:rsidRPr="004F6EAB">
        <w:rPr>
          <w:rFonts w:ascii="Times New Roman" w:hAnsi="Times New Roman" w:cs="Times New Roman"/>
          <w:sz w:val="24"/>
          <w:szCs w:val="24"/>
        </w:rPr>
        <w:br w:type="page"/>
      </w:r>
    </w:p>
    <w:p w14:paraId="3BEB6A2A" w14:textId="1C0639E4" w:rsidR="00A85039" w:rsidRPr="004F6EAB" w:rsidRDefault="00E254E3" w:rsidP="005D688C">
      <w:pPr>
        <w:spacing w:line="480" w:lineRule="auto"/>
        <w:rPr>
          <w:rFonts w:ascii="Times New Roman" w:hAnsi="Times New Roman" w:cs="Times New Roman"/>
          <w:sz w:val="24"/>
          <w:szCs w:val="24"/>
        </w:rPr>
      </w:pPr>
      <w:r w:rsidRPr="004F6EAB">
        <w:rPr>
          <w:rFonts w:ascii="Times New Roman" w:hAnsi="Times New Roman" w:cs="Times New Roman"/>
          <w:b/>
          <w:bCs/>
          <w:sz w:val="24"/>
          <w:szCs w:val="24"/>
        </w:rPr>
        <w:lastRenderedPageBreak/>
        <w:t>DISCUSSION</w:t>
      </w:r>
    </w:p>
    <w:p w14:paraId="5A0B0570" w14:textId="23ABD229" w:rsidR="006205EE" w:rsidRPr="004F6EAB" w:rsidRDefault="00736BFE" w:rsidP="005E62D3">
      <w:pPr>
        <w:spacing w:line="480" w:lineRule="auto"/>
        <w:rPr>
          <w:rFonts w:ascii="Times New Roman" w:hAnsi="Times New Roman" w:cs="Times New Roman"/>
          <w:sz w:val="24"/>
          <w:szCs w:val="24"/>
        </w:rPr>
      </w:pPr>
      <w:r w:rsidRPr="004F6EAB">
        <w:rPr>
          <w:rFonts w:ascii="Times New Roman" w:hAnsi="Times New Roman" w:cs="Times New Roman"/>
          <w:sz w:val="24"/>
          <w:szCs w:val="24"/>
        </w:rPr>
        <w:t>In this large collaborative effort</w:t>
      </w:r>
      <w:r w:rsidR="00AE049F" w:rsidRPr="004F6EAB">
        <w:rPr>
          <w:rFonts w:ascii="Times New Roman" w:hAnsi="Times New Roman" w:cs="Times New Roman"/>
          <w:sz w:val="24"/>
          <w:szCs w:val="24"/>
        </w:rPr>
        <w:t xml:space="preserve"> using harmonized individual </w:t>
      </w:r>
      <w:r w:rsidR="00ED07C8" w:rsidRPr="004F6EAB">
        <w:rPr>
          <w:rFonts w:ascii="Times New Roman" w:hAnsi="Times New Roman" w:cs="Times New Roman"/>
          <w:sz w:val="24"/>
          <w:szCs w:val="24"/>
        </w:rPr>
        <w:t>participants’</w:t>
      </w:r>
      <w:r w:rsidR="00AE049F" w:rsidRPr="004F6EAB">
        <w:rPr>
          <w:rFonts w:ascii="Times New Roman" w:hAnsi="Times New Roman" w:cs="Times New Roman"/>
          <w:sz w:val="24"/>
          <w:szCs w:val="24"/>
        </w:rPr>
        <w:t xml:space="preserve"> data</w:t>
      </w:r>
      <w:r w:rsidRPr="004F6EAB">
        <w:rPr>
          <w:rFonts w:ascii="Times New Roman" w:hAnsi="Times New Roman" w:cs="Times New Roman"/>
          <w:sz w:val="24"/>
          <w:szCs w:val="24"/>
        </w:rPr>
        <w:t>, we observed that</w:t>
      </w:r>
      <w:r w:rsidR="00552F18" w:rsidRPr="004F6EAB">
        <w:rPr>
          <w:rFonts w:ascii="Times New Roman" w:hAnsi="Times New Roman" w:cs="Times New Roman"/>
          <w:sz w:val="24"/>
          <w:szCs w:val="24"/>
        </w:rPr>
        <w:t xml:space="preserve">, independent of pre-pregnancy BMI and other socioeconomic factors, a </w:t>
      </w:r>
      <w:r w:rsidRPr="004F6EAB">
        <w:rPr>
          <w:rFonts w:ascii="Times New Roman" w:hAnsi="Times New Roman" w:cs="Times New Roman"/>
          <w:sz w:val="24"/>
          <w:szCs w:val="24"/>
        </w:rPr>
        <w:t>lower quality and more pro-inflammatory</w:t>
      </w:r>
      <w:r w:rsidR="00552F18" w:rsidRPr="004F6EAB">
        <w:rPr>
          <w:rFonts w:ascii="Times New Roman" w:hAnsi="Times New Roman" w:cs="Times New Roman"/>
          <w:sz w:val="24"/>
          <w:szCs w:val="24"/>
        </w:rPr>
        <w:t xml:space="preserve"> maternal diet</w:t>
      </w:r>
      <w:r w:rsidRPr="004F6EAB">
        <w:rPr>
          <w:rFonts w:ascii="Times New Roman" w:hAnsi="Times New Roman" w:cs="Times New Roman"/>
          <w:sz w:val="24"/>
          <w:szCs w:val="24"/>
        </w:rPr>
        <w:t xml:space="preserve"> was associated with smaller birth sizes</w:t>
      </w:r>
      <w:r w:rsidR="00683633" w:rsidRPr="004F6EAB">
        <w:rPr>
          <w:rFonts w:ascii="Times New Roman" w:hAnsi="Times New Roman" w:cs="Times New Roman"/>
          <w:sz w:val="24"/>
          <w:szCs w:val="24"/>
        </w:rPr>
        <w:t xml:space="preserve"> (lower birth weight and shorter birth length)</w:t>
      </w:r>
      <w:r w:rsidRPr="004F6EAB">
        <w:rPr>
          <w:rFonts w:ascii="Times New Roman" w:hAnsi="Times New Roman" w:cs="Times New Roman"/>
          <w:sz w:val="24"/>
          <w:szCs w:val="24"/>
        </w:rPr>
        <w:t xml:space="preserve"> and a higher risk of</w:t>
      </w:r>
      <w:r w:rsidR="00675488" w:rsidRPr="004F6EAB">
        <w:rPr>
          <w:rFonts w:ascii="Times New Roman" w:hAnsi="Times New Roman" w:cs="Times New Roman"/>
          <w:sz w:val="24"/>
          <w:szCs w:val="24"/>
        </w:rPr>
        <w:t xml:space="preserve"> delivering </w:t>
      </w:r>
      <w:r w:rsidR="00AC5CD8" w:rsidRPr="004F6EAB">
        <w:rPr>
          <w:rFonts w:ascii="Times New Roman" w:hAnsi="Times New Roman" w:cs="Times New Roman"/>
          <w:sz w:val="24"/>
          <w:szCs w:val="24"/>
        </w:rPr>
        <w:t>small-for-gestational-age</w:t>
      </w:r>
      <w:r w:rsidR="00675488" w:rsidRPr="004F6EAB">
        <w:rPr>
          <w:rFonts w:ascii="Times New Roman" w:hAnsi="Times New Roman" w:cs="Times New Roman"/>
          <w:sz w:val="24"/>
          <w:szCs w:val="24"/>
        </w:rPr>
        <w:t xml:space="preserve"> </w:t>
      </w:r>
      <w:r w:rsidR="006205EE" w:rsidRPr="004F6EAB">
        <w:rPr>
          <w:rFonts w:ascii="Times New Roman" w:hAnsi="Times New Roman" w:cs="Times New Roman"/>
          <w:sz w:val="24"/>
          <w:szCs w:val="24"/>
        </w:rPr>
        <w:t>infants</w:t>
      </w:r>
      <w:r w:rsidR="00675488" w:rsidRPr="004F6EAB">
        <w:rPr>
          <w:rFonts w:ascii="Times New Roman" w:hAnsi="Times New Roman" w:cs="Times New Roman"/>
          <w:sz w:val="24"/>
          <w:szCs w:val="24"/>
        </w:rPr>
        <w:t>.</w:t>
      </w:r>
      <w:r w:rsidRPr="004F6EAB">
        <w:rPr>
          <w:rFonts w:ascii="Times New Roman" w:hAnsi="Times New Roman" w:cs="Times New Roman"/>
          <w:sz w:val="24"/>
          <w:szCs w:val="24"/>
        </w:rPr>
        <w:t xml:space="preserve"> Furthermore, we observe</w:t>
      </w:r>
      <w:r w:rsidR="00675488" w:rsidRPr="004F6EAB">
        <w:rPr>
          <w:rFonts w:ascii="Times New Roman" w:hAnsi="Times New Roman" w:cs="Times New Roman"/>
          <w:sz w:val="24"/>
          <w:szCs w:val="24"/>
        </w:rPr>
        <w:t>d</w:t>
      </w:r>
      <w:r w:rsidRPr="004F6EAB">
        <w:rPr>
          <w:rFonts w:ascii="Times New Roman" w:hAnsi="Times New Roman" w:cs="Times New Roman"/>
          <w:sz w:val="24"/>
          <w:szCs w:val="24"/>
        </w:rPr>
        <w:t xml:space="preserve"> interesting sex difference</w:t>
      </w:r>
      <w:r w:rsidR="002546E7" w:rsidRPr="004F6EAB">
        <w:rPr>
          <w:rFonts w:ascii="Times New Roman" w:hAnsi="Times New Roman" w:cs="Times New Roman"/>
          <w:sz w:val="24"/>
          <w:szCs w:val="24"/>
        </w:rPr>
        <w:t>s</w:t>
      </w:r>
      <w:r w:rsidRPr="004F6EAB">
        <w:rPr>
          <w:rFonts w:ascii="Times New Roman" w:hAnsi="Times New Roman" w:cs="Times New Roman"/>
          <w:sz w:val="24"/>
          <w:szCs w:val="24"/>
        </w:rPr>
        <w:t xml:space="preserve"> in the association</w:t>
      </w:r>
      <w:r w:rsidR="00D566F7" w:rsidRPr="004F6EAB">
        <w:rPr>
          <w:rFonts w:ascii="Times New Roman" w:hAnsi="Times New Roman" w:cs="Times New Roman"/>
          <w:sz w:val="24"/>
          <w:szCs w:val="24"/>
        </w:rPr>
        <w:t>s</w:t>
      </w:r>
      <w:r w:rsidRPr="004F6EAB">
        <w:rPr>
          <w:rFonts w:ascii="Times New Roman" w:hAnsi="Times New Roman" w:cs="Times New Roman"/>
          <w:sz w:val="24"/>
          <w:szCs w:val="24"/>
        </w:rPr>
        <w:t xml:space="preserve"> between maternal dietary inflammatory potential </w:t>
      </w:r>
      <w:r w:rsidR="00D566F7" w:rsidRPr="004F6EAB">
        <w:rPr>
          <w:rFonts w:ascii="Times New Roman" w:hAnsi="Times New Roman" w:cs="Times New Roman"/>
          <w:sz w:val="24"/>
          <w:szCs w:val="24"/>
        </w:rPr>
        <w:t xml:space="preserve">and </w:t>
      </w:r>
      <w:r w:rsidRPr="004F6EAB">
        <w:rPr>
          <w:rFonts w:ascii="Times New Roman" w:hAnsi="Times New Roman" w:cs="Times New Roman"/>
          <w:sz w:val="24"/>
          <w:szCs w:val="24"/>
        </w:rPr>
        <w:t xml:space="preserve">birth outcomes. </w:t>
      </w:r>
      <w:bookmarkStart w:id="8" w:name="_Hlk20868577"/>
      <w:r w:rsidR="007972A3" w:rsidRPr="007972A3">
        <w:rPr>
          <w:rFonts w:ascii="Times New Roman" w:hAnsi="Times New Roman" w:cs="Times New Roman"/>
          <w:sz w:val="24"/>
          <w:szCs w:val="24"/>
        </w:rPr>
        <w:t xml:space="preserve">To our knowledge, </w:t>
      </w:r>
      <w:r w:rsidR="007972A3">
        <w:rPr>
          <w:rFonts w:ascii="Times New Roman" w:hAnsi="Times New Roman" w:cs="Times New Roman"/>
          <w:sz w:val="24"/>
          <w:szCs w:val="24"/>
        </w:rPr>
        <w:t>t</w:t>
      </w:r>
      <w:r w:rsidR="007972A3" w:rsidRPr="004F6EAB">
        <w:rPr>
          <w:rFonts w:ascii="Times New Roman" w:hAnsi="Times New Roman" w:cs="Times New Roman"/>
          <w:sz w:val="24"/>
          <w:szCs w:val="24"/>
        </w:rPr>
        <w:t xml:space="preserve">his </w:t>
      </w:r>
      <w:r w:rsidRPr="004F6EAB">
        <w:rPr>
          <w:rFonts w:ascii="Times New Roman" w:hAnsi="Times New Roman" w:cs="Times New Roman"/>
          <w:sz w:val="24"/>
          <w:szCs w:val="24"/>
        </w:rPr>
        <w:t xml:space="preserve">is hitherto the largest multi-centre study </w:t>
      </w:r>
      <w:r w:rsidR="00AA07D2" w:rsidRPr="004F6EAB">
        <w:rPr>
          <w:rFonts w:ascii="Times New Roman" w:hAnsi="Times New Roman" w:cs="Times New Roman"/>
          <w:sz w:val="24"/>
          <w:szCs w:val="24"/>
        </w:rPr>
        <w:t>confirming</w:t>
      </w:r>
      <w:r w:rsidRPr="004F6EAB">
        <w:rPr>
          <w:rFonts w:ascii="Times New Roman" w:hAnsi="Times New Roman" w:cs="Times New Roman"/>
          <w:sz w:val="24"/>
          <w:szCs w:val="24"/>
        </w:rPr>
        <w:t xml:space="preserve"> </w:t>
      </w:r>
      <w:r w:rsidR="00AA07D2" w:rsidRPr="004F6EAB">
        <w:rPr>
          <w:rFonts w:ascii="Times New Roman" w:hAnsi="Times New Roman" w:cs="Times New Roman"/>
          <w:sz w:val="24"/>
          <w:szCs w:val="24"/>
        </w:rPr>
        <w:t>that</w:t>
      </w:r>
      <w:r w:rsidRPr="004F6EAB">
        <w:rPr>
          <w:rFonts w:ascii="Times New Roman" w:hAnsi="Times New Roman" w:cs="Times New Roman"/>
          <w:sz w:val="24"/>
          <w:szCs w:val="24"/>
        </w:rPr>
        <w:t xml:space="preserve"> maternal </w:t>
      </w:r>
      <w:r w:rsidR="00AA07D2" w:rsidRPr="004F6EAB">
        <w:rPr>
          <w:rFonts w:ascii="Times New Roman" w:hAnsi="Times New Roman" w:cs="Times New Roman"/>
          <w:sz w:val="24"/>
          <w:szCs w:val="24"/>
        </w:rPr>
        <w:t xml:space="preserve">whole </w:t>
      </w:r>
      <w:r w:rsidRPr="004F6EAB">
        <w:rPr>
          <w:rFonts w:ascii="Times New Roman" w:hAnsi="Times New Roman" w:cs="Times New Roman"/>
          <w:sz w:val="24"/>
          <w:szCs w:val="24"/>
        </w:rPr>
        <w:t xml:space="preserve">diet </w:t>
      </w:r>
      <w:r w:rsidR="007972A3">
        <w:rPr>
          <w:rFonts w:ascii="Times New Roman" w:hAnsi="Times New Roman" w:cs="Times New Roman"/>
          <w:sz w:val="24"/>
          <w:szCs w:val="24"/>
        </w:rPr>
        <w:t>is associated with</w:t>
      </w:r>
      <w:r w:rsidR="007972A3" w:rsidRPr="004F6EAB">
        <w:rPr>
          <w:rFonts w:ascii="Times New Roman" w:hAnsi="Times New Roman" w:cs="Times New Roman"/>
          <w:sz w:val="24"/>
          <w:szCs w:val="24"/>
        </w:rPr>
        <w:t xml:space="preserve"> </w:t>
      </w:r>
      <w:r w:rsidR="005E4A27" w:rsidRPr="004F6EAB">
        <w:rPr>
          <w:rFonts w:ascii="Times New Roman" w:hAnsi="Times New Roman" w:cs="Times New Roman"/>
          <w:sz w:val="24"/>
          <w:szCs w:val="24"/>
        </w:rPr>
        <w:t>birth size (a proxy of</w:t>
      </w:r>
      <w:r w:rsidR="00AA07D2" w:rsidRPr="004F6EAB">
        <w:rPr>
          <w:rFonts w:ascii="Times New Roman" w:hAnsi="Times New Roman" w:cs="Times New Roman"/>
          <w:sz w:val="24"/>
          <w:szCs w:val="24"/>
        </w:rPr>
        <w:t xml:space="preserve"> foetal growth</w:t>
      </w:r>
      <w:r w:rsidR="005E4A27" w:rsidRPr="004F6EAB">
        <w:rPr>
          <w:rFonts w:ascii="Times New Roman" w:hAnsi="Times New Roman" w:cs="Times New Roman"/>
          <w:sz w:val="24"/>
          <w:szCs w:val="24"/>
        </w:rPr>
        <w:t>)</w:t>
      </w:r>
      <w:r w:rsidR="00A70D89" w:rsidRPr="004F6EAB">
        <w:rPr>
          <w:rFonts w:ascii="Times New Roman" w:hAnsi="Times New Roman" w:cs="Times New Roman"/>
          <w:sz w:val="24"/>
          <w:szCs w:val="24"/>
        </w:rPr>
        <w:t xml:space="preserve">. </w:t>
      </w:r>
    </w:p>
    <w:p w14:paraId="2489D66A" w14:textId="31590999" w:rsidR="00CB28CA" w:rsidRPr="004F6EAB" w:rsidRDefault="00B912A3" w:rsidP="00CB28CA">
      <w:pPr>
        <w:spacing w:line="480" w:lineRule="auto"/>
        <w:rPr>
          <w:rFonts w:ascii="Times New Roman" w:hAnsi="Times New Roman" w:cs="Times New Roman"/>
          <w:sz w:val="24"/>
          <w:szCs w:val="24"/>
        </w:rPr>
      </w:pPr>
      <w:r w:rsidRPr="004F6EAB">
        <w:rPr>
          <w:rFonts w:ascii="Times New Roman" w:hAnsi="Times New Roman" w:cs="Times New Roman"/>
          <w:sz w:val="24"/>
          <w:szCs w:val="24"/>
        </w:rPr>
        <w:t xml:space="preserve">Our results appeared robust across several sensitivity analyses, including in a healthier sample of mothers without pregnancy complications or among full-term infants. In addition, further adjustment for gestational age had minimal influence on effect estimates, </w:t>
      </w:r>
      <w:r w:rsidR="00CB28CA" w:rsidRPr="004F6EAB">
        <w:rPr>
          <w:rFonts w:ascii="Times New Roman" w:hAnsi="Times New Roman" w:cs="Times New Roman"/>
          <w:sz w:val="24"/>
          <w:szCs w:val="24"/>
        </w:rPr>
        <w:t>implying that the observed relationships between maternal dietary scores and birth size were not mediated through length of gestational duration.</w:t>
      </w:r>
      <w:r w:rsidRPr="004F6EAB">
        <w:rPr>
          <w:rFonts w:ascii="Times New Roman" w:hAnsi="Times New Roman" w:cs="Times New Roman"/>
          <w:sz w:val="24"/>
          <w:szCs w:val="24"/>
        </w:rPr>
        <w:t xml:space="preserve"> </w:t>
      </w:r>
      <w:r w:rsidR="003814BA" w:rsidRPr="004F6EAB">
        <w:rPr>
          <w:rFonts w:ascii="Times New Roman" w:eastAsia="SimSun" w:hAnsi="Times New Roman" w:cs="Times New Roman"/>
          <w:sz w:val="24"/>
          <w:szCs w:val="24"/>
          <w:lang w:val="en-SG"/>
        </w:rPr>
        <w:t>However, mutual adjustment of E-DII and DASH appreciably</w:t>
      </w:r>
      <w:r w:rsidR="00295A69" w:rsidRPr="004F6EAB">
        <w:rPr>
          <w:rFonts w:ascii="Times New Roman" w:eastAsia="SimSun" w:hAnsi="Times New Roman" w:cs="Times New Roman"/>
          <w:sz w:val="24"/>
          <w:szCs w:val="24"/>
          <w:lang w:val="en-SG"/>
        </w:rPr>
        <w:t>,</w:t>
      </w:r>
      <w:r w:rsidR="003814BA" w:rsidRPr="004F6EAB">
        <w:rPr>
          <w:rFonts w:ascii="Times New Roman" w:eastAsia="SimSun" w:hAnsi="Times New Roman" w:cs="Times New Roman"/>
          <w:sz w:val="24"/>
          <w:szCs w:val="24"/>
          <w:lang w:val="en-SG"/>
        </w:rPr>
        <w:t xml:space="preserve"> but not completely</w:t>
      </w:r>
      <w:r w:rsidR="00295A69" w:rsidRPr="004F6EAB">
        <w:rPr>
          <w:rFonts w:ascii="Times New Roman" w:eastAsia="SimSun" w:hAnsi="Times New Roman" w:cs="Times New Roman"/>
          <w:sz w:val="24"/>
          <w:szCs w:val="24"/>
          <w:lang w:val="en-SG"/>
        </w:rPr>
        <w:t>,</w:t>
      </w:r>
      <w:r w:rsidR="003814BA" w:rsidRPr="004F6EAB">
        <w:rPr>
          <w:rFonts w:ascii="Times New Roman" w:eastAsia="SimSun" w:hAnsi="Times New Roman" w:cs="Times New Roman"/>
          <w:sz w:val="24"/>
          <w:szCs w:val="24"/>
          <w:lang w:val="en-SG"/>
        </w:rPr>
        <w:t xml:space="preserve"> attenuated the associations, suggesting that the associations of general healthy eating with higher birth sizes might not have been mediated completely through lowering maternal inflammation, and other biological mechanisms such as epigenetic programming might be in play. </w:t>
      </w:r>
    </w:p>
    <w:p w14:paraId="475CADF6" w14:textId="0B7FAE77" w:rsidR="0057703A" w:rsidRPr="004F6EAB" w:rsidRDefault="0057703A" w:rsidP="00CB28CA">
      <w:pPr>
        <w:spacing w:line="480" w:lineRule="auto"/>
        <w:rPr>
          <w:rFonts w:ascii="Times New Roman" w:hAnsi="Times New Roman" w:cs="Times New Roman"/>
          <w:b/>
          <w:bCs/>
          <w:sz w:val="24"/>
          <w:szCs w:val="24"/>
        </w:rPr>
      </w:pPr>
      <w:r w:rsidRPr="004F6EAB">
        <w:rPr>
          <w:rFonts w:ascii="Times New Roman" w:hAnsi="Times New Roman" w:cs="Times New Roman"/>
          <w:b/>
          <w:bCs/>
          <w:sz w:val="24"/>
          <w:szCs w:val="24"/>
        </w:rPr>
        <w:t>Results in the context of other studies</w:t>
      </w:r>
    </w:p>
    <w:p w14:paraId="3E4F8424" w14:textId="0CF3C5C3" w:rsidR="003618D9" w:rsidRPr="004F6EAB" w:rsidRDefault="007E533E" w:rsidP="005E62D3">
      <w:pPr>
        <w:spacing w:line="480" w:lineRule="auto"/>
        <w:rPr>
          <w:rFonts w:ascii="Times New Roman" w:hAnsi="Times New Roman" w:cs="Times New Roman"/>
          <w:sz w:val="24"/>
          <w:szCs w:val="24"/>
        </w:rPr>
      </w:pPr>
      <w:bookmarkStart w:id="9" w:name="_Hlk20868657"/>
      <w:bookmarkEnd w:id="8"/>
      <w:r w:rsidRPr="004F6EAB">
        <w:rPr>
          <w:rFonts w:ascii="Times New Roman" w:hAnsi="Times New Roman" w:cs="Times New Roman"/>
          <w:sz w:val="24"/>
          <w:szCs w:val="24"/>
        </w:rPr>
        <w:t xml:space="preserve">There have been </w:t>
      </w:r>
      <w:r w:rsidR="00675488" w:rsidRPr="004F6EAB">
        <w:rPr>
          <w:rFonts w:ascii="Times New Roman" w:hAnsi="Times New Roman" w:cs="Times New Roman"/>
          <w:sz w:val="24"/>
          <w:szCs w:val="24"/>
        </w:rPr>
        <w:t xml:space="preserve">recent </w:t>
      </w:r>
      <w:r w:rsidR="00AE7B4C" w:rsidRPr="004F6EAB">
        <w:rPr>
          <w:rFonts w:ascii="Times New Roman" w:hAnsi="Times New Roman" w:cs="Times New Roman"/>
          <w:sz w:val="24"/>
          <w:szCs w:val="24"/>
        </w:rPr>
        <w:t>comprehensive</w:t>
      </w:r>
      <w:r w:rsidR="00AE049F" w:rsidRPr="004F6EAB">
        <w:rPr>
          <w:rFonts w:ascii="Times New Roman" w:hAnsi="Times New Roman" w:cs="Times New Roman"/>
          <w:sz w:val="24"/>
          <w:szCs w:val="24"/>
        </w:rPr>
        <w:t xml:space="preserve"> </w:t>
      </w:r>
      <w:r w:rsidR="00675488" w:rsidRPr="004F6EAB">
        <w:rPr>
          <w:rFonts w:ascii="Times New Roman" w:hAnsi="Times New Roman" w:cs="Times New Roman"/>
          <w:sz w:val="24"/>
          <w:szCs w:val="24"/>
        </w:rPr>
        <w:t>systematic</w:t>
      </w:r>
      <w:r w:rsidR="00AE049F" w:rsidRPr="004F6EAB">
        <w:rPr>
          <w:rFonts w:ascii="Times New Roman" w:hAnsi="Times New Roman" w:cs="Times New Roman"/>
          <w:sz w:val="24"/>
          <w:szCs w:val="24"/>
        </w:rPr>
        <w:t xml:space="preserve"> reviews (without</w:t>
      </w:r>
      <w:r w:rsidR="0020107A" w:rsidRPr="004F6EAB">
        <w:rPr>
          <w:rFonts w:ascii="Times New Roman" w:hAnsi="Times New Roman" w:cs="Times New Roman"/>
          <w:sz w:val="24"/>
          <w:szCs w:val="24"/>
        </w:rPr>
        <w:t xml:space="preserve"> </w:t>
      </w:r>
      <w:r w:rsidR="0020107A"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10.1093/ajcn/nqy353","ISSN":"0002-9165","author":[{"dropping-particle":"","family":"Raghavan","given":"Ramkripa","non-dropping-particle":"","parse-names":false,"suffix":""},{"dropping-particle":"","family":"Dreibelbis","given":"Carol","non-dropping-particle":"","parse-names":false,"suffix":""},{"dropping-particle":"","family":"Kingshipp","given":"Brittany L","non-dropping-particle":"","parse-names":false,"suffix":""},{"dropping-particle":"","family":"Wong","given":"Yat Ping","non-dropping-particle":"","parse-names":false,"suffix":""},{"dropping-particle":"","family":"Abrams","given":"Barbara","non-dropping-particle":"","parse-names":false,"suffix":""},{"dropping-particle":"","family":"Gernand","given":"Alison D","non-dropping-particle":"","parse-names":false,"suffix":""},{"dropping-particle":"","family":"Rasmussen","given":"Kathleen M","non-dropping-particle":"","parse-names":false,"suffix":""},{"dropping-particle":"","family":"Siega-Riz","given":"Anna Maria","non-dropping-particle":"","parse-names":false,"suffix":""},{"dropping-particle":"","family":"Stang","given":"Jamie","non-dropping-particle":"","parse-names":false,"suffix":""},{"dropping-particle":"","family":"Casavale","given":"Kellie O","non-dropping-particle":"","parse-names":false,"suffix":""},{"dropping-particle":"","family":"Spahn","given":"Joanne M","non-dropping-particle":"","parse-names":false,"suffix":""},{"dropping-particle":"","family":"Stoody","given":"Eve E","non-dropping-particle":"","parse-names":false,"suffix":""}],"container-title":"The American Journal of Clinical Nutrition","id":"ITEM-1","issue":"Supplement_1","issued":{"date-parts":[["2019","3","1"]]},"page":"729S-756S","publisher":"Narnia","title":"Dietary patterns before and during pregnancy and birth outcomes: a systematic review","type":"article-journal","volume":"109"},"uris":["http://www.mendeley.com/documents/?uuid=054abb7b-8228-330b-861c-80fab6fe4569"]}],"mendeley":{"formattedCitation":"[20]","plainTextFormattedCitation":"[20]","previouslyFormattedCitation":"[20]"},"properties":{"noteIndex":0},"schema":"https://github.com/citation-style-language/schema/raw/master/csl-citation.json"}</w:instrText>
      </w:r>
      <w:r w:rsidR="0020107A"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[20]</w:t>
      </w:r>
      <w:r w:rsidR="0020107A" w:rsidRPr="004F6EAB">
        <w:rPr>
          <w:rFonts w:ascii="Times New Roman" w:hAnsi="Times New Roman" w:cs="Times New Roman"/>
          <w:sz w:val="24"/>
          <w:szCs w:val="24"/>
        </w:rPr>
        <w:fldChar w:fldCharType="end"/>
      </w:r>
      <w:r w:rsidR="00AE049F" w:rsidRPr="004F6EAB">
        <w:rPr>
          <w:rFonts w:ascii="Times New Roman" w:hAnsi="Times New Roman" w:cs="Times New Roman"/>
          <w:sz w:val="24"/>
          <w:szCs w:val="24"/>
        </w:rPr>
        <w:t xml:space="preserve"> </w:t>
      </w:r>
      <w:r w:rsidR="00020673">
        <w:rPr>
          <w:rFonts w:ascii="Times New Roman" w:hAnsi="Times New Roman" w:cs="Times New Roman"/>
          <w:sz w:val="24"/>
          <w:szCs w:val="24"/>
        </w:rPr>
        <w:t xml:space="preserve">or </w:t>
      </w:r>
      <w:r w:rsidR="00020673" w:rsidRPr="004F6EAB">
        <w:rPr>
          <w:rFonts w:ascii="Times New Roman" w:hAnsi="Times New Roman" w:cs="Times New Roman"/>
          <w:sz w:val="24"/>
          <w:szCs w:val="24"/>
        </w:rPr>
        <w:t xml:space="preserve">with </w:t>
      </w:r>
      <w:r w:rsidR="00020673" w:rsidRPr="004F6EAB">
        <w:rPr>
          <w:rFonts w:ascii="Times New Roman" w:hAnsi="Times New Roman" w:cs="Times New Roman"/>
          <w:sz w:val="24"/>
          <w:szCs w:val="24"/>
        </w:rPr>
        <w:fldChar w:fldCharType="begin" w:fldLock="1"/>
      </w:r>
      <w:r w:rsidR="00020673">
        <w:rPr>
          <w:rFonts w:ascii="Times New Roman" w:hAnsi="Times New Roman" w:cs="Times New Roman"/>
          <w:sz w:val="24"/>
          <w:szCs w:val="24"/>
        </w:rPr>
        <w:instrText>ADDIN CSL_CITATION {"citationItems":[{"id":"ITEM-1","itemData":{"DOI":"10.1093/advances/nmy123","ISSN":"2161-8313","abstract":"&lt;p&gt;Findings on the relations of maternal dietary patterns during pregnancy and risk of preterm birth and offspring birth size remain inconclusive. We aimed to systematically review and quantify these associations. We searched MEDLINE, Embase, CENTRAL, and CINAHL up to December 2017. Three authors independently conducted a literature search, study selection, data extraction, and quality assessment. Summary effect sizes were calculated with random effects models and studies were summarized narratively if results could not be pooled. We included 36 studies and pooled results from 25 observational studies (167,507 participants). Two common dietary patterns—“healthy” and “unhealthy”—were identified. Healthy dietary patterns—characterized by high intakes of vegetables, fruits, wholegrains, low-fat dairy, and lean protein foods—were associated with lower risk of preterm birth (OR for top compared with bottom tertile: 0.79; 95% CI: 0.68, 0.91; I2 = 32%) and a weak trend towards a lower risk of small-for-gestational-age (OR: 0.86; 95% CI: 0.73, 1.01; I2 = 34%). Only statistically data-driven healthy dietary patterns, and not dietary index-based patterns, were associated with higher birth weight (mean difference: 67 g; 95% CI: 37, 96 g; I2 = 75%). Unhealthy dietary patterns—characterized by high intakes of refined grains, processed meat, and foods high in saturated fat or sugar—were associated with lower birth weight (mean difference: −40 g; 95% CI: −61, −20 g; I2 = 0%) and a trend towards a higher risk of preterm birth (OR: 1.17; 95% CI: 0.99, 1.39; I2 = 76%). Data from observational studies indicate that greater adherence to healthy dietary patterns during pregnancy is significantly related to lower risk of preterm birth. No consistent associations with birth weight and small- or large-for-gestational-age were observed.&lt;/p&gt;","author":[{"dropping-particle":"","family":"Chia","given":"Ai-Ru","non-dropping-particle":"","parse-names":false,"suffix":""},{"dropping-particle":"","family":"Chen","given":"Ling-Wei","non-dropping-particle":"","parse-names":false,"suffix":""},{"dropping-particle":"","family":"Lai","given":"Jun Shi","non-dropping-particle":"","parse-names":false,"suffix":""},{"dropping-particle":"","family":"Wong","given":"Chun Hong","non-dropping-particle":"","parse-names":false,"suffix":""},{"dropping-particle":"","family":"Neelakantan","given":"Nithya","non-dropping-particle":"","parse-names":false,"suffix":""},{"dropping-particle":"","family":"van Dam","given":"Rob Martinus","non-dropping-particle":"","parse-names":false,"suffix":""},{"dropping-particle":"","family":"Chong","given":"Mary Foong-Fong","non-dropping-particle":"","parse-names":false,"suffix":""}],"container-title":"Advances in Nutrition","id":"ITEM-1","issue":"4","issued":{"date-parts":[["2019","7","1"]]},"page":"685-695","publisher":"Narnia","title":"Maternal Dietary Patterns and Birth Outcomes: A Systematic Review and Meta-Analysis","type":"article-journal","volume":"10"},"uris":["http://www.mendeley.com/documents/?uuid=7d486979-0c5c-364b-aa03-9b485157514c"]}],"mendeley":{"formattedCitation":"[21]","plainTextFormattedCitation":"[21]","previouslyFormattedCitation":"[21]"},"properties":{"noteIndex":0},"schema":"https://github.com/citation-style-language/schema/raw/master/csl-citation.json"}</w:instrText>
      </w:r>
      <w:r w:rsidR="00020673" w:rsidRPr="004F6EAB">
        <w:rPr>
          <w:rFonts w:ascii="Times New Roman" w:hAnsi="Times New Roman" w:cs="Times New Roman"/>
          <w:sz w:val="24"/>
          <w:szCs w:val="24"/>
        </w:rPr>
        <w:fldChar w:fldCharType="separate"/>
      </w:r>
      <w:r w:rsidR="00020673" w:rsidRPr="00AE282C">
        <w:rPr>
          <w:rFonts w:ascii="Times New Roman" w:hAnsi="Times New Roman" w:cs="Times New Roman"/>
          <w:noProof/>
          <w:sz w:val="24"/>
          <w:szCs w:val="24"/>
        </w:rPr>
        <w:t>[21]</w:t>
      </w:r>
      <w:r w:rsidR="00020673" w:rsidRPr="004F6EAB">
        <w:rPr>
          <w:rFonts w:ascii="Times New Roman" w:hAnsi="Times New Roman" w:cs="Times New Roman"/>
          <w:sz w:val="24"/>
          <w:szCs w:val="24"/>
        </w:rPr>
        <w:fldChar w:fldCharType="end"/>
      </w:r>
      <w:r w:rsidR="00020673">
        <w:rPr>
          <w:rFonts w:ascii="Times New Roman" w:hAnsi="Times New Roman" w:cs="Times New Roman"/>
          <w:sz w:val="24"/>
          <w:szCs w:val="24"/>
        </w:rPr>
        <w:t xml:space="preserve"> </w:t>
      </w:r>
      <w:r w:rsidR="00AE049F" w:rsidRPr="004F6EAB">
        <w:rPr>
          <w:rFonts w:ascii="Times New Roman" w:hAnsi="Times New Roman" w:cs="Times New Roman"/>
          <w:sz w:val="24"/>
          <w:szCs w:val="24"/>
        </w:rPr>
        <w:t>meta-analysis) on maternal dietary patterns and birth outcomes.</w:t>
      </w:r>
      <w:r w:rsidR="0020107A" w:rsidRPr="004F6EAB">
        <w:rPr>
          <w:rFonts w:ascii="Times New Roman" w:hAnsi="Times New Roman" w:cs="Times New Roman"/>
          <w:sz w:val="24"/>
          <w:szCs w:val="24"/>
        </w:rPr>
        <w:t xml:space="preserve"> </w:t>
      </w:r>
      <w:r w:rsidR="00B529F6" w:rsidRPr="004F6EAB">
        <w:rPr>
          <w:rFonts w:ascii="Times New Roman" w:hAnsi="Times New Roman" w:cs="Times New Roman"/>
          <w:sz w:val="24"/>
          <w:szCs w:val="24"/>
        </w:rPr>
        <w:t>T</w:t>
      </w:r>
      <w:r w:rsidR="0020107A" w:rsidRPr="004F6EAB">
        <w:rPr>
          <w:rFonts w:ascii="Times New Roman" w:hAnsi="Times New Roman" w:cs="Times New Roman"/>
          <w:sz w:val="24"/>
          <w:szCs w:val="24"/>
        </w:rPr>
        <w:t>hese reviews were</w:t>
      </w:r>
      <w:r w:rsidR="00B529F6" w:rsidRPr="004F6EAB">
        <w:rPr>
          <w:rFonts w:ascii="Times New Roman" w:hAnsi="Times New Roman" w:cs="Times New Roman"/>
          <w:sz w:val="24"/>
          <w:szCs w:val="24"/>
        </w:rPr>
        <w:t>, however,</w:t>
      </w:r>
      <w:r w:rsidR="0020107A" w:rsidRPr="004F6EAB">
        <w:rPr>
          <w:rFonts w:ascii="Times New Roman" w:hAnsi="Times New Roman" w:cs="Times New Roman"/>
          <w:sz w:val="24"/>
          <w:szCs w:val="24"/>
        </w:rPr>
        <w:t xml:space="preserve"> limited by </w:t>
      </w:r>
      <w:r w:rsidR="00A70D89" w:rsidRPr="004F6EAB">
        <w:rPr>
          <w:rFonts w:ascii="Times New Roman" w:hAnsi="Times New Roman" w:cs="Times New Roman"/>
          <w:sz w:val="24"/>
          <w:szCs w:val="24"/>
        </w:rPr>
        <w:t>the use of</w:t>
      </w:r>
      <w:r w:rsidR="0020107A" w:rsidRPr="004F6EAB">
        <w:rPr>
          <w:rFonts w:ascii="Times New Roman" w:hAnsi="Times New Roman" w:cs="Times New Roman"/>
          <w:sz w:val="24"/>
          <w:szCs w:val="24"/>
        </w:rPr>
        <w:t xml:space="preserve"> different techniques to define ‘healthy dietary pattern’ in the original studies (data-driven i.e. using dimension reducing statistical techniques</w:t>
      </w:r>
      <w:r w:rsidR="0061469B" w:rsidRPr="004F6EAB">
        <w:rPr>
          <w:rFonts w:ascii="Times New Roman" w:hAnsi="Times New Roman" w:cs="Times New Roman"/>
          <w:sz w:val="24"/>
          <w:szCs w:val="24"/>
        </w:rPr>
        <w:t>, such as factor analysis,</w:t>
      </w:r>
      <w:r w:rsidR="0020107A" w:rsidRPr="004F6EAB">
        <w:rPr>
          <w:rFonts w:ascii="Times New Roman" w:hAnsi="Times New Roman" w:cs="Times New Roman"/>
          <w:sz w:val="24"/>
          <w:szCs w:val="24"/>
        </w:rPr>
        <w:t xml:space="preserve"> or based on pre-existing dietary indices such as Mediterranean diet and Healthy </w:t>
      </w:r>
      <w:r w:rsidR="0020107A" w:rsidRPr="004F6EAB">
        <w:rPr>
          <w:rFonts w:ascii="Times New Roman" w:hAnsi="Times New Roman" w:cs="Times New Roman"/>
          <w:sz w:val="24"/>
          <w:szCs w:val="24"/>
        </w:rPr>
        <w:lastRenderedPageBreak/>
        <w:t xml:space="preserve">Eating Index). </w:t>
      </w:r>
      <w:r w:rsidR="00A70D89" w:rsidRPr="004F6EAB">
        <w:rPr>
          <w:rFonts w:ascii="Times New Roman" w:hAnsi="Times New Roman" w:cs="Times New Roman"/>
          <w:sz w:val="24"/>
          <w:szCs w:val="24"/>
        </w:rPr>
        <w:t xml:space="preserve">The </w:t>
      </w:r>
      <w:r w:rsidR="0020107A" w:rsidRPr="004F6EAB">
        <w:rPr>
          <w:rFonts w:ascii="Times New Roman" w:hAnsi="Times New Roman" w:cs="Times New Roman"/>
          <w:sz w:val="24"/>
          <w:szCs w:val="24"/>
        </w:rPr>
        <w:t xml:space="preserve">substantial clinical heterogeneity </w:t>
      </w:r>
      <w:r w:rsidR="00A70D89" w:rsidRPr="004F6EAB">
        <w:rPr>
          <w:rFonts w:ascii="Times New Roman" w:hAnsi="Times New Roman" w:cs="Times New Roman"/>
          <w:sz w:val="24"/>
          <w:szCs w:val="24"/>
        </w:rPr>
        <w:t xml:space="preserve">has </w:t>
      </w:r>
      <w:r w:rsidR="0020107A" w:rsidRPr="004F6EAB">
        <w:rPr>
          <w:rFonts w:ascii="Times New Roman" w:hAnsi="Times New Roman" w:cs="Times New Roman"/>
          <w:sz w:val="24"/>
          <w:szCs w:val="24"/>
        </w:rPr>
        <w:t>impede</w:t>
      </w:r>
      <w:r w:rsidR="00A70D89" w:rsidRPr="004F6EAB">
        <w:rPr>
          <w:rFonts w:ascii="Times New Roman" w:hAnsi="Times New Roman" w:cs="Times New Roman"/>
          <w:sz w:val="24"/>
          <w:szCs w:val="24"/>
        </w:rPr>
        <w:t>d</w:t>
      </w:r>
      <w:r w:rsidR="0020107A" w:rsidRPr="004F6EAB">
        <w:rPr>
          <w:rFonts w:ascii="Times New Roman" w:hAnsi="Times New Roman" w:cs="Times New Roman"/>
          <w:sz w:val="24"/>
          <w:szCs w:val="24"/>
        </w:rPr>
        <w:t xml:space="preserve"> </w:t>
      </w:r>
      <w:r w:rsidR="0031140C" w:rsidRPr="004F6EAB">
        <w:rPr>
          <w:rFonts w:ascii="Times New Roman" w:hAnsi="Times New Roman" w:cs="Times New Roman"/>
          <w:sz w:val="24"/>
          <w:szCs w:val="24"/>
        </w:rPr>
        <w:t>firm conclusion</w:t>
      </w:r>
      <w:r w:rsidR="005721DB" w:rsidRPr="004F6EAB">
        <w:rPr>
          <w:rFonts w:ascii="Times New Roman" w:hAnsi="Times New Roman" w:cs="Times New Roman"/>
          <w:sz w:val="24"/>
          <w:szCs w:val="24"/>
        </w:rPr>
        <w:t>s</w:t>
      </w:r>
      <w:r w:rsidR="0031140C" w:rsidRPr="004F6EAB">
        <w:rPr>
          <w:rFonts w:ascii="Times New Roman" w:hAnsi="Times New Roman" w:cs="Times New Roman"/>
          <w:sz w:val="24"/>
          <w:szCs w:val="24"/>
        </w:rPr>
        <w:t xml:space="preserve"> </w:t>
      </w:r>
      <w:r w:rsidR="00AC5CD8" w:rsidRPr="004F6EAB">
        <w:rPr>
          <w:rFonts w:ascii="Times New Roman" w:hAnsi="Times New Roman" w:cs="Times New Roman"/>
          <w:sz w:val="24"/>
          <w:szCs w:val="24"/>
        </w:rPr>
        <w:t>concerning</w:t>
      </w:r>
      <w:r w:rsidR="0031140C" w:rsidRPr="004F6EAB">
        <w:rPr>
          <w:rFonts w:ascii="Times New Roman" w:hAnsi="Times New Roman" w:cs="Times New Roman"/>
          <w:sz w:val="24"/>
          <w:szCs w:val="24"/>
        </w:rPr>
        <w:t xml:space="preserve"> the influence of maternal dietary quality on birth outcomes. </w:t>
      </w:r>
      <w:bookmarkEnd w:id="9"/>
      <w:r w:rsidR="0031140C" w:rsidRPr="004F6EAB">
        <w:rPr>
          <w:rFonts w:ascii="Times New Roman" w:hAnsi="Times New Roman" w:cs="Times New Roman"/>
          <w:sz w:val="24"/>
          <w:szCs w:val="24"/>
        </w:rPr>
        <w:t xml:space="preserve">In the review with </w:t>
      </w:r>
      <w:r w:rsidR="00927B19" w:rsidRPr="004F6EAB">
        <w:rPr>
          <w:rFonts w:ascii="Times New Roman" w:hAnsi="Times New Roman" w:cs="Times New Roman"/>
          <w:sz w:val="24"/>
          <w:szCs w:val="24"/>
        </w:rPr>
        <w:t xml:space="preserve">aggregate data </w:t>
      </w:r>
      <w:r w:rsidR="0031140C" w:rsidRPr="004F6EAB">
        <w:rPr>
          <w:rFonts w:ascii="Times New Roman" w:hAnsi="Times New Roman" w:cs="Times New Roman"/>
          <w:sz w:val="24"/>
          <w:szCs w:val="24"/>
        </w:rPr>
        <w:t xml:space="preserve">meta-analysis, </w:t>
      </w:r>
      <w:r w:rsidR="003E41B2" w:rsidRPr="004F6EAB">
        <w:rPr>
          <w:rFonts w:ascii="Times New Roman" w:hAnsi="Times New Roman" w:cs="Times New Roman"/>
          <w:sz w:val="24"/>
          <w:szCs w:val="24"/>
        </w:rPr>
        <w:t xml:space="preserve">a </w:t>
      </w:r>
      <w:r w:rsidR="00847274" w:rsidRPr="004F6EAB">
        <w:rPr>
          <w:rFonts w:ascii="Times New Roman" w:hAnsi="Times New Roman" w:cs="Times New Roman"/>
          <w:sz w:val="24"/>
          <w:szCs w:val="24"/>
        </w:rPr>
        <w:t>“</w:t>
      </w:r>
      <w:r w:rsidR="003E41B2" w:rsidRPr="004F6EAB">
        <w:rPr>
          <w:rFonts w:ascii="Times New Roman" w:hAnsi="Times New Roman" w:cs="Times New Roman"/>
          <w:sz w:val="24"/>
          <w:szCs w:val="24"/>
        </w:rPr>
        <w:t>weak trend</w:t>
      </w:r>
      <w:r w:rsidR="00847274" w:rsidRPr="004F6EAB">
        <w:rPr>
          <w:rFonts w:ascii="Times New Roman" w:hAnsi="Times New Roman" w:cs="Times New Roman"/>
          <w:sz w:val="24"/>
          <w:szCs w:val="24"/>
        </w:rPr>
        <w:t>”</w:t>
      </w:r>
      <w:r w:rsidR="003E41B2" w:rsidRPr="004F6EAB">
        <w:rPr>
          <w:rFonts w:ascii="Times New Roman" w:hAnsi="Times New Roman" w:cs="Times New Roman"/>
          <w:sz w:val="24"/>
          <w:szCs w:val="24"/>
        </w:rPr>
        <w:t xml:space="preserve"> was observed between </w:t>
      </w:r>
      <w:r w:rsidR="00847274" w:rsidRPr="004F6EAB">
        <w:rPr>
          <w:rFonts w:ascii="Times New Roman" w:hAnsi="Times New Roman" w:cs="Times New Roman"/>
          <w:sz w:val="24"/>
          <w:szCs w:val="24"/>
        </w:rPr>
        <w:t>greater adherence to “healthy dietary pattern” during pregnancy and lower risk of SGA/LBW/</w:t>
      </w:r>
      <w:r w:rsidR="003F1981" w:rsidRPr="004F6EAB">
        <w:rPr>
          <w:rFonts w:ascii="Times New Roman" w:hAnsi="Times New Roman" w:cs="Times New Roman"/>
          <w:sz w:val="24"/>
          <w:szCs w:val="24"/>
        </w:rPr>
        <w:t>foetal</w:t>
      </w:r>
      <w:r w:rsidR="00847274" w:rsidRPr="004F6EAB">
        <w:rPr>
          <w:rFonts w:ascii="Times New Roman" w:hAnsi="Times New Roman" w:cs="Times New Roman"/>
          <w:sz w:val="24"/>
          <w:szCs w:val="24"/>
        </w:rPr>
        <w:t xml:space="preserve"> growth restriction based on 10 studies [OR (95% CI)= 0.86 (0.73, 1.01) comparing extreme </w:t>
      </w:r>
      <w:proofErr w:type="spellStart"/>
      <w:r w:rsidR="00847274" w:rsidRPr="004F6EAB">
        <w:rPr>
          <w:rFonts w:ascii="Times New Roman" w:hAnsi="Times New Roman" w:cs="Times New Roman"/>
          <w:sz w:val="24"/>
          <w:szCs w:val="24"/>
        </w:rPr>
        <w:t>tertiles</w:t>
      </w:r>
      <w:proofErr w:type="spellEnd"/>
      <w:r w:rsidR="00847274" w:rsidRPr="004F6EAB">
        <w:rPr>
          <w:rFonts w:ascii="Times New Roman" w:hAnsi="Times New Roman" w:cs="Times New Roman"/>
          <w:sz w:val="24"/>
          <w:szCs w:val="24"/>
        </w:rPr>
        <w:t xml:space="preserve"> </w:t>
      </w:r>
      <w:r w:rsidR="00927B19" w:rsidRPr="004F6EAB">
        <w:rPr>
          <w:rFonts w:ascii="Times New Roman" w:hAnsi="Times New Roman" w:cs="Times New Roman"/>
          <w:sz w:val="24"/>
          <w:szCs w:val="24"/>
        </w:rPr>
        <w:t xml:space="preserve">or </w:t>
      </w:r>
      <w:r w:rsidR="00AC5CD8" w:rsidRPr="004F6EAB">
        <w:rPr>
          <w:rFonts w:ascii="Times New Roman" w:hAnsi="Times New Roman" w:cs="Times New Roman"/>
          <w:sz w:val="24"/>
          <w:szCs w:val="24"/>
        </w:rPr>
        <w:t>“</w:t>
      </w:r>
      <w:r w:rsidR="003F1981" w:rsidRPr="004F6EAB">
        <w:rPr>
          <w:rFonts w:ascii="Times New Roman" w:hAnsi="Times New Roman" w:cs="Times New Roman"/>
          <w:sz w:val="24"/>
          <w:szCs w:val="24"/>
        </w:rPr>
        <w:t xml:space="preserve">per </w:t>
      </w:r>
      <w:r w:rsidR="00847274" w:rsidRPr="004F6EAB">
        <w:rPr>
          <w:rFonts w:ascii="Times New Roman" w:hAnsi="Times New Roman" w:cs="Times New Roman"/>
          <w:sz w:val="24"/>
          <w:szCs w:val="24"/>
        </w:rPr>
        <w:t>2.18 SD</w:t>
      </w:r>
      <w:r w:rsidR="00AC5CD8" w:rsidRPr="004F6EAB">
        <w:rPr>
          <w:rFonts w:ascii="Times New Roman" w:hAnsi="Times New Roman" w:cs="Times New Roman"/>
          <w:sz w:val="24"/>
          <w:szCs w:val="24"/>
        </w:rPr>
        <w:t>”</w:t>
      </w:r>
      <w:r w:rsidR="00F55EC2" w:rsidRPr="004F6EAB">
        <w:rPr>
          <w:rFonts w:ascii="Times New Roman" w:hAnsi="Times New Roman" w:cs="Times New Roman"/>
          <w:sz w:val="24"/>
          <w:szCs w:val="24"/>
        </w:rPr>
        <w:t xml:space="preserve"> cf. </w:t>
      </w:r>
      <w:r w:rsidR="0073659C" w:rsidRPr="004F6EAB">
        <w:rPr>
          <w:rFonts w:ascii="Times New Roman" w:hAnsi="Times New Roman" w:cs="Times New Roman"/>
          <w:sz w:val="24"/>
          <w:szCs w:val="24"/>
        </w:rPr>
        <w:t>0.74 (0.65, 0.87)</w:t>
      </w:r>
      <w:r w:rsidR="00F55EC2" w:rsidRPr="004F6EAB">
        <w:rPr>
          <w:rFonts w:ascii="Times New Roman" w:hAnsi="Times New Roman" w:cs="Times New Roman"/>
          <w:sz w:val="24"/>
          <w:szCs w:val="24"/>
        </w:rPr>
        <w:t xml:space="preserve"> </w:t>
      </w:r>
      <w:r w:rsidR="0073659C" w:rsidRPr="004F6EAB">
        <w:rPr>
          <w:rFonts w:ascii="Times New Roman" w:hAnsi="Times New Roman" w:cs="Times New Roman"/>
          <w:sz w:val="24"/>
          <w:szCs w:val="24"/>
        </w:rPr>
        <w:t>for the same increment</w:t>
      </w:r>
      <w:r w:rsidR="00F55EC2" w:rsidRPr="004F6EAB">
        <w:rPr>
          <w:rFonts w:ascii="Times New Roman" w:hAnsi="Times New Roman" w:cs="Times New Roman"/>
          <w:sz w:val="24"/>
          <w:szCs w:val="24"/>
        </w:rPr>
        <w:t xml:space="preserve"> in ALPHABET</w:t>
      </w:r>
      <w:r w:rsidR="00847274" w:rsidRPr="004F6EAB">
        <w:rPr>
          <w:rFonts w:ascii="Times New Roman" w:hAnsi="Times New Roman" w:cs="Times New Roman"/>
          <w:sz w:val="24"/>
          <w:szCs w:val="24"/>
        </w:rPr>
        <w:t xml:space="preserve">]. </w:t>
      </w:r>
      <w:r w:rsidR="00927B19" w:rsidRPr="004F6EAB">
        <w:rPr>
          <w:rFonts w:ascii="Times New Roman" w:hAnsi="Times New Roman" w:cs="Times New Roman"/>
          <w:sz w:val="24"/>
          <w:szCs w:val="24"/>
        </w:rPr>
        <w:t xml:space="preserve">In </w:t>
      </w:r>
      <w:r w:rsidR="005721DB" w:rsidRPr="004F6EAB">
        <w:rPr>
          <w:rFonts w:ascii="Times New Roman" w:hAnsi="Times New Roman" w:cs="Times New Roman"/>
          <w:sz w:val="24"/>
          <w:szCs w:val="24"/>
        </w:rPr>
        <w:t xml:space="preserve">their </w:t>
      </w:r>
      <w:r w:rsidR="00927B19" w:rsidRPr="004F6EAB">
        <w:rPr>
          <w:rFonts w:ascii="Times New Roman" w:hAnsi="Times New Roman" w:cs="Times New Roman"/>
          <w:sz w:val="24"/>
          <w:szCs w:val="24"/>
        </w:rPr>
        <w:t xml:space="preserve">subgroup analysis for studies </w:t>
      </w:r>
      <w:r w:rsidR="009E5AA7" w:rsidRPr="004F6EAB">
        <w:rPr>
          <w:rFonts w:ascii="Times New Roman" w:hAnsi="Times New Roman" w:cs="Times New Roman"/>
          <w:sz w:val="24"/>
          <w:szCs w:val="24"/>
        </w:rPr>
        <w:t xml:space="preserve">examining </w:t>
      </w:r>
      <w:r w:rsidR="00927B19" w:rsidRPr="004F6EAB">
        <w:rPr>
          <w:rFonts w:ascii="Times New Roman" w:hAnsi="Times New Roman" w:cs="Times New Roman"/>
          <w:sz w:val="24"/>
          <w:szCs w:val="24"/>
        </w:rPr>
        <w:t>SGA specifically (</w:t>
      </w:r>
      <w:r w:rsidR="00927B19" w:rsidRPr="004F6EAB">
        <w:rPr>
          <w:rFonts w:ascii="Times New Roman" w:hAnsi="Times New Roman" w:cs="Times New Roman"/>
          <w:i/>
          <w:iCs/>
          <w:sz w:val="24"/>
          <w:szCs w:val="24"/>
        </w:rPr>
        <w:t>n</w:t>
      </w:r>
      <w:r w:rsidR="00927B19" w:rsidRPr="004F6EAB">
        <w:rPr>
          <w:rFonts w:ascii="Times New Roman" w:hAnsi="Times New Roman" w:cs="Times New Roman"/>
          <w:sz w:val="24"/>
          <w:szCs w:val="24"/>
        </w:rPr>
        <w:t xml:space="preserve">= 5), the pooled estimate was statistically significant [OR (95% </w:t>
      </w:r>
      <w:proofErr w:type="gramStart"/>
      <w:r w:rsidR="00927B19" w:rsidRPr="004F6EAB">
        <w:rPr>
          <w:rFonts w:ascii="Times New Roman" w:hAnsi="Times New Roman" w:cs="Times New Roman"/>
          <w:sz w:val="24"/>
          <w:szCs w:val="24"/>
        </w:rPr>
        <w:t>CI)=</w:t>
      </w:r>
      <w:proofErr w:type="gramEnd"/>
      <w:r w:rsidR="00927B19" w:rsidRPr="004F6EAB">
        <w:rPr>
          <w:rFonts w:ascii="Times New Roman" w:hAnsi="Times New Roman" w:cs="Times New Roman"/>
          <w:sz w:val="24"/>
          <w:szCs w:val="24"/>
        </w:rPr>
        <w:t xml:space="preserve"> 0.91 (0.84, 0.97)]. </w:t>
      </w:r>
      <w:bookmarkStart w:id="10" w:name="_Hlk20868702"/>
      <w:r w:rsidR="00927B19" w:rsidRPr="004F6EAB">
        <w:rPr>
          <w:rFonts w:ascii="Times New Roman" w:hAnsi="Times New Roman" w:cs="Times New Roman"/>
          <w:sz w:val="24"/>
          <w:szCs w:val="24"/>
        </w:rPr>
        <w:t>Our results showed more consistent association</w:t>
      </w:r>
      <w:r w:rsidR="005721DB" w:rsidRPr="004F6EAB">
        <w:rPr>
          <w:rFonts w:ascii="Times New Roman" w:hAnsi="Times New Roman" w:cs="Times New Roman"/>
          <w:sz w:val="24"/>
          <w:szCs w:val="24"/>
        </w:rPr>
        <w:t>s</w:t>
      </w:r>
      <w:r w:rsidR="00927B19" w:rsidRPr="004F6EAB">
        <w:rPr>
          <w:rFonts w:ascii="Times New Roman" w:hAnsi="Times New Roman" w:cs="Times New Roman"/>
          <w:sz w:val="24"/>
          <w:szCs w:val="24"/>
        </w:rPr>
        <w:t xml:space="preserve"> between maternal </w:t>
      </w:r>
      <w:r w:rsidR="00555DF8" w:rsidRPr="004F6EAB">
        <w:rPr>
          <w:rFonts w:ascii="Times New Roman" w:hAnsi="Times New Roman" w:cs="Times New Roman"/>
          <w:sz w:val="24"/>
          <w:szCs w:val="24"/>
        </w:rPr>
        <w:t>dietary quality</w:t>
      </w:r>
      <w:r w:rsidR="00927B19" w:rsidRPr="004F6EAB">
        <w:rPr>
          <w:rFonts w:ascii="Times New Roman" w:hAnsi="Times New Roman" w:cs="Times New Roman"/>
          <w:sz w:val="24"/>
          <w:szCs w:val="24"/>
        </w:rPr>
        <w:t xml:space="preserve"> and </w:t>
      </w:r>
      <w:r w:rsidR="005E4A27" w:rsidRPr="004F6EAB">
        <w:rPr>
          <w:rFonts w:ascii="Times New Roman" w:hAnsi="Times New Roman" w:cs="Times New Roman"/>
          <w:sz w:val="24"/>
          <w:szCs w:val="24"/>
        </w:rPr>
        <w:t>birth size</w:t>
      </w:r>
      <w:r w:rsidR="00927B19" w:rsidRPr="004F6EAB">
        <w:rPr>
          <w:rFonts w:ascii="Times New Roman" w:hAnsi="Times New Roman" w:cs="Times New Roman"/>
          <w:sz w:val="24"/>
          <w:szCs w:val="24"/>
        </w:rPr>
        <w:t xml:space="preserve">, probably due to </w:t>
      </w:r>
      <w:r w:rsidR="00555DF8" w:rsidRPr="004F6EAB">
        <w:rPr>
          <w:rFonts w:ascii="Times New Roman" w:hAnsi="Times New Roman" w:cs="Times New Roman"/>
          <w:sz w:val="24"/>
          <w:szCs w:val="24"/>
        </w:rPr>
        <w:t>more consistent definition of healthy dietary pattern</w:t>
      </w:r>
      <w:r w:rsidR="00AC5CD8" w:rsidRPr="004F6EAB">
        <w:rPr>
          <w:rFonts w:ascii="Times New Roman" w:hAnsi="Times New Roman" w:cs="Times New Roman"/>
          <w:sz w:val="24"/>
          <w:szCs w:val="24"/>
        </w:rPr>
        <w:t>,</w:t>
      </w:r>
      <w:r w:rsidR="00555DF8" w:rsidRPr="004F6EAB">
        <w:rPr>
          <w:rFonts w:ascii="Times New Roman" w:hAnsi="Times New Roman" w:cs="Times New Roman"/>
          <w:sz w:val="24"/>
          <w:szCs w:val="24"/>
        </w:rPr>
        <w:t xml:space="preserve"> harmonized covariates derivation and </w:t>
      </w:r>
      <w:r w:rsidR="00AC5CD8" w:rsidRPr="004F6EAB">
        <w:rPr>
          <w:rFonts w:ascii="Times New Roman" w:hAnsi="Times New Roman" w:cs="Times New Roman"/>
          <w:sz w:val="24"/>
          <w:szCs w:val="24"/>
        </w:rPr>
        <w:t>analysis strategy</w:t>
      </w:r>
      <w:r w:rsidR="00555DF8" w:rsidRPr="004F6EAB">
        <w:rPr>
          <w:rFonts w:ascii="Times New Roman" w:hAnsi="Times New Roman" w:cs="Times New Roman"/>
          <w:sz w:val="24"/>
          <w:szCs w:val="24"/>
        </w:rPr>
        <w:t xml:space="preserve">. </w:t>
      </w:r>
      <w:bookmarkEnd w:id="10"/>
      <w:r w:rsidR="00555DF8" w:rsidRPr="004F6EAB">
        <w:rPr>
          <w:rFonts w:ascii="Times New Roman" w:hAnsi="Times New Roman" w:cs="Times New Roman"/>
          <w:sz w:val="24"/>
          <w:szCs w:val="24"/>
        </w:rPr>
        <w:t xml:space="preserve">In contrast, both previous reviews noted </w:t>
      </w:r>
      <w:r w:rsidR="00B405FB" w:rsidRPr="004F6EAB">
        <w:rPr>
          <w:rFonts w:ascii="Times New Roman" w:hAnsi="Times New Roman" w:cs="Times New Roman"/>
          <w:sz w:val="24"/>
          <w:szCs w:val="24"/>
        </w:rPr>
        <w:t>limited but consistent evidence that maternal healthy eating during pregnancy was associated with a lower risk of pre</w:t>
      </w:r>
      <w:r w:rsidR="005721DB" w:rsidRPr="004F6EAB">
        <w:rPr>
          <w:rFonts w:ascii="Times New Roman" w:hAnsi="Times New Roman" w:cs="Times New Roman"/>
          <w:sz w:val="24"/>
          <w:szCs w:val="24"/>
        </w:rPr>
        <w:t>-</w:t>
      </w:r>
      <w:r w:rsidR="00B405FB" w:rsidRPr="004F6EAB">
        <w:rPr>
          <w:rFonts w:ascii="Times New Roman" w:hAnsi="Times New Roman" w:cs="Times New Roman"/>
          <w:sz w:val="24"/>
          <w:szCs w:val="24"/>
        </w:rPr>
        <w:t xml:space="preserve">term birth, </w:t>
      </w:r>
      <w:r w:rsidR="00AC5CD8" w:rsidRPr="004F6EAB">
        <w:rPr>
          <w:rFonts w:ascii="Times New Roman" w:hAnsi="Times New Roman" w:cs="Times New Roman"/>
          <w:sz w:val="24"/>
          <w:szCs w:val="24"/>
        </w:rPr>
        <w:t>as opposed to our observed null</w:t>
      </w:r>
      <w:r w:rsidR="00B405FB" w:rsidRPr="004F6EAB">
        <w:rPr>
          <w:rFonts w:ascii="Times New Roman" w:hAnsi="Times New Roman" w:cs="Times New Roman"/>
          <w:sz w:val="24"/>
          <w:szCs w:val="24"/>
        </w:rPr>
        <w:t xml:space="preserve"> association between higher DASH score and pre</w:t>
      </w:r>
      <w:r w:rsidR="005721DB" w:rsidRPr="004F6EAB">
        <w:rPr>
          <w:rFonts w:ascii="Times New Roman" w:hAnsi="Times New Roman" w:cs="Times New Roman"/>
          <w:sz w:val="24"/>
          <w:szCs w:val="24"/>
        </w:rPr>
        <w:t>-</w:t>
      </w:r>
      <w:r w:rsidR="00B405FB" w:rsidRPr="004F6EAB">
        <w:rPr>
          <w:rFonts w:ascii="Times New Roman" w:hAnsi="Times New Roman" w:cs="Times New Roman"/>
          <w:sz w:val="24"/>
          <w:szCs w:val="24"/>
        </w:rPr>
        <w:t xml:space="preserve">term birth risk. It may be that the </w:t>
      </w:r>
      <w:r w:rsidR="00AE049F" w:rsidRPr="004F6EAB">
        <w:rPr>
          <w:rFonts w:ascii="Times New Roman" w:hAnsi="Times New Roman" w:cs="Times New Roman"/>
          <w:sz w:val="24"/>
          <w:szCs w:val="24"/>
        </w:rPr>
        <w:t>prevalence of pre</w:t>
      </w:r>
      <w:r w:rsidR="005721DB" w:rsidRPr="004F6EAB">
        <w:rPr>
          <w:rFonts w:ascii="Times New Roman" w:hAnsi="Times New Roman" w:cs="Times New Roman"/>
          <w:sz w:val="24"/>
          <w:szCs w:val="24"/>
        </w:rPr>
        <w:t>-</w:t>
      </w:r>
      <w:r w:rsidR="00AE049F" w:rsidRPr="004F6EAB">
        <w:rPr>
          <w:rFonts w:ascii="Times New Roman" w:hAnsi="Times New Roman" w:cs="Times New Roman"/>
          <w:sz w:val="24"/>
          <w:szCs w:val="24"/>
        </w:rPr>
        <w:t>term birth</w:t>
      </w:r>
      <w:r w:rsidR="00B405FB" w:rsidRPr="004F6EAB">
        <w:rPr>
          <w:rFonts w:ascii="Times New Roman" w:hAnsi="Times New Roman" w:cs="Times New Roman"/>
          <w:sz w:val="24"/>
          <w:szCs w:val="24"/>
        </w:rPr>
        <w:t xml:space="preserve"> is too low in our study (&lt;</w:t>
      </w:r>
      <w:r w:rsidR="00F03849" w:rsidRPr="004F6EAB">
        <w:rPr>
          <w:rFonts w:ascii="Times New Roman" w:hAnsi="Times New Roman" w:cs="Times New Roman"/>
          <w:sz w:val="24"/>
          <w:szCs w:val="24"/>
        </w:rPr>
        <w:t>5</w:t>
      </w:r>
      <w:r w:rsidR="00B405FB" w:rsidRPr="004F6EAB">
        <w:rPr>
          <w:rFonts w:ascii="Times New Roman" w:hAnsi="Times New Roman" w:cs="Times New Roman"/>
          <w:sz w:val="24"/>
          <w:szCs w:val="24"/>
        </w:rPr>
        <w:t xml:space="preserve">%) or factors other than </w:t>
      </w:r>
      <w:r w:rsidR="00AC5CD8" w:rsidRPr="004F6EAB">
        <w:rPr>
          <w:rFonts w:ascii="Times New Roman" w:hAnsi="Times New Roman" w:cs="Times New Roman"/>
          <w:sz w:val="24"/>
          <w:szCs w:val="24"/>
        </w:rPr>
        <w:t xml:space="preserve">maternal </w:t>
      </w:r>
      <w:r w:rsidR="00B405FB" w:rsidRPr="004F6EAB">
        <w:rPr>
          <w:rFonts w:ascii="Times New Roman" w:hAnsi="Times New Roman" w:cs="Times New Roman"/>
          <w:sz w:val="24"/>
          <w:szCs w:val="24"/>
        </w:rPr>
        <w:t>dietary quality have a greater influence on the risk of pre</w:t>
      </w:r>
      <w:r w:rsidR="005721DB" w:rsidRPr="004F6EAB">
        <w:rPr>
          <w:rFonts w:ascii="Times New Roman" w:hAnsi="Times New Roman" w:cs="Times New Roman"/>
          <w:sz w:val="24"/>
          <w:szCs w:val="24"/>
        </w:rPr>
        <w:t>-</w:t>
      </w:r>
      <w:r w:rsidR="00B405FB" w:rsidRPr="004F6EAB">
        <w:rPr>
          <w:rFonts w:ascii="Times New Roman" w:hAnsi="Times New Roman" w:cs="Times New Roman"/>
          <w:sz w:val="24"/>
          <w:szCs w:val="24"/>
        </w:rPr>
        <w:t>term birth in developed countries with good access to health care. Interestingly, in subgroup analysis of the previous review, the association between maternal healthy eating during pregnancy and lower risk of pre</w:t>
      </w:r>
      <w:r w:rsidR="005721DB" w:rsidRPr="004F6EAB">
        <w:rPr>
          <w:rFonts w:ascii="Times New Roman" w:hAnsi="Times New Roman" w:cs="Times New Roman"/>
          <w:sz w:val="24"/>
          <w:szCs w:val="24"/>
        </w:rPr>
        <w:t>-</w:t>
      </w:r>
      <w:r w:rsidR="00B405FB" w:rsidRPr="004F6EAB">
        <w:rPr>
          <w:rFonts w:ascii="Times New Roman" w:hAnsi="Times New Roman" w:cs="Times New Roman"/>
          <w:sz w:val="24"/>
          <w:szCs w:val="24"/>
        </w:rPr>
        <w:t xml:space="preserve">term birth </w:t>
      </w:r>
      <w:r w:rsidR="00AC5CD8" w:rsidRPr="004F6EAB">
        <w:rPr>
          <w:rFonts w:ascii="Times New Roman" w:hAnsi="Times New Roman" w:cs="Times New Roman"/>
          <w:sz w:val="24"/>
          <w:szCs w:val="24"/>
        </w:rPr>
        <w:t xml:space="preserve">also </w:t>
      </w:r>
      <w:r w:rsidR="00B405FB" w:rsidRPr="004F6EAB">
        <w:rPr>
          <w:rFonts w:ascii="Times New Roman" w:hAnsi="Times New Roman" w:cs="Times New Roman"/>
          <w:sz w:val="24"/>
          <w:szCs w:val="24"/>
        </w:rPr>
        <w:t xml:space="preserve">appeared stronger in </w:t>
      </w:r>
      <w:r w:rsidR="00F015FB" w:rsidRPr="004F6EAB">
        <w:rPr>
          <w:rFonts w:ascii="Times New Roman" w:hAnsi="Times New Roman" w:cs="Times New Roman"/>
          <w:sz w:val="24"/>
          <w:szCs w:val="24"/>
        </w:rPr>
        <w:t>n</w:t>
      </w:r>
      <w:r w:rsidR="00B405FB" w:rsidRPr="004F6EAB">
        <w:rPr>
          <w:rFonts w:ascii="Times New Roman" w:hAnsi="Times New Roman" w:cs="Times New Roman"/>
          <w:sz w:val="24"/>
          <w:szCs w:val="24"/>
        </w:rPr>
        <w:t xml:space="preserve">on-European vs. European studies </w:t>
      </w:r>
      <w:r w:rsidR="00B405FB"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{"citationItems":[{"id":"ITEM-1","itemData":{"DOI":"10.1093/advances/nmy123","ISSN":"2161-8313","abstract":"&lt;p&gt;Findings on the relations of maternal dietary patterns during pregnancy and risk of preterm birth and offspring birth size remain inconclusive. We aimed to systematically review and quantify these associations. We searched MEDLINE, Embase, CENTRAL, and CINAHL up to December 2017. Three authors independently conducted a literature search, study selection, data extraction, and quality assessment. Summary effect sizes were calculated with random effects models and studies were summarized narratively if results could not be pooled. We included 36 studies and pooled results from 25 observational studies (167,507 participants). Two common dietary patterns—“healthy” and “unhealthy”—were identified. Healthy dietary patterns—characterized by high intakes of vegetables, fruits, wholegrains, low-fat dairy, and lean protein foods—were associated with lower risk of preterm birth (OR for top compared with bottom tertile: 0.79; 95% CI: 0.68, 0.91; I2 = 32%) and a weak trend towards a lower risk of small-for-gestational-age (OR: 0.86; 95% CI: 0.73, 1.01; I2 = 34%). Only statistically data-driven healthy dietary patterns, and not dietary index-based patterns, were associated with higher birth weight (mean difference: 67 g; 95% CI: 37, 96 g; I2 = 75%). Unhealthy dietary patterns—characterized by high intakes of refined grains, processed meat, and foods high in saturated fat or sugar—were associated with lower birth weight (mean difference: −40 g; 95% CI: −61, −20 g; I2 = 0%) and a trend towards a higher risk of preterm birth (OR: 1.17; 95% CI: 0.99, 1.39; I2 = 76%). Data from observational studies indicate that greater adherence to healthy dietary patterns during pregnancy is significantly related to lower risk of preterm birth. No consistent associations with birth weight and small- or large-for-gestational-age were observed.&lt;/p&gt;","author":[{"dropping-particle":"","family":"Chia","given":"Ai-Ru","non-dropping-particle":"","parse-names":false,"suffix":""},{"dropping-particle":"","family":"Chen","given":"Ling-Wei","non-dropping-particle":"","parse-names":false,"suffix":""},{"dropping-particle":"","family":"Lai","given":"Jun Shi","non-dropping-particle":"","parse-names":false,"suffix":""},{"dropping-particle":"","family":"Wong","given":"Chun Hong","non-dropping-particle":"","parse-names":false,"suffix":""},{"dropping-particle":"","family":"Neelakantan","given":"Nithya","non-dropping-particle":"","parse-names":false,"suffix":""},{"dropping-particle":"","family":"van Dam","given":"Rob Martinus","non-dropping-particle":"","parse-names":false,"suffix":""},{"dropping-particle":"","family":"Chong","given":"Mary Foong-Fong","non-dropping-particle":"","parse-names":false,"suffix":""}],"container-title":"Advances in Nutrition","id":"ITEM-1","issue":"4","issued":{"date-parts":[["2019","7","1"]]},"page":"685-695","publisher":"Narnia","title":"Maternal Dietary Patterns and Birth Outcomes: A Systematic Review and Meta-Analysis","type":"article-journal","volume":"10"},"uris":["http://www.mendeley.com/documents/?uuid=7d486979-0c5c-364b-aa03-9b485157514c"]}],"mendeley":{"formattedCitation":"[21]","plainTextFormattedCitation":"[21]","previouslyFormattedCitation":"[21]"},"properties":{"noteIndex":0},"schema":"https://github.com/citation-style-language/schema/raw/master/csl-citation.json"}</w:instrText>
      </w:r>
      <w:r w:rsidR="00B405FB"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[21]</w:t>
      </w:r>
      <w:r w:rsidR="00B405FB" w:rsidRPr="004F6EAB">
        <w:rPr>
          <w:rFonts w:ascii="Times New Roman" w:hAnsi="Times New Roman" w:cs="Times New Roman"/>
          <w:sz w:val="24"/>
          <w:szCs w:val="24"/>
        </w:rPr>
        <w:fldChar w:fldCharType="end"/>
      </w:r>
      <w:r w:rsidR="00B405FB" w:rsidRPr="004F6EAB">
        <w:rPr>
          <w:rFonts w:ascii="Times New Roman" w:hAnsi="Times New Roman" w:cs="Times New Roman"/>
          <w:sz w:val="24"/>
          <w:szCs w:val="24"/>
        </w:rPr>
        <w:t xml:space="preserve">. </w:t>
      </w:r>
    </w:p>
    <w:p w14:paraId="78DBA894" w14:textId="2791A728" w:rsidR="001137AD" w:rsidRPr="004F6EAB" w:rsidRDefault="007E533E" w:rsidP="005E62D3">
      <w:pPr>
        <w:spacing w:line="480" w:lineRule="auto"/>
        <w:rPr>
          <w:rFonts w:ascii="Times New Roman" w:hAnsi="Times New Roman" w:cs="Times New Roman"/>
          <w:sz w:val="24"/>
          <w:szCs w:val="24"/>
        </w:rPr>
      </w:pPr>
      <w:bookmarkStart w:id="11" w:name="_Hlk20868789"/>
      <w:r w:rsidRPr="004F6EAB">
        <w:rPr>
          <w:rFonts w:ascii="Times New Roman" w:hAnsi="Times New Roman" w:cs="Times New Roman"/>
          <w:sz w:val="24"/>
          <w:szCs w:val="24"/>
        </w:rPr>
        <w:t>Limited studies have investigated maternal dietary inflammatory index and offspring birth outcomes</w:t>
      </w:r>
      <w:r w:rsidR="00F6735F" w:rsidRPr="004F6EAB">
        <w:rPr>
          <w:rFonts w:ascii="Times New Roman" w:hAnsi="Times New Roman" w:cs="Times New Roman"/>
          <w:sz w:val="24"/>
          <w:szCs w:val="24"/>
        </w:rPr>
        <w:t>, with conflicting results reported</w:t>
      </w:r>
      <w:r w:rsidR="00FD7BAF" w:rsidRPr="004F6EAB">
        <w:rPr>
          <w:rFonts w:ascii="Times New Roman" w:hAnsi="Times New Roman" w:cs="Times New Roman"/>
          <w:sz w:val="24"/>
          <w:szCs w:val="24"/>
        </w:rPr>
        <w:t xml:space="preserve"> </w:t>
      </w:r>
      <w:bookmarkEnd w:id="11"/>
      <w:r w:rsidR="00FD7BAF"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{"citationItems":[{"id":"ITEM-1","itemData":{"DOI":"10.3945/JN.115.225581","ISSN":"1541-6100","PMID":"26936137","abstract":"BACKGROUND Inflammation during pregnancy has been linked to adverse maternal and infant outcomes. There is limited information available on the contribution of maternal diet to systemic inflammation and pregnancy health. OBJECTIVE The objective of this study was to examine associations of maternal prenatal dietary inflammatory index (DII), a composite measure of the inflammatory potential of diet, with markers of maternal systemic inflammation and pregnancy outcomes. METHODS We studied 1808 mother-child pairs from Project Viva, a pre-birth cohort study in Massachusetts. We calculated the DII from first- and second-trimester food-frequency questionnaires by standardizing the dietary intakes of participants to global means, which were multiplied by the inflammatory effect score and summed. We examined associations of DII with maternal plasma C-reactive protein and white blood cell count in the second trimester and the following perinatal outcomes: gestational diabetes, preeclampsia, length of gestation, fetal growth, mode of delivery, and duration of breastfeeding. We used multivariable linear and logistic regression models to analyze the strength of these associations. RESULTS Maternal age was (mean ± SD) 32.2 ± 5.0 y, prepregnancy body mass index (BMI; in kg/m(2)) was 24.9 ± 5.2, and DII was -2.56 ± 1.42 units with a range of -5.4 to 3.7. DII was positively correlated with prepregnancy BMI (Pearson'sr= 0.13,P&lt; 0.0001). Higher DII scores, reflecting more proinflammatory dietary potential, were associated with higher second-trimester plasma CRP (β: 0.08 mg/L per 1-unit increase in maternal DII; 95% CI: 0.02, 0.14) and lower birth weight for gestational agezscore in infants born to obese mothers (β: -0.10zscore per 1-unit increase in maternal DII; 95% CI: -0.18, -0.02). Higher DII scores were associated with lower odds of breastfeeding for at least 1 mo (OR = 0.85; 95% CI: 0.74, 0.98). CONCLUSION A proinflammatory diet during pregnancy is associated with maternal systemic inflammation and may be associated with impaired fetal growth and breastfeeding failure.","author":[{"dropping-particle":"","family":"Sen","given":"Sarbattama","non-dropping-particle":"","parse-names":false,"suffix":""},{"dropping-particle":"","family":"Rifas-Shiman","given":"Sheryl L","non-dropping-particle":"","parse-names":false,"suffix":""},{"dropping-particle":"","family":"Shivappa","given":"Nitin","non-dropping-particle":"","parse-names":false,"suffix":""},{"dropping-particle":"","family":"Wirth","given":"Michael D","non-dropping-particle":"","parse-names":false,"suffix":""},{"dropping-particle":"","family":"Hébert","given":"James R","non-dropping-particle":"","parse-names":false,"suffix":""},{"dropping-particle":"","family":"Gold","given":"Diane R","non-dropping-particle":"","parse-names":false,"suffix":""},{"dropping-particle":"","family":"Gillman","given":"Matthew W","non-dropping-particle":"","parse-names":false,"suffix":""},{"dropping-particle":"","family":"Oken","given":"Emily","non-dropping-particle":"","parse-names":false,"suffix":""}],"container-title":"The Journal of Nutrition","id":"ITEM-1","issue":"4","issued":{"date-parts":[["2016"]]},"page":"728","publisher":"American Society for Nutrition","title":"Dietary Inflammatory Potential during Pregnancy Is Associated with Lower Fetal Growth and Breastfeeding Failure: Results from Project Viva","type":"article-journal","volume":"146"},"uris":["http://www.mendeley.com/documents/?uuid=05188dff-247f-35bb-8a1b-a2950b754f28"]},{"id":"ITEM-2","itemData":{"DOI":"10.1016/j.jpeds.2017.10.030","ISSN":"1097-6833","PMID":"29217099","abstract":"OBJECTIVE To evaluate the association between dietary inflammatory index (DII) scores during pregnancy and neonatal adiposity. STUDY DESIGN The analysis included 1078 mother-neonate pairs in Healthy Start, a prospective prebirth cohort. Diet was assessed using repeated 24-hour dietary recalls. DII scores were obtained by summing nutrient intakes, which were standardized to global means and multiplied by inflammatory effect scores. Air displacement plethysmography measured fat mass and fat-free mass within 72 hours of birth. Linear and logistic models evaluated the associations of DII scores with birth weight, fat mass, fat-free mass, and percent fat mass, and with categorical outcomes of small- and large-for-gestational age. We tested for interactions with prepregnancy BMI and gestational weight gain. RESULTS The interaction between prepregnancy BMI and DII was statistically significant for birth weight, neonatal fat mass, and neonatal percent fat mass. Among neonates born to obese women, each 1-unit increase in DII was associated with increased birth weight (53 g; 95% CI, 20, 87), fat mass (20 g; 95% CI, 7-33), and percent fat mass (0.5%; 95% CI, 0.2-0.8). No interaction was detected for small- and large-for-gestational age. Each 1-unit increase in DII score was associated a 40% increase in odds of a large-for-gestational age neonate (1.4; 95% CI, 1.0-2.0; P = .04), but not a small-for-gestational age neonate (1.0; 95% CI, 0.8-1.2; P = .80). There was no evidence of an interaction with gestational weight gain. CONCLUSIONS Our findings support the hypothesis that an increased inflammatory milieu during pregnancy may be a risk factor for neonatal adiposity. TRIAL REGISTRATION Clinicaltrials.gov: NCT02273297.","author":[{"dropping-particle":"","family":"Moore","given":"Brianna F","non-dropping-particle":"","parse-names":false,"suffix":""},{"dropping-particle":"","family":"Sauder","given":"Katherine A","non-dropping-particle":"","parse-names":false,"suffix":""},{"dropping-particle":"","family":"Starling","given":"Anne P","non-dropping-particle":"","parse-names":false,"suffix":""},{"dropping-particle":"","family":"Hébert","given":"James R","non-dropping-particle":"","parse-names":false,"suffix":""},{"dropping-particle":"","family":"Shivappa","given":"Nitin","non-dropping-particle":"","parse-names":false,"suffix":""},{"dropping-particle":"","family":"Ringham","given":"Brandy M","non-dropping-particle":"","parse-names":false,"suffix":""},{"dropping-particle":"","family":"Glueck","given":"Deborah H","non-dropping-particle":"","parse-names":false,"suffix":""},{"dropping-particle":"","family":"Dabelea","given":"Dana","non-dropping-particle":"","parse-names":false,"suffix":""}],"container-title":"The Journal of pediatrics","id":"ITEM-2","issued":{"date-parts":[["2018"]]},"page":"121-127.e2","publisher":"NIH Public Access","title":"Proinflammatory Diets during Pregnancy and Neonatal Adiposity in the Healthy Start Study.","type":"article-journal","volume":"195"},"uris":["http://www.mendeley.com/documents/?uuid=3fe6557e-e5d3-306a-a890-d57fcb75c4f8"]},{"id":"ITEM-3","itemData":{"DOI":"10.1080/15592294.2017.1347241","ISSN":"1559-2308","PMID":"28678596","abstract":"Excessive inflammation during pregnancy alters homeostatic mechanisms of the developing fetus and has been linked to adverse pregnancy outcomes. An anti-inflammatory diet could be a promising avenue to combat the pro-inflammatory state of pregnancy, particularly in obese women, but we lack mechanistic data linking this dietary pattern during pregnancy to inflammation and birth outcomes. In an ethnically diverse cohort of 1057 mother-child pairs, we estimated the relationships between dietary inflammatory potential [measured via the energy-adjusted dietary inflammatory index (E-DII™)] and birth outcomes overall, as well as by offspring sex and maternal pre-pregnancy body mass index (BMI). In a subset of women, we also explored associations between E-DII, circulating cytokines (n = 105), and offspring methylation (n = 338) as potential modulators of these relationships using linear regression. Adjusted regression models revealed that women with pro-inflammatory diets had elevated rates of preterm birth among female offspring [β = -0.22, standard error (SE) = 0.07, P&lt;0.01], but not male offspring (β=0.09, SE = 0.06, P&lt;0.12) (Pinteraction = 0.003). Similarly, we observed pro-inflammatory diets were associated with higher rates of caesarean delivery among obese women (β = 0.17, SE = 0.08, P = 0.03), but not among women with BMI &lt;25 kg/m2 (Pinteraction = 0.02). We observed consistent inverse associations between maternal inflammatory cytokine concentrations (IL-12, IL-17, IL-4, IL-6, and TNFα) and lower methylation at the MEG3 regulatory sequence (P&lt;0.05); however, results did not support the link between maternal E-DII and circulating cytokines. We replicate work by others on the association between maternal inflammatory diet and adverse pregnancy outcomes and provide the first empirical evidence supporting the inverse association between circulating cytokine concentrations and offspring methylation.","author":[{"dropping-particle":"","family":"McCullough","given":"Lauren E","non-dropping-particle":"","parse-names":false,"suffix":""},{"dropping-particle":"","family":"Miller","given":"Erline E","non-dropping-particle":"","parse-names":false,"suffix":""},{"dropping-particle":"","family":"Calderwood","given":"Laura E","non-dropping-particle":"","parse-names":false,"suffix":""},{"dropping-particle":"","family":"Shivappa","given":"Nitin","non-dropping-particle":"","parse-names":false,"suffix":""},{"dropping-particle":"","family":"Steck","given":"Susan E","non-dropping-particle":"","parse-names":false,"suffix":""},{"dropping-particle":"","family":"Forman","given":"Michele R","non-dropping-particle":"","parse-names":false,"suffix":""},{"dropping-particle":"","family":"A Mendez","given":"Michelle","non-dropping-particle":"","parse-names":false,"suffix":""},{"dropping-particle":"","family":"Maguire","given":"Rachel","non-dropping-particle":"","parse-names":false,"suffix":""},{"dropping-particle":"","family":"Fuemmeler","given":"Bernard F","non-dropping-particle":"","parse-names":false,"suffix":""},{"dropping-particle":"","family":"Kollins","given":"Scott H","non-dropping-particle":"","parse-names":false,"suffix":""},{"dropping-particle":"","family":"D Bilbo","given":"Staci","non-dropping-particle":"","parse-names":false,"suffix":""},{"dropping-particle":"","family":"Huang","given":"Zhiqing","non-dropping-particle":"","parse-names":false,"suffix":""},{"dropping-particle":"","family":"Murtha","given":"Amy P","non-dropping-particle":"","parse-names":false,"suffix":""},{"dropping-particle":"","family":"Murphy","given":"Susan K","non-dropping-particle":"","parse-names":false,"suffix":""},{"dropping-particle":"","family":"Hébert","given":"James R","non-dropping-particle":"","parse-names":false,"suffix":""},{"dropping-particle":"","family":"Hoyo","given":"Cathrine","non-dropping-particle":"","parse-names":false,"suffix":""}],"container-title":"Epigenetics","id":"ITEM-3","issue":"8","issued":{"date-parts":[["2017"]]},"page":"688-697","publisher":"Taylor &amp; Francis","title":"Maternal inflammatory diet and adverse pregnancy outcomes: Circulating cytokines and genomic imprinting as potential regulators?","type":"article-journal","volume":"12"},"uris":["http://www.mendeley.com/documents/?uuid=bed97f33-2291-3b24-8263-9b1b56d53ee6"]}],"mendeley":{"formattedCitation":"[53–55]","plainTextFormattedCitation":"[53–55]","previouslyFormattedCitation":"[53–55]"},"properties":{"noteIndex":0},"schema":"https://github.com/citation-style-language/schema/raw/master/csl-citation.json"}</w:instrText>
      </w:r>
      <w:r w:rsidR="00FD7BAF"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[53–55]</w:t>
      </w:r>
      <w:r w:rsidR="00FD7BAF" w:rsidRPr="004F6EAB">
        <w:rPr>
          <w:rFonts w:ascii="Times New Roman" w:hAnsi="Times New Roman" w:cs="Times New Roman"/>
          <w:sz w:val="24"/>
          <w:szCs w:val="24"/>
        </w:rPr>
        <w:fldChar w:fldCharType="end"/>
      </w:r>
      <w:r w:rsidRPr="004F6EAB">
        <w:rPr>
          <w:rFonts w:ascii="Times New Roman" w:hAnsi="Times New Roman" w:cs="Times New Roman"/>
          <w:sz w:val="24"/>
          <w:szCs w:val="24"/>
        </w:rPr>
        <w:t xml:space="preserve">. </w:t>
      </w:r>
      <w:r w:rsidR="00F6735F" w:rsidRPr="004F6EAB">
        <w:rPr>
          <w:rFonts w:ascii="Times New Roman" w:hAnsi="Times New Roman" w:cs="Times New Roman"/>
          <w:sz w:val="24"/>
          <w:szCs w:val="24"/>
        </w:rPr>
        <w:t>In concordance with ou</w:t>
      </w:r>
      <w:r w:rsidR="005721DB" w:rsidRPr="004F6EAB">
        <w:rPr>
          <w:rFonts w:ascii="Times New Roman" w:hAnsi="Times New Roman" w:cs="Times New Roman"/>
          <w:sz w:val="24"/>
          <w:szCs w:val="24"/>
        </w:rPr>
        <w:t>r</w:t>
      </w:r>
      <w:r w:rsidR="00F6735F" w:rsidRPr="004F6EAB">
        <w:rPr>
          <w:rFonts w:ascii="Times New Roman" w:hAnsi="Times New Roman" w:cs="Times New Roman"/>
          <w:sz w:val="24"/>
          <w:szCs w:val="24"/>
        </w:rPr>
        <w:t xml:space="preserve"> results, a US study observed that higher maternal DII score during pregnancy was associated with lower birth weight and higher risk of SGA among obese women </w:t>
      </w:r>
      <w:r w:rsidR="00F6735F"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{"citationItems":[{"id":"ITEM-1","itemData":{"DOI":"10.3945/JN.115.225581","ISSN":"1541-6100","PMID":"26936137","abstract":"BACKGROUND Inflammation during pregnancy has been linked to adverse maternal and infant outcomes. There is limited information available on the contribution of maternal diet to systemic inflammation and pregnancy health. OBJECTIVE The objective of this study was to examine associations of maternal prenatal dietary inflammatory index (DII), a composite measure of the inflammatory potential of diet, with markers of maternal systemic inflammation and pregnancy outcomes. METHODS We studied 1808 mother-child pairs from Project Viva, a pre-birth cohort study in Massachusetts. We calculated the DII from first- and second-trimester food-frequency questionnaires by standardizing the dietary intakes of participants to global means, which were multiplied by the inflammatory effect score and summed. We examined associations of DII with maternal plasma C-reactive protein and white blood cell count in the second trimester and the following perinatal outcomes: gestational diabetes, preeclampsia, length of gestation, fetal growth, mode of delivery, and duration of breastfeeding. We used multivariable linear and logistic regression models to analyze the strength of these associations. RESULTS Maternal age was (mean ± SD) 32.2 ± 5.0 y, prepregnancy body mass index (BMI; in kg/m(2)) was 24.9 ± 5.2, and DII was -2.56 ± 1.42 units with a range of -5.4 to 3.7. DII was positively correlated with prepregnancy BMI (Pearson'sr= 0.13,P&lt; 0.0001). Higher DII scores, reflecting more proinflammatory dietary potential, were associated with higher second-trimester plasma CRP (β: 0.08 mg/L per 1-unit increase in maternal DII; 95% CI: 0.02, 0.14) and lower birth weight for gestational agezscore in infants born to obese mothers (β: -0.10zscore per 1-unit increase in maternal DII; 95% CI: -0.18, -0.02). Higher DII scores were associated with lower odds of breastfeeding for at least 1 mo (OR = 0.85; 95% CI: 0.74, 0.98). CONCLUSION A proinflammatory diet during pregnancy is associated with maternal systemic inflammation and may be associated with impaired fetal growth and breastfeeding failure.","author":[{"dropping-particle":"","family":"Sen","given":"Sarbattama","non-dropping-particle":"","parse-names":false,"suffix":""},{"dropping-particle":"","family":"Rifas-Shiman","given":"Sheryl L","non-dropping-particle":"","parse-names":false,"suffix":""},{"dropping-particle":"","family":"Shivappa","given":"Nitin","non-dropping-particle":"","parse-names":false,"suffix":""},{"dropping-particle":"","family":"Wirth","given":"Michael D","non-dropping-particle":"","parse-names":false,"suffix":""},{"dropping-particle":"","family":"Hébert","given":"James R","non-dropping-particle":"","parse-names":false,"suffix":""},{"dropping-particle":"","family":"Gold","given":"Diane R","non-dropping-particle":"","parse-names":false,"suffix":""},{"dropping-particle":"","family":"Gillman","given":"Matthew W","non-dropping-particle":"","parse-names":false,"suffix":""},{"dropping-particle":"","family":"Oken","given":"Emily","non-dropping-particle":"","parse-names":false,"suffix":""}],"container-title":"The Journal of Nutrition","id":"ITEM-1","issue":"4","issued":{"date-parts":[["2016"]]},"page":"728","publisher":"American Society for Nutrition","title":"Dietary Inflammatory Potential during Pregnancy Is Associated with Lower Fetal Growth and Breastfeeding Failure: Results from Project Viva","type":"article-journal","volume":"146"},"uris":["http://www.mendeley.com/documents/?uuid=05188dff-247f-35bb-8a1b-a2950b754f28"]}],"mendeley":{"formattedCitation":"[53]","plainTextFormattedCitation":"[53]","previouslyFormattedCitation":"[53]"},"properties":{"noteIndex":0},"schema":"https://github.com/citation-style-language/schema/raw/master/csl-citation.json"}</w:instrText>
      </w:r>
      <w:r w:rsidR="00F6735F"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[53]</w:t>
      </w:r>
      <w:r w:rsidR="00F6735F" w:rsidRPr="004F6EAB">
        <w:rPr>
          <w:rFonts w:ascii="Times New Roman" w:hAnsi="Times New Roman" w:cs="Times New Roman"/>
          <w:sz w:val="24"/>
          <w:szCs w:val="24"/>
        </w:rPr>
        <w:fldChar w:fldCharType="end"/>
      </w:r>
      <w:r w:rsidR="00F6735F" w:rsidRPr="004F6EAB">
        <w:rPr>
          <w:rFonts w:ascii="Times New Roman" w:hAnsi="Times New Roman" w:cs="Times New Roman"/>
          <w:sz w:val="24"/>
          <w:szCs w:val="24"/>
        </w:rPr>
        <w:t xml:space="preserve">, but no associations were apparent for gestational-age related outcomes. In contrast, </w:t>
      </w:r>
      <w:r w:rsidR="001137AD" w:rsidRPr="004F6EAB">
        <w:rPr>
          <w:rFonts w:ascii="Times New Roman" w:hAnsi="Times New Roman" w:cs="Times New Roman"/>
          <w:sz w:val="24"/>
          <w:szCs w:val="24"/>
        </w:rPr>
        <w:t>an</w:t>
      </w:r>
      <w:r w:rsidR="00F6735F" w:rsidRPr="004F6EAB">
        <w:rPr>
          <w:rFonts w:ascii="Times New Roman" w:hAnsi="Times New Roman" w:cs="Times New Roman"/>
          <w:sz w:val="24"/>
          <w:szCs w:val="24"/>
        </w:rPr>
        <w:t xml:space="preserve">other US </w:t>
      </w:r>
      <w:r w:rsidR="001137AD" w:rsidRPr="004F6EAB">
        <w:rPr>
          <w:rFonts w:ascii="Times New Roman" w:hAnsi="Times New Roman" w:cs="Times New Roman"/>
          <w:sz w:val="24"/>
          <w:szCs w:val="24"/>
        </w:rPr>
        <w:t>study</w:t>
      </w:r>
      <w:r w:rsidR="00F6735F" w:rsidRPr="004F6EAB">
        <w:rPr>
          <w:rFonts w:ascii="Times New Roman" w:hAnsi="Times New Roman" w:cs="Times New Roman"/>
          <w:sz w:val="24"/>
          <w:szCs w:val="24"/>
        </w:rPr>
        <w:t xml:space="preserve"> reported </w:t>
      </w:r>
      <w:r w:rsidR="001137AD" w:rsidRPr="004F6EAB">
        <w:rPr>
          <w:rFonts w:ascii="Times New Roman" w:hAnsi="Times New Roman" w:cs="Times New Roman"/>
          <w:sz w:val="24"/>
          <w:szCs w:val="24"/>
        </w:rPr>
        <w:t xml:space="preserve">higher offspring birth weight and </w:t>
      </w:r>
      <w:r w:rsidR="005171E5" w:rsidRPr="004F6EAB">
        <w:rPr>
          <w:rFonts w:ascii="Times New Roman" w:hAnsi="Times New Roman" w:cs="Times New Roman"/>
          <w:sz w:val="24"/>
          <w:szCs w:val="24"/>
        </w:rPr>
        <w:t xml:space="preserve">a </w:t>
      </w:r>
      <w:r w:rsidR="001137AD" w:rsidRPr="004F6EAB">
        <w:rPr>
          <w:rFonts w:ascii="Times New Roman" w:hAnsi="Times New Roman" w:cs="Times New Roman"/>
          <w:sz w:val="24"/>
          <w:szCs w:val="24"/>
        </w:rPr>
        <w:t xml:space="preserve">higher risk of LGA (but not SGA) with </w:t>
      </w:r>
      <w:r w:rsidR="005171E5" w:rsidRPr="004F6EAB">
        <w:rPr>
          <w:rFonts w:ascii="Times New Roman" w:hAnsi="Times New Roman" w:cs="Times New Roman"/>
          <w:sz w:val="24"/>
          <w:szCs w:val="24"/>
        </w:rPr>
        <w:t>a</w:t>
      </w:r>
      <w:r w:rsidR="001137AD" w:rsidRPr="004F6EAB">
        <w:rPr>
          <w:rFonts w:ascii="Times New Roman" w:hAnsi="Times New Roman" w:cs="Times New Roman"/>
          <w:sz w:val="24"/>
          <w:szCs w:val="24"/>
        </w:rPr>
        <w:t xml:space="preserve"> higher maternal DII score</w:t>
      </w:r>
      <w:r w:rsidR="00B42A6D" w:rsidRPr="004F6EAB">
        <w:rPr>
          <w:rFonts w:ascii="Times New Roman" w:hAnsi="Times New Roman" w:cs="Times New Roman"/>
          <w:sz w:val="24"/>
          <w:szCs w:val="24"/>
        </w:rPr>
        <w:t xml:space="preserve"> </w:t>
      </w:r>
      <w:r w:rsidR="00B42A6D"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{"citationItems":[{"id":"ITEM-1","itemData":{"DOI":"10.1016/j.jpeds.2017.10.030","ISSN":"1097-6833","PMID":"29217099","abstract":"OBJECTIVE To evaluate the association between dietary inflammatory index (DII) scores during pregnancy and neonatal adiposity. STUDY DESIGN The analysis included 1078 mother-neonate pairs in Healthy Start, a prospective prebirth cohort. Diet was assessed using repeated 24-hour dietary recalls. DII scores were obtained by summing nutrient intakes, which were standardized to global means and multiplied by inflammatory effect scores. Air displacement plethysmography measured fat mass and fat-free mass within 72 hours of birth. Linear and logistic models evaluated the associations of DII scores with birth weight, fat mass, fat-free mass, and percent fat mass, and with categorical outcomes of small- and large-for-gestational age. We tested for interactions with prepregnancy BMI and gestational weight gain. RESULTS The interaction between prepregnancy BMI and DII was statistically significant for birth weight, neonatal fat mass, and neonatal percent fat mass. Among neonates born to obese women, each 1-unit increase in DII was associated with increased birth weight (53 g; 95% CI, 20, 87), fat mass (20 g; 95% CI, 7-33), and percent fat mass (0.5%; 95% CI, 0.2-0.8). No interaction was detected for small- and large-for-gestational age. Each 1-unit increase in DII score was associated a 40% increase in odds of a large-for-gestational age neonate (1.4; 95% CI, 1.0-2.0; P = .04), but not a small-for-gestational age neonate (1.0; 95% CI, 0.8-1.2; P = .80). There was no evidence of an interaction with gestational weight gain. CONCLUSIONS Our findings support the hypothesis that an increased inflammatory milieu during pregnancy may be a risk factor for neonatal adiposity. TRIAL REGISTRATION Clinicaltrials.gov: NCT02273297.","author":[{"dropping-particle":"","family":"Moore","given":"Brianna F","non-dropping-particle":"","parse-names":false,"suffix":""},{"dropping-particle":"","family":"Sauder","given":"Katherine A","non-dropping-particle":"","parse-names":false,"suffix":""},{"dropping-particle":"","family":"Starling","given":"Anne P","non-dropping-particle":"","parse-names":false,"suffix":""},{"dropping-particle":"","family":"Hébert","given":"James R","non-dropping-particle":"","parse-names":false,"suffix":""},{"dropping-particle":"","family":"Shivappa","given":"Nitin","non-dropping-particle":"","parse-names":false,"suffix":""},{"dropping-particle":"","family":"Ringham","given":"Brandy M","non-dropping-particle":"","parse-names":false,"suffix":""},{"dropping-particle":"","family":"Glueck","given":"Deborah H","non-dropping-particle":"","parse-names":false,"suffix":""},{"dropping-particle":"","family":"Dabelea","given":"Dana","non-dropping-particle":"","parse-names":false,"suffix":""}],"container-title":"The Journal of pediatrics","id":"ITEM-1","issued":{"date-parts":[["2018"]]},"page":"121-127.e2","publisher":"NIH Public Access","title":"Proinflammatory Diets during Pregnancy and Neonatal Adiposity in the Healthy Start Study.","type":"article-journal","volume":"195"},"uris":["http://www.mendeley.com/documents/?uuid=3fe6557e-e5d3-306a-a890-d57fcb75c4f8"]}],"mendeley":{"formattedCitation":"[54]","plainTextFormattedCitation":"[54]","previouslyFormattedCitation":"[54]"},"properties":{"noteIndex":0},"schema":"https://github.com/citation-style-language/schema/raw/master/csl-citation.json"}</w:instrText>
      </w:r>
      <w:r w:rsidR="00B42A6D"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[54]</w:t>
      </w:r>
      <w:r w:rsidR="00B42A6D" w:rsidRPr="004F6EAB">
        <w:rPr>
          <w:rFonts w:ascii="Times New Roman" w:hAnsi="Times New Roman" w:cs="Times New Roman"/>
          <w:sz w:val="24"/>
          <w:szCs w:val="24"/>
        </w:rPr>
        <w:fldChar w:fldCharType="end"/>
      </w:r>
      <w:r w:rsidR="001137AD" w:rsidRPr="004F6EAB">
        <w:rPr>
          <w:rFonts w:ascii="Times New Roman" w:hAnsi="Times New Roman" w:cs="Times New Roman"/>
          <w:sz w:val="24"/>
          <w:szCs w:val="24"/>
        </w:rPr>
        <w:t>.</w:t>
      </w:r>
      <w:r w:rsidR="00B42A6D" w:rsidRPr="004F6EAB">
        <w:rPr>
          <w:rFonts w:ascii="Times New Roman" w:hAnsi="Times New Roman" w:cs="Times New Roman"/>
          <w:sz w:val="24"/>
          <w:szCs w:val="24"/>
        </w:rPr>
        <w:t xml:space="preserve"> </w:t>
      </w:r>
      <w:r w:rsidR="001137AD" w:rsidRPr="004F6EAB">
        <w:rPr>
          <w:rFonts w:ascii="Times New Roman" w:hAnsi="Times New Roman" w:cs="Times New Roman"/>
          <w:sz w:val="24"/>
          <w:szCs w:val="24"/>
        </w:rPr>
        <w:t xml:space="preserve">Yet, another US study with a large proportion of African-American observed no </w:t>
      </w:r>
      <w:r w:rsidR="001137AD" w:rsidRPr="004F6EAB">
        <w:rPr>
          <w:rFonts w:ascii="Times New Roman" w:hAnsi="Times New Roman" w:cs="Times New Roman"/>
          <w:sz w:val="24"/>
          <w:szCs w:val="24"/>
        </w:rPr>
        <w:lastRenderedPageBreak/>
        <w:t xml:space="preserve">association between maternal E-DII score and birth weight, SGA, and LGA </w:t>
      </w:r>
      <w:r w:rsidR="001137AD"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{"citationItems":[{"id":"ITEM-1","itemData":{"DOI":"10.1080/15592294.2017.1347241","ISSN":"1559-2308","PMID":"28678596","abstract":"Excessive inflammation during pregnancy alters homeostatic mechanisms of the developing fetus and has been linked to adverse pregnancy outcomes. An anti-inflammatory diet could be a promising avenue to combat the pro-inflammatory state of pregnancy, particularly in obese women, but we lack mechanistic data linking this dietary pattern during pregnancy to inflammation and birth outcomes. In an ethnically diverse cohort of 1057 mother-child pairs, we estimated the relationships between dietary inflammatory potential [measured via the energy-adjusted dietary inflammatory index (E-DII™)] and birth outcomes overall, as well as by offspring sex and maternal pre-pregnancy body mass index (BMI). In a subset of women, we also explored associations between E-DII, circulating cytokines (n = 105), and offspring methylation (n = 338) as potential modulators of these relationships using linear regression. Adjusted regression models revealed that women with pro-inflammatory diets had elevated rates of preterm birth among female offspring [β = -0.22, standard error (SE) = 0.07, P&lt;0.01], but not male offspring (β=0.09, SE = 0.06, P&lt;0.12) (Pinteraction = 0.003). Similarly, we observed pro-inflammatory diets were associated with higher rates of caesarean delivery among obese women (β = 0.17, SE = 0.08, P = 0.03), but not among women with BMI &lt;25 kg/m2 (Pinteraction = 0.02). We observed consistent inverse associations between maternal inflammatory cytokine concentrations (IL-12, IL-17, IL-4, IL-6, and TNFα) and lower methylation at the MEG3 regulatory sequence (P&lt;0.05); however, results did not support the link between maternal E-DII and circulating cytokines. We replicate work by others on the association between maternal inflammatory diet and adverse pregnancy outcomes and provide the first empirical evidence supporting the inverse association between circulating cytokine concentrations and offspring methylation.","author":[{"dropping-particle":"","family":"McCullough","given":"Lauren E","non-dropping-particle":"","parse-names":false,"suffix":""},{"dropping-particle":"","family":"Miller","given":"Erline E","non-dropping-particle":"","parse-names":false,"suffix":""},{"dropping-particle":"","family":"Calderwood","given":"Laura E","non-dropping-particle":"","parse-names":false,"suffix":""},{"dropping-particle":"","family":"Shivappa","given":"Nitin","non-dropping-particle":"","parse-names":false,"suffix":""},{"dropping-particle":"","family":"Steck","given":"Susan E","non-dropping-particle":"","parse-names":false,"suffix":""},{"dropping-particle":"","family":"Forman","given":"Michele R","non-dropping-particle":"","parse-names":false,"suffix":""},{"dropping-particle":"","family":"A Mendez","given":"Michelle","non-dropping-particle":"","parse-names":false,"suffix":""},{"dropping-particle":"","family":"Maguire","given":"Rachel","non-dropping-particle":"","parse-names":false,"suffix":""},{"dropping-particle":"","family":"Fuemmeler","given":"Bernard F","non-dropping-particle":"","parse-names":false,"suffix":""},{"dropping-particle":"","family":"Kollins","given":"Scott H","non-dropping-particle":"","parse-names":false,"suffix":""},{"dropping-particle":"","family":"D Bilbo","given":"Staci","non-dropping-particle":"","parse-names":false,"suffix":""},{"dropping-particle":"","family":"Huang","given":"Zhiqing","non-dropping-particle":"","parse-names":false,"suffix":""},{"dropping-particle":"","family":"Murtha","given":"Amy P","non-dropping-particle":"","parse-names":false,"suffix":""},{"dropping-particle":"","family":"Murphy","given":"Susan K","non-dropping-particle":"","parse-names":false,"suffix":""},{"dropping-particle":"","family":"Hébert","given":"James R","non-dropping-particle":"","parse-names":false,"suffix":""},{"dropping-particle":"","family":"Hoyo","given":"Cathrine","non-dropping-particle":"","parse-names":false,"suffix":""}],"container-title":"Epigenetics","id":"ITEM-1","issue":"8","issued":{"date-parts":[["2017"]]},"page":"688-697","publisher":"Taylor &amp; Francis","title":"Maternal inflammatory diet and adverse pregnancy outcomes: Circulating cytokines and genomic imprinting as potential regulators?","type":"article-journal","volume":"12"},"uris":["http://www.mendeley.com/documents/?uuid=bed97f33-2291-3b24-8263-9b1b56d53ee6"]}],"mendeley":{"formattedCitation":"[55]","plainTextFormattedCitation":"[55]","previouslyFormattedCitation":"[55]"},"properties":{"noteIndex":0},"schema":"https://github.com/citation-style-language/schema/raw/master/csl-citation.json"}</w:instrText>
      </w:r>
      <w:r w:rsidR="001137AD"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[55]</w:t>
      </w:r>
      <w:r w:rsidR="001137AD" w:rsidRPr="004F6EAB">
        <w:rPr>
          <w:rFonts w:ascii="Times New Roman" w:hAnsi="Times New Roman" w:cs="Times New Roman"/>
          <w:sz w:val="24"/>
          <w:szCs w:val="24"/>
        </w:rPr>
        <w:fldChar w:fldCharType="end"/>
      </w:r>
      <w:r w:rsidR="001137AD" w:rsidRPr="004F6EAB">
        <w:rPr>
          <w:rFonts w:ascii="Times New Roman" w:hAnsi="Times New Roman" w:cs="Times New Roman"/>
          <w:sz w:val="24"/>
          <w:szCs w:val="24"/>
        </w:rPr>
        <w:t xml:space="preserve">. These discrepancies in results could be potentially attributed to different ethnic composition, use of either DII and E-DII, and </w:t>
      </w:r>
      <w:r w:rsidR="00875B1F" w:rsidRPr="004F6EAB">
        <w:rPr>
          <w:rFonts w:ascii="Times New Roman" w:hAnsi="Times New Roman" w:cs="Times New Roman"/>
          <w:sz w:val="24"/>
          <w:szCs w:val="24"/>
        </w:rPr>
        <w:t xml:space="preserve">different population </w:t>
      </w:r>
      <w:r w:rsidR="00AC5CD8" w:rsidRPr="004F6EAB">
        <w:rPr>
          <w:rFonts w:ascii="Times New Roman" w:hAnsi="Times New Roman" w:cs="Times New Roman"/>
          <w:sz w:val="24"/>
          <w:szCs w:val="24"/>
        </w:rPr>
        <w:t>baseline</w:t>
      </w:r>
      <w:r w:rsidR="00875B1F" w:rsidRPr="004F6EAB">
        <w:rPr>
          <w:rFonts w:ascii="Times New Roman" w:hAnsi="Times New Roman" w:cs="Times New Roman"/>
          <w:sz w:val="24"/>
          <w:szCs w:val="24"/>
        </w:rPr>
        <w:t xml:space="preserve"> dietary inflammatory potential. </w:t>
      </w:r>
      <w:bookmarkStart w:id="12" w:name="_Hlk20868855"/>
      <w:r w:rsidR="00B42A6D" w:rsidRPr="004F6EAB">
        <w:rPr>
          <w:rFonts w:ascii="Times New Roman" w:hAnsi="Times New Roman" w:cs="Times New Roman"/>
          <w:sz w:val="24"/>
          <w:szCs w:val="24"/>
        </w:rPr>
        <w:t xml:space="preserve">To </w:t>
      </w:r>
      <w:r w:rsidR="00F015FB" w:rsidRPr="004F6EAB">
        <w:rPr>
          <w:rFonts w:ascii="Times New Roman" w:hAnsi="Times New Roman" w:cs="Times New Roman"/>
          <w:sz w:val="24"/>
          <w:szCs w:val="24"/>
        </w:rPr>
        <w:t xml:space="preserve">the best of </w:t>
      </w:r>
      <w:r w:rsidR="00B42A6D" w:rsidRPr="004F6EAB">
        <w:rPr>
          <w:rFonts w:ascii="Times New Roman" w:hAnsi="Times New Roman" w:cs="Times New Roman"/>
          <w:sz w:val="24"/>
          <w:szCs w:val="24"/>
        </w:rPr>
        <w:t>our knowledge, our study is the first</w:t>
      </w:r>
      <w:r w:rsidR="00F015FB" w:rsidRPr="004F6EAB">
        <w:rPr>
          <w:rFonts w:ascii="Times New Roman" w:hAnsi="Times New Roman" w:cs="Times New Roman"/>
          <w:sz w:val="24"/>
          <w:szCs w:val="24"/>
        </w:rPr>
        <w:t xml:space="preserve"> to show an</w:t>
      </w:r>
      <w:r w:rsidR="00B42A6D" w:rsidRPr="004F6EAB">
        <w:rPr>
          <w:rFonts w:ascii="Times New Roman" w:hAnsi="Times New Roman" w:cs="Times New Roman"/>
          <w:sz w:val="24"/>
          <w:szCs w:val="24"/>
        </w:rPr>
        <w:t xml:space="preserve"> association between pre-pregnancy dietary inflammatory potential and </w:t>
      </w:r>
      <w:r w:rsidR="00F55EC2" w:rsidRPr="004F6EAB">
        <w:rPr>
          <w:rFonts w:ascii="Times New Roman" w:hAnsi="Times New Roman" w:cs="Times New Roman"/>
          <w:sz w:val="24"/>
          <w:szCs w:val="24"/>
        </w:rPr>
        <w:t>smaller birth sizes</w:t>
      </w:r>
      <w:r w:rsidR="00B42A6D" w:rsidRPr="004F6EAB">
        <w:rPr>
          <w:rFonts w:ascii="Times New Roman" w:hAnsi="Times New Roman" w:cs="Times New Roman"/>
          <w:sz w:val="24"/>
          <w:szCs w:val="24"/>
        </w:rPr>
        <w:t>,</w:t>
      </w:r>
      <w:r w:rsidR="00671A43" w:rsidRPr="004F6EAB">
        <w:rPr>
          <w:rFonts w:ascii="Times New Roman" w:hAnsi="Times New Roman" w:cs="Times New Roman"/>
          <w:sz w:val="24"/>
          <w:szCs w:val="24"/>
        </w:rPr>
        <w:t xml:space="preserve"> </w:t>
      </w:r>
      <w:r w:rsidR="00B42A6D" w:rsidRPr="004F6EAB">
        <w:rPr>
          <w:rFonts w:ascii="Times New Roman" w:hAnsi="Times New Roman" w:cs="Times New Roman"/>
          <w:sz w:val="24"/>
          <w:szCs w:val="24"/>
        </w:rPr>
        <w:t>highlighting the importance of extending dietary advice</w:t>
      </w:r>
      <w:r w:rsidR="00F015FB" w:rsidRPr="004F6EAB">
        <w:rPr>
          <w:rFonts w:ascii="Times New Roman" w:hAnsi="Times New Roman" w:cs="Times New Roman"/>
          <w:sz w:val="24"/>
          <w:szCs w:val="24"/>
        </w:rPr>
        <w:t xml:space="preserve"> issuance</w:t>
      </w:r>
      <w:r w:rsidR="00B42A6D" w:rsidRPr="004F6EAB">
        <w:rPr>
          <w:rFonts w:ascii="Times New Roman" w:hAnsi="Times New Roman" w:cs="Times New Roman"/>
          <w:sz w:val="24"/>
          <w:szCs w:val="24"/>
        </w:rPr>
        <w:t xml:space="preserve"> to the pre-pregnancy period. </w:t>
      </w:r>
    </w:p>
    <w:bookmarkEnd w:id="12"/>
    <w:p w14:paraId="4E6B28E9" w14:textId="35490E3D" w:rsidR="00283349" w:rsidRPr="004F6EAB" w:rsidRDefault="00D85BFB" w:rsidP="005E62D3">
      <w:pPr>
        <w:spacing w:line="480" w:lineRule="auto"/>
        <w:rPr>
          <w:rFonts w:ascii="Times New Roman" w:hAnsi="Times New Roman" w:cs="Times New Roman"/>
          <w:sz w:val="24"/>
          <w:szCs w:val="24"/>
          <w:shd w:val="clear" w:color="auto" w:fill="FFFFFF"/>
        </w:rPr>
      </w:pPr>
      <w:r w:rsidRPr="004F6EAB">
        <w:rPr>
          <w:rFonts w:ascii="Times New Roman" w:hAnsi="Times New Roman" w:cs="Times New Roman"/>
          <w:sz w:val="24"/>
          <w:szCs w:val="24"/>
          <w:shd w:val="clear" w:color="auto" w:fill="FFFFFF"/>
        </w:rPr>
        <w:t xml:space="preserve">We observed that child sex modifies the relationship between pre-pregnancy maternal dietary inflammatory potential with birth size. </w:t>
      </w:r>
      <w:r w:rsidR="006F18E5" w:rsidRPr="004F6EAB">
        <w:rPr>
          <w:rFonts w:ascii="Times New Roman" w:hAnsi="Times New Roman" w:cs="Times New Roman"/>
          <w:sz w:val="24"/>
          <w:szCs w:val="24"/>
          <w:shd w:val="clear" w:color="auto" w:fill="FFFFFF"/>
        </w:rPr>
        <w:t>The inflammatory environment induced by pregnancy likely differs according to stages of pregnancy</w:t>
      </w:r>
      <w:r w:rsidR="00AC5CD8" w:rsidRPr="004F6EAB">
        <w:rPr>
          <w:rFonts w:ascii="Times New Roman" w:hAnsi="Times New Roman" w:cs="Times New Roman"/>
          <w:sz w:val="24"/>
          <w:szCs w:val="24"/>
          <w:shd w:val="clear" w:color="auto" w:fill="FFFFFF"/>
        </w:rPr>
        <w:t xml:space="preserve">. </w:t>
      </w:r>
      <w:r w:rsidR="0099232C" w:rsidRPr="004F6EAB">
        <w:rPr>
          <w:rFonts w:ascii="Times New Roman" w:hAnsi="Times New Roman" w:cs="Times New Roman"/>
          <w:sz w:val="24"/>
          <w:szCs w:val="24"/>
          <w:shd w:val="clear" w:color="auto" w:fill="FFFFFF"/>
        </w:rPr>
        <w:t>The p</w:t>
      </w:r>
      <w:r w:rsidR="006E6B35" w:rsidRPr="004F6EAB">
        <w:rPr>
          <w:rFonts w:ascii="Times New Roman" w:hAnsi="Times New Roman" w:cs="Times New Roman"/>
          <w:sz w:val="24"/>
          <w:szCs w:val="24"/>
          <w:shd w:val="clear" w:color="auto" w:fill="FFFFFF"/>
        </w:rPr>
        <w:t>eri</w:t>
      </w:r>
      <w:r w:rsidR="00353669" w:rsidRPr="004F6EAB">
        <w:rPr>
          <w:rFonts w:ascii="Times New Roman" w:hAnsi="Times New Roman" w:cs="Times New Roman"/>
          <w:sz w:val="24"/>
          <w:szCs w:val="24"/>
          <w:shd w:val="clear" w:color="auto" w:fill="FFFFFF"/>
        </w:rPr>
        <w:t>-</w:t>
      </w:r>
      <w:r w:rsidR="006E6B35" w:rsidRPr="004F6EAB">
        <w:rPr>
          <w:rFonts w:ascii="Times New Roman" w:hAnsi="Times New Roman" w:cs="Times New Roman"/>
          <w:sz w:val="24"/>
          <w:szCs w:val="24"/>
          <w:shd w:val="clear" w:color="auto" w:fill="FFFFFF"/>
        </w:rPr>
        <w:t>conceptional phase</w:t>
      </w:r>
      <w:r w:rsidR="006F18E5" w:rsidRPr="004F6EAB">
        <w:rPr>
          <w:rFonts w:ascii="Times New Roman" w:hAnsi="Times New Roman" w:cs="Times New Roman"/>
          <w:sz w:val="24"/>
          <w:szCs w:val="24"/>
          <w:shd w:val="clear" w:color="auto" w:fill="FFFFFF"/>
        </w:rPr>
        <w:t xml:space="preserve">, characterized by implantation and placentation, can be considered </w:t>
      </w:r>
      <w:r w:rsidR="00CB165E" w:rsidRPr="004F6EAB">
        <w:rPr>
          <w:rFonts w:ascii="Times New Roman" w:hAnsi="Times New Roman" w:cs="Times New Roman"/>
          <w:sz w:val="24"/>
          <w:szCs w:val="24"/>
          <w:shd w:val="clear" w:color="auto" w:fill="FFFFFF"/>
        </w:rPr>
        <w:t xml:space="preserve">a </w:t>
      </w:r>
      <w:r w:rsidR="006F18E5" w:rsidRPr="004F6EAB">
        <w:rPr>
          <w:rFonts w:ascii="Times New Roman" w:hAnsi="Times New Roman" w:cs="Times New Roman"/>
          <w:sz w:val="24"/>
          <w:szCs w:val="24"/>
          <w:shd w:val="clear" w:color="auto" w:fill="FFFFFF"/>
        </w:rPr>
        <w:t>pro</w:t>
      </w:r>
      <w:r w:rsidR="00AC5CD8" w:rsidRPr="004F6EAB">
        <w:rPr>
          <w:rFonts w:ascii="Times New Roman" w:hAnsi="Times New Roman" w:cs="Times New Roman"/>
          <w:sz w:val="24"/>
          <w:szCs w:val="24"/>
          <w:shd w:val="clear" w:color="auto" w:fill="FFFFFF"/>
        </w:rPr>
        <w:t>-</w:t>
      </w:r>
      <w:r w:rsidR="006F18E5" w:rsidRPr="004F6EAB">
        <w:rPr>
          <w:rFonts w:ascii="Times New Roman" w:hAnsi="Times New Roman" w:cs="Times New Roman"/>
          <w:sz w:val="24"/>
          <w:szCs w:val="24"/>
          <w:shd w:val="clear" w:color="auto" w:fill="FFFFFF"/>
        </w:rPr>
        <w:t>inflammatory phase</w:t>
      </w:r>
      <w:r w:rsidR="00DD2C78" w:rsidRPr="004F6EAB">
        <w:rPr>
          <w:rFonts w:ascii="Times New Roman" w:hAnsi="Times New Roman" w:cs="Times New Roman"/>
          <w:sz w:val="24"/>
          <w:szCs w:val="24"/>
          <w:shd w:val="clear" w:color="auto" w:fill="FFFFFF"/>
        </w:rPr>
        <w:t xml:space="preserve"> </w:t>
      </w:r>
      <w:r w:rsidR="00DD2C78" w:rsidRPr="004F6EAB">
        <w:rPr>
          <w:rFonts w:ascii="Times New Roman" w:hAnsi="Times New Roman" w:cs="Times New Roman"/>
          <w:sz w:val="24"/>
          <w:szCs w:val="24"/>
          <w:shd w:val="clear" w:color="auto" w:fill="FFFFFF"/>
        </w:rPr>
        <w:fldChar w:fldCharType="begin" w:fldLock="1"/>
      </w:r>
      <w:r w:rsidR="005C1ADD">
        <w:rPr>
          <w:rFonts w:ascii="Times New Roman" w:hAnsi="Times New Roman" w:cs="Times New Roman"/>
          <w:sz w:val="24"/>
          <w:szCs w:val="24"/>
          <w:shd w:val="clear" w:color="auto" w:fill="FFFFFF"/>
        </w:rPr>
        <w:instrText>ADDIN CSL_CITATION {"citationItems":[{"id":"ITEM-1","itemData":{"DOI":"10.1111/j.1749-6632.2010.05938.x","ISSN":"1749-6632","PMID":"21401634","abstract":"The concept that pregnancy is associated with immune suppression has created a myth of pregnancy as a state of immunological weakness and, therefore, of increased susceptibility to infectious diseases. A challenging question is whether the maternal immune system is a friend or a foe of pregnancy. In this review, we discuss data associated to the role of the immune system during pregnancy. We propose a new paradigm in terms of the fetal-maternal immune interaction as well as the immunological response of the mother to microorganism. Our challenge is to better understand the immunology of pregnancy in order to deliver the appropriate treatment to patients with pregnancy complications as well as to determine public policies for the protection of pregnant women during pandemics.","author":[{"dropping-particle":"","family":"Mor","given":"Gil","non-dropping-particle":"","parse-names":false,"suffix":""},{"dropping-particle":"","family":"Cardenas","given":"Ingrid","non-dropping-particle":"","parse-names":false,"suffix":""},{"dropping-particle":"","family":"Abrahams","given":"Vikki","non-dropping-particle":"","parse-names":false,"suffix":""},{"dropping-particle":"","family":"Guller","given":"Seth","non-dropping-particle":"","parse-names":false,"suffix":""}],"container-title":"Annals of the New York Academy of Sciences","id":"ITEM-1","issue":"1","issued":{"date-parts":[["2011","3"]]},"page":"80-7","publisher":"NIH Public Access","title":"Inflammation and pregnancy: the role of the immune system at the implantation site.","type":"article-journal","volume":"1221"},"uris":["http://www.mendeley.com/documents/?uuid=786f2da7-a93d-30f3-95cf-2227cec8aa51"]}],"mendeley":{"formattedCitation":"[56]","plainTextFormattedCitation":"[56]","previouslyFormattedCitation":"[56]"},"properties":{"noteIndex":0},"schema":"https://github.com/citation-style-language/schema/raw/master/csl-citation.json"}</w:instrText>
      </w:r>
      <w:r w:rsidR="00DD2C78" w:rsidRPr="004F6EAB">
        <w:rPr>
          <w:rFonts w:ascii="Times New Roman" w:hAnsi="Times New Roman" w:cs="Times New Roman"/>
          <w:sz w:val="24"/>
          <w:szCs w:val="24"/>
          <w:shd w:val="clear" w:color="auto" w:fill="FFFFFF"/>
        </w:rPr>
        <w:fldChar w:fldCharType="separate"/>
      </w:r>
      <w:r w:rsidR="00AE282C" w:rsidRPr="00AE282C">
        <w:rPr>
          <w:rFonts w:ascii="Times New Roman" w:hAnsi="Times New Roman" w:cs="Times New Roman"/>
          <w:noProof/>
          <w:sz w:val="24"/>
          <w:szCs w:val="24"/>
          <w:shd w:val="clear" w:color="auto" w:fill="FFFFFF"/>
        </w:rPr>
        <w:t>[56]</w:t>
      </w:r>
      <w:r w:rsidR="00DD2C78" w:rsidRPr="004F6EAB">
        <w:rPr>
          <w:rFonts w:ascii="Times New Roman" w:hAnsi="Times New Roman" w:cs="Times New Roman"/>
          <w:sz w:val="24"/>
          <w:szCs w:val="24"/>
          <w:shd w:val="clear" w:color="auto" w:fill="FFFFFF"/>
        </w:rPr>
        <w:fldChar w:fldCharType="end"/>
      </w:r>
      <w:r w:rsidR="00DD2C78" w:rsidRPr="004F6EAB">
        <w:rPr>
          <w:rFonts w:ascii="Times New Roman" w:hAnsi="Times New Roman" w:cs="Times New Roman"/>
          <w:sz w:val="24"/>
          <w:szCs w:val="24"/>
          <w:shd w:val="clear" w:color="auto" w:fill="FFFFFF"/>
        </w:rPr>
        <w:t xml:space="preserve">. </w:t>
      </w:r>
      <w:r w:rsidR="00521966" w:rsidRPr="004F6EAB">
        <w:rPr>
          <w:rFonts w:ascii="Times New Roman" w:hAnsi="Times New Roman" w:cs="Times New Roman"/>
          <w:sz w:val="24"/>
          <w:szCs w:val="24"/>
          <w:shd w:val="clear" w:color="auto" w:fill="FFFFFF"/>
        </w:rPr>
        <w:t xml:space="preserve">It </w:t>
      </w:r>
      <w:r w:rsidR="00EF4CA5" w:rsidRPr="004F6EAB">
        <w:rPr>
          <w:rFonts w:ascii="Times New Roman" w:hAnsi="Times New Roman" w:cs="Times New Roman"/>
          <w:sz w:val="24"/>
          <w:szCs w:val="24"/>
          <w:shd w:val="clear" w:color="auto" w:fill="FFFFFF"/>
        </w:rPr>
        <w:t>also</w:t>
      </w:r>
      <w:r w:rsidR="00521966" w:rsidRPr="004F6EAB">
        <w:rPr>
          <w:rFonts w:ascii="Times New Roman" w:hAnsi="Times New Roman" w:cs="Times New Roman"/>
          <w:sz w:val="24"/>
          <w:szCs w:val="24"/>
          <w:shd w:val="clear" w:color="auto" w:fill="FFFFFF"/>
        </w:rPr>
        <w:t xml:space="preserve"> has been shown that </w:t>
      </w:r>
      <w:r w:rsidR="00CB165E" w:rsidRPr="004F6EAB">
        <w:rPr>
          <w:rFonts w:ascii="Times New Roman" w:hAnsi="Times New Roman" w:cs="Times New Roman"/>
          <w:sz w:val="24"/>
          <w:szCs w:val="24"/>
          <w:shd w:val="clear" w:color="auto" w:fill="FFFFFF"/>
        </w:rPr>
        <w:t xml:space="preserve">the </w:t>
      </w:r>
      <w:r w:rsidR="009C111D" w:rsidRPr="004F6EAB">
        <w:rPr>
          <w:rFonts w:ascii="Times New Roman" w:hAnsi="Times New Roman" w:cs="Times New Roman"/>
          <w:sz w:val="24"/>
          <w:szCs w:val="24"/>
          <w:shd w:val="clear" w:color="auto" w:fill="FFFFFF"/>
        </w:rPr>
        <w:t>male foetus induces a much more pro</w:t>
      </w:r>
      <w:r w:rsidR="00AC5CD8" w:rsidRPr="004F6EAB">
        <w:rPr>
          <w:rFonts w:ascii="Times New Roman" w:hAnsi="Times New Roman" w:cs="Times New Roman"/>
          <w:sz w:val="24"/>
          <w:szCs w:val="24"/>
          <w:shd w:val="clear" w:color="auto" w:fill="FFFFFF"/>
        </w:rPr>
        <w:t>-</w:t>
      </w:r>
      <w:r w:rsidR="009C111D" w:rsidRPr="004F6EAB">
        <w:rPr>
          <w:rFonts w:ascii="Times New Roman" w:hAnsi="Times New Roman" w:cs="Times New Roman"/>
          <w:sz w:val="24"/>
          <w:szCs w:val="24"/>
          <w:shd w:val="clear" w:color="auto" w:fill="FFFFFF"/>
        </w:rPr>
        <w:t>inflammatory immune mil</w:t>
      </w:r>
      <w:r w:rsidR="00ED4219" w:rsidRPr="004F6EAB">
        <w:rPr>
          <w:rFonts w:ascii="Times New Roman" w:hAnsi="Times New Roman" w:cs="Times New Roman"/>
          <w:sz w:val="24"/>
          <w:szCs w:val="24"/>
          <w:shd w:val="clear" w:color="auto" w:fill="FFFFFF"/>
        </w:rPr>
        <w:t>i</w:t>
      </w:r>
      <w:r w:rsidR="009C111D" w:rsidRPr="004F6EAB">
        <w:rPr>
          <w:rFonts w:ascii="Times New Roman" w:hAnsi="Times New Roman" w:cs="Times New Roman"/>
          <w:sz w:val="24"/>
          <w:szCs w:val="24"/>
          <w:shd w:val="clear" w:color="auto" w:fill="FFFFFF"/>
        </w:rPr>
        <w:t>eu</w:t>
      </w:r>
      <w:r w:rsidR="00A84A3B" w:rsidRPr="004F6EAB">
        <w:rPr>
          <w:rFonts w:ascii="Times New Roman" w:hAnsi="Times New Roman" w:cs="Times New Roman"/>
          <w:sz w:val="24"/>
          <w:szCs w:val="24"/>
          <w:shd w:val="clear" w:color="auto" w:fill="FFFFFF"/>
        </w:rPr>
        <w:t xml:space="preserve"> </w:t>
      </w:r>
      <w:r w:rsidR="009C111D" w:rsidRPr="004F6EAB">
        <w:rPr>
          <w:rFonts w:ascii="Times New Roman" w:hAnsi="Times New Roman" w:cs="Times New Roman"/>
          <w:sz w:val="24"/>
          <w:szCs w:val="24"/>
          <w:shd w:val="clear" w:color="auto" w:fill="FFFFFF"/>
        </w:rPr>
        <w:t xml:space="preserve">than </w:t>
      </w:r>
      <w:r w:rsidR="00CB165E" w:rsidRPr="004F6EAB">
        <w:rPr>
          <w:rFonts w:ascii="Times New Roman" w:hAnsi="Times New Roman" w:cs="Times New Roman"/>
          <w:sz w:val="24"/>
          <w:szCs w:val="24"/>
          <w:shd w:val="clear" w:color="auto" w:fill="FFFFFF"/>
        </w:rPr>
        <w:t xml:space="preserve">the </w:t>
      </w:r>
      <w:r w:rsidR="009C111D" w:rsidRPr="004F6EAB">
        <w:rPr>
          <w:rFonts w:ascii="Times New Roman" w:hAnsi="Times New Roman" w:cs="Times New Roman"/>
          <w:sz w:val="24"/>
          <w:szCs w:val="24"/>
          <w:shd w:val="clear" w:color="auto" w:fill="FFFFFF"/>
        </w:rPr>
        <w:t>female foetus at multiple time</w:t>
      </w:r>
      <w:r w:rsidR="00CB165E" w:rsidRPr="004F6EAB">
        <w:rPr>
          <w:rFonts w:ascii="Times New Roman" w:hAnsi="Times New Roman" w:cs="Times New Roman"/>
          <w:sz w:val="24"/>
          <w:szCs w:val="24"/>
          <w:shd w:val="clear" w:color="auto" w:fill="FFFFFF"/>
        </w:rPr>
        <w:t xml:space="preserve"> </w:t>
      </w:r>
      <w:r w:rsidR="009C111D" w:rsidRPr="004F6EAB">
        <w:rPr>
          <w:rFonts w:ascii="Times New Roman" w:hAnsi="Times New Roman" w:cs="Times New Roman"/>
          <w:sz w:val="24"/>
          <w:szCs w:val="24"/>
          <w:shd w:val="clear" w:color="auto" w:fill="FFFFFF"/>
        </w:rPr>
        <w:t xml:space="preserve">points during pregnancy </w:t>
      </w:r>
      <w:r w:rsidR="009C111D" w:rsidRPr="004F6EAB">
        <w:rPr>
          <w:rFonts w:ascii="Times New Roman" w:hAnsi="Times New Roman" w:cs="Times New Roman"/>
          <w:sz w:val="24"/>
          <w:szCs w:val="24"/>
          <w:shd w:val="clear" w:color="auto" w:fill="FFFFFF"/>
        </w:rPr>
        <w:fldChar w:fldCharType="begin" w:fldLock="1"/>
      </w:r>
      <w:r w:rsidR="005C1ADD">
        <w:rPr>
          <w:rFonts w:ascii="Times New Roman" w:hAnsi="Times New Roman" w:cs="Times New Roman"/>
          <w:sz w:val="24"/>
          <w:szCs w:val="24"/>
          <w:shd w:val="clear" w:color="auto" w:fill="FFFFFF"/>
        </w:rPr>
        <w:instrText>ADDIN CSL_CITATION {"citationItems":[{"id":"ITEM-1","itemData":{"DOI":"10.1111/aji.12303","ISSN":"1600-0897","PMID":"25091957","abstract":"PROBLEM Several pregnancy complications have disparities based on the sex of the fetus. It is unknown whether the sex of the fetus differentially alters the maternal immune milieu, potentially contributing to the observed differences. METHOD OF STUDY Using maternal plasma collected during 38 uncomplicated pregnancies (19 males, 19 females), we compared levels of cytokines, sex hormones, and angiogenic factors throughout gestation and postpartum. RESULTS Male fetal sex was associated with higher levels of proinflammatory cytokines (G-CSF, IL-12p70, IL-21, and IL-33) and angiogenic factors (PlGF and VEGF-A) compared with female fetal sex at multiple timepoints. Female fetal sex was associated with higher levels of regulatory cytokines (IL-5, IL-9, IL-17, and IL-25). IL-27 increased throughout pregnancy regardless of fetal sex. There was no fetal sex-based difference in analyte concentrations at the postpartum measurement. CONCLUSION Women carrying a male fetus exhibit a more proinflammatory/proangiogenic immune milieu than women carrying a female fetus.","author":[{"dropping-particle":"","family":"Enninga","given":"Elizabeth Ann L","non-dropping-particle":"","parse-names":false,"suffix":""},{"dropping-particle":"","family":"Nevala","given":"Wendy K","non-dropping-particle":"","parse-names":false,"suffix":""},{"dropping-particle":"","family":"Creedon","given":"Douglas J","non-dropping-particle":"","parse-names":false,"suffix":""},{"dropping-particle":"","family":"Markovic","given":"Svetomir N","non-dropping-particle":"","parse-names":false,"suffix":""},{"dropping-particle":"","family":"Holtan","given":"Shernan G","non-dropping-particle":"","parse-names":false,"suffix":""}],"container-title":"American journal of reproductive immunology (New York, N.Y. : 1989)","id":"ITEM-1","issue":"3","issued":{"date-parts":[["2015","3"]]},"page":"251-62","publisher":"Wiley-Blackwell","title":"Fetal sex-based differences in maternal hormones, angiogenic factors, and immune mediators during pregnancy and the postpartum period.","type":"article-journal","volume":"73"},"uris":["http://www.mendeley.com/documents/?uuid=8b0d66b8-10b6-3f71-b4c4-7b0c49c49604"]}],"mendeley":{"formattedCitation":"[57]","plainTextFormattedCitation":"[57]","previouslyFormattedCitation":"[57]"},"properties":{"noteIndex":0},"schema":"https://github.com/citation-style-language/schema/raw/master/csl-citation.json"}</w:instrText>
      </w:r>
      <w:r w:rsidR="009C111D" w:rsidRPr="004F6EAB">
        <w:rPr>
          <w:rFonts w:ascii="Times New Roman" w:hAnsi="Times New Roman" w:cs="Times New Roman"/>
          <w:sz w:val="24"/>
          <w:szCs w:val="24"/>
          <w:shd w:val="clear" w:color="auto" w:fill="FFFFFF"/>
        </w:rPr>
        <w:fldChar w:fldCharType="separate"/>
      </w:r>
      <w:r w:rsidR="00AE282C" w:rsidRPr="00AE282C">
        <w:rPr>
          <w:rFonts w:ascii="Times New Roman" w:hAnsi="Times New Roman" w:cs="Times New Roman"/>
          <w:noProof/>
          <w:sz w:val="24"/>
          <w:szCs w:val="24"/>
          <w:shd w:val="clear" w:color="auto" w:fill="FFFFFF"/>
        </w:rPr>
        <w:t>[57]</w:t>
      </w:r>
      <w:r w:rsidR="009C111D" w:rsidRPr="004F6EAB">
        <w:rPr>
          <w:rFonts w:ascii="Times New Roman" w:hAnsi="Times New Roman" w:cs="Times New Roman"/>
          <w:sz w:val="24"/>
          <w:szCs w:val="24"/>
          <w:shd w:val="clear" w:color="auto" w:fill="FFFFFF"/>
        </w:rPr>
        <w:fldChar w:fldCharType="end"/>
      </w:r>
      <w:r w:rsidR="009C111D" w:rsidRPr="004F6EAB">
        <w:rPr>
          <w:rFonts w:ascii="Times New Roman" w:hAnsi="Times New Roman" w:cs="Times New Roman"/>
          <w:sz w:val="24"/>
          <w:szCs w:val="24"/>
          <w:shd w:val="clear" w:color="auto" w:fill="FFFFFF"/>
        </w:rPr>
        <w:t>. Thus, the influence of a more pro</w:t>
      </w:r>
      <w:r w:rsidR="00AC5CD8" w:rsidRPr="004F6EAB">
        <w:rPr>
          <w:rFonts w:ascii="Times New Roman" w:hAnsi="Times New Roman" w:cs="Times New Roman"/>
          <w:sz w:val="24"/>
          <w:szCs w:val="24"/>
          <w:shd w:val="clear" w:color="auto" w:fill="FFFFFF"/>
        </w:rPr>
        <w:t>-</w:t>
      </w:r>
      <w:r w:rsidR="009C111D" w:rsidRPr="004F6EAB">
        <w:rPr>
          <w:rFonts w:ascii="Times New Roman" w:hAnsi="Times New Roman" w:cs="Times New Roman"/>
          <w:sz w:val="24"/>
          <w:szCs w:val="24"/>
          <w:shd w:val="clear" w:color="auto" w:fill="FFFFFF"/>
        </w:rPr>
        <w:t xml:space="preserve">inflammatory </w:t>
      </w:r>
      <w:r w:rsidR="00AC5CD8" w:rsidRPr="004F6EAB">
        <w:rPr>
          <w:rFonts w:ascii="Times New Roman" w:hAnsi="Times New Roman" w:cs="Times New Roman"/>
          <w:sz w:val="24"/>
          <w:szCs w:val="24"/>
          <w:shd w:val="clear" w:color="auto" w:fill="FFFFFF"/>
        </w:rPr>
        <w:t>peri</w:t>
      </w:r>
      <w:r w:rsidR="00353669" w:rsidRPr="004F6EAB">
        <w:rPr>
          <w:rFonts w:ascii="Times New Roman" w:hAnsi="Times New Roman" w:cs="Times New Roman"/>
          <w:sz w:val="24"/>
          <w:szCs w:val="24"/>
          <w:shd w:val="clear" w:color="auto" w:fill="FFFFFF"/>
        </w:rPr>
        <w:t>-</w:t>
      </w:r>
      <w:r w:rsidR="00AC5CD8" w:rsidRPr="004F6EAB">
        <w:rPr>
          <w:rFonts w:ascii="Times New Roman" w:hAnsi="Times New Roman" w:cs="Times New Roman"/>
          <w:sz w:val="24"/>
          <w:szCs w:val="24"/>
          <w:shd w:val="clear" w:color="auto" w:fill="FFFFFF"/>
        </w:rPr>
        <w:t>conceptional</w:t>
      </w:r>
      <w:r w:rsidR="009C111D" w:rsidRPr="004F6EAB">
        <w:rPr>
          <w:rFonts w:ascii="Times New Roman" w:hAnsi="Times New Roman" w:cs="Times New Roman"/>
          <w:sz w:val="24"/>
          <w:szCs w:val="24"/>
          <w:shd w:val="clear" w:color="auto" w:fill="FFFFFF"/>
        </w:rPr>
        <w:t xml:space="preserve"> diet might be compounded by the immune response induced by </w:t>
      </w:r>
      <w:r w:rsidR="00CB165E" w:rsidRPr="004F6EAB">
        <w:rPr>
          <w:rFonts w:ascii="Times New Roman" w:hAnsi="Times New Roman" w:cs="Times New Roman"/>
          <w:sz w:val="24"/>
          <w:szCs w:val="24"/>
          <w:shd w:val="clear" w:color="auto" w:fill="FFFFFF"/>
        </w:rPr>
        <w:t xml:space="preserve">the </w:t>
      </w:r>
      <w:r w:rsidR="009C111D" w:rsidRPr="004F6EAB">
        <w:rPr>
          <w:rFonts w:ascii="Times New Roman" w:hAnsi="Times New Roman" w:cs="Times New Roman"/>
          <w:sz w:val="24"/>
          <w:szCs w:val="24"/>
          <w:shd w:val="clear" w:color="auto" w:fill="FFFFFF"/>
        </w:rPr>
        <w:t xml:space="preserve">male foetus, resulting in </w:t>
      </w:r>
      <w:r w:rsidR="00AC5CD8" w:rsidRPr="004F6EAB">
        <w:rPr>
          <w:rFonts w:ascii="Times New Roman" w:hAnsi="Times New Roman" w:cs="Times New Roman"/>
          <w:sz w:val="24"/>
          <w:szCs w:val="24"/>
          <w:shd w:val="clear" w:color="auto" w:fill="FFFFFF"/>
        </w:rPr>
        <w:t xml:space="preserve">impaired </w:t>
      </w:r>
      <w:r w:rsidR="009C111D" w:rsidRPr="004F6EAB">
        <w:rPr>
          <w:rFonts w:ascii="Times New Roman" w:hAnsi="Times New Roman" w:cs="Times New Roman"/>
          <w:sz w:val="24"/>
          <w:szCs w:val="24"/>
          <w:shd w:val="clear" w:color="auto" w:fill="FFFFFF"/>
        </w:rPr>
        <w:t>foetal growth for mothers who habitually consumed a more pro</w:t>
      </w:r>
      <w:r w:rsidR="00AC5CD8" w:rsidRPr="004F6EAB">
        <w:rPr>
          <w:rFonts w:ascii="Times New Roman" w:hAnsi="Times New Roman" w:cs="Times New Roman"/>
          <w:sz w:val="24"/>
          <w:szCs w:val="24"/>
          <w:shd w:val="clear" w:color="auto" w:fill="FFFFFF"/>
        </w:rPr>
        <w:t>-</w:t>
      </w:r>
      <w:r w:rsidR="009C111D" w:rsidRPr="004F6EAB">
        <w:rPr>
          <w:rFonts w:ascii="Times New Roman" w:hAnsi="Times New Roman" w:cs="Times New Roman"/>
          <w:sz w:val="24"/>
          <w:szCs w:val="24"/>
          <w:shd w:val="clear" w:color="auto" w:fill="FFFFFF"/>
        </w:rPr>
        <w:t xml:space="preserve">inflammatory diet. </w:t>
      </w:r>
      <w:r w:rsidR="0043301D">
        <w:rPr>
          <w:rFonts w:ascii="Times New Roman" w:hAnsi="Times New Roman" w:cs="Times New Roman"/>
          <w:sz w:val="24"/>
          <w:szCs w:val="24"/>
        </w:rPr>
        <w:t xml:space="preserve">In a recent systematic review and meta-analysis on sexual dimorphism </w:t>
      </w:r>
      <w:r w:rsidR="0043301D" w:rsidRPr="00CE7646">
        <w:rPr>
          <w:rFonts w:ascii="Times New Roman" w:hAnsi="Times New Roman" w:cs="Times New Roman"/>
          <w:sz w:val="24"/>
          <w:szCs w:val="24"/>
        </w:rPr>
        <w:t>in maternal pregnancy complications</w:t>
      </w:r>
      <w:r w:rsidR="0043301D">
        <w:rPr>
          <w:rFonts w:ascii="Times New Roman" w:hAnsi="Times New Roman" w:cs="Times New Roman"/>
          <w:sz w:val="24"/>
          <w:szCs w:val="24"/>
        </w:rPr>
        <w:t xml:space="preserve">, the occurrence of most pregnancy complications, especially gestational diabetes and </w:t>
      </w:r>
      <w:r w:rsidR="0043301D" w:rsidRPr="00CE7646">
        <w:rPr>
          <w:rFonts w:ascii="Times New Roman" w:hAnsi="Times New Roman" w:cs="Times New Roman"/>
          <w:sz w:val="24"/>
          <w:szCs w:val="24"/>
        </w:rPr>
        <w:t>term pre-eclampsia</w:t>
      </w:r>
      <w:r w:rsidR="0043301D">
        <w:rPr>
          <w:rFonts w:ascii="Times New Roman" w:hAnsi="Times New Roman" w:cs="Times New Roman"/>
          <w:sz w:val="24"/>
          <w:szCs w:val="24"/>
        </w:rPr>
        <w:t>, was found to be higher among women bearing male offspring</w:t>
      </w:r>
      <w:r w:rsidR="00286EC0">
        <w:rPr>
          <w:rFonts w:ascii="Times New Roman" w:hAnsi="Times New Roman" w:cs="Times New Roman"/>
          <w:sz w:val="24"/>
          <w:szCs w:val="24"/>
        </w:rPr>
        <w:t xml:space="preserve"> </w:t>
      </w:r>
      <w:r w:rsidR="00286EC0">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{"citationItems":[{"id":"ITEM-1","itemData":{"DOI":"10.1186/s13293-020-00299-3","ISSN":"20426410","PMID":"32393396","abstract":"Background: Since the placenta also has a sex, fetal sex-specific differences in the occurrence of placenta-mediated complications could exist. Objective: To determine the association of fetal sex with multiple maternal pregnancy complications. Search strategy: Six electronic databases Ovid MEDLINE, EMBASE, Cochrane Central, Web-of-Science, PubMed, and Google Scholar were systematically searched to identify eligible studies. Reference lists of the included studies and contact with experts were also used for identification of studies. Selection criteria: Observational studies that assessed fetal sex and the presence of maternal pregnancy complications within singleton pregnancies. Data collection and analyses: Data were extracted by 2 independent reviewers using a predesigned data collection form. Main results: From 6522 original references, 74 studies were selected, including over 12,5 million women. Male fetal sex was associated with term pre-eclampsia (pooled OR 1.07 [95%CI 1.06 to 1.09]) and gestational diabetes (pooled OR 1.04 [1.02 to 1.07]). All other pregnancy complications (i.e., gestational hypertension, total pre-eclampsia, eclampsia, placental abruption, and post-partum hemorrhage) tended to be associated with male fetal sex, except for preterm pre-eclampsia, which was more associated with female fetal sex. Overall quality of the included studies was good. Between-study heterogeneity was high due to differences in study population and outcome definition. Conclusion: This meta-analysis suggests that the occurrence of pregnancy complications differ according to fetal sex with a higher cardiovascular and metabolic load for the mother in the presence of a male fetus. Funding: None.","author":[{"dropping-particle":"","family":"Broere-Brown","given":"Zoe A.","non-dropping-particle":"","parse-names":false,"suffix":""},{"dropping-particle":"","family":"Adank","given":"Maria C.","non-dropping-particle":"","parse-names":false,"suffix":""},{"dropping-particle":"","family":"Benschop","given":"Laura","non-dropping-particle":"","parse-names":false,"suffix":""},{"dropping-particle":"","family":"Tielemans","given":"Myrte","non-dropping-particle":"","parse-names":false,"suffix":""},{"dropping-particle":"","family":"Muka","given":"Taulant","non-dropping-particle":"","parse-names":false,"suffix":""},{"dropping-particle":"","family":"Gonçalves","given":"Romy","non-dropping-particle":"","parse-names":false,"suffix":""},{"dropping-particle":"","family":"Bramer","given":"Wichor M.","non-dropping-particle":"","parse-names":false,"suffix":""},{"dropping-particle":"","family":"Schoufour","given":"Josje D.","non-dropping-particle":"","parse-names":false,"suffix":""},{"dropping-particle":"","family":"Voortman","given":"Trudy","non-dropping-particle":"","parse-names":false,"suffix":""},{"dropping-particle":"","family":"Steegers","given":"Eric A.P.","non-dropping-particle":"","parse-names":false,"suffix":""},{"dropping-particle":"","family":"Franco","given":"Oscar H.","non-dropping-particle":"","parse-names":false,"suffix":""},{"dropping-particle":"","family":"Schalekamp-Timmermans","given":"Sarah","non-dropping-particle":"","parse-names":false,"suffix":""}],"container-title":"Biology of Sex Differences","id":"ITEM-1","issue":"1","issued":{"date-parts":[["2020","5","11"]]},"publisher":"BioMed Central Ltd.","title":"Fetal sex and maternal pregnancy outcomes: A systematic review and meta-analysis","type":"article","volume":"11"},"uris":["http://www.mendeley.com/documents/?uuid=48bb2146-9af8-3ea9-96ed-2657702ffd3f"]}],"mendeley":{"formattedCitation":"[58]","plainTextFormattedCitation":"[58]","previouslyFormattedCitation":"[58]"},"properties":{"noteIndex":0},"schema":"https://github.com/citation-style-language/schema/raw/master/csl-citation.json"}</w:instrText>
      </w:r>
      <w:r w:rsidR="00286EC0">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[58]</w:t>
      </w:r>
      <w:r w:rsidR="00286EC0">
        <w:rPr>
          <w:rFonts w:ascii="Times New Roman" w:hAnsi="Times New Roman" w:cs="Times New Roman"/>
          <w:sz w:val="24"/>
          <w:szCs w:val="24"/>
        </w:rPr>
        <w:fldChar w:fldCharType="end"/>
      </w:r>
      <w:r w:rsidR="0043301D">
        <w:rPr>
          <w:rFonts w:ascii="Times New Roman" w:hAnsi="Times New Roman" w:cs="Times New Roman"/>
          <w:sz w:val="24"/>
          <w:szCs w:val="24"/>
        </w:rPr>
        <w:t xml:space="preserve">. This could be due to a higher cardiovascular and </w:t>
      </w:r>
      <w:r w:rsidR="0043301D" w:rsidRPr="00C446A6">
        <w:rPr>
          <w:rFonts w:ascii="Times New Roman" w:hAnsi="Times New Roman" w:cs="Times New Roman"/>
          <w:sz w:val="24"/>
          <w:szCs w:val="24"/>
        </w:rPr>
        <w:t>metabolic load for t</w:t>
      </w:r>
      <w:r w:rsidR="0043301D">
        <w:rPr>
          <w:rFonts w:ascii="Times New Roman" w:hAnsi="Times New Roman" w:cs="Times New Roman"/>
          <w:sz w:val="24"/>
          <w:szCs w:val="24"/>
        </w:rPr>
        <w:t>he mother carrying male foetus</w:t>
      </w:r>
      <w:r w:rsidR="00286EC0">
        <w:rPr>
          <w:rFonts w:ascii="Times New Roman" w:hAnsi="Times New Roman" w:cs="Times New Roman"/>
          <w:sz w:val="24"/>
          <w:szCs w:val="24"/>
        </w:rPr>
        <w:t xml:space="preserve"> </w:t>
      </w:r>
      <w:r w:rsidR="00286EC0">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{"citationItems":[{"id":"ITEM-1","itemData":{"DOI":"10.1186/s13293-020-00299-3","ISSN":"20426410","PMID":"32393396","abstract":"Background: Since the placenta also has a sex, fetal sex-specific differences in the occurrence of placenta-mediated complications could exist. Objective: To determine the association of fetal sex with multiple maternal pregnancy complications. Search strategy: Six electronic databases Ovid MEDLINE, EMBASE, Cochrane Central, Web-of-Science, PubMed, and Google Scholar were systematically searched to identify eligible studies. Reference lists of the included studies and contact with experts were also used for identification of studies. Selection criteria: Observational studies that assessed fetal sex and the presence of maternal pregnancy complications within singleton pregnancies. Data collection and analyses: Data were extracted by 2 independent reviewers using a predesigned data collection form. Main results: From 6522 original references, 74 studies were selected, including over 12,5 million women. Male fetal sex was associated with term pre-eclampsia (pooled OR 1.07 [95%CI 1.06 to 1.09]) and gestational diabetes (pooled OR 1.04 [1.02 to 1.07]). All other pregnancy complications (i.e., gestational hypertension, total pre-eclampsia, eclampsia, placental abruption, and post-partum hemorrhage) tended to be associated with male fetal sex, except for preterm pre-eclampsia, which was more associated with female fetal sex. Overall quality of the included studies was good. Between-study heterogeneity was high due to differences in study population and outcome definition. Conclusion: This meta-analysis suggests that the occurrence of pregnancy complications differ according to fetal sex with a higher cardiovascular and metabolic load for the mother in the presence of a male fetus. Funding: None.","author":[{"dropping-particle":"","family":"Broere-Brown","given":"Zoe A.","non-dropping-particle":"","parse-names":false,"suffix":""},{"dropping-particle":"","family":"Adank","given":"Maria C.","non-dropping-particle":"","parse-names":false,"suffix":""},{"dropping-particle":"","family":"Benschop","given":"Laura","non-dropping-particle":"","parse-names":false,"suffix":""},{"dropping-particle":"","family":"Tielemans","given":"Myrte","non-dropping-particle":"","parse-names":false,"suffix":""},{"dropping-particle":"","family":"Muka","given":"Taulant","non-dropping-particle":"","parse-names":false,"suffix":""},{"dropping-particle":"","family":"Gonçalves","given":"Romy","non-dropping-particle":"","parse-names":false,"suffix":""},{"dropping-particle":"","family":"Bramer","given":"Wichor M.","non-dropping-particle":"","parse-names":false,"suffix":""},{"dropping-particle":"","family":"Schoufour","given":"Josje D.","non-dropping-particle":"","parse-names":false,"suffix":""},{"dropping-particle":"","family":"Voortman","given":"Trudy","non-dropping-particle":"","parse-names":false,"suffix":""},{"dropping-particle":"","family":"Steegers","given":"Eric A.P.","non-dropping-particle":"","parse-names":false,"suffix":""},{"dropping-particle":"","family":"Franco","given":"Oscar H.","non-dropping-particle":"","parse-names":false,"suffix":""},{"dropping-particle":"","family":"Schalekamp-Timmermans","given":"Sarah","non-dropping-particle":"","parse-names":false,"suffix":""}],"container-title":"Biology of Sex Differences","id":"ITEM-1","issue":"1","issued":{"date-parts":[["2020","5","11"]]},"publisher":"BioMed Central Ltd.","title":"Fetal sex and maternal pregnancy outcomes: A systematic review and meta-analysis","type":"article","volume":"11"},"uris":["http://www.mendeley.com/documents/?uuid=48bb2146-9af8-3ea9-96ed-2657702ffd3f"]}],"mendeley":{"formattedCitation":"[58]","plainTextFormattedCitation":"[58]","previouslyFormattedCitation":"[58]"},"properties":{"noteIndex":0},"schema":"https://github.com/citation-style-language/schema/raw/master/csl-citation.json"}</w:instrText>
      </w:r>
      <w:r w:rsidR="00286EC0">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[58]</w:t>
      </w:r>
      <w:r w:rsidR="00286EC0">
        <w:rPr>
          <w:rFonts w:ascii="Times New Roman" w:hAnsi="Times New Roman" w:cs="Times New Roman"/>
          <w:sz w:val="24"/>
          <w:szCs w:val="24"/>
        </w:rPr>
        <w:fldChar w:fldCharType="end"/>
      </w:r>
      <w:r w:rsidR="0043301D">
        <w:rPr>
          <w:rFonts w:ascii="Times New Roman" w:hAnsi="Times New Roman" w:cs="Times New Roman"/>
          <w:sz w:val="24"/>
          <w:szCs w:val="24"/>
        </w:rPr>
        <w:t>. In addition</w:t>
      </w:r>
      <w:r w:rsidR="0043301D" w:rsidRPr="00CE7646">
        <w:rPr>
          <w:rFonts w:ascii="Times New Roman" w:hAnsi="Times New Roman" w:cs="Times New Roman"/>
          <w:sz w:val="24"/>
          <w:szCs w:val="24"/>
        </w:rPr>
        <w:t xml:space="preserve">, </w:t>
      </w:r>
      <w:r w:rsidR="0043301D">
        <w:rPr>
          <w:rFonts w:ascii="Times New Roman" w:hAnsi="Times New Roman" w:cs="Times New Roman"/>
          <w:sz w:val="24"/>
          <w:szCs w:val="24"/>
        </w:rPr>
        <w:t>high maternal BMI and gestational diabetes, both related to adverse maternal metabolic health, has also been shown to be associated with higher risk of macrosomia only among male infants</w:t>
      </w:r>
      <w:r w:rsidR="00286EC0">
        <w:rPr>
          <w:rFonts w:ascii="Times New Roman" w:hAnsi="Times New Roman" w:cs="Times New Roman"/>
          <w:sz w:val="24"/>
          <w:szCs w:val="24"/>
        </w:rPr>
        <w:t xml:space="preserve"> </w:t>
      </w:r>
      <w:r w:rsidR="00286EC0">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{"citationItems":[{"id":"ITEM-1","itemData":{"DOI":"10.1136/jech.2008.074542","ISSN":"0143005X","PMID":"18718980","abstract":"Objective: To elucidate whether the risk of macrosomia, large for gestational age (LGA) and small for gestational age (SGA) is influenced by maternal body mass index and glucose tolerance differently in male and female fetuses. Methods: A population study was conducted in 16 general hospitals from the Spanish National Health Service that included 9270 consecutive women with singleton pregnancies and without a former diagnosis of diabetes mellitus who delivered 4793 male and 4477 female newborns. Logistic regression analyses were performed to predict the effect of body mass index (BMI) category and glucose tolerance on macrosomia, large for gestational age newborns (LGA) and small for gestational age newborns (SGA) Separate analyses according to foetal sex were carried out for each outcome. The results were adjusted for maternal age, gestational age and pregnancy-induced hypertension. Results: There were significant differences between males and females in the percentage of infants who had macrosomia, LGA or SGA. Maternal BMI category was positively associated with the risk of macrosomia and LGA in both male and female newborns. In addition, there was a negative association between maternal BMI and SGA that only reached significance in males. In contrast, gestational diabetes was only a predictor of macrosomia exclusively in male fetuses (OR 1.67, 95% CI 1.12 to 2.49) Conclusions: There is sexual dimorphism in the risk of abnormal birth weight attributed to maternal glucose tolerance status. A closer surveillance of foetal growth might be warranted in pregnant women with abnormal glucose tolerance carrying a male fetus.","author":[{"dropping-particle":"","family":"Ricart","given":"W.","non-dropping-particle":"","parse-names":false,"suffix":""},{"dropping-particle":"","family":"López","given":"J.","non-dropping-particle":"","parse-names":false,"suffix":""},{"dropping-particle":"","family":"Mozas","given":"J.","non-dropping-particle":"","parse-names":false,"suffix":""},{"dropping-particle":"","family":"Pericot","given":"A.","non-dropping-particle":"","parse-names":false,"suffix":""},{"dropping-particle":"","family":"Sancho","given":"M. A.","non-dropping-particle":"","parse-names":false,"suffix":""},{"dropping-particle":"","family":"González","given":"N.","non-dropping-particle":"","parse-names":false,"suffix":""},{"dropping-particle":"","family":"Balsells","given":"M.","non-dropping-particle":"","parse-names":false,"suffix":""},{"dropping-particle":"","family":"Luna","given":"R.","non-dropping-particle":"","parse-names":false,"suffix":""},{"dropping-particle":"","family":"Cortázar","given":"A.","non-dropping-particle":"","parse-names":false,"suffix":""},{"dropping-particle":"","family":"Navarro","given":"P.","non-dropping-particle":"","parse-names":false,"suffix":""},{"dropping-particle":"","family":"Ramírez","given":"O.","non-dropping-particle":"","parse-names":false,"suffix":""},{"dropping-particle":"","family":"Flández","given":"B.","non-dropping-particle":"","parse-names":false,"suffix":""},{"dropping-particle":"","family":"Pallardo","given":"L. F.","non-dropping-particle":"","parse-names":false,"suffix":""},{"dropping-particle":"","family":"Hernández","given":"A.","non-dropping-particle":"","parse-names":false,"suffix":""},{"dropping-particle":"","family":"Ampudia","given":"J.","non-dropping-particle":"","parse-names":false,"suffix":""},{"dropping-particle":"","family":"Fernández-Real","given":"J. M.","non-dropping-particle":"","parse-names":false,"suffix":""},{"dropping-particle":"","family":"Hernández-Aguado","given":"I.","non-dropping-particle":"","parse-names":false,"suffix":""},{"dropping-particle":"","family":"Corcoy","given":"R.","non-dropping-particle":"","parse-names":false,"suffix":""}],"container-title":"Journal of Epidemiology and Community Health","id":"ITEM-1","issue":"1","issued":{"date-parts":[["2009","1"]]},"page":"64-68","publisher":"J Epidemiol Community Health","title":"Maternal glucose tolerance status influences the risk of macrosomia in male but not in female fetuses","type":"article-journal","volume":"63"},"uris":["http://www.mendeley.com/documents/?uuid=b4fef67e-261f-3807-82c1-731f155db989"]}],"mendeley":{"formattedCitation":"[59]","plainTextFormattedCitation":"[59]","previouslyFormattedCitation":"[59]"},"properties":{"noteIndex":0},"schema":"https://github.com/citation-style-language/schema/raw/master/csl-citation.json"}</w:instrText>
      </w:r>
      <w:r w:rsidR="00286EC0">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[59]</w:t>
      </w:r>
      <w:r w:rsidR="00286EC0">
        <w:rPr>
          <w:rFonts w:ascii="Times New Roman" w:hAnsi="Times New Roman" w:cs="Times New Roman"/>
          <w:sz w:val="24"/>
          <w:szCs w:val="24"/>
        </w:rPr>
        <w:fldChar w:fldCharType="end"/>
      </w:r>
      <w:r w:rsidR="0043301D">
        <w:rPr>
          <w:rFonts w:ascii="Times New Roman" w:hAnsi="Times New Roman" w:cs="Times New Roman"/>
          <w:sz w:val="24"/>
          <w:szCs w:val="24"/>
        </w:rPr>
        <w:t>. Taken together and pending confirmation in future mechanistic studies, observations from our and other studies that a pro-inflammatory diet and suboptimal maternal metabolic health may negatively affect male foetus more prominently could highlight the ne</w:t>
      </w:r>
      <w:r w:rsidR="00D022D9">
        <w:rPr>
          <w:rFonts w:ascii="Times New Roman" w:hAnsi="Times New Roman" w:cs="Times New Roman"/>
          <w:sz w:val="24"/>
          <w:szCs w:val="24"/>
        </w:rPr>
        <w:t>ed</w:t>
      </w:r>
      <w:r w:rsidR="0043301D">
        <w:rPr>
          <w:rFonts w:ascii="Times New Roman" w:hAnsi="Times New Roman" w:cs="Times New Roman"/>
          <w:sz w:val="24"/>
          <w:szCs w:val="24"/>
        </w:rPr>
        <w:t xml:space="preserve"> to intensify efforts to reduce dietary inflammatory potential among women bearing </w:t>
      </w:r>
      <w:r w:rsidR="00D022D9">
        <w:rPr>
          <w:rFonts w:ascii="Times New Roman" w:hAnsi="Times New Roman" w:cs="Times New Roman"/>
          <w:sz w:val="24"/>
          <w:szCs w:val="24"/>
        </w:rPr>
        <w:t xml:space="preserve">a </w:t>
      </w:r>
      <w:r w:rsidR="0043301D">
        <w:rPr>
          <w:rFonts w:ascii="Times New Roman" w:hAnsi="Times New Roman" w:cs="Times New Roman"/>
          <w:sz w:val="24"/>
          <w:szCs w:val="24"/>
        </w:rPr>
        <w:t xml:space="preserve">male foetus. However, </w:t>
      </w:r>
      <w:r w:rsidR="0043301D">
        <w:rPr>
          <w:rFonts w:ascii="Times New Roman" w:hAnsi="Times New Roman" w:cs="Times New Roman"/>
          <w:sz w:val="24"/>
          <w:szCs w:val="24"/>
        </w:rPr>
        <w:lastRenderedPageBreak/>
        <w:t xml:space="preserve">since we also observed significant associations in the overall population, a healthy, anti-inflammatory pregnancy diet is likely beneficial for </w:t>
      </w:r>
      <w:r w:rsidR="00D022D9">
        <w:rPr>
          <w:rFonts w:ascii="Times New Roman" w:hAnsi="Times New Roman" w:cs="Times New Roman"/>
          <w:sz w:val="24"/>
          <w:szCs w:val="24"/>
        </w:rPr>
        <w:t xml:space="preserve">the </w:t>
      </w:r>
      <w:r w:rsidR="0043301D">
        <w:rPr>
          <w:rFonts w:ascii="Times New Roman" w:hAnsi="Times New Roman" w:cs="Times New Roman"/>
          <w:sz w:val="24"/>
          <w:szCs w:val="24"/>
        </w:rPr>
        <w:t>female foetus too and thus should not be overlooked.</w:t>
      </w:r>
    </w:p>
    <w:p w14:paraId="58BB8F3D" w14:textId="19AFB9B3" w:rsidR="0057703A" w:rsidRPr="004F6EAB" w:rsidRDefault="0057703A" w:rsidP="005E62D3">
      <w:pPr>
        <w:spacing w:line="480" w:lineRule="auto"/>
        <w:rPr>
          <w:rFonts w:ascii="Times New Roman" w:hAnsi="Times New Roman" w:cs="Times New Roman"/>
          <w:b/>
          <w:bCs/>
          <w:sz w:val="24"/>
          <w:szCs w:val="24"/>
        </w:rPr>
      </w:pPr>
      <w:r w:rsidRPr="004F6EAB">
        <w:rPr>
          <w:rFonts w:ascii="Times New Roman" w:hAnsi="Times New Roman" w:cs="Times New Roman"/>
          <w:b/>
          <w:bCs/>
          <w:sz w:val="24"/>
          <w:szCs w:val="24"/>
        </w:rPr>
        <w:t>Strengths and limitations of study</w:t>
      </w:r>
    </w:p>
    <w:p w14:paraId="6355A25B" w14:textId="6190ED32" w:rsidR="007E533E" w:rsidRPr="004F6EAB" w:rsidRDefault="007E533E" w:rsidP="005E62D3">
      <w:pPr>
        <w:spacing w:line="480" w:lineRule="auto"/>
        <w:rPr>
          <w:rFonts w:ascii="Times New Roman" w:hAnsi="Times New Roman" w:cs="Times New Roman"/>
          <w:sz w:val="24"/>
          <w:szCs w:val="24"/>
        </w:rPr>
      </w:pPr>
      <w:bookmarkStart w:id="13" w:name="_Hlk20869032"/>
      <w:r w:rsidRPr="004F6EAB">
        <w:rPr>
          <w:rFonts w:ascii="Times New Roman" w:hAnsi="Times New Roman" w:cs="Times New Roman"/>
          <w:sz w:val="24"/>
          <w:szCs w:val="24"/>
        </w:rPr>
        <w:t xml:space="preserve">Our study was strengthened by the large sample size and </w:t>
      </w:r>
      <w:r w:rsidR="006F25BF" w:rsidRPr="004F6EAB">
        <w:rPr>
          <w:rFonts w:ascii="Times New Roman" w:hAnsi="Times New Roman" w:cs="Times New Roman"/>
          <w:sz w:val="24"/>
          <w:szCs w:val="24"/>
        </w:rPr>
        <w:t>substantial</w:t>
      </w:r>
      <w:r w:rsidRPr="004F6EAB">
        <w:rPr>
          <w:rFonts w:ascii="Times New Roman" w:hAnsi="Times New Roman" w:cs="Times New Roman"/>
          <w:sz w:val="24"/>
          <w:szCs w:val="24"/>
        </w:rPr>
        <w:t xml:space="preserve"> efforts spent </w:t>
      </w:r>
      <w:r w:rsidR="006F25BF" w:rsidRPr="004F6EAB">
        <w:rPr>
          <w:rFonts w:ascii="Times New Roman" w:hAnsi="Times New Roman" w:cs="Times New Roman"/>
          <w:sz w:val="24"/>
          <w:szCs w:val="24"/>
        </w:rPr>
        <w:t xml:space="preserve">in harmonizing and curating </w:t>
      </w:r>
      <w:r w:rsidRPr="004F6EAB">
        <w:rPr>
          <w:rFonts w:ascii="Times New Roman" w:hAnsi="Times New Roman" w:cs="Times New Roman"/>
          <w:sz w:val="24"/>
          <w:szCs w:val="24"/>
        </w:rPr>
        <w:t xml:space="preserve">data across multiple studies. </w:t>
      </w:r>
      <w:bookmarkStart w:id="14" w:name="_Hlk20868964"/>
      <w:r w:rsidR="00230BB9" w:rsidRPr="004F6EAB">
        <w:rPr>
          <w:rFonts w:ascii="Times New Roman" w:hAnsi="Times New Roman" w:cs="Times New Roman"/>
          <w:sz w:val="24"/>
          <w:szCs w:val="24"/>
        </w:rPr>
        <w:t>Because</w:t>
      </w:r>
      <w:r w:rsidRPr="004F6EAB">
        <w:rPr>
          <w:rFonts w:ascii="Times New Roman" w:hAnsi="Times New Roman" w:cs="Times New Roman"/>
          <w:sz w:val="24"/>
          <w:szCs w:val="24"/>
        </w:rPr>
        <w:t xml:space="preserve"> we included only prospective studies, the temporal sequence between maternal diet and birth outcomes </w:t>
      </w:r>
      <w:r w:rsidR="00AC5CD8" w:rsidRPr="004F6EAB">
        <w:rPr>
          <w:rFonts w:ascii="Times New Roman" w:hAnsi="Times New Roman" w:cs="Times New Roman"/>
          <w:sz w:val="24"/>
          <w:szCs w:val="24"/>
        </w:rPr>
        <w:t xml:space="preserve">can be </w:t>
      </w:r>
      <w:r w:rsidRPr="004F6EAB">
        <w:rPr>
          <w:rFonts w:ascii="Times New Roman" w:hAnsi="Times New Roman" w:cs="Times New Roman"/>
          <w:sz w:val="24"/>
          <w:szCs w:val="24"/>
        </w:rPr>
        <w:t xml:space="preserve">established. </w:t>
      </w:r>
      <w:r w:rsidR="003A41F6" w:rsidRPr="004F6EAB">
        <w:rPr>
          <w:rFonts w:ascii="Times New Roman" w:hAnsi="Times New Roman" w:cs="Times New Roman"/>
          <w:sz w:val="24"/>
          <w:szCs w:val="24"/>
        </w:rPr>
        <w:t xml:space="preserve">Furthermore, we were able to adjust for a comprehensive range of covariates not considered in previous studies </w:t>
      </w:r>
      <w:r w:rsidR="004D4443"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10.1093/ajcn/nqy353","ISSN":"0002-9165","author":[{"dropping-particle":"","family":"Raghavan","given":"Ramkripa","non-dropping-particle":"","parse-names":false,"suffix":""},{"dropping-particle":"","family":"Dreibelbis","given":"Carol","non-dropping-particle":"","parse-names":false,"suffix":""},{"dropping-particle":"","family":"Kingshipp","given":"Brittany L","non-dropping-particle":"","parse-names":false,"suffix":""},{"dropping-particle":"","family":"Wong","given":"Yat Ping","non-dropping-particle":"","parse-names":false,"suffix":""},{"dropping-particle":"","family":"Abrams","given":"Barbara","non-dropping-particle":"","parse-names":false,"suffix":""},{"dropping-particle":"","family":"Gernand","given":"Alison D","non-dropping-particle":"","parse-names":false,"suffix":""},{"dropping-particle":"","family":"Rasmussen","given":"Kathleen M","non-dropping-particle":"","parse-names":false,"suffix":""},{"dropping-particle":"","family":"Siega-Riz","given":"Anna Maria","non-dropping-particle":"","parse-names":false,"suffix":""},{"dropping-particle":"","family":"Stang","given":"Jamie","non-dropping-particle":"","parse-names":false,"suffix":""},{"dropping-particle":"","family":"Casavale","given":"Kellie O","non-dropping-particle":"","parse-names":false,"suffix":""},{"dropping-particle":"","family":"Spahn","given":"Joanne M","non-dropping-particle":"","parse-names":false,"suffix":""},{"dropping-particle":"","family":"Stoody","given":"Eve E","non-dropping-particle":"","parse-names":false,"suffix":""}],"container-title":"The American Journal of Clinical Nutrition","id":"ITEM-1","issue":"Supplement_1","issued":{"date-parts":[["2019","3","1"]]},"page":"729S-756S","publisher":"Narnia","title":"Dietary patterns before and during pregnancy and birth outcomes: a systematic review","type":"article-journal","volume":"109"},"uris":["http://www.mendeley.com/documents/?uuid=054abb7b-8228-330b-861c-80fab6fe4569"]}],"mendeley":{"formattedCitation":"[20]","plainTextFormattedCitation":"[20]","previouslyFormattedCitation":"[20]"},"properties":{"noteIndex":0},"schema":"https://github.com/citation-style-language/schema/raw/master/csl-citation.json"}</w:instrText>
      </w:r>
      <w:r w:rsidR="004D4443"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[20]</w:t>
      </w:r>
      <w:r w:rsidR="004D4443" w:rsidRPr="004F6EAB">
        <w:rPr>
          <w:rFonts w:ascii="Times New Roman" w:hAnsi="Times New Roman" w:cs="Times New Roman"/>
          <w:sz w:val="24"/>
          <w:szCs w:val="24"/>
        </w:rPr>
        <w:fldChar w:fldCharType="end"/>
      </w:r>
      <w:r w:rsidR="003A41F6" w:rsidRPr="004F6EAB">
        <w:rPr>
          <w:rFonts w:ascii="Times New Roman" w:hAnsi="Times New Roman" w:cs="Times New Roman"/>
          <w:sz w:val="24"/>
          <w:szCs w:val="24"/>
        </w:rPr>
        <w:t xml:space="preserve">. </w:t>
      </w:r>
    </w:p>
    <w:p w14:paraId="789DCD40" w14:textId="41BFEB6D" w:rsidR="007E533E" w:rsidRPr="004F6EAB" w:rsidRDefault="00230BB9" w:rsidP="00984B29">
      <w:pPr>
        <w:spacing w:line="480" w:lineRule="auto"/>
        <w:rPr>
          <w:rFonts w:ascii="Times New Roman" w:hAnsi="Times New Roman" w:cs="Times New Roman"/>
          <w:sz w:val="24"/>
          <w:szCs w:val="24"/>
        </w:rPr>
      </w:pPr>
      <w:bookmarkStart w:id="15" w:name="_Hlk20869162"/>
      <w:bookmarkEnd w:id="13"/>
      <w:bookmarkEnd w:id="14"/>
      <w:r w:rsidRPr="004F6EAB">
        <w:rPr>
          <w:rFonts w:ascii="Times New Roman" w:hAnsi="Times New Roman" w:cs="Times New Roman"/>
          <w:sz w:val="24"/>
          <w:szCs w:val="24"/>
        </w:rPr>
        <w:t xml:space="preserve">Despite </w:t>
      </w:r>
      <w:r w:rsidR="00770E31" w:rsidRPr="004F6EAB">
        <w:rPr>
          <w:rFonts w:ascii="Times New Roman" w:hAnsi="Times New Roman" w:cs="Times New Roman"/>
          <w:sz w:val="24"/>
          <w:szCs w:val="24"/>
        </w:rPr>
        <w:t xml:space="preserve">our </w:t>
      </w:r>
      <w:r w:rsidRPr="004F6EAB">
        <w:rPr>
          <w:rFonts w:ascii="Times New Roman" w:hAnsi="Times New Roman" w:cs="Times New Roman"/>
          <w:sz w:val="24"/>
          <w:szCs w:val="24"/>
        </w:rPr>
        <w:t xml:space="preserve">study’s obvious strengths, </w:t>
      </w:r>
      <w:r w:rsidR="002247C6" w:rsidRPr="004F6EAB">
        <w:rPr>
          <w:rFonts w:ascii="Times New Roman" w:hAnsi="Times New Roman" w:cs="Times New Roman"/>
          <w:sz w:val="24"/>
          <w:szCs w:val="24"/>
        </w:rPr>
        <w:t>its</w:t>
      </w:r>
      <w:r w:rsidR="00770E31" w:rsidRPr="004F6EAB">
        <w:rPr>
          <w:rFonts w:ascii="Times New Roman" w:hAnsi="Times New Roman" w:cs="Times New Roman"/>
          <w:sz w:val="24"/>
          <w:szCs w:val="24"/>
        </w:rPr>
        <w:t xml:space="preserve"> findings should be interpreted with some </w:t>
      </w:r>
      <w:r w:rsidRPr="004F6EAB">
        <w:rPr>
          <w:rFonts w:ascii="Times New Roman" w:hAnsi="Times New Roman" w:cs="Times New Roman"/>
          <w:sz w:val="24"/>
          <w:szCs w:val="24"/>
        </w:rPr>
        <w:t>caution</w:t>
      </w:r>
      <w:r w:rsidR="00770E31" w:rsidRPr="004F6EAB">
        <w:rPr>
          <w:rFonts w:ascii="Times New Roman" w:hAnsi="Times New Roman" w:cs="Times New Roman"/>
          <w:sz w:val="24"/>
          <w:szCs w:val="24"/>
        </w:rPr>
        <w:t>. Although our consortium included studies in a range of geographical region</w:t>
      </w:r>
      <w:r w:rsidRPr="004F6EAB">
        <w:rPr>
          <w:rFonts w:ascii="Times New Roman" w:hAnsi="Times New Roman" w:cs="Times New Roman"/>
          <w:sz w:val="24"/>
          <w:szCs w:val="24"/>
        </w:rPr>
        <w:t>s</w:t>
      </w:r>
      <w:r w:rsidR="00770E31" w:rsidRPr="004F6EAB">
        <w:rPr>
          <w:rFonts w:ascii="Times New Roman" w:hAnsi="Times New Roman" w:cs="Times New Roman"/>
          <w:sz w:val="24"/>
          <w:szCs w:val="24"/>
        </w:rPr>
        <w:t xml:space="preserve"> </w:t>
      </w:r>
      <w:r w:rsidRPr="004F6EAB">
        <w:rPr>
          <w:rFonts w:ascii="Times New Roman" w:hAnsi="Times New Roman" w:cs="Times New Roman"/>
          <w:sz w:val="24"/>
          <w:szCs w:val="24"/>
        </w:rPr>
        <w:t>with</w:t>
      </w:r>
      <w:r w:rsidR="00770E31" w:rsidRPr="004F6EAB">
        <w:rPr>
          <w:rFonts w:ascii="Times New Roman" w:hAnsi="Times New Roman" w:cs="Times New Roman"/>
          <w:sz w:val="24"/>
          <w:szCs w:val="24"/>
        </w:rPr>
        <w:t>in Europe</w:t>
      </w:r>
      <w:r w:rsidR="00B15983" w:rsidRPr="004F6EAB">
        <w:rPr>
          <w:rFonts w:ascii="Times New Roman" w:hAnsi="Times New Roman" w:cs="Times New Roman"/>
          <w:sz w:val="24"/>
          <w:szCs w:val="24"/>
        </w:rPr>
        <w:t xml:space="preserve"> (British Isles, Western and Eastern Continental Europe) </w:t>
      </w:r>
      <w:r w:rsidRPr="004F6EAB">
        <w:rPr>
          <w:rFonts w:ascii="Times New Roman" w:hAnsi="Times New Roman" w:cs="Times New Roman"/>
          <w:sz w:val="24"/>
          <w:szCs w:val="24"/>
        </w:rPr>
        <w:t xml:space="preserve">having </w:t>
      </w:r>
      <w:r w:rsidR="00B15983" w:rsidRPr="004F6EAB">
        <w:rPr>
          <w:rFonts w:ascii="Times New Roman" w:hAnsi="Times New Roman" w:cs="Times New Roman"/>
          <w:sz w:val="24"/>
          <w:szCs w:val="24"/>
        </w:rPr>
        <w:t>some differences in dietary intakes</w:t>
      </w:r>
      <w:r w:rsidR="00AC5CD8" w:rsidRPr="004F6EAB">
        <w:rPr>
          <w:rFonts w:ascii="Times New Roman" w:hAnsi="Times New Roman" w:cs="Times New Roman"/>
          <w:sz w:val="24"/>
          <w:szCs w:val="24"/>
        </w:rPr>
        <w:t xml:space="preserve"> and sociodemographic characteristics</w:t>
      </w:r>
      <w:r w:rsidR="00B15983" w:rsidRPr="004F6EAB">
        <w:rPr>
          <w:rFonts w:ascii="Times New Roman" w:hAnsi="Times New Roman" w:cs="Times New Roman"/>
          <w:sz w:val="24"/>
          <w:szCs w:val="24"/>
        </w:rPr>
        <w:t xml:space="preserve">, our study samples can mainly be generalized to White women in developed countries. </w:t>
      </w:r>
      <w:r w:rsidR="00B24408" w:rsidRPr="004F6EAB">
        <w:rPr>
          <w:rFonts w:ascii="Times New Roman" w:hAnsi="Times New Roman" w:cs="Times New Roman"/>
          <w:sz w:val="24"/>
          <w:szCs w:val="24"/>
        </w:rPr>
        <w:t xml:space="preserve">Despite substantial efforts spent to reduce clinical heterogeneity by harmonizing data across included studies, especially for a harmonized definition of general healthy eating and inflammatory potential, it should be kept in mind that some pooled </w:t>
      </w:r>
      <w:r w:rsidR="00E0221D" w:rsidRPr="004F6EAB">
        <w:rPr>
          <w:rFonts w:ascii="Times New Roman" w:hAnsi="Times New Roman" w:cs="Times New Roman"/>
          <w:sz w:val="24"/>
          <w:szCs w:val="24"/>
        </w:rPr>
        <w:t xml:space="preserve">analyses were associated with </w:t>
      </w:r>
      <w:r w:rsidR="00B24408" w:rsidRPr="004F6EAB">
        <w:rPr>
          <w:rFonts w:ascii="Times New Roman" w:hAnsi="Times New Roman" w:cs="Times New Roman"/>
          <w:sz w:val="24"/>
          <w:szCs w:val="24"/>
        </w:rPr>
        <w:t xml:space="preserve">high statistical heterogeneity (in Table 2 and 3, percentage analyses with </w:t>
      </w:r>
      <w:r w:rsidR="00B24408" w:rsidRPr="004F6EAB">
        <w:rPr>
          <w:rFonts w:ascii="Times New Roman" w:hAnsi="Times New Roman" w:cs="Times New Roman"/>
          <w:i/>
          <w:sz w:val="24"/>
          <w:szCs w:val="24"/>
        </w:rPr>
        <w:t>I</w:t>
      </w:r>
      <w:r w:rsidR="00B24408" w:rsidRPr="004F6EAB">
        <w:rPr>
          <w:rFonts w:ascii="Times New Roman" w:hAnsi="Times New Roman" w:cs="Times New Roman"/>
          <w:i/>
          <w:sz w:val="24"/>
          <w:szCs w:val="24"/>
          <w:vertAlign w:val="superscript"/>
        </w:rPr>
        <w:t>2</w:t>
      </w:r>
      <w:r w:rsidR="00B24408" w:rsidRPr="004F6EAB">
        <w:rPr>
          <w:rFonts w:ascii="Times New Roman" w:hAnsi="Times New Roman" w:cs="Times New Roman"/>
          <w:i/>
          <w:sz w:val="24"/>
          <w:szCs w:val="24"/>
        </w:rPr>
        <w:t>&gt;</w:t>
      </w:r>
      <w:r w:rsidR="00B24408" w:rsidRPr="004F6EAB">
        <w:rPr>
          <w:rFonts w:ascii="Times New Roman" w:hAnsi="Times New Roman" w:cs="Times New Roman"/>
          <w:sz w:val="24"/>
          <w:szCs w:val="24"/>
        </w:rPr>
        <w:t>50</w:t>
      </w:r>
      <w:r w:rsidR="00B24408" w:rsidRPr="004F6EAB">
        <w:rPr>
          <w:rFonts w:ascii="Times New Roman" w:hAnsi="Times New Roman" w:cs="Times New Roman"/>
          <w:i/>
          <w:sz w:val="24"/>
          <w:szCs w:val="24"/>
        </w:rPr>
        <w:t xml:space="preserve">%= </w:t>
      </w:r>
      <w:r w:rsidR="00B24408" w:rsidRPr="004F6EAB">
        <w:rPr>
          <w:rFonts w:ascii="Times New Roman" w:hAnsi="Times New Roman" w:cs="Times New Roman"/>
          <w:sz w:val="24"/>
          <w:szCs w:val="24"/>
        </w:rPr>
        <w:t xml:space="preserve">26%; mostly associated with non-statistically significant pooled estimates). This could be due to residual clinical and methodological heterogeneity, or that the true effects may vary </w:t>
      </w:r>
      <w:r w:rsidR="00E0221D" w:rsidRPr="004F6EAB">
        <w:rPr>
          <w:rFonts w:ascii="Times New Roman" w:hAnsi="Times New Roman" w:cs="Times New Roman"/>
          <w:sz w:val="24"/>
          <w:szCs w:val="24"/>
        </w:rPr>
        <w:t>from study to study -</w:t>
      </w:r>
      <w:r w:rsidR="00B24408" w:rsidRPr="004F6EAB">
        <w:rPr>
          <w:rFonts w:ascii="Times New Roman" w:hAnsi="Times New Roman" w:cs="Times New Roman"/>
          <w:sz w:val="24"/>
          <w:szCs w:val="24"/>
        </w:rPr>
        <w:t xml:space="preserve"> an assumption of our chosen random-effects model. To further reduce heterogeneity a prospectively planned IPD with harmonized study design should be conducted. </w:t>
      </w:r>
      <w:r w:rsidR="00597BF3" w:rsidRPr="004F6EAB">
        <w:rPr>
          <w:rFonts w:ascii="Times New Roman" w:hAnsi="Times New Roman" w:cs="Times New Roman"/>
          <w:sz w:val="24"/>
          <w:szCs w:val="24"/>
        </w:rPr>
        <w:t>Dietary data were self-reported</w:t>
      </w:r>
      <w:r w:rsidR="005E4A27" w:rsidRPr="004F6EAB">
        <w:rPr>
          <w:rFonts w:ascii="Times New Roman" w:hAnsi="Times New Roman" w:cs="Times New Roman"/>
          <w:sz w:val="24"/>
          <w:szCs w:val="24"/>
        </w:rPr>
        <w:t xml:space="preserve"> (though with mostly validated questionnaires)</w:t>
      </w:r>
      <w:r w:rsidR="00597BF3" w:rsidRPr="004F6EAB">
        <w:rPr>
          <w:rFonts w:ascii="Times New Roman" w:hAnsi="Times New Roman" w:cs="Times New Roman"/>
          <w:sz w:val="24"/>
          <w:szCs w:val="24"/>
        </w:rPr>
        <w:t xml:space="preserve"> before the outcomes, which might </w:t>
      </w:r>
      <w:r w:rsidR="00597BF3" w:rsidRPr="004F6EAB">
        <w:rPr>
          <w:rFonts w:ascii="Times New Roman" w:hAnsi="Times New Roman" w:cs="Times New Roman"/>
          <w:sz w:val="24"/>
          <w:szCs w:val="24"/>
          <w:lang w:val="en-SG"/>
        </w:rPr>
        <w:t>have</w:t>
      </w:r>
      <w:r w:rsidR="00597BF3" w:rsidRPr="004F6EAB">
        <w:rPr>
          <w:rFonts w:ascii="Times New Roman" w:hAnsi="Times New Roman" w:cs="Times New Roman"/>
          <w:sz w:val="24"/>
          <w:szCs w:val="24"/>
        </w:rPr>
        <w:t xml:space="preserve"> increase non-differential measurement errors that may bias results towards the null. </w:t>
      </w:r>
      <w:r w:rsidR="003658D9" w:rsidRPr="004F6EAB">
        <w:rPr>
          <w:rFonts w:ascii="Times New Roman" w:hAnsi="Times New Roman" w:cs="Times New Roman"/>
          <w:sz w:val="24"/>
          <w:szCs w:val="24"/>
        </w:rPr>
        <w:t xml:space="preserve">Diet measures are based on FFQs </w:t>
      </w:r>
      <w:r w:rsidR="003658D9" w:rsidRPr="004F6EAB">
        <w:rPr>
          <w:rFonts w:ascii="Times New Roman" w:hAnsi="Times New Roman" w:cs="Times New Roman"/>
          <w:sz w:val="24"/>
          <w:szCs w:val="24"/>
        </w:rPr>
        <w:lastRenderedPageBreak/>
        <w:t>with different degree of detail (number of food items, response categories, etc.) (</w:t>
      </w:r>
      <w:r w:rsidR="00F47BEA">
        <w:rPr>
          <w:rFonts w:ascii="Times New Roman" w:hAnsi="Times New Roman" w:cs="Times New Roman"/>
          <w:sz w:val="24"/>
          <w:szCs w:val="24"/>
        </w:rPr>
        <w:t xml:space="preserve">S3 </w:t>
      </w:r>
      <w:r w:rsidR="003658D9" w:rsidRPr="004F6EAB">
        <w:rPr>
          <w:rFonts w:ascii="Times New Roman" w:hAnsi="Times New Roman" w:cs="Times New Roman"/>
          <w:sz w:val="24"/>
          <w:szCs w:val="24"/>
        </w:rPr>
        <w:t>Table), which could result in discrepancies in estimated intakes and diet scores. However, generation of E-DII and the DASH scores involved 20-</w:t>
      </w:r>
      <w:r w:rsidR="005E5B5F">
        <w:rPr>
          <w:rFonts w:ascii="Times New Roman" w:hAnsi="Times New Roman" w:cs="Times New Roman"/>
          <w:sz w:val="24"/>
          <w:szCs w:val="24"/>
        </w:rPr>
        <w:t>28</w:t>
      </w:r>
      <w:r w:rsidR="005E5B5F" w:rsidRPr="004F6EAB">
        <w:rPr>
          <w:rFonts w:ascii="Times New Roman" w:hAnsi="Times New Roman" w:cs="Times New Roman"/>
          <w:sz w:val="24"/>
          <w:szCs w:val="24"/>
        </w:rPr>
        <w:t xml:space="preserve"> </w:t>
      </w:r>
      <w:r w:rsidR="003658D9" w:rsidRPr="004F6EAB">
        <w:rPr>
          <w:rFonts w:ascii="Times New Roman" w:hAnsi="Times New Roman" w:cs="Times New Roman"/>
          <w:sz w:val="24"/>
          <w:szCs w:val="24"/>
        </w:rPr>
        <w:t xml:space="preserve">(out of </w:t>
      </w:r>
      <w:r w:rsidR="005E5B5F" w:rsidRPr="004F6EAB">
        <w:rPr>
          <w:rFonts w:ascii="Times New Roman" w:hAnsi="Times New Roman" w:cs="Times New Roman"/>
          <w:sz w:val="24"/>
          <w:szCs w:val="24"/>
        </w:rPr>
        <w:t>4</w:t>
      </w:r>
      <w:r w:rsidR="005E5B5F">
        <w:rPr>
          <w:rFonts w:ascii="Times New Roman" w:hAnsi="Times New Roman" w:cs="Times New Roman"/>
          <w:sz w:val="24"/>
          <w:szCs w:val="24"/>
        </w:rPr>
        <w:t>4</w:t>
      </w:r>
      <w:r w:rsidR="005E5B5F" w:rsidRPr="004F6EAB">
        <w:rPr>
          <w:rFonts w:ascii="Times New Roman" w:hAnsi="Times New Roman" w:cs="Times New Roman"/>
          <w:sz w:val="24"/>
          <w:szCs w:val="24"/>
        </w:rPr>
        <w:t xml:space="preserve"> </w:t>
      </w:r>
      <w:r w:rsidR="003658D9" w:rsidRPr="004F6EAB">
        <w:rPr>
          <w:rFonts w:ascii="Times New Roman" w:hAnsi="Times New Roman" w:cs="Times New Roman"/>
          <w:sz w:val="24"/>
          <w:szCs w:val="24"/>
        </w:rPr>
        <w:t xml:space="preserve">possible) dietary parameters, and 48.1-79.1% of the total FFQ food items, respectively. Concerning </w:t>
      </w:r>
      <w:r w:rsidR="009908CE" w:rsidRPr="004F6EAB">
        <w:rPr>
          <w:rFonts w:ascii="Times New Roman" w:hAnsi="Times New Roman" w:cs="Times New Roman"/>
          <w:sz w:val="24"/>
          <w:szCs w:val="24"/>
        </w:rPr>
        <w:t>the E-DII, previous</w:t>
      </w:r>
      <w:r w:rsidR="003658D9" w:rsidRPr="004F6EAB">
        <w:rPr>
          <w:rFonts w:ascii="Times New Roman" w:hAnsi="Times New Roman" w:cs="Times New Roman"/>
          <w:sz w:val="24"/>
          <w:szCs w:val="24"/>
        </w:rPr>
        <w:t xml:space="preserve"> studies have found </w:t>
      </w:r>
      <w:r w:rsidR="009908CE" w:rsidRPr="004F6EAB">
        <w:rPr>
          <w:rFonts w:ascii="Times New Roman" w:hAnsi="Times New Roman" w:cs="Times New Roman"/>
          <w:sz w:val="24"/>
          <w:szCs w:val="24"/>
        </w:rPr>
        <w:t>adequate</w:t>
      </w:r>
      <w:r w:rsidR="003658D9" w:rsidRPr="004F6EAB">
        <w:rPr>
          <w:rFonts w:ascii="Times New Roman" w:hAnsi="Times New Roman" w:cs="Times New Roman"/>
          <w:sz w:val="24"/>
          <w:szCs w:val="24"/>
        </w:rPr>
        <w:t xml:space="preserve"> predictive ability with as few as 18 p</w:t>
      </w:r>
      <w:r w:rsidR="00B24408" w:rsidRPr="004F6EAB">
        <w:rPr>
          <w:rFonts w:ascii="Times New Roman" w:hAnsi="Times New Roman" w:cs="Times New Roman"/>
          <w:sz w:val="24"/>
          <w:szCs w:val="24"/>
        </w:rPr>
        <w:t xml:space="preserve">arameters </w:t>
      </w:r>
      <w:r w:rsidR="00B24408"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{"citationItems":[{"id":"ITEM-1","itemData":{"DOI":"10.1093/advances/nmy071","ISSN":"2156-5376","PMID":"30615051","abstract":"The literature on the role of inflammation in health has grown exponentially over the past several decades. Paralleling this growth has been an equally intense focus on the role of diet in modulating inflammation, with a doubling in the size of the literature approximately every 4 y. The Dietary Inflammatory Index (DII) was developed to provide a quantitative means for assessing the role of diet in relation to health outcomes ranging from blood concentrations of inflammatory cytokines to chronic diseases. Based on literature from a variety of different study designs ranging from cell culture to observational and experimental studies in humans, the DII was designed to be universally applicable across all human studies with adequate dietary assessment. Over the past 4 y, the DII has been used in &gt;200 studies and forms the basis for 12 meta-analyses. In the process of conducting this work, lessons were learned with regard to methodologic issues related to total energy and nutrient intake and energy and nutrient densities. Accordingly, refinements to the original algorithm have been made. In this article we discuss these improvements and observations that we made with regard to misuse and misinterpretation of the DII and provide suggestions for future developments.","author":[{"dropping-particle":"","family":"Hébert","given":"James R","non-dropping-particle":"","parse-names":false,"suffix":""},{"dropping-particle":"","family":"Shivappa","given":"Nitin","non-dropping-particle":"","parse-names":false,"suffix":""},{"dropping-particle":"","family":"Wirth","given":"Michael D","non-dropping-particle":"","parse-names":false,"suffix":""},{"dropping-particle":"","family":"Hussey","given":"James R","non-dropping-particle":"","parse-names":false,"suffix":""},{"dropping-particle":"","family":"Hurley","given":"Thomas G","non-dropping-particle":"","parse-names":false,"suffix":""}],"container-title":"Advances in nutrition (Bethesda, Md.)","id":"ITEM-1","issue":"2","issued":{"date-parts":[["2019"]]},"page":"185-195","title":"Perspective: The Dietary Inflammatory Index (DII)-Lessons Learned, Improvements Made, and Future Directions.","type":"article-journal","volume":"10"},"uris":["http://www.mendeley.com/documents/?uuid=e67aac50-27c1-385f-ae79-d6cf2bab1b1b"]}],"mendeley":{"formattedCitation":"[60]","plainTextFormattedCitation":"[60]","previouslyFormattedCitation":"[60]"},"properties":{"noteIndex":0},"schema":"https://github.com/citation-style-language/schema/raw/master/csl-citation.json"}</w:instrText>
      </w:r>
      <w:r w:rsidR="00B24408"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[60]</w:t>
      </w:r>
      <w:r w:rsidR="00B24408" w:rsidRPr="004F6EAB">
        <w:rPr>
          <w:rFonts w:ascii="Times New Roman" w:hAnsi="Times New Roman" w:cs="Times New Roman"/>
          <w:sz w:val="24"/>
          <w:szCs w:val="24"/>
        </w:rPr>
        <w:fldChar w:fldCharType="end"/>
      </w:r>
      <w:r w:rsidR="003658D9" w:rsidRPr="004F6EAB">
        <w:rPr>
          <w:rFonts w:ascii="Times New Roman" w:hAnsi="Times New Roman" w:cs="Times New Roman"/>
          <w:sz w:val="24"/>
          <w:szCs w:val="24"/>
        </w:rPr>
        <w:t xml:space="preserve">, while </w:t>
      </w:r>
      <w:r w:rsidR="00842661" w:rsidRPr="004F6EAB">
        <w:rPr>
          <w:rFonts w:ascii="Times New Roman" w:hAnsi="Times New Roman" w:cs="Times New Roman"/>
          <w:sz w:val="24"/>
          <w:szCs w:val="24"/>
        </w:rPr>
        <w:t>most</w:t>
      </w:r>
      <w:r w:rsidR="003658D9" w:rsidRPr="004F6EAB">
        <w:rPr>
          <w:rFonts w:ascii="Times New Roman" w:hAnsi="Times New Roman" w:cs="Times New Roman"/>
          <w:sz w:val="24"/>
          <w:szCs w:val="24"/>
        </w:rPr>
        <w:t xml:space="preserve"> food component of the DASH score comprised at least five food items </w:t>
      </w:r>
      <w:r w:rsidR="00B24408" w:rsidRPr="004F6EAB">
        <w:rPr>
          <w:rFonts w:ascii="Times New Roman" w:hAnsi="Times New Roman" w:cs="Times New Roman"/>
          <w:sz w:val="24"/>
          <w:szCs w:val="24"/>
        </w:rPr>
        <w:fldChar w:fldCharType="begin" w:fldLock="1"/>
      </w:r>
      <w:r w:rsidR="005C1ADD">
        <w:rPr>
          <w:rFonts w:ascii="Times New Roman" w:hAnsi="Times New Roman" w:cs="Times New Roman"/>
          <w:sz w:val="24"/>
          <w:szCs w:val="24"/>
        </w:rPr>
        <w:instrText>ADDIN CSL_CITATION {"citationItems":[{"id":"ITEM-1","itemData":{"DOI":"10.3390/nu11112706","ISSN":"2072-6643","abstract":"&lt;p&gt;The ALPHABET consortium aims to examine the interplays between maternal diet quality, epigenetics and offspring health in seven pregnancy/birth cohorts from five European countries. We aimed to use the Dietary Approaches to Stop Hypertension (DASH) score to assess diet quality, but different versions have been published. To derive a single DASH score allowing cross-country, cross-co</w:instrText>
      </w:r>
      <w:r w:rsidR="005C1ADD">
        <w:rPr>
          <w:rFonts w:ascii="Times New Roman" w:hAnsi="Times New Roman" w:cs="Times New Roman" w:hint="eastAsia"/>
          <w:sz w:val="24"/>
          <w:szCs w:val="24"/>
        </w:rPr>
        <w:instrText xml:space="preserve">hort and cross-period comparison and limiting data heterogeneity within the ALPHABET consortium, we harmonised food frequency questionnaire (FFQ) data collected before and during pregnancy in </w:instrText>
      </w:r>
      <w:r w:rsidR="005C1ADD">
        <w:rPr>
          <w:rFonts w:ascii="Times New Roman" w:hAnsi="Times New Roman" w:cs="Times New Roman" w:hint="eastAsia"/>
          <w:sz w:val="24"/>
          <w:szCs w:val="24"/>
        </w:rPr>
        <w:instrText>≥</w:instrText>
      </w:r>
      <w:r w:rsidR="005C1ADD">
        <w:rPr>
          <w:rFonts w:ascii="Times New Roman" w:hAnsi="Times New Roman" w:cs="Times New Roman" w:hint="eastAsia"/>
          <w:sz w:val="24"/>
          <w:szCs w:val="24"/>
        </w:rPr>
        <w:instrText>26,500 women. Although FFQs differed strongly in length and co</w:instrText>
      </w:r>
      <w:r w:rsidR="005C1ADD">
        <w:rPr>
          <w:rFonts w:ascii="Times New Roman" w:hAnsi="Times New Roman" w:cs="Times New Roman"/>
          <w:sz w:val="24"/>
          <w:szCs w:val="24"/>
        </w:rPr>
        <w:instrText>ntent, we derived a consortium DASH score composed of eight food components by combining the prescriptive original DASH and the DASH described by Fung et al. Statistical issues tied to the nature of the FFQs led us to re-classify two food groups (grains and dairy products). Most DASH food components exhibited pronounced between-cohort variability, including non-full-fat dairy products (median intake ranging from 0.1 to 2.2 servings/day), sugar-sweetened beverages/sweets/added sugars (0.3–1.7 servings/day), fruits (1.1–3.1 servings/day), and vegetables (1.5–3.6 servings/day). We successfully developed a harmonized DASH score adapted to all cohorts being part of the ALPHABET consortium. This methodological work may benefit other research teams in adapting the DASH to their study’s specificities.&lt;/p&gt;","author":[{"dropping-particle":"","family":"Aubert","given":"Adrien M.","non-dropping-particle":"","parse-names":false,"suffix":""},{"dropping-particle":"","family":"Forhan","given":"Anne","non-dropping-particle":"","parse-names":false,"suffix":""},{"dropping-particle":"","family":"Lauzon-Guillain","given":"Blandine","non-dropping-particle":"de","parse-names":false,"suffix":""},{"dropping-particle":"","family":"Chen","given":"Ling-Wei","non-dropping-particle":"","parse-names":false,"suffix":""},{"dropping-particle":"","family":"Polanska","given":"Kinga","non-dropping-particle":"","parse-names":false,"suffix":""},{"dropping-particle":"","family":"Hanke","given":"Wojciech","non-dropping-particle":"","parse-names":false,"suffix":""},{"dropping-particle":"","family":"Jankowska","given":"Agnieszka","non-dropping-particle":"","parse-names":false,"suffix":""},{"dropping-particle":"","family":"Mensink-Bout","given":"Sara M.","non-dropping-particle":"","parse-names":false,"suffix":""},{"dropping-particle":"","family":"Duijts","given":"Liesbeth","non-dropping-particle":"","parse-names":false,"suffix":""},{"dropping-particle":"","family":"Suderman","given":"Matthew","non-dropping-particle":"","parse-names":false,"suffix":""},{"dropping-particle":"","family":"Relton","given":"Caroline L.","non-dropping-particle":"","parse-names":false,"suffix":""},{"dropping-particle":"","family":"Crozier","given":"Sarah R.","non-dropping-particle":"","parse-names":false,"suffix":""},{"dropping-particle":"","family":"Harvey","given":"Nicholas C.","non-dropping-particle":"","parse-names":false,"suffix":""},{"dropping-particle":"","family":"Cooper","given":"Cyrus","non-dropping-particle":"","parse-names":false,"suffix":""},{"dropping-particle":"","family":"McAuliffe","given":"Fionnuala M.","non-dropping-particle":"","parse-names":false,"suffix":""},{"dropping-particle":"","family":"Kelleher","given":"Cecily C.","non-dropping-particle":"","parse-names":false,"suffix":""},{"dropping-particle":"","family":"Phillips","given":"Catherine M.","non-dropping-particle":"","parse-names":false,"suffix":""},{"dropping-particle":"","family":"Heude","given":"Barbara","non-dropping-particle":"","parse-names":false,"suffix":""},{"dropping-particle":"","family":"Bernard","given":"Jonathan Y.","non-dropping-particle":"","parse-names":false,"suffix":""}],"container-title":"Nutrients","id":"ITEM-1","issue":"11","issued":{"date-parts":[["2019","11","8"]]},"page":"2706","title":"Deriving the Dietary Approaches to Stop Hypertension (DASH) Score in Women from Seven Pregnancy Cohorts from the European ALPHABET Consortium","type":"article-journal","volume":"11"},"uris":["http://www.mendeley.com/documents/?uuid=84f34415-05c8-3d40-95e3-2ed6a33ee226"]}],"mendeley":{"formattedCitation":"[40]","plainTextFormattedCitation":"[40]","previouslyFormattedCitation":"[40]"},"properties":{"noteIndex":0},"schema":"https://github.com/citation-style-language/schema/raw/master/csl-citation.json"}</w:instrText>
      </w:r>
      <w:r w:rsidR="00B24408" w:rsidRPr="004F6EAB">
        <w:rPr>
          <w:rFonts w:ascii="Times New Roman" w:hAnsi="Times New Roman" w:cs="Times New Roman"/>
          <w:sz w:val="24"/>
          <w:szCs w:val="24"/>
        </w:rPr>
        <w:fldChar w:fldCharType="separate"/>
      </w:r>
      <w:r w:rsidR="00AE282C" w:rsidRPr="00AE282C">
        <w:rPr>
          <w:rFonts w:ascii="Times New Roman" w:hAnsi="Times New Roman" w:cs="Times New Roman"/>
          <w:noProof/>
          <w:sz w:val="24"/>
          <w:szCs w:val="24"/>
        </w:rPr>
        <w:t>[40]</w:t>
      </w:r>
      <w:r w:rsidR="00B24408" w:rsidRPr="004F6EAB">
        <w:rPr>
          <w:rFonts w:ascii="Times New Roman" w:hAnsi="Times New Roman" w:cs="Times New Roman"/>
          <w:sz w:val="24"/>
          <w:szCs w:val="24"/>
        </w:rPr>
        <w:fldChar w:fldCharType="end"/>
      </w:r>
      <w:r w:rsidR="00B24408" w:rsidRPr="004F6EAB">
        <w:rPr>
          <w:rFonts w:ascii="Times New Roman" w:hAnsi="Times New Roman" w:cs="Times New Roman"/>
          <w:sz w:val="24"/>
          <w:szCs w:val="24"/>
        </w:rPr>
        <w:t xml:space="preserve">. </w:t>
      </w:r>
      <w:r w:rsidR="003658D9" w:rsidRPr="004F6EAB">
        <w:rPr>
          <w:rFonts w:ascii="Times New Roman" w:hAnsi="Times New Roman" w:cs="Times New Roman"/>
          <w:sz w:val="24"/>
          <w:szCs w:val="24"/>
        </w:rPr>
        <w:t>While a prospectively planned consortium</w:t>
      </w:r>
      <w:r w:rsidR="00B24408" w:rsidRPr="004F6EAB">
        <w:rPr>
          <w:rFonts w:ascii="Times New Roman" w:hAnsi="Times New Roman" w:cs="Times New Roman"/>
          <w:sz w:val="24"/>
          <w:szCs w:val="24"/>
        </w:rPr>
        <w:t xml:space="preserve"> study with harmonized dietary assessment method would be </w:t>
      </w:r>
      <w:r w:rsidR="009908CE" w:rsidRPr="004F6EAB">
        <w:rPr>
          <w:rFonts w:ascii="Times New Roman" w:hAnsi="Times New Roman" w:cs="Times New Roman"/>
          <w:sz w:val="24"/>
          <w:szCs w:val="24"/>
        </w:rPr>
        <w:t>ideal</w:t>
      </w:r>
      <w:r w:rsidR="00B24408" w:rsidRPr="004F6EAB">
        <w:rPr>
          <w:rFonts w:ascii="Times New Roman" w:hAnsi="Times New Roman" w:cs="Times New Roman"/>
          <w:sz w:val="24"/>
          <w:szCs w:val="24"/>
        </w:rPr>
        <w:t xml:space="preserve"> to further reduce methodological variation, we believe the instrument used by the respective studies in ALPHABET are sufficient to capture the variation in dietary quality and inflammation. </w:t>
      </w:r>
      <w:r w:rsidR="006F25BF" w:rsidRPr="004F6EAB">
        <w:rPr>
          <w:rFonts w:ascii="Times New Roman" w:hAnsi="Times New Roman" w:cs="Times New Roman"/>
          <w:sz w:val="24"/>
          <w:szCs w:val="24"/>
        </w:rPr>
        <w:t xml:space="preserve">Furthermore, </w:t>
      </w:r>
      <w:r w:rsidR="00AC5CD8" w:rsidRPr="004F6EAB">
        <w:rPr>
          <w:rFonts w:ascii="Times New Roman" w:hAnsi="Times New Roman" w:cs="Times New Roman"/>
          <w:sz w:val="24"/>
          <w:szCs w:val="24"/>
        </w:rPr>
        <w:t>prevalence</w:t>
      </w:r>
      <w:r w:rsidR="006F25BF" w:rsidRPr="004F6EAB">
        <w:rPr>
          <w:rFonts w:ascii="Times New Roman" w:hAnsi="Times New Roman" w:cs="Times New Roman"/>
          <w:sz w:val="24"/>
          <w:szCs w:val="24"/>
        </w:rPr>
        <w:t xml:space="preserve"> </w:t>
      </w:r>
      <w:r w:rsidRPr="004F6EAB">
        <w:rPr>
          <w:rFonts w:ascii="Times New Roman" w:hAnsi="Times New Roman" w:cs="Times New Roman"/>
          <w:sz w:val="24"/>
          <w:szCs w:val="24"/>
        </w:rPr>
        <w:t>rates</w:t>
      </w:r>
      <w:r w:rsidR="006F25BF" w:rsidRPr="004F6EAB">
        <w:rPr>
          <w:rFonts w:ascii="Times New Roman" w:hAnsi="Times New Roman" w:cs="Times New Roman"/>
          <w:sz w:val="24"/>
          <w:szCs w:val="24"/>
        </w:rPr>
        <w:t xml:space="preserve"> for the main adverse birth outcomes were low (e.g. </w:t>
      </w:r>
      <w:r w:rsidR="0071478E" w:rsidRPr="004F6EAB">
        <w:rPr>
          <w:rFonts w:ascii="Times New Roman" w:hAnsi="Times New Roman" w:cs="Times New Roman"/>
          <w:sz w:val="24"/>
          <w:szCs w:val="24"/>
        </w:rPr>
        <w:t>&lt;</w:t>
      </w:r>
      <w:r w:rsidR="006F25BF" w:rsidRPr="004F6EAB">
        <w:rPr>
          <w:rFonts w:ascii="Times New Roman" w:hAnsi="Times New Roman" w:cs="Times New Roman"/>
          <w:sz w:val="24"/>
          <w:szCs w:val="24"/>
        </w:rPr>
        <w:t>5% for</w:t>
      </w:r>
      <w:r w:rsidR="0071478E" w:rsidRPr="004F6EAB">
        <w:rPr>
          <w:rFonts w:ascii="Times New Roman" w:hAnsi="Times New Roman" w:cs="Times New Roman"/>
          <w:sz w:val="24"/>
          <w:szCs w:val="24"/>
        </w:rPr>
        <w:t xml:space="preserve"> LBW and</w:t>
      </w:r>
      <w:r w:rsidR="006F25BF" w:rsidRPr="004F6EAB">
        <w:rPr>
          <w:rFonts w:ascii="Times New Roman" w:hAnsi="Times New Roman" w:cs="Times New Roman"/>
          <w:sz w:val="24"/>
          <w:szCs w:val="24"/>
        </w:rPr>
        <w:t xml:space="preserve"> preterm birth). </w:t>
      </w:r>
      <w:r w:rsidR="00B15983" w:rsidRPr="004F6EAB">
        <w:rPr>
          <w:rFonts w:ascii="Times New Roman" w:hAnsi="Times New Roman" w:cs="Times New Roman"/>
          <w:sz w:val="24"/>
          <w:szCs w:val="24"/>
        </w:rPr>
        <w:t>In populations with a</w:t>
      </w:r>
      <w:r w:rsidR="00AC5CD8" w:rsidRPr="004F6EAB">
        <w:rPr>
          <w:rFonts w:ascii="Times New Roman" w:hAnsi="Times New Roman" w:cs="Times New Roman"/>
          <w:sz w:val="24"/>
          <w:szCs w:val="24"/>
        </w:rPr>
        <w:t>n overall</w:t>
      </w:r>
      <w:r w:rsidR="00B15983" w:rsidRPr="004F6EAB">
        <w:rPr>
          <w:rFonts w:ascii="Times New Roman" w:hAnsi="Times New Roman" w:cs="Times New Roman"/>
          <w:sz w:val="24"/>
          <w:szCs w:val="24"/>
        </w:rPr>
        <w:t xml:space="preserve"> poorer </w:t>
      </w:r>
      <w:r w:rsidR="00CB165E" w:rsidRPr="004F6EAB">
        <w:rPr>
          <w:rFonts w:ascii="Times New Roman" w:hAnsi="Times New Roman" w:cs="Times New Roman"/>
          <w:sz w:val="24"/>
          <w:szCs w:val="24"/>
        </w:rPr>
        <w:t xml:space="preserve">quality </w:t>
      </w:r>
      <w:r w:rsidR="00B15983" w:rsidRPr="004F6EAB">
        <w:rPr>
          <w:rFonts w:ascii="Times New Roman" w:hAnsi="Times New Roman" w:cs="Times New Roman"/>
          <w:sz w:val="24"/>
          <w:szCs w:val="24"/>
        </w:rPr>
        <w:t>diet</w:t>
      </w:r>
      <w:r w:rsidR="006F25BF" w:rsidRPr="004F6EAB">
        <w:rPr>
          <w:rFonts w:ascii="Times New Roman" w:hAnsi="Times New Roman" w:cs="Times New Roman"/>
          <w:sz w:val="24"/>
          <w:szCs w:val="24"/>
        </w:rPr>
        <w:t xml:space="preserve"> and higher </w:t>
      </w:r>
      <w:r w:rsidR="00AC5CD8" w:rsidRPr="004F6EAB">
        <w:rPr>
          <w:rFonts w:ascii="Times New Roman" w:hAnsi="Times New Roman" w:cs="Times New Roman"/>
          <w:sz w:val="24"/>
          <w:szCs w:val="24"/>
        </w:rPr>
        <w:t>prevalence</w:t>
      </w:r>
      <w:r w:rsidR="006F25BF" w:rsidRPr="004F6EAB">
        <w:rPr>
          <w:rFonts w:ascii="Times New Roman" w:hAnsi="Times New Roman" w:cs="Times New Roman"/>
          <w:sz w:val="24"/>
          <w:szCs w:val="24"/>
        </w:rPr>
        <w:t xml:space="preserve"> of foetal growth restriction,</w:t>
      </w:r>
      <w:r w:rsidR="00B15983" w:rsidRPr="004F6EAB">
        <w:rPr>
          <w:rFonts w:ascii="Times New Roman" w:hAnsi="Times New Roman" w:cs="Times New Roman"/>
          <w:sz w:val="24"/>
          <w:szCs w:val="24"/>
        </w:rPr>
        <w:t xml:space="preserve"> our estimates could </w:t>
      </w:r>
      <w:r w:rsidR="00CB165E" w:rsidRPr="004F6EAB">
        <w:rPr>
          <w:rFonts w:ascii="Times New Roman" w:hAnsi="Times New Roman" w:cs="Times New Roman"/>
          <w:sz w:val="24"/>
          <w:szCs w:val="24"/>
        </w:rPr>
        <w:t>be</w:t>
      </w:r>
      <w:r w:rsidR="00B15983" w:rsidRPr="004F6EAB">
        <w:rPr>
          <w:rFonts w:ascii="Times New Roman" w:hAnsi="Times New Roman" w:cs="Times New Roman"/>
          <w:sz w:val="24"/>
          <w:szCs w:val="24"/>
        </w:rPr>
        <w:t xml:space="preserve"> an underestimation</w:t>
      </w:r>
      <w:r w:rsidRPr="004F6EAB">
        <w:rPr>
          <w:rFonts w:ascii="Times New Roman" w:hAnsi="Times New Roman" w:cs="Times New Roman"/>
          <w:sz w:val="24"/>
          <w:szCs w:val="24"/>
        </w:rPr>
        <w:t xml:space="preserve"> of actual effect</w:t>
      </w:r>
      <w:r w:rsidR="00AE049F" w:rsidRPr="004F6EAB">
        <w:rPr>
          <w:rFonts w:ascii="Times New Roman" w:hAnsi="Times New Roman" w:cs="Times New Roman"/>
          <w:sz w:val="24"/>
          <w:szCs w:val="24"/>
        </w:rPr>
        <w:t>.</w:t>
      </w:r>
      <w:r w:rsidR="00B24408" w:rsidRPr="004F6EAB">
        <w:rPr>
          <w:rFonts w:ascii="Times New Roman" w:hAnsi="Times New Roman" w:cs="Times New Roman"/>
          <w:sz w:val="24"/>
          <w:szCs w:val="24"/>
        </w:rPr>
        <w:t xml:space="preserve"> </w:t>
      </w:r>
      <w:r w:rsidR="00853A7A">
        <w:rPr>
          <w:rFonts w:ascii="Times New Roman" w:hAnsi="Times New Roman" w:cs="Times New Roman"/>
          <w:sz w:val="24"/>
          <w:szCs w:val="24"/>
        </w:rPr>
        <w:t xml:space="preserve">We did not observe associations between maternal dietary quality and inflammatory potential and post-term delivery. Similar to preterm birth, the proportion of infants delivered post-term was quite low (6.5%; see </w:t>
      </w:r>
      <w:r w:rsidR="00F47BEA">
        <w:rPr>
          <w:rFonts w:ascii="Times New Roman" w:hAnsi="Times New Roman" w:cs="Times New Roman"/>
          <w:sz w:val="24"/>
          <w:szCs w:val="24"/>
        </w:rPr>
        <w:t xml:space="preserve">S4 </w:t>
      </w:r>
      <w:r w:rsidR="001405F9">
        <w:rPr>
          <w:rFonts w:ascii="Times New Roman" w:hAnsi="Times New Roman" w:cs="Times New Roman"/>
          <w:sz w:val="24"/>
          <w:szCs w:val="24"/>
        </w:rPr>
        <w:t>Table</w:t>
      </w:r>
      <w:r w:rsidR="00853A7A">
        <w:rPr>
          <w:rFonts w:ascii="Times New Roman" w:hAnsi="Times New Roman" w:cs="Times New Roman"/>
          <w:sz w:val="24"/>
          <w:szCs w:val="24"/>
        </w:rPr>
        <w:t>) and our study might have been similarly underpowered to detect any associations. Furthermore, post-term delivery could be heavily influenced by external factors such as clinician behavio</w:t>
      </w:r>
      <w:r w:rsidR="001D4062">
        <w:rPr>
          <w:rFonts w:ascii="Times New Roman" w:hAnsi="Times New Roman" w:cs="Times New Roman"/>
          <w:sz w:val="24"/>
          <w:szCs w:val="24"/>
        </w:rPr>
        <w:t>u</w:t>
      </w:r>
      <w:r w:rsidR="00853A7A">
        <w:rPr>
          <w:rFonts w:ascii="Times New Roman" w:hAnsi="Times New Roman" w:cs="Times New Roman"/>
          <w:sz w:val="24"/>
          <w:szCs w:val="24"/>
        </w:rPr>
        <w:t xml:space="preserve">r and institutional culture. Although we similarly observed no associations among spontaneous labours only (75% of post-term delivery was spontaneous), our results should be confirmed in future studies with better information on practice in different health systems. </w:t>
      </w:r>
      <w:r w:rsidR="00B24408" w:rsidRPr="004F6EAB">
        <w:rPr>
          <w:rFonts w:ascii="Times New Roman" w:hAnsi="Times New Roman" w:cs="Times New Roman"/>
          <w:sz w:val="24"/>
          <w:szCs w:val="24"/>
        </w:rPr>
        <w:t>We explored stratified analysis in Generation R with a significant proportion of non-European born/non-White participants (</w:t>
      </w:r>
      <w:r w:rsidR="00F47BEA" w:rsidRPr="004F6EAB">
        <w:rPr>
          <w:rFonts w:ascii="Times New Roman" w:hAnsi="Times New Roman" w:cs="Times New Roman"/>
          <w:b/>
          <w:sz w:val="24"/>
          <w:szCs w:val="24"/>
        </w:rPr>
        <w:t>S</w:t>
      </w:r>
      <w:r w:rsidR="00F47BEA">
        <w:rPr>
          <w:rFonts w:ascii="Times New Roman" w:hAnsi="Times New Roman" w:cs="Times New Roman"/>
          <w:b/>
          <w:sz w:val="24"/>
          <w:szCs w:val="24"/>
        </w:rPr>
        <w:t>21</w:t>
      </w:r>
      <w:r w:rsidR="00F47BEA" w:rsidRPr="004F6EAB">
        <w:rPr>
          <w:rFonts w:ascii="Times New Roman" w:hAnsi="Times New Roman" w:cs="Times New Roman"/>
          <w:b/>
          <w:sz w:val="24"/>
          <w:szCs w:val="24"/>
        </w:rPr>
        <w:t xml:space="preserve"> </w:t>
      </w:r>
      <w:r w:rsidR="001405F9">
        <w:rPr>
          <w:rFonts w:ascii="Times New Roman" w:hAnsi="Times New Roman" w:cs="Times New Roman"/>
          <w:b/>
          <w:sz w:val="24"/>
          <w:szCs w:val="24"/>
        </w:rPr>
        <w:t>Table</w:t>
      </w:r>
      <w:r w:rsidR="00B24408" w:rsidRPr="004F6EAB">
        <w:rPr>
          <w:rFonts w:ascii="Times New Roman" w:hAnsi="Times New Roman" w:cs="Times New Roman"/>
          <w:sz w:val="24"/>
          <w:szCs w:val="24"/>
        </w:rPr>
        <w:t>). While the higher di</w:t>
      </w:r>
      <w:r w:rsidR="00A61A5B" w:rsidRPr="004F6EAB">
        <w:rPr>
          <w:rFonts w:ascii="Times New Roman" w:hAnsi="Times New Roman" w:cs="Times New Roman"/>
          <w:sz w:val="24"/>
          <w:szCs w:val="24"/>
        </w:rPr>
        <w:t>etary inflammatory potential vs</w:t>
      </w:r>
      <w:r w:rsidR="00B24408" w:rsidRPr="004F6EAB">
        <w:rPr>
          <w:rFonts w:ascii="Times New Roman" w:hAnsi="Times New Roman" w:cs="Times New Roman"/>
          <w:sz w:val="24"/>
          <w:szCs w:val="24"/>
        </w:rPr>
        <w:t xml:space="preserve"> lower birth sizes and higher preterm birth risk relationship seemed to be more pronounced in non-European born/non-White participants in Generation R, overall the effect estimates associated with DASH score seemed to be closer </w:t>
      </w:r>
      <w:r w:rsidR="009908CE" w:rsidRPr="004F6EAB">
        <w:rPr>
          <w:rFonts w:ascii="Times New Roman" w:hAnsi="Times New Roman" w:cs="Times New Roman"/>
          <w:sz w:val="24"/>
          <w:szCs w:val="24"/>
        </w:rPr>
        <w:t xml:space="preserve">to the </w:t>
      </w:r>
      <w:r w:rsidR="00B24408" w:rsidRPr="004F6EAB">
        <w:rPr>
          <w:rFonts w:ascii="Times New Roman" w:hAnsi="Times New Roman" w:cs="Times New Roman"/>
          <w:sz w:val="24"/>
          <w:szCs w:val="24"/>
        </w:rPr>
        <w:t xml:space="preserve">null, as compared with European born/White </w:t>
      </w:r>
      <w:r w:rsidR="00B24408" w:rsidRPr="004F6EAB">
        <w:rPr>
          <w:rFonts w:ascii="Times New Roman" w:hAnsi="Times New Roman" w:cs="Times New Roman"/>
          <w:sz w:val="24"/>
          <w:szCs w:val="24"/>
        </w:rPr>
        <w:lastRenderedPageBreak/>
        <w:t xml:space="preserve">participants. However, it should be noted that </w:t>
      </w:r>
      <w:r w:rsidR="009908CE" w:rsidRPr="004F6EAB">
        <w:rPr>
          <w:rFonts w:ascii="Times New Roman" w:hAnsi="Times New Roman" w:cs="Times New Roman"/>
          <w:sz w:val="24"/>
          <w:szCs w:val="24"/>
        </w:rPr>
        <w:t xml:space="preserve">the </w:t>
      </w:r>
      <w:r w:rsidR="00B24408" w:rsidRPr="004F6EAB">
        <w:rPr>
          <w:rFonts w:ascii="Times New Roman" w:hAnsi="Times New Roman" w:cs="Times New Roman"/>
          <w:sz w:val="24"/>
          <w:szCs w:val="24"/>
        </w:rPr>
        <w:t xml:space="preserve">non-White group is not a homogenous group and the migration history/demography differs in each country. Thus, the relationship between maternal diet and birth outcomes should be investigated further in other homogenous populations or </w:t>
      </w:r>
      <w:r w:rsidR="009908CE" w:rsidRPr="004F6EAB">
        <w:rPr>
          <w:rFonts w:ascii="Times New Roman" w:hAnsi="Times New Roman" w:cs="Times New Roman"/>
          <w:sz w:val="24"/>
          <w:szCs w:val="24"/>
        </w:rPr>
        <w:t xml:space="preserve">studies </w:t>
      </w:r>
      <w:r w:rsidR="00A61A5B" w:rsidRPr="004F6EAB">
        <w:rPr>
          <w:rFonts w:ascii="Times New Roman" w:hAnsi="Times New Roman" w:cs="Times New Roman"/>
          <w:sz w:val="24"/>
          <w:szCs w:val="24"/>
        </w:rPr>
        <w:t xml:space="preserve">with more specific ethnicity </w:t>
      </w:r>
      <w:r w:rsidR="00B24408" w:rsidRPr="004F6EAB">
        <w:rPr>
          <w:rFonts w:ascii="Times New Roman" w:hAnsi="Times New Roman" w:cs="Times New Roman"/>
          <w:sz w:val="24"/>
          <w:szCs w:val="24"/>
        </w:rPr>
        <w:t>information.</w:t>
      </w:r>
      <w:r w:rsidR="00AE049F" w:rsidRPr="004F6EAB">
        <w:rPr>
          <w:rFonts w:ascii="Times New Roman" w:hAnsi="Times New Roman" w:cs="Times New Roman"/>
          <w:sz w:val="24"/>
          <w:szCs w:val="24"/>
        </w:rPr>
        <w:t xml:space="preserve"> </w:t>
      </w:r>
      <w:r w:rsidR="00873F83" w:rsidRPr="004F6EAB">
        <w:rPr>
          <w:rFonts w:ascii="Times New Roman" w:eastAsia="SimSun" w:hAnsi="Times New Roman" w:cs="Times New Roman"/>
          <w:sz w:val="24"/>
          <w:szCs w:val="24"/>
          <w:lang w:val="en-SG"/>
        </w:rPr>
        <w:t>Control</w:t>
      </w:r>
      <w:r w:rsidR="00AF76D0" w:rsidRPr="004F6EAB">
        <w:rPr>
          <w:rFonts w:ascii="Times New Roman" w:eastAsia="SimSun" w:hAnsi="Times New Roman" w:cs="Times New Roman"/>
          <w:sz w:val="24"/>
          <w:szCs w:val="24"/>
          <w:lang w:val="en-SG"/>
        </w:rPr>
        <w:t xml:space="preserve"> of some </w:t>
      </w:r>
      <w:r w:rsidR="009908CE" w:rsidRPr="004F6EAB">
        <w:rPr>
          <w:rFonts w:ascii="Times New Roman" w:eastAsia="SimSun" w:hAnsi="Times New Roman" w:cs="Times New Roman"/>
          <w:sz w:val="24"/>
          <w:szCs w:val="24"/>
          <w:lang w:val="en-SG"/>
        </w:rPr>
        <w:t xml:space="preserve">potentially confounding </w:t>
      </w:r>
      <w:r w:rsidR="00AF76D0" w:rsidRPr="004F6EAB">
        <w:rPr>
          <w:rFonts w:ascii="Times New Roman" w:eastAsia="SimSun" w:hAnsi="Times New Roman" w:cs="Times New Roman"/>
          <w:sz w:val="24"/>
          <w:szCs w:val="24"/>
          <w:lang w:val="en-SG"/>
        </w:rPr>
        <w:t xml:space="preserve">variables could be less precise in this study due to the need to harmonize the variable across cohorts. </w:t>
      </w:r>
      <w:r w:rsidR="00CB165E" w:rsidRPr="004F6EAB">
        <w:rPr>
          <w:rFonts w:ascii="Times New Roman" w:hAnsi="Times New Roman" w:cs="Times New Roman"/>
          <w:sz w:val="24"/>
          <w:szCs w:val="24"/>
        </w:rPr>
        <w:t>Finally</w:t>
      </w:r>
      <w:r w:rsidR="007E533E" w:rsidRPr="004F6EAB">
        <w:rPr>
          <w:rFonts w:ascii="Times New Roman" w:hAnsi="Times New Roman" w:cs="Times New Roman"/>
          <w:sz w:val="24"/>
          <w:szCs w:val="24"/>
        </w:rPr>
        <w:t>, as w</w:t>
      </w:r>
      <w:r w:rsidR="00E438FC" w:rsidRPr="004F6EAB">
        <w:rPr>
          <w:rFonts w:ascii="Times New Roman" w:hAnsi="Times New Roman" w:cs="Times New Roman"/>
          <w:sz w:val="24"/>
          <w:szCs w:val="24"/>
        </w:rPr>
        <w:t>ith</w:t>
      </w:r>
      <w:r w:rsidR="007E533E" w:rsidRPr="004F6EAB">
        <w:rPr>
          <w:rFonts w:ascii="Times New Roman" w:hAnsi="Times New Roman" w:cs="Times New Roman"/>
          <w:sz w:val="24"/>
          <w:szCs w:val="24"/>
        </w:rPr>
        <w:t xml:space="preserve"> any observational study causality cannot be </w:t>
      </w:r>
      <w:r w:rsidRPr="004F6EAB">
        <w:rPr>
          <w:rFonts w:ascii="Times New Roman" w:hAnsi="Times New Roman" w:cs="Times New Roman"/>
          <w:sz w:val="24"/>
          <w:szCs w:val="24"/>
        </w:rPr>
        <w:t>established without corroborating evidence</w:t>
      </w:r>
      <w:r w:rsidR="00A518FC" w:rsidRPr="004F6EAB">
        <w:rPr>
          <w:rFonts w:ascii="Times New Roman" w:hAnsi="Times New Roman" w:cs="Times New Roman"/>
          <w:sz w:val="24"/>
          <w:szCs w:val="24"/>
        </w:rPr>
        <w:t>,</w:t>
      </w:r>
      <w:r w:rsidR="007E533E" w:rsidRPr="004F6EAB">
        <w:rPr>
          <w:rFonts w:ascii="Times New Roman" w:hAnsi="Times New Roman" w:cs="Times New Roman"/>
          <w:sz w:val="24"/>
          <w:szCs w:val="24"/>
        </w:rPr>
        <w:t xml:space="preserve"> and the influence of residual confounding</w:t>
      </w:r>
      <w:r w:rsidR="00597BF3" w:rsidRPr="004F6EAB">
        <w:rPr>
          <w:rFonts w:ascii="Times New Roman" w:hAnsi="Times New Roman" w:cs="Times New Roman"/>
          <w:sz w:val="24"/>
          <w:szCs w:val="24"/>
        </w:rPr>
        <w:t xml:space="preserve"> </w:t>
      </w:r>
      <w:r w:rsidR="007E533E" w:rsidRPr="004F6EAB">
        <w:rPr>
          <w:rFonts w:ascii="Times New Roman" w:hAnsi="Times New Roman" w:cs="Times New Roman"/>
          <w:sz w:val="24"/>
          <w:szCs w:val="24"/>
        </w:rPr>
        <w:t xml:space="preserve">cannot be completely ruled out. </w:t>
      </w:r>
    </w:p>
    <w:p w14:paraId="2BE8ADB4" w14:textId="7560F5BF" w:rsidR="0057703A" w:rsidRPr="004F6EAB" w:rsidRDefault="0057703A" w:rsidP="00984B29">
      <w:pPr>
        <w:spacing w:line="480" w:lineRule="auto"/>
        <w:rPr>
          <w:rFonts w:ascii="Times New Roman" w:hAnsi="Times New Roman" w:cs="Times New Roman"/>
          <w:b/>
          <w:bCs/>
          <w:sz w:val="24"/>
          <w:szCs w:val="24"/>
        </w:rPr>
      </w:pPr>
      <w:r w:rsidRPr="004F6EAB">
        <w:rPr>
          <w:rFonts w:ascii="Times New Roman" w:hAnsi="Times New Roman" w:cs="Times New Roman"/>
          <w:b/>
          <w:bCs/>
          <w:sz w:val="24"/>
          <w:szCs w:val="24"/>
        </w:rPr>
        <w:t>Conclusions and public health implications</w:t>
      </w:r>
    </w:p>
    <w:p w14:paraId="267E8776" w14:textId="2D89364A" w:rsidR="0057703A" w:rsidRPr="004F6EAB" w:rsidRDefault="0057703A" w:rsidP="00984B29">
      <w:pPr>
        <w:spacing w:line="480" w:lineRule="auto"/>
        <w:rPr>
          <w:rFonts w:ascii="Times New Roman" w:hAnsi="Times New Roman" w:cs="Times New Roman"/>
          <w:sz w:val="24"/>
          <w:szCs w:val="24"/>
        </w:rPr>
      </w:pPr>
      <w:r w:rsidRPr="004F6EAB">
        <w:rPr>
          <w:rFonts w:ascii="Times New Roman" w:hAnsi="Times New Roman" w:cs="Times New Roman"/>
          <w:sz w:val="24"/>
          <w:szCs w:val="24"/>
        </w:rPr>
        <w:t>Our findings may have important clinical and public health implications. For example, a higher maternal dietary quality indicated by higher maternal pregnancy DASH score, scaled to a very plausible 2-SD increase (8.4 points increment; ALPHABET range: 9 to 38), was associated with a 37 g higher birth weight and a 24% lower risk in delivering SGA infants. Considering the high prevalence of foetal growth restriction, especially in developing countries, and its potential negative impacts on lifelong health, improving overall maternal dietary quality is of utmost importance.</w:t>
      </w:r>
      <w:r w:rsidR="00B24408" w:rsidRPr="004F6EAB">
        <w:rPr>
          <w:rFonts w:ascii="Times New Roman" w:hAnsi="Times New Roman" w:cs="Times New Roman"/>
          <w:sz w:val="24"/>
          <w:szCs w:val="24"/>
        </w:rPr>
        <w:t xml:space="preserve"> </w:t>
      </w:r>
      <w:r w:rsidR="00E0221D" w:rsidRPr="004F6EAB">
        <w:rPr>
          <w:rFonts w:ascii="Times New Roman" w:hAnsi="Times New Roman" w:cs="Times New Roman"/>
          <w:sz w:val="24"/>
          <w:szCs w:val="24"/>
          <w:lang w:val="en-SG"/>
        </w:rPr>
        <w:t>Our findings represent a significant contribution to the knowledge base regarding the importance of maternal diet on offspring health outcomes. Better understanding of these relationships may inform revision of existing dietary guidelines or development of new guidelines for optimal nutrition in pregnancy. Policies to ensure availability of affordable healthy foods and programmatic efforts to inform and support women of reproductive age, such as raising awareness of the importance of maternal diet and prenatal and antenatal counselling would help women achieve a healthier diet</w:t>
      </w:r>
      <w:r w:rsidR="00B24408" w:rsidRPr="004F6EAB">
        <w:rPr>
          <w:rFonts w:ascii="Times New Roman" w:hAnsi="Times New Roman" w:cs="Times New Roman"/>
          <w:sz w:val="24"/>
          <w:szCs w:val="24"/>
        </w:rPr>
        <w:t>.</w:t>
      </w:r>
    </w:p>
    <w:bookmarkEnd w:id="15"/>
    <w:p w14:paraId="246AE931" w14:textId="18EBC59D" w:rsidR="00AF76D0" w:rsidRPr="004F6EAB" w:rsidRDefault="007E533E" w:rsidP="001B152A">
      <w:pPr>
        <w:spacing w:line="480" w:lineRule="auto"/>
        <w:rPr>
          <w:rFonts w:ascii="Times New Roman" w:hAnsi="Times New Roman" w:cs="Times New Roman"/>
          <w:sz w:val="24"/>
          <w:szCs w:val="24"/>
        </w:rPr>
      </w:pPr>
      <w:r w:rsidRPr="004F6EAB">
        <w:rPr>
          <w:rFonts w:ascii="Times New Roman" w:hAnsi="Times New Roman" w:cs="Times New Roman"/>
          <w:sz w:val="24"/>
          <w:szCs w:val="24"/>
        </w:rPr>
        <w:t xml:space="preserve">In conclusion, </w:t>
      </w:r>
      <w:r w:rsidR="00984B29" w:rsidRPr="004F6EAB">
        <w:rPr>
          <w:rFonts w:ascii="Times New Roman" w:hAnsi="Times New Roman" w:cs="Times New Roman"/>
          <w:sz w:val="24"/>
          <w:szCs w:val="24"/>
        </w:rPr>
        <w:t xml:space="preserve">maternal diet that is of low quality and high inflammatory potential </w:t>
      </w:r>
      <w:r w:rsidR="003301F2" w:rsidRPr="004F6EAB">
        <w:rPr>
          <w:rFonts w:ascii="Times New Roman" w:hAnsi="Times New Roman" w:cs="Times New Roman"/>
          <w:sz w:val="24"/>
          <w:szCs w:val="24"/>
        </w:rPr>
        <w:t xml:space="preserve">is </w:t>
      </w:r>
      <w:r w:rsidR="00984B29" w:rsidRPr="004F6EAB">
        <w:rPr>
          <w:rFonts w:ascii="Times New Roman" w:hAnsi="Times New Roman" w:cs="Times New Roman"/>
          <w:sz w:val="24"/>
          <w:szCs w:val="24"/>
        </w:rPr>
        <w:t xml:space="preserve">associated with lower offspring birth size and higher </w:t>
      </w:r>
      <w:r w:rsidR="003301F2" w:rsidRPr="004F6EAB">
        <w:rPr>
          <w:rFonts w:ascii="Times New Roman" w:hAnsi="Times New Roman" w:cs="Times New Roman"/>
          <w:sz w:val="24"/>
          <w:szCs w:val="24"/>
        </w:rPr>
        <w:t xml:space="preserve">risk of </w:t>
      </w:r>
      <w:r w:rsidR="00EF20CC" w:rsidRPr="004F6EAB">
        <w:rPr>
          <w:rFonts w:ascii="Times New Roman" w:hAnsi="Times New Roman" w:cs="Times New Roman"/>
          <w:sz w:val="24"/>
          <w:szCs w:val="24"/>
        </w:rPr>
        <w:t>offspring being born small-for-</w:t>
      </w:r>
      <w:r w:rsidR="00EF20CC" w:rsidRPr="004F6EAB">
        <w:rPr>
          <w:rFonts w:ascii="Times New Roman" w:hAnsi="Times New Roman" w:cs="Times New Roman"/>
          <w:sz w:val="24"/>
          <w:szCs w:val="24"/>
        </w:rPr>
        <w:lastRenderedPageBreak/>
        <w:t>gestational-age</w:t>
      </w:r>
      <w:r w:rsidR="003301F2" w:rsidRPr="004F6EAB">
        <w:rPr>
          <w:rFonts w:ascii="Times New Roman" w:hAnsi="Times New Roman" w:cs="Times New Roman"/>
          <w:sz w:val="24"/>
          <w:szCs w:val="24"/>
        </w:rPr>
        <w:t xml:space="preserve"> in this multi-centre </w:t>
      </w:r>
      <w:r w:rsidR="00EF20CC" w:rsidRPr="004F6EAB">
        <w:rPr>
          <w:rFonts w:ascii="Times New Roman" w:hAnsi="Times New Roman" w:cs="Times New Roman"/>
          <w:sz w:val="24"/>
          <w:szCs w:val="24"/>
        </w:rPr>
        <w:t xml:space="preserve">meta-analysis using harmonized individual participants data. </w:t>
      </w:r>
      <w:bookmarkStart w:id="16" w:name="_Hlk20869222"/>
      <w:r w:rsidR="00283349" w:rsidRPr="004F6EAB">
        <w:rPr>
          <w:rFonts w:ascii="Times New Roman" w:hAnsi="Times New Roman" w:cs="Times New Roman"/>
          <w:sz w:val="24"/>
          <w:szCs w:val="24"/>
        </w:rPr>
        <w:t xml:space="preserve">Although confirmation from </w:t>
      </w:r>
      <w:r w:rsidR="00230BB9" w:rsidRPr="004F6EAB">
        <w:rPr>
          <w:rFonts w:ascii="Times New Roman" w:hAnsi="Times New Roman" w:cs="Times New Roman"/>
          <w:sz w:val="24"/>
          <w:szCs w:val="24"/>
        </w:rPr>
        <w:t>other sources</w:t>
      </w:r>
      <w:r w:rsidR="00A84A3B" w:rsidRPr="004F6EAB">
        <w:rPr>
          <w:rFonts w:ascii="Times New Roman" w:hAnsi="Times New Roman" w:cs="Times New Roman"/>
          <w:sz w:val="24"/>
          <w:szCs w:val="24"/>
        </w:rPr>
        <w:t xml:space="preserve"> including</w:t>
      </w:r>
      <w:r w:rsidR="00230BB9" w:rsidRPr="004F6EAB">
        <w:rPr>
          <w:rFonts w:ascii="Times New Roman" w:hAnsi="Times New Roman" w:cs="Times New Roman"/>
          <w:sz w:val="24"/>
          <w:szCs w:val="24"/>
        </w:rPr>
        <w:t xml:space="preserve"> </w:t>
      </w:r>
      <w:r w:rsidR="00A84A3B" w:rsidRPr="004F6EAB">
        <w:rPr>
          <w:rFonts w:ascii="Times New Roman" w:hAnsi="Times New Roman" w:cs="Times New Roman"/>
          <w:sz w:val="24"/>
          <w:szCs w:val="24"/>
        </w:rPr>
        <w:t>randomized controlled trials</w:t>
      </w:r>
      <w:r w:rsidR="00283349" w:rsidRPr="004F6EAB">
        <w:rPr>
          <w:rFonts w:ascii="Times New Roman" w:hAnsi="Times New Roman" w:cs="Times New Roman"/>
          <w:sz w:val="24"/>
          <w:szCs w:val="24"/>
        </w:rPr>
        <w:t xml:space="preserve"> </w:t>
      </w:r>
      <w:r w:rsidR="00230BB9" w:rsidRPr="004F6EAB">
        <w:rPr>
          <w:rFonts w:ascii="Times New Roman" w:hAnsi="Times New Roman" w:cs="Times New Roman"/>
          <w:sz w:val="24"/>
          <w:szCs w:val="24"/>
        </w:rPr>
        <w:t xml:space="preserve">are </w:t>
      </w:r>
      <w:r w:rsidR="00283349" w:rsidRPr="004F6EAB">
        <w:rPr>
          <w:rFonts w:ascii="Times New Roman" w:hAnsi="Times New Roman" w:cs="Times New Roman"/>
          <w:sz w:val="24"/>
          <w:szCs w:val="24"/>
        </w:rPr>
        <w:t xml:space="preserve">needed to establish </w:t>
      </w:r>
      <w:r w:rsidR="00A84A3B" w:rsidRPr="004F6EAB">
        <w:rPr>
          <w:rFonts w:ascii="Times New Roman" w:hAnsi="Times New Roman" w:cs="Times New Roman"/>
          <w:sz w:val="24"/>
          <w:szCs w:val="24"/>
        </w:rPr>
        <w:t>causality</w:t>
      </w:r>
      <w:r w:rsidR="00283349" w:rsidRPr="004F6EAB">
        <w:rPr>
          <w:rFonts w:ascii="Times New Roman" w:hAnsi="Times New Roman" w:cs="Times New Roman"/>
          <w:sz w:val="24"/>
          <w:szCs w:val="24"/>
        </w:rPr>
        <w:t>, o</w:t>
      </w:r>
      <w:r w:rsidR="00EF20CC" w:rsidRPr="004F6EAB">
        <w:rPr>
          <w:rFonts w:ascii="Times New Roman" w:hAnsi="Times New Roman" w:cs="Times New Roman"/>
          <w:sz w:val="24"/>
          <w:szCs w:val="24"/>
        </w:rPr>
        <w:t xml:space="preserve">ur results </w:t>
      </w:r>
      <w:r w:rsidR="00283349" w:rsidRPr="004F6EAB">
        <w:rPr>
          <w:rFonts w:ascii="Times New Roman" w:hAnsi="Times New Roman" w:cs="Times New Roman"/>
          <w:sz w:val="24"/>
          <w:szCs w:val="24"/>
        </w:rPr>
        <w:t xml:space="preserve">strongly suggest that improving overall maternal dietary pattern based on pre-defined criteria </w:t>
      </w:r>
      <w:r w:rsidR="002247C6" w:rsidRPr="004F6EAB">
        <w:rPr>
          <w:rFonts w:ascii="Times New Roman" w:hAnsi="Times New Roman" w:cs="Times New Roman"/>
          <w:sz w:val="24"/>
          <w:szCs w:val="24"/>
        </w:rPr>
        <w:t>related to overall quality and inflammatory potential</w:t>
      </w:r>
      <w:r w:rsidR="00283349" w:rsidRPr="004F6EAB">
        <w:rPr>
          <w:rFonts w:ascii="Times New Roman" w:hAnsi="Times New Roman" w:cs="Times New Roman"/>
          <w:sz w:val="24"/>
          <w:szCs w:val="24"/>
        </w:rPr>
        <w:t xml:space="preserve"> is beneficial for optimal foetal growth. </w:t>
      </w:r>
      <w:bookmarkEnd w:id="16"/>
      <w:r w:rsidR="00AF76D0" w:rsidRPr="004F6EAB">
        <w:rPr>
          <w:rFonts w:ascii="Times New Roman" w:hAnsi="Times New Roman" w:cs="Times New Roman"/>
          <w:b/>
          <w:bCs/>
          <w:sz w:val="24"/>
          <w:szCs w:val="24"/>
        </w:rPr>
        <w:br w:type="page"/>
      </w:r>
    </w:p>
    <w:p w14:paraId="4D5F10FF" w14:textId="29EC46DD" w:rsidR="00A85039" w:rsidRPr="004F6EAB" w:rsidRDefault="00A85039" w:rsidP="00A85039">
      <w:pPr>
        <w:spacing w:line="480" w:lineRule="auto"/>
        <w:rPr>
          <w:rFonts w:ascii="Times New Roman" w:hAnsi="Times New Roman" w:cs="Times New Roman"/>
          <w:b/>
          <w:bCs/>
          <w:sz w:val="24"/>
          <w:szCs w:val="24"/>
        </w:rPr>
      </w:pPr>
      <w:r w:rsidRPr="004F6EAB">
        <w:rPr>
          <w:rFonts w:ascii="Times New Roman" w:hAnsi="Times New Roman" w:cs="Times New Roman"/>
          <w:b/>
          <w:bCs/>
          <w:sz w:val="24"/>
          <w:szCs w:val="24"/>
        </w:rPr>
        <w:lastRenderedPageBreak/>
        <w:t>ACKNOWLEDGEMENT</w:t>
      </w:r>
    </w:p>
    <w:p w14:paraId="334AF4D2" w14:textId="41A2C656" w:rsidR="00597BF3" w:rsidRPr="004F6EAB" w:rsidRDefault="00A85039" w:rsidP="00A85039">
      <w:pPr>
        <w:spacing w:line="480" w:lineRule="auto"/>
        <w:rPr>
          <w:rFonts w:ascii="Times New Roman" w:hAnsi="Times New Roman" w:cs="Times New Roman"/>
          <w:bCs/>
          <w:sz w:val="24"/>
          <w:szCs w:val="24"/>
          <w:lang w:val="en-US"/>
        </w:rPr>
      </w:pPr>
      <w:r w:rsidRPr="004F6EAB">
        <w:rPr>
          <w:rFonts w:ascii="Times New Roman" w:hAnsi="Times New Roman" w:cs="Times New Roman"/>
          <w:i/>
          <w:sz w:val="24"/>
          <w:szCs w:val="24"/>
        </w:rPr>
        <w:t>Whole consortium</w:t>
      </w:r>
      <w:r w:rsidRPr="004F6EAB">
        <w:rPr>
          <w:rFonts w:ascii="Times New Roman" w:hAnsi="Times New Roman" w:cs="Times New Roman"/>
          <w:sz w:val="24"/>
          <w:szCs w:val="24"/>
        </w:rPr>
        <w:t xml:space="preserve">: the authors acknowledge all investigators working on the ERA-HDHL ALPHABET Project and are grateful to all the families in the participating cohorts. </w:t>
      </w:r>
      <w:r w:rsidRPr="004F6EAB">
        <w:rPr>
          <w:rFonts w:ascii="Times New Roman" w:hAnsi="Times New Roman" w:cs="Times New Roman"/>
          <w:b/>
          <w:bCs/>
          <w:iCs/>
          <w:sz w:val="24"/>
          <w:szCs w:val="24"/>
        </w:rPr>
        <w:t>ALSPAC:</w:t>
      </w:r>
      <w:r w:rsidRPr="004F6EAB">
        <w:rPr>
          <w:rFonts w:ascii="Times New Roman" w:hAnsi="Times New Roman" w:cs="Times New Roman"/>
          <w:sz w:val="24"/>
          <w:szCs w:val="24"/>
        </w:rPr>
        <w:t xml:space="preserve"> we are extremely grateful to all the families who took part in this study, the midwives for their help in recruiting them, and the whole ALSPAC team, which includes interviewers, computer and laboratory technicians, clerical workers, research scientists, volunteers, managers, receptionists and nurses.</w:t>
      </w:r>
      <w:r w:rsidR="00ED4219" w:rsidRPr="004F6EAB">
        <w:rPr>
          <w:rFonts w:ascii="Times New Roman" w:hAnsi="Times New Roman" w:cs="Times New Roman"/>
          <w:sz w:val="24"/>
          <w:szCs w:val="24"/>
        </w:rPr>
        <w:t xml:space="preserve"> </w:t>
      </w:r>
      <w:r w:rsidR="00897C5A" w:rsidRPr="004F6EAB">
        <w:rPr>
          <w:rFonts w:ascii="Times New Roman" w:hAnsi="Times New Roman" w:cs="Times New Roman"/>
          <w:bCs/>
          <w:sz w:val="24"/>
          <w:szCs w:val="24"/>
          <w:lang w:val="en-US"/>
        </w:rPr>
        <w:t xml:space="preserve">Please note that the ALSPAC study website contains details of all available data is available through a fully searchable data dictionary and variable search tool (http://www.bristol.ac.uk/alspac/researchers/our-data/). </w:t>
      </w:r>
      <w:r w:rsidR="00ED4219" w:rsidRPr="004F6EAB">
        <w:rPr>
          <w:rFonts w:ascii="Times New Roman" w:hAnsi="Times New Roman" w:cs="Times New Roman"/>
          <w:b/>
          <w:bCs/>
          <w:iCs/>
          <w:sz w:val="24"/>
          <w:szCs w:val="24"/>
        </w:rPr>
        <w:t>EDEN:</w:t>
      </w:r>
      <w:r w:rsidR="00ED4219" w:rsidRPr="004F6EAB">
        <w:rPr>
          <w:rFonts w:ascii="Times New Roman" w:hAnsi="Times New Roman" w:cs="Times New Roman"/>
          <w:sz w:val="24"/>
          <w:szCs w:val="24"/>
        </w:rPr>
        <w:t xml:space="preserve"> the authors thank the EDEN mother-child cohort study group, whose members are I. </w:t>
      </w:r>
      <w:proofErr w:type="spellStart"/>
      <w:r w:rsidR="00ED4219" w:rsidRPr="004F6EAB">
        <w:rPr>
          <w:rFonts w:ascii="Times New Roman" w:hAnsi="Times New Roman" w:cs="Times New Roman"/>
          <w:sz w:val="24"/>
          <w:szCs w:val="24"/>
        </w:rPr>
        <w:t>Annesi-Maesano</w:t>
      </w:r>
      <w:proofErr w:type="spellEnd"/>
      <w:r w:rsidR="00ED4219" w:rsidRPr="004F6EAB">
        <w:rPr>
          <w:rFonts w:ascii="Times New Roman" w:hAnsi="Times New Roman" w:cs="Times New Roman"/>
          <w:sz w:val="24"/>
          <w:szCs w:val="24"/>
        </w:rPr>
        <w:t>, J.</w:t>
      </w:r>
      <w:r w:rsidR="00444106" w:rsidRPr="004F6EAB">
        <w:rPr>
          <w:rFonts w:ascii="Times New Roman" w:hAnsi="Times New Roman" w:cs="Times New Roman"/>
          <w:sz w:val="24"/>
          <w:szCs w:val="24"/>
        </w:rPr>
        <w:t xml:space="preserve"> </w:t>
      </w:r>
      <w:r w:rsidR="00ED4219" w:rsidRPr="004F6EAB">
        <w:rPr>
          <w:rFonts w:ascii="Times New Roman" w:hAnsi="Times New Roman" w:cs="Times New Roman"/>
          <w:sz w:val="24"/>
          <w:szCs w:val="24"/>
        </w:rPr>
        <w:t xml:space="preserve">Y. Bernard, J. </w:t>
      </w:r>
      <w:proofErr w:type="spellStart"/>
      <w:r w:rsidR="00ED4219" w:rsidRPr="004F6EAB">
        <w:rPr>
          <w:rFonts w:ascii="Times New Roman" w:hAnsi="Times New Roman" w:cs="Times New Roman"/>
          <w:sz w:val="24"/>
          <w:szCs w:val="24"/>
        </w:rPr>
        <w:t>Botton</w:t>
      </w:r>
      <w:proofErr w:type="spellEnd"/>
      <w:r w:rsidR="00ED4219" w:rsidRPr="004F6EAB">
        <w:rPr>
          <w:rFonts w:ascii="Times New Roman" w:hAnsi="Times New Roman" w:cs="Times New Roman"/>
          <w:sz w:val="24"/>
          <w:szCs w:val="24"/>
        </w:rPr>
        <w:t xml:space="preserve">, M.A. Charles, P. </w:t>
      </w:r>
      <w:proofErr w:type="spellStart"/>
      <w:r w:rsidR="00ED4219" w:rsidRPr="004F6EAB">
        <w:rPr>
          <w:rFonts w:ascii="Times New Roman" w:hAnsi="Times New Roman" w:cs="Times New Roman"/>
          <w:sz w:val="24"/>
          <w:szCs w:val="24"/>
        </w:rPr>
        <w:t>Dargent</w:t>
      </w:r>
      <w:proofErr w:type="spellEnd"/>
      <w:r w:rsidR="00ED4219" w:rsidRPr="004F6EAB">
        <w:rPr>
          <w:rFonts w:ascii="Times New Roman" w:hAnsi="Times New Roman" w:cs="Times New Roman"/>
          <w:sz w:val="24"/>
          <w:szCs w:val="24"/>
        </w:rPr>
        <w:t xml:space="preserve">-Molina, B. de Lauzon-Guillain, P. </w:t>
      </w:r>
      <w:proofErr w:type="spellStart"/>
      <w:r w:rsidR="00ED4219" w:rsidRPr="004F6EAB">
        <w:rPr>
          <w:rFonts w:ascii="Times New Roman" w:hAnsi="Times New Roman" w:cs="Times New Roman"/>
          <w:sz w:val="24"/>
          <w:szCs w:val="24"/>
        </w:rPr>
        <w:t>Ducimetière</w:t>
      </w:r>
      <w:proofErr w:type="spellEnd"/>
      <w:r w:rsidR="00ED4219" w:rsidRPr="004F6EAB">
        <w:rPr>
          <w:rFonts w:ascii="Times New Roman" w:hAnsi="Times New Roman" w:cs="Times New Roman"/>
          <w:sz w:val="24"/>
          <w:szCs w:val="24"/>
        </w:rPr>
        <w:t xml:space="preserve">, M. de Agostini, B. </w:t>
      </w:r>
      <w:proofErr w:type="spellStart"/>
      <w:r w:rsidR="00ED4219" w:rsidRPr="004F6EAB">
        <w:rPr>
          <w:rFonts w:ascii="Times New Roman" w:hAnsi="Times New Roman" w:cs="Times New Roman"/>
          <w:sz w:val="24"/>
          <w:szCs w:val="24"/>
        </w:rPr>
        <w:t>Foliguet</w:t>
      </w:r>
      <w:proofErr w:type="spellEnd"/>
      <w:r w:rsidR="00ED4219" w:rsidRPr="004F6EAB">
        <w:rPr>
          <w:rFonts w:ascii="Times New Roman" w:hAnsi="Times New Roman" w:cs="Times New Roman"/>
          <w:sz w:val="24"/>
          <w:szCs w:val="24"/>
        </w:rPr>
        <w:t xml:space="preserve">, A. </w:t>
      </w:r>
      <w:proofErr w:type="spellStart"/>
      <w:r w:rsidR="00ED4219" w:rsidRPr="004F6EAB">
        <w:rPr>
          <w:rFonts w:ascii="Times New Roman" w:hAnsi="Times New Roman" w:cs="Times New Roman"/>
          <w:sz w:val="24"/>
          <w:szCs w:val="24"/>
        </w:rPr>
        <w:t>Forhan</w:t>
      </w:r>
      <w:proofErr w:type="spellEnd"/>
      <w:r w:rsidR="00ED4219" w:rsidRPr="004F6EAB">
        <w:rPr>
          <w:rFonts w:ascii="Times New Roman" w:hAnsi="Times New Roman" w:cs="Times New Roman"/>
          <w:sz w:val="24"/>
          <w:szCs w:val="24"/>
        </w:rPr>
        <w:t xml:space="preserve">, X. </w:t>
      </w:r>
      <w:proofErr w:type="spellStart"/>
      <w:r w:rsidR="00ED4219" w:rsidRPr="004F6EAB">
        <w:rPr>
          <w:rFonts w:ascii="Times New Roman" w:hAnsi="Times New Roman" w:cs="Times New Roman"/>
          <w:sz w:val="24"/>
          <w:szCs w:val="24"/>
        </w:rPr>
        <w:t>Fritel</w:t>
      </w:r>
      <w:proofErr w:type="spellEnd"/>
      <w:r w:rsidR="00ED4219" w:rsidRPr="004F6EAB">
        <w:rPr>
          <w:rFonts w:ascii="Times New Roman" w:hAnsi="Times New Roman" w:cs="Times New Roman"/>
          <w:sz w:val="24"/>
          <w:szCs w:val="24"/>
        </w:rPr>
        <w:t xml:space="preserve">, A. </w:t>
      </w:r>
      <w:proofErr w:type="spellStart"/>
      <w:r w:rsidR="00ED4219" w:rsidRPr="004F6EAB">
        <w:rPr>
          <w:rFonts w:ascii="Times New Roman" w:hAnsi="Times New Roman" w:cs="Times New Roman"/>
          <w:sz w:val="24"/>
          <w:szCs w:val="24"/>
        </w:rPr>
        <w:t>Germa</w:t>
      </w:r>
      <w:proofErr w:type="spellEnd"/>
      <w:r w:rsidR="00ED4219" w:rsidRPr="004F6EAB">
        <w:rPr>
          <w:rFonts w:ascii="Times New Roman" w:hAnsi="Times New Roman" w:cs="Times New Roman"/>
          <w:sz w:val="24"/>
          <w:szCs w:val="24"/>
        </w:rPr>
        <w:t xml:space="preserve">, V. </w:t>
      </w:r>
      <w:proofErr w:type="spellStart"/>
      <w:r w:rsidR="00ED4219" w:rsidRPr="004F6EAB">
        <w:rPr>
          <w:rFonts w:ascii="Times New Roman" w:hAnsi="Times New Roman" w:cs="Times New Roman"/>
          <w:sz w:val="24"/>
          <w:szCs w:val="24"/>
        </w:rPr>
        <w:t>Goua</w:t>
      </w:r>
      <w:proofErr w:type="spellEnd"/>
      <w:r w:rsidR="00ED4219" w:rsidRPr="004F6EAB">
        <w:rPr>
          <w:rFonts w:ascii="Times New Roman" w:hAnsi="Times New Roman" w:cs="Times New Roman"/>
          <w:sz w:val="24"/>
          <w:szCs w:val="24"/>
        </w:rPr>
        <w:t xml:space="preserve">, R. </w:t>
      </w:r>
      <w:proofErr w:type="spellStart"/>
      <w:r w:rsidR="00ED4219" w:rsidRPr="004F6EAB">
        <w:rPr>
          <w:rFonts w:ascii="Times New Roman" w:hAnsi="Times New Roman" w:cs="Times New Roman"/>
          <w:sz w:val="24"/>
          <w:szCs w:val="24"/>
        </w:rPr>
        <w:t>Hankard</w:t>
      </w:r>
      <w:proofErr w:type="spellEnd"/>
      <w:r w:rsidR="00ED4219" w:rsidRPr="004F6EAB">
        <w:rPr>
          <w:rFonts w:ascii="Times New Roman" w:hAnsi="Times New Roman" w:cs="Times New Roman"/>
          <w:sz w:val="24"/>
          <w:szCs w:val="24"/>
        </w:rPr>
        <w:t xml:space="preserve">, B. </w:t>
      </w:r>
      <w:proofErr w:type="spellStart"/>
      <w:r w:rsidR="00ED4219" w:rsidRPr="004F6EAB">
        <w:rPr>
          <w:rFonts w:ascii="Times New Roman" w:hAnsi="Times New Roman" w:cs="Times New Roman"/>
          <w:sz w:val="24"/>
          <w:szCs w:val="24"/>
        </w:rPr>
        <w:t>Heude</w:t>
      </w:r>
      <w:proofErr w:type="spellEnd"/>
      <w:r w:rsidR="00ED4219" w:rsidRPr="004F6EAB">
        <w:rPr>
          <w:rFonts w:ascii="Times New Roman" w:hAnsi="Times New Roman" w:cs="Times New Roman"/>
          <w:sz w:val="24"/>
          <w:szCs w:val="24"/>
        </w:rPr>
        <w:t xml:space="preserve">, M. Kaminski, B. </w:t>
      </w:r>
      <w:proofErr w:type="spellStart"/>
      <w:r w:rsidR="00ED4219" w:rsidRPr="004F6EAB">
        <w:rPr>
          <w:rFonts w:ascii="Times New Roman" w:hAnsi="Times New Roman" w:cs="Times New Roman"/>
          <w:sz w:val="24"/>
          <w:szCs w:val="24"/>
        </w:rPr>
        <w:t>Larroque</w:t>
      </w:r>
      <w:proofErr w:type="spellEnd"/>
      <w:r w:rsidR="00ED4219" w:rsidRPr="004F6EAB">
        <w:rPr>
          <w:rFonts w:ascii="Times New Roman" w:hAnsi="Times New Roman" w:cs="Times New Roman"/>
          <w:sz w:val="24"/>
          <w:szCs w:val="24"/>
        </w:rPr>
        <w:t xml:space="preserve">, N. </w:t>
      </w:r>
      <w:proofErr w:type="spellStart"/>
      <w:r w:rsidR="00ED4219" w:rsidRPr="004F6EAB">
        <w:rPr>
          <w:rFonts w:ascii="Times New Roman" w:hAnsi="Times New Roman" w:cs="Times New Roman"/>
          <w:sz w:val="24"/>
          <w:szCs w:val="24"/>
        </w:rPr>
        <w:t>Lelong</w:t>
      </w:r>
      <w:proofErr w:type="spellEnd"/>
      <w:r w:rsidR="00ED4219" w:rsidRPr="004F6EAB">
        <w:rPr>
          <w:rFonts w:ascii="Times New Roman" w:hAnsi="Times New Roman" w:cs="Times New Roman"/>
          <w:sz w:val="24"/>
          <w:szCs w:val="24"/>
        </w:rPr>
        <w:t xml:space="preserve">, J. </w:t>
      </w:r>
      <w:proofErr w:type="spellStart"/>
      <w:r w:rsidR="00ED4219" w:rsidRPr="004F6EAB">
        <w:rPr>
          <w:rFonts w:ascii="Times New Roman" w:hAnsi="Times New Roman" w:cs="Times New Roman"/>
          <w:sz w:val="24"/>
          <w:szCs w:val="24"/>
        </w:rPr>
        <w:t>Lepeule</w:t>
      </w:r>
      <w:proofErr w:type="spellEnd"/>
      <w:r w:rsidR="00ED4219" w:rsidRPr="004F6EAB">
        <w:rPr>
          <w:rFonts w:ascii="Times New Roman" w:hAnsi="Times New Roman" w:cs="Times New Roman"/>
          <w:sz w:val="24"/>
          <w:szCs w:val="24"/>
        </w:rPr>
        <w:t xml:space="preserve">, G. </w:t>
      </w:r>
      <w:proofErr w:type="spellStart"/>
      <w:r w:rsidR="00ED4219" w:rsidRPr="004F6EAB">
        <w:rPr>
          <w:rFonts w:ascii="Times New Roman" w:hAnsi="Times New Roman" w:cs="Times New Roman"/>
          <w:sz w:val="24"/>
          <w:szCs w:val="24"/>
        </w:rPr>
        <w:t>Magnin</w:t>
      </w:r>
      <w:proofErr w:type="spellEnd"/>
      <w:r w:rsidR="00ED4219" w:rsidRPr="004F6EAB">
        <w:rPr>
          <w:rFonts w:ascii="Times New Roman" w:hAnsi="Times New Roman" w:cs="Times New Roman"/>
          <w:sz w:val="24"/>
          <w:szCs w:val="24"/>
        </w:rPr>
        <w:t xml:space="preserve">, L. Marchand, C. </w:t>
      </w:r>
      <w:proofErr w:type="spellStart"/>
      <w:r w:rsidR="00ED4219" w:rsidRPr="004F6EAB">
        <w:rPr>
          <w:rFonts w:ascii="Times New Roman" w:hAnsi="Times New Roman" w:cs="Times New Roman"/>
          <w:sz w:val="24"/>
          <w:szCs w:val="24"/>
        </w:rPr>
        <w:t>Nabet</w:t>
      </w:r>
      <w:proofErr w:type="spellEnd"/>
      <w:r w:rsidR="00ED4219" w:rsidRPr="004F6EAB">
        <w:rPr>
          <w:rFonts w:ascii="Times New Roman" w:hAnsi="Times New Roman" w:cs="Times New Roman"/>
          <w:sz w:val="24"/>
          <w:szCs w:val="24"/>
        </w:rPr>
        <w:t xml:space="preserve">, F Pierre, R. </w:t>
      </w:r>
      <w:proofErr w:type="spellStart"/>
      <w:r w:rsidR="00ED4219" w:rsidRPr="004F6EAB">
        <w:rPr>
          <w:rFonts w:ascii="Times New Roman" w:hAnsi="Times New Roman" w:cs="Times New Roman"/>
          <w:sz w:val="24"/>
          <w:szCs w:val="24"/>
        </w:rPr>
        <w:t>Slama</w:t>
      </w:r>
      <w:proofErr w:type="spellEnd"/>
      <w:r w:rsidR="00ED4219" w:rsidRPr="004F6EAB">
        <w:rPr>
          <w:rFonts w:ascii="Times New Roman" w:hAnsi="Times New Roman" w:cs="Times New Roman"/>
          <w:sz w:val="24"/>
          <w:szCs w:val="24"/>
        </w:rPr>
        <w:t xml:space="preserve">, M.J. </w:t>
      </w:r>
      <w:proofErr w:type="spellStart"/>
      <w:r w:rsidR="00ED4219" w:rsidRPr="004F6EAB">
        <w:rPr>
          <w:rFonts w:ascii="Times New Roman" w:hAnsi="Times New Roman" w:cs="Times New Roman"/>
          <w:sz w:val="24"/>
          <w:szCs w:val="24"/>
        </w:rPr>
        <w:t>Saurel-Cubizolles</w:t>
      </w:r>
      <w:proofErr w:type="spellEnd"/>
      <w:r w:rsidR="00ED4219" w:rsidRPr="004F6EAB">
        <w:rPr>
          <w:rFonts w:ascii="Times New Roman" w:hAnsi="Times New Roman" w:cs="Times New Roman"/>
          <w:sz w:val="24"/>
          <w:szCs w:val="24"/>
        </w:rPr>
        <w:t xml:space="preserve">, M. Schweitzer, and O. </w:t>
      </w:r>
      <w:proofErr w:type="spellStart"/>
      <w:r w:rsidR="00ED4219" w:rsidRPr="004F6EAB">
        <w:rPr>
          <w:rFonts w:ascii="Times New Roman" w:hAnsi="Times New Roman" w:cs="Times New Roman"/>
          <w:sz w:val="24"/>
          <w:szCs w:val="24"/>
        </w:rPr>
        <w:t>Thiebaugeorges</w:t>
      </w:r>
      <w:proofErr w:type="spellEnd"/>
      <w:r w:rsidR="00ED4219" w:rsidRPr="004F6EAB">
        <w:rPr>
          <w:rFonts w:ascii="Times New Roman" w:hAnsi="Times New Roman" w:cs="Times New Roman"/>
          <w:sz w:val="24"/>
          <w:szCs w:val="24"/>
        </w:rPr>
        <w:t>.</w:t>
      </w:r>
      <w:r w:rsidR="00A84A3B" w:rsidRPr="004F6EAB">
        <w:rPr>
          <w:rFonts w:ascii="Times New Roman" w:hAnsi="Times New Roman" w:cs="Times New Roman"/>
          <w:b/>
          <w:sz w:val="24"/>
          <w:szCs w:val="24"/>
          <w:lang w:val="en-US"/>
        </w:rPr>
        <w:t xml:space="preserve"> Generation R: </w:t>
      </w:r>
      <w:r w:rsidR="00A84A3B" w:rsidRPr="004F6EAB">
        <w:rPr>
          <w:rFonts w:ascii="Times New Roman" w:hAnsi="Times New Roman" w:cs="Times New Roman"/>
          <w:bCs/>
          <w:sz w:val="24"/>
          <w:szCs w:val="24"/>
          <w:lang w:val="en-US"/>
        </w:rPr>
        <w:t xml:space="preserve">The Generation R Study is conducted by the Erasmus Medical Centre in close collaboration with the School of Law and the Faculty of Social Sciences at the Erasmus University, Rotterdam, the Municipal Health Service, Rotterdam area, and the </w:t>
      </w:r>
      <w:proofErr w:type="spellStart"/>
      <w:r w:rsidR="00A84A3B" w:rsidRPr="004F6EAB">
        <w:rPr>
          <w:rFonts w:ascii="Times New Roman" w:hAnsi="Times New Roman" w:cs="Times New Roman"/>
          <w:bCs/>
          <w:sz w:val="24"/>
          <w:szCs w:val="24"/>
          <w:lang w:val="en-US"/>
        </w:rPr>
        <w:t>Stichting</w:t>
      </w:r>
      <w:proofErr w:type="spellEnd"/>
      <w:r w:rsidR="00A84A3B" w:rsidRPr="004F6EAB">
        <w:rPr>
          <w:rFonts w:ascii="Times New Roman" w:hAnsi="Times New Roman" w:cs="Times New Roman"/>
          <w:bCs/>
          <w:sz w:val="24"/>
          <w:szCs w:val="24"/>
          <w:lang w:val="en-US"/>
        </w:rPr>
        <w:t xml:space="preserve"> </w:t>
      </w:r>
      <w:proofErr w:type="spellStart"/>
      <w:r w:rsidR="00A84A3B" w:rsidRPr="004F6EAB">
        <w:rPr>
          <w:rFonts w:ascii="Times New Roman" w:hAnsi="Times New Roman" w:cs="Times New Roman"/>
          <w:bCs/>
          <w:sz w:val="24"/>
          <w:szCs w:val="24"/>
          <w:lang w:val="en-US"/>
        </w:rPr>
        <w:t>Trombosedienst</w:t>
      </w:r>
      <w:proofErr w:type="spellEnd"/>
      <w:r w:rsidR="00A84A3B" w:rsidRPr="004F6EAB">
        <w:rPr>
          <w:rFonts w:ascii="Times New Roman" w:hAnsi="Times New Roman" w:cs="Times New Roman"/>
          <w:bCs/>
          <w:sz w:val="24"/>
          <w:szCs w:val="24"/>
          <w:lang w:val="en-US"/>
        </w:rPr>
        <w:t xml:space="preserve"> and </w:t>
      </w:r>
      <w:proofErr w:type="spellStart"/>
      <w:r w:rsidR="00A84A3B" w:rsidRPr="004F6EAB">
        <w:rPr>
          <w:rFonts w:ascii="Times New Roman" w:hAnsi="Times New Roman" w:cs="Times New Roman"/>
          <w:bCs/>
          <w:sz w:val="24"/>
          <w:szCs w:val="24"/>
          <w:lang w:val="en-US"/>
        </w:rPr>
        <w:t>Artsenlaboratorium</w:t>
      </w:r>
      <w:proofErr w:type="spellEnd"/>
      <w:r w:rsidR="00A84A3B" w:rsidRPr="004F6EAB">
        <w:rPr>
          <w:rFonts w:ascii="Times New Roman" w:hAnsi="Times New Roman" w:cs="Times New Roman"/>
          <w:bCs/>
          <w:sz w:val="24"/>
          <w:szCs w:val="24"/>
          <w:lang w:val="en-US"/>
        </w:rPr>
        <w:t xml:space="preserve"> </w:t>
      </w:r>
      <w:proofErr w:type="spellStart"/>
      <w:r w:rsidR="00A84A3B" w:rsidRPr="004F6EAB">
        <w:rPr>
          <w:rFonts w:ascii="Times New Roman" w:hAnsi="Times New Roman" w:cs="Times New Roman"/>
          <w:bCs/>
          <w:sz w:val="24"/>
          <w:szCs w:val="24"/>
          <w:lang w:val="en-US"/>
        </w:rPr>
        <w:t>Rijnmond</w:t>
      </w:r>
      <w:proofErr w:type="spellEnd"/>
      <w:r w:rsidR="00A84A3B" w:rsidRPr="004F6EAB">
        <w:rPr>
          <w:rFonts w:ascii="Times New Roman" w:hAnsi="Times New Roman" w:cs="Times New Roman"/>
          <w:bCs/>
          <w:sz w:val="24"/>
          <w:szCs w:val="24"/>
          <w:lang w:val="en-US"/>
        </w:rPr>
        <w:t xml:space="preserve"> (Star-MDC), Rotterdam. We gratefully acknowledge the contribution of children and their parents, general practitioners, hospitals, midwives and pharmacies in Rotterdam.</w:t>
      </w:r>
      <w:r w:rsidR="00897C5A" w:rsidRPr="004F6EAB">
        <w:rPr>
          <w:rFonts w:ascii="Times New Roman" w:hAnsi="Times New Roman" w:cs="Times New Roman"/>
          <w:bCs/>
          <w:sz w:val="24"/>
          <w:szCs w:val="24"/>
          <w:lang w:val="en-US"/>
        </w:rPr>
        <w:t xml:space="preserve"> </w:t>
      </w:r>
      <w:r w:rsidR="00597BF3" w:rsidRPr="004F6EAB">
        <w:rPr>
          <w:rFonts w:ascii="Times New Roman" w:hAnsi="Times New Roman" w:cs="Times New Roman"/>
          <w:b/>
          <w:sz w:val="24"/>
          <w:szCs w:val="24"/>
          <w:lang w:val="en-US"/>
        </w:rPr>
        <w:t>Lifeways:</w:t>
      </w:r>
      <w:r w:rsidR="00597BF3" w:rsidRPr="004F6EAB">
        <w:rPr>
          <w:rFonts w:ascii="Times New Roman" w:hAnsi="Times New Roman" w:cs="Times New Roman"/>
          <w:bCs/>
          <w:sz w:val="24"/>
          <w:szCs w:val="24"/>
          <w:lang w:val="en-US"/>
        </w:rPr>
        <w:t xml:space="preserve"> We would like to thank all members of the Lifeways cohort for their valuable contribution to the study. The participation of families is much appreciated. </w:t>
      </w:r>
      <w:r w:rsidR="00597BF3" w:rsidRPr="004F6EAB">
        <w:rPr>
          <w:rFonts w:ascii="Times New Roman" w:hAnsi="Times New Roman" w:cs="Times New Roman"/>
          <w:b/>
          <w:sz w:val="24"/>
          <w:szCs w:val="24"/>
          <w:lang w:val="en-US"/>
        </w:rPr>
        <w:t>REPRO_PL:</w:t>
      </w:r>
      <w:r w:rsidR="00597BF3" w:rsidRPr="004F6EAB">
        <w:rPr>
          <w:rFonts w:ascii="Times New Roman" w:hAnsi="Times New Roman" w:cs="Times New Roman"/>
          <w:bCs/>
          <w:sz w:val="24"/>
          <w:szCs w:val="24"/>
          <w:lang w:val="en-US"/>
        </w:rPr>
        <w:t xml:space="preserve"> We gratefully acknowledge the contribution of children and their parents, hospitals, physicians, and midwives. </w:t>
      </w:r>
      <w:r w:rsidR="00597BF3" w:rsidRPr="004F6EAB">
        <w:rPr>
          <w:rFonts w:ascii="Times New Roman" w:hAnsi="Times New Roman" w:cs="Times New Roman"/>
          <w:b/>
          <w:sz w:val="24"/>
          <w:szCs w:val="24"/>
          <w:lang w:val="en-US"/>
        </w:rPr>
        <w:t>ROLO:</w:t>
      </w:r>
      <w:r w:rsidR="00597BF3" w:rsidRPr="004F6EAB">
        <w:rPr>
          <w:rFonts w:ascii="Times New Roman" w:hAnsi="Times New Roman" w:cs="Times New Roman"/>
          <w:bCs/>
          <w:sz w:val="24"/>
          <w:szCs w:val="24"/>
          <w:lang w:val="en-US"/>
        </w:rPr>
        <w:t xml:space="preserve"> We are grateful to the participating mothers, children, and to the research and clinical staff who enabled us recruit this pregnancy and birth cohort. </w:t>
      </w:r>
      <w:r w:rsidR="00597BF3" w:rsidRPr="004F6EAB">
        <w:rPr>
          <w:rFonts w:ascii="Times New Roman" w:hAnsi="Times New Roman" w:cs="Times New Roman"/>
          <w:bCs/>
          <w:i/>
          <w:iCs/>
          <w:sz w:val="24"/>
          <w:szCs w:val="24"/>
          <w:lang w:val="en-US"/>
        </w:rPr>
        <w:t>SWS:</w:t>
      </w:r>
      <w:r w:rsidR="00597BF3" w:rsidRPr="004F6EAB">
        <w:rPr>
          <w:rFonts w:ascii="Times New Roman" w:hAnsi="Times New Roman" w:cs="Times New Roman"/>
          <w:bCs/>
          <w:sz w:val="24"/>
          <w:szCs w:val="24"/>
          <w:lang w:val="en-US"/>
        </w:rPr>
        <w:t xml:space="preserve"> We are grateful to the women of </w:t>
      </w:r>
      <w:r w:rsidR="00597BF3" w:rsidRPr="004F6EAB">
        <w:rPr>
          <w:rFonts w:ascii="Times New Roman" w:hAnsi="Times New Roman" w:cs="Times New Roman"/>
          <w:bCs/>
          <w:sz w:val="24"/>
          <w:szCs w:val="24"/>
          <w:lang w:val="en-US"/>
        </w:rPr>
        <w:lastRenderedPageBreak/>
        <w:t>Southampton and their children, who gave their time to take part in this study, and to the research nurses and other staff who collected and processed the data.</w:t>
      </w:r>
    </w:p>
    <w:p w14:paraId="6EBB5A2D" w14:textId="71FCF8F7" w:rsidR="001B152A" w:rsidRPr="004F6EAB" w:rsidRDefault="001B152A" w:rsidP="001B152A">
      <w:pPr>
        <w:spacing w:line="480" w:lineRule="auto"/>
        <w:rPr>
          <w:rFonts w:ascii="Times New Roman" w:hAnsi="Times New Roman" w:cs="Times New Roman"/>
          <w:b/>
          <w:bCs/>
          <w:sz w:val="24"/>
          <w:szCs w:val="24"/>
        </w:rPr>
      </w:pPr>
      <w:r w:rsidRPr="004F6EAB">
        <w:rPr>
          <w:rFonts w:ascii="Times New Roman" w:hAnsi="Times New Roman" w:cs="Times New Roman"/>
          <w:b/>
          <w:sz w:val="24"/>
          <w:szCs w:val="24"/>
          <w:lang w:val="en-GB" w:eastAsia="en-US"/>
        </w:rPr>
        <w:br w:type="page"/>
      </w:r>
    </w:p>
    <w:p w14:paraId="11776058" w14:textId="790277D0" w:rsidR="00EA2A1C" w:rsidRPr="004F6EAB" w:rsidRDefault="00184622" w:rsidP="00233D4C">
      <w:pPr>
        <w:spacing w:line="480" w:lineRule="auto"/>
        <w:rPr>
          <w:rFonts w:ascii="Times New Roman" w:hAnsi="Times New Roman" w:cs="Times New Roman"/>
          <w:b/>
          <w:sz w:val="24"/>
          <w:szCs w:val="24"/>
        </w:rPr>
      </w:pPr>
      <w:r w:rsidRPr="004F6EAB">
        <w:rPr>
          <w:rFonts w:ascii="Times New Roman" w:hAnsi="Times New Roman" w:cs="Times New Roman"/>
          <w:b/>
          <w:sz w:val="24"/>
          <w:szCs w:val="24"/>
        </w:rPr>
        <w:lastRenderedPageBreak/>
        <w:t>REFERENCES</w:t>
      </w:r>
    </w:p>
    <w:p w14:paraId="3A308FA5" w14:textId="78BB1AA2" w:rsidR="005C1ADD" w:rsidRPr="005C1ADD" w:rsidRDefault="00EA2A1C"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F6EAB">
        <w:rPr>
          <w:rFonts w:ascii="Times New Roman" w:hAnsi="Times New Roman" w:cs="Times New Roman"/>
          <w:sz w:val="24"/>
          <w:szCs w:val="24"/>
        </w:rPr>
        <w:fldChar w:fldCharType="begin" w:fldLock="1"/>
      </w:r>
      <w:r w:rsidRPr="004F6EAB">
        <w:rPr>
          <w:rFonts w:ascii="Times New Roman" w:hAnsi="Times New Roman" w:cs="Times New Roman"/>
          <w:sz w:val="24"/>
          <w:szCs w:val="24"/>
        </w:rPr>
        <w:instrText xml:space="preserve">ADDIN Mendeley Bibliography CSL_BIBLIOGRAPHY </w:instrText>
      </w:r>
      <w:r w:rsidRPr="004F6EAB">
        <w:rPr>
          <w:rFonts w:ascii="Times New Roman" w:hAnsi="Times New Roman" w:cs="Times New Roman"/>
          <w:sz w:val="24"/>
          <w:szCs w:val="24"/>
        </w:rPr>
        <w:fldChar w:fldCharType="separate"/>
      </w:r>
      <w:r w:rsidR="005C1ADD" w:rsidRPr="005C1ADD">
        <w:rPr>
          <w:rFonts w:ascii="Times New Roman" w:hAnsi="Times New Roman" w:cs="Times New Roman"/>
          <w:noProof/>
          <w:sz w:val="24"/>
          <w:szCs w:val="24"/>
        </w:rPr>
        <w:t xml:space="preserve">1. </w:t>
      </w:r>
      <w:r w:rsidR="005C1ADD" w:rsidRPr="005C1ADD">
        <w:rPr>
          <w:rFonts w:ascii="Times New Roman" w:hAnsi="Times New Roman" w:cs="Times New Roman"/>
          <w:noProof/>
          <w:sz w:val="24"/>
          <w:szCs w:val="24"/>
        </w:rPr>
        <w:tab/>
        <w:t>Petrou S. Economic consequences of preterm birth and low birthweight. BJOG An Int J Obstet Gynaecol. 2003;110: 17–23. doi:10.1046/j.1471-0528.2003.00013.x</w:t>
      </w:r>
    </w:p>
    <w:p w14:paraId="74037EFC"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2. </w:t>
      </w:r>
      <w:r w:rsidRPr="005C1ADD">
        <w:rPr>
          <w:rFonts w:ascii="Times New Roman" w:hAnsi="Times New Roman" w:cs="Times New Roman"/>
          <w:noProof/>
          <w:sz w:val="24"/>
          <w:szCs w:val="24"/>
        </w:rPr>
        <w:tab/>
        <w:t>Jornayvaz FR, Vollenweider P, Bochud M, Mooser V, Waeber G, Marques-Vidal P. Low birth weight leads to obesity, diabetes and increased leptin levels in adults: the CoLaus study. Cardiovasc Diabetol. 2016;15: 73. doi:10.1186/s12933-016-0389-2</w:t>
      </w:r>
    </w:p>
    <w:p w14:paraId="452B85C7"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3. </w:t>
      </w:r>
      <w:r w:rsidRPr="005C1ADD">
        <w:rPr>
          <w:rFonts w:ascii="Times New Roman" w:hAnsi="Times New Roman" w:cs="Times New Roman"/>
          <w:noProof/>
          <w:sz w:val="24"/>
          <w:szCs w:val="24"/>
        </w:rPr>
        <w:tab/>
        <w:t>Wang Y, Gao E, Wu J, Zhou J, Yang Q, Walker MC, et al. Fetal macrosomia and adolescence obesity: results from a longitudinal cohort study. Int J Obes. 2009;33: 923–928. doi:10.1038/ijo.2009.131</w:t>
      </w:r>
    </w:p>
    <w:p w14:paraId="31B8036D"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4. </w:t>
      </w:r>
      <w:r w:rsidRPr="005C1ADD">
        <w:rPr>
          <w:rFonts w:ascii="Times New Roman" w:hAnsi="Times New Roman" w:cs="Times New Roman"/>
          <w:noProof/>
          <w:sz w:val="24"/>
          <w:szCs w:val="24"/>
        </w:rPr>
        <w:tab/>
        <w:t>Galal M, Symonds I, Murray H, Petraglia F, Smith R. Postterm pregnancy. Facts, views Vis ObGyn. 2012;4: 175–87. Available: http://www.ncbi.nlm.nih.gov/pubmed/24753906</w:t>
      </w:r>
    </w:p>
    <w:p w14:paraId="7B684828"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5. </w:t>
      </w:r>
      <w:r w:rsidRPr="005C1ADD">
        <w:rPr>
          <w:rFonts w:ascii="Times New Roman" w:hAnsi="Times New Roman" w:cs="Times New Roman"/>
          <w:noProof/>
          <w:sz w:val="24"/>
          <w:szCs w:val="24"/>
        </w:rPr>
        <w:tab/>
        <w:t>Blencowe H, Cousens S, Oestergaard MZ, Chou D, Moller A-B, Narwal R, et al. National, regional, and worldwide estimates of preterm birth rates in the year 2010 with time trends since 1990 for selected countries: a systematic analysis and implications. Lancet. 2012;379: 2162–2172. Available: http://www.thelancet.com/journals/lancet/article/PIIS0140-6736(12)60820-4/abstract</w:t>
      </w:r>
    </w:p>
    <w:p w14:paraId="6AA52562"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6. </w:t>
      </w:r>
      <w:r w:rsidRPr="005C1ADD">
        <w:rPr>
          <w:rFonts w:ascii="Times New Roman" w:hAnsi="Times New Roman" w:cs="Times New Roman"/>
          <w:noProof/>
          <w:sz w:val="24"/>
          <w:szCs w:val="24"/>
        </w:rPr>
        <w:tab/>
        <w:t>World Health Organization. WHA Global Nutrition Targets 2025: Low Birth Weight Policy Brief. 2014 [cited 29 Jan 2018]. Available: http://www.who.int/nutrition/topics/globaltargets_lowbirthweight_policybrief.pdf</w:t>
      </w:r>
    </w:p>
    <w:p w14:paraId="5C980E5F"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7. </w:t>
      </w:r>
      <w:r w:rsidRPr="005C1ADD">
        <w:rPr>
          <w:rFonts w:ascii="Times New Roman" w:hAnsi="Times New Roman" w:cs="Times New Roman"/>
          <w:noProof/>
          <w:sz w:val="24"/>
          <w:szCs w:val="24"/>
        </w:rPr>
        <w:tab/>
        <w:t>Nicholas LM, Ozanne SE. Early life programming in mice by maternal overnutrition: mechanistic insights and interventional approaches. Philos Trans R Soc B Biol Sci. 2019;374: 20180116. doi:10.1098/rstb.2018.0116</w:t>
      </w:r>
    </w:p>
    <w:p w14:paraId="506C3052"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8. </w:t>
      </w:r>
      <w:r w:rsidRPr="005C1ADD">
        <w:rPr>
          <w:rFonts w:ascii="Times New Roman" w:hAnsi="Times New Roman" w:cs="Times New Roman"/>
          <w:noProof/>
          <w:sz w:val="24"/>
          <w:szCs w:val="24"/>
        </w:rPr>
        <w:tab/>
        <w:t>Huang C, Li Z, Wang M, Martorell R. Early life exposure to the 1959-1961 Chinese famine has long-term health consequences. J Nutr. 2010;140: 1874–8. doi:10.3945/jn.110.121293</w:t>
      </w:r>
    </w:p>
    <w:p w14:paraId="6186A383"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9. </w:t>
      </w:r>
      <w:r w:rsidRPr="005C1ADD">
        <w:rPr>
          <w:rFonts w:ascii="Times New Roman" w:hAnsi="Times New Roman" w:cs="Times New Roman"/>
          <w:noProof/>
          <w:sz w:val="24"/>
          <w:szCs w:val="24"/>
        </w:rPr>
        <w:tab/>
        <w:t>Roseboom TJ, van der Meulen JH, Osmond C, Barker DJ, Ravelli AC, Schroeder-Tanka JM, et al. Coronary heart disease after prenatal exposure to the Dutch famine, 1944-45. Heart. 2000;84: 595–8. Available: http://www.ncbi.nlm.nih.gov/pubmed/11083734</w:t>
      </w:r>
    </w:p>
    <w:p w14:paraId="053BBDBF"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10. </w:t>
      </w:r>
      <w:r w:rsidRPr="005C1ADD">
        <w:rPr>
          <w:rFonts w:ascii="Times New Roman" w:hAnsi="Times New Roman" w:cs="Times New Roman"/>
          <w:noProof/>
          <w:sz w:val="24"/>
          <w:szCs w:val="24"/>
        </w:rPr>
        <w:tab/>
        <w:t>Maslova E, Rytter D, Bech BH, Henriksen TB, Rasmussen MA, Olsen SF, et al. Maternal protein intake during pregnancy and offspring overweight 20 y later. Am J Clin Nutr. 2014;100: 1139–48. doi:10.3945/ajcn.113.082222</w:t>
      </w:r>
    </w:p>
    <w:p w14:paraId="5FEB041A"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lastRenderedPageBreak/>
        <w:t xml:space="preserve">11. </w:t>
      </w:r>
      <w:r w:rsidRPr="005C1ADD">
        <w:rPr>
          <w:rFonts w:ascii="Times New Roman" w:hAnsi="Times New Roman" w:cs="Times New Roman"/>
          <w:noProof/>
          <w:sz w:val="24"/>
          <w:szCs w:val="24"/>
        </w:rPr>
        <w:tab/>
        <w:t>Chen L-W, Aris IM, Bernard JY, Tint M-T, Colega M, Gluckman PD, et al. Associations of maternal macronutrient intake during pregnancy with infant BMI peak characteristics and childhood BMI. Am J Clin Nutr. 2017;105: 705–713. doi:10.3945/ajcn.116.148270</w:t>
      </w:r>
    </w:p>
    <w:p w14:paraId="560950BB"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12. </w:t>
      </w:r>
      <w:r w:rsidRPr="005C1ADD">
        <w:rPr>
          <w:rFonts w:ascii="Times New Roman" w:hAnsi="Times New Roman" w:cs="Times New Roman"/>
          <w:noProof/>
          <w:sz w:val="24"/>
          <w:szCs w:val="24"/>
        </w:rPr>
        <w:tab/>
        <w:t>Kant AK. Indexes of Overall Diet Quality: A Review. J Am Diet Assoc. 1996;96: 785–791. doi:10.1016/S0002-8223(96)00217-9</w:t>
      </w:r>
    </w:p>
    <w:p w14:paraId="3E6AF65E"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13. </w:t>
      </w:r>
      <w:r w:rsidRPr="005C1ADD">
        <w:rPr>
          <w:rFonts w:ascii="Times New Roman" w:hAnsi="Times New Roman" w:cs="Times New Roman"/>
          <w:noProof/>
          <w:sz w:val="24"/>
          <w:szCs w:val="24"/>
        </w:rPr>
        <w:tab/>
        <w:t>Hu FB. Dietary pattern analysis: a new direction in nutritional epidemiology. Curr Opin Lipidol. 2002;13: 3–9. Available: http://www.ncbi.nlm.nih.gov/pubmed/11790957</w:t>
      </w:r>
    </w:p>
    <w:p w14:paraId="287A4539"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14. </w:t>
      </w:r>
      <w:r w:rsidRPr="005C1ADD">
        <w:rPr>
          <w:rFonts w:ascii="Times New Roman" w:hAnsi="Times New Roman" w:cs="Times New Roman"/>
          <w:noProof/>
          <w:sz w:val="24"/>
          <w:szCs w:val="24"/>
        </w:rPr>
        <w:tab/>
        <w:t>Cespedes EM, Hu FB. Dietary patterns: from nutritional epidemiologic analysis to national guidelines. Am J Clin Nutr. 2015;101: 899–900. doi:10.3945/ajcn.115.110213</w:t>
      </w:r>
    </w:p>
    <w:p w14:paraId="75BE63B6"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15. </w:t>
      </w:r>
      <w:r w:rsidRPr="005C1ADD">
        <w:rPr>
          <w:rFonts w:ascii="Times New Roman" w:hAnsi="Times New Roman" w:cs="Times New Roman"/>
          <w:noProof/>
          <w:sz w:val="24"/>
          <w:szCs w:val="24"/>
        </w:rPr>
        <w:tab/>
        <w:t>Curry AE, Vogel I, Skogstrand K, Drews C, Schendel DE, Flanders WD, et al. Maternal plasma cytokines in early- and mid-gestation of normal human pregnancy and their association with maternal factors. J Reprod Immunol. 2008;77: 152–160. doi:10.1016/j.jri.2007.06.051</w:t>
      </w:r>
    </w:p>
    <w:p w14:paraId="24042C50"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16. </w:t>
      </w:r>
      <w:r w:rsidRPr="005C1ADD">
        <w:rPr>
          <w:rFonts w:ascii="Times New Roman" w:hAnsi="Times New Roman" w:cs="Times New Roman"/>
          <w:noProof/>
          <w:sz w:val="24"/>
          <w:szCs w:val="24"/>
        </w:rPr>
        <w:tab/>
        <w:t>Ferguson KK, McElrath TF, Chen Y-H, Mukherjee B, Meeker JD. Longitudinal Profiling of Inflammatory Cytokines and C-reactive Protein during Uncomplicated and Preterm Pregnancy. Am J Reprod Immunol. 2014;72: 326–336. doi:10.1111/aji.12265</w:t>
      </w:r>
    </w:p>
    <w:p w14:paraId="4F24C1D1"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17. </w:t>
      </w:r>
      <w:r w:rsidRPr="005C1ADD">
        <w:rPr>
          <w:rFonts w:ascii="Times New Roman" w:hAnsi="Times New Roman" w:cs="Times New Roman"/>
          <w:noProof/>
          <w:sz w:val="24"/>
          <w:szCs w:val="24"/>
        </w:rPr>
        <w:tab/>
        <w:t>Harmon AC, Cornelius DC, Amaral LM, Faulkner JL, Cunningham MW, Wallace K, et al. The role of inflammation in the pathology of preeclampsia. Clin Sci (Lond). 2016;130: 409–19. doi:10.1042/CS20150702</w:t>
      </w:r>
    </w:p>
    <w:p w14:paraId="502C5713"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18. </w:t>
      </w:r>
      <w:r w:rsidRPr="005C1ADD">
        <w:rPr>
          <w:rFonts w:ascii="Times New Roman" w:hAnsi="Times New Roman" w:cs="Times New Roman"/>
          <w:noProof/>
          <w:sz w:val="24"/>
          <w:szCs w:val="24"/>
        </w:rPr>
        <w:tab/>
        <w:t>Minihane AM, Vinoy S, Russell WR, Baka A, Roche HM, Tuohy KM, et al. Low-grade inflammation, diet composition and health: current research evidence and its translation. Br J Nutr. 2015;114: 999–1012. doi:10.1017/S0007114515002093</w:t>
      </w:r>
    </w:p>
    <w:p w14:paraId="5015602C"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19. </w:t>
      </w:r>
      <w:r w:rsidRPr="005C1ADD">
        <w:rPr>
          <w:rFonts w:ascii="Times New Roman" w:hAnsi="Times New Roman" w:cs="Times New Roman"/>
          <w:noProof/>
          <w:sz w:val="24"/>
          <w:szCs w:val="24"/>
        </w:rPr>
        <w:tab/>
        <w:t>Phillips CM, Chen L-W, Heude B, Bernard JY, Harvey NC, Duijts L, et al. Dietary Inflammatory Index and Non-Communicable Disease Risk: A Narrative Review. Nutrients. 2019;11: 1873. doi:10.3390/NU11081873</w:t>
      </w:r>
    </w:p>
    <w:p w14:paraId="5F1763E1"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20. </w:t>
      </w:r>
      <w:r w:rsidRPr="005C1ADD">
        <w:rPr>
          <w:rFonts w:ascii="Times New Roman" w:hAnsi="Times New Roman" w:cs="Times New Roman"/>
          <w:noProof/>
          <w:sz w:val="24"/>
          <w:szCs w:val="24"/>
        </w:rPr>
        <w:tab/>
        <w:t>Raghavan R, Dreibelbis C, Kingshipp BL, Wong YP, Abrams B, Gernand AD, et al. Dietary patterns before and during pregnancy and birth outcomes: a systematic review. Am J Clin Nutr. 2019;109: 729S-756S. doi:10.1093/ajcn/nqy353</w:t>
      </w:r>
    </w:p>
    <w:p w14:paraId="1F5F9E29"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21. </w:t>
      </w:r>
      <w:r w:rsidRPr="005C1ADD">
        <w:rPr>
          <w:rFonts w:ascii="Times New Roman" w:hAnsi="Times New Roman" w:cs="Times New Roman"/>
          <w:noProof/>
          <w:sz w:val="24"/>
          <w:szCs w:val="24"/>
        </w:rPr>
        <w:tab/>
        <w:t>Chia A-R, Chen L-W, Lai JS, Wong CH, Neelakantan N, van Dam RM, et al. Maternal Dietary Patterns and Birth Outcomes: A Systematic Review and Meta-Analysis. Adv Nutr. 2019;10: 685–695. doi:10.1093/advances/nmy123</w:t>
      </w:r>
    </w:p>
    <w:p w14:paraId="32434231"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22. </w:t>
      </w:r>
      <w:r w:rsidRPr="005C1ADD">
        <w:rPr>
          <w:rFonts w:ascii="Times New Roman" w:hAnsi="Times New Roman" w:cs="Times New Roman"/>
          <w:noProof/>
          <w:sz w:val="24"/>
          <w:szCs w:val="24"/>
        </w:rPr>
        <w:tab/>
        <w:t xml:space="preserve">Jaddoe VW V., Mackenbach JP, Moll HA, Steegers EAP, Tiemeier H, Verhulst FC, et </w:t>
      </w:r>
      <w:r w:rsidRPr="005C1ADD">
        <w:rPr>
          <w:rFonts w:ascii="Times New Roman" w:hAnsi="Times New Roman" w:cs="Times New Roman"/>
          <w:noProof/>
          <w:sz w:val="24"/>
          <w:szCs w:val="24"/>
        </w:rPr>
        <w:lastRenderedPageBreak/>
        <w:t>al. The Generation R Study: Design and cohort profile. Eur J Epidemiol. 2006;21: 475–484. doi:10.1007/s10654-006-9022-0</w:t>
      </w:r>
    </w:p>
    <w:p w14:paraId="594F2D96"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23. </w:t>
      </w:r>
      <w:r w:rsidRPr="005C1ADD">
        <w:rPr>
          <w:rFonts w:ascii="Times New Roman" w:hAnsi="Times New Roman" w:cs="Times New Roman"/>
          <w:noProof/>
          <w:sz w:val="24"/>
          <w:szCs w:val="24"/>
        </w:rPr>
        <w:tab/>
        <w:t>Polańska K, Hanke W, Gromadzińska J, Ligocka D, Gulczyńska E, Sobala W, et al. Polish mother and child cohort study — defining the problem, the aim of the study and methodological assumptions. Int J Occup Med Environ Health. 2009;22. doi:10.2478/v10001-009-0037-0</w:t>
      </w:r>
    </w:p>
    <w:p w14:paraId="4D94C0E3"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24. </w:t>
      </w:r>
      <w:r w:rsidRPr="005C1ADD">
        <w:rPr>
          <w:rFonts w:ascii="Times New Roman" w:hAnsi="Times New Roman" w:cs="Times New Roman"/>
          <w:noProof/>
          <w:sz w:val="24"/>
          <w:szCs w:val="24"/>
        </w:rPr>
        <w:tab/>
        <w:t>Heude B, Forhan A, Slama R, Douhaud L, Bedel S, Saurel-Cubizolles M-J, et al. Cohort Profile: The EDEN mother-child cohort on the prenatal and early postnatal determinants of child health and development. Int J Epidemiol. 2016;45: 353–363. doi:10.1093/ije/dyv151</w:t>
      </w:r>
    </w:p>
    <w:p w14:paraId="5EB8A5CC"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25. </w:t>
      </w:r>
      <w:r w:rsidRPr="005C1ADD">
        <w:rPr>
          <w:rFonts w:ascii="Times New Roman" w:hAnsi="Times New Roman" w:cs="Times New Roman"/>
          <w:noProof/>
          <w:sz w:val="24"/>
          <w:szCs w:val="24"/>
        </w:rPr>
        <w:tab/>
        <w:t>O’Mahony D, Fallon UB, Hannon F, Kloeckner K, Avalos G, Murphy AW, et al. The Lifeways Cross-Generation Study: design, recruitment and data management considerations. Ir Med J. 2007;100: suppl 3-6. Available: http://www.ncbi.nlm.nih.gov/pubmed/17955692</w:t>
      </w:r>
    </w:p>
    <w:p w14:paraId="6CBD5B13"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26. </w:t>
      </w:r>
      <w:r w:rsidRPr="005C1ADD">
        <w:rPr>
          <w:rFonts w:ascii="Times New Roman" w:hAnsi="Times New Roman" w:cs="Times New Roman"/>
          <w:noProof/>
          <w:sz w:val="24"/>
          <w:szCs w:val="24"/>
        </w:rPr>
        <w:tab/>
        <w:t>Fraser A, Macdonald-Wallis C, Tilling K, Boyd A, Golding J, Davey Smith G, et al. Cohort Profile: The Avon Longitudinal Study of Parents and Children: ALSPAC mothers cohort. Int J Epidemiol. 2013;42: 97–110. doi:10.1093/ije/dys066</w:t>
      </w:r>
    </w:p>
    <w:p w14:paraId="375BCB2F"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27. </w:t>
      </w:r>
      <w:r w:rsidRPr="005C1ADD">
        <w:rPr>
          <w:rFonts w:ascii="Times New Roman" w:hAnsi="Times New Roman" w:cs="Times New Roman"/>
          <w:noProof/>
          <w:sz w:val="24"/>
          <w:szCs w:val="24"/>
        </w:rPr>
        <w:tab/>
        <w:t>Inskip HM, Godfrey KM, Robinson SM, Law CM, Barker DJP, Cooper C, et al. Cohort profile: The Southampton Women’s Survey. Int J Epidemiol. 2005;35: 42–48. doi:10.1093/ije/dyi202</w:t>
      </w:r>
    </w:p>
    <w:p w14:paraId="578E9779"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28. </w:t>
      </w:r>
      <w:r w:rsidRPr="005C1ADD">
        <w:rPr>
          <w:rFonts w:ascii="Times New Roman" w:hAnsi="Times New Roman" w:cs="Times New Roman"/>
          <w:noProof/>
          <w:sz w:val="24"/>
          <w:szCs w:val="24"/>
        </w:rPr>
        <w:tab/>
        <w:t>Walsh JM, McGowan CA, Mahony R, Foley ME, McAuliffe FM. Low glycaemic index diet in pregnancy to prevent macrosomia (ROLO study): Randomised control trial. BMJ. 2012;345: e5605. doi:10.1159/000356110</w:t>
      </w:r>
    </w:p>
    <w:p w14:paraId="1455EF27"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29. </w:t>
      </w:r>
      <w:r w:rsidRPr="005C1ADD">
        <w:rPr>
          <w:rFonts w:ascii="Times New Roman" w:hAnsi="Times New Roman" w:cs="Times New Roman"/>
          <w:noProof/>
          <w:sz w:val="24"/>
          <w:szCs w:val="24"/>
        </w:rPr>
        <w:tab/>
        <w:t>Kooijman MN, Kruithof CJ, van Duijn CM, Duijts L, Franco OH, van IJzendoorn MH, et al. The Generation R Study: design and cohort update 2017. Eur J Epidemiol. 2016;31: 1243–1264. doi:10.1007/s10654-016-0224-9</w:t>
      </w:r>
    </w:p>
    <w:p w14:paraId="3FC457C0"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30. </w:t>
      </w:r>
      <w:r w:rsidRPr="005C1ADD">
        <w:rPr>
          <w:rFonts w:ascii="Times New Roman" w:hAnsi="Times New Roman" w:cs="Times New Roman"/>
          <w:noProof/>
          <w:sz w:val="24"/>
          <w:szCs w:val="24"/>
        </w:rPr>
        <w:tab/>
        <w:t>Boyd A, Golding J, Macleod J, Lawlor DA, Fraser A, Henderson J, et al. Cohort profile: The ’Children of the 90s’-The index offspring of the avon longitudinal study of parents and children. Int J Epidemiol. 2013;42: 111–127. doi:10.1093/ije/dys064</w:t>
      </w:r>
    </w:p>
    <w:p w14:paraId="6A673D82"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31. </w:t>
      </w:r>
      <w:r w:rsidRPr="005C1ADD">
        <w:rPr>
          <w:rFonts w:ascii="Times New Roman" w:hAnsi="Times New Roman" w:cs="Times New Roman"/>
          <w:noProof/>
          <w:sz w:val="24"/>
          <w:szCs w:val="24"/>
        </w:rPr>
        <w:tab/>
        <w:t>Deschamps V, de Lauzon-Guillain B, Lafay L, Borys J-M, Charles MA, Romon M. Reproducibility and relative validity of a food-frequency questionnaire among French adults and adolescents. Eur J Clin Nutr. 2007;63: 282–291. doi:10.1038/sj.ejcn.1602914</w:t>
      </w:r>
    </w:p>
    <w:p w14:paraId="15AF9F7D"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32. </w:t>
      </w:r>
      <w:r w:rsidRPr="005C1ADD">
        <w:rPr>
          <w:rFonts w:ascii="Times New Roman" w:hAnsi="Times New Roman" w:cs="Times New Roman"/>
          <w:noProof/>
          <w:sz w:val="24"/>
          <w:szCs w:val="24"/>
        </w:rPr>
        <w:tab/>
        <w:t xml:space="preserve">Klipstein-Grobusch K, den Breeijen JH, Goldbohm RA, Geleijnse JM, Hofman A, </w:t>
      </w:r>
      <w:r w:rsidRPr="005C1ADD">
        <w:rPr>
          <w:rFonts w:ascii="Times New Roman" w:hAnsi="Times New Roman" w:cs="Times New Roman"/>
          <w:noProof/>
          <w:sz w:val="24"/>
          <w:szCs w:val="24"/>
        </w:rPr>
        <w:lastRenderedPageBreak/>
        <w:t>Grobbee DE, et al. Dietary assessment in the elderly: validation of a semiquantitative food frequency questionnaire. Eur J Clin Nutr. 1998;52: 588–596. doi:10.1038/sj.ejcn.1600611</w:t>
      </w:r>
    </w:p>
    <w:p w14:paraId="0D862A2C"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33. </w:t>
      </w:r>
      <w:r w:rsidRPr="005C1ADD">
        <w:rPr>
          <w:rFonts w:ascii="Times New Roman" w:hAnsi="Times New Roman" w:cs="Times New Roman"/>
          <w:noProof/>
          <w:sz w:val="24"/>
          <w:szCs w:val="24"/>
        </w:rPr>
        <w:tab/>
        <w:t>Murrin C, Shrivastava A, Kelleher CC. Maternal macronutrient intake during pregnancy and 5 years postpartum and associations with child weight status aged five. Eur J Clin Nutr. 2013;67: 670–679. doi:10.1038/ejcn.2013.76</w:t>
      </w:r>
    </w:p>
    <w:p w14:paraId="6F0C9074"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34. </w:t>
      </w:r>
      <w:r w:rsidRPr="005C1ADD">
        <w:rPr>
          <w:rFonts w:ascii="Times New Roman" w:hAnsi="Times New Roman" w:cs="Times New Roman"/>
          <w:noProof/>
          <w:sz w:val="24"/>
          <w:szCs w:val="24"/>
        </w:rPr>
        <w:tab/>
        <w:t xml:space="preserve">Harrington J. Validation of a Food Frequency Questionnaire as a tool for assessing nutrient intake (MA Thesis). National University of Ireland Galway, Galway; 1997. </w:t>
      </w:r>
    </w:p>
    <w:p w14:paraId="500EB45E"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35. </w:t>
      </w:r>
      <w:r w:rsidRPr="005C1ADD">
        <w:rPr>
          <w:rFonts w:ascii="Times New Roman" w:hAnsi="Times New Roman" w:cs="Times New Roman"/>
          <w:noProof/>
          <w:sz w:val="24"/>
          <w:szCs w:val="24"/>
        </w:rPr>
        <w:tab/>
        <w:t>Horan MK, McGowan CA, Doyle O, McAuliffe FM. Well-being in pregnancy: an examination of the effect of socioeconomic, dietary and lifestyle factors including impact of a low glycaemic index dietary intervention. Eur J Clin Nutr. 2013;68: 19–24. doi:10.1038/ejcn.2013.212</w:t>
      </w:r>
    </w:p>
    <w:p w14:paraId="5F2A484C"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36. </w:t>
      </w:r>
      <w:r w:rsidRPr="005C1ADD">
        <w:rPr>
          <w:rFonts w:ascii="Times New Roman" w:hAnsi="Times New Roman" w:cs="Times New Roman"/>
          <w:noProof/>
          <w:sz w:val="24"/>
          <w:szCs w:val="24"/>
        </w:rPr>
        <w:tab/>
        <w:t>Rogers I, Emmett P. Diet during pregnancy in a population of pregnant women in South West England. Eur J Clin Nutr. 1998;52: 246–250. doi:10.1038/sj.ejcn.1600543</w:t>
      </w:r>
    </w:p>
    <w:p w14:paraId="742476C1"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37. </w:t>
      </w:r>
      <w:r w:rsidRPr="005C1ADD">
        <w:rPr>
          <w:rFonts w:ascii="Times New Roman" w:hAnsi="Times New Roman" w:cs="Times New Roman"/>
          <w:noProof/>
          <w:sz w:val="24"/>
          <w:szCs w:val="24"/>
        </w:rPr>
        <w:tab/>
        <w:t>Wesołowska E, Jankowska A, Trafalska E, Kałużny P, Grzesiak M, Dominowska J, et al. Sociodemographic, lifestyle, environmental and pregnancy-related determinants of dietary patterns during pregnancy. Int J Environ Res Public Health. 2019;16. doi:10.3390/ijerph16050754</w:t>
      </w:r>
    </w:p>
    <w:p w14:paraId="35ECC093"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38. </w:t>
      </w:r>
      <w:r w:rsidRPr="005C1ADD">
        <w:rPr>
          <w:rFonts w:ascii="Times New Roman" w:hAnsi="Times New Roman" w:cs="Times New Roman"/>
          <w:noProof/>
          <w:sz w:val="24"/>
          <w:szCs w:val="24"/>
        </w:rPr>
        <w:tab/>
        <w:t xml:space="preserve">Robinson S, Godfrey K, Osmond C, Cox V, Barker D. Evaluation of a food frequency questionnaire used to assess nutrient intakes in pregnant women. Eur J Clin Nutr. 1996;50: 302–308. </w:t>
      </w:r>
    </w:p>
    <w:p w14:paraId="56A4A7FC"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39. </w:t>
      </w:r>
      <w:r w:rsidRPr="005C1ADD">
        <w:rPr>
          <w:rFonts w:ascii="Times New Roman" w:hAnsi="Times New Roman" w:cs="Times New Roman"/>
          <w:noProof/>
          <w:sz w:val="24"/>
          <w:szCs w:val="24"/>
        </w:rPr>
        <w:tab/>
        <w:t>Shivappa N, Steck SE, Hurley TG, Hussey JR, Hébert JR. Designing and developing a literature-derived, population-based dietary inflammatory index. Public Health Nutr. 2014;17: 1689–1696. doi:10.1017/S1368980013002115</w:t>
      </w:r>
    </w:p>
    <w:p w14:paraId="05CD4D8F"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40. </w:t>
      </w:r>
      <w:r w:rsidRPr="005C1ADD">
        <w:rPr>
          <w:rFonts w:ascii="Times New Roman" w:hAnsi="Times New Roman" w:cs="Times New Roman"/>
          <w:noProof/>
          <w:sz w:val="24"/>
          <w:szCs w:val="24"/>
        </w:rPr>
        <w:tab/>
        <w:t>Aubert AM, Forhan A, de Lauzon-Guillain B, Chen L-W, Polanska K, Hanke W, et al. Deriving the Dietary Approaches to Stop Hypertension (DASH) Score in Women from Seven Pregnancy Cohorts from the European ALPHABET Consortium. Nutrients. 2019;11: 2706. doi:10.3390/nu11112706</w:t>
      </w:r>
    </w:p>
    <w:p w14:paraId="302526B7"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41. </w:t>
      </w:r>
      <w:r w:rsidRPr="005C1ADD">
        <w:rPr>
          <w:rFonts w:ascii="Times New Roman" w:hAnsi="Times New Roman" w:cs="Times New Roman"/>
          <w:noProof/>
          <w:sz w:val="24"/>
          <w:szCs w:val="24"/>
        </w:rPr>
        <w:tab/>
        <w:t>Fung TT, Chiuve SE, McCullough ML, Rexrode KM, Logroscino G, Hu FB. Adherence to a DASH-Style Diet and Risk of Coronary Heart Disease and Stroke in Women. Arch Intern Med. 2008;168: 713. doi:10.1001/archinte.168.7.713</w:t>
      </w:r>
    </w:p>
    <w:p w14:paraId="1C4B0410"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42. </w:t>
      </w:r>
      <w:r w:rsidRPr="005C1ADD">
        <w:rPr>
          <w:rFonts w:ascii="Times New Roman" w:hAnsi="Times New Roman" w:cs="Times New Roman"/>
          <w:noProof/>
          <w:sz w:val="24"/>
          <w:szCs w:val="24"/>
        </w:rPr>
        <w:tab/>
        <w:t xml:space="preserve">Miller PE, Cross AJ, Subar AF, Krebs-Smith SM, Park Y, Powell-Wiley T, et al. Comparison of 4 established DASH diet indexes: examining associations of index scores and colorectal cancer. Am J Clin Nutr. 2013;98: 794–803. </w:t>
      </w:r>
      <w:r w:rsidRPr="005C1ADD">
        <w:rPr>
          <w:rFonts w:ascii="Times New Roman" w:hAnsi="Times New Roman" w:cs="Times New Roman"/>
          <w:noProof/>
          <w:sz w:val="24"/>
          <w:szCs w:val="24"/>
        </w:rPr>
        <w:lastRenderedPageBreak/>
        <w:t>doi:10.3945/ajcn.113.063602</w:t>
      </w:r>
    </w:p>
    <w:p w14:paraId="04E79B87"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43. </w:t>
      </w:r>
      <w:r w:rsidRPr="005C1ADD">
        <w:rPr>
          <w:rFonts w:ascii="Times New Roman" w:hAnsi="Times New Roman" w:cs="Times New Roman"/>
          <w:noProof/>
          <w:sz w:val="24"/>
          <w:szCs w:val="24"/>
        </w:rPr>
        <w:tab/>
        <w:t>Araujo Júnior E, Peixoto AB, Zamarian ACP, Elito Júnior J, Tonni G. Macrosomia. Best Pract Res Clin Obstet Gynaecol. 2017;38: 83–96. doi:10.1016/j.bpobgyn.2016.08.003</w:t>
      </w:r>
    </w:p>
    <w:p w14:paraId="444648FC"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44. </w:t>
      </w:r>
      <w:r w:rsidRPr="005C1ADD">
        <w:rPr>
          <w:rFonts w:ascii="Times New Roman" w:hAnsi="Times New Roman" w:cs="Times New Roman"/>
          <w:noProof/>
          <w:sz w:val="24"/>
          <w:szCs w:val="24"/>
        </w:rPr>
        <w:tab/>
        <w:t>United Nations Children’s Fund and World Health Organization. Low Birthweight: Country, regional and global estimates. World Health Organization. 2004. Available: https://apps.who.int/iris/handle/10665/43184</w:t>
      </w:r>
    </w:p>
    <w:p w14:paraId="576AB533"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45. </w:t>
      </w:r>
      <w:r w:rsidRPr="005C1ADD">
        <w:rPr>
          <w:rFonts w:ascii="Times New Roman" w:hAnsi="Times New Roman" w:cs="Times New Roman"/>
          <w:noProof/>
          <w:sz w:val="24"/>
          <w:szCs w:val="24"/>
        </w:rPr>
        <w:tab/>
        <w:t>Villar J, Ismail LC, Victora CG, Ohuma EO, Bertino E, Altman DG, et al. International standards for newborn weight, length, and head circumference by gestational age and sex: The Newborn Cross-Sectional Study of the INTERGROWTH-21st Project. Lancet. 2014;384: 857–868. doi:10.1016/s0140-6736(14)60932-6</w:t>
      </w:r>
    </w:p>
    <w:p w14:paraId="33B65492"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46. </w:t>
      </w:r>
      <w:r w:rsidRPr="005C1ADD">
        <w:rPr>
          <w:rFonts w:ascii="Times New Roman" w:hAnsi="Times New Roman" w:cs="Times New Roman"/>
          <w:noProof/>
          <w:sz w:val="24"/>
          <w:szCs w:val="24"/>
        </w:rPr>
        <w:tab/>
        <w:t>Villar J, Giuliani F, Fenton TR, Ohuma EO, Ismail LC, Kennedy SH. INTERGROWTH-21st very preterm size at birth reference charts. The Lancet. Elsevier; 2016. pp. 844–845. doi:10.1016/S0140-6736(16)00384-6</w:t>
      </w:r>
    </w:p>
    <w:p w14:paraId="74D74638"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47. </w:t>
      </w:r>
      <w:r w:rsidRPr="005C1ADD">
        <w:rPr>
          <w:rFonts w:ascii="Times New Roman" w:hAnsi="Times New Roman" w:cs="Times New Roman"/>
          <w:noProof/>
          <w:sz w:val="24"/>
          <w:szCs w:val="24"/>
        </w:rPr>
        <w:tab/>
        <w:t>Tobias DK, Hu FB, Chavarro J, Rosner B, Mozaffarian D, Zhang C. Healthful dietary patterns and type 2 diabetes mellitus risk among women with a history of gestational diabetes mellitus. Arch Intern Med. 2012;172: 1566–72. doi:10.1001/archinternmed.2012.3747</w:t>
      </w:r>
    </w:p>
    <w:p w14:paraId="01ADC2BE"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48. </w:t>
      </w:r>
      <w:r w:rsidRPr="005C1ADD">
        <w:rPr>
          <w:rFonts w:ascii="Times New Roman" w:hAnsi="Times New Roman" w:cs="Times New Roman"/>
          <w:noProof/>
          <w:sz w:val="24"/>
          <w:szCs w:val="24"/>
        </w:rPr>
        <w:tab/>
        <w:t>Qiu C, Zhang C, Gelaye B, Enquobahrie DA, Frederick IO, Williams MA. Gestational diabetes mellitus in relation to maternal dietary heme iron and nonheme iron intake. Diabetes Care. 2011;34: 1564–9. doi:10.2337/dc11-0135</w:t>
      </w:r>
    </w:p>
    <w:p w14:paraId="021491D3"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49. </w:t>
      </w:r>
      <w:r w:rsidRPr="005C1ADD">
        <w:rPr>
          <w:rFonts w:ascii="Times New Roman" w:hAnsi="Times New Roman" w:cs="Times New Roman"/>
          <w:noProof/>
          <w:sz w:val="24"/>
          <w:szCs w:val="24"/>
        </w:rPr>
        <w:tab/>
        <w:t>DerSimonian R, Laird N. Meta-analysis in clinical trials. Control Clin Trials. 1986;7: 177–88. Available: http://www.ncbi.nlm.nih.gov/pubmed/3802833</w:t>
      </w:r>
    </w:p>
    <w:p w14:paraId="6A2AF1DE"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50. </w:t>
      </w:r>
      <w:r w:rsidRPr="005C1ADD">
        <w:rPr>
          <w:rFonts w:ascii="Times New Roman" w:hAnsi="Times New Roman" w:cs="Times New Roman"/>
          <w:noProof/>
          <w:sz w:val="24"/>
          <w:szCs w:val="24"/>
        </w:rPr>
        <w:tab/>
        <w:t>Higgins JPT, Thompson SG, Deeks JJ, Altman DG. Measuring inconsistency in meta-analyses. BMJ. 2003;327: 557–560. doi:10.1136/bmj.327.7414.557</w:t>
      </w:r>
    </w:p>
    <w:p w14:paraId="0C8DB48D"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51. </w:t>
      </w:r>
      <w:r w:rsidRPr="005C1ADD">
        <w:rPr>
          <w:rFonts w:ascii="Times New Roman" w:hAnsi="Times New Roman" w:cs="Times New Roman"/>
          <w:noProof/>
          <w:sz w:val="24"/>
          <w:szCs w:val="24"/>
        </w:rPr>
        <w:tab/>
        <w:t>Higgins JPT, Thompson SG. Quantifying heterogeneity in a meta-analysis. Stat Med. 2002;21: 1539–1558. doi:10.1002/sim.1186</w:t>
      </w:r>
    </w:p>
    <w:p w14:paraId="33544E6E"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52. </w:t>
      </w:r>
      <w:r w:rsidRPr="005C1ADD">
        <w:rPr>
          <w:rFonts w:ascii="Times New Roman" w:hAnsi="Times New Roman" w:cs="Times New Roman"/>
          <w:noProof/>
          <w:sz w:val="24"/>
          <w:szCs w:val="24"/>
        </w:rPr>
        <w:tab/>
        <w:t>StataCorp. Stata Multiple-Imputation Reference Manual Release 13. College Station, TX: StataCorp LP; 2013. doi:10.1016/j.enpol.2012.08.024</w:t>
      </w:r>
    </w:p>
    <w:p w14:paraId="44519732"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53. </w:t>
      </w:r>
      <w:r w:rsidRPr="005C1ADD">
        <w:rPr>
          <w:rFonts w:ascii="Times New Roman" w:hAnsi="Times New Roman" w:cs="Times New Roman"/>
          <w:noProof/>
          <w:sz w:val="24"/>
          <w:szCs w:val="24"/>
        </w:rPr>
        <w:tab/>
        <w:t>Sen S, Rifas-Shiman SL, Shivappa N, Wirth MD, Hébert JR, Gold DR, et al. Dietary Inflammatory Potential during Pregnancy Is Associated with Lower Fetal Growth and Breastfeeding Failure: Results from Project Viva. J Nutr. 2016;146: 728. doi:10.3945/JN.115.225581</w:t>
      </w:r>
    </w:p>
    <w:p w14:paraId="09222CB6"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54. </w:t>
      </w:r>
      <w:r w:rsidRPr="005C1ADD">
        <w:rPr>
          <w:rFonts w:ascii="Times New Roman" w:hAnsi="Times New Roman" w:cs="Times New Roman"/>
          <w:noProof/>
          <w:sz w:val="24"/>
          <w:szCs w:val="24"/>
        </w:rPr>
        <w:tab/>
        <w:t xml:space="preserve">Moore BF, Sauder KA, Starling AP, Hébert JR, Shivappa N, Ringham BM, et al. </w:t>
      </w:r>
      <w:r w:rsidRPr="005C1ADD">
        <w:rPr>
          <w:rFonts w:ascii="Times New Roman" w:hAnsi="Times New Roman" w:cs="Times New Roman"/>
          <w:noProof/>
          <w:sz w:val="24"/>
          <w:szCs w:val="24"/>
        </w:rPr>
        <w:lastRenderedPageBreak/>
        <w:t>Proinflammatory Diets during Pregnancy and Neonatal Adiposity in the Healthy Start Study. J Pediatr. 2018;195: 121-127.e2. doi:10.1016/j.jpeds.2017.10.030</w:t>
      </w:r>
    </w:p>
    <w:p w14:paraId="7F1A09E5"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55. </w:t>
      </w:r>
      <w:r w:rsidRPr="005C1ADD">
        <w:rPr>
          <w:rFonts w:ascii="Times New Roman" w:hAnsi="Times New Roman" w:cs="Times New Roman"/>
          <w:noProof/>
          <w:sz w:val="24"/>
          <w:szCs w:val="24"/>
        </w:rPr>
        <w:tab/>
        <w:t>McCullough LE, Miller EE, Calderwood LE, Shivappa N, Steck SE, Forman MR, et al. Maternal inflammatory diet and adverse pregnancy outcomes: Circulating cytokines and genomic imprinting as potential regulators? Epigenetics. 2017;12: 688–697. doi:10.1080/15592294.2017.1347241</w:t>
      </w:r>
    </w:p>
    <w:p w14:paraId="24FA96D8"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56. </w:t>
      </w:r>
      <w:r w:rsidRPr="005C1ADD">
        <w:rPr>
          <w:rFonts w:ascii="Times New Roman" w:hAnsi="Times New Roman" w:cs="Times New Roman"/>
          <w:noProof/>
          <w:sz w:val="24"/>
          <w:szCs w:val="24"/>
        </w:rPr>
        <w:tab/>
        <w:t>Mor G, Cardenas I, Abrahams V, Guller S. Inflammation and pregnancy: the role of the immune system at the implantation site. Ann N Y Acad Sci. 2011;1221: 80–7. doi:10.1111/j.1749-6632.2010.05938.x</w:t>
      </w:r>
    </w:p>
    <w:p w14:paraId="3C79B1AA"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57. </w:t>
      </w:r>
      <w:r w:rsidRPr="005C1ADD">
        <w:rPr>
          <w:rFonts w:ascii="Times New Roman" w:hAnsi="Times New Roman" w:cs="Times New Roman"/>
          <w:noProof/>
          <w:sz w:val="24"/>
          <w:szCs w:val="24"/>
        </w:rPr>
        <w:tab/>
        <w:t>Enninga EAL, Nevala WK, Creedon DJ, Markovic SN, Holtan SG. Fetal sex-based differences in maternal hormones, angiogenic factors, and immune mediators during pregnancy and the postpartum period. Am J Reprod Immunol. 2015;73: 251–62. doi:10.1111/aji.12303</w:t>
      </w:r>
    </w:p>
    <w:p w14:paraId="23A18E64"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58. </w:t>
      </w:r>
      <w:r w:rsidRPr="005C1ADD">
        <w:rPr>
          <w:rFonts w:ascii="Times New Roman" w:hAnsi="Times New Roman" w:cs="Times New Roman"/>
          <w:noProof/>
          <w:sz w:val="24"/>
          <w:szCs w:val="24"/>
        </w:rPr>
        <w:tab/>
        <w:t>Broere-Brown ZA, Adank MC, Benschop L, Tielemans M, Muka T, Gonçalves R, et al. Fetal sex and maternal pregnancy outcomes: A systematic review and meta-analysis. Biology of Sex Differences. BioMed Central Ltd.; 2020. doi:10.1186/s13293-020-00299-3</w:t>
      </w:r>
    </w:p>
    <w:p w14:paraId="07E05EAF"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C1ADD">
        <w:rPr>
          <w:rFonts w:ascii="Times New Roman" w:hAnsi="Times New Roman" w:cs="Times New Roman"/>
          <w:noProof/>
          <w:sz w:val="24"/>
          <w:szCs w:val="24"/>
        </w:rPr>
        <w:t xml:space="preserve">59. </w:t>
      </w:r>
      <w:r w:rsidRPr="005C1ADD">
        <w:rPr>
          <w:rFonts w:ascii="Times New Roman" w:hAnsi="Times New Roman" w:cs="Times New Roman"/>
          <w:noProof/>
          <w:sz w:val="24"/>
          <w:szCs w:val="24"/>
        </w:rPr>
        <w:tab/>
        <w:t>Ricart W, López J, Mozas J, Pericot A, Sancho MA, González N, et al. Maternal glucose tolerance status influences the risk of macrosomia in male but not in female fetuses. J Epidemiol Community Health. 2009;63: 64–68. doi:10.1136/jech.2008.074542</w:t>
      </w:r>
    </w:p>
    <w:p w14:paraId="459D1692" w14:textId="77777777" w:rsidR="005C1ADD" w:rsidRPr="005C1ADD" w:rsidRDefault="005C1ADD" w:rsidP="005C1ADD">
      <w:pPr>
        <w:widowControl w:val="0"/>
        <w:autoSpaceDE w:val="0"/>
        <w:autoSpaceDN w:val="0"/>
        <w:adjustRightInd w:val="0"/>
        <w:spacing w:after="0" w:line="360" w:lineRule="auto"/>
        <w:ind w:left="640" w:hanging="640"/>
        <w:rPr>
          <w:rFonts w:ascii="Times New Roman" w:hAnsi="Times New Roman" w:cs="Times New Roman"/>
          <w:noProof/>
          <w:sz w:val="24"/>
        </w:rPr>
      </w:pPr>
      <w:r w:rsidRPr="005C1ADD">
        <w:rPr>
          <w:rFonts w:ascii="Times New Roman" w:hAnsi="Times New Roman" w:cs="Times New Roman"/>
          <w:noProof/>
          <w:sz w:val="24"/>
          <w:szCs w:val="24"/>
        </w:rPr>
        <w:t xml:space="preserve">60. </w:t>
      </w:r>
      <w:r w:rsidRPr="005C1ADD">
        <w:rPr>
          <w:rFonts w:ascii="Times New Roman" w:hAnsi="Times New Roman" w:cs="Times New Roman"/>
          <w:noProof/>
          <w:sz w:val="24"/>
          <w:szCs w:val="24"/>
        </w:rPr>
        <w:tab/>
        <w:t>Hébert JR, Shivappa N, Wirth MD, Hussey JR, Hurley TG. Perspective: The Dietary Inflammatory Index (DII)-Lessons Learned, Improvements Made, and Future Directions. Adv Nutr. 2019;10: 185–195. doi:10.1093/advances/nmy071</w:t>
      </w:r>
    </w:p>
    <w:p w14:paraId="511480FB" w14:textId="1A0BE106" w:rsidR="00EA2A1C" w:rsidRPr="004F6EAB" w:rsidRDefault="00EA2A1C" w:rsidP="003814BA">
      <w:pPr>
        <w:widowControl w:val="0"/>
        <w:autoSpaceDE w:val="0"/>
        <w:autoSpaceDN w:val="0"/>
        <w:adjustRightInd w:val="0"/>
        <w:spacing w:after="0" w:line="360" w:lineRule="auto"/>
        <w:ind w:left="640" w:hanging="640"/>
        <w:rPr>
          <w:rFonts w:ascii="Times New Roman" w:hAnsi="Times New Roman" w:cs="Times New Roman"/>
          <w:sz w:val="24"/>
          <w:szCs w:val="24"/>
        </w:rPr>
        <w:sectPr w:rsidR="00EA2A1C" w:rsidRPr="004F6EAB" w:rsidSect="00233D4C">
          <w:headerReference w:type="default" r:id="rId10"/>
          <w:footerReference w:type="default" r:id="rId11"/>
          <w:pgSz w:w="11906" w:h="16838"/>
          <w:pgMar w:top="1440" w:right="1440" w:bottom="1440" w:left="1440" w:header="708" w:footer="708" w:gutter="0"/>
          <w:lnNumType w:countBy="1" w:restart="continuous"/>
          <w:cols w:space="708"/>
          <w:docGrid w:linePitch="360"/>
        </w:sectPr>
      </w:pPr>
      <w:r w:rsidRPr="004F6EAB">
        <w:rPr>
          <w:rFonts w:ascii="Times New Roman" w:hAnsi="Times New Roman" w:cs="Times New Roman"/>
          <w:sz w:val="24"/>
          <w:szCs w:val="24"/>
        </w:rPr>
        <w:fldChar w:fldCharType="end"/>
      </w:r>
    </w:p>
    <w:p w14:paraId="58D70AD9" w14:textId="65801227" w:rsidR="00C103D5" w:rsidRPr="004F6EAB" w:rsidRDefault="00C103D5" w:rsidP="00AD3BEE">
      <w:pPr>
        <w:widowControl w:val="0"/>
        <w:autoSpaceDE w:val="0"/>
        <w:autoSpaceDN w:val="0"/>
        <w:adjustRightInd w:val="0"/>
        <w:spacing w:after="0" w:line="360" w:lineRule="auto"/>
        <w:rPr>
          <w:rFonts w:cstheme="minorHAnsi"/>
          <w:b/>
          <w:bCs/>
        </w:rPr>
      </w:pPr>
      <w:r w:rsidRPr="004F6EAB">
        <w:rPr>
          <w:rFonts w:cstheme="minorHAnsi"/>
          <w:b/>
          <w:bCs/>
        </w:rPr>
        <w:lastRenderedPageBreak/>
        <w:t>Figure Legends</w:t>
      </w:r>
    </w:p>
    <w:p w14:paraId="2EBAA493" w14:textId="77777777" w:rsidR="00C103D5" w:rsidRPr="004F6EAB" w:rsidRDefault="00C103D5" w:rsidP="00AD3BEE">
      <w:pPr>
        <w:widowControl w:val="0"/>
        <w:autoSpaceDE w:val="0"/>
        <w:autoSpaceDN w:val="0"/>
        <w:adjustRightInd w:val="0"/>
        <w:spacing w:after="0" w:line="360" w:lineRule="auto"/>
        <w:rPr>
          <w:rFonts w:cstheme="minorHAnsi"/>
          <w:b/>
          <w:bCs/>
        </w:rPr>
      </w:pPr>
    </w:p>
    <w:p w14:paraId="2CCBBE2D" w14:textId="42C39754" w:rsidR="00AD3BEE" w:rsidRPr="004F6EAB" w:rsidRDefault="00047300" w:rsidP="00AD3BEE">
      <w:pPr>
        <w:widowControl w:val="0"/>
        <w:autoSpaceDE w:val="0"/>
        <w:autoSpaceDN w:val="0"/>
        <w:adjustRightInd w:val="0"/>
        <w:spacing w:after="0" w:line="360" w:lineRule="auto"/>
        <w:rPr>
          <w:rFonts w:cstheme="minorHAnsi"/>
        </w:rPr>
      </w:pPr>
      <w:r w:rsidRPr="004F6EAB">
        <w:rPr>
          <w:rFonts w:cstheme="minorHAnsi"/>
          <w:b/>
          <w:bCs/>
        </w:rPr>
        <w:t>Fig 1</w:t>
      </w:r>
      <w:r w:rsidR="00EA2A1C" w:rsidRPr="004F6EAB">
        <w:rPr>
          <w:rFonts w:cstheme="minorHAnsi"/>
        </w:rPr>
        <w:t xml:space="preserve"> </w:t>
      </w:r>
      <w:r w:rsidR="00864F78" w:rsidRPr="004F6EAB">
        <w:rPr>
          <w:rFonts w:cstheme="minorHAnsi"/>
        </w:rPr>
        <w:t>Boxplots</w:t>
      </w:r>
      <w:r w:rsidR="00984B29" w:rsidRPr="004F6EAB">
        <w:rPr>
          <w:rFonts w:cstheme="minorHAnsi"/>
        </w:rPr>
        <w:t xml:space="preserve"> of </w:t>
      </w:r>
      <w:r w:rsidRPr="004F6EAB">
        <w:rPr>
          <w:rFonts w:cstheme="minorHAnsi"/>
        </w:rPr>
        <w:t xml:space="preserve">maternal pregnancy E-DII and DASH scores </w:t>
      </w:r>
      <w:r w:rsidR="00864F78" w:rsidRPr="004F6EAB">
        <w:rPr>
          <w:rFonts w:cstheme="minorHAnsi"/>
        </w:rPr>
        <w:t xml:space="preserve">and offspring birth weight and gestational age at birth </w:t>
      </w:r>
      <w:r w:rsidRPr="004F6EAB">
        <w:rPr>
          <w:rFonts w:cstheme="minorHAnsi"/>
        </w:rPr>
        <w:t>according to</w:t>
      </w:r>
      <w:r w:rsidR="00F015FB" w:rsidRPr="004F6EAB">
        <w:rPr>
          <w:rFonts w:cstheme="minorHAnsi"/>
        </w:rPr>
        <w:t xml:space="preserve"> constituent</w:t>
      </w:r>
      <w:r w:rsidRPr="004F6EAB">
        <w:rPr>
          <w:rFonts w:cstheme="minorHAnsi"/>
        </w:rPr>
        <w:t xml:space="preserve"> studies</w:t>
      </w:r>
    </w:p>
    <w:p w14:paraId="66D38B19" w14:textId="3AC9E9DB" w:rsidR="00C103D5" w:rsidRPr="004F6EAB" w:rsidRDefault="00AD3BEE" w:rsidP="00AD3BEE">
      <w:pPr>
        <w:widowControl w:val="0"/>
        <w:autoSpaceDE w:val="0"/>
        <w:autoSpaceDN w:val="0"/>
        <w:adjustRightInd w:val="0"/>
        <w:spacing w:after="0" w:line="240" w:lineRule="auto"/>
        <w:rPr>
          <w:rFonts w:cstheme="minorHAnsi"/>
          <w:sz w:val="20"/>
          <w:szCs w:val="20"/>
        </w:rPr>
      </w:pPr>
      <w:r w:rsidRPr="004F6EAB">
        <w:rPr>
          <w:rFonts w:cstheme="minorHAnsi"/>
          <w:sz w:val="20"/>
          <w:szCs w:val="20"/>
        </w:rPr>
        <w:t>The red vertical solid and dotted lines represent clinical cut-offs for adverse birth outcomes.</w:t>
      </w:r>
      <w:r w:rsidR="00621183" w:rsidRPr="004F6EAB">
        <w:rPr>
          <w:rFonts w:cstheme="minorHAnsi"/>
          <w:sz w:val="20"/>
          <w:szCs w:val="20"/>
        </w:rPr>
        <w:t xml:space="preserve"> </w:t>
      </w:r>
      <w:r w:rsidR="0048477C" w:rsidRPr="004F6EAB">
        <w:rPr>
          <w:rFonts w:cstheme="minorHAnsi"/>
          <w:sz w:val="20"/>
          <w:szCs w:val="20"/>
        </w:rPr>
        <w:t>E-DII, energy-adjusted Dietary Inflammatory Index; DASH, Dietary Approach</w:t>
      </w:r>
      <w:r w:rsidR="008D45D2" w:rsidRPr="004F6EAB">
        <w:rPr>
          <w:rFonts w:cstheme="minorHAnsi"/>
          <w:sz w:val="20"/>
          <w:szCs w:val="20"/>
        </w:rPr>
        <w:t>es</w:t>
      </w:r>
      <w:r w:rsidR="0048477C" w:rsidRPr="004F6EAB">
        <w:rPr>
          <w:rFonts w:cstheme="minorHAnsi"/>
          <w:sz w:val="20"/>
          <w:szCs w:val="20"/>
        </w:rPr>
        <w:t xml:space="preserve"> to Stop Hypertension</w:t>
      </w:r>
      <w:r w:rsidR="00F015FB" w:rsidRPr="004F6EAB">
        <w:rPr>
          <w:rFonts w:cstheme="minorHAnsi"/>
          <w:sz w:val="20"/>
          <w:szCs w:val="20"/>
        </w:rPr>
        <w:t>.</w:t>
      </w:r>
    </w:p>
    <w:p w14:paraId="36061625" w14:textId="228C5678" w:rsidR="00C103D5" w:rsidRPr="004F6EAB" w:rsidRDefault="00C103D5" w:rsidP="00AD3BEE">
      <w:pPr>
        <w:widowControl w:val="0"/>
        <w:autoSpaceDE w:val="0"/>
        <w:autoSpaceDN w:val="0"/>
        <w:adjustRightInd w:val="0"/>
        <w:spacing w:after="0" w:line="240" w:lineRule="auto"/>
        <w:rPr>
          <w:rFonts w:cstheme="minorHAnsi"/>
          <w:sz w:val="20"/>
          <w:szCs w:val="20"/>
        </w:rPr>
      </w:pPr>
    </w:p>
    <w:p w14:paraId="6D09ED19" w14:textId="6491468F" w:rsidR="00C103D5" w:rsidRPr="004F6EAB" w:rsidRDefault="00C103D5" w:rsidP="00C103D5">
      <w:pPr>
        <w:spacing w:before="240" w:after="0"/>
        <w:rPr>
          <w:rFonts w:cstheme="minorHAnsi"/>
          <w:i/>
          <w:iCs/>
          <w:sz w:val="20"/>
          <w:szCs w:val="20"/>
        </w:rPr>
      </w:pPr>
      <w:r w:rsidRPr="004F6EAB">
        <w:rPr>
          <w:rFonts w:cstheme="minorHAnsi"/>
          <w:b/>
          <w:bCs/>
        </w:rPr>
        <w:t xml:space="preserve">Fig 2 </w:t>
      </w:r>
      <w:r w:rsidRPr="004F6EAB">
        <w:rPr>
          <w:rFonts w:cstheme="minorHAnsi"/>
        </w:rPr>
        <w:t xml:space="preserve">Forest plot showing adjusted associations of maternal E-DII and DASH scores (per 1-SD increase) during pre-pregnancy and pregnancy periods with birth weight </w:t>
      </w:r>
    </w:p>
    <w:p w14:paraId="30793833" w14:textId="024275E9" w:rsidR="00C103D5" w:rsidRPr="004F6EAB" w:rsidRDefault="00C103D5" w:rsidP="00C103D5">
      <w:pPr>
        <w:spacing w:before="240"/>
        <w:rPr>
          <w:rFonts w:cstheme="minorHAnsi"/>
          <w:b/>
          <w:bCs/>
          <w:sz w:val="24"/>
          <w:szCs w:val="24"/>
        </w:rPr>
      </w:pPr>
      <w:r w:rsidRPr="004F6EAB">
        <w:rPr>
          <w:rFonts w:cstheme="minorHAnsi"/>
          <w:sz w:val="20"/>
          <w:szCs w:val="20"/>
        </w:rPr>
        <w:t>Black dots indicate study-specific point effect estimates with corresponding 95% Cis indicated by horizontal lines, and diamonds indicate the pooled estimates with their corresponding 95% CIs. When studies were omitted one at a time for pregnancy DASH meta-analysis, the overall pooled estimates remained largely the same and remained statistically significant: range of beta coefficients= 11.7 to 21.6 g, all CIs did not include 0; for E-DII, beta coefficients (95% CI) range from -8.8 (-23.0, 5.5) g when excluding Gen R to -18.3 (-32.8, -3.8) g when excluding Lifeways. Effect estimates were adjusted for maternal education, ethnicity, pre-pregnancy BMI, maternal height, parity, energy intake</w:t>
      </w:r>
      <w:r w:rsidRPr="004F6EAB">
        <w:t xml:space="preserve"> </w:t>
      </w:r>
      <w:r w:rsidRPr="004F6EAB">
        <w:rPr>
          <w:rFonts w:cstheme="minorHAnsi"/>
          <w:sz w:val="20"/>
          <w:szCs w:val="20"/>
        </w:rPr>
        <w:t>(for DASH), cigarette smoking and alcohol consumption during pregnancy, and child sex.</w:t>
      </w:r>
      <w:r w:rsidRPr="004F6EAB">
        <w:rPr>
          <w:rFonts w:cstheme="minorHAnsi"/>
          <w:b/>
          <w:bCs/>
          <w:sz w:val="24"/>
          <w:szCs w:val="24"/>
        </w:rPr>
        <w:t xml:space="preserve"> </w:t>
      </w:r>
      <w:r w:rsidRPr="004F6EAB">
        <w:rPr>
          <w:rFonts w:cstheme="minorHAnsi"/>
          <w:sz w:val="20"/>
          <w:szCs w:val="20"/>
        </w:rPr>
        <w:t>E-DII, energy-adjusted Dietary Inflammatory Index; DASH, Dietary Approaches to Stop Hypertension</w:t>
      </w:r>
      <w:r w:rsidRPr="004F6EAB">
        <w:rPr>
          <w:rFonts w:cstheme="minorHAnsi"/>
          <w:b/>
          <w:bCs/>
          <w:sz w:val="20"/>
          <w:szCs w:val="20"/>
        </w:rPr>
        <w:t xml:space="preserve">. </w:t>
      </w:r>
    </w:p>
    <w:p w14:paraId="3DBA88D8" w14:textId="77777777" w:rsidR="00C103D5" w:rsidRPr="004F6EAB" w:rsidRDefault="00C103D5" w:rsidP="00C103D5">
      <w:pPr>
        <w:spacing w:after="0"/>
        <w:rPr>
          <w:rFonts w:cstheme="minorHAnsi"/>
          <w:b/>
          <w:bCs/>
          <w:sz w:val="20"/>
          <w:szCs w:val="20"/>
        </w:rPr>
      </w:pPr>
    </w:p>
    <w:p w14:paraId="4E9DEA29" w14:textId="344CBC02" w:rsidR="00C103D5" w:rsidRPr="004F6EAB" w:rsidRDefault="00C103D5" w:rsidP="00C103D5">
      <w:pPr>
        <w:spacing w:after="0"/>
        <w:rPr>
          <w:rFonts w:cstheme="minorHAnsi"/>
          <w:b/>
          <w:bCs/>
          <w:sz w:val="20"/>
          <w:szCs w:val="20"/>
        </w:rPr>
      </w:pPr>
      <w:r w:rsidRPr="004F6EAB">
        <w:rPr>
          <w:rFonts w:cstheme="minorHAnsi"/>
          <w:b/>
          <w:bCs/>
        </w:rPr>
        <w:t xml:space="preserve">Fig 3 </w:t>
      </w:r>
      <w:r w:rsidRPr="004F6EAB">
        <w:rPr>
          <w:rFonts w:cstheme="minorHAnsi"/>
        </w:rPr>
        <w:t xml:space="preserve">Forest plot showing adjusted associations of maternal E-DII and DASH scores (per 1-SD increase) during pre-pregnancy and pregnancy periods with risk of SGA </w:t>
      </w:r>
    </w:p>
    <w:p w14:paraId="1B2D0768" w14:textId="77777777" w:rsidR="00C103D5" w:rsidRPr="004F6EAB" w:rsidRDefault="00C103D5" w:rsidP="00C103D5">
      <w:pPr>
        <w:spacing w:after="0"/>
        <w:rPr>
          <w:rFonts w:cstheme="minorHAnsi"/>
          <w:b/>
          <w:bCs/>
          <w:sz w:val="24"/>
          <w:szCs w:val="24"/>
        </w:rPr>
      </w:pPr>
    </w:p>
    <w:p w14:paraId="2A87D347" w14:textId="77777777" w:rsidR="0043301D" w:rsidRDefault="00C103D5" w:rsidP="0043301D">
      <w:pPr>
        <w:spacing w:after="0"/>
        <w:rPr>
          <w:rFonts w:cstheme="minorHAnsi"/>
          <w:sz w:val="20"/>
          <w:szCs w:val="20"/>
        </w:rPr>
      </w:pPr>
      <w:r w:rsidRPr="004F6EAB">
        <w:rPr>
          <w:rFonts w:cstheme="minorHAnsi"/>
          <w:sz w:val="20"/>
          <w:szCs w:val="20"/>
        </w:rPr>
        <w:t>Black dots indicate study-specific point effect estimates with corresponding 95% Cis indicated by horizontal lines, and diamonds indicate the pooled estimates with their corresponding 95% CIs.</w:t>
      </w:r>
    </w:p>
    <w:p w14:paraId="6CD9A547" w14:textId="3A696DCC" w:rsidR="0043301D" w:rsidRDefault="0043301D" w:rsidP="0043301D">
      <w:pPr>
        <w:spacing w:after="0"/>
        <w:rPr>
          <w:rFonts w:ascii="Times New Roman" w:hAnsi="Times New Roman" w:cs="Times New Roman"/>
          <w:sz w:val="24"/>
          <w:szCs w:val="24"/>
        </w:rPr>
      </w:pPr>
      <w:r w:rsidRPr="0043301D">
        <w:rPr>
          <w:rFonts w:cstheme="minorHAnsi"/>
          <w:sz w:val="20"/>
          <w:szCs w:val="20"/>
        </w:rPr>
        <w:t xml:space="preserve">As </w:t>
      </w:r>
      <w:r w:rsidR="00D022D9">
        <w:rPr>
          <w:rFonts w:cstheme="minorHAnsi"/>
          <w:sz w:val="20"/>
          <w:szCs w:val="20"/>
        </w:rPr>
        <w:t xml:space="preserve">the ROLO </w:t>
      </w:r>
      <w:r w:rsidRPr="0043301D">
        <w:rPr>
          <w:rFonts w:cstheme="minorHAnsi"/>
          <w:sz w:val="20"/>
          <w:szCs w:val="20"/>
        </w:rPr>
        <w:t xml:space="preserve">study has estimates with very wide confidence intervals that impaired data visualization, it was excluded from this figure. By design, the ROLO study recruited mothers who have previously delivered a </w:t>
      </w:r>
      <w:proofErr w:type="spellStart"/>
      <w:r w:rsidRPr="0043301D">
        <w:rPr>
          <w:rFonts w:cstheme="minorHAnsi"/>
          <w:sz w:val="20"/>
          <w:szCs w:val="20"/>
        </w:rPr>
        <w:t>macrosomic</w:t>
      </w:r>
      <w:proofErr w:type="spellEnd"/>
      <w:r w:rsidRPr="0043301D">
        <w:rPr>
          <w:rFonts w:cstheme="minorHAnsi"/>
          <w:sz w:val="20"/>
          <w:szCs w:val="20"/>
        </w:rPr>
        <w:t xml:space="preserve"> infant, thus infants born low birth weight or SGA in this study were rare (&lt;1%), causing unstable estimates. However, it should be noted that excluding this study did not affect the pooled estimates and overall conclusion [Pooled OR (95% CI)= 1.18 (1.11, 1.26) for E-DII and 0.87 (0.80, 0.95) for DASH when ROLO was excluded cf. pooled OR (95% CI)= 1.18 (1.11, 1.26) for E-DII and 0.87 (0.82, 0.94) for DASH when ROLO was included].</w:t>
      </w:r>
      <w:r>
        <w:rPr>
          <w:rFonts w:ascii="Times New Roman" w:hAnsi="Times New Roman" w:cs="Times New Roman"/>
          <w:sz w:val="24"/>
          <w:szCs w:val="24"/>
        </w:rPr>
        <w:t xml:space="preserve"> </w:t>
      </w:r>
      <w:r w:rsidRPr="0043301D">
        <w:rPr>
          <w:rFonts w:cstheme="minorHAnsi"/>
          <w:sz w:val="20"/>
          <w:szCs w:val="20"/>
        </w:rPr>
        <w:t>When other studies were omitted one at a time for pregnancy E-DII and DASH meta-analysis, the overall pooled estimates were not affected and remained statistically significant: for E-DII (range of ORs= 1.16-1.19, all CIs did not include 1); for DASH: (range of ORs: 0.82-0.92, all CIs did not include 1). Effect estimates were adjusted for maternal education, ethnicity, pre-pregnancy BMI, maternal height, parity, energy intake (for DASH), cigarette smoking and alcohol consumption during pregnancy, and child sex.</w:t>
      </w:r>
    </w:p>
    <w:p w14:paraId="2BB747BD" w14:textId="42AFC9B3" w:rsidR="0043301D" w:rsidRPr="0043301D" w:rsidRDefault="0043301D" w:rsidP="0043301D">
      <w:pPr>
        <w:spacing w:after="0"/>
        <w:rPr>
          <w:rFonts w:cstheme="minorHAnsi"/>
          <w:sz w:val="20"/>
          <w:szCs w:val="20"/>
        </w:rPr>
      </w:pPr>
      <w:r w:rsidRPr="0043301D">
        <w:rPr>
          <w:rFonts w:cstheme="minorHAnsi"/>
          <w:sz w:val="20"/>
          <w:szCs w:val="20"/>
        </w:rPr>
        <w:t>E-DII, energy-adjusted Dietary Inflammatory Index; DASH, Dietary Approaches to Stop Hypertension</w:t>
      </w:r>
      <w:r w:rsidRPr="0043301D">
        <w:rPr>
          <w:rFonts w:cstheme="minorHAnsi"/>
          <w:b/>
          <w:bCs/>
          <w:sz w:val="20"/>
          <w:szCs w:val="20"/>
        </w:rPr>
        <w:t xml:space="preserve">; </w:t>
      </w:r>
      <w:r w:rsidRPr="0043301D">
        <w:rPr>
          <w:rFonts w:cstheme="minorHAnsi"/>
          <w:sz w:val="20"/>
          <w:szCs w:val="20"/>
        </w:rPr>
        <w:t>SGA, small-for-gestational-age.</w:t>
      </w:r>
    </w:p>
    <w:p w14:paraId="543D44B1" w14:textId="77777777" w:rsidR="00C103D5" w:rsidRPr="004F6EAB" w:rsidRDefault="00C103D5" w:rsidP="00C103D5">
      <w:pPr>
        <w:spacing w:after="0"/>
        <w:rPr>
          <w:rFonts w:cstheme="minorHAnsi"/>
          <w:sz w:val="20"/>
          <w:szCs w:val="20"/>
        </w:rPr>
      </w:pPr>
    </w:p>
    <w:p w14:paraId="171D0152" w14:textId="77777777" w:rsidR="00C103D5" w:rsidRPr="004F6EAB" w:rsidRDefault="00C103D5" w:rsidP="00C103D5">
      <w:pPr>
        <w:spacing w:after="0"/>
        <w:rPr>
          <w:rFonts w:cstheme="minorHAnsi"/>
          <w:sz w:val="20"/>
          <w:szCs w:val="20"/>
        </w:rPr>
      </w:pPr>
    </w:p>
    <w:p w14:paraId="6BC1475A" w14:textId="7ED56D51" w:rsidR="00CB02E1" w:rsidRPr="004F6EAB" w:rsidRDefault="00CB02E1" w:rsidP="00CB02E1">
      <w:pPr>
        <w:widowControl w:val="0"/>
        <w:autoSpaceDE w:val="0"/>
        <w:autoSpaceDN w:val="0"/>
        <w:adjustRightInd w:val="0"/>
        <w:spacing w:after="0" w:line="240" w:lineRule="auto"/>
        <w:rPr>
          <w:rFonts w:cstheme="minorHAnsi"/>
          <w:bCs/>
        </w:rPr>
      </w:pPr>
      <w:r w:rsidRPr="004F6EAB">
        <w:rPr>
          <w:rFonts w:cstheme="minorHAnsi" w:hint="eastAsia"/>
          <w:b/>
          <w:bCs/>
        </w:rPr>
        <w:t>Fig 4</w:t>
      </w:r>
      <w:r w:rsidRPr="004F6EAB">
        <w:rPr>
          <w:rFonts w:cstheme="minorHAnsi" w:hint="eastAsia"/>
          <w:bCs/>
        </w:rPr>
        <w:t xml:space="preserve"> Forest plot showing sex-interaction between maternal pre-pregnancy E-DII score (per 1-SD increase) and offspring birth outcomes (only adjusted subgroup pooled estimates shown; all pooled </w:t>
      </w:r>
      <w:r w:rsidRPr="004F6EAB">
        <w:rPr>
          <w:rFonts w:cstheme="minorHAnsi" w:hint="eastAsia"/>
          <w:bCs/>
          <w:i/>
        </w:rPr>
        <w:t>P</w:t>
      </w:r>
      <w:r w:rsidRPr="004F6EAB">
        <w:rPr>
          <w:rFonts w:cstheme="minorHAnsi" w:hint="eastAsia"/>
          <w:bCs/>
        </w:rPr>
        <w:t xml:space="preserve">-value of interaction term </w:t>
      </w:r>
      <w:r w:rsidR="00093624" w:rsidRPr="004F6EAB">
        <w:rPr>
          <w:rFonts w:ascii="Calibri" w:hAnsi="Calibri" w:cs="Calibri"/>
          <w:bCs/>
        </w:rPr>
        <w:t>≤</w:t>
      </w:r>
      <w:r w:rsidRPr="004F6EAB">
        <w:rPr>
          <w:rFonts w:cstheme="minorHAnsi" w:hint="eastAsia"/>
          <w:bCs/>
        </w:rPr>
        <w:t>0.10)</w:t>
      </w:r>
      <w:r w:rsidR="00093624" w:rsidRPr="004F6EAB">
        <w:rPr>
          <w:rFonts w:cstheme="minorHAnsi"/>
          <w:bCs/>
        </w:rPr>
        <w:t>.</w:t>
      </w:r>
    </w:p>
    <w:p w14:paraId="65AEB743" w14:textId="77777777" w:rsidR="00CB02E1" w:rsidRPr="004F6EAB" w:rsidRDefault="00CB02E1" w:rsidP="00CB02E1">
      <w:pPr>
        <w:widowControl w:val="0"/>
        <w:autoSpaceDE w:val="0"/>
        <w:autoSpaceDN w:val="0"/>
        <w:adjustRightInd w:val="0"/>
        <w:spacing w:after="0" w:line="240" w:lineRule="auto"/>
        <w:rPr>
          <w:rFonts w:cstheme="minorHAnsi"/>
          <w:bCs/>
        </w:rPr>
      </w:pPr>
    </w:p>
    <w:p w14:paraId="6D2EE8D5" w14:textId="77777777" w:rsidR="00093624" w:rsidRPr="004F6EAB" w:rsidRDefault="00093624" w:rsidP="00093624">
      <w:pPr>
        <w:widowControl w:val="0"/>
        <w:autoSpaceDE w:val="0"/>
        <w:autoSpaceDN w:val="0"/>
        <w:adjustRightInd w:val="0"/>
        <w:spacing w:after="0" w:line="240" w:lineRule="auto"/>
        <w:rPr>
          <w:rFonts w:cstheme="minorHAnsi"/>
          <w:bCs/>
          <w:lang w:val="en-SG"/>
        </w:rPr>
      </w:pPr>
      <w:r w:rsidRPr="004F6EAB">
        <w:rPr>
          <w:rFonts w:cstheme="minorHAnsi"/>
          <w:bCs/>
          <w:lang w:val="en-SG"/>
        </w:rPr>
        <w:t xml:space="preserve">The pooled estimates shown were based on analyses conducted separately in males and females to aid visualization; for this downstream subgroup analyses to be conducted, all </w:t>
      </w:r>
      <w:r w:rsidRPr="004F6EAB">
        <w:rPr>
          <w:rFonts w:cstheme="minorHAnsi"/>
          <w:bCs/>
          <w:i/>
          <w:lang w:val="en-SG"/>
        </w:rPr>
        <w:t>P-</w:t>
      </w:r>
      <w:r w:rsidRPr="004F6EAB">
        <w:rPr>
          <w:rFonts w:cstheme="minorHAnsi"/>
          <w:bCs/>
          <w:lang w:val="en-SG"/>
        </w:rPr>
        <w:t>values were ≤</w:t>
      </w:r>
      <w:r w:rsidRPr="004F6EAB">
        <w:rPr>
          <w:rFonts w:cstheme="minorHAnsi" w:hint="eastAsia"/>
          <w:bCs/>
          <w:lang w:val="en-SG"/>
        </w:rPr>
        <w:t>0.10</w:t>
      </w:r>
      <w:r w:rsidRPr="004F6EAB">
        <w:rPr>
          <w:rFonts w:cstheme="minorHAnsi"/>
          <w:bCs/>
          <w:lang w:val="en-SG"/>
        </w:rPr>
        <w:t xml:space="preserve"> based on meta-analysis of within-cohort interaction estimates.</w:t>
      </w:r>
    </w:p>
    <w:p w14:paraId="372CDAF0" w14:textId="77777777" w:rsidR="005445AE" w:rsidRDefault="005445AE">
      <w:pPr>
        <w:rPr>
          <w:rFonts w:cstheme="minorHAnsi"/>
          <w:sz w:val="20"/>
          <w:szCs w:val="20"/>
          <w:lang w:val="en-SG"/>
        </w:rPr>
      </w:pPr>
      <w:r>
        <w:rPr>
          <w:rFonts w:cstheme="minorHAnsi"/>
          <w:sz w:val="20"/>
          <w:szCs w:val="20"/>
          <w:lang w:val="en-SG"/>
        </w:rPr>
        <w:br w:type="page"/>
      </w:r>
    </w:p>
    <w:p w14:paraId="44C08C4E" w14:textId="5CCFBF66" w:rsidR="005445AE" w:rsidRPr="00190257" w:rsidRDefault="00890A4A">
      <w:pPr>
        <w:rPr>
          <w:rFonts w:cstheme="minorHAnsi"/>
          <w:b/>
          <w:sz w:val="20"/>
          <w:szCs w:val="20"/>
          <w:lang w:val="en-SG"/>
        </w:rPr>
      </w:pPr>
      <w:r w:rsidRPr="00890A4A">
        <w:rPr>
          <w:rFonts w:cstheme="minorHAnsi"/>
          <w:b/>
          <w:sz w:val="20"/>
          <w:szCs w:val="20"/>
          <w:lang w:val="en-SG"/>
        </w:rPr>
        <w:lastRenderedPageBreak/>
        <w:t xml:space="preserve">Supporting Information </w:t>
      </w:r>
    </w:p>
    <w:p w14:paraId="1F4673FB" w14:textId="78C26936" w:rsidR="00954D05" w:rsidRDefault="00954D05">
      <w:pPr>
        <w:rPr>
          <w:rFonts w:cstheme="minorHAnsi"/>
          <w:sz w:val="20"/>
          <w:szCs w:val="20"/>
          <w:lang w:val="en-SG"/>
        </w:rPr>
      </w:pPr>
      <w:r>
        <w:rPr>
          <w:rFonts w:cstheme="minorHAnsi"/>
          <w:sz w:val="20"/>
          <w:szCs w:val="20"/>
          <w:lang w:val="en-SG"/>
        </w:rPr>
        <w:t>S1 Text</w:t>
      </w:r>
      <w:r w:rsidR="00F47BEA">
        <w:rPr>
          <w:rFonts w:cstheme="minorHAnsi"/>
          <w:sz w:val="20"/>
          <w:szCs w:val="20"/>
          <w:lang w:val="en-SG"/>
        </w:rPr>
        <w:t>.</w:t>
      </w:r>
      <w:r>
        <w:rPr>
          <w:rFonts w:cstheme="minorHAnsi"/>
          <w:sz w:val="20"/>
          <w:szCs w:val="20"/>
          <w:lang w:val="en-SG"/>
        </w:rPr>
        <w:t xml:space="preserve"> </w:t>
      </w:r>
      <w:r w:rsidRPr="00954D05">
        <w:rPr>
          <w:rFonts w:cstheme="minorHAnsi"/>
          <w:sz w:val="20"/>
          <w:szCs w:val="20"/>
          <w:lang w:val="en-SG"/>
        </w:rPr>
        <w:t>Cohort-specific sources of funding</w:t>
      </w:r>
    </w:p>
    <w:p w14:paraId="4B530900" w14:textId="6BDF63BB" w:rsidR="00F47BEA" w:rsidRDefault="00F47BEA">
      <w:pPr>
        <w:rPr>
          <w:rFonts w:cstheme="minorHAnsi"/>
          <w:sz w:val="20"/>
          <w:szCs w:val="20"/>
          <w:lang w:val="en-SG"/>
        </w:rPr>
      </w:pPr>
      <w:r w:rsidRPr="005445AE">
        <w:rPr>
          <w:rFonts w:cstheme="minorHAnsi"/>
          <w:sz w:val="20"/>
          <w:szCs w:val="20"/>
          <w:lang w:val="en-SG"/>
        </w:rPr>
        <w:t>S</w:t>
      </w:r>
      <w:r>
        <w:rPr>
          <w:rFonts w:cstheme="minorHAnsi"/>
          <w:sz w:val="20"/>
          <w:szCs w:val="20"/>
          <w:lang w:val="en-SG"/>
        </w:rPr>
        <w:t>1</w:t>
      </w:r>
      <w:r w:rsidRPr="005445AE">
        <w:rPr>
          <w:rFonts w:cstheme="minorHAnsi"/>
          <w:sz w:val="20"/>
          <w:szCs w:val="20"/>
          <w:lang w:val="en-SG"/>
        </w:rPr>
        <w:t xml:space="preserve"> Table</w:t>
      </w:r>
      <w:r>
        <w:rPr>
          <w:rFonts w:cstheme="minorHAnsi"/>
          <w:sz w:val="20"/>
          <w:szCs w:val="20"/>
          <w:lang w:val="en-SG"/>
        </w:rPr>
        <w:t>.</w:t>
      </w:r>
      <w:r w:rsidRPr="005445AE">
        <w:rPr>
          <w:rFonts w:cstheme="minorHAnsi"/>
          <w:sz w:val="20"/>
          <w:szCs w:val="20"/>
          <w:lang w:val="en-SG"/>
        </w:rPr>
        <w:t xml:space="preserve"> Characteristics of study participants according to included studies </w:t>
      </w:r>
    </w:p>
    <w:p w14:paraId="7401F018" w14:textId="2DA3FC1C" w:rsidR="00F47BEA" w:rsidRDefault="00F47BEA">
      <w:pPr>
        <w:rPr>
          <w:rFonts w:cstheme="minorHAnsi"/>
          <w:sz w:val="20"/>
          <w:szCs w:val="20"/>
          <w:lang w:val="en-SG"/>
        </w:rPr>
      </w:pPr>
      <w:r w:rsidRPr="005445AE">
        <w:rPr>
          <w:rFonts w:cstheme="minorHAnsi"/>
          <w:sz w:val="20"/>
          <w:szCs w:val="20"/>
          <w:lang w:val="en-SG"/>
        </w:rPr>
        <w:t>S</w:t>
      </w:r>
      <w:r>
        <w:rPr>
          <w:rFonts w:cstheme="minorHAnsi"/>
          <w:sz w:val="20"/>
          <w:szCs w:val="20"/>
          <w:lang w:val="en-SG"/>
        </w:rPr>
        <w:t>2</w:t>
      </w:r>
      <w:r w:rsidRPr="005445AE">
        <w:rPr>
          <w:rFonts w:cstheme="minorHAnsi"/>
          <w:sz w:val="20"/>
          <w:szCs w:val="20"/>
          <w:lang w:val="en-SG"/>
        </w:rPr>
        <w:t xml:space="preserve"> Text</w:t>
      </w:r>
      <w:r>
        <w:rPr>
          <w:rFonts w:cstheme="minorHAnsi"/>
          <w:sz w:val="20"/>
          <w:szCs w:val="20"/>
          <w:lang w:val="en-SG"/>
        </w:rPr>
        <w:t>.</w:t>
      </w:r>
      <w:r w:rsidRPr="005445AE">
        <w:rPr>
          <w:rFonts w:cstheme="minorHAnsi"/>
          <w:sz w:val="20"/>
          <w:szCs w:val="20"/>
          <w:lang w:val="en-SG"/>
        </w:rPr>
        <w:t xml:space="preserve"> Project protocol for funding application </w:t>
      </w:r>
    </w:p>
    <w:p w14:paraId="070B8056" w14:textId="0FEB8632" w:rsidR="00F47BEA" w:rsidRDefault="00F47BEA">
      <w:pPr>
        <w:rPr>
          <w:rFonts w:cstheme="minorHAnsi"/>
          <w:sz w:val="20"/>
          <w:szCs w:val="20"/>
          <w:lang w:val="en-SG"/>
        </w:rPr>
      </w:pPr>
      <w:r>
        <w:rPr>
          <w:rFonts w:cstheme="minorHAnsi"/>
          <w:sz w:val="20"/>
          <w:szCs w:val="20"/>
          <w:lang w:val="en-SG"/>
        </w:rPr>
        <w:t xml:space="preserve">S1 PRISMA Checklist. </w:t>
      </w:r>
      <w:r w:rsidRPr="005445AE">
        <w:rPr>
          <w:rFonts w:cstheme="minorHAnsi"/>
          <w:sz w:val="20"/>
          <w:szCs w:val="20"/>
          <w:lang w:val="en-SG"/>
        </w:rPr>
        <w:t>Checklist of items to include when reporting a systematic review and meta-analysis of individual participant data (IPD)</w:t>
      </w:r>
    </w:p>
    <w:p w14:paraId="09624D0C" w14:textId="64E10B79" w:rsidR="005445AE" w:rsidRDefault="00954D05">
      <w:pPr>
        <w:rPr>
          <w:rFonts w:cstheme="minorHAnsi"/>
          <w:sz w:val="20"/>
          <w:szCs w:val="20"/>
          <w:lang w:val="en-SG"/>
        </w:rPr>
      </w:pPr>
      <w:r>
        <w:rPr>
          <w:rFonts w:cstheme="minorHAnsi"/>
          <w:sz w:val="20"/>
          <w:szCs w:val="20"/>
          <w:lang w:val="en-SG"/>
        </w:rPr>
        <w:t>S</w:t>
      </w:r>
      <w:r w:rsidR="00F47BEA">
        <w:rPr>
          <w:rFonts w:cstheme="minorHAnsi"/>
          <w:sz w:val="20"/>
          <w:szCs w:val="20"/>
          <w:lang w:val="en-SG"/>
        </w:rPr>
        <w:t>2</w:t>
      </w:r>
      <w:r>
        <w:rPr>
          <w:rFonts w:cstheme="minorHAnsi"/>
          <w:sz w:val="20"/>
          <w:szCs w:val="20"/>
          <w:lang w:val="en-SG"/>
        </w:rPr>
        <w:t xml:space="preserve"> Table</w:t>
      </w:r>
      <w:r w:rsidR="00F47BEA">
        <w:rPr>
          <w:rFonts w:cstheme="minorHAnsi"/>
          <w:sz w:val="20"/>
          <w:szCs w:val="20"/>
          <w:lang w:val="en-SG"/>
        </w:rPr>
        <w:t>.</w:t>
      </w:r>
      <w:r w:rsidR="00E046BE" w:rsidRPr="00E046BE">
        <w:rPr>
          <w:rFonts w:cstheme="minorHAnsi"/>
          <w:sz w:val="20"/>
          <w:szCs w:val="20"/>
          <w:lang w:val="en-SG"/>
        </w:rPr>
        <w:t xml:space="preserve"> Information on data request contacts, full cohort recruitment date, and local institutional ethical review boards for each cohort.</w:t>
      </w:r>
    </w:p>
    <w:p w14:paraId="05B4FFDC" w14:textId="58DF12F6" w:rsidR="005445AE" w:rsidRDefault="003B5F60">
      <w:pPr>
        <w:rPr>
          <w:rFonts w:cstheme="minorHAnsi"/>
          <w:sz w:val="20"/>
          <w:szCs w:val="20"/>
          <w:lang w:val="en-SG"/>
        </w:rPr>
      </w:pPr>
      <w:r w:rsidRPr="005445AE">
        <w:rPr>
          <w:rFonts w:cstheme="minorHAnsi"/>
          <w:sz w:val="20"/>
          <w:szCs w:val="20"/>
          <w:lang w:val="en-SG"/>
        </w:rPr>
        <w:t>S</w:t>
      </w:r>
      <w:r>
        <w:rPr>
          <w:rFonts w:cstheme="minorHAnsi"/>
          <w:sz w:val="20"/>
          <w:szCs w:val="20"/>
          <w:lang w:val="en-SG"/>
        </w:rPr>
        <w:t>3</w:t>
      </w:r>
      <w:r w:rsidRPr="005445AE">
        <w:rPr>
          <w:rFonts w:cstheme="minorHAnsi"/>
          <w:sz w:val="20"/>
          <w:szCs w:val="20"/>
          <w:lang w:val="en-SG"/>
        </w:rPr>
        <w:t xml:space="preserve"> </w:t>
      </w:r>
      <w:r w:rsidR="005445AE" w:rsidRPr="005445AE">
        <w:rPr>
          <w:rFonts w:cstheme="minorHAnsi"/>
          <w:sz w:val="20"/>
          <w:szCs w:val="20"/>
          <w:lang w:val="en-SG"/>
        </w:rPr>
        <w:t>Table</w:t>
      </w:r>
      <w:r w:rsidR="00F47BEA">
        <w:rPr>
          <w:rFonts w:cstheme="minorHAnsi"/>
          <w:sz w:val="20"/>
          <w:szCs w:val="20"/>
          <w:lang w:val="en-SG"/>
        </w:rPr>
        <w:t>.</w:t>
      </w:r>
      <w:r w:rsidR="005445AE" w:rsidRPr="005445AE">
        <w:rPr>
          <w:rFonts w:cstheme="minorHAnsi"/>
          <w:sz w:val="20"/>
          <w:szCs w:val="20"/>
          <w:lang w:val="en-SG"/>
        </w:rPr>
        <w:t xml:space="preserve"> </w:t>
      </w:r>
      <w:r w:rsidR="00E046BE" w:rsidRPr="005445AE">
        <w:rPr>
          <w:rFonts w:cstheme="minorHAnsi"/>
          <w:sz w:val="20"/>
          <w:szCs w:val="20"/>
          <w:lang w:val="en-SG"/>
        </w:rPr>
        <w:t xml:space="preserve"> </w:t>
      </w:r>
      <w:r w:rsidR="005445AE" w:rsidRPr="005445AE">
        <w:rPr>
          <w:rFonts w:cstheme="minorHAnsi"/>
          <w:sz w:val="20"/>
          <w:szCs w:val="20"/>
          <w:lang w:val="en-SG"/>
        </w:rPr>
        <w:t>Food Frequency Questionnaires and Diet sc</w:t>
      </w:r>
      <w:r w:rsidR="005445AE">
        <w:rPr>
          <w:rFonts w:cstheme="minorHAnsi"/>
          <w:sz w:val="20"/>
          <w:szCs w:val="20"/>
          <w:lang w:val="en-SG"/>
        </w:rPr>
        <w:t>ores in the ALPHABET consortium</w:t>
      </w:r>
    </w:p>
    <w:p w14:paraId="0F89C6FE" w14:textId="462178DF" w:rsidR="005445AE" w:rsidRDefault="003B5F60">
      <w:pPr>
        <w:rPr>
          <w:rFonts w:cstheme="minorHAnsi"/>
          <w:sz w:val="20"/>
          <w:szCs w:val="20"/>
          <w:lang w:val="en-SG"/>
        </w:rPr>
      </w:pPr>
      <w:r w:rsidRPr="005445AE">
        <w:rPr>
          <w:rFonts w:cstheme="minorHAnsi"/>
          <w:sz w:val="20"/>
          <w:szCs w:val="20"/>
          <w:lang w:val="en-SG"/>
        </w:rPr>
        <w:t>S</w:t>
      </w:r>
      <w:r>
        <w:rPr>
          <w:rFonts w:cstheme="minorHAnsi"/>
          <w:sz w:val="20"/>
          <w:szCs w:val="20"/>
          <w:lang w:val="en-SG"/>
        </w:rPr>
        <w:t>4</w:t>
      </w:r>
      <w:r w:rsidRPr="005445AE">
        <w:rPr>
          <w:rFonts w:cstheme="minorHAnsi"/>
          <w:sz w:val="20"/>
          <w:szCs w:val="20"/>
          <w:lang w:val="en-SG"/>
        </w:rPr>
        <w:t xml:space="preserve"> </w:t>
      </w:r>
      <w:r w:rsidR="005445AE" w:rsidRPr="005445AE">
        <w:rPr>
          <w:rFonts w:cstheme="minorHAnsi"/>
          <w:sz w:val="20"/>
          <w:szCs w:val="20"/>
          <w:lang w:val="en-SG"/>
        </w:rPr>
        <w:t>Table</w:t>
      </w:r>
      <w:r w:rsidR="00F47BEA">
        <w:rPr>
          <w:rFonts w:cstheme="minorHAnsi"/>
          <w:sz w:val="20"/>
          <w:szCs w:val="20"/>
          <w:lang w:val="en-SG"/>
        </w:rPr>
        <w:t>.</w:t>
      </w:r>
      <w:r w:rsidR="005445AE" w:rsidRPr="005445AE">
        <w:rPr>
          <w:rFonts w:cstheme="minorHAnsi"/>
          <w:sz w:val="20"/>
          <w:szCs w:val="20"/>
          <w:lang w:val="en-SG"/>
        </w:rPr>
        <w:t xml:space="preserve"> </w:t>
      </w:r>
      <w:r>
        <w:rPr>
          <w:rFonts w:cstheme="minorHAnsi"/>
          <w:sz w:val="20"/>
          <w:szCs w:val="20"/>
          <w:lang w:val="en-SG"/>
        </w:rPr>
        <w:t xml:space="preserve"> </w:t>
      </w:r>
      <w:r w:rsidR="005445AE" w:rsidRPr="005445AE">
        <w:rPr>
          <w:rFonts w:cstheme="minorHAnsi"/>
          <w:sz w:val="20"/>
          <w:szCs w:val="20"/>
          <w:lang w:val="en-SG"/>
        </w:rPr>
        <w:t>Proportions of infants with adverse birth outcomes</w:t>
      </w:r>
    </w:p>
    <w:p w14:paraId="33BBA94D" w14:textId="24589256" w:rsidR="005445AE" w:rsidRDefault="003B5F60">
      <w:pPr>
        <w:rPr>
          <w:rFonts w:cstheme="minorHAnsi"/>
          <w:sz w:val="20"/>
          <w:szCs w:val="20"/>
          <w:lang w:val="en-SG"/>
        </w:rPr>
      </w:pPr>
      <w:r w:rsidRPr="005445AE">
        <w:rPr>
          <w:rFonts w:cstheme="minorHAnsi"/>
          <w:sz w:val="20"/>
          <w:szCs w:val="20"/>
          <w:lang w:val="en-SG"/>
        </w:rPr>
        <w:t>S</w:t>
      </w:r>
      <w:r>
        <w:rPr>
          <w:rFonts w:cstheme="minorHAnsi"/>
          <w:sz w:val="20"/>
          <w:szCs w:val="20"/>
          <w:lang w:val="en-SG"/>
        </w:rPr>
        <w:t>5</w:t>
      </w:r>
      <w:r w:rsidRPr="005445AE">
        <w:rPr>
          <w:rFonts w:cstheme="minorHAnsi"/>
          <w:sz w:val="20"/>
          <w:szCs w:val="20"/>
          <w:lang w:val="en-SG"/>
        </w:rPr>
        <w:t xml:space="preserve"> </w:t>
      </w:r>
      <w:r w:rsidR="005445AE" w:rsidRPr="005445AE">
        <w:rPr>
          <w:rFonts w:cstheme="minorHAnsi"/>
          <w:sz w:val="20"/>
          <w:szCs w:val="20"/>
          <w:lang w:val="en-SG"/>
        </w:rPr>
        <w:t>Table</w:t>
      </w:r>
      <w:r w:rsidR="00F47BEA">
        <w:rPr>
          <w:rFonts w:cstheme="minorHAnsi"/>
          <w:sz w:val="20"/>
          <w:szCs w:val="20"/>
          <w:lang w:val="en-SG"/>
        </w:rPr>
        <w:t>.</w:t>
      </w:r>
      <w:r w:rsidR="005445AE" w:rsidRPr="005445AE">
        <w:rPr>
          <w:rFonts w:cstheme="minorHAnsi"/>
          <w:sz w:val="20"/>
          <w:szCs w:val="20"/>
          <w:lang w:val="en-SG"/>
        </w:rPr>
        <w:t xml:space="preserve"> </w:t>
      </w:r>
      <w:r>
        <w:rPr>
          <w:rFonts w:cstheme="minorHAnsi"/>
          <w:sz w:val="20"/>
          <w:szCs w:val="20"/>
          <w:lang w:val="en-SG"/>
        </w:rPr>
        <w:t xml:space="preserve"> </w:t>
      </w:r>
      <w:r w:rsidR="005445AE" w:rsidRPr="005445AE">
        <w:rPr>
          <w:rFonts w:cstheme="minorHAnsi"/>
          <w:sz w:val="20"/>
          <w:szCs w:val="20"/>
          <w:lang w:val="en-SG"/>
        </w:rPr>
        <w:t>Sensitivity analysis for continuous outcomes- complete case analysis</w:t>
      </w:r>
    </w:p>
    <w:p w14:paraId="7FF86420" w14:textId="1F147617" w:rsidR="005445AE" w:rsidRDefault="003B5F60">
      <w:pPr>
        <w:rPr>
          <w:rFonts w:cstheme="minorHAnsi"/>
          <w:sz w:val="20"/>
          <w:szCs w:val="20"/>
          <w:lang w:val="en-SG"/>
        </w:rPr>
      </w:pPr>
      <w:r w:rsidRPr="005445AE">
        <w:rPr>
          <w:rFonts w:cstheme="minorHAnsi"/>
          <w:sz w:val="20"/>
          <w:szCs w:val="20"/>
          <w:lang w:val="en-SG"/>
        </w:rPr>
        <w:t>S</w:t>
      </w:r>
      <w:r>
        <w:rPr>
          <w:rFonts w:cstheme="minorHAnsi"/>
          <w:sz w:val="20"/>
          <w:szCs w:val="20"/>
          <w:lang w:val="en-SG"/>
        </w:rPr>
        <w:t>6</w:t>
      </w:r>
      <w:r w:rsidRPr="005445AE">
        <w:rPr>
          <w:rFonts w:cstheme="minorHAnsi"/>
          <w:sz w:val="20"/>
          <w:szCs w:val="20"/>
          <w:lang w:val="en-SG"/>
        </w:rPr>
        <w:t xml:space="preserve"> </w:t>
      </w:r>
      <w:r w:rsidR="005445AE" w:rsidRPr="005445AE">
        <w:rPr>
          <w:rFonts w:cstheme="minorHAnsi"/>
          <w:sz w:val="20"/>
          <w:szCs w:val="20"/>
          <w:lang w:val="en-SG"/>
        </w:rPr>
        <w:t>Table</w:t>
      </w:r>
      <w:r w:rsidR="00680AB6">
        <w:rPr>
          <w:rFonts w:cstheme="minorHAnsi"/>
          <w:sz w:val="20"/>
          <w:szCs w:val="20"/>
          <w:lang w:val="en-SG"/>
        </w:rPr>
        <w:t>.</w:t>
      </w:r>
      <w:r w:rsidR="005445AE" w:rsidRPr="005445AE">
        <w:rPr>
          <w:rFonts w:cstheme="minorHAnsi"/>
          <w:sz w:val="20"/>
          <w:szCs w:val="20"/>
          <w:lang w:val="en-SG"/>
        </w:rPr>
        <w:t xml:space="preserve"> </w:t>
      </w:r>
      <w:r w:rsidR="00E046BE" w:rsidRPr="005445AE">
        <w:rPr>
          <w:rFonts w:cstheme="minorHAnsi"/>
          <w:sz w:val="20"/>
          <w:szCs w:val="20"/>
          <w:lang w:val="en-SG"/>
        </w:rPr>
        <w:t xml:space="preserve"> </w:t>
      </w:r>
      <w:r w:rsidR="005445AE" w:rsidRPr="005445AE">
        <w:rPr>
          <w:rFonts w:cstheme="minorHAnsi"/>
          <w:sz w:val="20"/>
          <w:szCs w:val="20"/>
          <w:lang w:val="en-SG"/>
        </w:rPr>
        <w:t>Sensitivity analysis for binary outcomes- complete case analysis</w:t>
      </w:r>
    </w:p>
    <w:p w14:paraId="01C6A748" w14:textId="642977DB" w:rsidR="005445AE" w:rsidRDefault="003B5F60">
      <w:pPr>
        <w:rPr>
          <w:rFonts w:cstheme="minorHAnsi"/>
          <w:sz w:val="20"/>
          <w:szCs w:val="20"/>
          <w:lang w:val="en-SG"/>
        </w:rPr>
      </w:pPr>
      <w:r w:rsidRPr="005445AE">
        <w:rPr>
          <w:rFonts w:cstheme="minorHAnsi"/>
          <w:sz w:val="20"/>
          <w:szCs w:val="20"/>
          <w:lang w:val="en-SG"/>
        </w:rPr>
        <w:t>S</w:t>
      </w:r>
      <w:r>
        <w:rPr>
          <w:rFonts w:cstheme="minorHAnsi"/>
          <w:sz w:val="20"/>
          <w:szCs w:val="20"/>
          <w:lang w:val="en-SG"/>
        </w:rPr>
        <w:t>7</w:t>
      </w:r>
      <w:r w:rsidRPr="005445AE">
        <w:rPr>
          <w:rFonts w:cstheme="minorHAnsi"/>
          <w:sz w:val="20"/>
          <w:szCs w:val="20"/>
          <w:lang w:val="en-SG"/>
        </w:rPr>
        <w:t xml:space="preserve"> </w:t>
      </w:r>
      <w:r w:rsidR="005445AE" w:rsidRPr="005445AE">
        <w:rPr>
          <w:rFonts w:cstheme="minorHAnsi"/>
          <w:sz w:val="20"/>
          <w:szCs w:val="20"/>
          <w:lang w:val="en-SG"/>
        </w:rPr>
        <w:t>Table</w:t>
      </w:r>
      <w:r w:rsidR="00680AB6">
        <w:rPr>
          <w:rFonts w:cstheme="minorHAnsi"/>
          <w:sz w:val="20"/>
          <w:szCs w:val="20"/>
          <w:lang w:val="en-SG"/>
        </w:rPr>
        <w:t>.</w:t>
      </w:r>
      <w:r w:rsidR="005445AE" w:rsidRPr="005445AE">
        <w:rPr>
          <w:rFonts w:cstheme="minorHAnsi"/>
          <w:sz w:val="20"/>
          <w:szCs w:val="20"/>
          <w:lang w:val="en-SG"/>
        </w:rPr>
        <w:t xml:space="preserve"> </w:t>
      </w:r>
      <w:r w:rsidR="00E046BE" w:rsidRPr="005445AE">
        <w:rPr>
          <w:rFonts w:cstheme="minorHAnsi"/>
          <w:sz w:val="20"/>
          <w:szCs w:val="20"/>
          <w:lang w:val="en-SG"/>
        </w:rPr>
        <w:t xml:space="preserve"> </w:t>
      </w:r>
      <w:r w:rsidR="005445AE" w:rsidRPr="005445AE">
        <w:rPr>
          <w:rFonts w:cstheme="minorHAnsi"/>
          <w:sz w:val="20"/>
          <w:szCs w:val="20"/>
          <w:lang w:val="en-SG"/>
        </w:rPr>
        <w:t>Sensitivity analysis for continuous outcomes- excluding all non-European-born/non-White participants</w:t>
      </w:r>
    </w:p>
    <w:p w14:paraId="57566694" w14:textId="4FC602F6" w:rsidR="005445AE" w:rsidRDefault="003B5F60">
      <w:pPr>
        <w:rPr>
          <w:rFonts w:cstheme="minorHAnsi"/>
          <w:sz w:val="20"/>
          <w:szCs w:val="20"/>
          <w:lang w:val="en-SG"/>
        </w:rPr>
      </w:pPr>
      <w:r w:rsidRPr="005445AE">
        <w:rPr>
          <w:rFonts w:cstheme="minorHAnsi"/>
          <w:sz w:val="20"/>
          <w:szCs w:val="20"/>
          <w:lang w:val="en-SG"/>
        </w:rPr>
        <w:t>S</w:t>
      </w:r>
      <w:r>
        <w:rPr>
          <w:rFonts w:cstheme="minorHAnsi"/>
          <w:sz w:val="20"/>
          <w:szCs w:val="20"/>
          <w:lang w:val="en-SG"/>
        </w:rPr>
        <w:t>8</w:t>
      </w:r>
      <w:r w:rsidRPr="005445AE">
        <w:rPr>
          <w:rFonts w:cstheme="minorHAnsi"/>
          <w:sz w:val="20"/>
          <w:szCs w:val="20"/>
          <w:lang w:val="en-SG"/>
        </w:rPr>
        <w:t xml:space="preserve"> </w:t>
      </w:r>
      <w:r w:rsidR="005445AE" w:rsidRPr="005445AE">
        <w:rPr>
          <w:rFonts w:cstheme="minorHAnsi"/>
          <w:sz w:val="20"/>
          <w:szCs w:val="20"/>
          <w:lang w:val="en-SG"/>
        </w:rPr>
        <w:t>Table</w:t>
      </w:r>
      <w:r w:rsidR="00680AB6">
        <w:rPr>
          <w:rFonts w:cstheme="minorHAnsi"/>
          <w:sz w:val="20"/>
          <w:szCs w:val="20"/>
          <w:lang w:val="en-SG"/>
        </w:rPr>
        <w:t>.</w:t>
      </w:r>
      <w:r w:rsidR="005445AE" w:rsidRPr="005445AE">
        <w:rPr>
          <w:rFonts w:cstheme="minorHAnsi"/>
          <w:sz w:val="20"/>
          <w:szCs w:val="20"/>
          <w:lang w:val="en-SG"/>
        </w:rPr>
        <w:t xml:space="preserve"> </w:t>
      </w:r>
      <w:r w:rsidR="00E046BE" w:rsidRPr="005445AE">
        <w:rPr>
          <w:rFonts w:cstheme="minorHAnsi"/>
          <w:sz w:val="20"/>
          <w:szCs w:val="20"/>
          <w:lang w:val="en-SG"/>
        </w:rPr>
        <w:t xml:space="preserve"> </w:t>
      </w:r>
      <w:r w:rsidR="005445AE" w:rsidRPr="005445AE">
        <w:rPr>
          <w:rFonts w:cstheme="minorHAnsi"/>
          <w:sz w:val="20"/>
          <w:szCs w:val="20"/>
          <w:lang w:val="en-SG"/>
        </w:rPr>
        <w:t>Sensitivity analysis for binary outcomes- excluding all non-European-born/non-White participants</w:t>
      </w:r>
    </w:p>
    <w:p w14:paraId="339A62DF" w14:textId="30D1E6CD" w:rsidR="005445AE" w:rsidRDefault="003B5F60">
      <w:pPr>
        <w:rPr>
          <w:rFonts w:cstheme="minorHAnsi"/>
          <w:sz w:val="20"/>
          <w:szCs w:val="20"/>
          <w:lang w:val="en-SG"/>
        </w:rPr>
      </w:pPr>
      <w:r w:rsidRPr="005445AE">
        <w:rPr>
          <w:rFonts w:cstheme="minorHAnsi"/>
          <w:sz w:val="20"/>
          <w:szCs w:val="20"/>
          <w:lang w:val="en-SG"/>
        </w:rPr>
        <w:t>S</w:t>
      </w:r>
      <w:r>
        <w:rPr>
          <w:rFonts w:cstheme="minorHAnsi"/>
          <w:sz w:val="20"/>
          <w:szCs w:val="20"/>
          <w:lang w:val="en-SG"/>
        </w:rPr>
        <w:t>9</w:t>
      </w:r>
      <w:r w:rsidRPr="005445AE">
        <w:rPr>
          <w:rFonts w:cstheme="minorHAnsi"/>
          <w:sz w:val="20"/>
          <w:szCs w:val="20"/>
          <w:lang w:val="en-SG"/>
        </w:rPr>
        <w:t xml:space="preserve"> </w:t>
      </w:r>
      <w:r w:rsidR="005445AE" w:rsidRPr="005445AE">
        <w:rPr>
          <w:rFonts w:cstheme="minorHAnsi"/>
          <w:sz w:val="20"/>
          <w:szCs w:val="20"/>
          <w:lang w:val="en-SG"/>
        </w:rPr>
        <w:t>Table</w:t>
      </w:r>
      <w:r w:rsidR="00680AB6">
        <w:rPr>
          <w:rFonts w:cstheme="minorHAnsi"/>
          <w:sz w:val="20"/>
          <w:szCs w:val="20"/>
          <w:lang w:val="en-SG"/>
        </w:rPr>
        <w:t>.</w:t>
      </w:r>
      <w:r w:rsidR="005445AE" w:rsidRPr="005445AE">
        <w:rPr>
          <w:rFonts w:cstheme="minorHAnsi"/>
          <w:sz w:val="20"/>
          <w:szCs w:val="20"/>
          <w:lang w:val="en-SG"/>
        </w:rPr>
        <w:t xml:space="preserve"> </w:t>
      </w:r>
      <w:r w:rsidR="00E046BE" w:rsidRPr="005445AE">
        <w:rPr>
          <w:rFonts w:cstheme="minorHAnsi"/>
          <w:sz w:val="20"/>
          <w:szCs w:val="20"/>
          <w:lang w:val="en-SG"/>
        </w:rPr>
        <w:t xml:space="preserve"> </w:t>
      </w:r>
      <w:r w:rsidR="005445AE" w:rsidRPr="005445AE">
        <w:rPr>
          <w:rFonts w:cstheme="minorHAnsi"/>
          <w:sz w:val="20"/>
          <w:szCs w:val="20"/>
          <w:lang w:val="en-SG"/>
        </w:rPr>
        <w:t>Sensitivity analysis for continuous outcomes- excluding participants with pregnancy complications</w:t>
      </w:r>
    </w:p>
    <w:p w14:paraId="0DE68D87" w14:textId="56377A1D" w:rsidR="005445AE" w:rsidRDefault="003B5F60">
      <w:pPr>
        <w:rPr>
          <w:rFonts w:cstheme="minorHAnsi"/>
          <w:sz w:val="20"/>
          <w:szCs w:val="20"/>
          <w:lang w:val="en-SG"/>
        </w:rPr>
      </w:pPr>
      <w:r w:rsidRPr="005445AE">
        <w:rPr>
          <w:rFonts w:cstheme="minorHAnsi"/>
          <w:sz w:val="20"/>
          <w:szCs w:val="20"/>
          <w:lang w:val="en-SG"/>
        </w:rPr>
        <w:t>S</w:t>
      </w:r>
      <w:r>
        <w:rPr>
          <w:rFonts w:cstheme="minorHAnsi"/>
          <w:sz w:val="20"/>
          <w:szCs w:val="20"/>
          <w:lang w:val="en-SG"/>
        </w:rPr>
        <w:t>10</w:t>
      </w:r>
      <w:r w:rsidRPr="005445AE">
        <w:rPr>
          <w:rFonts w:cstheme="minorHAnsi"/>
          <w:sz w:val="20"/>
          <w:szCs w:val="20"/>
          <w:lang w:val="en-SG"/>
        </w:rPr>
        <w:t xml:space="preserve"> </w:t>
      </w:r>
      <w:r w:rsidR="005445AE" w:rsidRPr="005445AE">
        <w:rPr>
          <w:rFonts w:cstheme="minorHAnsi"/>
          <w:sz w:val="20"/>
          <w:szCs w:val="20"/>
          <w:lang w:val="en-SG"/>
        </w:rPr>
        <w:t>Table</w:t>
      </w:r>
      <w:r w:rsidR="00680AB6">
        <w:rPr>
          <w:rFonts w:cstheme="minorHAnsi"/>
          <w:sz w:val="20"/>
          <w:szCs w:val="20"/>
          <w:lang w:val="en-SG"/>
        </w:rPr>
        <w:t>.</w:t>
      </w:r>
      <w:r w:rsidR="005445AE" w:rsidRPr="005445AE">
        <w:rPr>
          <w:rFonts w:cstheme="minorHAnsi"/>
          <w:sz w:val="20"/>
          <w:szCs w:val="20"/>
          <w:lang w:val="en-SG"/>
        </w:rPr>
        <w:t xml:space="preserve"> </w:t>
      </w:r>
      <w:r w:rsidR="00E046BE" w:rsidRPr="005445AE">
        <w:rPr>
          <w:rFonts w:cstheme="minorHAnsi"/>
          <w:sz w:val="20"/>
          <w:szCs w:val="20"/>
          <w:lang w:val="en-SG"/>
        </w:rPr>
        <w:t xml:space="preserve"> </w:t>
      </w:r>
      <w:r w:rsidR="005445AE" w:rsidRPr="005445AE">
        <w:rPr>
          <w:rFonts w:cstheme="minorHAnsi"/>
          <w:sz w:val="20"/>
          <w:szCs w:val="20"/>
          <w:lang w:val="en-SG"/>
        </w:rPr>
        <w:t xml:space="preserve">Sensitivity analysis for binary outcomes- excluding participants with pregnancy complications </w:t>
      </w:r>
    </w:p>
    <w:p w14:paraId="4A6FF896" w14:textId="2CF68B10" w:rsidR="005445AE" w:rsidRDefault="003B5F60">
      <w:pPr>
        <w:rPr>
          <w:rFonts w:cstheme="minorHAnsi"/>
          <w:sz w:val="20"/>
          <w:szCs w:val="20"/>
          <w:lang w:val="en-SG"/>
        </w:rPr>
      </w:pPr>
      <w:r w:rsidRPr="005445AE">
        <w:rPr>
          <w:rFonts w:cstheme="minorHAnsi"/>
          <w:sz w:val="20"/>
          <w:szCs w:val="20"/>
          <w:lang w:val="en-SG"/>
        </w:rPr>
        <w:t>S</w:t>
      </w:r>
      <w:r>
        <w:rPr>
          <w:rFonts w:cstheme="minorHAnsi"/>
          <w:sz w:val="20"/>
          <w:szCs w:val="20"/>
          <w:lang w:val="en-SG"/>
        </w:rPr>
        <w:t>11</w:t>
      </w:r>
      <w:r w:rsidRPr="005445AE">
        <w:rPr>
          <w:rFonts w:cstheme="minorHAnsi"/>
          <w:sz w:val="20"/>
          <w:szCs w:val="20"/>
          <w:lang w:val="en-SG"/>
        </w:rPr>
        <w:t xml:space="preserve"> </w:t>
      </w:r>
      <w:r w:rsidR="005445AE" w:rsidRPr="005445AE">
        <w:rPr>
          <w:rFonts w:cstheme="minorHAnsi"/>
          <w:sz w:val="20"/>
          <w:szCs w:val="20"/>
          <w:lang w:val="en-SG"/>
        </w:rPr>
        <w:t>Table</w:t>
      </w:r>
      <w:r w:rsidR="00680AB6">
        <w:rPr>
          <w:rFonts w:cstheme="minorHAnsi"/>
          <w:sz w:val="20"/>
          <w:szCs w:val="20"/>
          <w:lang w:val="en-SG"/>
        </w:rPr>
        <w:t>.</w:t>
      </w:r>
      <w:r w:rsidR="005445AE" w:rsidRPr="005445AE">
        <w:rPr>
          <w:rFonts w:cstheme="minorHAnsi"/>
          <w:sz w:val="20"/>
          <w:szCs w:val="20"/>
          <w:lang w:val="en-SG"/>
        </w:rPr>
        <w:t xml:space="preserve"> </w:t>
      </w:r>
      <w:r w:rsidR="00E046BE" w:rsidRPr="005445AE">
        <w:rPr>
          <w:rFonts w:cstheme="minorHAnsi"/>
          <w:sz w:val="20"/>
          <w:szCs w:val="20"/>
          <w:lang w:val="en-SG"/>
        </w:rPr>
        <w:t xml:space="preserve"> </w:t>
      </w:r>
      <w:r w:rsidR="005445AE" w:rsidRPr="005445AE">
        <w:rPr>
          <w:rFonts w:cstheme="minorHAnsi"/>
          <w:sz w:val="20"/>
          <w:szCs w:val="20"/>
          <w:lang w:val="en-SG"/>
        </w:rPr>
        <w:t xml:space="preserve">Sensitivity analysis for gestational age outcomes- restricting samples to all spontaneous labours </w:t>
      </w:r>
    </w:p>
    <w:p w14:paraId="0F1128EB" w14:textId="37563FB5" w:rsidR="005445AE" w:rsidRDefault="003B5F60">
      <w:pPr>
        <w:rPr>
          <w:rFonts w:cstheme="minorHAnsi"/>
          <w:sz w:val="20"/>
          <w:szCs w:val="20"/>
          <w:lang w:val="en-SG"/>
        </w:rPr>
      </w:pPr>
      <w:r w:rsidRPr="005445AE">
        <w:rPr>
          <w:rFonts w:cstheme="minorHAnsi"/>
          <w:sz w:val="20"/>
          <w:szCs w:val="20"/>
          <w:lang w:val="en-SG"/>
        </w:rPr>
        <w:t>S</w:t>
      </w:r>
      <w:r>
        <w:rPr>
          <w:rFonts w:cstheme="minorHAnsi"/>
          <w:sz w:val="20"/>
          <w:szCs w:val="20"/>
          <w:lang w:val="en-SG"/>
        </w:rPr>
        <w:t>12</w:t>
      </w:r>
      <w:r w:rsidRPr="005445AE">
        <w:rPr>
          <w:rFonts w:cstheme="minorHAnsi"/>
          <w:sz w:val="20"/>
          <w:szCs w:val="20"/>
          <w:lang w:val="en-SG"/>
        </w:rPr>
        <w:t xml:space="preserve"> </w:t>
      </w:r>
      <w:r w:rsidR="005445AE" w:rsidRPr="005445AE">
        <w:rPr>
          <w:rFonts w:cstheme="minorHAnsi"/>
          <w:sz w:val="20"/>
          <w:szCs w:val="20"/>
          <w:lang w:val="en-SG"/>
        </w:rPr>
        <w:t>Table</w:t>
      </w:r>
      <w:r w:rsidR="00680AB6">
        <w:rPr>
          <w:rFonts w:cstheme="minorHAnsi"/>
          <w:sz w:val="20"/>
          <w:szCs w:val="20"/>
          <w:lang w:val="en-SG"/>
        </w:rPr>
        <w:t>.</w:t>
      </w:r>
      <w:r w:rsidR="005445AE" w:rsidRPr="005445AE">
        <w:rPr>
          <w:rFonts w:cstheme="minorHAnsi"/>
          <w:sz w:val="20"/>
          <w:szCs w:val="20"/>
          <w:lang w:val="en-SG"/>
        </w:rPr>
        <w:t xml:space="preserve"> </w:t>
      </w:r>
      <w:r w:rsidR="00E046BE" w:rsidRPr="005445AE">
        <w:rPr>
          <w:rFonts w:cstheme="minorHAnsi"/>
          <w:sz w:val="20"/>
          <w:szCs w:val="20"/>
          <w:lang w:val="en-SG"/>
        </w:rPr>
        <w:t xml:space="preserve"> </w:t>
      </w:r>
      <w:r w:rsidR="005445AE" w:rsidRPr="005445AE">
        <w:rPr>
          <w:rFonts w:cstheme="minorHAnsi"/>
          <w:sz w:val="20"/>
          <w:szCs w:val="20"/>
          <w:lang w:val="en-SG"/>
        </w:rPr>
        <w:t>Sensitivity analysis for primary birth size measure- restricting samples born between 37 to &lt;42 completed weeks of gestational age</w:t>
      </w:r>
    </w:p>
    <w:p w14:paraId="1E75D129" w14:textId="0624988D" w:rsidR="005445AE" w:rsidRDefault="003B5F60">
      <w:pPr>
        <w:rPr>
          <w:rFonts w:cstheme="minorHAnsi"/>
          <w:sz w:val="20"/>
          <w:szCs w:val="20"/>
          <w:lang w:val="en-SG"/>
        </w:rPr>
      </w:pPr>
      <w:r w:rsidRPr="005445AE">
        <w:rPr>
          <w:rFonts w:cstheme="minorHAnsi"/>
          <w:sz w:val="20"/>
          <w:szCs w:val="20"/>
          <w:lang w:val="en-SG"/>
        </w:rPr>
        <w:t>S</w:t>
      </w:r>
      <w:r>
        <w:rPr>
          <w:rFonts w:cstheme="minorHAnsi"/>
          <w:sz w:val="20"/>
          <w:szCs w:val="20"/>
          <w:lang w:val="en-SG"/>
        </w:rPr>
        <w:t>13</w:t>
      </w:r>
      <w:r w:rsidRPr="005445AE">
        <w:rPr>
          <w:rFonts w:cstheme="minorHAnsi"/>
          <w:sz w:val="20"/>
          <w:szCs w:val="20"/>
          <w:lang w:val="en-SG"/>
        </w:rPr>
        <w:t xml:space="preserve"> </w:t>
      </w:r>
      <w:r w:rsidR="005445AE" w:rsidRPr="005445AE">
        <w:rPr>
          <w:rFonts w:cstheme="minorHAnsi"/>
          <w:sz w:val="20"/>
          <w:szCs w:val="20"/>
          <w:lang w:val="en-SG"/>
        </w:rPr>
        <w:t>Table</w:t>
      </w:r>
      <w:r w:rsidR="00680AB6">
        <w:rPr>
          <w:rFonts w:cstheme="minorHAnsi"/>
          <w:sz w:val="20"/>
          <w:szCs w:val="20"/>
          <w:lang w:val="en-SG"/>
        </w:rPr>
        <w:t>.</w:t>
      </w:r>
      <w:r w:rsidR="005445AE" w:rsidRPr="005445AE">
        <w:rPr>
          <w:rFonts w:cstheme="minorHAnsi"/>
          <w:sz w:val="20"/>
          <w:szCs w:val="20"/>
          <w:lang w:val="en-SG"/>
        </w:rPr>
        <w:t xml:space="preserve"> Sensitivity analysis for primary birth size measure- restricting samples born between 39 to &lt;41 completed weeks of gestational age</w:t>
      </w:r>
    </w:p>
    <w:p w14:paraId="21FA722C" w14:textId="1771CAFE" w:rsidR="005445AE" w:rsidRDefault="003B5F60">
      <w:pPr>
        <w:rPr>
          <w:rFonts w:cstheme="minorHAnsi"/>
          <w:sz w:val="20"/>
          <w:szCs w:val="20"/>
          <w:lang w:val="en-SG"/>
        </w:rPr>
      </w:pPr>
      <w:r w:rsidRPr="005445AE">
        <w:rPr>
          <w:rFonts w:cstheme="minorHAnsi"/>
          <w:sz w:val="20"/>
          <w:szCs w:val="20"/>
          <w:lang w:val="en-SG"/>
        </w:rPr>
        <w:t>S</w:t>
      </w:r>
      <w:r>
        <w:rPr>
          <w:rFonts w:cstheme="minorHAnsi"/>
          <w:sz w:val="20"/>
          <w:szCs w:val="20"/>
          <w:lang w:val="en-SG"/>
        </w:rPr>
        <w:t>14</w:t>
      </w:r>
      <w:r w:rsidRPr="005445AE">
        <w:rPr>
          <w:rFonts w:cstheme="minorHAnsi"/>
          <w:sz w:val="20"/>
          <w:szCs w:val="20"/>
          <w:lang w:val="en-SG"/>
        </w:rPr>
        <w:t xml:space="preserve"> </w:t>
      </w:r>
      <w:r w:rsidR="005445AE" w:rsidRPr="005445AE">
        <w:rPr>
          <w:rFonts w:cstheme="minorHAnsi"/>
          <w:sz w:val="20"/>
          <w:szCs w:val="20"/>
          <w:lang w:val="en-SG"/>
        </w:rPr>
        <w:t>Table</w:t>
      </w:r>
      <w:r w:rsidR="00680AB6">
        <w:rPr>
          <w:rFonts w:cstheme="minorHAnsi"/>
          <w:sz w:val="20"/>
          <w:szCs w:val="20"/>
          <w:lang w:val="en-SG"/>
        </w:rPr>
        <w:t>.</w:t>
      </w:r>
      <w:r>
        <w:rPr>
          <w:rFonts w:cstheme="minorHAnsi"/>
          <w:sz w:val="20"/>
          <w:szCs w:val="20"/>
          <w:lang w:val="en-SG"/>
        </w:rPr>
        <w:t xml:space="preserve"> </w:t>
      </w:r>
      <w:r w:rsidR="005445AE" w:rsidRPr="005445AE">
        <w:rPr>
          <w:rFonts w:cstheme="minorHAnsi"/>
          <w:sz w:val="20"/>
          <w:szCs w:val="20"/>
          <w:lang w:val="en-SG"/>
        </w:rPr>
        <w:t>Sensitivity analysis for continuous birth size measure not intrinsically adjusted for gestational age- further adjusting for gestational age to assess potential mediation</w:t>
      </w:r>
    </w:p>
    <w:p w14:paraId="5A34DE77" w14:textId="27703821" w:rsidR="005445AE" w:rsidRDefault="003B5F60">
      <w:pPr>
        <w:rPr>
          <w:rFonts w:cstheme="minorHAnsi"/>
          <w:sz w:val="20"/>
          <w:szCs w:val="20"/>
          <w:lang w:val="en-SG"/>
        </w:rPr>
      </w:pPr>
      <w:r w:rsidRPr="005445AE">
        <w:rPr>
          <w:rFonts w:cstheme="minorHAnsi"/>
          <w:sz w:val="20"/>
          <w:szCs w:val="20"/>
          <w:lang w:val="en-SG"/>
        </w:rPr>
        <w:t>S</w:t>
      </w:r>
      <w:r>
        <w:rPr>
          <w:rFonts w:cstheme="minorHAnsi"/>
          <w:sz w:val="20"/>
          <w:szCs w:val="20"/>
          <w:lang w:val="en-SG"/>
        </w:rPr>
        <w:t>15</w:t>
      </w:r>
      <w:r w:rsidRPr="005445AE">
        <w:rPr>
          <w:rFonts w:cstheme="minorHAnsi"/>
          <w:sz w:val="20"/>
          <w:szCs w:val="20"/>
          <w:lang w:val="en-SG"/>
        </w:rPr>
        <w:t xml:space="preserve"> </w:t>
      </w:r>
      <w:r w:rsidR="005445AE" w:rsidRPr="005445AE">
        <w:rPr>
          <w:rFonts w:cstheme="minorHAnsi"/>
          <w:sz w:val="20"/>
          <w:szCs w:val="20"/>
          <w:lang w:val="en-SG"/>
        </w:rPr>
        <w:t>Table</w:t>
      </w:r>
      <w:r w:rsidR="00680AB6">
        <w:rPr>
          <w:rFonts w:cstheme="minorHAnsi"/>
          <w:sz w:val="20"/>
          <w:szCs w:val="20"/>
          <w:lang w:val="en-SG"/>
        </w:rPr>
        <w:t>.</w:t>
      </w:r>
      <w:r w:rsidR="005445AE" w:rsidRPr="005445AE">
        <w:rPr>
          <w:rFonts w:cstheme="minorHAnsi"/>
          <w:sz w:val="20"/>
          <w:szCs w:val="20"/>
          <w:lang w:val="en-SG"/>
        </w:rPr>
        <w:t xml:space="preserve"> Comparison of results with different imputation methods for covariates</w:t>
      </w:r>
    </w:p>
    <w:p w14:paraId="6785A0F1" w14:textId="2A1471E6" w:rsidR="005445AE" w:rsidRDefault="003B5F60">
      <w:pPr>
        <w:rPr>
          <w:rFonts w:cstheme="minorHAnsi"/>
          <w:sz w:val="20"/>
          <w:szCs w:val="20"/>
          <w:lang w:val="en-SG"/>
        </w:rPr>
      </w:pPr>
      <w:r w:rsidRPr="005445AE">
        <w:rPr>
          <w:rFonts w:cstheme="minorHAnsi"/>
          <w:sz w:val="20"/>
          <w:szCs w:val="20"/>
          <w:lang w:val="en-SG"/>
        </w:rPr>
        <w:t>S</w:t>
      </w:r>
      <w:r>
        <w:rPr>
          <w:rFonts w:cstheme="minorHAnsi"/>
          <w:sz w:val="20"/>
          <w:szCs w:val="20"/>
          <w:lang w:val="en-SG"/>
        </w:rPr>
        <w:t>16</w:t>
      </w:r>
      <w:r w:rsidRPr="005445AE">
        <w:rPr>
          <w:rFonts w:cstheme="minorHAnsi"/>
          <w:sz w:val="20"/>
          <w:szCs w:val="20"/>
          <w:lang w:val="en-SG"/>
        </w:rPr>
        <w:t xml:space="preserve"> </w:t>
      </w:r>
      <w:r w:rsidR="005445AE" w:rsidRPr="005445AE">
        <w:rPr>
          <w:rFonts w:cstheme="minorHAnsi"/>
          <w:sz w:val="20"/>
          <w:szCs w:val="20"/>
          <w:lang w:val="en-SG"/>
        </w:rPr>
        <w:t>Table</w:t>
      </w:r>
      <w:r w:rsidR="00680AB6">
        <w:rPr>
          <w:rFonts w:cstheme="minorHAnsi"/>
          <w:sz w:val="20"/>
          <w:szCs w:val="20"/>
          <w:lang w:val="en-SG"/>
        </w:rPr>
        <w:t>.</w:t>
      </w:r>
      <w:r w:rsidR="005445AE" w:rsidRPr="005445AE">
        <w:rPr>
          <w:rFonts w:cstheme="minorHAnsi"/>
          <w:sz w:val="20"/>
          <w:szCs w:val="20"/>
          <w:lang w:val="en-SG"/>
        </w:rPr>
        <w:t xml:space="preserve"> Sensitivity analysis for continuous outcomes- mutually adjusting for dietary scores</w:t>
      </w:r>
    </w:p>
    <w:p w14:paraId="2AA0FD8D" w14:textId="722DD5F7" w:rsidR="005445AE" w:rsidRDefault="003B5F60">
      <w:pPr>
        <w:rPr>
          <w:rFonts w:cstheme="minorHAnsi"/>
          <w:sz w:val="20"/>
          <w:szCs w:val="20"/>
          <w:lang w:val="en-SG"/>
        </w:rPr>
      </w:pPr>
      <w:r w:rsidRPr="005445AE">
        <w:rPr>
          <w:rFonts w:cstheme="minorHAnsi"/>
          <w:sz w:val="20"/>
          <w:szCs w:val="20"/>
          <w:lang w:val="en-SG"/>
        </w:rPr>
        <w:t>S</w:t>
      </w:r>
      <w:r>
        <w:rPr>
          <w:rFonts w:cstheme="minorHAnsi"/>
          <w:sz w:val="20"/>
          <w:szCs w:val="20"/>
          <w:lang w:val="en-SG"/>
        </w:rPr>
        <w:t>17</w:t>
      </w:r>
      <w:r w:rsidRPr="005445AE">
        <w:rPr>
          <w:rFonts w:cstheme="minorHAnsi"/>
          <w:sz w:val="20"/>
          <w:szCs w:val="20"/>
          <w:lang w:val="en-SG"/>
        </w:rPr>
        <w:t xml:space="preserve"> </w:t>
      </w:r>
      <w:r w:rsidR="005445AE" w:rsidRPr="005445AE">
        <w:rPr>
          <w:rFonts w:cstheme="minorHAnsi"/>
          <w:sz w:val="20"/>
          <w:szCs w:val="20"/>
          <w:lang w:val="en-SG"/>
        </w:rPr>
        <w:t>Table</w:t>
      </w:r>
      <w:r w:rsidR="00680AB6">
        <w:rPr>
          <w:rFonts w:cstheme="minorHAnsi"/>
          <w:sz w:val="20"/>
          <w:szCs w:val="20"/>
          <w:lang w:val="en-SG"/>
        </w:rPr>
        <w:t>.</w:t>
      </w:r>
      <w:r w:rsidR="005445AE" w:rsidRPr="005445AE">
        <w:rPr>
          <w:rFonts w:cstheme="minorHAnsi"/>
          <w:sz w:val="20"/>
          <w:szCs w:val="20"/>
          <w:lang w:val="en-SG"/>
        </w:rPr>
        <w:t xml:space="preserve"> Sensitivity analysis for binary outcomes- mutually adjusting for dietary scores</w:t>
      </w:r>
    </w:p>
    <w:p w14:paraId="4963651B" w14:textId="4C39A28B" w:rsidR="005445AE" w:rsidRDefault="003B5F60">
      <w:pPr>
        <w:rPr>
          <w:rFonts w:cstheme="minorHAnsi"/>
          <w:sz w:val="20"/>
          <w:szCs w:val="20"/>
          <w:lang w:val="en-SG"/>
        </w:rPr>
      </w:pPr>
      <w:r w:rsidRPr="005445AE">
        <w:rPr>
          <w:rFonts w:cstheme="minorHAnsi"/>
          <w:sz w:val="20"/>
          <w:szCs w:val="20"/>
          <w:lang w:val="en-SG"/>
        </w:rPr>
        <w:t>S</w:t>
      </w:r>
      <w:r>
        <w:rPr>
          <w:rFonts w:cstheme="minorHAnsi"/>
          <w:sz w:val="20"/>
          <w:szCs w:val="20"/>
          <w:lang w:val="en-SG"/>
        </w:rPr>
        <w:t>18</w:t>
      </w:r>
      <w:r w:rsidRPr="005445AE">
        <w:rPr>
          <w:rFonts w:cstheme="minorHAnsi"/>
          <w:sz w:val="20"/>
          <w:szCs w:val="20"/>
          <w:lang w:val="en-SG"/>
        </w:rPr>
        <w:t xml:space="preserve"> </w:t>
      </w:r>
      <w:r w:rsidR="005445AE" w:rsidRPr="005445AE">
        <w:rPr>
          <w:rFonts w:cstheme="minorHAnsi"/>
          <w:sz w:val="20"/>
          <w:szCs w:val="20"/>
          <w:lang w:val="en-SG"/>
        </w:rPr>
        <w:t>Table</w:t>
      </w:r>
      <w:r w:rsidR="00680AB6">
        <w:rPr>
          <w:rFonts w:cstheme="minorHAnsi"/>
          <w:sz w:val="20"/>
          <w:szCs w:val="20"/>
          <w:lang w:val="en-SG"/>
        </w:rPr>
        <w:t>.</w:t>
      </w:r>
      <w:r w:rsidR="005445AE" w:rsidRPr="005445AE">
        <w:rPr>
          <w:rFonts w:cstheme="minorHAnsi"/>
          <w:sz w:val="20"/>
          <w:szCs w:val="20"/>
          <w:lang w:val="en-SG"/>
        </w:rPr>
        <w:t xml:space="preserve"> Quartile estimates for non-linear relationships</w:t>
      </w:r>
    </w:p>
    <w:p w14:paraId="12186036" w14:textId="3840D138" w:rsidR="005445AE" w:rsidRDefault="003B5F60">
      <w:pPr>
        <w:rPr>
          <w:rFonts w:cstheme="minorHAnsi"/>
          <w:sz w:val="20"/>
          <w:szCs w:val="20"/>
          <w:lang w:val="en-SG"/>
        </w:rPr>
      </w:pPr>
      <w:r w:rsidRPr="005445AE">
        <w:rPr>
          <w:rFonts w:cstheme="minorHAnsi"/>
          <w:sz w:val="20"/>
          <w:szCs w:val="20"/>
          <w:lang w:val="en-SG"/>
        </w:rPr>
        <w:t>S</w:t>
      </w:r>
      <w:r>
        <w:rPr>
          <w:rFonts w:cstheme="minorHAnsi"/>
          <w:sz w:val="20"/>
          <w:szCs w:val="20"/>
          <w:lang w:val="en-SG"/>
        </w:rPr>
        <w:t>19</w:t>
      </w:r>
      <w:r w:rsidRPr="005445AE">
        <w:rPr>
          <w:rFonts w:cstheme="minorHAnsi"/>
          <w:sz w:val="20"/>
          <w:szCs w:val="20"/>
          <w:lang w:val="en-SG"/>
        </w:rPr>
        <w:t xml:space="preserve"> </w:t>
      </w:r>
      <w:r w:rsidR="005445AE" w:rsidRPr="005445AE">
        <w:rPr>
          <w:rFonts w:cstheme="minorHAnsi"/>
          <w:sz w:val="20"/>
          <w:szCs w:val="20"/>
          <w:lang w:val="en-SG"/>
        </w:rPr>
        <w:t>Table</w:t>
      </w:r>
      <w:r w:rsidR="00680AB6">
        <w:rPr>
          <w:rFonts w:cstheme="minorHAnsi"/>
          <w:sz w:val="20"/>
          <w:szCs w:val="20"/>
          <w:lang w:val="en-SG"/>
        </w:rPr>
        <w:t>.</w:t>
      </w:r>
      <w:r w:rsidR="005445AE" w:rsidRPr="005445AE">
        <w:rPr>
          <w:rFonts w:cstheme="minorHAnsi"/>
          <w:sz w:val="20"/>
          <w:szCs w:val="20"/>
          <w:lang w:val="en-SG"/>
        </w:rPr>
        <w:t xml:space="preserve"> Pooled P-values for sex-interaction between maternal dietary quality and inflammatory potential and offspring birth outcomes</w:t>
      </w:r>
    </w:p>
    <w:p w14:paraId="30C8D956" w14:textId="0C58E573" w:rsidR="005445AE" w:rsidRDefault="003B5F60">
      <w:pPr>
        <w:rPr>
          <w:rFonts w:cstheme="minorHAnsi"/>
          <w:sz w:val="20"/>
          <w:szCs w:val="20"/>
          <w:lang w:val="en-SG"/>
        </w:rPr>
      </w:pPr>
      <w:r w:rsidRPr="005445AE">
        <w:rPr>
          <w:rFonts w:cstheme="minorHAnsi" w:hint="eastAsia"/>
          <w:sz w:val="20"/>
          <w:szCs w:val="20"/>
          <w:lang w:val="en-SG"/>
        </w:rPr>
        <w:t>S</w:t>
      </w:r>
      <w:r>
        <w:rPr>
          <w:rFonts w:cstheme="minorHAnsi"/>
          <w:sz w:val="20"/>
          <w:szCs w:val="20"/>
          <w:lang w:val="en-SG"/>
        </w:rPr>
        <w:t>20</w:t>
      </w:r>
      <w:r w:rsidRPr="005445AE">
        <w:rPr>
          <w:rFonts w:cstheme="minorHAnsi" w:hint="eastAsia"/>
          <w:sz w:val="20"/>
          <w:szCs w:val="20"/>
          <w:lang w:val="en-SG"/>
        </w:rPr>
        <w:t xml:space="preserve"> </w:t>
      </w:r>
      <w:r w:rsidR="005445AE" w:rsidRPr="005445AE">
        <w:rPr>
          <w:rFonts w:cstheme="minorHAnsi" w:hint="eastAsia"/>
          <w:sz w:val="20"/>
          <w:szCs w:val="20"/>
          <w:lang w:val="en-SG"/>
        </w:rPr>
        <w:t>Table</w:t>
      </w:r>
      <w:r w:rsidR="00680AB6">
        <w:rPr>
          <w:rFonts w:cstheme="minorHAnsi"/>
          <w:sz w:val="20"/>
          <w:szCs w:val="20"/>
          <w:lang w:val="en-SG"/>
        </w:rPr>
        <w:t>.</w:t>
      </w:r>
      <w:r w:rsidR="005445AE" w:rsidRPr="005445AE">
        <w:rPr>
          <w:rFonts w:cstheme="minorHAnsi" w:hint="eastAsia"/>
          <w:sz w:val="20"/>
          <w:szCs w:val="20"/>
          <w:lang w:val="en-SG"/>
        </w:rPr>
        <w:t xml:space="preserve"> Sex-interaction between maternal pregnancy E-DII score and offspring birth outcomes (all P-interactions </w:t>
      </w:r>
      <w:r w:rsidR="005445AE">
        <w:rPr>
          <w:rFonts w:ascii="Calibri" w:hAnsi="Calibri" w:cstheme="minorHAnsi"/>
          <w:sz w:val="20"/>
          <w:szCs w:val="20"/>
          <w:lang w:val="en-SG"/>
        </w:rPr>
        <w:t>≤</w:t>
      </w:r>
      <w:r w:rsidR="005445AE" w:rsidRPr="005445AE">
        <w:rPr>
          <w:rFonts w:cstheme="minorHAnsi" w:hint="eastAsia"/>
          <w:sz w:val="20"/>
          <w:szCs w:val="20"/>
          <w:lang w:val="en-SG"/>
        </w:rPr>
        <w:t>0.10)</w:t>
      </w:r>
    </w:p>
    <w:p w14:paraId="0B094EF0" w14:textId="586F6065" w:rsidR="005445AE" w:rsidRDefault="003B5F60">
      <w:pPr>
        <w:rPr>
          <w:rFonts w:cstheme="minorHAnsi"/>
          <w:sz w:val="20"/>
          <w:szCs w:val="20"/>
          <w:lang w:val="en-SG"/>
        </w:rPr>
      </w:pPr>
      <w:r w:rsidRPr="005445AE">
        <w:rPr>
          <w:rFonts w:cstheme="minorHAnsi"/>
          <w:sz w:val="20"/>
          <w:szCs w:val="20"/>
          <w:lang w:val="en-SG"/>
        </w:rPr>
        <w:t>S</w:t>
      </w:r>
      <w:r>
        <w:rPr>
          <w:rFonts w:cstheme="minorHAnsi"/>
          <w:sz w:val="20"/>
          <w:szCs w:val="20"/>
          <w:lang w:val="en-SG"/>
        </w:rPr>
        <w:t>21</w:t>
      </w:r>
      <w:r w:rsidRPr="005445AE">
        <w:rPr>
          <w:rFonts w:cstheme="minorHAnsi"/>
          <w:sz w:val="20"/>
          <w:szCs w:val="20"/>
          <w:lang w:val="en-SG"/>
        </w:rPr>
        <w:t xml:space="preserve"> </w:t>
      </w:r>
      <w:r w:rsidR="005445AE" w:rsidRPr="005445AE">
        <w:rPr>
          <w:rFonts w:cstheme="minorHAnsi"/>
          <w:sz w:val="20"/>
          <w:szCs w:val="20"/>
          <w:lang w:val="en-SG"/>
        </w:rPr>
        <w:t>Table</w:t>
      </w:r>
      <w:r w:rsidR="00680AB6">
        <w:rPr>
          <w:rFonts w:cstheme="minorHAnsi"/>
          <w:sz w:val="20"/>
          <w:szCs w:val="20"/>
          <w:lang w:val="en-SG"/>
        </w:rPr>
        <w:t>.</w:t>
      </w:r>
      <w:r w:rsidR="005445AE" w:rsidRPr="005445AE">
        <w:rPr>
          <w:rFonts w:cstheme="minorHAnsi"/>
          <w:sz w:val="20"/>
          <w:szCs w:val="20"/>
          <w:lang w:val="en-SG"/>
        </w:rPr>
        <w:t xml:space="preserve"> Association between maternal pre</w:t>
      </w:r>
      <w:r w:rsidR="00F367DE">
        <w:rPr>
          <w:rFonts w:cstheme="minorHAnsi"/>
          <w:sz w:val="20"/>
          <w:szCs w:val="20"/>
          <w:lang w:val="en-SG"/>
        </w:rPr>
        <w:t>gn</w:t>
      </w:r>
      <w:r w:rsidR="005445AE" w:rsidRPr="005445AE">
        <w:rPr>
          <w:rFonts w:cstheme="minorHAnsi"/>
          <w:sz w:val="20"/>
          <w:szCs w:val="20"/>
          <w:lang w:val="en-SG"/>
        </w:rPr>
        <w:t>a</w:t>
      </w:r>
      <w:r w:rsidR="00F367DE">
        <w:rPr>
          <w:rFonts w:cstheme="minorHAnsi"/>
          <w:sz w:val="20"/>
          <w:szCs w:val="20"/>
          <w:lang w:val="en-SG"/>
        </w:rPr>
        <w:t>n</w:t>
      </w:r>
      <w:r w:rsidR="005445AE" w:rsidRPr="005445AE">
        <w:rPr>
          <w:rFonts w:cstheme="minorHAnsi"/>
          <w:sz w:val="20"/>
          <w:szCs w:val="20"/>
          <w:lang w:val="en-SG"/>
        </w:rPr>
        <w:t>cy E-DII and DASH scores (per 1-SD increase) and offspring A) continuous outcomes and B) binary outcomes in the Generation R study</w:t>
      </w:r>
    </w:p>
    <w:p w14:paraId="1C77B42B" w14:textId="16A70F16" w:rsidR="005445AE" w:rsidRDefault="005445AE">
      <w:pPr>
        <w:rPr>
          <w:rFonts w:cstheme="minorHAnsi"/>
          <w:sz w:val="20"/>
          <w:szCs w:val="20"/>
          <w:lang w:val="en-SG"/>
        </w:rPr>
      </w:pPr>
      <w:r>
        <w:rPr>
          <w:rFonts w:cstheme="minorHAnsi"/>
          <w:sz w:val="20"/>
          <w:szCs w:val="20"/>
          <w:lang w:val="en-SG"/>
        </w:rPr>
        <w:br w:type="page"/>
      </w:r>
    </w:p>
    <w:p w14:paraId="0C3AFE35" w14:textId="77777777" w:rsidR="00C103D5" w:rsidRPr="004F6EAB" w:rsidRDefault="00C103D5" w:rsidP="00AD3BEE">
      <w:pPr>
        <w:widowControl w:val="0"/>
        <w:autoSpaceDE w:val="0"/>
        <w:autoSpaceDN w:val="0"/>
        <w:adjustRightInd w:val="0"/>
        <w:spacing w:after="0" w:line="240" w:lineRule="auto"/>
        <w:rPr>
          <w:rFonts w:cstheme="minorHAnsi"/>
          <w:sz w:val="20"/>
          <w:szCs w:val="20"/>
          <w:lang w:val="en-SG"/>
        </w:rPr>
        <w:sectPr w:rsidR="00C103D5" w:rsidRPr="004F6EAB" w:rsidSect="00C103D5">
          <w:headerReference w:type="default" r:id="rId12"/>
          <w:pgSz w:w="11906" w:h="16838"/>
          <w:pgMar w:top="1440" w:right="1440" w:bottom="1440" w:left="1440" w:header="567" w:footer="708" w:gutter="0"/>
          <w:cols w:space="708"/>
          <w:docGrid w:linePitch="360"/>
        </w:sectPr>
      </w:pPr>
    </w:p>
    <w:p w14:paraId="6103A344" w14:textId="5F46FEE2" w:rsidR="004F628E" w:rsidRPr="004F6EAB" w:rsidRDefault="004F628E" w:rsidP="00C103D5">
      <w:pPr>
        <w:widowControl w:val="0"/>
        <w:autoSpaceDE w:val="0"/>
        <w:autoSpaceDN w:val="0"/>
        <w:adjustRightInd w:val="0"/>
        <w:spacing w:after="0" w:line="240" w:lineRule="auto"/>
        <w:rPr>
          <w:rFonts w:cstheme="minorHAnsi"/>
        </w:rPr>
      </w:pPr>
      <w:r w:rsidRPr="004F6EAB">
        <w:rPr>
          <w:rFonts w:cstheme="minorHAnsi"/>
          <w:b/>
          <w:bCs/>
        </w:rPr>
        <w:lastRenderedPageBreak/>
        <w:t xml:space="preserve">Table </w:t>
      </w:r>
      <w:r w:rsidR="008C18B3" w:rsidRPr="004F6EAB">
        <w:rPr>
          <w:rFonts w:cstheme="minorHAnsi"/>
          <w:b/>
          <w:bCs/>
        </w:rPr>
        <w:t>1</w:t>
      </w:r>
      <w:r w:rsidR="00530405" w:rsidRPr="004F6EAB">
        <w:rPr>
          <w:rFonts w:cstheme="minorHAnsi"/>
        </w:rPr>
        <w:t xml:space="preserve"> </w:t>
      </w:r>
      <w:r w:rsidRPr="004F6EAB">
        <w:rPr>
          <w:rFonts w:cstheme="minorHAnsi"/>
        </w:rPr>
        <w:t>Association between</w:t>
      </w:r>
      <w:r w:rsidR="00570CCC" w:rsidRPr="004F6EAB">
        <w:rPr>
          <w:rFonts w:cstheme="minorHAnsi"/>
        </w:rPr>
        <w:t xml:space="preserve"> maternal E-DII and DASH scores </w:t>
      </w:r>
      <w:r w:rsidR="00597BF3" w:rsidRPr="004F6EAB">
        <w:rPr>
          <w:rFonts w:cstheme="minorHAnsi"/>
        </w:rPr>
        <w:t xml:space="preserve">(per </w:t>
      </w:r>
      <w:r w:rsidR="000A0CB5" w:rsidRPr="004F6EAB">
        <w:rPr>
          <w:rFonts w:cstheme="minorHAnsi"/>
        </w:rPr>
        <w:t>1-</w:t>
      </w:r>
      <w:r w:rsidR="00597BF3" w:rsidRPr="004F6EAB">
        <w:rPr>
          <w:rFonts w:cstheme="minorHAnsi"/>
        </w:rPr>
        <w:t xml:space="preserve">SD increase) </w:t>
      </w:r>
      <w:r w:rsidR="00570CCC" w:rsidRPr="004F6EAB">
        <w:rPr>
          <w:rFonts w:cstheme="minorHAnsi"/>
        </w:rPr>
        <w:t>and continuous offspring outcomes in the ALPHABET consortium</w:t>
      </w:r>
    </w:p>
    <w:p w14:paraId="41AD1CE3" w14:textId="77777777" w:rsidR="00C103D5" w:rsidRPr="004F6EAB" w:rsidRDefault="00C103D5" w:rsidP="00C103D5">
      <w:pPr>
        <w:widowControl w:val="0"/>
        <w:autoSpaceDE w:val="0"/>
        <w:autoSpaceDN w:val="0"/>
        <w:adjustRightInd w:val="0"/>
        <w:spacing w:after="0" w:line="240" w:lineRule="auto"/>
        <w:rPr>
          <w:rFonts w:cstheme="minorHAnsi"/>
          <w:sz w:val="20"/>
          <w:szCs w:val="20"/>
        </w:rPr>
      </w:pPr>
    </w:p>
    <w:tbl>
      <w:tblPr>
        <w:tblStyle w:val="TableGrid"/>
        <w:tblW w:w="161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6"/>
        <w:gridCol w:w="1843"/>
        <w:gridCol w:w="709"/>
        <w:gridCol w:w="1838"/>
        <w:gridCol w:w="713"/>
        <w:gridCol w:w="284"/>
        <w:gridCol w:w="1843"/>
        <w:gridCol w:w="567"/>
        <w:gridCol w:w="1842"/>
        <w:gridCol w:w="709"/>
        <w:gridCol w:w="1701"/>
        <w:gridCol w:w="709"/>
        <w:gridCol w:w="1843"/>
        <w:gridCol w:w="708"/>
      </w:tblGrid>
      <w:tr w:rsidR="004F6EAB" w:rsidRPr="004F6EAB" w14:paraId="67F3C273" w14:textId="77777777" w:rsidTr="00F05917">
        <w:tc>
          <w:tcPr>
            <w:tcW w:w="856" w:type="dxa"/>
            <w:tcBorders>
              <w:top w:val="single" w:sz="4" w:space="0" w:color="auto"/>
            </w:tcBorders>
          </w:tcPr>
          <w:p w14:paraId="65061285" w14:textId="77777777" w:rsidR="00B344B4" w:rsidRPr="00F05917" w:rsidRDefault="00B344B4" w:rsidP="000E5471">
            <w:pPr>
              <w:widowControl w:val="0"/>
              <w:autoSpaceDE w:val="0"/>
              <w:autoSpaceDN w:val="0"/>
              <w:adjustRightInd w:val="0"/>
              <w:spacing w:line="276" w:lineRule="auto"/>
              <w:rPr>
                <w:rFonts w:cstheme="minorHAnsi"/>
                <w:sz w:val="18"/>
                <w:szCs w:val="20"/>
              </w:rPr>
            </w:pPr>
          </w:p>
        </w:tc>
        <w:tc>
          <w:tcPr>
            <w:tcW w:w="5103" w:type="dxa"/>
            <w:gridSpan w:val="4"/>
            <w:tcBorders>
              <w:top w:val="single" w:sz="4" w:space="0" w:color="auto"/>
              <w:bottom w:val="single" w:sz="4" w:space="0" w:color="auto"/>
            </w:tcBorders>
          </w:tcPr>
          <w:p w14:paraId="4D94DF1E" w14:textId="472F2241" w:rsidR="00B344B4" w:rsidRPr="00F05917" w:rsidRDefault="00B344B4" w:rsidP="00B344B4">
            <w:pPr>
              <w:widowControl w:val="0"/>
              <w:autoSpaceDE w:val="0"/>
              <w:autoSpaceDN w:val="0"/>
              <w:adjustRightInd w:val="0"/>
              <w:spacing w:line="276" w:lineRule="auto"/>
              <w:jc w:val="center"/>
              <w:rPr>
                <w:rFonts w:cstheme="minorHAnsi"/>
                <w:sz w:val="18"/>
                <w:szCs w:val="20"/>
              </w:rPr>
            </w:pPr>
            <w:r w:rsidRPr="00F05917">
              <w:rPr>
                <w:rFonts w:cstheme="minorHAnsi"/>
                <w:sz w:val="18"/>
                <w:szCs w:val="20"/>
              </w:rPr>
              <w:t>Primary outcomes</w:t>
            </w:r>
          </w:p>
        </w:tc>
        <w:tc>
          <w:tcPr>
            <w:tcW w:w="284" w:type="dxa"/>
            <w:tcBorders>
              <w:top w:val="single" w:sz="4" w:space="0" w:color="auto"/>
            </w:tcBorders>
          </w:tcPr>
          <w:p w14:paraId="03319CFC" w14:textId="61AD39F2" w:rsidR="00B344B4" w:rsidRPr="00F05917" w:rsidRDefault="00B344B4" w:rsidP="000E5471">
            <w:pPr>
              <w:widowControl w:val="0"/>
              <w:autoSpaceDE w:val="0"/>
              <w:autoSpaceDN w:val="0"/>
              <w:adjustRightInd w:val="0"/>
              <w:spacing w:line="276" w:lineRule="auto"/>
              <w:rPr>
                <w:rFonts w:cstheme="minorHAnsi"/>
                <w:sz w:val="18"/>
                <w:szCs w:val="20"/>
              </w:rPr>
            </w:pPr>
          </w:p>
        </w:tc>
        <w:tc>
          <w:tcPr>
            <w:tcW w:w="9922" w:type="dxa"/>
            <w:gridSpan w:val="8"/>
            <w:tcBorders>
              <w:top w:val="single" w:sz="4" w:space="0" w:color="auto"/>
              <w:bottom w:val="single" w:sz="4" w:space="0" w:color="auto"/>
            </w:tcBorders>
          </w:tcPr>
          <w:p w14:paraId="248A47DD" w14:textId="3A7EC081" w:rsidR="00B344B4" w:rsidRPr="00F05917" w:rsidRDefault="00B344B4" w:rsidP="00B344B4">
            <w:pPr>
              <w:widowControl w:val="0"/>
              <w:autoSpaceDE w:val="0"/>
              <w:autoSpaceDN w:val="0"/>
              <w:adjustRightInd w:val="0"/>
              <w:spacing w:line="276" w:lineRule="auto"/>
              <w:jc w:val="center"/>
              <w:rPr>
                <w:rFonts w:cstheme="minorHAnsi"/>
                <w:sz w:val="18"/>
                <w:szCs w:val="20"/>
              </w:rPr>
            </w:pPr>
            <w:r w:rsidRPr="00F05917">
              <w:rPr>
                <w:rFonts w:cstheme="minorHAnsi"/>
                <w:sz w:val="18"/>
                <w:szCs w:val="20"/>
              </w:rPr>
              <w:t>Secondary outcomes</w:t>
            </w:r>
          </w:p>
        </w:tc>
      </w:tr>
      <w:tr w:rsidR="004F6EAB" w:rsidRPr="004F6EAB" w14:paraId="27ABFBAE" w14:textId="69475E7A" w:rsidTr="0009130E">
        <w:tc>
          <w:tcPr>
            <w:tcW w:w="856" w:type="dxa"/>
          </w:tcPr>
          <w:p w14:paraId="3103BD25"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top w:val="single" w:sz="4" w:space="0" w:color="auto"/>
              <w:bottom w:val="single" w:sz="4" w:space="0" w:color="auto"/>
            </w:tcBorders>
          </w:tcPr>
          <w:p w14:paraId="4EE54419" w14:textId="77777777"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Birthweight, g</w:t>
            </w:r>
          </w:p>
          <w:p w14:paraId="777BF447" w14:textId="6BD694F0" w:rsidR="00B344B4" w:rsidRPr="00F05917" w:rsidRDefault="00B344B4" w:rsidP="00B344B4">
            <w:pPr>
              <w:widowControl w:val="0"/>
              <w:autoSpaceDE w:val="0"/>
              <w:autoSpaceDN w:val="0"/>
              <w:adjustRightInd w:val="0"/>
              <w:spacing w:line="276" w:lineRule="auto"/>
              <w:rPr>
                <w:rFonts w:cstheme="minorHAnsi"/>
                <w:sz w:val="18"/>
                <w:szCs w:val="20"/>
              </w:rPr>
            </w:pPr>
          </w:p>
        </w:tc>
        <w:tc>
          <w:tcPr>
            <w:tcW w:w="709" w:type="dxa"/>
            <w:tcBorders>
              <w:top w:val="single" w:sz="4" w:space="0" w:color="auto"/>
              <w:bottom w:val="single" w:sz="4" w:space="0" w:color="auto"/>
            </w:tcBorders>
          </w:tcPr>
          <w:p w14:paraId="69573EB4" w14:textId="6C2BC9CE" w:rsidR="00B344B4" w:rsidRPr="00F05917" w:rsidRDefault="00B344B4" w:rsidP="00B344B4">
            <w:pPr>
              <w:widowControl w:val="0"/>
              <w:autoSpaceDE w:val="0"/>
              <w:autoSpaceDN w:val="0"/>
              <w:adjustRightInd w:val="0"/>
              <w:spacing w:line="276" w:lineRule="auto"/>
              <w:rPr>
                <w:rFonts w:cstheme="minorHAnsi"/>
                <w:sz w:val="18"/>
                <w:szCs w:val="20"/>
              </w:rPr>
            </w:pPr>
          </w:p>
        </w:tc>
        <w:tc>
          <w:tcPr>
            <w:tcW w:w="1838" w:type="dxa"/>
            <w:tcBorders>
              <w:top w:val="single" w:sz="4" w:space="0" w:color="auto"/>
              <w:bottom w:val="single" w:sz="4" w:space="0" w:color="auto"/>
            </w:tcBorders>
          </w:tcPr>
          <w:p w14:paraId="530D636B" w14:textId="1858A32D"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 xml:space="preserve">Gestational age, </w:t>
            </w:r>
            <w:proofErr w:type="spellStart"/>
            <w:r w:rsidRPr="00F05917">
              <w:rPr>
                <w:rFonts w:cstheme="minorHAnsi"/>
                <w:sz w:val="18"/>
                <w:szCs w:val="20"/>
              </w:rPr>
              <w:t>wk</w:t>
            </w:r>
            <w:proofErr w:type="spellEnd"/>
          </w:p>
        </w:tc>
        <w:tc>
          <w:tcPr>
            <w:tcW w:w="713" w:type="dxa"/>
            <w:tcBorders>
              <w:top w:val="single" w:sz="4" w:space="0" w:color="auto"/>
              <w:bottom w:val="single" w:sz="4" w:space="0" w:color="auto"/>
            </w:tcBorders>
          </w:tcPr>
          <w:p w14:paraId="35A7C35F" w14:textId="63E72B84" w:rsidR="00B344B4" w:rsidRPr="00F05917" w:rsidRDefault="00B344B4" w:rsidP="00B344B4">
            <w:pPr>
              <w:widowControl w:val="0"/>
              <w:autoSpaceDE w:val="0"/>
              <w:autoSpaceDN w:val="0"/>
              <w:adjustRightInd w:val="0"/>
              <w:spacing w:line="276" w:lineRule="auto"/>
              <w:rPr>
                <w:rFonts w:cstheme="minorHAnsi"/>
                <w:sz w:val="18"/>
                <w:szCs w:val="20"/>
              </w:rPr>
            </w:pPr>
          </w:p>
        </w:tc>
        <w:tc>
          <w:tcPr>
            <w:tcW w:w="284" w:type="dxa"/>
            <w:tcBorders>
              <w:bottom w:val="single" w:sz="4" w:space="0" w:color="auto"/>
            </w:tcBorders>
          </w:tcPr>
          <w:p w14:paraId="43ABEC84" w14:textId="63405272"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top w:val="single" w:sz="4" w:space="0" w:color="auto"/>
              <w:bottom w:val="single" w:sz="4" w:space="0" w:color="auto"/>
            </w:tcBorders>
          </w:tcPr>
          <w:p w14:paraId="359D6C54" w14:textId="0697F218"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Birth length, cm</w:t>
            </w:r>
          </w:p>
        </w:tc>
        <w:tc>
          <w:tcPr>
            <w:tcW w:w="567" w:type="dxa"/>
            <w:tcBorders>
              <w:top w:val="single" w:sz="4" w:space="0" w:color="auto"/>
              <w:bottom w:val="single" w:sz="4" w:space="0" w:color="auto"/>
            </w:tcBorders>
          </w:tcPr>
          <w:p w14:paraId="7351AD53"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2" w:type="dxa"/>
            <w:tcBorders>
              <w:top w:val="single" w:sz="4" w:space="0" w:color="auto"/>
              <w:bottom w:val="single" w:sz="4" w:space="0" w:color="auto"/>
            </w:tcBorders>
          </w:tcPr>
          <w:p w14:paraId="1F734F0D" w14:textId="5D6BC096"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Head circumference, cm</w:t>
            </w:r>
          </w:p>
        </w:tc>
        <w:tc>
          <w:tcPr>
            <w:tcW w:w="709" w:type="dxa"/>
            <w:tcBorders>
              <w:top w:val="single" w:sz="4" w:space="0" w:color="auto"/>
              <w:bottom w:val="single" w:sz="4" w:space="0" w:color="auto"/>
            </w:tcBorders>
          </w:tcPr>
          <w:p w14:paraId="25AC6FFB"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701" w:type="dxa"/>
            <w:tcBorders>
              <w:top w:val="single" w:sz="4" w:space="0" w:color="auto"/>
              <w:bottom w:val="single" w:sz="4" w:space="0" w:color="auto"/>
            </w:tcBorders>
          </w:tcPr>
          <w:p w14:paraId="6350A3E2" w14:textId="08FDAA44"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Abdominal circumference, cm</w:t>
            </w:r>
          </w:p>
        </w:tc>
        <w:tc>
          <w:tcPr>
            <w:tcW w:w="709" w:type="dxa"/>
            <w:tcBorders>
              <w:top w:val="single" w:sz="4" w:space="0" w:color="auto"/>
              <w:bottom w:val="single" w:sz="4" w:space="0" w:color="auto"/>
            </w:tcBorders>
          </w:tcPr>
          <w:p w14:paraId="4FB75368"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top w:val="single" w:sz="4" w:space="0" w:color="auto"/>
              <w:bottom w:val="single" w:sz="4" w:space="0" w:color="auto"/>
            </w:tcBorders>
          </w:tcPr>
          <w:p w14:paraId="03BE080F" w14:textId="1EDFC206"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Sum of skinfold thickness, mm</w:t>
            </w:r>
          </w:p>
        </w:tc>
        <w:tc>
          <w:tcPr>
            <w:tcW w:w="708" w:type="dxa"/>
            <w:tcBorders>
              <w:top w:val="single" w:sz="4" w:space="0" w:color="auto"/>
              <w:bottom w:val="single" w:sz="4" w:space="0" w:color="auto"/>
            </w:tcBorders>
          </w:tcPr>
          <w:p w14:paraId="72004BFA"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r>
      <w:tr w:rsidR="004F6EAB" w:rsidRPr="004F6EAB" w14:paraId="2813D917" w14:textId="106FB7F9" w:rsidTr="0009130E">
        <w:tc>
          <w:tcPr>
            <w:tcW w:w="856" w:type="dxa"/>
            <w:tcBorders>
              <w:bottom w:val="single" w:sz="4" w:space="0" w:color="auto"/>
            </w:tcBorders>
          </w:tcPr>
          <w:p w14:paraId="09620973"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top w:val="single" w:sz="4" w:space="0" w:color="auto"/>
              <w:bottom w:val="single" w:sz="4" w:space="0" w:color="auto"/>
            </w:tcBorders>
          </w:tcPr>
          <w:p w14:paraId="111133BB" w14:textId="2BEC0010"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β (95%CI)</w:t>
            </w:r>
          </w:p>
        </w:tc>
        <w:tc>
          <w:tcPr>
            <w:tcW w:w="709" w:type="dxa"/>
            <w:tcBorders>
              <w:top w:val="single" w:sz="4" w:space="0" w:color="auto"/>
              <w:bottom w:val="single" w:sz="4" w:space="0" w:color="auto"/>
            </w:tcBorders>
          </w:tcPr>
          <w:p w14:paraId="5BFA5430" w14:textId="519BF813" w:rsidR="00B344B4" w:rsidRPr="00F05917" w:rsidRDefault="00B344B4" w:rsidP="00B344B4">
            <w:pPr>
              <w:widowControl w:val="0"/>
              <w:autoSpaceDE w:val="0"/>
              <w:autoSpaceDN w:val="0"/>
              <w:adjustRightInd w:val="0"/>
              <w:spacing w:line="276" w:lineRule="auto"/>
              <w:rPr>
                <w:rFonts w:cstheme="minorHAnsi"/>
                <w:i/>
                <w:iCs/>
                <w:sz w:val="18"/>
                <w:szCs w:val="20"/>
              </w:rPr>
            </w:pPr>
            <w:r w:rsidRPr="00F05917">
              <w:rPr>
                <w:rFonts w:cstheme="minorHAnsi"/>
                <w:i/>
                <w:iCs/>
                <w:sz w:val="18"/>
                <w:szCs w:val="20"/>
              </w:rPr>
              <w:t>I</w:t>
            </w:r>
            <w:r w:rsidRPr="00F05917">
              <w:rPr>
                <w:rFonts w:cstheme="minorHAnsi"/>
                <w:i/>
                <w:iCs/>
                <w:sz w:val="18"/>
                <w:szCs w:val="20"/>
                <w:vertAlign w:val="superscript"/>
              </w:rPr>
              <w:t xml:space="preserve">2 </w:t>
            </w:r>
            <w:r w:rsidRPr="00F05917">
              <w:rPr>
                <w:rFonts w:cstheme="minorHAnsi"/>
                <w:i/>
                <w:iCs/>
                <w:sz w:val="18"/>
                <w:szCs w:val="20"/>
              </w:rPr>
              <w:t>(%)</w:t>
            </w:r>
          </w:p>
        </w:tc>
        <w:tc>
          <w:tcPr>
            <w:tcW w:w="1838" w:type="dxa"/>
            <w:tcBorders>
              <w:top w:val="single" w:sz="4" w:space="0" w:color="auto"/>
              <w:bottom w:val="single" w:sz="4" w:space="0" w:color="auto"/>
            </w:tcBorders>
          </w:tcPr>
          <w:p w14:paraId="2D7CABAD" w14:textId="502E2B68"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β (95%CI)</w:t>
            </w:r>
          </w:p>
        </w:tc>
        <w:tc>
          <w:tcPr>
            <w:tcW w:w="713" w:type="dxa"/>
            <w:tcBorders>
              <w:top w:val="single" w:sz="4" w:space="0" w:color="auto"/>
              <w:bottom w:val="single" w:sz="4" w:space="0" w:color="auto"/>
            </w:tcBorders>
          </w:tcPr>
          <w:p w14:paraId="6DEAD525" w14:textId="04776ABD" w:rsidR="00B344B4" w:rsidRPr="00F05917" w:rsidRDefault="00B344B4" w:rsidP="00B344B4">
            <w:pPr>
              <w:widowControl w:val="0"/>
              <w:autoSpaceDE w:val="0"/>
              <w:autoSpaceDN w:val="0"/>
              <w:adjustRightInd w:val="0"/>
              <w:spacing w:line="276" w:lineRule="auto"/>
              <w:rPr>
                <w:rFonts w:cstheme="minorHAnsi"/>
                <w:i/>
                <w:iCs/>
                <w:sz w:val="18"/>
                <w:szCs w:val="20"/>
              </w:rPr>
            </w:pPr>
            <w:r w:rsidRPr="00F05917">
              <w:rPr>
                <w:rFonts w:cstheme="minorHAnsi"/>
                <w:i/>
                <w:iCs/>
                <w:sz w:val="18"/>
                <w:szCs w:val="20"/>
              </w:rPr>
              <w:t>I</w:t>
            </w:r>
            <w:r w:rsidRPr="00F05917">
              <w:rPr>
                <w:rFonts w:cstheme="minorHAnsi"/>
                <w:i/>
                <w:iCs/>
                <w:sz w:val="18"/>
                <w:szCs w:val="20"/>
                <w:vertAlign w:val="superscript"/>
              </w:rPr>
              <w:t xml:space="preserve">2 </w:t>
            </w:r>
            <w:r w:rsidRPr="00F05917">
              <w:rPr>
                <w:rFonts w:cstheme="minorHAnsi"/>
                <w:i/>
                <w:iCs/>
                <w:sz w:val="18"/>
                <w:szCs w:val="20"/>
              </w:rPr>
              <w:t>(%)</w:t>
            </w:r>
          </w:p>
        </w:tc>
        <w:tc>
          <w:tcPr>
            <w:tcW w:w="284" w:type="dxa"/>
            <w:tcBorders>
              <w:top w:val="single" w:sz="4" w:space="0" w:color="auto"/>
              <w:bottom w:val="single" w:sz="4" w:space="0" w:color="auto"/>
            </w:tcBorders>
          </w:tcPr>
          <w:p w14:paraId="22D2D774" w14:textId="64A05A0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top w:val="single" w:sz="4" w:space="0" w:color="auto"/>
              <w:bottom w:val="single" w:sz="4" w:space="0" w:color="auto"/>
            </w:tcBorders>
          </w:tcPr>
          <w:p w14:paraId="0DA03B2F" w14:textId="5A5E5D61"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β (95%CI)</w:t>
            </w:r>
          </w:p>
        </w:tc>
        <w:tc>
          <w:tcPr>
            <w:tcW w:w="567" w:type="dxa"/>
            <w:tcBorders>
              <w:top w:val="single" w:sz="4" w:space="0" w:color="auto"/>
              <w:bottom w:val="single" w:sz="4" w:space="0" w:color="auto"/>
            </w:tcBorders>
          </w:tcPr>
          <w:p w14:paraId="570B3CD6" w14:textId="009D74A9"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i/>
                <w:iCs/>
                <w:sz w:val="18"/>
                <w:szCs w:val="20"/>
              </w:rPr>
              <w:t>I</w:t>
            </w:r>
            <w:r w:rsidRPr="00F05917">
              <w:rPr>
                <w:rFonts w:cstheme="minorHAnsi"/>
                <w:i/>
                <w:iCs/>
                <w:sz w:val="18"/>
                <w:szCs w:val="20"/>
                <w:vertAlign w:val="superscript"/>
              </w:rPr>
              <w:t xml:space="preserve">2 </w:t>
            </w:r>
            <w:r w:rsidRPr="00F05917">
              <w:rPr>
                <w:rFonts w:cstheme="minorHAnsi"/>
                <w:i/>
                <w:iCs/>
                <w:sz w:val="18"/>
                <w:szCs w:val="20"/>
              </w:rPr>
              <w:t>(%)</w:t>
            </w:r>
          </w:p>
        </w:tc>
        <w:tc>
          <w:tcPr>
            <w:tcW w:w="1842" w:type="dxa"/>
            <w:tcBorders>
              <w:top w:val="single" w:sz="4" w:space="0" w:color="auto"/>
              <w:bottom w:val="single" w:sz="4" w:space="0" w:color="auto"/>
            </w:tcBorders>
          </w:tcPr>
          <w:p w14:paraId="6529B183" w14:textId="74399E80"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β (95%CI)</w:t>
            </w:r>
          </w:p>
        </w:tc>
        <w:tc>
          <w:tcPr>
            <w:tcW w:w="709" w:type="dxa"/>
            <w:tcBorders>
              <w:top w:val="single" w:sz="4" w:space="0" w:color="auto"/>
              <w:bottom w:val="single" w:sz="4" w:space="0" w:color="auto"/>
            </w:tcBorders>
          </w:tcPr>
          <w:p w14:paraId="0B8BCB48" w14:textId="6531A725"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i/>
                <w:iCs/>
                <w:sz w:val="18"/>
                <w:szCs w:val="20"/>
              </w:rPr>
              <w:t>I</w:t>
            </w:r>
            <w:r w:rsidRPr="00F05917">
              <w:rPr>
                <w:rFonts w:cstheme="minorHAnsi"/>
                <w:i/>
                <w:iCs/>
                <w:sz w:val="18"/>
                <w:szCs w:val="20"/>
                <w:vertAlign w:val="superscript"/>
              </w:rPr>
              <w:t xml:space="preserve">2 </w:t>
            </w:r>
            <w:r w:rsidRPr="00F05917">
              <w:rPr>
                <w:rFonts w:cstheme="minorHAnsi"/>
                <w:i/>
                <w:iCs/>
                <w:sz w:val="18"/>
                <w:szCs w:val="20"/>
              </w:rPr>
              <w:t>(%)</w:t>
            </w:r>
          </w:p>
        </w:tc>
        <w:tc>
          <w:tcPr>
            <w:tcW w:w="1701" w:type="dxa"/>
            <w:tcBorders>
              <w:top w:val="single" w:sz="4" w:space="0" w:color="auto"/>
              <w:bottom w:val="single" w:sz="4" w:space="0" w:color="auto"/>
            </w:tcBorders>
          </w:tcPr>
          <w:p w14:paraId="0D0230B9" w14:textId="62C6894B"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β (95%CI)</w:t>
            </w:r>
          </w:p>
        </w:tc>
        <w:tc>
          <w:tcPr>
            <w:tcW w:w="709" w:type="dxa"/>
            <w:tcBorders>
              <w:top w:val="single" w:sz="4" w:space="0" w:color="auto"/>
              <w:bottom w:val="single" w:sz="4" w:space="0" w:color="auto"/>
            </w:tcBorders>
          </w:tcPr>
          <w:p w14:paraId="083E6E0B" w14:textId="65488B0B"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i/>
                <w:iCs/>
                <w:sz w:val="18"/>
                <w:szCs w:val="20"/>
              </w:rPr>
              <w:t>I</w:t>
            </w:r>
            <w:r w:rsidRPr="00F05917">
              <w:rPr>
                <w:rFonts w:cstheme="minorHAnsi"/>
                <w:i/>
                <w:iCs/>
                <w:sz w:val="18"/>
                <w:szCs w:val="20"/>
                <w:vertAlign w:val="superscript"/>
              </w:rPr>
              <w:t xml:space="preserve">2 </w:t>
            </w:r>
            <w:r w:rsidRPr="00F05917">
              <w:rPr>
                <w:rFonts w:cstheme="minorHAnsi"/>
                <w:i/>
                <w:iCs/>
                <w:sz w:val="18"/>
                <w:szCs w:val="20"/>
              </w:rPr>
              <w:t>(%)</w:t>
            </w:r>
          </w:p>
        </w:tc>
        <w:tc>
          <w:tcPr>
            <w:tcW w:w="1843" w:type="dxa"/>
            <w:tcBorders>
              <w:top w:val="single" w:sz="4" w:space="0" w:color="auto"/>
              <w:bottom w:val="single" w:sz="4" w:space="0" w:color="auto"/>
            </w:tcBorders>
          </w:tcPr>
          <w:p w14:paraId="5B338CF1" w14:textId="28C1D833"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β (95%CI)</w:t>
            </w:r>
          </w:p>
        </w:tc>
        <w:tc>
          <w:tcPr>
            <w:tcW w:w="708" w:type="dxa"/>
            <w:tcBorders>
              <w:top w:val="single" w:sz="4" w:space="0" w:color="auto"/>
              <w:bottom w:val="single" w:sz="4" w:space="0" w:color="auto"/>
            </w:tcBorders>
          </w:tcPr>
          <w:p w14:paraId="28F19291" w14:textId="62E7467F"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i/>
                <w:iCs/>
                <w:sz w:val="18"/>
                <w:szCs w:val="20"/>
              </w:rPr>
              <w:t>I</w:t>
            </w:r>
            <w:r w:rsidRPr="00F05917">
              <w:rPr>
                <w:rFonts w:cstheme="minorHAnsi"/>
                <w:i/>
                <w:iCs/>
                <w:sz w:val="18"/>
                <w:szCs w:val="20"/>
                <w:vertAlign w:val="superscript"/>
              </w:rPr>
              <w:t xml:space="preserve">2 </w:t>
            </w:r>
            <w:r w:rsidRPr="00F05917">
              <w:rPr>
                <w:rFonts w:cstheme="minorHAnsi"/>
                <w:i/>
                <w:iCs/>
                <w:sz w:val="18"/>
                <w:szCs w:val="20"/>
              </w:rPr>
              <w:t>(%)</w:t>
            </w:r>
          </w:p>
        </w:tc>
      </w:tr>
      <w:tr w:rsidR="004F6EAB" w:rsidRPr="004F6EAB" w14:paraId="13D5AF1F" w14:textId="5690869D" w:rsidTr="0009130E">
        <w:tc>
          <w:tcPr>
            <w:tcW w:w="856" w:type="dxa"/>
            <w:tcBorders>
              <w:top w:val="single" w:sz="4" w:space="0" w:color="auto"/>
              <w:bottom w:val="single" w:sz="4" w:space="0" w:color="auto"/>
            </w:tcBorders>
          </w:tcPr>
          <w:p w14:paraId="0BE30F3E" w14:textId="09DB8EA6" w:rsidR="00B344B4" w:rsidRPr="00F05917" w:rsidRDefault="00B344B4" w:rsidP="00B344B4">
            <w:pPr>
              <w:widowControl w:val="0"/>
              <w:autoSpaceDE w:val="0"/>
              <w:autoSpaceDN w:val="0"/>
              <w:adjustRightInd w:val="0"/>
              <w:spacing w:line="276" w:lineRule="auto"/>
              <w:rPr>
                <w:rFonts w:cstheme="minorHAnsi"/>
                <w:b/>
                <w:bCs/>
                <w:sz w:val="18"/>
                <w:szCs w:val="20"/>
              </w:rPr>
            </w:pPr>
            <w:r w:rsidRPr="00F05917">
              <w:rPr>
                <w:rFonts w:cstheme="minorHAnsi"/>
                <w:b/>
                <w:bCs/>
                <w:sz w:val="18"/>
                <w:szCs w:val="20"/>
              </w:rPr>
              <w:t xml:space="preserve">E-DII </w:t>
            </w:r>
          </w:p>
        </w:tc>
        <w:tc>
          <w:tcPr>
            <w:tcW w:w="1843" w:type="dxa"/>
            <w:tcBorders>
              <w:top w:val="single" w:sz="4" w:space="0" w:color="auto"/>
            </w:tcBorders>
          </w:tcPr>
          <w:p w14:paraId="20CC6683"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709" w:type="dxa"/>
            <w:tcBorders>
              <w:top w:val="single" w:sz="4" w:space="0" w:color="auto"/>
            </w:tcBorders>
          </w:tcPr>
          <w:p w14:paraId="5C8570C7"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38" w:type="dxa"/>
            <w:tcBorders>
              <w:top w:val="single" w:sz="4" w:space="0" w:color="auto"/>
            </w:tcBorders>
          </w:tcPr>
          <w:p w14:paraId="06445D2F"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713" w:type="dxa"/>
            <w:tcBorders>
              <w:top w:val="single" w:sz="4" w:space="0" w:color="auto"/>
            </w:tcBorders>
          </w:tcPr>
          <w:p w14:paraId="493D46A7" w14:textId="367D4AAE" w:rsidR="00B344B4" w:rsidRPr="00F05917" w:rsidRDefault="00B344B4" w:rsidP="00B344B4">
            <w:pPr>
              <w:widowControl w:val="0"/>
              <w:autoSpaceDE w:val="0"/>
              <w:autoSpaceDN w:val="0"/>
              <w:adjustRightInd w:val="0"/>
              <w:spacing w:line="276" w:lineRule="auto"/>
              <w:rPr>
                <w:rFonts w:cstheme="minorHAnsi"/>
                <w:sz w:val="18"/>
                <w:szCs w:val="20"/>
              </w:rPr>
            </w:pPr>
          </w:p>
        </w:tc>
        <w:tc>
          <w:tcPr>
            <w:tcW w:w="284" w:type="dxa"/>
            <w:tcBorders>
              <w:top w:val="single" w:sz="4" w:space="0" w:color="auto"/>
            </w:tcBorders>
          </w:tcPr>
          <w:p w14:paraId="07B79437" w14:textId="64FFED3E"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top w:val="single" w:sz="4" w:space="0" w:color="auto"/>
            </w:tcBorders>
          </w:tcPr>
          <w:p w14:paraId="28BDC80A"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567" w:type="dxa"/>
            <w:tcBorders>
              <w:top w:val="single" w:sz="4" w:space="0" w:color="auto"/>
            </w:tcBorders>
          </w:tcPr>
          <w:p w14:paraId="13AFFB1B"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2" w:type="dxa"/>
            <w:tcBorders>
              <w:top w:val="single" w:sz="4" w:space="0" w:color="auto"/>
            </w:tcBorders>
          </w:tcPr>
          <w:p w14:paraId="6140FB9F"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709" w:type="dxa"/>
            <w:tcBorders>
              <w:top w:val="single" w:sz="4" w:space="0" w:color="auto"/>
            </w:tcBorders>
          </w:tcPr>
          <w:p w14:paraId="1501E12D"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701" w:type="dxa"/>
            <w:tcBorders>
              <w:top w:val="single" w:sz="4" w:space="0" w:color="auto"/>
            </w:tcBorders>
          </w:tcPr>
          <w:p w14:paraId="042829BB"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709" w:type="dxa"/>
            <w:tcBorders>
              <w:top w:val="single" w:sz="4" w:space="0" w:color="auto"/>
            </w:tcBorders>
          </w:tcPr>
          <w:p w14:paraId="319AB414"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top w:val="single" w:sz="4" w:space="0" w:color="auto"/>
            </w:tcBorders>
          </w:tcPr>
          <w:p w14:paraId="6008221E"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708" w:type="dxa"/>
            <w:tcBorders>
              <w:top w:val="single" w:sz="4" w:space="0" w:color="auto"/>
            </w:tcBorders>
          </w:tcPr>
          <w:p w14:paraId="018908E2"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r>
      <w:tr w:rsidR="004F6EAB" w:rsidRPr="004F6EAB" w14:paraId="7DE33D88" w14:textId="01268366" w:rsidTr="0009130E">
        <w:tc>
          <w:tcPr>
            <w:tcW w:w="856" w:type="dxa"/>
            <w:tcBorders>
              <w:top w:val="single" w:sz="4" w:space="0" w:color="auto"/>
            </w:tcBorders>
          </w:tcPr>
          <w:p w14:paraId="74DDA11E" w14:textId="5BFA2202" w:rsidR="00B344B4" w:rsidRPr="00F05917" w:rsidRDefault="00B344B4" w:rsidP="00B344B4">
            <w:pPr>
              <w:widowControl w:val="0"/>
              <w:autoSpaceDE w:val="0"/>
              <w:autoSpaceDN w:val="0"/>
              <w:adjustRightInd w:val="0"/>
              <w:spacing w:line="276" w:lineRule="auto"/>
              <w:rPr>
                <w:rFonts w:cstheme="minorHAnsi"/>
                <w:i/>
                <w:iCs/>
                <w:sz w:val="18"/>
                <w:szCs w:val="20"/>
              </w:rPr>
            </w:pPr>
            <w:bookmarkStart w:id="17" w:name="_Hlk24647687"/>
            <w:r w:rsidRPr="00F05917">
              <w:rPr>
                <w:rFonts w:cstheme="minorHAnsi"/>
                <w:i/>
                <w:iCs/>
                <w:sz w:val="18"/>
                <w:szCs w:val="20"/>
              </w:rPr>
              <w:t xml:space="preserve">Pre </w:t>
            </w:r>
          </w:p>
        </w:tc>
        <w:tc>
          <w:tcPr>
            <w:tcW w:w="1843" w:type="dxa"/>
          </w:tcPr>
          <w:p w14:paraId="757B04CA" w14:textId="43D1D989" w:rsidR="00B344B4" w:rsidRPr="00F05917" w:rsidRDefault="00832219"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-18.7 (-34.8, -2.6)</w:t>
            </w:r>
          </w:p>
        </w:tc>
        <w:tc>
          <w:tcPr>
            <w:tcW w:w="709" w:type="dxa"/>
          </w:tcPr>
          <w:p w14:paraId="0B73B432" w14:textId="02929C79" w:rsidR="00B344B4" w:rsidRPr="00F05917" w:rsidRDefault="00832219"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838" w:type="dxa"/>
          </w:tcPr>
          <w:p w14:paraId="70D48A8C" w14:textId="7AC6469C" w:rsidR="00B344B4" w:rsidRPr="00F05917" w:rsidRDefault="00946AAA"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-0.02 (-0.08, 0.04)</w:t>
            </w:r>
          </w:p>
        </w:tc>
        <w:tc>
          <w:tcPr>
            <w:tcW w:w="713" w:type="dxa"/>
          </w:tcPr>
          <w:p w14:paraId="10B5AE57" w14:textId="238FBEB1" w:rsidR="00B344B4" w:rsidRPr="00F05917" w:rsidRDefault="00946AAA"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284" w:type="dxa"/>
          </w:tcPr>
          <w:p w14:paraId="24D41964" w14:textId="76AA9874"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Pr>
          <w:p w14:paraId="77DEE6F8" w14:textId="64932440" w:rsidR="00B344B4" w:rsidRPr="00F05917" w:rsidRDefault="00946AAA"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-0.07 (-0.14, -0.01)</w:t>
            </w:r>
          </w:p>
        </w:tc>
        <w:tc>
          <w:tcPr>
            <w:tcW w:w="567" w:type="dxa"/>
          </w:tcPr>
          <w:p w14:paraId="3D4FA989" w14:textId="79A27219" w:rsidR="00B344B4" w:rsidRPr="00F05917" w:rsidRDefault="00946AAA"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842" w:type="dxa"/>
          </w:tcPr>
          <w:p w14:paraId="3427C6E9" w14:textId="692CFF3F"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-0.04 (-0.10, 0.03)</w:t>
            </w:r>
          </w:p>
        </w:tc>
        <w:tc>
          <w:tcPr>
            <w:tcW w:w="709" w:type="dxa"/>
          </w:tcPr>
          <w:p w14:paraId="75069FD3" w14:textId="505BB8A7"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43</w:t>
            </w:r>
          </w:p>
        </w:tc>
        <w:tc>
          <w:tcPr>
            <w:tcW w:w="1701" w:type="dxa"/>
          </w:tcPr>
          <w:p w14:paraId="1A2E50EC" w14:textId="4DA8CC3A"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-0.01 (-0.09, 0.08)</w:t>
            </w:r>
          </w:p>
        </w:tc>
        <w:tc>
          <w:tcPr>
            <w:tcW w:w="709" w:type="dxa"/>
          </w:tcPr>
          <w:p w14:paraId="404FBBE0" w14:textId="5FAFBB97"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w:t>
            </w:r>
          </w:p>
        </w:tc>
        <w:tc>
          <w:tcPr>
            <w:tcW w:w="1843" w:type="dxa"/>
          </w:tcPr>
          <w:p w14:paraId="4AC33A28" w14:textId="189A2A0F" w:rsidR="00B344B4" w:rsidRPr="00F05917" w:rsidRDefault="00865748"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-0.03 (-0.09, 0.03)</w:t>
            </w:r>
          </w:p>
        </w:tc>
        <w:tc>
          <w:tcPr>
            <w:tcW w:w="708" w:type="dxa"/>
          </w:tcPr>
          <w:p w14:paraId="3D8B837F" w14:textId="6D4C34D9" w:rsidR="00B344B4" w:rsidRPr="00F05917" w:rsidRDefault="00865748"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r>
      <w:tr w:rsidR="001D0750" w:rsidRPr="004F6EAB" w14:paraId="0B1BA4C8" w14:textId="77777777" w:rsidTr="0009130E">
        <w:tc>
          <w:tcPr>
            <w:tcW w:w="856" w:type="dxa"/>
          </w:tcPr>
          <w:p w14:paraId="00011E82" w14:textId="48B7F449" w:rsidR="001D0750" w:rsidRPr="00F05917" w:rsidRDefault="00B75CF5" w:rsidP="00B344B4">
            <w:pPr>
              <w:widowControl w:val="0"/>
              <w:autoSpaceDE w:val="0"/>
              <w:autoSpaceDN w:val="0"/>
              <w:adjustRightInd w:val="0"/>
              <w:spacing w:line="276" w:lineRule="auto"/>
              <w:rPr>
                <w:rFonts w:cstheme="minorHAnsi"/>
                <w:i/>
                <w:iCs/>
                <w:sz w:val="18"/>
                <w:szCs w:val="20"/>
              </w:rPr>
            </w:pPr>
            <w:r w:rsidRPr="00F05917">
              <w:rPr>
                <w:rFonts w:cstheme="minorHAnsi"/>
                <w:i/>
                <w:iCs/>
                <w:sz w:val="18"/>
                <w:szCs w:val="20"/>
              </w:rPr>
              <w:t>P</w:t>
            </w:r>
            <w:r w:rsidR="00F37372" w:rsidRPr="00F05917">
              <w:rPr>
                <w:rFonts w:cstheme="minorHAnsi"/>
                <w:i/>
                <w:iCs/>
                <w:sz w:val="18"/>
                <w:szCs w:val="20"/>
              </w:rPr>
              <w:t>-value</w:t>
            </w:r>
          </w:p>
        </w:tc>
        <w:tc>
          <w:tcPr>
            <w:tcW w:w="1843" w:type="dxa"/>
          </w:tcPr>
          <w:p w14:paraId="45FC14A1" w14:textId="12C458E9" w:rsidR="001D0750" w:rsidRPr="00F05917" w:rsidRDefault="00276FCD"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0.023</w:t>
            </w:r>
          </w:p>
        </w:tc>
        <w:tc>
          <w:tcPr>
            <w:tcW w:w="709" w:type="dxa"/>
          </w:tcPr>
          <w:p w14:paraId="72B02F31" w14:textId="21C791DD" w:rsidR="001D0750" w:rsidRPr="00F05917" w:rsidRDefault="00276FCD"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0.66</w:t>
            </w:r>
          </w:p>
        </w:tc>
        <w:tc>
          <w:tcPr>
            <w:tcW w:w="1838" w:type="dxa"/>
          </w:tcPr>
          <w:p w14:paraId="6C0F562C" w14:textId="5D3FB049" w:rsidR="001D0750" w:rsidRPr="00F05917" w:rsidRDefault="00F0591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0.52</w:t>
            </w:r>
          </w:p>
        </w:tc>
        <w:tc>
          <w:tcPr>
            <w:tcW w:w="713" w:type="dxa"/>
          </w:tcPr>
          <w:p w14:paraId="2369BB11" w14:textId="71759691" w:rsidR="001D0750" w:rsidRPr="00F05917" w:rsidRDefault="00F0591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0.46</w:t>
            </w:r>
          </w:p>
        </w:tc>
        <w:tc>
          <w:tcPr>
            <w:tcW w:w="284" w:type="dxa"/>
          </w:tcPr>
          <w:p w14:paraId="2A3A3000" w14:textId="77777777" w:rsidR="001D0750" w:rsidRPr="00F05917" w:rsidRDefault="001D0750" w:rsidP="00B344B4">
            <w:pPr>
              <w:widowControl w:val="0"/>
              <w:autoSpaceDE w:val="0"/>
              <w:autoSpaceDN w:val="0"/>
              <w:adjustRightInd w:val="0"/>
              <w:spacing w:line="276" w:lineRule="auto"/>
              <w:rPr>
                <w:rFonts w:cstheme="minorHAnsi"/>
                <w:sz w:val="18"/>
                <w:szCs w:val="20"/>
              </w:rPr>
            </w:pPr>
          </w:p>
        </w:tc>
        <w:tc>
          <w:tcPr>
            <w:tcW w:w="1843" w:type="dxa"/>
          </w:tcPr>
          <w:p w14:paraId="15504C04" w14:textId="069D63E8" w:rsidR="001D0750" w:rsidRPr="00F05917" w:rsidRDefault="00F0591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0.031</w:t>
            </w:r>
          </w:p>
        </w:tc>
        <w:tc>
          <w:tcPr>
            <w:tcW w:w="567" w:type="dxa"/>
          </w:tcPr>
          <w:p w14:paraId="4480EB07" w14:textId="4C351582" w:rsidR="001D0750" w:rsidRPr="00F05917" w:rsidRDefault="00F0591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0.64</w:t>
            </w:r>
          </w:p>
        </w:tc>
        <w:tc>
          <w:tcPr>
            <w:tcW w:w="1842" w:type="dxa"/>
          </w:tcPr>
          <w:p w14:paraId="20C54084" w14:textId="0E487DFD" w:rsidR="001D0750" w:rsidRPr="00F05917" w:rsidRDefault="0009130E" w:rsidP="00B344B4">
            <w:pPr>
              <w:widowControl w:val="0"/>
              <w:autoSpaceDE w:val="0"/>
              <w:autoSpaceDN w:val="0"/>
              <w:adjustRightInd w:val="0"/>
              <w:spacing w:line="276" w:lineRule="auto"/>
              <w:rPr>
                <w:rFonts w:cstheme="minorHAnsi"/>
                <w:sz w:val="18"/>
                <w:szCs w:val="20"/>
              </w:rPr>
            </w:pPr>
            <w:r>
              <w:rPr>
                <w:rFonts w:cstheme="minorHAnsi"/>
                <w:sz w:val="18"/>
                <w:szCs w:val="20"/>
              </w:rPr>
              <w:t>0.27</w:t>
            </w:r>
          </w:p>
        </w:tc>
        <w:tc>
          <w:tcPr>
            <w:tcW w:w="709" w:type="dxa"/>
          </w:tcPr>
          <w:p w14:paraId="4A48BAAE" w14:textId="189D10D3" w:rsidR="001D0750" w:rsidRPr="00F05917" w:rsidRDefault="0009130E" w:rsidP="00B344B4">
            <w:pPr>
              <w:widowControl w:val="0"/>
              <w:autoSpaceDE w:val="0"/>
              <w:autoSpaceDN w:val="0"/>
              <w:adjustRightInd w:val="0"/>
              <w:spacing w:line="276" w:lineRule="auto"/>
              <w:rPr>
                <w:rFonts w:cstheme="minorHAnsi"/>
                <w:sz w:val="18"/>
                <w:szCs w:val="20"/>
              </w:rPr>
            </w:pPr>
            <w:r>
              <w:rPr>
                <w:rFonts w:cstheme="minorHAnsi"/>
                <w:sz w:val="18"/>
                <w:szCs w:val="20"/>
              </w:rPr>
              <w:t>0.18</w:t>
            </w:r>
          </w:p>
        </w:tc>
        <w:tc>
          <w:tcPr>
            <w:tcW w:w="1701" w:type="dxa"/>
          </w:tcPr>
          <w:p w14:paraId="632E7DED" w14:textId="7CBBBA76" w:rsidR="001D0750" w:rsidRPr="00F05917" w:rsidRDefault="00611948" w:rsidP="00B344B4">
            <w:pPr>
              <w:widowControl w:val="0"/>
              <w:autoSpaceDE w:val="0"/>
              <w:autoSpaceDN w:val="0"/>
              <w:adjustRightInd w:val="0"/>
              <w:spacing w:line="276" w:lineRule="auto"/>
              <w:rPr>
                <w:rFonts w:cstheme="minorHAnsi"/>
                <w:sz w:val="18"/>
                <w:szCs w:val="20"/>
              </w:rPr>
            </w:pPr>
            <w:r>
              <w:rPr>
                <w:rFonts w:cstheme="minorHAnsi"/>
                <w:sz w:val="18"/>
                <w:szCs w:val="20"/>
              </w:rPr>
              <w:t>0.82</w:t>
            </w:r>
          </w:p>
        </w:tc>
        <w:tc>
          <w:tcPr>
            <w:tcW w:w="709" w:type="dxa"/>
          </w:tcPr>
          <w:p w14:paraId="09A1C957" w14:textId="69D8B4D1" w:rsidR="001D0750" w:rsidRPr="00F05917" w:rsidRDefault="00611948" w:rsidP="00B344B4">
            <w:pPr>
              <w:widowControl w:val="0"/>
              <w:autoSpaceDE w:val="0"/>
              <w:autoSpaceDN w:val="0"/>
              <w:adjustRightInd w:val="0"/>
              <w:spacing w:line="276" w:lineRule="auto"/>
              <w:rPr>
                <w:rFonts w:cstheme="minorHAnsi"/>
                <w:sz w:val="18"/>
                <w:szCs w:val="20"/>
              </w:rPr>
            </w:pPr>
            <w:r>
              <w:rPr>
                <w:rFonts w:cstheme="minorHAnsi"/>
                <w:sz w:val="18"/>
                <w:szCs w:val="20"/>
              </w:rPr>
              <w:t>-</w:t>
            </w:r>
          </w:p>
        </w:tc>
        <w:tc>
          <w:tcPr>
            <w:tcW w:w="1843" w:type="dxa"/>
          </w:tcPr>
          <w:p w14:paraId="1EB5B2B9" w14:textId="3F97DC4B" w:rsidR="001D0750" w:rsidRPr="00F05917" w:rsidRDefault="00611948" w:rsidP="00B344B4">
            <w:pPr>
              <w:widowControl w:val="0"/>
              <w:autoSpaceDE w:val="0"/>
              <w:autoSpaceDN w:val="0"/>
              <w:adjustRightInd w:val="0"/>
              <w:spacing w:line="276" w:lineRule="auto"/>
              <w:rPr>
                <w:rFonts w:cstheme="minorHAnsi"/>
                <w:sz w:val="18"/>
                <w:szCs w:val="20"/>
              </w:rPr>
            </w:pPr>
            <w:r>
              <w:rPr>
                <w:rFonts w:cstheme="minorHAnsi"/>
                <w:sz w:val="18"/>
                <w:szCs w:val="20"/>
              </w:rPr>
              <w:t>0.30</w:t>
            </w:r>
          </w:p>
        </w:tc>
        <w:tc>
          <w:tcPr>
            <w:tcW w:w="708" w:type="dxa"/>
          </w:tcPr>
          <w:p w14:paraId="3B962BD0" w14:textId="7FFBA74B" w:rsidR="001D0750" w:rsidRPr="00F05917" w:rsidRDefault="00611948" w:rsidP="00B344B4">
            <w:pPr>
              <w:widowControl w:val="0"/>
              <w:autoSpaceDE w:val="0"/>
              <w:autoSpaceDN w:val="0"/>
              <w:adjustRightInd w:val="0"/>
              <w:spacing w:line="276" w:lineRule="auto"/>
              <w:rPr>
                <w:rFonts w:cstheme="minorHAnsi"/>
                <w:sz w:val="18"/>
                <w:szCs w:val="20"/>
              </w:rPr>
            </w:pPr>
            <w:r>
              <w:rPr>
                <w:rFonts w:cstheme="minorHAnsi"/>
                <w:sz w:val="18"/>
                <w:szCs w:val="20"/>
              </w:rPr>
              <w:t>0.39</w:t>
            </w:r>
          </w:p>
        </w:tc>
      </w:tr>
      <w:bookmarkEnd w:id="17"/>
      <w:tr w:rsidR="004F6EAB" w:rsidRPr="004F6EAB" w14:paraId="119FA519" w14:textId="2C408141" w:rsidTr="0009130E">
        <w:tc>
          <w:tcPr>
            <w:tcW w:w="856" w:type="dxa"/>
            <w:tcBorders>
              <w:bottom w:val="single" w:sz="4" w:space="0" w:color="auto"/>
            </w:tcBorders>
          </w:tcPr>
          <w:p w14:paraId="07ABF6FB" w14:textId="136F87F2"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Np/Nc</w:t>
            </w:r>
          </w:p>
        </w:tc>
        <w:tc>
          <w:tcPr>
            <w:tcW w:w="1843" w:type="dxa"/>
            <w:tcBorders>
              <w:bottom w:val="single" w:sz="4" w:space="0" w:color="auto"/>
            </w:tcBorders>
          </w:tcPr>
          <w:p w14:paraId="6B2EAFEE" w14:textId="3B0BDFAF" w:rsidR="00B344B4" w:rsidRPr="00F05917" w:rsidRDefault="00832219"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 xml:space="preserve">4119/2 </w:t>
            </w:r>
          </w:p>
        </w:tc>
        <w:tc>
          <w:tcPr>
            <w:tcW w:w="709" w:type="dxa"/>
            <w:tcBorders>
              <w:bottom w:val="single" w:sz="4" w:space="0" w:color="auto"/>
            </w:tcBorders>
          </w:tcPr>
          <w:p w14:paraId="792038DD" w14:textId="770B3CE4" w:rsidR="00B344B4" w:rsidRPr="00F05917" w:rsidRDefault="00B344B4" w:rsidP="00B344B4">
            <w:pPr>
              <w:widowControl w:val="0"/>
              <w:autoSpaceDE w:val="0"/>
              <w:autoSpaceDN w:val="0"/>
              <w:adjustRightInd w:val="0"/>
              <w:spacing w:line="276" w:lineRule="auto"/>
              <w:rPr>
                <w:rFonts w:cstheme="minorHAnsi"/>
                <w:sz w:val="18"/>
                <w:szCs w:val="20"/>
              </w:rPr>
            </w:pPr>
          </w:p>
        </w:tc>
        <w:tc>
          <w:tcPr>
            <w:tcW w:w="1838" w:type="dxa"/>
            <w:tcBorders>
              <w:bottom w:val="single" w:sz="4" w:space="0" w:color="auto"/>
            </w:tcBorders>
          </w:tcPr>
          <w:p w14:paraId="64327CC8" w14:textId="66385DAA" w:rsidR="00B344B4" w:rsidRPr="00F05917" w:rsidRDefault="00946AAA"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4137/2</w:t>
            </w:r>
          </w:p>
        </w:tc>
        <w:tc>
          <w:tcPr>
            <w:tcW w:w="713" w:type="dxa"/>
            <w:tcBorders>
              <w:bottom w:val="single" w:sz="4" w:space="0" w:color="auto"/>
            </w:tcBorders>
          </w:tcPr>
          <w:p w14:paraId="570C2461" w14:textId="7FA6B2E0" w:rsidR="00B344B4" w:rsidRPr="00F05917" w:rsidRDefault="00B344B4" w:rsidP="00B344B4">
            <w:pPr>
              <w:widowControl w:val="0"/>
              <w:autoSpaceDE w:val="0"/>
              <w:autoSpaceDN w:val="0"/>
              <w:adjustRightInd w:val="0"/>
              <w:spacing w:line="276" w:lineRule="auto"/>
              <w:rPr>
                <w:rFonts w:cstheme="minorHAnsi"/>
                <w:sz w:val="18"/>
                <w:szCs w:val="20"/>
              </w:rPr>
            </w:pPr>
          </w:p>
        </w:tc>
        <w:tc>
          <w:tcPr>
            <w:tcW w:w="284" w:type="dxa"/>
            <w:tcBorders>
              <w:bottom w:val="single" w:sz="4" w:space="0" w:color="auto"/>
            </w:tcBorders>
          </w:tcPr>
          <w:p w14:paraId="7FE9E04A" w14:textId="24EDEF90"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4A4E7CB4" w14:textId="7C022716" w:rsidR="00B344B4" w:rsidRPr="00F05917" w:rsidRDefault="00946AAA"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3964/2</w:t>
            </w:r>
          </w:p>
        </w:tc>
        <w:tc>
          <w:tcPr>
            <w:tcW w:w="567" w:type="dxa"/>
            <w:tcBorders>
              <w:bottom w:val="single" w:sz="4" w:space="0" w:color="auto"/>
            </w:tcBorders>
          </w:tcPr>
          <w:p w14:paraId="4012EF1D" w14:textId="174B594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2" w:type="dxa"/>
            <w:tcBorders>
              <w:bottom w:val="single" w:sz="4" w:space="0" w:color="auto"/>
            </w:tcBorders>
          </w:tcPr>
          <w:p w14:paraId="316C10B1" w14:textId="4F687705"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3993/2</w:t>
            </w:r>
          </w:p>
        </w:tc>
        <w:tc>
          <w:tcPr>
            <w:tcW w:w="709" w:type="dxa"/>
            <w:tcBorders>
              <w:bottom w:val="single" w:sz="4" w:space="0" w:color="auto"/>
            </w:tcBorders>
          </w:tcPr>
          <w:p w14:paraId="19C91205" w14:textId="5E703D8F" w:rsidR="00B344B4" w:rsidRPr="00F05917" w:rsidRDefault="00B344B4" w:rsidP="00B344B4">
            <w:pPr>
              <w:widowControl w:val="0"/>
              <w:autoSpaceDE w:val="0"/>
              <w:autoSpaceDN w:val="0"/>
              <w:adjustRightInd w:val="0"/>
              <w:spacing w:line="276" w:lineRule="auto"/>
              <w:rPr>
                <w:rFonts w:cstheme="minorHAnsi"/>
                <w:sz w:val="18"/>
                <w:szCs w:val="20"/>
              </w:rPr>
            </w:pPr>
          </w:p>
        </w:tc>
        <w:tc>
          <w:tcPr>
            <w:tcW w:w="1701" w:type="dxa"/>
            <w:tcBorders>
              <w:bottom w:val="single" w:sz="4" w:space="0" w:color="auto"/>
            </w:tcBorders>
          </w:tcPr>
          <w:p w14:paraId="51C51ABD" w14:textId="54501FD5"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2406/1</w:t>
            </w:r>
          </w:p>
        </w:tc>
        <w:tc>
          <w:tcPr>
            <w:tcW w:w="709" w:type="dxa"/>
            <w:tcBorders>
              <w:bottom w:val="single" w:sz="4" w:space="0" w:color="auto"/>
            </w:tcBorders>
          </w:tcPr>
          <w:p w14:paraId="408535C1" w14:textId="112E1ACE"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597140EC" w14:textId="5185E474" w:rsidR="00B344B4" w:rsidRPr="00F05917" w:rsidRDefault="00865748"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3923/2</w:t>
            </w:r>
          </w:p>
        </w:tc>
        <w:tc>
          <w:tcPr>
            <w:tcW w:w="708" w:type="dxa"/>
            <w:tcBorders>
              <w:bottom w:val="single" w:sz="4" w:space="0" w:color="auto"/>
            </w:tcBorders>
          </w:tcPr>
          <w:p w14:paraId="41AB6B3D" w14:textId="55115215" w:rsidR="00B344B4" w:rsidRPr="00F05917" w:rsidRDefault="00B344B4" w:rsidP="00B344B4">
            <w:pPr>
              <w:widowControl w:val="0"/>
              <w:autoSpaceDE w:val="0"/>
              <w:autoSpaceDN w:val="0"/>
              <w:adjustRightInd w:val="0"/>
              <w:spacing w:line="276" w:lineRule="auto"/>
              <w:rPr>
                <w:rFonts w:cstheme="minorHAnsi"/>
                <w:sz w:val="18"/>
                <w:szCs w:val="20"/>
              </w:rPr>
            </w:pPr>
          </w:p>
        </w:tc>
      </w:tr>
      <w:tr w:rsidR="004F6EAB" w:rsidRPr="004F6EAB" w14:paraId="0B922FC6" w14:textId="683DC7B8" w:rsidTr="0009130E">
        <w:tc>
          <w:tcPr>
            <w:tcW w:w="856" w:type="dxa"/>
            <w:tcBorders>
              <w:top w:val="single" w:sz="4" w:space="0" w:color="auto"/>
            </w:tcBorders>
          </w:tcPr>
          <w:p w14:paraId="348D5ACB" w14:textId="19D2DEC8" w:rsidR="00B344B4" w:rsidRPr="00F05917" w:rsidRDefault="00B344B4" w:rsidP="00B344B4">
            <w:pPr>
              <w:widowControl w:val="0"/>
              <w:autoSpaceDE w:val="0"/>
              <w:autoSpaceDN w:val="0"/>
              <w:adjustRightInd w:val="0"/>
              <w:spacing w:line="276" w:lineRule="auto"/>
              <w:rPr>
                <w:rFonts w:cstheme="minorHAnsi"/>
                <w:i/>
                <w:iCs/>
                <w:sz w:val="18"/>
                <w:szCs w:val="20"/>
              </w:rPr>
            </w:pPr>
            <w:proofErr w:type="spellStart"/>
            <w:r w:rsidRPr="00F05917">
              <w:rPr>
                <w:rFonts w:cstheme="minorHAnsi"/>
                <w:i/>
                <w:iCs/>
                <w:sz w:val="18"/>
                <w:szCs w:val="20"/>
              </w:rPr>
              <w:t>Preg</w:t>
            </w:r>
            <w:proofErr w:type="spellEnd"/>
          </w:p>
        </w:tc>
        <w:tc>
          <w:tcPr>
            <w:tcW w:w="1843" w:type="dxa"/>
            <w:tcBorders>
              <w:top w:val="single" w:sz="4" w:space="0" w:color="auto"/>
            </w:tcBorders>
          </w:tcPr>
          <w:p w14:paraId="2DE0E5C1" w14:textId="61B9885F" w:rsidR="00B344B4" w:rsidRPr="00F05917" w:rsidRDefault="00832219"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-14.3 (-29.3, 0.7)</w:t>
            </w:r>
          </w:p>
        </w:tc>
        <w:tc>
          <w:tcPr>
            <w:tcW w:w="709" w:type="dxa"/>
            <w:tcBorders>
              <w:top w:val="single" w:sz="4" w:space="0" w:color="auto"/>
            </w:tcBorders>
          </w:tcPr>
          <w:p w14:paraId="27DAE5F2" w14:textId="610E8AA7" w:rsidR="00B344B4" w:rsidRPr="00F05917" w:rsidRDefault="00832219"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73</w:t>
            </w:r>
          </w:p>
        </w:tc>
        <w:tc>
          <w:tcPr>
            <w:tcW w:w="1838" w:type="dxa"/>
            <w:tcBorders>
              <w:top w:val="single" w:sz="4" w:space="0" w:color="auto"/>
            </w:tcBorders>
          </w:tcPr>
          <w:p w14:paraId="13B43DAC" w14:textId="3CEFD993" w:rsidR="00B344B4" w:rsidRPr="00F05917" w:rsidRDefault="00946AAA"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-0.02 (-0.07, 0.03)</w:t>
            </w:r>
          </w:p>
        </w:tc>
        <w:tc>
          <w:tcPr>
            <w:tcW w:w="713" w:type="dxa"/>
            <w:tcBorders>
              <w:top w:val="single" w:sz="4" w:space="0" w:color="auto"/>
            </w:tcBorders>
          </w:tcPr>
          <w:p w14:paraId="3007A97B" w14:textId="05EA0B81" w:rsidR="00B344B4" w:rsidRPr="00F05917" w:rsidRDefault="00946AAA"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72</w:t>
            </w:r>
          </w:p>
        </w:tc>
        <w:tc>
          <w:tcPr>
            <w:tcW w:w="284" w:type="dxa"/>
            <w:tcBorders>
              <w:top w:val="single" w:sz="4" w:space="0" w:color="auto"/>
            </w:tcBorders>
          </w:tcPr>
          <w:p w14:paraId="04AEB146" w14:textId="09A79926"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top w:val="single" w:sz="4" w:space="0" w:color="auto"/>
            </w:tcBorders>
          </w:tcPr>
          <w:p w14:paraId="3CD39057" w14:textId="7EC7F760" w:rsidR="00B344B4" w:rsidRPr="00F05917" w:rsidRDefault="00946AAA"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-0.06 (-0.10, -0.01)</w:t>
            </w:r>
          </w:p>
        </w:tc>
        <w:tc>
          <w:tcPr>
            <w:tcW w:w="567" w:type="dxa"/>
            <w:tcBorders>
              <w:top w:val="single" w:sz="4" w:space="0" w:color="auto"/>
            </w:tcBorders>
          </w:tcPr>
          <w:p w14:paraId="1B551F24" w14:textId="20FBB981"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34</w:t>
            </w:r>
          </w:p>
        </w:tc>
        <w:tc>
          <w:tcPr>
            <w:tcW w:w="1842" w:type="dxa"/>
            <w:tcBorders>
              <w:top w:val="single" w:sz="4" w:space="0" w:color="auto"/>
            </w:tcBorders>
          </w:tcPr>
          <w:p w14:paraId="2B987123" w14:textId="70D52848"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-0.03 (-0.07, 0.01)</w:t>
            </w:r>
          </w:p>
        </w:tc>
        <w:tc>
          <w:tcPr>
            <w:tcW w:w="709" w:type="dxa"/>
            <w:tcBorders>
              <w:top w:val="single" w:sz="4" w:space="0" w:color="auto"/>
            </w:tcBorders>
          </w:tcPr>
          <w:p w14:paraId="12390304" w14:textId="586A21D3"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54</w:t>
            </w:r>
          </w:p>
        </w:tc>
        <w:tc>
          <w:tcPr>
            <w:tcW w:w="1701" w:type="dxa"/>
            <w:tcBorders>
              <w:top w:val="single" w:sz="4" w:space="0" w:color="auto"/>
            </w:tcBorders>
          </w:tcPr>
          <w:p w14:paraId="303565E1" w14:textId="7CCB3F93"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0.05 (-0.10, 0.20)</w:t>
            </w:r>
          </w:p>
        </w:tc>
        <w:tc>
          <w:tcPr>
            <w:tcW w:w="709" w:type="dxa"/>
            <w:tcBorders>
              <w:top w:val="single" w:sz="4" w:space="0" w:color="auto"/>
            </w:tcBorders>
          </w:tcPr>
          <w:p w14:paraId="38EEC954" w14:textId="35E1F854"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31</w:t>
            </w:r>
          </w:p>
        </w:tc>
        <w:tc>
          <w:tcPr>
            <w:tcW w:w="1843" w:type="dxa"/>
            <w:tcBorders>
              <w:top w:val="single" w:sz="4" w:space="0" w:color="auto"/>
            </w:tcBorders>
          </w:tcPr>
          <w:p w14:paraId="3BC7FF62" w14:textId="6DB9CBDE" w:rsidR="00B344B4" w:rsidRPr="00F05917" w:rsidRDefault="00865748"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-0.02 (-0.10, 0.06)</w:t>
            </w:r>
          </w:p>
        </w:tc>
        <w:tc>
          <w:tcPr>
            <w:tcW w:w="708" w:type="dxa"/>
            <w:tcBorders>
              <w:top w:val="single" w:sz="4" w:space="0" w:color="auto"/>
            </w:tcBorders>
          </w:tcPr>
          <w:p w14:paraId="2523BF67" w14:textId="1D864E88" w:rsidR="00B344B4" w:rsidRPr="00F05917" w:rsidRDefault="00865748"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23</w:t>
            </w:r>
          </w:p>
        </w:tc>
      </w:tr>
      <w:tr w:rsidR="001D0750" w:rsidRPr="004F6EAB" w14:paraId="2D2B12BC" w14:textId="77777777" w:rsidTr="0009130E">
        <w:tc>
          <w:tcPr>
            <w:tcW w:w="856" w:type="dxa"/>
          </w:tcPr>
          <w:p w14:paraId="72A31263" w14:textId="187DA6B0" w:rsidR="001D0750" w:rsidRPr="00F05917" w:rsidRDefault="00B75CF5" w:rsidP="00B344B4">
            <w:pPr>
              <w:widowControl w:val="0"/>
              <w:autoSpaceDE w:val="0"/>
              <w:autoSpaceDN w:val="0"/>
              <w:adjustRightInd w:val="0"/>
              <w:spacing w:line="276" w:lineRule="auto"/>
              <w:rPr>
                <w:rFonts w:cstheme="minorHAnsi"/>
                <w:i/>
                <w:iCs/>
                <w:sz w:val="18"/>
                <w:szCs w:val="20"/>
              </w:rPr>
            </w:pPr>
            <w:r w:rsidRPr="00F05917">
              <w:rPr>
                <w:rFonts w:cstheme="minorHAnsi"/>
                <w:i/>
                <w:iCs/>
                <w:sz w:val="18"/>
                <w:szCs w:val="20"/>
              </w:rPr>
              <w:t>P-value</w:t>
            </w:r>
          </w:p>
        </w:tc>
        <w:tc>
          <w:tcPr>
            <w:tcW w:w="1843" w:type="dxa"/>
          </w:tcPr>
          <w:p w14:paraId="75056782" w14:textId="28103076" w:rsidR="001D0750" w:rsidRPr="00F05917" w:rsidRDefault="00276FCD"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0.06</w:t>
            </w:r>
          </w:p>
        </w:tc>
        <w:tc>
          <w:tcPr>
            <w:tcW w:w="709" w:type="dxa"/>
          </w:tcPr>
          <w:p w14:paraId="6B60D6B1" w14:textId="6C387124" w:rsidR="001D0750" w:rsidRPr="00F05917" w:rsidRDefault="00276FCD"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0.001</w:t>
            </w:r>
          </w:p>
        </w:tc>
        <w:tc>
          <w:tcPr>
            <w:tcW w:w="1838" w:type="dxa"/>
          </w:tcPr>
          <w:p w14:paraId="7D1936DD" w14:textId="5AC2A556" w:rsidR="001D0750" w:rsidRPr="00F05917" w:rsidRDefault="00F0591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0.47</w:t>
            </w:r>
          </w:p>
        </w:tc>
        <w:tc>
          <w:tcPr>
            <w:tcW w:w="713" w:type="dxa"/>
          </w:tcPr>
          <w:p w14:paraId="4B5AB226" w14:textId="2E166EC9" w:rsidR="001D0750" w:rsidRPr="00F05917" w:rsidRDefault="00F0591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0.001</w:t>
            </w:r>
          </w:p>
        </w:tc>
        <w:tc>
          <w:tcPr>
            <w:tcW w:w="284" w:type="dxa"/>
          </w:tcPr>
          <w:p w14:paraId="71712B00" w14:textId="77777777" w:rsidR="001D0750" w:rsidRPr="00F05917" w:rsidRDefault="001D0750" w:rsidP="00B344B4">
            <w:pPr>
              <w:widowControl w:val="0"/>
              <w:autoSpaceDE w:val="0"/>
              <w:autoSpaceDN w:val="0"/>
              <w:adjustRightInd w:val="0"/>
              <w:spacing w:line="276" w:lineRule="auto"/>
              <w:rPr>
                <w:rFonts w:cstheme="minorHAnsi"/>
                <w:sz w:val="18"/>
                <w:szCs w:val="20"/>
              </w:rPr>
            </w:pPr>
          </w:p>
        </w:tc>
        <w:tc>
          <w:tcPr>
            <w:tcW w:w="1843" w:type="dxa"/>
          </w:tcPr>
          <w:p w14:paraId="1D8B9EFB" w14:textId="30401BA1" w:rsidR="001D0750" w:rsidRPr="00F05917" w:rsidRDefault="0009130E" w:rsidP="00B344B4">
            <w:pPr>
              <w:widowControl w:val="0"/>
              <w:autoSpaceDE w:val="0"/>
              <w:autoSpaceDN w:val="0"/>
              <w:adjustRightInd w:val="0"/>
              <w:spacing w:line="276" w:lineRule="auto"/>
              <w:rPr>
                <w:rFonts w:cstheme="minorHAnsi"/>
                <w:sz w:val="18"/>
                <w:szCs w:val="20"/>
              </w:rPr>
            </w:pPr>
            <w:r>
              <w:rPr>
                <w:rFonts w:cstheme="minorHAnsi"/>
                <w:sz w:val="18"/>
                <w:szCs w:val="20"/>
              </w:rPr>
              <w:t>0.026</w:t>
            </w:r>
          </w:p>
        </w:tc>
        <w:tc>
          <w:tcPr>
            <w:tcW w:w="567" w:type="dxa"/>
          </w:tcPr>
          <w:p w14:paraId="105EBFF4" w14:textId="196615E5" w:rsidR="001D0750" w:rsidRPr="00F05917" w:rsidRDefault="0009130E" w:rsidP="00B344B4">
            <w:pPr>
              <w:widowControl w:val="0"/>
              <w:autoSpaceDE w:val="0"/>
              <w:autoSpaceDN w:val="0"/>
              <w:adjustRightInd w:val="0"/>
              <w:spacing w:line="276" w:lineRule="auto"/>
              <w:rPr>
                <w:rFonts w:cstheme="minorHAnsi"/>
                <w:sz w:val="18"/>
                <w:szCs w:val="20"/>
              </w:rPr>
            </w:pPr>
            <w:r>
              <w:rPr>
                <w:rFonts w:cstheme="minorHAnsi"/>
                <w:sz w:val="18"/>
                <w:szCs w:val="20"/>
              </w:rPr>
              <w:t>0.17</w:t>
            </w:r>
          </w:p>
        </w:tc>
        <w:tc>
          <w:tcPr>
            <w:tcW w:w="1842" w:type="dxa"/>
          </w:tcPr>
          <w:p w14:paraId="1DF6B308" w14:textId="27D009C4" w:rsidR="001D0750" w:rsidRPr="00F05917" w:rsidRDefault="0009130E" w:rsidP="00B344B4">
            <w:pPr>
              <w:widowControl w:val="0"/>
              <w:autoSpaceDE w:val="0"/>
              <w:autoSpaceDN w:val="0"/>
              <w:adjustRightInd w:val="0"/>
              <w:spacing w:line="276" w:lineRule="auto"/>
              <w:rPr>
                <w:rFonts w:cstheme="minorHAnsi"/>
                <w:sz w:val="18"/>
                <w:szCs w:val="20"/>
              </w:rPr>
            </w:pPr>
            <w:r>
              <w:rPr>
                <w:rFonts w:cstheme="minorHAnsi"/>
                <w:sz w:val="18"/>
                <w:szCs w:val="20"/>
              </w:rPr>
              <w:t>0.09</w:t>
            </w:r>
          </w:p>
        </w:tc>
        <w:tc>
          <w:tcPr>
            <w:tcW w:w="709" w:type="dxa"/>
          </w:tcPr>
          <w:p w14:paraId="1C3F0703" w14:textId="4AD5BF8C" w:rsidR="001D0750" w:rsidRPr="00F05917" w:rsidRDefault="0009130E" w:rsidP="00B344B4">
            <w:pPr>
              <w:widowControl w:val="0"/>
              <w:autoSpaceDE w:val="0"/>
              <w:autoSpaceDN w:val="0"/>
              <w:adjustRightInd w:val="0"/>
              <w:spacing w:line="276" w:lineRule="auto"/>
              <w:rPr>
                <w:rFonts w:cstheme="minorHAnsi"/>
                <w:sz w:val="18"/>
                <w:szCs w:val="20"/>
              </w:rPr>
            </w:pPr>
            <w:r>
              <w:rPr>
                <w:rFonts w:cstheme="minorHAnsi"/>
                <w:sz w:val="18"/>
                <w:szCs w:val="20"/>
              </w:rPr>
              <w:t>0.045</w:t>
            </w:r>
          </w:p>
        </w:tc>
        <w:tc>
          <w:tcPr>
            <w:tcW w:w="1701" w:type="dxa"/>
          </w:tcPr>
          <w:p w14:paraId="38FCAE0B" w14:textId="67BE1777" w:rsidR="001D0750" w:rsidRPr="00F05917" w:rsidRDefault="00611948" w:rsidP="00B344B4">
            <w:pPr>
              <w:widowControl w:val="0"/>
              <w:autoSpaceDE w:val="0"/>
              <w:autoSpaceDN w:val="0"/>
              <w:adjustRightInd w:val="0"/>
              <w:spacing w:line="276" w:lineRule="auto"/>
              <w:rPr>
                <w:rFonts w:cstheme="minorHAnsi"/>
                <w:sz w:val="18"/>
                <w:szCs w:val="20"/>
              </w:rPr>
            </w:pPr>
            <w:r>
              <w:rPr>
                <w:rFonts w:cstheme="minorHAnsi"/>
                <w:sz w:val="18"/>
                <w:szCs w:val="20"/>
              </w:rPr>
              <w:t>0.51</w:t>
            </w:r>
          </w:p>
        </w:tc>
        <w:tc>
          <w:tcPr>
            <w:tcW w:w="709" w:type="dxa"/>
          </w:tcPr>
          <w:p w14:paraId="50ADBF6D" w14:textId="7FFABE30" w:rsidR="001D0750" w:rsidRPr="00F05917" w:rsidRDefault="00611948" w:rsidP="00B344B4">
            <w:pPr>
              <w:widowControl w:val="0"/>
              <w:autoSpaceDE w:val="0"/>
              <w:autoSpaceDN w:val="0"/>
              <w:adjustRightInd w:val="0"/>
              <w:spacing w:line="276" w:lineRule="auto"/>
              <w:rPr>
                <w:rFonts w:cstheme="minorHAnsi"/>
                <w:sz w:val="18"/>
                <w:szCs w:val="20"/>
              </w:rPr>
            </w:pPr>
            <w:r>
              <w:rPr>
                <w:rFonts w:cstheme="minorHAnsi"/>
                <w:sz w:val="18"/>
                <w:szCs w:val="20"/>
              </w:rPr>
              <w:t>0.23</w:t>
            </w:r>
          </w:p>
        </w:tc>
        <w:tc>
          <w:tcPr>
            <w:tcW w:w="1843" w:type="dxa"/>
          </w:tcPr>
          <w:p w14:paraId="349593DD" w14:textId="04F4A695" w:rsidR="001D0750" w:rsidRPr="00F05917" w:rsidRDefault="00611948" w:rsidP="00B344B4">
            <w:pPr>
              <w:widowControl w:val="0"/>
              <w:autoSpaceDE w:val="0"/>
              <w:autoSpaceDN w:val="0"/>
              <w:adjustRightInd w:val="0"/>
              <w:spacing w:line="276" w:lineRule="auto"/>
              <w:rPr>
                <w:rFonts w:cstheme="minorHAnsi"/>
                <w:sz w:val="18"/>
                <w:szCs w:val="20"/>
              </w:rPr>
            </w:pPr>
            <w:r>
              <w:rPr>
                <w:rFonts w:cstheme="minorHAnsi"/>
                <w:sz w:val="18"/>
                <w:szCs w:val="20"/>
              </w:rPr>
              <w:t>0.60</w:t>
            </w:r>
          </w:p>
        </w:tc>
        <w:tc>
          <w:tcPr>
            <w:tcW w:w="708" w:type="dxa"/>
          </w:tcPr>
          <w:p w14:paraId="695641E6" w14:textId="795B42A6" w:rsidR="001D0750" w:rsidRPr="00F05917" w:rsidRDefault="00611948" w:rsidP="00B344B4">
            <w:pPr>
              <w:widowControl w:val="0"/>
              <w:autoSpaceDE w:val="0"/>
              <w:autoSpaceDN w:val="0"/>
              <w:adjustRightInd w:val="0"/>
              <w:spacing w:line="276" w:lineRule="auto"/>
              <w:rPr>
                <w:rFonts w:cstheme="minorHAnsi"/>
                <w:sz w:val="18"/>
                <w:szCs w:val="20"/>
              </w:rPr>
            </w:pPr>
            <w:r>
              <w:rPr>
                <w:rFonts w:cstheme="minorHAnsi"/>
                <w:sz w:val="18"/>
                <w:szCs w:val="20"/>
              </w:rPr>
              <w:t>0.26</w:t>
            </w:r>
          </w:p>
        </w:tc>
      </w:tr>
      <w:tr w:rsidR="004F6EAB" w:rsidRPr="004F6EAB" w14:paraId="1BDD1381" w14:textId="677298EC" w:rsidTr="0009130E">
        <w:tc>
          <w:tcPr>
            <w:tcW w:w="856" w:type="dxa"/>
            <w:tcBorders>
              <w:bottom w:val="single" w:sz="4" w:space="0" w:color="auto"/>
            </w:tcBorders>
          </w:tcPr>
          <w:p w14:paraId="023F79E7" w14:textId="112F6FE6"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Np/Nc</w:t>
            </w:r>
          </w:p>
        </w:tc>
        <w:tc>
          <w:tcPr>
            <w:tcW w:w="1843" w:type="dxa"/>
            <w:tcBorders>
              <w:bottom w:val="single" w:sz="4" w:space="0" w:color="auto"/>
            </w:tcBorders>
          </w:tcPr>
          <w:p w14:paraId="58344485" w14:textId="331980AE" w:rsidR="00B344B4" w:rsidRPr="00F05917" w:rsidRDefault="00832219"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23993/7</w:t>
            </w:r>
          </w:p>
        </w:tc>
        <w:tc>
          <w:tcPr>
            <w:tcW w:w="709" w:type="dxa"/>
            <w:tcBorders>
              <w:bottom w:val="single" w:sz="4" w:space="0" w:color="auto"/>
            </w:tcBorders>
          </w:tcPr>
          <w:p w14:paraId="68358599"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38" w:type="dxa"/>
            <w:tcBorders>
              <w:bottom w:val="single" w:sz="4" w:space="0" w:color="auto"/>
            </w:tcBorders>
          </w:tcPr>
          <w:p w14:paraId="685322E9" w14:textId="5262DB1D" w:rsidR="00B344B4" w:rsidRPr="00F05917" w:rsidRDefault="00946AAA"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24101/7</w:t>
            </w:r>
          </w:p>
        </w:tc>
        <w:tc>
          <w:tcPr>
            <w:tcW w:w="713" w:type="dxa"/>
            <w:tcBorders>
              <w:bottom w:val="single" w:sz="4" w:space="0" w:color="auto"/>
            </w:tcBorders>
          </w:tcPr>
          <w:p w14:paraId="0EA922D9" w14:textId="39292806" w:rsidR="00B344B4" w:rsidRPr="00F05917" w:rsidRDefault="00B344B4" w:rsidP="00B344B4">
            <w:pPr>
              <w:widowControl w:val="0"/>
              <w:autoSpaceDE w:val="0"/>
              <w:autoSpaceDN w:val="0"/>
              <w:adjustRightInd w:val="0"/>
              <w:spacing w:line="276" w:lineRule="auto"/>
              <w:rPr>
                <w:rFonts w:cstheme="minorHAnsi"/>
                <w:sz w:val="18"/>
                <w:szCs w:val="20"/>
              </w:rPr>
            </w:pPr>
          </w:p>
        </w:tc>
        <w:tc>
          <w:tcPr>
            <w:tcW w:w="284" w:type="dxa"/>
            <w:tcBorders>
              <w:bottom w:val="single" w:sz="4" w:space="0" w:color="auto"/>
            </w:tcBorders>
          </w:tcPr>
          <w:p w14:paraId="586F26CD" w14:textId="30FDAB80"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3B305E5D" w14:textId="603AC17E"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18953/7</w:t>
            </w:r>
          </w:p>
        </w:tc>
        <w:tc>
          <w:tcPr>
            <w:tcW w:w="567" w:type="dxa"/>
            <w:tcBorders>
              <w:bottom w:val="single" w:sz="4" w:space="0" w:color="auto"/>
            </w:tcBorders>
          </w:tcPr>
          <w:p w14:paraId="49A0F219"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2" w:type="dxa"/>
            <w:tcBorders>
              <w:bottom w:val="single" w:sz="4" w:space="0" w:color="auto"/>
            </w:tcBorders>
          </w:tcPr>
          <w:p w14:paraId="3E747A88" w14:textId="18B46C70"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18333/7</w:t>
            </w:r>
          </w:p>
        </w:tc>
        <w:tc>
          <w:tcPr>
            <w:tcW w:w="709" w:type="dxa"/>
            <w:tcBorders>
              <w:bottom w:val="single" w:sz="4" w:space="0" w:color="auto"/>
            </w:tcBorders>
          </w:tcPr>
          <w:p w14:paraId="158D77E5"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701" w:type="dxa"/>
            <w:tcBorders>
              <w:bottom w:val="single" w:sz="4" w:space="0" w:color="auto"/>
            </w:tcBorders>
          </w:tcPr>
          <w:p w14:paraId="6F3D406A" w14:textId="21017C5C"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2031/2</w:t>
            </w:r>
          </w:p>
        </w:tc>
        <w:tc>
          <w:tcPr>
            <w:tcW w:w="709" w:type="dxa"/>
            <w:tcBorders>
              <w:bottom w:val="single" w:sz="4" w:space="0" w:color="auto"/>
            </w:tcBorders>
          </w:tcPr>
          <w:p w14:paraId="2FECE951"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619989EA" w14:textId="65B7CB5C" w:rsidR="00B344B4" w:rsidRPr="00F05917" w:rsidRDefault="00865748"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3531/3</w:t>
            </w:r>
          </w:p>
        </w:tc>
        <w:tc>
          <w:tcPr>
            <w:tcW w:w="708" w:type="dxa"/>
            <w:tcBorders>
              <w:bottom w:val="single" w:sz="4" w:space="0" w:color="auto"/>
            </w:tcBorders>
          </w:tcPr>
          <w:p w14:paraId="32619304"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r>
      <w:tr w:rsidR="004F6EAB" w:rsidRPr="004F6EAB" w14:paraId="75AF92BE" w14:textId="6451CEE7" w:rsidTr="0009130E">
        <w:tc>
          <w:tcPr>
            <w:tcW w:w="856" w:type="dxa"/>
            <w:tcBorders>
              <w:top w:val="single" w:sz="4" w:space="0" w:color="auto"/>
            </w:tcBorders>
          </w:tcPr>
          <w:p w14:paraId="0B41EC0C" w14:textId="79246CDC" w:rsidR="00B344B4" w:rsidRPr="00F05917" w:rsidRDefault="00B344B4" w:rsidP="00B344B4">
            <w:pPr>
              <w:widowControl w:val="0"/>
              <w:autoSpaceDE w:val="0"/>
              <w:autoSpaceDN w:val="0"/>
              <w:adjustRightInd w:val="0"/>
              <w:spacing w:line="276" w:lineRule="auto"/>
              <w:rPr>
                <w:rFonts w:cstheme="minorHAnsi"/>
                <w:i/>
                <w:iCs/>
                <w:sz w:val="18"/>
                <w:szCs w:val="20"/>
              </w:rPr>
            </w:pPr>
            <w:r w:rsidRPr="00F05917">
              <w:rPr>
                <w:rFonts w:cstheme="minorHAnsi"/>
                <w:i/>
                <w:iCs/>
                <w:sz w:val="18"/>
                <w:szCs w:val="20"/>
              </w:rPr>
              <w:t>Early</w:t>
            </w:r>
          </w:p>
        </w:tc>
        <w:tc>
          <w:tcPr>
            <w:tcW w:w="1843" w:type="dxa"/>
            <w:tcBorders>
              <w:top w:val="single" w:sz="4" w:space="0" w:color="auto"/>
            </w:tcBorders>
          </w:tcPr>
          <w:p w14:paraId="7B0933F7" w14:textId="2884C6BC" w:rsidR="00B344B4" w:rsidRPr="00F05917" w:rsidRDefault="00300C8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-12.1 (-36.0, 11.9)</w:t>
            </w:r>
          </w:p>
        </w:tc>
        <w:tc>
          <w:tcPr>
            <w:tcW w:w="709" w:type="dxa"/>
            <w:tcBorders>
              <w:top w:val="single" w:sz="4" w:space="0" w:color="auto"/>
            </w:tcBorders>
          </w:tcPr>
          <w:p w14:paraId="2B1B7FFF" w14:textId="7AA0708B" w:rsidR="00B344B4" w:rsidRPr="00F05917" w:rsidRDefault="00300C8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77</w:t>
            </w:r>
          </w:p>
        </w:tc>
        <w:tc>
          <w:tcPr>
            <w:tcW w:w="1838" w:type="dxa"/>
            <w:tcBorders>
              <w:top w:val="single" w:sz="4" w:space="0" w:color="auto"/>
            </w:tcBorders>
          </w:tcPr>
          <w:p w14:paraId="590A1774" w14:textId="69356C2C" w:rsidR="00B344B4" w:rsidRPr="00F05917" w:rsidRDefault="00946AAA"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-0.03 (-0.10, 0.04)</w:t>
            </w:r>
          </w:p>
        </w:tc>
        <w:tc>
          <w:tcPr>
            <w:tcW w:w="713" w:type="dxa"/>
            <w:tcBorders>
              <w:top w:val="single" w:sz="4" w:space="0" w:color="auto"/>
            </w:tcBorders>
          </w:tcPr>
          <w:p w14:paraId="6F17D9BD" w14:textId="780A7CFA" w:rsidR="00B344B4" w:rsidRPr="00F05917" w:rsidRDefault="00946AAA"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70</w:t>
            </w:r>
          </w:p>
        </w:tc>
        <w:tc>
          <w:tcPr>
            <w:tcW w:w="284" w:type="dxa"/>
            <w:tcBorders>
              <w:top w:val="single" w:sz="4" w:space="0" w:color="auto"/>
            </w:tcBorders>
          </w:tcPr>
          <w:p w14:paraId="7332915B" w14:textId="7DAAF5C8"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top w:val="single" w:sz="4" w:space="0" w:color="auto"/>
            </w:tcBorders>
          </w:tcPr>
          <w:p w14:paraId="75FF568D" w14:textId="279FD580"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-0.05 (-0.13, 0.03)</w:t>
            </w:r>
          </w:p>
        </w:tc>
        <w:tc>
          <w:tcPr>
            <w:tcW w:w="567" w:type="dxa"/>
            <w:tcBorders>
              <w:top w:val="single" w:sz="4" w:space="0" w:color="auto"/>
            </w:tcBorders>
          </w:tcPr>
          <w:p w14:paraId="5FA86139" w14:textId="3CAF372B"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46</w:t>
            </w:r>
          </w:p>
        </w:tc>
        <w:tc>
          <w:tcPr>
            <w:tcW w:w="1842" w:type="dxa"/>
            <w:tcBorders>
              <w:top w:val="single" w:sz="4" w:space="0" w:color="auto"/>
            </w:tcBorders>
          </w:tcPr>
          <w:p w14:paraId="59A6A73D" w14:textId="588CA74D"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-0.03 (-0.09, 0.04)</w:t>
            </w:r>
          </w:p>
        </w:tc>
        <w:tc>
          <w:tcPr>
            <w:tcW w:w="709" w:type="dxa"/>
            <w:tcBorders>
              <w:top w:val="single" w:sz="4" w:space="0" w:color="auto"/>
            </w:tcBorders>
          </w:tcPr>
          <w:p w14:paraId="696ABFB3" w14:textId="45698605"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66</w:t>
            </w:r>
          </w:p>
        </w:tc>
        <w:tc>
          <w:tcPr>
            <w:tcW w:w="1701" w:type="dxa"/>
            <w:tcBorders>
              <w:top w:val="single" w:sz="4" w:space="0" w:color="auto"/>
            </w:tcBorders>
          </w:tcPr>
          <w:p w14:paraId="3F492F7D" w14:textId="2C408E7A"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0.04 (-0.15, 0.24)</w:t>
            </w:r>
          </w:p>
        </w:tc>
        <w:tc>
          <w:tcPr>
            <w:tcW w:w="709" w:type="dxa"/>
            <w:tcBorders>
              <w:top w:val="single" w:sz="4" w:space="0" w:color="auto"/>
            </w:tcBorders>
          </w:tcPr>
          <w:p w14:paraId="06E3B1D9" w14:textId="79DBED98"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48</w:t>
            </w:r>
          </w:p>
        </w:tc>
        <w:tc>
          <w:tcPr>
            <w:tcW w:w="1843" w:type="dxa"/>
            <w:tcBorders>
              <w:top w:val="single" w:sz="4" w:space="0" w:color="auto"/>
            </w:tcBorders>
          </w:tcPr>
          <w:p w14:paraId="4AB28421" w14:textId="12545E5F" w:rsidR="00B344B4" w:rsidRPr="00F05917" w:rsidRDefault="00865748"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-0.12 (-0.34, 0.10)</w:t>
            </w:r>
          </w:p>
        </w:tc>
        <w:tc>
          <w:tcPr>
            <w:tcW w:w="708" w:type="dxa"/>
            <w:tcBorders>
              <w:top w:val="single" w:sz="4" w:space="0" w:color="auto"/>
            </w:tcBorders>
          </w:tcPr>
          <w:p w14:paraId="317B5494" w14:textId="4227E772" w:rsidR="00B344B4" w:rsidRPr="00F05917" w:rsidRDefault="00865748"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44</w:t>
            </w:r>
          </w:p>
        </w:tc>
      </w:tr>
      <w:tr w:rsidR="001D0750" w:rsidRPr="004F6EAB" w14:paraId="2A79799B" w14:textId="77777777" w:rsidTr="0009130E">
        <w:tc>
          <w:tcPr>
            <w:tcW w:w="856" w:type="dxa"/>
          </w:tcPr>
          <w:p w14:paraId="362E4D95" w14:textId="3352AC3D" w:rsidR="001D0750" w:rsidRPr="00F05917" w:rsidRDefault="00B75CF5" w:rsidP="00B344B4">
            <w:pPr>
              <w:widowControl w:val="0"/>
              <w:autoSpaceDE w:val="0"/>
              <w:autoSpaceDN w:val="0"/>
              <w:adjustRightInd w:val="0"/>
              <w:spacing w:line="276" w:lineRule="auto"/>
              <w:rPr>
                <w:rFonts w:cstheme="minorHAnsi"/>
                <w:i/>
                <w:iCs/>
                <w:sz w:val="18"/>
                <w:szCs w:val="20"/>
              </w:rPr>
            </w:pPr>
            <w:r w:rsidRPr="00F05917">
              <w:rPr>
                <w:rFonts w:cstheme="minorHAnsi"/>
                <w:i/>
                <w:iCs/>
                <w:sz w:val="18"/>
                <w:szCs w:val="20"/>
              </w:rPr>
              <w:t>P-value</w:t>
            </w:r>
          </w:p>
        </w:tc>
        <w:tc>
          <w:tcPr>
            <w:tcW w:w="1843" w:type="dxa"/>
          </w:tcPr>
          <w:p w14:paraId="29631403" w14:textId="38DDFA1A" w:rsidR="001D0750" w:rsidRPr="00F05917" w:rsidRDefault="00276FCD"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0.32</w:t>
            </w:r>
          </w:p>
        </w:tc>
        <w:tc>
          <w:tcPr>
            <w:tcW w:w="709" w:type="dxa"/>
          </w:tcPr>
          <w:p w14:paraId="59038A7C" w14:textId="744F3684" w:rsidR="001D0750" w:rsidRPr="00F05917" w:rsidRDefault="00276FCD"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0.002</w:t>
            </w:r>
          </w:p>
        </w:tc>
        <w:tc>
          <w:tcPr>
            <w:tcW w:w="1838" w:type="dxa"/>
          </w:tcPr>
          <w:p w14:paraId="77E49740" w14:textId="1203F321" w:rsidR="001D0750" w:rsidRPr="00F05917" w:rsidRDefault="00F0591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0.43</w:t>
            </w:r>
          </w:p>
        </w:tc>
        <w:tc>
          <w:tcPr>
            <w:tcW w:w="713" w:type="dxa"/>
          </w:tcPr>
          <w:p w14:paraId="178B7B26" w14:textId="7CB40498" w:rsidR="001D0750" w:rsidRPr="00F05917" w:rsidRDefault="00F0591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0.010</w:t>
            </w:r>
          </w:p>
        </w:tc>
        <w:tc>
          <w:tcPr>
            <w:tcW w:w="284" w:type="dxa"/>
          </w:tcPr>
          <w:p w14:paraId="5D000EE2" w14:textId="77777777" w:rsidR="001D0750" w:rsidRPr="00F05917" w:rsidRDefault="001D0750" w:rsidP="00B344B4">
            <w:pPr>
              <w:widowControl w:val="0"/>
              <w:autoSpaceDE w:val="0"/>
              <w:autoSpaceDN w:val="0"/>
              <w:adjustRightInd w:val="0"/>
              <w:spacing w:line="276" w:lineRule="auto"/>
              <w:rPr>
                <w:rFonts w:cstheme="minorHAnsi"/>
                <w:sz w:val="18"/>
                <w:szCs w:val="20"/>
              </w:rPr>
            </w:pPr>
          </w:p>
        </w:tc>
        <w:tc>
          <w:tcPr>
            <w:tcW w:w="1843" w:type="dxa"/>
          </w:tcPr>
          <w:p w14:paraId="6647E923" w14:textId="71825327" w:rsidR="001D0750" w:rsidRPr="00F05917" w:rsidRDefault="0009130E" w:rsidP="00B344B4">
            <w:pPr>
              <w:widowControl w:val="0"/>
              <w:autoSpaceDE w:val="0"/>
              <w:autoSpaceDN w:val="0"/>
              <w:adjustRightInd w:val="0"/>
              <w:spacing w:line="276" w:lineRule="auto"/>
              <w:rPr>
                <w:rFonts w:cstheme="minorHAnsi"/>
                <w:sz w:val="18"/>
                <w:szCs w:val="20"/>
              </w:rPr>
            </w:pPr>
            <w:r>
              <w:rPr>
                <w:rFonts w:cstheme="minorHAnsi"/>
                <w:sz w:val="18"/>
                <w:szCs w:val="20"/>
              </w:rPr>
              <w:t>0.19</w:t>
            </w:r>
          </w:p>
        </w:tc>
        <w:tc>
          <w:tcPr>
            <w:tcW w:w="567" w:type="dxa"/>
          </w:tcPr>
          <w:p w14:paraId="6FC7D946" w14:textId="10EFB235" w:rsidR="001D0750" w:rsidRPr="00F05917" w:rsidRDefault="0009130E" w:rsidP="00B344B4">
            <w:pPr>
              <w:widowControl w:val="0"/>
              <w:autoSpaceDE w:val="0"/>
              <w:autoSpaceDN w:val="0"/>
              <w:adjustRightInd w:val="0"/>
              <w:spacing w:line="276" w:lineRule="auto"/>
              <w:rPr>
                <w:rFonts w:cstheme="minorHAnsi"/>
                <w:sz w:val="18"/>
                <w:szCs w:val="20"/>
              </w:rPr>
            </w:pPr>
            <w:r>
              <w:rPr>
                <w:rFonts w:cstheme="minorHAnsi"/>
                <w:sz w:val="18"/>
                <w:szCs w:val="20"/>
              </w:rPr>
              <w:t>0.12</w:t>
            </w:r>
          </w:p>
        </w:tc>
        <w:tc>
          <w:tcPr>
            <w:tcW w:w="1842" w:type="dxa"/>
          </w:tcPr>
          <w:p w14:paraId="60E75268" w14:textId="177BB608" w:rsidR="001D0750" w:rsidRPr="00F05917" w:rsidRDefault="00611948" w:rsidP="00B344B4">
            <w:pPr>
              <w:widowControl w:val="0"/>
              <w:autoSpaceDE w:val="0"/>
              <w:autoSpaceDN w:val="0"/>
              <w:adjustRightInd w:val="0"/>
              <w:spacing w:line="276" w:lineRule="auto"/>
              <w:rPr>
                <w:rFonts w:cstheme="minorHAnsi"/>
                <w:sz w:val="18"/>
                <w:szCs w:val="20"/>
              </w:rPr>
            </w:pPr>
            <w:r>
              <w:rPr>
                <w:rFonts w:cstheme="minorHAnsi"/>
                <w:sz w:val="18"/>
                <w:szCs w:val="20"/>
              </w:rPr>
              <w:t>0.41</w:t>
            </w:r>
          </w:p>
        </w:tc>
        <w:tc>
          <w:tcPr>
            <w:tcW w:w="709" w:type="dxa"/>
          </w:tcPr>
          <w:p w14:paraId="255142EA" w14:textId="42F67CC7" w:rsidR="001D0750" w:rsidRPr="00F05917" w:rsidRDefault="00611948" w:rsidP="00B344B4">
            <w:pPr>
              <w:widowControl w:val="0"/>
              <w:autoSpaceDE w:val="0"/>
              <w:autoSpaceDN w:val="0"/>
              <w:adjustRightInd w:val="0"/>
              <w:spacing w:line="276" w:lineRule="auto"/>
              <w:rPr>
                <w:rFonts w:cstheme="minorHAnsi"/>
                <w:sz w:val="18"/>
                <w:szCs w:val="20"/>
              </w:rPr>
            </w:pPr>
            <w:r>
              <w:rPr>
                <w:rFonts w:cstheme="minorHAnsi"/>
                <w:sz w:val="18"/>
                <w:szCs w:val="20"/>
              </w:rPr>
              <w:t>0.019</w:t>
            </w:r>
          </w:p>
        </w:tc>
        <w:tc>
          <w:tcPr>
            <w:tcW w:w="1701" w:type="dxa"/>
          </w:tcPr>
          <w:p w14:paraId="3980CA66" w14:textId="1A7F4324" w:rsidR="001D0750" w:rsidRPr="00F05917" w:rsidRDefault="00611948" w:rsidP="00B344B4">
            <w:pPr>
              <w:widowControl w:val="0"/>
              <w:autoSpaceDE w:val="0"/>
              <w:autoSpaceDN w:val="0"/>
              <w:adjustRightInd w:val="0"/>
              <w:spacing w:line="276" w:lineRule="auto"/>
              <w:rPr>
                <w:rFonts w:cstheme="minorHAnsi"/>
                <w:sz w:val="18"/>
                <w:szCs w:val="20"/>
              </w:rPr>
            </w:pPr>
            <w:r>
              <w:rPr>
                <w:rFonts w:cstheme="minorHAnsi"/>
                <w:sz w:val="18"/>
                <w:szCs w:val="20"/>
              </w:rPr>
              <w:t>0.66</w:t>
            </w:r>
          </w:p>
        </w:tc>
        <w:tc>
          <w:tcPr>
            <w:tcW w:w="709" w:type="dxa"/>
          </w:tcPr>
          <w:p w14:paraId="1CE17829" w14:textId="71551C8F" w:rsidR="001D0750" w:rsidRPr="00F05917" w:rsidRDefault="00611948" w:rsidP="00B344B4">
            <w:pPr>
              <w:widowControl w:val="0"/>
              <w:autoSpaceDE w:val="0"/>
              <w:autoSpaceDN w:val="0"/>
              <w:adjustRightInd w:val="0"/>
              <w:spacing w:line="276" w:lineRule="auto"/>
              <w:rPr>
                <w:rFonts w:cstheme="minorHAnsi"/>
                <w:sz w:val="18"/>
                <w:szCs w:val="20"/>
              </w:rPr>
            </w:pPr>
            <w:r>
              <w:rPr>
                <w:rFonts w:cstheme="minorHAnsi"/>
                <w:sz w:val="18"/>
                <w:szCs w:val="20"/>
              </w:rPr>
              <w:t>0.16</w:t>
            </w:r>
          </w:p>
        </w:tc>
        <w:tc>
          <w:tcPr>
            <w:tcW w:w="1843" w:type="dxa"/>
          </w:tcPr>
          <w:p w14:paraId="10CB6CDA" w14:textId="571F3417" w:rsidR="001D0750" w:rsidRPr="00F05917" w:rsidRDefault="00611948" w:rsidP="00B344B4">
            <w:pPr>
              <w:widowControl w:val="0"/>
              <w:autoSpaceDE w:val="0"/>
              <w:autoSpaceDN w:val="0"/>
              <w:adjustRightInd w:val="0"/>
              <w:spacing w:line="276" w:lineRule="auto"/>
              <w:rPr>
                <w:rFonts w:cstheme="minorHAnsi"/>
                <w:sz w:val="18"/>
                <w:szCs w:val="20"/>
              </w:rPr>
            </w:pPr>
            <w:r>
              <w:rPr>
                <w:rFonts w:cstheme="minorHAnsi"/>
                <w:sz w:val="18"/>
                <w:szCs w:val="20"/>
              </w:rPr>
              <w:t>0.30</w:t>
            </w:r>
          </w:p>
        </w:tc>
        <w:tc>
          <w:tcPr>
            <w:tcW w:w="708" w:type="dxa"/>
          </w:tcPr>
          <w:p w14:paraId="671BA443" w14:textId="57360D03" w:rsidR="001D0750" w:rsidRPr="00F05917" w:rsidRDefault="00611948" w:rsidP="00B344B4">
            <w:pPr>
              <w:widowControl w:val="0"/>
              <w:autoSpaceDE w:val="0"/>
              <w:autoSpaceDN w:val="0"/>
              <w:adjustRightInd w:val="0"/>
              <w:spacing w:line="276" w:lineRule="auto"/>
              <w:rPr>
                <w:rFonts w:cstheme="minorHAnsi"/>
                <w:sz w:val="18"/>
                <w:szCs w:val="20"/>
              </w:rPr>
            </w:pPr>
            <w:r>
              <w:rPr>
                <w:rFonts w:cstheme="minorHAnsi"/>
                <w:sz w:val="18"/>
                <w:szCs w:val="20"/>
              </w:rPr>
              <w:t>0.18</w:t>
            </w:r>
          </w:p>
        </w:tc>
      </w:tr>
      <w:tr w:rsidR="004F6EAB" w:rsidRPr="004F6EAB" w14:paraId="2D29ACD2" w14:textId="63687161" w:rsidTr="0009130E">
        <w:tc>
          <w:tcPr>
            <w:tcW w:w="856" w:type="dxa"/>
            <w:tcBorders>
              <w:bottom w:val="single" w:sz="4" w:space="0" w:color="auto"/>
            </w:tcBorders>
          </w:tcPr>
          <w:p w14:paraId="6B9D7609" w14:textId="63E487FE"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Np/Nc</w:t>
            </w:r>
          </w:p>
        </w:tc>
        <w:tc>
          <w:tcPr>
            <w:tcW w:w="1843" w:type="dxa"/>
            <w:tcBorders>
              <w:bottom w:val="single" w:sz="4" w:space="0" w:color="auto"/>
            </w:tcBorders>
          </w:tcPr>
          <w:p w14:paraId="12C63095" w14:textId="22358FC1" w:rsidR="00B344B4" w:rsidRPr="00F05917" w:rsidRDefault="00300C8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 xml:space="preserve">10863/5 </w:t>
            </w:r>
          </w:p>
        </w:tc>
        <w:tc>
          <w:tcPr>
            <w:tcW w:w="709" w:type="dxa"/>
            <w:tcBorders>
              <w:bottom w:val="single" w:sz="4" w:space="0" w:color="auto"/>
            </w:tcBorders>
          </w:tcPr>
          <w:p w14:paraId="58427A9A"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38" w:type="dxa"/>
            <w:tcBorders>
              <w:bottom w:val="single" w:sz="4" w:space="0" w:color="auto"/>
            </w:tcBorders>
          </w:tcPr>
          <w:p w14:paraId="096641D0" w14:textId="7285F878" w:rsidR="00B344B4" w:rsidRPr="00F05917" w:rsidRDefault="00946AAA"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10825/5</w:t>
            </w:r>
          </w:p>
        </w:tc>
        <w:tc>
          <w:tcPr>
            <w:tcW w:w="713" w:type="dxa"/>
            <w:tcBorders>
              <w:bottom w:val="single" w:sz="4" w:space="0" w:color="auto"/>
            </w:tcBorders>
          </w:tcPr>
          <w:p w14:paraId="57EEF396" w14:textId="7AF13057" w:rsidR="00B344B4" w:rsidRPr="00F05917" w:rsidRDefault="00B344B4" w:rsidP="00B344B4">
            <w:pPr>
              <w:widowControl w:val="0"/>
              <w:autoSpaceDE w:val="0"/>
              <w:autoSpaceDN w:val="0"/>
              <w:adjustRightInd w:val="0"/>
              <w:spacing w:line="276" w:lineRule="auto"/>
              <w:rPr>
                <w:rFonts w:cstheme="minorHAnsi"/>
                <w:sz w:val="18"/>
                <w:szCs w:val="20"/>
              </w:rPr>
            </w:pPr>
          </w:p>
        </w:tc>
        <w:tc>
          <w:tcPr>
            <w:tcW w:w="284" w:type="dxa"/>
            <w:tcBorders>
              <w:bottom w:val="single" w:sz="4" w:space="0" w:color="auto"/>
            </w:tcBorders>
          </w:tcPr>
          <w:p w14:paraId="32F77033" w14:textId="01092C23"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599831BD" w14:textId="7F0A1B26"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8381/5</w:t>
            </w:r>
          </w:p>
        </w:tc>
        <w:tc>
          <w:tcPr>
            <w:tcW w:w="567" w:type="dxa"/>
            <w:tcBorders>
              <w:bottom w:val="single" w:sz="4" w:space="0" w:color="auto"/>
            </w:tcBorders>
          </w:tcPr>
          <w:p w14:paraId="3EB8F800"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2" w:type="dxa"/>
            <w:tcBorders>
              <w:bottom w:val="single" w:sz="4" w:space="0" w:color="auto"/>
            </w:tcBorders>
          </w:tcPr>
          <w:p w14:paraId="590EF7C2" w14:textId="4FF3FE89"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7640/5</w:t>
            </w:r>
          </w:p>
        </w:tc>
        <w:tc>
          <w:tcPr>
            <w:tcW w:w="709" w:type="dxa"/>
            <w:tcBorders>
              <w:bottom w:val="single" w:sz="4" w:space="0" w:color="auto"/>
            </w:tcBorders>
          </w:tcPr>
          <w:p w14:paraId="2E43AC90"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701" w:type="dxa"/>
            <w:tcBorders>
              <w:bottom w:val="single" w:sz="4" w:space="0" w:color="auto"/>
            </w:tcBorders>
          </w:tcPr>
          <w:p w14:paraId="753FD70B" w14:textId="4B632FCF"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2129/2</w:t>
            </w:r>
          </w:p>
        </w:tc>
        <w:tc>
          <w:tcPr>
            <w:tcW w:w="709" w:type="dxa"/>
            <w:tcBorders>
              <w:bottom w:val="single" w:sz="4" w:space="0" w:color="auto"/>
            </w:tcBorders>
          </w:tcPr>
          <w:p w14:paraId="41408545"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01016999" w14:textId="29F5105D" w:rsidR="00B344B4" w:rsidRPr="00F05917" w:rsidRDefault="00865748"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2082/2</w:t>
            </w:r>
          </w:p>
        </w:tc>
        <w:tc>
          <w:tcPr>
            <w:tcW w:w="708" w:type="dxa"/>
            <w:tcBorders>
              <w:bottom w:val="single" w:sz="4" w:space="0" w:color="auto"/>
            </w:tcBorders>
          </w:tcPr>
          <w:p w14:paraId="38D2783F"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r>
      <w:tr w:rsidR="004F6EAB" w:rsidRPr="004F6EAB" w14:paraId="1D8C50D5" w14:textId="7D5BD2D6" w:rsidTr="0009130E">
        <w:tc>
          <w:tcPr>
            <w:tcW w:w="856" w:type="dxa"/>
            <w:tcBorders>
              <w:top w:val="single" w:sz="4" w:space="0" w:color="auto"/>
            </w:tcBorders>
          </w:tcPr>
          <w:p w14:paraId="4D490E49" w14:textId="6F21303B" w:rsidR="00B344B4" w:rsidRPr="00F05917" w:rsidRDefault="00B344B4" w:rsidP="00B344B4">
            <w:pPr>
              <w:widowControl w:val="0"/>
              <w:autoSpaceDE w:val="0"/>
              <w:autoSpaceDN w:val="0"/>
              <w:adjustRightInd w:val="0"/>
              <w:spacing w:line="276" w:lineRule="auto"/>
              <w:rPr>
                <w:rFonts w:cstheme="minorHAnsi"/>
                <w:i/>
                <w:iCs/>
                <w:sz w:val="18"/>
                <w:szCs w:val="20"/>
              </w:rPr>
            </w:pPr>
            <w:r w:rsidRPr="00F05917">
              <w:rPr>
                <w:rFonts w:cstheme="minorHAnsi"/>
                <w:i/>
                <w:iCs/>
                <w:sz w:val="18"/>
                <w:szCs w:val="20"/>
              </w:rPr>
              <w:t>Late</w:t>
            </w:r>
          </w:p>
        </w:tc>
        <w:tc>
          <w:tcPr>
            <w:tcW w:w="1843" w:type="dxa"/>
            <w:tcBorders>
              <w:top w:val="single" w:sz="4" w:space="0" w:color="auto"/>
            </w:tcBorders>
          </w:tcPr>
          <w:p w14:paraId="06B5F006" w14:textId="019DCA88" w:rsidR="00B344B4" w:rsidRPr="00F05917" w:rsidRDefault="00300C8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-15.2 (-30.7, 0.3)</w:t>
            </w:r>
          </w:p>
        </w:tc>
        <w:tc>
          <w:tcPr>
            <w:tcW w:w="709" w:type="dxa"/>
            <w:tcBorders>
              <w:top w:val="single" w:sz="4" w:space="0" w:color="auto"/>
            </w:tcBorders>
          </w:tcPr>
          <w:p w14:paraId="0CC5C011" w14:textId="1CDFCDF0" w:rsidR="00B344B4" w:rsidRPr="00F05917" w:rsidRDefault="00300C8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58</w:t>
            </w:r>
          </w:p>
        </w:tc>
        <w:tc>
          <w:tcPr>
            <w:tcW w:w="1838" w:type="dxa"/>
            <w:tcBorders>
              <w:top w:val="single" w:sz="4" w:space="0" w:color="auto"/>
            </w:tcBorders>
          </w:tcPr>
          <w:p w14:paraId="19661442" w14:textId="21D6E234" w:rsidR="00B344B4" w:rsidRPr="00F05917" w:rsidRDefault="00946AAA"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0.004 (-0.06, 0.07)</w:t>
            </w:r>
          </w:p>
        </w:tc>
        <w:tc>
          <w:tcPr>
            <w:tcW w:w="713" w:type="dxa"/>
            <w:tcBorders>
              <w:top w:val="single" w:sz="4" w:space="0" w:color="auto"/>
            </w:tcBorders>
          </w:tcPr>
          <w:p w14:paraId="75A491EF" w14:textId="7C4749C0" w:rsidR="00B344B4" w:rsidRPr="00F05917" w:rsidRDefault="00946AAA"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75</w:t>
            </w:r>
          </w:p>
        </w:tc>
        <w:tc>
          <w:tcPr>
            <w:tcW w:w="284" w:type="dxa"/>
            <w:tcBorders>
              <w:top w:val="single" w:sz="4" w:space="0" w:color="auto"/>
            </w:tcBorders>
          </w:tcPr>
          <w:p w14:paraId="7C23F7C6" w14:textId="22A3F59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top w:val="single" w:sz="4" w:space="0" w:color="auto"/>
            </w:tcBorders>
          </w:tcPr>
          <w:p w14:paraId="0AE551EE" w14:textId="55E54615"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-0.05 (-0.09, -0.01)</w:t>
            </w:r>
          </w:p>
        </w:tc>
        <w:tc>
          <w:tcPr>
            <w:tcW w:w="567" w:type="dxa"/>
            <w:tcBorders>
              <w:top w:val="single" w:sz="4" w:space="0" w:color="auto"/>
            </w:tcBorders>
          </w:tcPr>
          <w:p w14:paraId="1A84D9A0" w14:textId="579C37F0"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842" w:type="dxa"/>
            <w:tcBorders>
              <w:top w:val="single" w:sz="4" w:space="0" w:color="auto"/>
            </w:tcBorders>
          </w:tcPr>
          <w:p w14:paraId="759D9182" w14:textId="57BE6CDE"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-0.03 (-0.06, -0.01)</w:t>
            </w:r>
          </w:p>
        </w:tc>
        <w:tc>
          <w:tcPr>
            <w:tcW w:w="709" w:type="dxa"/>
            <w:tcBorders>
              <w:top w:val="single" w:sz="4" w:space="0" w:color="auto"/>
            </w:tcBorders>
          </w:tcPr>
          <w:p w14:paraId="38E425E2" w14:textId="5B376683"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701" w:type="dxa"/>
            <w:tcBorders>
              <w:top w:val="single" w:sz="4" w:space="0" w:color="auto"/>
            </w:tcBorders>
          </w:tcPr>
          <w:p w14:paraId="238E1A1B" w14:textId="57DBF3EB"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-0.02 (-0.10, 0.07)</w:t>
            </w:r>
          </w:p>
        </w:tc>
        <w:tc>
          <w:tcPr>
            <w:tcW w:w="709" w:type="dxa"/>
            <w:tcBorders>
              <w:top w:val="single" w:sz="4" w:space="0" w:color="auto"/>
            </w:tcBorders>
          </w:tcPr>
          <w:p w14:paraId="7BD7BB7C" w14:textId="44CB0DCC"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w:t>
            </w:r>
          </w:p>
        </w:tc>
        <w:tc>
          <w:tcPr>
            <w:tcW w:w="1843" w:type="dxa"/>
            <w:tcBorders>
              <w:top w:val="single" w:sz="4" w:space="0" w:color="auto"/>
            </w:tcBorders>
          </w:tcPr>
          <w:p w14:paraId="6DAF11CD" w14:textId="02D4EAEF" w:rsidR="00B344B4" w:rsidRPr="00F05917" w:rsidRDefault="00865748"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0.01 (-0.04, 0.07)</w:t>
            </w:r>
          </w:p>
        </w:tc>
        <w:tc>
          <w:tcPr>
            <w:tcW w:w="708" w:type="dxa"/>
            <w:tcBorders>
              <w:top w:val="single" w:sz="4" w:space="0" w:color="auto"/>
            </w:tcBorders>
          </w:tcPr>
          <w:p w14:paraId="46B466A9" w14:textId="7833F681" w:rsidR="00B344B4" w:rsidRPr="00F05917" w:rsidRDefault="00865748"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r>
      <w:tr w:rsidR="001D0750" w:rsidRPr="004F6EAB" w14:paraId="45F653CC" w14:textId="77777777" w:rsidTr="0009130E">
        <w:tc>
          <w:tcPr>
            <w:tcW w:w="856" w:type="dxa"/>
          </w:tcPr>
          <w:p w14:paraId="302D2D39" w14:textId="3C989035" w:rsidR="001D0750" w:rsidRPr="00F05917" w:rsidRDefault="00B75CF5" w:rsidP="00B344B4">
            <w:pPr>
              <w:widowControl w:val="0"/>
              <w:autoSpaceDE w:val="0"/>
              <w:autoSpaceDN w:val="0"/>
              <w:adjustRightInd w:val="0"/>
              <w:spacing w:line="276" w:lineRule="auto"/>
              <w:rPr>
                <w:rFonts w:cstheme="minorHAnsi"/>
                <w:i/>
                <w:iCs/>
                <w:sz w:val="18"/>
                <w:szCs w:val="20"/>
              </w:rPr>
            </w:pPr>
            <w:r w:rsidRPr="00F05917">
              <w:rPr>
                <w:rFonts w:cstheme="minorHAnsi"/>
                <w:i/>
                <w:iCs/>
                <w:sz w:val="18"/>
                <w:szCs w:val="20"/>
              </w:rPr>
              <w:t>P-value</w:t>
            </w:r>
          </w:p>
        </w:tc>
        <w:tc>
          <w:tcPr>
            <w:tcW w:w="1843" w:type="dxa"/>
          </w:tcPr>
          <w:p w14:paraId="502CB7C7" w14:textId="12E4CDFE" w:rsidR="001D0750" w:rsidRPr="00F05917" w:rsidRDefault="00276FCD"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0.06</w:t>
            </w:r>
          </w:p>
        </w:tc>
        <w:tc>
          <w:tcPr>
            <w:tcW w:w="709" w:type="dxa"/>
          </w:tcPr>
          <w:p w14:paraId="5E931F7D" w14:textId="32917560" w:rsidR="001D0750" w:rsidRPr="00F05917" w:rsidRDefault="00276FCD"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0.09</w:t>
            </w:r>
          </w:p>
        </w:tc>
        <w:tc>
          <w:tcPr>
            <w:tcW w:w="1838" w:type="dxa"/>
          </w:tcPr>
          <w:p w14:paraId="4D2BE237" w14:textId="2D50D811" w:rsidR="001D0750" w:rsidRPr="00F05917" w:rsidRDefault="00F0591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0.90</w:t>
            </w:r>
          </w:p>
        </w:tc>
        <w:tc>
          <w:tcPr>
            <w:tcW w:w="713" w:type="dxa"/>
          </w:tcPr>
          <w:p w14:paraId="27922FB9" w14:textId="5C4A0ECF" w:rsidR="001D0750" w:rsidRPr="00F05917" w:rsidRDefault="00F0591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0.019</w:t>
            </w:r>
          </w:p>
        </w:tc>
        <w:tc>
          <w:tcPr>
            <w:tcW w:w="284" w:type="dxa"/>
          </w:tcPr>
          <w:p w14:paraId="2E3D9A95" w14:textId="77777777" w:rsidR="001D0750" w:rsidRPr="00F05917" w:rsidRDefault="001D0750" w:rsidP="00B344B4">
            <w:pPr>
              <w:widowControl w:val="0"/>
              <w:autoSpaceDE w:val="0"/>
              <w:autoSpaceDN w:val="0"/>
              <w:adjustRightInd w:val="0"/>
              <w:spacing w:line="276" w:lineRule="auto"/>
              <w:rPr>
                <w:rFonts w:cstheme="minorHAnsi"/>
                <w:sz w:val="18"/>
                <w:szCs w:val="20"/>
              </w:rPr>
            </w:pPr>
          </w:p>
        </w:tc>
        <w:tc>
          <w:tcPr>
            <w:tcW w:w="1843" w:type="dxa"/>
          </w:tcPr>
          <w:p w14:paraId="0C601FD2" w14:textId="49F98296" w:rsidR="001D0750" w:rsidRPr="00F05917" w:rsidRDefault="0009130E" w:rsidP="00B344B4">
            <w:pPr>
              <w:widowControl w:val="0"/>
              <w:autoSpaceDE w:val="0"/>
              <w:autoSpaceDN w:val="0"/>
              <w:adjustRightInd w:val="0"/>
              <w:spacing w:line="276" w:lineRule="auto"/>
              <w:rPr>
                <w:rFonts w:cstheme="minorHAnsi"/>
                <w:sz w:val="18"/>
                <w:szCs w:val="20"/>
              </w:rPr>
            </w:pPr>
            <w:r>
              <w:rPr>
                <w:rFonts w:cstheme="minorHAnsi"/>
                <w:sz w:val="18"/>
                <w:szCs w:val="20"/>
              </w:rPr>
              <w:t>0.015</w:t>
            </w:r>
          </w:p>
        </w:tc>
        <w:tc>
          <w:tcPr>
            <w:tcW w:w="567" w:type="dxa"/>
          </w:tcPr>
          <w:p w14:paraId="5EB17F06" w14:textId="1FFA110F" w:rsidR="001D0750" w:rsidRPr="00F05917" w:rsidRDefault="0009130E" w:rsidP="00B344B4">
            <w:pPr>
              <w:widowControl w:val="0"/>
              <w:autoSpaceDE w:val="0"/>
              <w:autoSpaceDN w:val="0"/>
              <w:adjustRightInd w:val="0"/>
              <w:spacing w:line="276" w:lineRule="auto"/>
              <w:rPr>
                <w:rFonts w:cstheme="minorHAnsi"/>
                <w:sz w:val="18"/>
                <w:szCs w:val="20"/>
              </w:rPr>
            </w:pPr>
            <w:r>
              <w:rPr>
                <w:rFonts w:cstheme="minorHAnsi"/>
                <w:sz w:val="18"/>
                <w:szCs w:val="20"/>
              </w:rPr>
              <w:t>0.56</w:t>
            </w:r>
          </w:p>
        </w:tc>
        <w:tc>
          <w:tcPr>
            <w:tcW w:w="1842" w:type="dxa"/>
          </w:tcPr>
          <w:p w14:paraId="5A62EACF" w14:textId="28C5F4C6" w:rsidR="001D0750" w:rsidRPr="00F05917" w:rsidRDefault="00611948" w:rsidP="00B344B4">
            <w:pPr>
              <w:widowControl w:val="0"/>
              <w:autoSpaceDE w:val="0"/>
              <w:autoSpaceDN w:val="0"/>
              <w:adjustRightInd w:val="0"/>
              <w:spacing w:line="276" w:lineRule="auto"/>
              <w:rPr>
                <w:rFonts w:cstheme="minorHAnsi"/>
                <w:sz w:val="18"/>
                <w:szCs w:val="20"/>
              </w:rPr>
            </w:pPr>
            <w:r>
              <w:rPr>
                <w:rFonts w:cstheme="minorHAnsi"/>
                <w:sz w:val="18"/>
                <w:szCs w:val="20"/>
              </w:rPr>
              <w:t>0.016</w:t>
            </w:r>
          </w:p>
        </w:tc>
        <w:tc>
          <w:tcPr>
            <w:tcW w:w="709" w:type="dxa"/>
          </w:tcPr>
          <w:p w14:paraId="1FD6FB0A" w14:textId="430DEA9D" w:rsidR="001D0750" w:rsidRPr="00F05917" w:rsidRDefault="00611948" w:rsidP="00B344B4">
            <w:pPr>
              <w:widowControl w:val="0"/>
              <w:autoSpaceDE w:val="0"/>
              <w:autoSpaceDN w:val="0"/>
              <w:adjustRightInd w:val="0"/>
              <w:spacing w:line="276" w:lineRule="auto"/>
              <w:rPr>
                <w:rFonts w:cstheme="minorHAnsi"/>
                <w:sz w:val="18"/>
                <w:szCs w:val="20"/>
              </w:rPr>
            </w:pPr>
            <w:r>
              <w:rPr>
                <w:rFonts w:cstheme="minorHAnsi"/>
                <w:sz w:val="18"/>
                <w:szCs w:val="20"/>
              </w:rPr>
              <w:t>0.51</w:t>
            </w:r>
          </w:p>
        </w:tc>
        <w:tc>
          <w:tcPr>
            <w:tcW w:w="1701" w:type="dxa"/>
          </w:tcPr>
          <w:p w14:paraId="1569816E" w14:textId="1EA6DD40" w:rsidR="001D0750" w:rsidRPr="00F05917" w:rsidRDefault="00611948" w:rsidP="00B344B4">
            <w:pPr>
              <w:widowControl w:val="0"/>
              <w:autoSpaceDE w:val="0"/>
              <w:autoSpaceDN w:val="0"/>
              <w:adjustRightInd w:val="0"/>
              <w:spacing w:line="276" w:lineRule="auto"/>
              <w:rPr>
                <w:rFonts w:cstheme="minorHAnsi"/>
                <w:sz w:val="18"/>
                <w:szCs w:val="20"/>
              </w:rPr>
            </w:pPr>
            <w:r>
              <w:rPr>
                <w:rFonts w:cstheme="minorHAnsi"/>
                <w:sz w:val="18"/>
                <w:szCs w:val="20"/>
              </w:rPr>
              <w:t>0.70</w:t>
            </w:r>
          </w:p>
        </w:tc>
        <w:tc>
          <w:tcPr>
            <w:tcW w:w="709" w:type="dxa"/>
          </w:tcPr>
          <w:p w14:paraId="0B9727CA" w14:textId="04100C86" w:rsidR="001D0750" w:rsidRPr="00F05917" w:rsidRDefault="00611948" w:rsidP="00B344B4">
            <w:pPr>
              <w:widowControl w:val="0"/>
              <w:autoSpaceDE w:val="0"/>
              <w:autoSpaceDN w:val="0"/>
              <w:adjustRightInd w:val="0"/>
              <w:spacing w:line="276" w:lineRule="auto"/>
              <w:rPr>
                <w:rFonts w:cstheme="minorHAnsi"/>
                <w:sz w:val="18"/>
                <w:szCs w:val="20"/>
              </w:rPr>
            </w:pPr>
            <w:r>
              <w:rPr>
                <w:rFonts w:cstheme="minorHAnsi"/>
                <w:sz w:val="18"/>
                <w:szCs w:val="20"/>
              </w:rPr>
              <w:t>-</w:t>
            </w:r>
          </w:p>
        </w:tc>
        <w:tc>
          <w:tcPr>
            <w:tcW w:w="1843" w:type="dxa"/>
          </w:tcPr>
          <w:p w14:paraId="40DE2728" w14:textId="36AC3EA8" w:rsidR="001D0750" w:rsidRPr="00F05917" w:rsidRDefault="00611948" w:rsidP="00B344B4">
            <w:pPr>
              <w:widowControl w:val="0"/>
              <w:autoSpaceDE w:val="0"/>
              <w:autoSpaceDN w:val="0"/>
              <w:adjustRightInd w:val="0"/>
              <w:spacing w:line="276" w:lineRule="auto"/>
              <w:rPr>
                <w:rFonts w:cstheme="minorHAnsi"/>
                <w:sz w:val="18"/>
                <w:szCs w:val="20"/>
              </w:rPr>
            </w:pPr>
            <w:r>
              <w:rPr>
                <w:rFonts w:cstheme="minorHAnsi"/>
                <w:sz w:val="18"/>
                <w:szCs w:val="20"/>
              </w:rPr>
              <w:t>0.66</w:t>
            </w:r>
          </w:p>
        </w:tc>
        <w:tc>
          <w:tcPr>
            <w:tcW w:w="708" w:type="dxa"/>
          </w:tcPr>
          <w:p w14:paraId="2590FAE8" w14:textId="1D8479DA" w:rsidR="001D0750" w:rsidRPr="00F05917" w:rsidRDefault="00611948" w:rsidP="00B344B4">
            <w:pPr>
              <w:widowControl w:val="0"/>
              <w:autoSpaceDE w:val="0"/>
              <w:autoSpaceDN w:val="0"/>
              <w:adjustRightInd w:val="0"/>
              <w:spacing w:line="276" w:lineRule="auto"/>
              <w:rPr>
                <w:rFonts w:cstheme="minorHAnsi"/>
                <w:sz w:val="18"/>
                <w:szCs w:val="20"/>
              </w:rPr>
            </w:pPr>
            <w:r>
              <w:rPr>
                <w:rFonts w:cstheme="minorHAnsi"/>
                <w:sz w:val="18"/>
                <w:szCs w:val="20"/>
              </w:rPr>
              <w:t>0.77</w:t>
            </w:r>
          </w:p>
        </w:tc>
      </w:tr>
      <w:tr w:rsidR="004F6EAB" w:rsidRPr="004F6EAB" w14:paraId="482BA5EA" w14:textId="77777777" w:rsidTr="0009130E">
        <w:tc>
          <w:tcPr>
            <w:tcW w:w="856" w:type="dxa"/>
            <w:tcBorders>
              <w:bottom w:val="single" w:sz="4" w:space="0" w:color="auto"/>
            </w:tcBorders>
          </w:tcPr>
          <w:p w14:paraId="7A947C1C" w14:textId="51421961"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Np/Nc</w:t>
            </w:r>
          </w:p>
        </w:tc>
        <w:tc>
          <w:tcPr>
            <w:tcW w:w="1843" w:type="dxa"/>
            <w:tcBorders>
              <w:bottom w:val="single" w:sz="4" w:space="0" w:color="auto"/>
            </w:tcBorders>
          </w:tcPr>
          <w:p w14:paraId="2D6A3A7B" w14:textId="1EB3801D" w:rsidR="00B344B4" w:rsidRPr="00F05917" w:rsidRDefault="00300C8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15621/3</w:t>
            </w:r>
          </w:p>
        </w:tc>
        <w:tc>
          <w:tcPr>
            <w:tcW w:w="709" w:type="dxa"/>
            <w:tcBorders>
              <w:bottom w:val="single" w:sz="4" w:space="0" w:color="auto"/>
            </w:tcBorders>
          </w:tcPr>
          <w:p w14:paraId="5F524158"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38" w:type="dxa"/>
            <w:tcBorders>
              <w:bottom w:val="single" w:sz="4" w:space="0" w:color="auto"/>
            </w:tcBorders>
          </w:tcPr>
          <w:p w14:paraId="71A1C3CD" w14:textId="789E0F3A" w:rsidR="00B344B4" w:rsidRPr="00F05917" w:rsidRDefault="00946AAA"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15784/3</w:t>
            </w:r>
          </w:p>
        </w:tc>
        <w:tc>
          <w:tcPr>
            <w:tcW w:w="713" w:type="dxa"/>
            <w:tcBorders>
              <w:bottom w:val="single" w:sz="4" w:space="0" w:color="auto"/>
            </w:tcBorders>
          </w:tcPr>
          <w:p w14:paraId="482C579E"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284" w:type="dxa"/>
            <w:tcBorders>
              <w:bottom w:val="single" w:sz="4" w:space="0" w:color="auto"/>
            </w:tcBorders>
          </w:tcPr>
          <w:p w14:paraId="65E192D2" w14:textId="457F855F"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19CA6C2A" w14:textId="1FE96389"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12955/3</w:t>
            </w:r>
          </w:p>
        </w:tc>
        <w:tc>
          <w:tcPr>
            <w:tcW w:w="567" w:type="dxa"/>
            <w:tcBorders>
              <w:bottom w:val="single" w:sz="4" w:space="0" w:color="auto"/>
            </w:tcBorders>
          </w:tcPr>
          <w:p w14:paraId="05A453FD"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2" w:type="dxa"/>
            <w:tcBorders>
              <w:bottom w:val="single" w:sz="4" w:space="0" w:color="auto"/>
            </w:tcBorders>
          </w:tcPr>
          <w:p w14:paraId="0C36C464" w14:textId="3C6A75D6"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13104/3</w:t>
            </w:r>
          </w:p>
        </w:tc>
        <w:tc>
          <w:tcPr>
            <w:tcW w:w="709" w:type="dxa"/>
            <w:tcBorders>
              <w:bottom w:val="single" w:sz="4" w:space="0" w:color="auto"/>
            </w:tcBorders>
          </w:tcPr>
          <w:p w14:paraId="2C18DBA3"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701" w:type="dxa"/>
            <w:tcBorders>
              <w:bottom w:val="single" w:sz="4" w:space="0" w:color="auto"/>
            </w:tcBorders>
          </w:tcPr>
          <w:p w14:paraId="50AED59B" w14:textId="77CBF55A" w:rsidR="00B344B4" w:rsidRPr="00F05917" w:rsidRDefault="00956C46"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2309/1</w:t>
            </w:r>
          </w:p>
        </w:tc>
        <w:tc>
          <w:tcPr>
            <w:tcW w:w="709" w:type="dxa"/>
            <w:tcBorders>
              <w:bottom w:val="single" w:sz="4" w:space="0" w:color="auto"/>
            </w:tcBorders>
          </w:tcPr>
          <w:p w14:paraId="5E456988"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27EE7886" w14:textId="64CBC43B" w:rsidR="00B344B4" w:rsidRPr="00F05917" w:rsidRDefault="00865748"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3842/2</w:t>
            </w:r>
          </w:p>
        </w:tc>
        <w:tc>
          <w:tcPr>
            <w:tcW w:w="708" w:type="dxa"/>
            <w:tcBorders>
              <w:bottom w:val="single" w:sz="4" w:space="0" w:color="auto"/>
            </w:tcBorders>
          </w:tcPr>
          <w:p w14:paraId="029278A9"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r>
      <w:tr w:rsidR="004F6EAB" w:rsidRPr="004F6EAB" w14:paraId="7E0D8984" w14:textId="77777777" w:rsidTr="0009130E">
        <w:tc>
          <w:tcPr>
            <w:tcW w:w="856" w:type="dxa"/>
            <w:tcBorders>
              <w:top w:val="single" w:sz="4" w:space="0" w:color="auto"/>
            </w:tcBorders>
          </w:tcPr>
          <w:p w14:paraId="0729490C"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top w:val="single" w:sz="4" w:space="0" w:color="auto"/>
            </w:tcBorders>
          </w:tcPr>
          <w:p w14:paraId="55E411CC"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709" w:type="dxa"/>
            <w:tcBorders>
              <w:top w:val="single" w:sz="4" w:space="0" w:color="auto"/>
            </w:tcBorders>
          </w:tcPr>
          <w:p w14:paraId="298BA10B"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38" w:type="dxa"/>
            <w:tcBorders>
              <w:top w:val="single" w:sz="4" w:space="0" w:color="auto"/>
            </w:tcBorders>
          </w:tcPr>
          <w:p w14:paraId="6CADE5FB"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713" w:type="dxa"/>
            <w:tcBorders>
              <w:top w:val="single" w:sz="4" w:space="0" w:color="auto"/>
            </w:tcBorders>
          </w:tcPr>
          <w:p w14:paraId="31624780"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284" w:type="dxa"/>
            <w:tcBorders>
              <w:top w:val="single" w:sz="4" w:space="0" w:color="auto"/>
            </w:tcBorders>
          </w:tcPr>
          <w:p w14:paraId="665CB6DB" w14:textId="682A1486"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top w:val="single" w:sz="4" w:space="0" w:color="auto"/>
            </w:tcBorders>
          </w:tcPr>
          <w:p w14:paraId="0DDFE653"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567" w:type="dxa"/>
            <w:tcBorders>
              <w:top w:val="single" w:sz="4" w:space="0" w:color="auto"/>
            </w:tcBorders>
          </w:tcPr>
          <w:p w14:paraId="6193ADCE"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2" w:type="dxa"/>
            <w:tcBorders>
              <w:top w:val="single" w:sz="4" w:space="0" w:color="auto"/>
            </w:tcBorders>
          </w:tcPr>
          <w:p w14:paraId="797FA5C1"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709" w:type="dxa"/>
            <w:tcBorders>
              <w:top w:val="single" w:sz="4" w:space="0" w:color="auto"/>
            </w:tcBorders>
          </w:tcPr>
          <w:p w14:paraId="3106C8DD"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701" w:type="dxa"/>
            <w:tcBorders>
              <w:top w:val="single" w:sz="4" w:space="0" w:color="auto"/>
            </w:tcBorders>
          </w:tcPr>
          <w:p w14:paraId="6C54818D"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709" w:type="dxa"/>
            <w:tcBorders>
              <w:top w:val="single" w:sz="4" w:space="0" w:color="auto"/>
            </w:tcBorders>
          </w:tcPr>
          <w:p w14:paraId="00FAF211"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top w:val="single" w:sz="4" w:space="0" w:color="auto"/>
            </w:tcBorders>
          </w:tcPr>
          <w:p w14:paraId="362522C2"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708" w:type="dxa"/>
            <w:tcBorders>
              <w:top w:val="single" w:sz="4" w:space="0" w:color="auto"/>
            </w:tcBorders>
          </w:tcPr>
          <w:p w14:paraId="49B3493D"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r>
      <w:tr w:rsidR="004F6EAB" w:rsidRPr="004F6EAB" w14:paraId="78968D88" w14:textId="11D3323F" w:rsidTr="0009130E">
        <w:tc>
          <w:tcPr>
            <w:tcW w:w="856" w:type="dxa"/>
            <w:tcBorders>
              <w:bottom w:val="single" w:sz="4" w:space="0" w:color="auto"/>
            </w:tcBorders>
          </w:tcPr>
          <w:p w14:paraId="7C73C878" w14:textId="76F10237" w:rsidR="00B344B4" w:rsidRPr="00F05917" w:rsidRDefault="00B344B4" w:rsidP="00B344B4">
            <w:pPr>
              <w:widowControl w:val="0"/>
              <w:autoSpaceDE w:val="0"/>
              <w:autoSpaceDN w:val="0"/>
              <w:adjustRightInd w:val="0"/>
              <w:spacing w:line="276" w:lineRule="auto"/>
              <w:rPr>
                <w:rFonts w:cstheme="minorHAnsi"/>
                <w:b/>
                <w:bCs/>
                <w:sz w:val="18"/>
                <w:szCs w:val="20"/>
              </w:rPr>
            </w:pPr>
            <w:r w:rsidRPr="00F05917">
              <w:rPr>
                <w:rFonts w:cstheme="minorHAnsi"/>
                <w:b/>
                <w:bCs/>
                <w:sz w:val="18"/>
                <w:szCs w:val="20"/>
              </w:rPr>
              <w:t>DASH</w:t>
            </w:r>
          </w:p>
        </w:tc>
        <w:tc>
          <w:tcPr>
            <w:tcW w:w="1843" w:type="dxa"/>
          </w:tcPr>
          <w:p w14:paraId="00DE97F6"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709" w:type="dxa"/>
          </w:tcPr>
          <w:p w14:paraId="76786F49"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38" w:type="dxa"/>
          </w:tcPr>
          <w:p w14:paraId="05524932"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713" w:type="dxa"/>
          </w:tcPr>
          <w:p w14:paraId="027939B0" w14:textId="11D8625C" w:rsidR="00B344B4" w:rsidRPr="00F05917" w:rsidRDefault="00B344B4" w:rsidP="00B344B4">
            <w:pPr>
              <w:widowControl w:val="0"/>
              <w:autoSpaceDE w:val="0"/>
              <w:autoSpaceDN w:val="0"/>
              <w:adjustRightInd w:val="0"/>
              <w:spacing w:line="276" w:lineRule="auto"/>
              <w:rPr>
                <w:rFonts w:cstheme="minorHAnsi"/>
                <w:sz w:val="18"/>
                <w:szCs w:val="20"/>
              </w:rPr>
            </w:pPr>
          </w:p>
        </w:tc>
        <w:tc>
          <w:tcPr>
            <w:tcW w:w="284" w:type="dxa"/>
          </w:tcPr>
          <w:p w14:paraId="40CEC3FA" w14:textId="225DC5C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Pr>
          <w:p w14:paraId="57412C3B"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567" w:type="dxa"/>
          </w:tcPr>
          <w:p w14:paraId="7A4AA82D"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2" w:type="dxa"/>
          </w:tcPr>
          <w:p w14:paraId="1D22B0E6"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709" w:type="dxa"/>
          </w:tcPr>
          <w:p w14:paraId="56E9266B"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701" w:type="dxa"/>
          </w:tcPr>
          <w:p w14:paraId="4973BFEC"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709" w:type="dxa"/>
          </w:tcPr>
          <w:p w14:paraId="2C9157D3"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Pr>
          <w:p w14:paraId="7FE352F6"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708" w:type="dxa"/>
          </w:tcPr>
          <w:p w14:paraId="6E3B4DFC"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r>
      <w:tr w:rsidR="004F6EAB" w:rsidRPr="004F6EAB" w14:paraId="7487B497" w14:textId="742BB81A" w:rsidTr="0009130E">
        <w:tc>
          <w:tcPr>
            <w:tcW w:w="856" w:type="dxa"/>
            <w:tcBorders>
              <w:top w:val="single" w:sz="4" w:space="0" w:color="auto"/>
            </w:tcBorders>
          </w:tcPr>
          <w:p w14:paraId="34CB7850" w14:textId="49192EBB"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i/>
                <w:iCs/>
                <w:sz w:val="18"/>
                <w:szCs w:val="20"/>
              </w:rPr>
              <w:t xml:space="preserve">Pre </w:t>
            </w:r>
          </w:p>
        </w:tc>
        <w:tc>
          <w:tcPr>
            <w:tcW w:w="1843" w:type="dxa"/>
          </w:tcPr>
          <w:p w14:paraId="7CD375F1" w14:textId="1C1B828F"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18.6 (-3.0, 40.3)</w:t>
            </w:r>
          </w:p>
        </w:tc>
        <w:tc>
          <w:tcPr>
            <w:tcW w:w="709" w:type="dxa"/>
          </w:tcPr>
          <w:p w14:paraId="5760996F" w14:textId="67B1229C"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41</w:t>
            </w:r>
          </w:p>
        </w:tc>
        <w:tc>
          <w:tcPr>
            <w:tcW w:w="1838" w:type="dxa"/>
          </w:tcPr>
          <w:p w14:paraId="2FEB0CF8" w14:textId="6584CF74"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0.001 (-0.06, 0.06)</w:t>
            </w:r>
          </w:p>
        </w:tc>
        <w:tc>
          <w:tcPr>
            <w:tcW w:w="713" w:type="dxa"/>
          </w:tcPr>
          <w:p w14:paraId="3EDE9F9A" w14:textId="331784B6"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284" w:type="dxa"/>
          </w:tcPr>
          <w:p w14:paraId="675D512B" w14:textId="0711661E"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Pr>
          <w:p w14:paraId="01FFDEFA" w14:textId="3F63674D"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0.07 (0.004, 0.14)</w:t>
            </w:r>
          </w:p>
        </w:tc>
        <w:tc>
          <w:tcPr>
            <w:tcW w:w="567" w:type="dxa"/>
          </w:tcPr>
          <w:p w14:paraId="5019D611" w14:textId="034DD3AB"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842" w:type="dxa"/>
          </w:tcPr>
          <w:p w14:paraId="0A361B54" w14:textId="10E82BCE"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0.01 (-0.04, 0.06)</w:t>
            </w:r>
          </w:p>
        </w:tc>
        <w:tc>
          <w:tcPr>
            <w:tcW w:w="709" w:type="dxa"/>
          </w:tcPr>
          <w:p w14:paraId="58C32521" w14:textId="35E53223"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701" w:type="dxa"/>
          </w:tcPr>
          <w:p w14:paraId="517444FE" w14:textId="637EC8F7"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0.10 (0.01, 0.18)</w:t>
            </w:r>
          </w:p>
        </w:tc>
        <w:tc>
          <w:tcPr>
            <w:tcW w:w="709" w:type="dxa"/>
          </w:tcPr>
          <w:p w14:paraId="47B4C2DA" w14:textId="69D0D77C"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w:t>
            </w:r>
          </w:p>
        </w:tc>
        <w:tc>
          <w:tcPr>
            <w:tcW w:w="1843" w:type="dxa"/>
          </w:tcPr>
          <w:p w14:paraId="4CD16C45" w14:textId="64DB985C"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0.06 (-0.004, 0.12)</w:t>
            </w:r>
          </w:p>
        </w:tc>
        <w:tc>
          <w:tcPr>
            <w:tcW w:w="708" w:type="dxa"/>
          </w:tcPr>
          <w:p w14:paraId="4C42AB84" w14:textId="20420362"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25</w:t>
            </w:r>
          </w:p>
        </w:tc>
      </w:tr>
      <w:tr w:rsidR="001D0750" w:rsidRPr="004F6EAB" w14:paraId="25073F58" w14:textId="77777777" w:rsidTr="0009130E">
        <w:tc>
          <w:tcPr>
            <w:tcW w:w="856" w:type="dxa"/>
          </w:tcPr>
          <w:p w14:paraId="2419534B" w14:textId="2FAB2CDB" w:rsidR="001D0750" w:rsidRPr="00F05917" w:rsidRDefault="00B75CF5" w:rsidP="00B344B4">
            <w:pPr>
              <w:widowControl w:val="0"/>
              <w:autoSpaceDE w:val="0"/>
              <w:autoSpaceDN w:val="0"/>
              <w:adjustRightInd w:val="0"/>
              <w:spacing w:line="276" w:lineRule="auto"/>
              <w:rPr>
                <w:rFonts w:cstheme="minorHAnsi"/>
                <w:i/>
                <w:iCs/>
                <w:sz w:val="18"/>
                <w:szCs w:val="20"/>
              </w:rPr>
            </w:pPr>
            <w:r w:rsidRPr="00F05917">
              <w:rPr>
                <w:rFonts w:cstheme="minorHAnsi"/>
                <w:i/>
                <w:iCs/>
                <w:sz w:val="18"/>
                <w:szCs w:val="20"/>
              </w:rPr>
              <w:t>P-value</w:t>
            </w:r>
          </w:p>
        </w:tc>
        <w:tc>
          <w:tcPr>
            <w:tcW w:w="1843" w:type="dxa"/>
          </w:tcPr>
          <w:p w14:paraId="7A9D3B9C" w14:textId="26D9B408"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0.09</w:t>
            </w:r>
          </w:p>
        </w:tc>
        <w:tc>
          <w:tcPr>
            <w:tcW w:w="709" w:type="dxa"/>
          </w:tcPr>
          <w:p w14:paraId="7D04C7EE" w14:textId="02B67209"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0.19</w:t>
            </w:r>
          </w:p>
        </w:tc>
        <w:tc>
          <w:tcPr>
            <w:tcW w:w="1838" w:type="dxa"/>
          </w:tcPr>
          <w:p w14:paraId="3B76E3D5" w14:textId="64A82184"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0.97</w:t>
            </w:r>
          </w:p>
        </w:tc>
        <w:tc>
          <w:tcPr>
            <w:tcW w:w="713" w:type="dxa"/>
          </w:tcPr>
          <w:p w14:paraId="5B0F2B48" w14:textId="693C4033"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0.36</w:t>
            </w:r>
          </w:p>
        </w:tc>
        <w:tc>
          <w:tcPr>
            <w:tcW w:w="284" w:type="dxa"/>
          </w:tcPr>
          <w:p w14:paraId="6FFC5F3E" w14:textId="77777777" w:rsidR="001D0750" w:rsidRPr="00F05917" w:rsidRDefault="001D0750" w:rsidP="00B344B4">
            <w:pPr>
              <w:widowControl w:val="0"/>
              <w:autoSpaceDE w:val="0"/>
              <w:autoSpaceDN w:val="0"/>
              <w:adjustRightInd w:val="0"/>
              <w:spacing w:line="276" w:lineRule="auto"/>
              <w:rPr>
                <w:rFonts w:cstheme="minorHAnsi"/>
                <w:sz w:val="18"/>
                <w:szCs w:val="20"/>
              </w:rPr>
            </w:pPr>
          </w:p>
        </w:tc>
        <w:tc>
          <w:tcPr>
            <w:tcW w:w="1843" w:type="dxa"/>
          </w:tcPr>
          <w:p w14:paraId="3FDEB18E" w14:textId="7FF51C2A"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0.039</w:t>
            </w:r>
          </w:p>
        </w:tc>
        <w:tc>
          <w:tcPr>
            <w:tcW w:w="567" w:type="dxa"/>
          </w:tcPr>
          <w:p w14:paraId="5D4E5AF1" w14:textId="56C4D917"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0.62</w:t>
            </w:r>
          </w:p>
        </w:tc>
        <w:tc>
          <w:tcPr>
            <w:tcW w:w="1842" w:type="dxa"/>
          </w:tcPr>
          <w:p w14:paraId="2203BEE5" w14:textId="196C3E4A"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0.70</w:t>
            </w:r>
          </w:p>
        </w:tc>
        <w:tc>
          <w:tcPr>
            <w:tcW w:w="709" w:type="dxa"/>
          </w:tcPr>
          <w:p w14:paraId="04BF2DE3" w14:textId="6319B1A1"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0.60</w:t>
            </w:r>
          </w:p>
        </w:tc>
        <w:tc>
          <w:tcPr>
            <w:tcW w:w="1701" w:type="dxa"/>
          </w:tcPr>
          <w:p w14:paraId="35501703" w14:textId="4FFF9647"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0.033</w:t>
            </w:r>
          </w:p>
        </w:tc>
        <w:tc>
          <w:tcPr>
            <w:tcW w:w="709" w:type="dxa"/>
          </w:tcPr>
          <w:p w14:paraId="5C8F94BF" w14:textId="31DC0409"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w:t>
            </w:r>
          </w:p>
        </w:tc>
        <w:tc>
          <w:tcPr>
            <w:tcW w:w="1843" w:type="dxa"/>
          </w:tcPr>
          <w:p w14:paraId="0B4A483E" w14:textId="4AC7543F"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0.06</w:t>
            </w:r>
          </w:p>
        </w:tc>
        <w:tc>
          <w:tcPr>
            <w:tcW w:w="708" w:type="dxa"/>
          </w:tcPr>
          <w:p w14:paraId="3BC238BB" w14:textId="42E292E4"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0.25</w:t>
            </w:r>
          </w:p>
        </w:tc>
      </w:tr>
      <w:tr w:rsidR="004F6EAB" w:rsidRPr="004F6EAB" w14:paraId="5D86783F" w14:textId="34BABA59" w:rsidTr="0009130E">
        <w:tc>
          <w:tcPr>
            <w:tcW w:w="856" w:type="dxa"/>
            <w:tcBorders>
              <w:bottom w:val="single" w:sz="4" w:space="0" w:color="auto"/>
            </w:tcBorders>
          </w:tcPr>
          <w:p w14:paraId="75BD5290" w14:textId="5A738099"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Np/Nc</w:t>
            </w:r>
          </w:p>
        </w:tc>
        <w:tc>
          <w:tcPr>
            <w:tcW w:w="1843" w:type="dxa"/>
            <w:tcBorders>
              <w:bottom w:val="single" w:sz="4" w:space="0" w:color="auto"/>
            </w:tcBorders>
          </w:tcPr>
          <w:p w14:paraId="7B1547A9" w14:textId="6DD8FCA8"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4119/2</w:t>
            </w:r>
          </w:p>
        </w:tc>
        <w:tc>
          <w:tcPr>
            <w:tcW w:w="709" w:type="dxa"/>
            <w:tcBorders>
              <w:bottom w:val="single" w:sz="4" w:space="0" w:color="auto"/>
            </w:tcBorders>
          </w:tcPr>
          <w:p w14:paraId="7A6B0737" w14:textId="41F6FB0A" w:rsidR="00B344B4" w:rsidRPr="00F05917" w:rsidRDefault="00B344B4" w:rsidP="00B344B4">
            <w:pPr>
              <w:widowControl w:val="0"/>
              <w:autoSpaceDE w:val="0"/>
              <w:autoSpaceDN w:val="0"/>
              <w:adjustRightInd w:val="0"/>
              <w:spacing w:line="276" w:lineRule="auto"/>
              <w:rPr>
                <w:rFonts w:cstheme="minorHAnsi"/>
                <w:sz w:val="18"/>
                <w:szCs w:val="20"/>
              </w:rPr>
            </w:pPr>
          </w:p>
        </w:tc>
        <w:tc>
          <w:tcPr>
            <w:tcW w:w="1838" w:type="dxa"/>
            <w:tcBorders>
              <w:bottom w:val="single" w:sz="4" w:space="0" w:color="auto"/>
            </w:tcBorders>
          </w:tcPr>
          <w:p w14:paraId="7700CDAD" w14:textId="4D317B8D"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4137/2</w:t>
            </w:r>
          </w:p>
        </w:tc>
        <w:tc>
          <w:tcPr>
            <w:tcW w:w="713" w:type="dxa"/>
            <w:tcBorders>
              <w:bottom w:val="single" w:sz="4" w:space="0" w:color="auto"/>
            </w:tcBorders>
          </w:tcPr>
          <w:p w14:paraId="24B3AAC8" w14:textId="35421480" w:rsidR="00B344B4" w:rsidRPr="00F05917" w:rsidRDefault="00B344B4" w:rsidP="00B344B4">
            <w:pPr>
              <w:widowControl w:val="0"/>
              <w:autoSpaceDE w:val="0"/>
              <w:autoSpaceDN w:val="0"/>
              <w:adjustRightInd w:val="0"/>
              <w:spacing w:line="276" w:lineRule="auto"/>
              <w:rPr>
                <w:rFonts w:cstheme="minorHAnsi"/>
                <w:sz w:val="18"/>
                <w:szCs w:val="20"/>
              </w:rPr>
            </w:pPr>
          </w:p>
        </w:tc>
        <w:tc>
          <w:tcPr>
            <w:tcW w:w="284" w:type="dxa"/>
            <w:tcBorders>
              <w:bottom w:val="single" w:sz="4" w:space="0" w:color="auto"/>
            </w:tcBorders>
          </w:tcPr>
          <w:p w14:paraId="74DF5A0F" w14:textId="7D9DAAF0"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378EE72A" w14:textId="42AA33AE"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3964/2</w:t>
            </w:r>
          </w:p>
        </w:tc>
        <w:tc>
          <w:tcPr>
            <w:tcW w:w="567" w:type="dxa"/>
            <w:tcBorders>
              <w:bottom w:val="single" w:sz="4" w:space="0" w:color="auto"/>
            </w:tcBorders>
          </w:tcPr>
          <w:p w14:paraId="0046F786" w14:textId="7F6B46AB"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2" w:type="dxa"/>
            <w:tcBorders>
              <w:bottom w:val="single" w:sz="4" w:space="0" w:color="auto"/>
            </w:tcBorders>
          </w:tcPr>
          <w:p w14:paraId="3D928B2C" w14:textId="3E036498"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3993/2</w:t>
            </w:r>
          </w:p>
        </w:tc>
        <w:tc>
          <w:tcPr>
            <w:tcW w:w="709" w:type="dxa"/>
            <w:tcBorders>
              <w:bottom w:val="single" w:sz="4" w:space="0" w:color="auto"/>
            </w:tcBorders>
          </w:tcPr>
          <w:p w14:paraId="39F1F95E" w14:textId="3F5A31BE" w:rsidR="00B344B4" w:rsidRPr="00F05917" w:rsidRDefault="00B344B4" w:rsidP="00B344B4">
            <w:pPr>
              <w:widowControl w:val="0"/>
              <w:autoSpaceDE w:val="0"/>
              <w:autoSpaceDN w:val="0"/>
              <w:adjustRightInd w:val="0"/>
              <w:spacing w:line="276" w:lineRule="auto"/>
              <w:rPr>
                <w:rFonts w:cstheme="minorHAnsi"/>
                <w:sz w:val="18"/>
                <w:szCs w:val="20"/>
              </w:rPr>
            </w:pPr>
          </w:p>
        </w:tc>
        <w:tc>
          <w:tcPr>
            <w:tcW w:w="1701" w:type="dxa"/>
            <w:tcBorders>
              <w:bottom w:val="single" w:sz="4" w:space="0" w:color="auto"/>
            </w:tcBorders>
          </w:tcPr>
          <w:p w14:paraId="12F85FF8" w14:textId="38261031"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2406/1</w:t>
            </w:r>
          </w:p>
        </w:tc>
        <w:tc>
          <w:tcPr>
            <w:tcW w:w="709" w:type="dxa"/>
            <w:tcBorders>
              <w:bottom w:val="single" w:sz="4" w:space="0" w:color="auto"/>
            </w:tcBorders>
          </w:tcPr>
          <w:p w14:paraId="3A50AFE2" w14:textId="6F97D886"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660DE4A1" w14:textId="02F8B15E"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3923/2</w:t>
            </w:r>
          </w:p>
        </w:tc>
        <w:tc>
          <w:tcPr>
            <w:tcW w:w="708" w:type="dxa"/>
            <w:tcBorders>
              <w:bottom w:val="single" w:sz="4" w:space="0" w:color="auto"/>
            </w:tcBorders>
          </w:tcPr>
          <w:p w14:paraId="7A8BC889" w14:textId="6B759CDE" w:rsidR="00B344B4" w:rsidRPr="00F05917" w:rsidRDefault="00B344B4" w:rsidP="00B344B4">
            <w:pPr>
              <w:widowControl w:val="0"/>
              <w:autoSpaceDE w:val="0"/>
              <w:autoSpaceDN w:val="0"/>
              <w:adjustRightInd w:val="0"/>
              <w:spacing w:line="276" w:lineRule="auto"/>
              <w:rPr>
                <w:rFonts w:cstheme="minorHAnsi"/>
                <w:sz w:val="18"/>
                <w:szCs w:val="20"/>
              </w:rPr>
            </w:pPr>
          </w:p>
        </w:tc>
      </w:tr>
      <w:tr w:rsidR="004F6EAB" w:rsidRPr="004F6EAB" w14:paraId="7E91BAE9" w14:textId="5F9938A9" w:rsidTr="0009130E">
        <w:tc>
          <w:tcPr>
            <w:tcW w:w="856" w:type="dxa"/>
            <w:tcBorders>
              <w:top w:val="single" w:sz="4" w:space="0" w:color="auto"/>
            </w:tcBorders>
          </w:tcPr>
          <w:p w14:paraId="0A119E87" w14:textId="11378783" w:rsidR="00B344B4" w:rsidRPr="00F05917" w:rsidRDefault="00B344B4" w:rsidP="00B344B4">
            <w:pPr>
              <w:widowControl w:val="0"/>
              <w:autoSpaceDE w:val="0"/>
              <w:autoSpaceDN w:val="0"/>
              <w:adjustRightInd w:val="0"/>
              <w:spacing w:line="276" w:lineRule="auto"/>
              <w:rPr>
                <w:rFonts w:cstheme="minorHAnsi"/>
                <w:sz w:val="18"/>
                <w:szCs w:val="20"/>
              </w:rPr>
            </w:pPr>
            <w:proofErr w:type="spellStart"/>
            <w:r w:rsidRPr="00F05917">
              <w:rPr>
                <w:rFonts w:cstheme="minorHAnsi"/>
                <w:i/>
                <w:iCs/>
                <w:sz w:val="18"/>
                <w:szCs w:val="20"/>
              </w:rPr>
              <w:t>Preg</w:t>
            </w:r>
            <w:proofErr w:type="spellEnd"/>
          </w:p>
        </w:tc>
        <w:tc>
          <w:tcPr>
            <w:tcW w:w="1843" w:type="dxa"/>
            <w:tcBorders>
              <w:top w:val="single" w:sz="4" w:space="0" w:color="auto"/>
            </w:tcBorders>
          </w:tcPr>
          <w:p w14:paraId="60FB6706" w14:textId="11F09D53" w:rsidR="00B344B4" w:rsidRPr="00F05917" w:rsidRDefault="00A66190" w:rsidP="00B344B4">
            <w:pPr>
              <w:widowControl w:val="0"/>
              <w:autoSpaceDE w:val="0"/>
              <w:autoSpaceDN w:val="0"/>
              <w:adjustRightInd w:val="0"/>
              <w:spacing w:line="276" w:lineRule="auto"/>
              <w:rPr>
                <w:rFonts w:cstheme="minorHAnsi"/>
                <w:sz w:val="18"/>
                <w:szCs w:val="20"/>
              </w:rPr>
            </w:pPr>
            <w:bookmarkStart w:id="18" w:name="_Hlk24640029"/>
            <w:r w:rsidRPr="00F05917">
              <w:rPr>
                <w:rFonts w:cstheme="minorHAnsi"/>
                <w:sz w:val="18"/>
                <w:szCs w:val="20"/>
              </w:rPr>
              <w:t>18.5 (5.7, 31.3)</w:t>
            </w:r>
            <w:bookmarkEnd w:id="18"/>
          </w:p>
        </w:tc>
        <w:tc>
          <w:tcPr>
            <w:tcW w:w="709" w:type="dxa"/>
            <w:tcBorders>
              <w:top w:val="single" w:sz="4" w:space="0" w:color="auto"/>
            </w:tcBorders>
          </w:tcPr>
          <w:p w14:paraId="27AC440C" w14:textId="56D03AB7"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60</w:t>
            </w:r>
          </w:p>
        </w:tc>
        <w:tc>
          <w:tcPr>
            <w:tcW w:w="1838" w:type="dxa"/>
            <w:tcBorders>
              <w:top w:val="single" w:sz="4" w:space="0" w:color="auto"/>
            </w:tcBorders>
          </w:tcPr>
          <w:p w14:paraId="16BB454C" w14:textId="56EA279F"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0.02 (-0.01, 0.05)</w:t>
            </w:r>
          </w:p>
        </w:tc>
        <w:tc>
          <w:tcPr>
            <w:tcW w:w="713" w:type="dxa"/>
            <w:tcBorders>
              <w:top w:val="single" w:sz="4" w:space="0" w:color="auto"/>
            </w:tcBorders>
          </w:tcPr>
          <w:p w14:paraId="1CC947B6" w14:textId="79535DD6"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33</w:t>
            </w:r>
          </w:p>
        </w:tc>
        <w:tc>
          <w:tcPr>
            <w:tcW w:w="284" w:type="dxa"/>
            <w:tcBorders>
              <w:top w:val="single" w:sz="4" w:space="0" w:color="auto"/>
            </w:tcBorders>
          </w:tcPr>
          <w:p w14:paraId="295E2C48" w14:textId="41875295"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top w:val="single" w:sz="4" w:space="0" w:color="auto"/>
            </w:tcBorders>
          </w:tcPr>
          <w:p w14:paraId="1CD59E6D" w14:textId="0D6955DA"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0.05 (0.01, 0.10)</w:t>
            </w:r>
          </w:p>
        </w:tc>
        <w:tc>
          <w:tcPr>
            <w:tcW w:w="567" w:type="dxa"/>
            <w:tcBorders>
              <w:top w:val="single" w:sz="4" w:space="0" w:color="auto"/>
            </w:tcBorders>
          </w:tcPr>
          <w:p w14:paraId="4A2B6E06" w14:textId="0B0CCB09"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15</w:t>
            </w:r>
          </w:p>
        </w:tc>
        <w:tc>
          <w:tcPr>
            <w:tcW w:w="1842" w:type="dxa"/>
            <w:tcBorders>
              <w:top w:val="single" w:sz="4" w:space="0" w:color="auto"/>
            </w:tcBorders>
          </w:tcPr>
          <w:p w14:paraId="7F28BF62" w14:textId="1D0F37BB"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0.03 (0.01, 0.06)</w:t>
            </w:r>
          </w:p>
        </w:tc>
        <w:tc>
          <w:tcPr>
            <w:tcW w:w="709" w:type="dxa"/>
            <w:tcBorders>
              <w:top w:val="single" w:sz="4" w:space="0" w:color="auto"/>
            </w:tcBorders>
          </w:tcPr>
          <w:p w14:paraId="5942FF52" w14:textId="6DB04338"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701" w:type="dxa"/>
            <w:tcBorders>
              <w:top w:val="single" w:sz="4" w:space="0" w:color="auto"/>
            </w:tcBorders>
          </w:tcPr>
          <w:p w14:paraId="7A49DC34" w14:textId="01DED884"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0.01 (-0.22, 0.23)</w:t>
            </w:r>
          </w:p>
        </w:tc>
        <w:tc>
          <w:tcPr>
            <w:tcW w:w="709" w:type="dxa"/>
            <w:tcBorders>
              <w:top w:val="single" w:sz="4" w:space="0" w:color="auto"/>
            </w:tcBorders>
          </w:tcPr>
          <w:p w14:paraId="53956B9B" w14:textId="6EBDE792"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56</w:t>
            </w:r>
          </w:p>
        </w:tc>
        <w:tc>
          <w:tcPr>
            <w:tcW w:w="1843" w:type="dxa"/>
            <w:tcBorders>
              <w:top w:val="single" w:sz="4" w:space="0" w:color="auto"/>
            </w:tcBorders>
          </w:tcPr>
          <w:p w14:paraId="782FE103" w14:textId="0635F84A"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0.06 (-0.01, 0.13)</w:t>
            </w:r>
          </w:p>
        </w:tc>
        <w:tc>
          <w:tcPr>
            <w:tcW w:w="708" w:type="dxa"/>
            <w:tcBorders>
              <w:top w:val="single" w:sz="4" w:space="0" w:color="auto"/>
            </w:tcBorders>
          </w:tcPr>
          <w:p w14:paraId="141FA634" w14:textId="396F6966"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11</w:t>
            </w:r>
          </w:p>
        </w:tc>
      </w:tr>
      <w:tr w:rsidR="001D0750" w:rsidRPr="004F6EAB" w14:paraId="195DE4FB" w14:textId="77777777" w:rsidTr="0009130E">
        <w:tc>
          <w:tcPr>
            <w:tcW w:w="856" w:type="dxa"/>
          </w:tcPr>
          <w:p w14:paraId="5EF39867" w14:textId="5F1B3C6E" w:rsidR="001D0750" w:rsidRPr="00F05917" w:rsidRDefault="00B75CF5" w:rsidP="00B344B4">
            <w:pPr>
              <w:widowControl w:val="0"/>
              <w:autoSpaceDE w:val="0"/>
              <w:autoSpaceDN w:val="0"/>
              <w:adjustRightInd w:val="0"/>
              <w:spacing w:line="276" w:lineRule="auto"/>
              <w:rPr>
                <w:rFonts w:cstheme="minorHAnsi"/>
                <w:i/>
                <w:iCs/>
                <w:sz w:val="18"/>
                <w:szCs w:val="20"/>
              </w:rPr>
            </w:pPr>
            <w:r w:rsidRPr="00F05917">
              <w:rPr>
                <w:rFonts w:cstheme="minorHAnsi"/>
                <w:i/>
                <w:iCs/>
                <w:sz w:val="18"/>
                <w:szCs w:val="20"/>
              </w:rPr>
              <w:t>P-value</w:t>
            </w:r>
          </w:p>
        </w:tc>
        <w:tc>
          <w:tcPr>
            <w:tcW w:w="1843" w:type="dxa"/>
          </w:tcPr>
          <w:p w14:paraId="422A8CB9" w14:textId="1BF41F1D"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0.005</w:t>
            </w:r>
          </w:p>
        </w:tc>
        <w:tc>
          <w:tcPr>
            <w:tcW w:w="709" w:type="dxa"/>
          </w:tcPr>
          <w:p w14:paraId="75655EDC" w14:textId="2BA6796D"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0.020</w:t>
            </w:r>
          </w:p>
        </w:tc>
        <w:tc>
          <w:tcPr>
            <w:tcW w:w="1838" w:type="dxa"/>
          </w:tcPr>
          <w:p w14:paraId="4CF50CF7" w14:textId="32D8681C"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0.18</w:t>
            </w:r>
          </w:p>
        </w:tc>
        <w:tc>
          <w:tcPr>
            <w:tcW w:w="713" w:type="dxa"/>
          </w:tcPr>
          <w:p w14:paraId="6FFF410F" w14:textId="2061CED4"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0.18</w:t>
            </w:r>
          </w:p>
        </w:tc>
        <w:tc>
          <w:tcPr>
            <w:tcW w:w="284" w:type="dxa"/>
          </w:tcPr>
          <w:p w14:paraId="2E6FDAC8" w14:textId="77777777" w:rsidR="001D0750" w:rsidRPr="00F05917" w:rsidRDefault="001D0750" w:rsidP="00B344B4">
            <w:pPr>
              <w:widowControl w:val="0"/>
              <w:autoSpaceDE w:val="0"/>
              <w:autoSpaceDN w:val="0"/>
              <w:adjustRightInd w:val="0"/>
              <w:spacing w:line="276" w:lineRule="auto"/>
              <w:rPr>
                <w:rFonts w:cstheme="minorHAnsi"/>
                <w:sz w:val="18"/>
                <w:szCs w:val="20"/>
              </w:rPr>
            </w:pPr>
          </w:p>
        </w:tc>
        <w:tc>
          <w:tcPr>
            <w:tcW w:w="1843" w:type="dxa"/>
          </w:tcPr>
          <w:p w14:paraId="1428E7BA" w14:textId="3604445A"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0.010</w:t>
            </w:r>
          </w:p>
        </w:tc>
        <w:tc>
          <w:tcPr>
            <w:tcW w:w="567" w:type="dxa"/>
          </w:tcPr>
          <w:p w14:paraId="004E7F79" w14:textId="0A36DA8C"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0.32</w:t>
            </w:r>
          </w:p>
        </w:tc>
        <w:tc>
          <w:tcPr>
            <w:tcW w:w="1842" w:type="dxa"/>
          </w:tcPr>
          <w:p w14:paraId="5E7D0193" w14:textId="142B553C"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0.004</w:t>
            </w:r>
          </w:p>
        </w:tc>
        <w:tc>
          <w:tcPr>
            <w:tcW w:w="709" w:type="dxa"/>
          </w:tcPr>
          <w:p w14:paraId="7CB23C37" w14:textId="0391409F"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0.59</w:t>
            </w:r>
          </w:p>
        </w:tc>
        <w:tc>
          <w:tcPr>
            <w:tcW w:w="1701" w:type="dxa"/>
          </w:tcPr>
          <w:p w14:paraId="5CBD1412" w14:textId="0B36AD69"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0.97</w:t>
            </w:r>
          </w:p>
        </w:tc>
        <w:tc>
          <w:tcPr>
            <w:tcW w:w="709" w:type="dxa"/>
          </w:tcPr>
          <w:p w14:paraId="5CB7EDC0" w14:textId="6E89200F"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0.13</w:t>
            </w:r>
          </w:p>
        </w:tc>
        <w:tc>
          <w:tcPr>
            <w:tcW w:w="1843" w:type="dxa"/>
          </w:tcPr>
          <w:p w14:paraId="1728B838" w14:textId="5AAD5323"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0.08</w:t>
            </w:r>
          </w:p>
        </w:tc>
        <w:tc>
          <w:tcPr>
            <w:tcW w:w="708" w:type="dxa"/>
          </w:tcPr>
          <w:p w14:paraId="102FEB2D" w14:textId="7DBAE5F2"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0.33</w:t>
            </w:r>
          </w:p>
        </w:tc>
      </w:tr>
      <w:tr w:rsidR="004F6EAB" w:rsidRPr="004F6EAB" w14:paraId="27064B6F" w14:textId="1D37E791" w:rsidTr="0009130E">
        <w:tc>
          <w:tcPr>
            <w:tcW w:w="856" w:type="dxa"/>
            <w:tcBorders>
              <w:bottom w:val="single" w:sz="4" w:space="0" w:color="auto"/>
            </w:tcBorders>
          </w:tcPr>
          <w:p w14:paraId="32D7B674" w14:textId="009EA79C"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Np/Nc</w:t>
            </w:r>
          </w:p>
        </w:tc>
        <w:tc>
          <w:tcPr>
            <w:tcW w:w="1843" w:type="dxa"/>
            <w:tcBorders>
              <w:bottom w:val="single" w:sz="4" w:space="0" w:color="auto"/>
            </w:tcBorders>
          </w:tcPr>
          <w:p w14:paraId="187F4288" w14:textId="466B08ED"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23991/7</w:t>
            </w:r>
          </w:p>
        </w:tc>
        <w:tc>
          <w:tcPr>
            <w:tcW w:w="709" w:type="dxa"/>
            <w:tcBorders>
              <w:bottom w:val="single" w:sz="4" w:space="0" w:color="auto"/>
            </w:tcBorders>
          </w:tcPr>
          <w:p w14:paraId="65280C55"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38" w:type="dxa"/>
            <w:tcBorders>
              <w:bottom w:val="single" w:sz="4" w:space="0" w:color="auto"/>
            </w:tcBorders>
          </w:tcPr>
          <w:p w14:paraId="4C6E0A2C" w14:textId="25B9078F"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24100/7</w:t>
            </w:r>
          </w:p>
        </w:tc>
        <w:tc>
          <w:tcPr>
            <w:tcW w:w="713" w:type="dxa"/>
            <w:tcBorders>
              <w:bottom w:val="single" w:sz="4" w:space="0" w:color="auto"/>
            </w:tcBorders>
          </w:tcPr>
          <w:p w14:paraId="18A1D863" w14:textId="43194B5D" w:rsidR="00B344B4" w:rsidRPr="00F05917" w:rsidRDefault="00B344B4" w:rsidP="00B344B4">
            <w:pPr>
              <w:widowControl w:val="0"/>
              <w:autoSpaceDE w:val="0"/>
              <w:autoSpaceDN w:val="0"/>
              <w:adjustRightInd w:val="0"/>
              <w:spacing w:line="276" w:lineRule="auto"/>
              <w:rPr>
                <w:rFonts w:cstheme="minorHAnsi"/>
                <w:sz w:val="18"/>
                <w:szCs w:val="20"/>
              </w:rPr>
            </w:pPr>
          </w:p>
        </w:tc>
        <w:tc>
          <w:tcPr>
            <w:tcW w:w="284" w:type="dxa"/>
            <w:tcBorders>
              <w:bottom w:val="single" w:sz="4" w:space="0" w:color="auto"/>
            </w:tcBorders>
          </w:tcPr>
          <w:p w14:paraId="3489060A" w14:textId="70D0E303"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07B96F20" w14:textId="31F04F9C"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18952/7</w:t>
            </w:r>
          </w:p>
        </w:tc>
        <w:tc>
          <w:tcPr>
            <w:tcW w:w="567" w:type="dxa"/>
            <w:tcBorders>
              <w:bottom w:val="single" w:sz="4" w:space="0" w:color="auto"/>
            </w:tcBorders>
          </w:tcPr>
          <w:p w14:paraId="6FE8C8A8"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2" w:type="dxa"/>
            <w:tcBorders>
              <w:bottom w:val="single" w:sz="4" w:space="0" w:color="auto"/>
            </w:tcBorders>
          </w:tcPr>
          <w:p w14:paraId="5066D169" w14:textId="71914927"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18333/7</w:t>
            </w:r>
          </w:p>
        </w:tc>
        <w:tc>
          <w:tcPr>
            <w:tcW w:w="709" w:type="dxa"/>
            <w:tcBorders>
              <w:bottom w:val="single" w:sz="4" w:space="0" w:color="auto"/>
            </w:tcBorders>
          </w:tcPr>
          <w:p w14:paraId="137C9711"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701" w:type="dxa"/>
            <w:tcBorders>
              <w:bottom w:val="single" w:sz="4" w:space="0" w:color="auto"/>
            </w:tcBorders>
          </w:tcPr>
          <w:p w14:paraId="2DBC2C90" w14:textId="44882CD2"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2030/2</w:t>
            </w:r>
          </w:p>
        </w:tc>
        <w:tc>
          <w:tcPr>
            <w:tcW w:w="709" w:type="dxa"/>
            <w:tcBorders>
              <w:bottom w:val="single" w:sz="4" w:space="0" w:color="auto"/>
            </w:tcBorders>
          </w:tcPr>
          <w:p w14:paraId="16E610F2"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04C7134E" w14:textId="335B1276"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3530/3</w:t>
            </w:r>
          </w:p>
        </w:tc>
        <w:tc>
          <w:tcPr>
            <w:tcW w:w="708" w:type="dxa"/>
            <w:tcBorders>
              <w:bottom w:val="single" w:sz="4" w:space="0" w:color="auto"/>
            </w:tcBorders>
          </w:tcPr>
          <w:p w14:paraId="04BB74E1"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r>
      <w:tr w:rsidR="004F6EAB" w:rsidRPr="004F6EAB" w14:paraId="2208FB78" w14:textId="267F8EFE" w:rsidTr="0009130E">
        <w:tc>
          <w:tcPr>
            <w:tcW w:w="856" w:type="dxa"/>
            <w:tcBorders>
              <w:top w:val="single" w:sz="4" w:space="0" w:color="auto"/>
            </w:tcBorders>
          </w:tcPr>
          <w:p w14:paraId="6DFADB23" w14:textId="063346D0"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i/>
                <w:iCs/>
                <w:sz w:val="18"/>
                <w:szCs w:val="20"/>
              </w:rPr>
              <w:t>Early</w:t>
            </w:r>
          </w:p>
        </w:tc>
        <w:tc>
          <w:tcPr>
            <w:tcW w:w="1843" w:type="dxa"/>
            <w:tcBorders>
              <w:top w:val="single" w:sz="4" w:space="0" w:color="auto"/>
            </w:tcBorders>
          </w:tcPr>
          <w:p w14:paraId="4BB5B1BE" w14:textId="6BD9C8DD"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20.9 (3.3, 38.5)</w:t>
            </w:r>
          </w:p>
        </w:tc>
        <w:tc>
          <w:tcPr>
            <w:tcW w:w="709" w:type="dxa"/>
            <w:tcBorders>
              <w:top w:val="single" w:sz="4" w:space="0" w:color="auto"/>
            </w:tcBorders>
          </w:tcPr>
          <w:p w14:paraId="1470B2BF" w14:textId="3A9A17C7"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55</w:t>
            </w:r>
          </w:p>
        </w:tc>
        <w:tc>
          <w:tcPr>
            <w:tcW w:w="1838" w:type="dxa"/>
            <w:tcBorders>
              <w:top w:val="single" w:sz="4" w:space="0" w:color="auto"/>
            </w:tcBorders>
          </w:tcPr>
          <w:p w14:paraId="4286125E" w14:textId="29EB7736"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0.03 (-0.02, 0.07)</w:t>
            </w:r>
          </w:p>
        </w:tc>
        <w:tc>
          <w:tcPr>
            <w:tcW w:w="713" w:type="dxa"/>
            <w:tcBorders>
              <w:top w:val="single" w:sz="4" w:space="0" w:color="auto"/>
            </w:tcBorders>
          </w:tcPr>
          <w:p w14:paraId="082704E5" w14:textId="129DEB55"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40</w:t>
            </w:r>
          </w:p>
        </w:tc>
        <w:tc>
          <w:tcPr>
            <w:tcW w:w="284" w:type="dxa"/>
            <w:tcBorders>
              <w:top w:val="single" w:sz="4" w:space="0" w:color="auto"/>
            </w:tcBorders>
          </w:tcPr>
          <w:p w14:paraId="2C7B76D8" w14:textId="7F77F51E"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top w:val="single" w:sz="4" w:space="0" w:color="auto"/>
            </w:tcBorders>
          </w:tcPr>
          <w:p w14:paraId="178AF604" w14:textId="1CFBAE83"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0.09 (0.03, 0.14)</w:t>
            </w:r>
          </w:p>
        </w:tc>
        <w:tc>
          <w:tcPr>
            <w:tcW w:w="567" w:type="dxa"/>
            <w:tcBorders>
              <w:top w:val="single" w:sz="4" w:space="0" w:color="auto"/>
            </w:tcBorders>
          </w:tcPr>
          <w:p w14:paraId="490CBE1C" w14:textId="28C39D6E"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842" w:type="dxa"/>
            <w:tcBorders>
              <w:top w:val="single" w:sz="4" w:space="0" w:color="auto"/>
            </w:tcBorders>
          </w:tcPr>
          <w:p w14:paraId="08E61D07" w14:textId="7E62A48A"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0.04 (0.001, 0.07)</w:t>
            </w:r>
          </w:p>
        </w:tc>
        <w:tc>
          <w:tcPr>
            <w:tcW w:w="709" w:type="dxa"/>
            <w:tcBorders>
              <w:top w:val="single" w:sz="4" w:space="0" w:color="auto"/>
            </w:tcBorders>
          </w:tcPr>
          <w:p w14:paraId="7EF45BBF" w14:textId="4359EA64"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701" w:type="dxa"/>
            <w:tcBorders>
              <w:top w:val="single" w:sz="4" w:space="0" w:color="auto"/>
            </w:tcBorders>
          </w:tcPr>
          <w:p w14:paraId="7F70B627" w14:textId="6B7E9E4A"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0.002 (-0.21, 0.21)</w:t>
            </w:r>
          </w:p>
        </w:tc>
        <w:tc>
          <w:tcPr>
            <w:tcW w:w="709" w:type="dxa"/>
            <w:tcBorders>
              <w:top w:val="single" w:sz="4" w:space="0" w:color="auto"/>
            </w:tcBorders>
          </w:tcPr>
          <w:p w14:paraId="07130135" w14:textId="4986E3F3"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52</w:t>
            </w:r>
          </w:p>
        </w:tc>
        <w:tc>
          <w:tcPr>
            <w:tcW w:w="1843" w:type="dxa"/>
            <w:tcBorders>
              <w:top w:val="single" w:sz="4" w:space="0" w:color="auto"/>
            </w:tcBorders>
          </w:tcPr>
          <w:p w14:paraId="759F1B4C" w14:textId="294F30E1"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0.12 (0.03, 0.20)</w:t>
            </w:r>
          </w:p>
        </w:tc>
        <w:tc>
          <w:tcPr>
            <w:tcW w:w="708" w:type="dxa"/>
            <w:tcBorders>
              <w:top w:val="single" w:sz="4" w:space="0" w:color="auto"/>
            </w:tcBorders>
          </w:tcPr>
          <w:p w14:paraId="069D630B" w14:textId="6EC1E4BB"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r>
      <w:tr w:rsidR="001D0750" w:rsidRPr="004F6EAB" w14:paraId="463340DF" w14:textId="77777777" w:rsidTr="0009130E">
        <w:tc>
          <w:tcPr>
            <w:tcW w:w="856" w:type="dxa"/>
          </w:tcPr>
          <w:p w14:paraId="7FC61C2C" w14:textId="6AFF4F75" w:rsidR="001D0750" w:rsidRPr="00F05917" w:rsidRDefault="00B75CF5" w:rsidP="00B344B4">
            <w:pPr>
              <w:widowControl w:val="0"/>
              <w:autoSpaceDE w:val="0"/>
              <w:autoSpaceDN w:val="0"/>
              <w:adjustRightInd w:val="0"/>
              <w:spacing w:line="276" w:lineRule="auto"/>
              <w:rPr>
                <w:rFonts w:cstheme="minorHAnsi"/>
                <w:i/>
                <w:iCs/>
                <w:sz w:val="18"/>
                <w:szCs w:val="20"/>
              </w:rPr>
            </w:pPr>
            <w:r w:rsidRPr="00F05917">
              <w:rPr>
                <w:rFonts w:cstheme="minorHAnsi"/>
                <w:i/>
                <w:iCs/>
                <w:sz w:val="18"/>
                <w:szCs w:val="20"/>
              </w:rPr>
              <w:t>P-value</w:t>
            </w:r>
          </w:p>
        </w:tc>
        <w:tc>
          <w:tcPr>
            <w:tcW w:w="1843" w:type="dxa"/>
          </w:tcPr>
          <w:p w14:paraId="6E33B619" w14:textId="60E10E53"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0.020</w:t>
            </w:r>
          </w:p>
        </w:tc>
        <w:tc>
          <w:tcPr>
            <w:tcW w:w="709" w:type="dxa"/>
          </w:tcPr>
          <w:p w14:paraId="50DDCF7F" w14:textId="10EF13EF"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0.06</w:t>
            </w:r>
          </w:p>
        </w:tc>
        <w:tc>
          <w:tcPr>
            <w:tcW w:w="1838" w:type="dxa"/>
          </w:tcPr>
          <w:p w14:paraId="686E230F" w14:textId="4BE55597"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0.31</w:t>
            </w:r>
          </w:p>
        </w:tc>
        <w:tc>
          <w:tcPr>
            <w:tcW w:w="713" w:type="dxa"/>
          </w:tcPr>
          <w:p w14:paraId="6443F42D" w14:textId="685267D2"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0.16</w:t>
            </w:r>
          </w:p>
        </w:tc>
        <w:tc>
          <w:tcPr>
            <w:tcW w:w="284" w:type="dxa"/>
          </w:tcPr>
          <w:p w14:paraId="1DFB5A9C" w14:textId="77777777" w:rsidR="001D0750" w:rsidRPr="00F05917" w:rsidRDefault="001D0750" w:rsidP="00B344B4">
            <w:pPr>
              <w:widowControl w:val="0"/>
              <w:autoSpaceDE w:val="0"/>
              <w:autoSpaceDN w:val="0"/>
              <w:adjustRightInd w:val="0"/>
              <w:spacing w:line="276" w:lineRule="auto"/>
              <w:rPr>
                <w:rFonts w:cstheme="minorHAnsi"/>
                <w:sz w:val="18"/>
                <w:szCs w:val="20"/>
              </w:rPr>
            </w:pPr>
          </w:p>
        </w:tc>
        <w:tc>
          <w:tcPr>
            <w:tcW w:w="1843" w:type="dxa"/>
          </w:tcPr>
          <w:p w14:paraId="4ECFDA9A" w14:textId="58D118A3"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0.001</w:t>
            </w:r>
          </w:p>
        </w:tc>
        <w:tc>
          <w:tcPr>
            <w:tcW w:w="567" w:type="dxa"/>
          </w:tcPr>
          <w:p w14:paraId="17022E2C" w14:textId="2CB3E8E1"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0.68</w:t>
            </w:r>
          </w:p>
        </w:tc>
        <w:tc>
          <w:tcPr>
            <w:tcW w:w="1842" w:type="dxa"/>
          </w:tcPr>
          <w:p w14:paraId="49B21ADC" w14:textId="501DA90A"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0.047</w:t>
            </w:r>
          </w:p>
        </w:tc>
        <w:tc>
          <w:tcPr>
            <w:tcW w:w="709" w:type="dxa"/>
          </w:tcPr>
          <w:p w14:paraId="50BD51B2" w14:textId="40CE1155"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0.46</w:t>
            </w:r>
          </w:p>
        </w:tc>
        <w:tc>
          <w:tcPr>
            <w:tcW w:w="1701" w:type="dxa"/>
          </w:tcPr>
          <w:p w14:paraId="09F40976" w14:textId="724145E5"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0.99</w:t>
            </w:r>
          </w:p>
        </w:tc>
        <w:tc>
          <w:tcPr>
            <w:tcW w:w="709" w:type="dxa"/>
          </w:tcPr>
          <w:p w14:paraId="721BA7A4" w14:textId="5E1318E9"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0.15</w:t>
            </w:r>
          </w:p>
        </w:tc>
        <w:tc>
          <w:tcPr>
            <w:tcW w:w="1843" w:type="dxa"/>
          </w:tcPr>
          <w:p w14:paraId="29FB2C20" w14:textId="2F3A8DEC"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0.007</w:t>
            </w:r>
          </w:p>
        </w:tc>
        <w:tc>
          <w:tcPr>
            <w:tcW w:w="708" w:type="dxa"/>
          </w:tcPr>
          <w:p w14:paraId="23D890AF" w14:textId="7C3736FD"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0.92</w:t>
            </w:r>
          </w:p>
        </w:tc>
      </w:tr>
      <w:tr w:rsidR="004F6EAB" w:rsidRPr="004F6EAB" w14:paraId="5B977E0A" w14:textId="5EED5C62" w:rsidTr="0009130E">
        <w:tc>
          <w:tcPr>
            <w:tcW w:w="856" w:type="dxa"/>
            <w:tcBorders>
              <w:bottom w:val="single" w:sz="4" w:space="0" w:color="auto"/>
            </w:tcBorders>
          </w:tcPr>
          <w:p w14:paraId="5D39D82A" w14:textId="70DA20DC"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Np/Nc</w:t>
            </w:r>
          </w:p>
        </w:tc>
        <w:tc>
          <w:tcPr>
            <w:tcW w:w="1843" w:type="dxa"/>
            <w:tcBorders>
              <w:bottom w:val="single" w:sz="4" w:space="0" w:color="auto"/>
            </w:tcBorders>
          </w:tcPr>
          <w:p w14:paraId="0F26AD78" w14:textId="32373E13"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10861/5</w:t>
            </w:r>
          </w:p>
        </w:tc>
        <w:tc>
          <w:tcPr>
            <w:tcW w:w="709" w:type="dxa"/>
            <w:tcBorders>
              <w:bottom w:val="single" w:sz="4" w:space="0" w:color="auto"/>
            </w:tcBorders>
          </w:tcPr>
          <w:p w14:paraId="59D99688"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38" w:type="dxa"/>
            <w:tcBorders>
              <w:bottom w:val="single" w:sz="4" w:space="0" w:color="auto"/>
            </w:tcBorders>
          </w:tcPr>
          <w:p w14:paraId="0B70B341" w14:textId="488CFB66"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10824/5</w:t>
            </w:r>
          </w:p>
        </w:tc>
        <w:tc>
          <w:tcPr>
            <w:tcW w:w="713" w:type="dxa"/>
            <w:tcBorders>
              <w:bottom w:val="single" w:sz="4" w:space="0" w:color="auto"/>
            </w:tcBorders>
          </w:tcPr>
          <w:p w14:paraId="287FB1BD" w14:textId="3C6D18F6" w:rsidR="00B344B4" w:rsidRPr="00F05917" w:rsidRDefault="00B344B4" w:rsidP="00B344B4">
            <w:pPr>
              <w:widowControl w:val="0"/>
              <w:autoSpaceDE w:val="0"/>
              <w:autoSpaceDN w:val="0"/>
              <w:adjustRightInd w:val="0"/>
              <w:spacing w:line="276" w:lineRule="auto"/>
              <w:rPr>
                <w:rFonts w:cstheme="minorHAnsi"/>
                <w:sz w:val="18"/>
                <w:szCs w:val="20"/>
              </w:rPr>
            </w:pPr>
          </w:p>
        </w:tc>
        <w:tc>
          <w:tcPr>
            <w:tcW w:w="284" w:type="dxa"/>
            <w:tcBorders>
              <w:bottom w:val="single" w:sz="4" w:space="0" w:color="auto"/>
            </w:tcBorders>
          </w:tcPr>
          <w:p w14:paraId="7D9981E7" w14:textId="5BF3869A"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05196B17" w14:textId="1F75A3C7"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8380/5</w:t>
            </w:r>
          </w:p>
        </w:tc>
        <w:tc>
          <w:tcPr>
            <w:tcW w:w="567" w:type="dxa"/>
            <w:tcBorders>
              <w:bottom w:val="single" w:sz="4" w:space="0" w:color="auto"/>
            </w:tcBorders>
          </w:tcPr>
          <w:p w14:paraId="3B2E01AF"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2" w:type="dxa"/>
            <w:tcBorders>
              <w:bottom w:val="single" w:sz="4" w:space="0" w:color="auto"/>
            </w:tcBorders>
          </w:tcPr>
          <w:p w14:paraId="6F03767B" w14:textId="44BB48CF"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7640/5</w:t>
            </w:r>
          </w:p>
        </w:tc>
        <w:tc>
          <w:tcPr>
            <w:tcW w:w="709" w:type="dxa"/>
            <w:tcBorders>
              <w:bottom w:val="single" w:sz="4" w:space="0" w:color="auto"/>
            </w:tcBorders>
          </w:tcPr>
          <w:p w14:paraId="72E539B4"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701" w:type="dxa"/>
            <w:tcBorders>
              <w:bottom w:val="single" w:sz="4" w:space="0" w:color="auto"/>
            </w:tcBorders>
          </w:tcPr>
          <w:p w14:paraId="5EE39351" w14:textId="4FF11664"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2128/2</w:t>
            </w:r>
          </w:p>
        </w:tc>
        <w:tc>
          <w:tcPr>
            <w:tcW w:w="709" w:type="dxa"/>
            <w:tcBorders>
              <w:bottom w:val="single" w:sz="4" w:space="0" w:color="auto"/>
            </w:tcBorders>
          </w:tcPr>
          <w:p w14:paraId="57F0E5DC"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038D35AB" w14:textId="4CB838B9"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2081/2</w:t>
            </w:r>
          </w:p>
        </w:tc>
        <w:tc>
          <w:tcPr>
            <w:tcW w:w="708" w:type="dxa"/>
            <w:tcBorders>
              <w:bottom w:val="single" w:sz="4" w:space="0" w:color="auto"/>
            </w:tcBorders>
          </w:tcPr>
          <w:p w14:paraId="52FE0F11"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r>
      <w:tr w:rsidR="004F6EAB" w:rsidRPr="004F6EAB" w14:paraId="24015ECF" w14:textId="77777777" w:rsidTr="0009130E">
        <w:tc>
          <w:tcPr>
            <w:tcW w:w="856" w:type="dxa"/>
            <w:tcBorders>
              <w:top w:val="single" w:sz="4" w:space="0" w:color="auto"/>
            </w:tcBorders>
          </w:tcPr>
          <w:p w14:paraId="42119FD7" w14:textId="53524B8B"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i/>
                <w:iCs/>
                <w:sz w:val="18"/>
                <w:szCs w:val="20"/>
              </w:rPr>
              <w:t>Late</w:t>
            </w:r>
          </w:p>
        </w:tc>
        <w:tc>
          <w:tcPr>
            <w:tcW w:w="1843" w:type="dxa"/>
            <w:tcBorders>
              <w:top w:val="single" w:sz="4" w:space="0" w:color="auto"/>
            </w:tcBorders>
          </w:tcPr>
          <w:p w14:paraId="392DC25D" w14:textId="5E12ED32"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16.9 (4.0, 29.9)</w:t>
            </w:r>
          </w:p>
        </w:tc>
        <w:tc>
          <w:tcPr>
            <w:tcW w:w="709" w:type="dxa"/>
            <w:tcBorders>
              <w:top w:val="single" w:sz="4" w:space="0" w:color="auto"/>
            </w:tcBorders>
          </w:tcPr>
          <w:p w14:paraId="2B8639A9" w14:textId="73DF7E06"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40</w:t>
            </w:r>
          </w:p>
        </w:tc>
        <w:tc>
          <w:tcPr>
            <w:tcW w:w="1838" w:type="dxa"/>
            <w:tcBorders>
              <w:top w:val="single" w:sz="4" w:space="0" w:color="auto"/>
            </w:tcBorders>
          </w:tcPr>
          <w:p w14:paraId="575ED3FF" w14:textId="099A89D2"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0.02 (-0.01, 0.05)</w:t>
            </w:r>
          </w:p>
        </w:tc>
        <w:tc>
          <w:tcPr>
            <w:tcW w:w="713" w:type="dxa"/>
            <w:tcBorders>
              <w:top w:val="single" w:sz="4" w:space="0" w:color="auto"/>
            </w:tcBorders>
          </w:tcPr>
          <w:p w14:paraId="369774A8" w14:textId="08A5F244"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2</w:t>
            </w:r>
          </w:p>
        </w:tc>
        <w:tc>
          <w:tcPr>
            <w:tcW w:w="284" w:type="dxa"/>
            <w:tcBorders>
              <w:top w:val="single" w:sz="4" w:space="0" w:color="auto"/>
            </w:tcBorders>
          </w:tcPr>
          <w:p w14:paraId="6BF7C20A" w14:textId="38037BAE"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top w:val="single" w:sz="4" w:space="0" w:color="auto"/>
            </w:tcBorders>
          </w:tcPr>
          <w:p w14:paraId="1ADBE2C3" w14:textId="3C0391CF"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0.05 (-0.02, 0.12)</w:t>
            </w:r>
          </w:p>
        </w:tc>
        <w:tc>
          <w:tcPr>
            <w:tcW w:w="567" w:type="dxa"/>
            <w:tcBorders>
              <w:top w:val="single" w:sz="4" w:space="0" w:color="auto"/>
            </w:tcBorders>
          </w:tcPr>
          <w:p w14:paraId="00970053" w14:textId="698574BF"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55</w:t>
            </w:r>
          </w:p>
        </w:tc>
        <w:tc>
          <w:tcPr>
            <w:tcW w:w="1842" w:type="dxa"/>
            <w:tcBorders>
              <w:top w:val="single" w:sz="4" w:space="0" w:color="auto"/>
            </w:tcBorders>
          </w:tcPr>
          <w:p w14:paraId="3BF42D72" w14:textId="17227F9E"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0.03 (0.01, 0.06)</w:t>
            </w:r>
          </w:p>
        </w:tc>
        <w:tc>
          <w:tcPr>
            <w:tcW w:w="709" w:type="dxa"/>
            <w:tcBorders>
              <w:top w:val="single" w:sz="4" w:space="0" w:color="auto"/>
            </w:tcBorders>
          </w:tcPr>
          <w:p w14:paraId="21803839" w14:textId="24F4DB14"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701" w:type="dxa"/>
            <w:tcBorders>
              <w:top w:val="single" w:sz="4" w:space="0" w:color="auto"/>
            </w:tcBorders>
          </w:tcPr>
          <w:p w14:paraId="4EF99E6D" w14:textId="21868BD2"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0.11 (0.02, 0.20)</w:t>
            </w:r>
          </w:p>
        </w:tc>
        <w:tc>
          <w:tcPr>
            <w:tcW w:w="709" w:type="dxa"/>
            <w:tcBorders>
              <w:top w:val="single" w:sz="4" w:space="0" w:color="auto"/>
            </w:tcBorders>
          </w:tcPr>
          <w:p w14:paraId="593F8C85" w14:textId="512A0A65"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w:t>
            </w:r>
          </w:p>
        </w:tc>
        <w:tc>
          <w:tcPr>
            <w:tcW w:w="1843" w:type="dxa"/>
            <w:tcBorders>
              <w:top w:val="single" w:sz="4" w:space="0" w:color="auto"/>
            </w:tcBorders>
          </w:tcPr>
          <w:p w14:paraId="75FEAABF" w14:textId="375BB788"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0.04 (-0.02, 0.10)</w:t>
            </w:r>
          </w:p>
        </w:tc>
        <w:tc>
          <w:tcPr>
            <w:tcW w:w="708" w:type="dxa"/>
            <w:tcBorders>
              <w:top w:val="single" w:sz="4" w:space="0" w:color="auto"/>
            </w:tcBorders>
          </w:tcPr>
          <w:p w14:paraId="45E958D3" w14:textId="34705FAC"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r>
      <w:tr w:rsidR="001D0750" w:rsidRPr="004F6EAB" w14:paraId="6AB1CB49" w14:textId="77777777" w:rsidTr="0009130E">
        <w:tc>
          <w:tcPr>
            <w:tcW w:w="856" w:type="dxa"/>
          </w:tcPr>
          <w:p w14:paraId="0B09E76B" w14:textId="149C35D5" w:rsidR="001D0750" w:rsidRPr="00F05917" w:rsidRDefault="00B75CF5" w:rsidP="00B344B4">
            <w:pPr>
              <w:widowControl w:val="0"/>
              <w:autoSpaceDE w:val="0"/>
              <w:autoSpaceDN w:val="0"/>
              <w:adjustRightInd w:val="0"/>
              <w:spacing w:line="276" w:lineRule="auto"/>
              <w:rPr>
                <w:rFonts w:cstheme="minorHAnsi"/>
                <w:i/>
                <w:iCs/>
                <w:sz w:val="18"/>
                <w:szCs w:val="20"/>
              </w:rPr>
            </w:pPr>
            <w:r w:rsidRPr="00F05917">
              <w:rPr>
                <w:rFonts w:cstheme="minorHAnsi"/>
                <w:i/>
                <w:iCs/>
                <w:sz w:val="18"/>
                <w:szCs w:val="20"/>
              </w:rPr>
              <w:t>P-value</w:t>
            </w:r>
          </w:p>
        </w:tc>
        <w:tc>
          <w:tcPr>
            <w:tcW w:w="1843" w:type="dxa"/>
          </w:tcPr>
          <w:p w14:paraId="15FFB2E4" w14:textId="1749CB87"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0.010</w:t>
            </w:r>
          </w:p>
        </w:tc>
        <w:tc>
          <w:tcPr>
            <w:tcW w:w="709" w:type="dxa"/>
          </w:tcPr>
          <w:p w14:paraId="0D7E7F17" w14:textId="4A904823"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0.19</w:t>
            </w:r>
          </w:p>
        </w:tc>
        <w:tc>
          <w:tcPr>
            <w:tcW w:w="1838" w:type="dxa"/>
          </w:tcPr>
          <w:p w14:paraId="48DE59EA" w14:textId="3503C261"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0.16</w:t>
            </w:r>
          </w:p>
        </w:tc>
        <w:tc>
          <w:tcPr>
            <w:tcW w:w="713" w:type="dxa"/>
          </w:tcPr>
          <w:p w14:paraId="152C4791" w14:textId="78C2126A"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0.36</w:t>
            </w:r>
          </w:p>
        </w:tc>
        <w:tc>
          <w:tcPr>
            <w:tcW w:w="284" w:type="dxa"/>
          </w:tcPr>
          <w:p w14:paraId="5EC24C2F" w14:textId="77777777" w:rsidR="001D0750" w:rsidRPr="00F05917" w:rsidRDefault="001D0750" w:rsidP="00B344B4">
            <w:pPr>
              <w:widowControl w:val="0"/>
              <w:autoSpaceDE w:val="0"/>
              <w:autoSpaceDN w:val="0"/>
              <w:adjustRightInd w:val="0"/>
              <w:spacing w:line="276" w:lineRule="auto"/>
              <w:rPr>
                <w:rFonts w:cstheme="minorHAnsi"/>
                <w:sz w:val="18"/>
                <w:szCs w:val="20"/>
              </w:rPr>
            </w:pPr>
          </w:p>
        </w:tc>
        <w:tc>
          <w:tcPr>
            <w:tcW w:w="1843" w:type="dxa"/>
          </w:tcPr>
          <w:p w14:paraId="5EF17DFD" w14:textId="01935528"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0.13</w:t>
            </w:r>
          </w:p>
        </w:tc>
        <w:tc>
          <w:tcPr>
            <w:tcW w:w="567" w:type="dxa"/>
          </w:tcPr>
          <w:p w14:paraId="717B47B8" w14:textId="7F79C8B8"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0.11</w:t>
            </w:r>
          </w:p>
        </w:tc>
        <w:tc>
          <w:tcPr>
            <w:tcW w:w="1842" w:type="dxa"/>
          </w:tcPr>
          <w:p w14:paraId="217B64DE" w14:textId="0EF4E79F"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0.012</w:t>
            </w:r>
          </w:p>
        </w:tc>
        <w:tc>
          <w:tcPr>
            <w:tcW w:w="709" w:type="dxa"/>
          </w:tcPr>
          <w:p w14:paraId="15D9586A" w14:textId="1120C9C2"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0.47</w:t>
            </w:r>
          </w:p>
        </w:tc>
        <w:tc>
          <w:tcPr>
            <w:tcW w:w="1701" w:type="dxa"/>
          </w:tcPr>
          <w:p w14:paraId="4E21A416" w14:textId="0701A96D"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0.019</w:t>
            </w:r>
          </w:p>
        </w:tc>
        <w:tc>
          <w:tcPr>
            <w:tcW w:w="709" w:type="dxa"/>
          </w:tcPr>
          <w:p w14:paraId="7BA0C810" w14:textId="758BA42C"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w:t>
            </w:r>
          </w:p>
        </w:tc>
        <w:tc>
          <w:tcPr>
            <w:tcW w:w="1843" w:type="dxa"/>
          </w:tcPr>
          <w:p w14:paraId="6228197A" w14:textId="3B2650A9"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0.19</w:t>
            </w:r>
          </w:p>
        </w:tc>
        <w:tc>
          <w:tcPr>
            <w:tcW w:w="708" w:type="dxa"/>
          </w:tcPr>
          <w:p w14:paraId="37664D57" w14:textId="5A1F01AB" w:rsidR="001D0750" w:rsidRPr="00F05917" w:rsidRDefault="00430199" w:rsidP="00B344B4">
            <w:pPr>
              <w:widowControl w:val="0"/>
              <w:autoSpaceDE w:val="0"/>
              <w:autoSpaceDN w:val="0"/>
              <w:adjustRightInd w:val="0"/>
              <w:spacing w:line="276" w:lineRule="auto"/>
              <w:rPr>
                <w:rFonts w:cstheme="minorHAnsi"/>
                <w:sz w:val="18"/>
                <w:szCs w:val="20"/>
              </w:rPr>
            </w:pPr>
            <w:r>
              <w:rPr>
                <w:rFonts w:cstheme="minorHAnsi"/>
                <w:sz w:val="18"/>
                <w:szCs w:val="20"/>
              </w:rPr>
              <w:t>0.44</w:t>
            </w:r>
          </w:p>
        </w:tc>
      </w:tr>
      <w:tr w:rsidR="004F6EAB" w:rsidRPr="004F6EAB" w14:paraId="082C38D6" w14:textId="77777777" w:rsidTr="0009130E">
        <w:tc>
          <w:tcPr>
            <w:tcW w:w="856" w:type="dxa"/>
            <w:tcBorders>
              <w:bottom w:val="single" w:sz="4" w:space="0" w:color="auto"/>
            </w:tcBorders>
          </w:tcPr>
          <w:p w14:paraId="5AB3B1D7" w14:textId="18314D66" w:rsidR="00B344B4" w:rsidRPr="00F05917" w:rsidRDefault="00B344B4"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Np/Nc</w:t>
            </w:r>
          </w:p>
        </w:tc>
        <w:tc>
          <w:tcPr>
            <w:tcW w:w="1843" w:type="dxa"/>
            <w:tcBorders>
              <w:bottom w:val="single" w:sz="4" w:space="0" w:color="auto"/>
            </w:tcBorders>
          </w:tcPr>
          <w:p w14:paraId="3ABA74AD" w14:textId="7B590285"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40</w:t>
            </w:r>
          </w:p>
        </w:tc>
        <w:tc>
          <w:tcPr>
            <w:tcW w:w="709" w:type="dxa"/>
            <w:tcBorders>
              <w:bottom w:val="single" w:sz="4" w:space="0" w:color="auto"/>
            </w:tcBorders>
          </w:tcPr>
          <w:p w14:paraId="1E1AD615"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38" w:type="dxa"/>
            <w:tcBorders>
              <w:bottom w:val="single" w:sz="4" w:space="0" w:color="auto"/>
            </w:tcBorders>
          </w:tcPr>
          <w:p w14:paraId="0693B72E" w14:textId="6812EBF2"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15783/3</w:t>
            </w:r>
          </w:p>
        </w:tc>
        <w:tc>
          <w:tcPr>
            <w:tcW w:w="713" w:type="dxa"/>
            <w:tcBorders>
              <w:bottom w:val="single" w:sz="4" w:space="0" w:color="auto"/>
            </w:tcBorders>
          </w:tcPr>
          <w:p w14:paraId="53E6DBE9"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284" w:type="dxa"/>
            <w:tcBorders>
              <w:bottom w:val="single" w:sz="4" w:space="0" w:color="auto"/>
            </w:tcBorders>
          </w:tcPr>
          <w:p w14:paraId="6BE70120" w14:textId="6B6319EF"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18232948" w14:textId="27AF13DD"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12954/3</w:t>
            </w:r>
          </w:p>
        </w:tc>
        <w:tc>
          <w:tcPr>
            <w:tcW w:w="567" w:type="dxa"/>
            <w:tcBorders>
              <w:bottom w:val="single" w:sz="4" w:space="0" w:color="auto"/>
            </w:tcBorders>
          </w:tcPr>
          <w:p w14:paraId="17F35DFD"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2" w:type="dxa"/>
            <w:tcBorders>
              <w:bottom w:val="single" w:sz="4" w:space="0" w:color="auto"/>
            </w:tcBorders>
          </w:tcPr>
          <w:p w14:paraId="6E697A8A" w14:textId="6B88914E" w:rsidR="00B344B4" w:rsidRPr="00F05917" w:rsidRDefault="00A66190"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13103/3</w:t>
            </w:r>
          </w:p>
        </w:tc>
        <w:tc>
          <w:tcPr>
            <w:tcW w:w="709" w:type="dxa"/>
            <w:tcBorders>
              <w:bottom w:val="single" w:sz="4" w:space="0" w:color="auto"/>
            </w:tcBorders>
          </w:tcPr>
          <w:p w14:paraId="5F8EF2D9"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701" w:type="dxa"/>
            <w:tcBorders>
              <w:bottom w:val="single" w:sz="4" w:space="0" w:color="auto"/>
            </w:tcBorders>
          </w:tcPr>
          <w:p w14:paraId="0A074C45" w14:textId="4B6DDFA8"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2308/1</w:t>
            </w:r>
          </w:p>
        </w:tc>
        <w:tc>
          <w:tcPr>
            <w:tcW w:w="709" w:type="dxa"/>
            <w:tcBorders>
              <w:bottom w:val="single" w:sz="4" w:space="0" w:color="auto"/>
            </w:tcBorders>
          </w:tcPr>
          <w:p w14:paraId="5505B9F3"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57BB72AC" w14:textId="3E7BF4F0" w:rsidR="00B344B4" w:rsidRPr="00F05917" w:rsidRDefault="00272087" w:rsidP="00B344B4">
            <w:pPr>
              <w:widowControl w:val="0"/>
              <w:autoSpaceDE w:val="0"/>
              <w:autoSpaceDN w:val="0"/>
              <w:adjustRightInd w:val="0"/>
              <w:spacing w:line="276" w:lineRule="auto"/>
              <w:rPr>
                <w:rFonts w:cstheme="minorHAnsi"/>
                <w:sz w:val="18"/>
                <w:szCs w:val="20"/>
              </w:rPr>
            </w:pPr>
            <w:r w:rsidRPr="00F05917">
              <w:rPr>
                <w:rFonts w:cstheme="minorHAnsi"/>
                <w:sz w:val="18"/>
                <w:szCs w:val="20"/>
              </w:rPr>
              <w:t>3841/2</w:t>
            </w:r>
          </w:p>
        </w:tc>
        <w:tc>
          <w:tcPr>
            <w:tcW w:w="708" w:type="dxa"/>
            <w:tcBorders>
              <w:bottom w:val="single" w:sz="4" w:space="0" w:color="auto"/>
            </w:tcBorders>
          </w:tcPr>
          <w:p w14:paraId="4D2B10B1" w14:textId="77777777" w:rsidR="00B344B4" w:rsidRPr="00F05917" w:rsidRDefault="00B344B4" w:rsidP="00B344B4">
            <w:pPr>
              <w:widowControl w:val="0"/>
              <w:autoSpaceDE w:val="0"/>
              <w:autoSpaceDN w:val="0"/>
              <w:adjustRightInd w:val="0"/>
              <w:spacing w:line="276" w:lineRule="auto"/>
              <w:rPr>
                <w:rFonts w:cstheme="minorHAnsi"/>
                <w:sz w:val="18"/>
                <w:szCs w:val="20"/>
              </w:rPr>
            </w:pPr>
          </w:p>
        </w:tc>
      </w:tr>
    </w:tbl>
    <w:p w14:paraId="4645B671" w14:textId="77777777" w:rsidR="00F01FB3" w:rsidRPr="004F6EAB" w:rsidRDefault="00F01FB3" w:rsidP="00F01FB3">
      <w:pPr>
        <w:spacing w:after="0"/>
        <w:rPr>
          <w:rFonts w:ascii="Times New Roman" w:hAnsi="Times New Roman" w:cs="Times New Roman"/>
          <w:sz w:val="20"/>
          <w:szCs w:val="20"/>
        </w:rPr>
      </w:pPr>
    </w:p>
    <w:p w14:paraId="17BB63CF" w14:textId="6BE8DBE9" w:rsidR="00F01FB3" w:rsidRPr="004F6EAB" w:rsidRDefault="00F01FB3" w:rsidP="00F01FB3">
      <w:pPr>
        <w:spacing w:after="0"/>
        <w:rPr>
          <w:rFonts w:cstheme="minorHAnsi"/>
          <w:sz w:val="20"/>
          <w:szCs w:val="20"/>
        </w:rPr>
      </w:pPr>
      <w:r w:rsidRPr="004F6EAB">
        <w:rPr>
          <w:rFonts w:cstheme="minorHAnsi"/>
          <w:sz w:val="20"/>
          <w:szCs w:val="20"/>
        </w:rPr>
        <w:t>Values are adjusted pooled effect estimates [β (95% CI)]</w:t>
      </w:r>
      <w:r w:rsidR="008426AF" w:rsidRPr="004F6EAB">
        <w:rPr>
          <w:rFonts w:cstheme="minorHAnsi"/>
          <w:sz w:val="20"/>
          <w:szCs w:val="20"/>
        </w:rPr>
        <w:t xml:space="preserve"> expressed for a 1</w:t>
      </w:r>
      <w:r w:rsidR="000A0CB5" w:rsidRPr="004F6EAB">
        <w:rPr>
          <w:rFonts w:cstheme="minorHAnsi"/>
          <w:sz w:val="20"/>
          <w:szCs w:val="20"/>
        </w:rPr>
        <w:t>-</w:t>
      </w:r>
      <w:r w:rsidR="008426AF" w:rsidRPr="004F6EAB">
        <w:rPr>
          <w:rFonts w:cstheme="minorHAnsi"/>
          <w:sz w:val="20"/>
          <w:szCs w:val="20"/>
        </w:rPr>
        <w:t>SD increment in dietary scores</w:t>
      </w:r>
      <w:r w:rsidRPr="004F6EAB">
        <w:rPr>
          <w:rFonts w:cstheme="minorHAnsi"/>
          <w:sz w:val="20"/>
          <w:szCs w:val="20"/>
        </w:rPr>
        <w:t>, heterogeneity measure (</w:t>
      </w:r>
      <w:r w:rsidRPr="004F6EAB">
        <w:rPr>
          <w:rFonts w:cstheme="minorHAnsi"/>
          <w:i/>
          <w:iCs/>
          <w:sz w:val="20"/>
          <w:szCs w:val="20"/>
        </w:rPr>
        <w:t>I</w:t>
      </w:r>
      <w:r w:rsidRPr="004F6EAB">
        <w:rPr>
          <w:rFonts w:cstheme="minorHAnsi"/>
          <w:sz w:val="20"/>
          <w:szCs w:val="20"/>
          <w:vertAlign w:val="superscript"/>
        </w:rPr>
        <w:t>2</w:t>
      </w:r>
      <w:r w:rsidRPr="004F6EAB">
        <w:rPr>
          <w:rFonts w:cstheme="minorHAnsi"/>
          <w:sz w:val="20"/>
          <w:szCs w:val="20"/>
        </w:rPr>
        <w:t>), and number of participants and studies included (Np/Nc) across different outcomes and conception periods, as labelled. Effect estimates were adjusted for maternal education, ethnicity, pre-pregnancy BMI, maternal height, parity, energy intake</w:t>
      </w:r>
      <w:r w:rsidR="005C1A9D" w:rsidRPr="004F6EAB">
        <w:rPr>
          <w:rFonts w:cstheme="minorHAnsi"/>
          <w:sz w:val="20"/>
          <w:szCs w:val="20"/>
        </w:rPr>
        <w:t xml:space="preserve"> (for DASH)</w:t>
      </w:r>
      <w:r w:rsidRPr="004F6EAB">
        <w:rPr>
          <w:rFonts w:cstheme="minorHAnsi"/>
          <w:sz w:val="20"/>
          <w:szCs w:val="20"/>
        </w:rPr>
        <w:t>, cigarette smoking and alcohol consumption during pregnancy, and child sex.</w:t>
      </w:r>
    </w:p>
    <w:p w14:paraId="0AF0B154" w14:textId="16F9D393" w:rsidR="00F01FB3" w:rsidRPr="004F6EAB" w:rsidRDefault="00F01FB3" w:rsidP="00F01FB3">
      <w:pPr>
        <w:spacing w:after="0"/>
        <w:rPr>
          <w:rFonts w:cstheme="minorHAnsi"/>
          <w:sz w:val="20"/>
          <w:szCs w:val="20"/>
        </w:rPr>
      </w:pPr>
      <w:r w:rsidRPr="004F6EAB">
        <w:rPr>
          <w:rFonts w:cstheme="minorHAnsi"/>
          <w:sz w:val="20"/>
          <w:szCs w:val="20"/>
        </w:rPr>
        <w:lastRenderedPageBreak/>
        <w:t>E-DII, energy-adjusted Dietary Inflammatory Index; DASH, Dietary Approach</w:t>
      </w:r>
      <w:r w:rsidR="008D45D2" w:rsidRPr="004F6EAB">
        <w:rPr>
          <w:rFonts w:cstheme="minorHAnsi"/>
          <w:sz w:val="20"/>
          <w:szCs w:val="20"/>
        </w:rPr>
        <w:t>es</w:t>
      </w:r>
      <w:r w:rsidRPr="004F6EAB">
        <w:rPr>
          <w:rFonts w:cstheme="minorHAnsi"/>
          <w:sz w:val="20"/>
          <w:szCs w:val="20"/>
        </w:rPr>
        <w:t xml:space="preserve"> to Stop Hypertension; </w:t>
      </w:r>
      <w:r w:rsidRPr="004F6EAB">
        <w:rPr>
          <w:rFonts w:cstheme="minorHAnsi"/>
          <w:i/>
          <w:iCs/>
          <w:sz w:val="20"/>
          <w:szCs w:val="20"/>
        </w:rPr>
        <w:t>I</w:t>
      </w:r>
      <w:r w:rsidRPr="004F6EAB">
        <w:rPr>
          <w:rFonts w:cstheme="minorHAnsi"/>
          <w:sz w:val="20"/>
          <w:szCs w:val="20"/>
          <w:vertAlign w:val="superscript"/>
        </w:rPr>
        <w:t>2</w:t>
      </w:r>
      <w:r w:rsidRPr="004F6EAB">
        <w:rPr>
          <w:rFonts w:cstheme="minorHAnsi"/>
          <w:sz w:val="20"/>
          <w:szCs w:val="20"/>
        </w:rPr>
        <w:t xml:space="preserve">, </w:t>
      </w:r>
      <w:r w:rsidRPr="004F6EAB">
        <w:rPr>
          <w:rFonts w:cstheme="minorHAnsi"/>
          <w:i/>
          <w:iCs/>
          <w:sz w:val="20"/>
          <w:szCs w:val="20"/>
        </w:rPr>
        <w:t>I</w:t>
      </w:r>
      <w:r w:rsidRPr="004F6EAB">
        <w:rPr>
          <w:rFonts w:cstheme="minorHAnsi"/>
          <w:sz w:val="20"/>
          <w:szCs w:val="20"/>
        </w:rPr>
        <w:t>-squared;</w:t>
      </w:r>
      <w:r w:rsidRPr="004F6EAB">
        <w:rPr>
          <w:rFonts w:cstheme="minorHAnsi"/>
          <w:i/>
          <w:iCs/>
          <w:sz w:val="20"/>
          <w:szCs w:val="20"/>
        </w:rPr>
        <w:t xml:space="preserve"> </w:t>
      </w:r>
      <w:r w:rsidRPr="004F6EAB">
        <w:rPr>
          <w:rFonts w:cstheme="minorHAnsi"/>
          <w:sz w:val="20"/>
          <w:szCs w:val="20"/>
        </w:rPr>
        <w:t xml:space="preserve">Pre, pre-pregnancy; </w:t>
      </w:r>
      <w:proofErr w:type="spellStart"/>
      <w:r w:rsidRPr="004F6EAB">
        <w:rPr>
          <w:rFonts w:cstheme="minorHAnsi"/>
          <w:sz w:val="20"/>
          <w:szCs w:val="20"/>
        </w:rPr>
        <w:t>Preg</w:t>
      </w:r>
      <w:proofErr w:type="spellEnd"/>
      <w:r w:rsidRPr="004F6EAB">
        <w:rPr>
          <w:rFonts w:cstheme="minorHAnsi"/>
          <w:sz w:val="20"/>
          <w:szCs w:val="20"/>
        </w:rPr>
        <w:t xml:space="preserve">, pregnancy; Early, early pregnancy; Late, late pregnancy; Np, number of participants included; Nc, number of cohorts included. </w:t>
      </w:r>
    </w:p>
    <w:p w14:paraId="2795E055" w14:textId="221CBEB0" w:rsidR="0083552B" w:rsidRPr="004F6EAB" w:rsidRDefault="0083552B">
      <w:pPr>
        <w:rPr>
          <w:rFonts w:ascii="Times New Roman" w:hAnsi="Times New Roman" w:cs="Times New Roman"/>
          <w:sz w:val="24"/>
          <w:szCs w:val="24"/>
        </w:rPr>
      </w:pPr>
      <w:r w:rsidRPr="004F6EAB">
        <w:rPr>
          <w:rFonts w:ascii="Times New Roman" w:hAnsi="Times New Roman" w:cs="Times New Roman"/>
          <w:sz w:val="24"/>
          <w:szCs w:val="24"/>
        </w:rPr>
        <w:br w:type="page"/>
      </w:r>
    </w:p>
    <w:p w14:paraId="5A055BE2" w14:textId="214D0626" w:rsidR="00570CCC" w:rsidRPr="004F6EAB" w:rsidRDefault="0083552B" w:rsidP="006174BD">
      <w:pPr>
        <w:widowControl w:val="0"/>
        <w:autoSpaceDE w:val="0"/>
        <w:autoSpaceDN w:val="0"/>
        <w:adjustRightInd w:val="0"/>
        <w:spacing w:after="0" w:line="360" w:lineRule="auto"/>
        <w:rPr>
          <w:rFonts w:cstheme="minorHAnsi"/>
        </w:rPr>
      </w:pPr>
      <w:r w:rsidRPr="004F6EAB">
        <w:rPr>
          <w:rFonts w:cstheme="minorHAnsi"/>
          <w:b/>
          <w:bCs/>
        </w:rPr>
        <w:lastRenderedPageBreak/>
        <w:t xml:space="preserve">Table </w:t>
      </w:r>
      <w:r w:rsidR="008C18B3" w:rsidRPr="004F6EAB">
        <w:rPr>
          <w:rFonts w:cstheme="minorHAnsi"/>
          <w:b/>
          <w:bCs/>
        </w:rPr>
        <w:t>2</w:t>
      </w:r>
      <w:r w:rsidR="00DE6A13" w:rsidRPr="004F6EAB">
        <w:rPr>
          <w:rFonts w:cstheme="minorHAnsi"/>
          <w:b/>
          <w:bCs/>
        </w:rPr>
        <w:t xml:space="preserve"> </w:t>
      </w:r>
      <w:r w:rsidR="00570CCC" w:rsidRPr="004F6EAB">
        <w:rPr>
          <w:rFonts w:cstheme="minorHAnsi"/>
        </w:rPr>
        <w:t xml:space="preserve">Association between maternal E-DII and DASH scores </w:t>
      </w:r>
      <w:r w:rsidR="00454575" w:rsidRPr="004F6EAB">
        <w:rPr>
          <w:rFonts w:cstheme="minorHAnsi"/>
        </w:rPr>
        <w:t xml:space="preserve">(per </w:t>
      </w:r>
      <w:r w:rsidR="000A0CB5" w:rsidRPr="004F6EAB">
        <w:rPr>
          <w:rFonts w:cstheme="minorHAnsi"/>
        </w:rPr>
        <w:t>1-</w:t>
      </w:r>
      <w:r w:rsidR="00454575" w:rsidRPr="004F6EAB">
        <w:rPr>
          <w:rFonts w:cstheme="minorHAnsi"/>
        </w:rPr>
        <w:t xml:space="preserve">SD increase) </w:t>
      </w:r>
      <w:r w:rsidR="00570CCC" w:rsidRPr="004F6EAB">
        <w:rPr>
          <w:rFonts w:cstheme="minorHAnsi"/>
        </w:rPr>
        <w:t>and binary offspring outcomes in the ALPHABET consortium</w:t>
      </w:r>
    </w:p>
    <w:tbl>
      <w:tblPr>
        <w:tblStyle w:val="TableGrid"/>
        <w:tblW w:w="157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1843"/>
        <w:gridCol w:w="668"/>
        <w:gridCol w:w="1883"/>
        <w:gridCol w:w="709"/>
        <w:gridCol w:w="1701"/>
        <w:gridCol w:w="709"/>
        <w:gridCol w:w="1843"/>
        <w:gridCol w:w="708"/>
        <w:gridCol w:w="1848"/>
        <w:gridCol w:w="709"/>
        <w:gridCol w:w="1554"/>
        <w:gridCol w:w="709"/>
      </w:tblGrid>
      <w:tr w:rsidR="004F6EAB" w:rsidRPr="004F6EAB" w14:paraId="7576B26F" w14:textId="77777777" w:rsidTr="00026735">
        <w:tc>
          <w:tcPr>
            <w:tcW w:w="846" w:type="dxa"/>
            <w:tcBorders>
              <w:top w:val="single" w:sz="4" w:space="0" w:color="auto"/>
            </w:tcBorders>
          </w:tcPr>
          <w:p w14:paraId="4A3D0A59" w14:textId="77777777" w:rsidR="00570CCC" w:rsidRPr="00F05917" w:rsidRDefault="00570CCC" w:rsidP="00C6247E">
            <w:pPr>
              <w:widowControl w:val="0"/>
              <w:autoSpaceDE w:val="0"/>
              <w:autoSpaceDN w:val="0"/>
              <w:adjustRightInd w:val="0"/>
              <w:spacing w:line="276" w:lineRule="auto"/>
              <w:rPr>
                <w:rFonts w:cstheme="minorHAnsi"/>
                <w:sz w:val="18"/>
                <w:szCs w:val="20"/>
              </w:rPr>
            </w:pPr>
          </w:p>
        </w:tc>
        <w:tc>
          <w:tcPr>
            <w:tcW w:w="1843" w:type="dxa"/>
            <w:tcBorders>
              <w:top w:val="single" w:sz="4" w:space="0" w:color="auto"/>
              <w:bottom w:val="single" w:sz="4" w:space="0" w:color="auto"/>
            </w:tcBorders>
          </w:tcPr>
          <w:p w14:paraId="22C2C489" w14:textId="21662EE0" w:rsidR="00570CCC" w:rsidRPr="00F05917" w:rsidRDefault="00570CCC"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Low birth weight</w:t>
            </w:r>
          </w:p>
          <w:p w14:paraId="24FA8B32" w14:textId="77777777" w:rsidR="00570CCC" w:rsidRPr="00F05917" w:rsidRDefault="00570CCC" w:rsidP="00C6247E">
            <w:pPr>
              <w:widowControl w:val="0"/>
              <w:autoSpaceDE w:val="0"/>
              <w:autoSpaceDN w:val="0"/>
              <w:adjustRightInd w:val="0"/>
              <w:spacing w:line="276" w:lineRule="auto"/>
              <w:rPr>
                <w:rFonts w:cstheme="minorHAnsi"/>
                <w:sz w:val="18"/>
                <w:szCs w:val="20"/>
              </w:rPr>
            </w:pPr>
          </w:p>
        </w:tc>
        <w:tc>
          <w:tcPr>
            <w:tcW w:w="668" w:type="dxa"/>
            <w:tcBorders>
              <w:top w:val="single" w:sz="4" w:space="0" w:color="auto"/>
              <w:bottom w:val="single" w:sz="4" w:space="0" w:color="auto"/>
            </w:tcBorders>
          </w:tcPr>
          <w:p w14:paraId="3ABAC552" w14:textId="77777777" w:rsidR="00570CCC" w:rsidRPr="00F05917" w:rsidRDefault="00570CCC" w:rsidP="00C6247E">
            <w:pPr>
              <w:widowControl w:val="0"/>
              <w:autoSpaceDE w:val="0"/>
              <w:autoSpaceDN w:val="0"/>
              <w:adjustRightInd w:val="0"/>
              <w:spacing w:line="276" w:lineRule="auto"/>
              <w:rPr>
                <w:rFonts w:cstheme="minorHAnsi"/>
                <w:sz w:val="18"/>
                <w:szCs w:val="20"/>
              </w:rPr>
            </w:pPr>
          </w:p>
        </w:tc>
        <w:tc>
          <w:tcPr>
            <w:tcW w:w="1883" w:type="dxa"/>
            <w:tcBorders>
              <w:top w:val="single" w:sz="4" w:space="0" w:color="auto"/>
              <w:bottom w:val="single" w:sz="4" w:space="0" w:color="auto"/>
            </w:tcBorders>
          </w:tcPr>
          <w:p w14:paraId="2A30B18F" w14:textId="0B317047" w:rsidR="00570CCC" w:rsidRPr="00F05917" w:rsidRDefault="00570CCC"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SGA</w:t>
            </w:r>
          </w:p>
        </w:tc>
        <w:tc>
          <w:tcPr>
            <w:tcW w:w="709" w:type="dxa"/>
            <w:tcBorders>
              <w:top w:val="single" w:sz="4" w:space="0" w:color="auto"/>
              <w:bottom w:val="single" w:sz="4" w:space="0" w:color="auto"/>
            </w:tcBorders>
          </w:tcPr>
          <w:p w14:paraId="29187B77" w14:textId="77777777" w:rsidR="00570CCC" w:rsidRPr="00F05917" w:rsidRDefault="00570CCC" w:rsidP="00C6247E">
            <w:pPr>
              <w:widowControl w:val="0"/>
              <w:autoSpaceDE w:val="0"/>
              <w:autoSpaceDN w:val="0"/>
              <w:adjustRightInd w:val="0"/>
              <w:spacing w:line="276" w:lineRule="auto"/>
              <w:rPr>
                <w:rFonts w:cstheme="minorHAnsi"/>
                <w:sz w:val="18"/>
                <w:szCs w:val="20"/>
              </w:rPr>
            </w:pPr>
          </w:p>
        </w:tc>
        <w:tc>
          <w:tcPr>
            <w:tcW w:w="1701" w:type="dxa"/>
            <w:tcBorders>
              <w:top w:val="single" w:sz="4" w:space="0" w:color="auto"/>
              <w:bottom w:val="single" w:sz="4" w:space="0" w:color="auto"/>
            </w:tcBorders>
          </w:tcPr>
          <w:p w14:paraId="2B4546C5" w14:textId="588F0C8A" w:rsidR="00570CCC" w:rsidRPr="00F05917" w:rsidRDefault="00570CCC"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Macrosomia</w:t>
            </w:r>
          </w:p>
        </w:tc>
        <w:tc>
          <w:tcPr>
            <w:tcW w:w="709" w:type="dxa"/>
            <w:tcBorders>
              <w:top w:val="single" w:sz="4" w:space="0" w:color="auto"/>
              <w:bottom w:val="single" w:sz="4" w:space="0" w:color="auto"/>
            </w:tcBorders>
          </w:tcPr>
          <w:p w14:paraId="1BB8B26F" w14:textId="77777777" w:rsidR="00570CCC" w:rsidRPr="00F05917" w:rsidRDefault="00570CCC" w:rsidP="00C6247E">
            <w:pPr>
              <w:widowControl w:val="0"/>
              <w:autoSpaceDE w:val="0"/>
              <w:autoSpaceDN w:val="0"/>
              <w:adjustRightInd w:val="0"/>
              <w:spacing w:line="276" w:lineRule="auto"/>
              <w:rPr>
                <w:rFonts w:cstheme="minorHAnsi"/>
                <w:sz w:val="18"/>
                <w:szCs w:val="20"/>
              </w:rPr>
            </w:pPr>
          </w:p>
        </w:tc>
        <w:tc>
          <w:tcPr>
            <w:tcW w:w="1843" w:type="dxa"/>
            <w:tcBorders>
              <w:top w:val="single" w:sz="4" w:space="0" w:color="auto"/>
              <w:bottom w:val="single" w:sz="4" w:space="0" w:color="auto"/>
            </w:tcBorders>
          </w:tcPr>
          <w:p w14:paraId="17A20F03" w14:textId="286C60D0" w:rsidR="00570CCC" w:rsidRPr="00F05917" w:rsidRDefault="00570CCC"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LGA</w:t>
            </w:r>
          </w:p>
        </w:tc>
        <w:tc>
          <w:tcPr>
            <w:tcW w:w="708" w:type="dxa"/>
            <w:tcBorders>
              <w:top w:val="single" w:sz="4" w:space="0" w:color="auto"/>
              <w:bottom w:val="single" w:sz="4" w:space="0" w:color="auto"/>
            </w:tcBorders>
          </w:tcPr>
          <w:p w14:paraId="3F26B2E4" w14:textId="77777777" w:rsidR="00570CCC" w:rsidRPr="00F05917" w:rsidRDefault="00570CCC" w:rsidP="00C6247E">
            <w:pPr>
              <w:widowControl w:val="0"/>
              <w:autoSpaceDE w:val="0"/>
              <w:autoSpaceDN w:val="0"/>
              <w:adjustRightInd w:val="0"/>
              <w:spacing w:line="276" w:lineRule="auto"/>
              <w:rPr>
                <w:rFonts w:cstheme="minorHAnsi"/>
                <w:sz w:val="18"/>
                <w:szCs w:val="20"/>
              </w:rPr>
            </w:pPr>
          </w:p>
        </w:tc>
        <w:tc>
          <w:tcPr>
            <w:tcW w:w="1848" w:type="dxa"/>
            <w:tcBorders>
              <w:top w:val="single" w:sz="4" w:space="0" w:color="auto"/>
              <w:bottom w:val="single" w:sz="4" w:space="0" w:color="auto"/>
            </w:tcBorders>
          </w:tcPr>
          <w:p w14:paraId="4AA9B5A3" w14:textId="35C4F5A7" w:rsidR="00570CCC" w:rsidRPr="00F05917" w:rsidRDefault="00570CCC"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Preterm birth</w:t>
            </w:r>
          </w:p>
        </w:tc>
        <w:tc>
          <w:tcPr>
            <w:tcW w:w="709" w:type="dxa"/>
            <w:tcBorders>
              <w:top w:val="single" w:sz="4" w:space="0" w:color="auto"/>
              <w:bottom w:val="single" w:sz="4" w:space="0" w:color="auto"/>
            </w:tcBorders>
          </w:tcPr>
          <w:p w14:paraId="6BA9FBC3" w14:textId="77777777" w:rsidR="00570CCC" w:rsidRPr="00F05917" w:rsidRDefault="00570CCC" w:rsidP="00C6247E">
            <w:pPr>
              <w:widowControl w:val="0"/>
              <w:autoSpaceDE w:val="0"/>
              <w:autoSpaceDN w:val="0"/>
              <w:adjustRightInd w:val="0"/>
              <w:spacing w:line="276" w:lineRule="auto"/>
              <w:rPr>
                <w:rFonts w:cstheme="minorHAnsi"/>
                <w:sz w:val="18"/>
                <w:szCs w:val="20"/>
              </w:rPr>
            </w:pPr>
          </w:p>
        </w:tc>
        <w:tc>
          <w:tcPr>
            <w:tcW w:w="1554" w:type="dxa"/>
            <w:tcBorders>
              <w:top w:val="single" w:sz="4" w:space="0" w:color="auto"/>
              <w:bottom w:val="single" w:sz="4" w:space="0" w:color="auto"/>
            </w:tcBorders>
          </w:tcPr>
          <w:p w14:paraId="732C67F7" w14:textId="04D44441" w:rsidR="00570CCC" w:rsidRPr="00F05917" w:rsidRDefault="00570CCC"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Post-term birth</w:t>
            </w:r>
          </w:p>
        </w:tc>
        <w:tc>
          <w:tcPr>
            <w:tcW w:w="709" w:type="dxa"/>
            <w:tcBorders>
              <w:top w:val="single" w:sz="4" w:space="0" w:color="auto"/>
              <w:bottom w:val="single" w:sz="4" w:space="0" w:color="auto"/>
            </w:tcBorders>
          </w:tcPr>
          <w:p w14:paraId="099D5FF3" w14:textId="77777777" w:rsidR="00570CCC" w:rsidRPr="00F05917" w:rsidRDefault="00570CCC" w:rsidP="00C6247E">
            <w:pPr>
              <w:widowControl w:val="0"/>
              <w:autoSpaceDE w:val="0"/>
              <w:autoSpaceDN w:val="0"/>
              <w:adjustRightInd w:val="0"/>
              <w:spacing w:line="276" w:lineRule="auto"/>
              <w:rPr>
                <w:rFonts w:cstheme="minorHAnsi"/>
                <w:sz w:val="18"/>
                <w:szCs w:val="20"/>
              </w:rPr>
            </w:pPr>
          </w:p>
        </w:tc>
      </w:tr>
      <w:tr w:rsidR="004F6EAB" w:rsidRPr="004F6EAB" w14:paraId="24FE1355" w14:textId="77777777" w:rsidTr="00026735">
        <w:tc>
          <w:tcPr>
            <w:tcW w:w="846" w:type="dxa"/>
            <w:tcBorders>
              <w:bottom w:val="single" w:sz="4" w:space="0" w:color="auto"/>
            </w:tcBorders>
          </w:tcPr>
          <w:p w14:paraId="65A83F43" w14:textId="77777777" w:rsidR="00570CCC" w:rsidRPr="00F05917" w:rsidRDefault="00570CCC" w:rsidP="00C6247E">
            <w:pPr>
              <w:widowControl w:val="0"/>
              <w:autoSpaceDE w:val="0"/>
              <w:autoSpaceDN w:val="0"/>
              <w:adjustRightInd w:val="0"/>
              <w:spacing w:line="276" w:lineRule="auto"/>
              <w:rPr>
                <w:rFonts w:cstheme="minorHAnsi"/>
                <w:sz w:val="18"/>
                <w:szCs w:val="20"/>
              </w:rPr>
            </w:pPr>
          </w:p>
        </w:tc>
        <w:tc>
          <w:tcPr>
            <w:tcW w:w="1843" w:type="dxa"/>
            <w:tcBorders>
              <w:top w:val="single" w:sz="4" w:space="0" w:color="auto"/>
              <w:bottom w:val="single" w:sz="4" w:space="0" w:color="auto"/>
            </w:tcBorders>
          </w:tcPr>
          <w:p w14:paraId="028FDFC2" w14:textId="7FB13562" w:rsidR="00570CCC" w:rsidRPr="00F05917" w:rsidRDefault="00570CCC"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OR (95% CI)</w:t>
            </w:r>
          </w:p>
        </w:tc>
        <w:tc>
          <w:tcPr>
            <w:tcW w:w="668" w:type="dxa"/>
            <w:tcBorders>
              <w:top w:val="single" w:sz="4" w:space="0" w:color="auto"/>
              <w:bottom w:val="single" w:sz="4" w:space="0" w:color="auto"/>
            </w:tcBorders>
          </w:tcPr>
          <w:p w14:paraId="6487D6F6" w14:textId="77777777" w:rsidR="00570CCC" w:rsidRPr="00F05917" w:rsidRDefault="00570CCC" w:rsidP="00C6247E">
            <w:pPr>
              <w:widowControl w:val="0"/>
              <w:autoSpaceDE w:val="0"/>
              <w:autoSpaceDN w:val="0"/>
              <w:adjustRightInd w:val="0"/>
              <w:spacing w:line="276" w:lineRule="auto"/>
              <w:rPr>
                <w:rFonts w:cstheme="minorHAnsi"/>
                <w:i/>
                <w:iCs/>
                <w:sz w:val="18"/>
                <w:szCs w:val="20"/>
              </w:rPr>
            </w:pPr>
            <w:r w:rsidRPr="00F05917">
              <w:rPr>
                <w:rFonts w:cstheme="minorHAnsi"/>
                <w:i/>
                <w:iCs/>
                <w:sz w:val="18"/>
                <w:szCs w:val="20"/>
              </w:rPr>
              <w:t>I</w:t>
            </w:r>
            <w:r w:rsidRPr="00F05917">
              <w:rPr>
                <w:rFonts w:cstheme="minorHAnsi"/>
                <w:i/>
                <w:iCs/>
                <w:sz w:val="18"/>
                <w:szCs w:val="20"/>
                <w:vertAlign w:val="superscript"/>
              </w:rPr>
              <w:t xml:space="preserve">2 </w:t>
            </w:r>
            <w:r w:rsidRPr="00F05917">
              <w:rPr>
                <w:rFonts w:cstheme="minorHAnsi"/>
                <w:i/>
                <w:iCs/>
                <w:sz w:val="18"/>
                <w:szCs w:val="20"/>
              </w:rPr>
              <w:t>(%)</w:t>
            </w:r>
          </w:p>
        </w:tc>
        <w:tc>
          <w:tcPr>
            <w:tcW w:w="1883" w:type="dxa"/>
            <w:tcBorders>
              <w:top w:val="single" w:sz="4" w:space="0" w:color="auto"/>
              <w:bottom w:val="single" w:sz="4" w:space="0" w:color="auto"/>
            </w:tcBorders>
          </w:tcPr>
          <w:p w14:paraId="4A4E9221" w14:textId="3F666DA2" w:rsidR="00570CCC" w:rsidRPr="00F05917" w:rsidRDefault="00570CCC"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OR (95% CI)</w:t>
            </w:r>
          </w:p>
        </w:tc>
        <w:tc>
          <w:tcPr>
            <w:tcW w:w="709" w:type="dxa"/>
            <w:tcBorders>
              <w:top w:val="single" w:sz="4" w:space="0" w:color="auto"/>
              <w:bottom w:val="single" w:sz="4" w:space="0" w:color="auto"/>
            </w:tcBorders>
          </w:tcPr>
          <w:p w14:paraId="4348E902" w14:textId="77777777" w:rsidR="00570CCC" w:rsidRPr="00F05917" w:rsidRDefault="00570CCC" w:rsidP="00C6247E">
            <w:pPr>
              <w:widowControl w:val="0"/>
              <w:autoSpaceDE w:val="0"/>
              <w:autoSpaceDN w:val="0"/>
              <w:adjustRightInd w:val="0"/>
              <w:spacing w:line="276" w:lineRule="auto"/>
              <w:rPr>
                <w:rFonts w:cstheme="minorHAnsi"/>
                <w:sz w:val="18"/>
                <w:szCs w:val="20"/>
              </w:rPr>
            </w:pPr>
            <w:r w:rsidRPr="00F05917">
              <w:rPr>
                <w:rFonts w:cstheme="minorHAnsi"/>
                <w:i/>
                <w:iCs/>
                <w:sz w:val="18"/>
                <w:szCs w:val="20"/>
              </w:rPr>
              <w:t>I</w:t>
            </w:r>
            <w:r w:rsidRPr="00F05917">
              <w:rPr>
                <w:rFonts w:cstheme="minorHAnsi"/>
                <w:i/>
                <w:iCs/>
                <w:sz w:val="18"/>
                <w:szCs w:val="20"/>
                <w:vertAlign w:val="superscript"/>
              </w:rPr>
              <w:t xml:space="preserve">2 </w:t>
            </w:r>
            <w:r w:rsidRPr="00F05917">
              <w:rPr>
                <w:rFonts w:cstheme="minorHAnsi"/>
                <w:i/>
                <w:iCs/>
                <w:sz w:val="18"/>
                <w:szCs w:val="20"/>
              </w:rPr>
              <w:t>(%)</w:t>
            </w:r>
          </w:p>
        </w:tc>
        <w:tc>
          <w:tcPr>
            <w:tcW w:w="1701" w:type="dxa"/>
            <w:tcBorders>
              <w:top w:val="single" w:sz="4" w:space="0" w:color="auto"/>
              <w:bottom w:val="single" w:sz="4" w:space="0" w:color="auto"/>
            </w:tcBorders>
          </w:tcPr>
          <w:p w14:paraId="5F1FD694" w14:textId="1D96B55F" w:rsidR="00570CCC" w:rsidRPr="00F05917" w:rsidRDefault="00570CCC"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OR (95% CI)</w:t>
            </w:r>
          </w:p>
        </w:tc>
        <w:tc>
          <w:tcPr>
            <w:tcW w:w="709" w:type="dxa"/>
            <w:tcBorders>
              <w:top w:val="single" w:sz="4" w:space="0" w:color="auto"/>
              <w:bottom w:val="single" w:sz="4" w:space="0" w:color="auto"/>
            </w:tcBorders>
          </w:tcPr>
          <w:p w14:paraId="6377D856" w14:textId="77777777" w:rsidR="00570CCC" w:rsidRPr="00F05917" w:rsidRDefault="00570CCC" w:rsidP="00C6247E">
            <w:pPr>
              <w:widowControl w:val="0"/>
              <w:autoSpaceDE w:val="0"/>
              <w:autoSpaceDN w:val="0"/>
              <w:adjustRightInd w:val="0"/>
              <w:spacing w:line="276" w:lineRule="auto"/>
              <w:rPr>
                <w:rFonts w:cstheme="minorHAnsi"/>
                <w:sz w:val="18"/>
                <w:szCs w:val="20"/>
              </w:rPr>
            </w:pPr>
            <w:r w:rsidRPr="00F05917">
              <w:rPr>
                <w:rFonts w:cstheme="minorHAnsi"/>
                <w:i/>
                <w:iCs/>
                <w:sz w:val="18"/>
                <w:szCs w:val="20"/>
              </w:rPr>
              <w:t>I</w:t>
            </w:r>
            <w:r w:rsidRPr="00F05917">
              <w:rPr>
                <w:rFonts w:cstheme="minorHAnsi"/>
                <w:i/>
                <w:iCs/>
                <w:sz w:val="18"/>
                <w:szCs w:val="20"/>
                <w:vertAlign w:val="superscript"/>
              </w:rPr>
              <w:t xml:space="preserve">2 </w:t>
            </w:r>
            <w:r w:rsidRPr="00F05917">
              <w:rPr>
                <w:rFonts w:cstheme="minorHAnsi"/>
                <w:i/>
                <w:iCs/>
                <w:sz w:val="18"/>
                <w:szCs w:val="20"/>
              </w:rPr>
              <w:t>(%)</w:t>
            </w:r>
          </w:p>
        </w:tc>
        <w:tc>
          <w:tcPr>
            <w:tcW w:w="1843" w:type="dxa"/>
            <w:tcBorders>
              <w:top w:val="single" w:sz="4" w:space="0" w:color="auto"/>
              <w:bottom w:val="single" w:sz="4" w:space="0" w:color="auto"/>
            </w:tcBorders>
          </w:tcPr>
          <w:p w14:paraId="07B33CA7" w14:textId="01028234" w:rsidR="00570CCC" w:rsidRPr="00F05917" w:rsidRDefault="00570CCC"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OR (95% CI)</w:t>
            </w:r>
          </w:p>
        </w:tc>
        <w:tc>
          <w:tcPr>
            <w:tcW w:w="708" w:type="dxa"/>
            <w:tcBorders>
              <w:top w:val="single" w:sz="4" w:space="0" w:color="auto"/>
              <w:bottom w:val="single" w:sz="4" w:space="0" w:color="auto"/>
            </w:tcBorders>
          </w:tcPr>
          <w:p w14:paraId="022A8B3E" w14:textId="77777777" w:rsidR="00570CCC" w:rsidRPr="00F05917" w:rsidRDefault="00570CCC" w:rsidP="00C6247E">
            <w:pPr>
              <w:widowControl w:val="0"/>
              <w:autoSpaceDE w:val="0"/>
              <w:autoSpaceDN w:val="0"/>
              <w:adjustRightInd w:val="0"/>
              <w:spacing w:line="276" w:lineRule="auto"/>
              <w:rPr>
                <w:rFonts w:cstheme="minorHAnsi"/>
                <w:sz w:val="18"/>
                <w:szCs w:val="20"/>
              </w:rPr>
            </w:pPr>
            <w:r w:rsidRPr="00F05917">
              <w:rPr>
                <w:rFonts w:cstheme="minorHAnsi"/>
                <w:i/>
                <w:iCs/>
                <w:sz w:val="18"/>
                <w:szCs w:val="20"/>
              </w:rPr>
              <w:t>I</w:t>
            </w:r>
            <w:r w:rsidRPr="00F05917">
              <w:rPr>
                <w:rFonts w:cstheme="minorHAnsi"/>
                <w:i/>
                <w:iCs/>
                <w:sz w:val="18"/>
                <w:szCs w:val="20"/>
                <w:vertAlign w:val="superscript"/>
              </w:rPr>
              <w:t xml:space="preserve">2 </w:t>
            </w:r>
            <w:r w:rsidRPr="00F05917">
              <w:rPr>
                <w:rFonts w:cstheme="minorHAnsi"/>
                <w:i/>
                <w:iCs/>
                <w:sz w:val="18"/>
                <w:szCs w:val="20"/>
              </w:rPr>
              <w:t>(%)</w:t>
            </w:r>
          </w:p>
        </w:tc>
        <w:tc>
          <w:tcPr>
            <w:tcW w:w="1848" w:type="dxa"/>
            <w:tcBorders>
              <w:top w:val="single" w:sz="4" w:space="0" w:color="auto"/>
              <w:bottom w:val="single" w:sz="4" w:space="0" w:color="auto"/>
            </w:tcBorders>
          </w:tcPr>
          <w:p w14:paraId="352C8252" w14:textId="1CF9996E" w:rsidR="00570CCC" w:rsidRPr="00F05917" w:rsidRDefault="00570CCC"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OR (95% CI)</w:t>
            </w:r>
          </w:p>
        </w:tc>
        <w:tc>
          <w:tcPr>
            <w:tcW w:w="709" w:type="dxa"/>
            <w:tcBorders>
              <w:top w:val="single" w:sz="4" w:space="0" w:color="auto"/>
              <w:bottom w:val="single" w:sz="4" w:space="0" w:color="auto"/>
            </w:tcBorders>
          </w:tcPr>
          <w:p w14:paraId="0790517F" w14:textId="77777777" w:rsidR="00570CCC" w:rsidRPr="00F05917" w:rsidRDefault="00570CCC" w:rsidP="00C6247E">
            <w:pPr>
              <w:widowControl w:val="0"/>
              <w:autoSpaceDE w:val="0"/>
              <w:autoSpaceDN w:val="0"/>
              <w:adjustRightInd w:val="0"/>
              <w:spacing w:line="276" w:lineRule="auto"/>
              <w:rPr>
                <w:rFonts w:cstheme="minorHAnsi"/>
                <w:sz w:val="18"/>
                <w:szCs w:val="20"/>
              </w:rPr>
            </w:pPr>
            <w:r w:rsidRPr="00F05917">
              <w:rPr>
                <w:rFonts w:cstheme="minorHAnsi"/>
                <w:i/>
                <w:iCs/>
                <w:sz w:val="18"/>
                <w:szCs w:val="20"/>
              </w:rPr>
              <w:t>I</w:t>
            </w:r>
            <w:r w:rsidRPr="00F05917">
              <w:rPr>
                <w:rFonts w:cstheme="minorHAnsi"/>
                <w:i/>
                <w:iCs/>
                <w:sz w:val="18"/>
                <w:szCs w:val="20"/>
                <w:vertAlign w:val="superscript"/>
              </w:rPr>
              <w:t xml:space="preserve">2 </w:t>
            </w:r>
            <w:r w:rsidRPr="00F05917">
              <w:rPr>
                <w:rFonts w:cstheme="minorHAnsi"/>
                <w:i/>
                <w:iCs/>
                <w:sz w:val="18"/>
                <w:szCs w:val="20"/>
              </w:rPr>
              <w:t>(%)</w:t>
            </w:r>
          </w:p>
        </w:tc>
        <w:tc>
          <w:tcPr>
            <w:tcW w:w="1554" w:type="dxa"/>
            <w:tcBorders>
              <w:top w:val="single" w:sz="4" w:space="0" w:color="auto"/>
              <w:bottom w:val="single" w:sz="4" w:space="0" w:color="auto"/>
            </w:tcBorders>
          </w:tcPr>
          <w:p w14:paraId="4693271D" w14:textId="79D30980" w:rsidR="00570CCC" w:rsidRPr="00F05917" w:rsidRDefault="00570CCC"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OR (95% CI)</w:t>
            </w:r>
          </w:p>
        </w:tc>
        <w:tc>
          <w:tcPr>
            <w:tcW w:w="709" w:type="dxa"/>
            <w:tcBorders>
              <w:top w:val="single" w:sz="4" w:space="0" w:color="auto"/>
              <w:bottom w:val="single" w:sz="4" w:space="0" w:color="auto"/>
            </w:tcBorders>
          </w:tcPr>
          <w:p w14:paraId="1650634C" w14:textId="77777777" w:rsidR="00570CCC" w:rsidRPr="00F05917" w:rsidRDefault="00570CCC" w:rsidP="00C6247E">
            <w:pPr>
              <w:widowControl w:val="0"/>
              <w:autoSpaceDE w:val="0"/>
              <w:autoSpaceDN w:val="0"/>
              <w:adjustRightInd w:val="0"/>
              <w:spacing w:line="276" w:lineRule="auto"/>
              <w:rPr>
                <w:rFonts w:cstheme="minorHAnsi"/>
                <w:sz w:val="18"/>
                <w:szCs w:val="20"/>
              </w:rPr>
            </w:pPr>
            <w:r w:rsidRPr="00F05917">
              <w:rPr>
                <w:rFonts w:cstheme="minorHAnsi"/>
                <w:i/>
                <w:iCs/>
                <w:sz w:val="18"/>
                <w:szCs w:val="20"/>
              </w:rPr>
              <w:t>I</w:t>
            </w:r>
            <w:r w:rsidRPr="00F05917">
              <w:rPr>
                <w:rFonts w:cstheme="minorHAnsi"/>
                <w:i/>
                <w:iCs/>
                <w:sz w:val="18"/>
                <w:szCs w:val="20"/>
                <w:vertAlign w:val="superscript"/>
              </w:rPr>
              <w:t xml:space="preserve">2 </w:t>
            </w:r>
            <w:r w:rsidRPr="00F05917">
              <w:rPr>
                <w:rFonts w:cstheme="minorHAnsi"/>
                <w:i/>
                <w:iCs/>
                <w:sz w:val="18"/>
                <w:szCs w:val="20"/>
              </w:rPr>
              <w:t>(%)</w:t>
            </w:r>
          </w:p>
        </w:tc>
      </w:tr>
      <w:tr w:rsidR="004F6EAB" w:rsidRPr="004F6EAB" w14:paraId="76FB2126" w14:textId="77777777" w:rsidTr="00026735">
        <w:tc>
          <w:tcPr>
            <w:tcW w:w="846" w:type="dxa"/>
            <w:tcBorders>
              <w:top w:val="single" w:sz="4" w:space="0" w:color="auto"/>
            </w:tcBorders>
          </w:tcPr>
          <w:p w14:paraId="42386A9D" w14:textId="77777777" w:rsidR="00570CCC" w:rsidRPr="00F05917" w:rsidRDefault="00570CCC" w:rsidP="00C6247E">
            <w:pPr>
              <w:widowControl w:val="0"/>
              <w:autoSpaceDE w:val="0"/>
              <w:autoSpaceDN w:val="0"/>
              <w:adjustRightInd w:val="0"/>
              <w:spacing w:line="276" w:lineRule="auto"/>
              <w:rPr>
                <w:rFonts w:cstheme="minorHAnsi"/>
                <w:b/>
                <w:bCs/>
                <w:sz w:val="18"/>
                <w:szCs w:val="20"/>
              </w:rPr>
            </w:pPr>
            <w:r w:rsidRPr="00F05917">
              <w:rPr>
                <w:rFonts w:cstheme="minorHAnsi"/>
                <w:b/>
                <w:bCs/>
                <w:sz w:val="18"/>
                <w:szCs w:val="20"/>
              </w:rPr>
              <w:t xml:space="preserve">E-DII </w:t>
            </w:r>
          </w:p>
        </w:tc>
        <w:tc>
          <w:tcPr>
            <w:tcW w:w="1843" w:type="dxa"/>
            <w:tcBorders>
              <w:top w:val="single" w:sz="4" w:space="0" w:color="auto"/>
            </w:tcBorders>
          </w:tcPr>
          <w:p w14:paraId="095ECE7F" w14:textId="77777777" w:rsidR="00570CCC" w:rsidRPr="00F05917" w:rsidRDefault="00570CCC" w:rsidP="00C6247E">
            <w:pPr>
              <w:widowControl w:val="0"/>
              <w:autoSpaceDE w:val="0"/>
              <w:autoSpaceDN w:val="0"/>
              <w:adjustRightInd w:val="0"/>
              <w:spacing w:line="276" w:lineRule="auto"/>
              <w:rPr>
                <w:rFonts w:cstheme="minorHAnsi"/>
                <w:sz w:val="18"/>
                <w:szCs w:val="20"/>
              </w:rPr>
            </w:pPr>
          </w:p>
        </w:tc>
        <w:tc>
          <w:tcPr>
            <w:tcW w:w="668" w:type="dxa"/>
            <w:tcBorders>
              <w:top w:val="single" w:sz="4" w:space="0" w:color="auto"/>
            </w:tcBorders>
          </w:tcPr>
          <w:p w14:paraId="1524A03A" w14:textId="77777777" w:rsidR="00570CCC" w:rsidRPr="00F05917" w:rsidRDefault="00570CCC" w:rsidP="00C6247E">
            <w:pPr>
              <w:widowControl w:val="0"/>
              <w:autoSpaceDE w:val="0"/>
              <w:autoSpaceDN w:val="0"/>
              <w:adjustRightInd w:val="0"/>
              <w:spacing w:line="276" w:lineRule="auto"/>
              <w:rPr>
                <w:rFonts w:cstheme="minorHAnsi"/>
                <w:sz w:val="18"/>
                <w:szCs w:val="20"/>
              </w:rPr>
            </w:pPr>
          </w:p>
        </w:tc>
        <w:tc>
          <w:tcPr>
            <w:tcW w:w="1883" w:type="dxa"/>
            <w:tcBorders>
              <w:top w:val="single" w:sz="4" w:space="0" w:color="auto"/>
            </w:tcBorders>
          </w:tcPr>
          <w:p w14:paraId="39238C7D" w14:textId="77777777" w:rsidR="00570CCC" w:rsidRPr="00F05917" w:rsidRDefault="00570CCC" w:rsidP="00C6247E">
            <w:pPr>
              <w:widowControl w:val="0"/>
              <w:autoSpaceDE w:val="0"/>
              <w:autoSpaceDN w:val="0"/>
              <w:adjustRightInd w:val="0"/>
              <w:spacing w:line="276" w:lineRule="auto"/>
              <w:rPr>
                <w:rFonts w:cstheme="minorHAnsi"/>
                <w:sz w:val="18"/>
                <w:szCs w:val="20"/>
              </w:rPr>
            </w:pPr>
          </w:p>
        </w:tc>
        <w:tc>
          <w:tcPr>
            <w:tcW w:w="709" w:type="dxa"/>
            <w:tcBorders>
              <w:top w:val="single" w:sz="4" w:space="0" w:color="auto"/>
            </w:tcBorders>
          </w:tcPr>
          <w:p w14:paraId="23D172D3" w14:textId="77777777" w:rsidR="00570CCC" w:rsidRPr="00F05917" w:rsidRDefault="00570CCC" w:rsidP="00C6247E">
            <w:pPr>
              <w:widowControl w:val="0"/>
              <w:autoSpaceDE w:val="0"/>
              <w:autoSpaceDN w:val="0"/>
              <w:adjustRightInd w:val="0"/>
              <w:spacing w:line="276" w:lineRule="auto"/>
              <w:rPr>
                <w:rFonts w:cstheme="minorHAnsi"/>
                <w:sz w:val="18"/>
                <w:szCs w:val="20"/>
              </w:rPr>
            </w:pPr>
          </w:p>
        </w:tc>
        <w:tc>
          <w:tcPr>
            <w:tcW w:w="1701" w:type="dxa"/>
            <w:tcBorders>
              <w:top w:val="single" w:sz="4" w:space="0" w:color="auto"/>
            </w:tcBorders>
          </w:tcPr>
          <w:p w14:paraId="352ED335" w14:textId="77777777" w:rsidR="00570CCC" w:rsidRPr="00F05917" w:rsidRDefault="00570CCC" w:rsidP="00C6247E">
            <w:pPr>
              <w:widowControl w:val="0"/>
              <w:autoSpaceDE w:val="0"/>
              <w:autoSpaceDN w:val="0"/>
              <w:adjustRightInd w:val="0"/>
              <w:spacing w:line="276" w:lineRule="auto"/>
              <w:rPr>
                <w:rFonts w:cstheme="minorHAnsi"/>
                <w:sz w:val="18"/>
                <w:szCs w:val="20"/>
              </w:rPr>
            </w:pPr>
          </w:p>
        </w:tc>
        <w:tc>
          <w:tcPr>
            <w:tcW w:w="709" w:type="dxa"/>
            <w:tcBorders>
              <w:top w:val="single" w:sz="4" w:space="0" w:color="auto"/>
            </w:tcBorders>
          </w:tcPr>
          <w:p w14:paraId="606967D3" w14:textId="77777777" w:rsidR="00570CCC" w:rsidRPr="00F05917" w:rsidRDefault="00570CCC" w:rsidP="00C6247E">
            <w:pPr>
              <w:widowControl w:val="0"/>
              <w:autoSpaceDE w:val="0"/>
              <w:autoSpaceDN w:val="0"/>
              <w:adjustRightInd w:val="0"/>
              <w:spacing w:line="276" w:lineRule="auto"/>
              <w:rPr>
                <w:rFonts w:cstheme="minorHAnsi"/>
                <w:sz w:val="18"/>
                <w:szCs w:val="20"/>
              </w:rPr>
            </w:pPr>
          </w:p>
        </w:tc>
        <w:tc>
          <w:tcPr>
            <w:tcW w:w="1843" w:type="dxa"/>
            <w:tcBorders>
              <w:top w:val="single" w:sz="4" w:space="0" w:color="auto"/>
            </w:tcBorders>
          </w:tcPr>
          <w:p w14:paraId="46C1061C" w14:textId="77777777" w:rsidR="00570CCC" w:rsidRPr="00F05917" w:rsidRDefault="00570CCC" w:rsidP="00C6247E">
            <w:pPr>
              <w:widowControl w:val="0"/>
              <w:autoSpaceDE w:val="0"/>
              <w:autoSpaceDN w:val="0"/>
              <w:adjustRightInd w:val="0"/>
              <w:spacing w:line="276" w:lineRule="auto"/>
              <w:rPr>
                <w:rFonts w:cstheme="minorHAnsi"/>
                <w:sz w:val="18"/>
                <w:szCs w:val="20"/>
              </w:rPr>
            </w:pPr>
          </w:p>
        </w:tc>
        <w:tc>
          <w:tcPr>
            <w:tcW w:w="708" w:type="dxa"/>
            <w:tcBorders>
              <w:top w:val="single" w:sz="4" w:space="0" w:color="auto"/>
            </w:tcBorders>
          </w:tcPr>
          <w:p w14:paraId="76142EB2" w14:textId="77777777" w:rsidR="00570CCC" w:rsidRPr="00F05917" w:rsidRDefault="00570CCC" w:rsidP="00C6247E">
            <w:pPr>
              <w:widowControl w:val="0"/>
              <w:autoSpaceDE w:val="0"/>
              <w:autoSpaceDN w:val="0"/>
              <w:adjustRightInd w:val="0"/>
              <w:spacing w:line="276" w:lineRule="auto"/>
              <w:rPr>
                <w:rFonts w:cstheme="minorHAnsi"/>
                <w:sz w:val="18"/>
                <w:szCs w:val="20"/>
              </w:rPr>
            </w:pPr>
          </w:p>
        </w:tc>
        <w:tc>
          <w:tcPr>
            <w:tcW w:w="1848" w:type="dxa"/>
            <w:tcBorders>
              <w:top w:val="single" w:sz="4" w:space="0" w:color="auto"/>
            </w:tcBorders>
          </w:tcPr>
          <w:p w14:paraId="7F504A49" w14:textId="77777777" w:rsidR="00570CCC" w:rsidRPr="00F05917" w:rsidRDefault="00570CCC" w:rsidP="00C6247E">
            <w:pPr>
              <w:widowControl w:val="0"/>
              <w:autoSpaceDE w:val="0"/>
              <w:autoSpaceDN w:val="0"/>
              <w:adjustRightInd w:val="0"/>
              <w:spacing w:line="276" w:lineRule="auto"/>
              <w:rPr>
                <w:rFonts w:cstheme="minorHAnsi"/>
                <w:sz w:val="18"/>
                <w:szCs w:val="20"/>
              </w:rPr>
            </w:pPr>
          </w:p>
        </w:tc>
        <w:tc>
          <w:tcPr>
            <w:tcW w:w="709" w:type="dxa"/>
            <w:tcBorders>
              <w:top w:val="single" w:sz="4" w:space="0" w:color="auto"/>
            </w:tcBorders>
          </w:tcPr>
          <w:p w14:paraId="463EDAD0" w14:textId="77777777" w:rsidR="00570CCC" w:rsidRPr="00F05917" w:rsidRDefault="00570CCC" w:rsidP="00C6247E">
            <w:pPr>
              <w:widowControl w:val="0"/>
              <w:autoSpaceDE w:val="0"/>
              <w:autoSpaceDN w:val="0"/>
              <w:adjustRightInd w:val="0"/>
              <w:spacing w:line="276" w:lineRule="auto"/>
              <w:rPr>
                <w:rFonts w:cstheme="minorHAnsi"/>
                <w:sz w:val="18"/>
                <w:szCs w:val="20"/>
              </w:rPr>
            </w:pPr>
          </w:p>
        </w:tc>
        <w:tc>
          <w:tcPr>
            <w:tcW w:w="1554" w:type="dxa"/>
            <w:tcBorders>
              <w:top w:val="single" w:sz="4" w:space="0" w:color="auto"/>
            </w:tcBorders>
          </w:tcPr>
          <w:p w14:paraId="745D46FC" w14:textId="77777777" w:rsidR="00570CCC" w:rsidRPr="00F05917" w:rsidRDefault="00570CCC" w:rsidP="00C6247E">
            <w:pPr>
              <w:widowControl w:val="0"/>
              <w:autoSpaceDE w:val="0"/>
              <w:autoSpaceDN w:val="0"/>
              <w:adjustRightInd w:val="0"/>
              <w:spacing w:line="276" w:lineRule="auto"/>
              <w:rPr>
                <w:rFonts w:cstheme="minorHAnsi"/>
                <w:sz w:val="18"/>
                <w:szCs w:val="20"/>
              </w:rPr>
            </w:pPr>
          </w:p>
        </w:tc>
        <w:tc>
          <w:tcPr>
            <w:tcW w:w="709" w:type="dxa"/>
            <w:tcBorders>
              <w:top w:val="single" w:sz="4" w:space="0" w:color="auto"/>
            </w:tcBorders>
          </w:tcPr>
          <w:p w14:paraId="39792131" w14:textId="77777777" w:rsidR="00570CCC" w:rsidRPr="00F05917" w:rsidRDefault="00570CCC" w:rsidP="00C6247E">
            <w:pPr>
              <w:widowControl w:val="0"/>
              <w:autoSpaceDE w:val="0"/>
              <w:autoSpaceDN w:val="0"/>
              <w:adjustRightInd w:val="0"/>
              <w:spacing w:line="276" w:lineRule="auto"/>
              <w:rPr>
                <w:rFonts w:cstheme="minorHAnsi"/>
                <w:sz w:val="18"/>
                <w:szCs w:val="20"/>
              </w:rPr>
            </w:pPr>
          </w:p>
        </w:tc>
      </w:tr>
      <w:tr w:rsidR="004F6EAB" w:rsidRPr="004F6EAB" w14:paraId="5B84C34E" w14:textId="77777777" w:rsidTr="00026735">
        <w:tc>
          <w:tcPr>
            <w:tcW w:w="846" w:type="dxa"/>
          </w:tcPr>
          <w:p w14:paraId="1B33B288" w14:textId="77777777" w:rsidR="00570CCC" w:rsidRPr="00F05917" w:rsidRDefault="00570CCC"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Pre</w:t>
            </w:r>
          </w:p>
        </w:tc>
        <w:tc>
          <w:tcPr>
            <w:tcW w:w="1843" w:type="dxa"/>
          </w:tcPr>
          <w:p w14:paraId="2954CB79" w14:textId="0D87281C" w:rsidR="00570CCC" w:rsidRPr="00F05917" w:rsidRDefault="009471A7"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1.16 (0.99, 1.36)</w:t>
            </w:r>
          </w:p>
        </w:tc>
        <w:tc>
          <w:tcPr>
            <w:tcW w:w="668" w:type="dxa"/>
          </w:tcPr>
          <w:p w14:paraId="350EA00C" w14:textId="151A7A04" w:rsidR="00570CCC" w:rsidRPr="00F05917" w:rsidRDefault="009471A7"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883" w:type="dxa"/>
          </w:tcPr>
          <w:p w14:paraId="0D1EC3F4" w14:textId="0DA59944" w:rsidR="00570CCC" w:rsidRPr="00F05917" w:rsidRDefault="00026735"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1.14 (0.99, 1.32)</w:t>
            </w:r>
          </w:p>
        </w:tc>
        <w:tc>
          <w:tcPr>
            <w:tcW w:w="709" w:type="dxa"/>
          </w:tcPr>
          <w:p w14:paraId="70502814" w14:textId="24F5865E" w:rsidR="00570CCC" w:rsidRPr="00F05917" w:rsidRDefault="00026735"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701" w:type="dxa"/>
          </w:tcPr>
          <w:p w14:paraId="4E1E6932" w14:textId="1211F03E" w:rsidR="00570CCC" w:rsidRPr="00F05917" w:rsidRDefault="00026735"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0.99 (0.89, 1.10)</w:t>
            </w:r>
          </w:p>
        </w:tc>
        <w:tc>
          <w:tcPr>
            <w:tcW w:w="709" w:type="dxa"/>
          </w:tcPr>
          <w:p w14:paraId="7FB68C96" w14:textId="553A25D5" w:rsidR="00570CCC" w:rsidRPr="00F05917" w:rsidRDefault="00026735"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843" w:type="dxa"/>
          </w:tcPr>
          <w:p w14:paraId="193C4623" w14:textId="73AF8810" w:rsidR="00570CCC" w:rsidRPr="00F05917" w:rsidRDefault="00026735"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0.97 (0.89, 1.05)</w:t>
            </w:r>
          </w:p>
        </w:tc>
        <w:tc>
          <w:tcPr>
            <w:tcW w:w="708" w:type="dxa"/>
          </w:tcPr>
          <w:p w14:paraId="385B7911" w14:textId="1AE0144E" w:rsidR="00570CCC" w:rsidRPr="00F05917" w:rsidRDefault="00026735"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848" w:type="dxa"/>
          </w:tcPr>
          <w:p w14:paraId="28405E8A" w14:textId="5B236839" w:rsidR="00570CCC" w:rsidRPr="00F05917" w:rsidRDefault="00026735"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1.04 (0.90, 1.19)</w:t>
            </w:r>
          </w:p>
        </w:tc>
        <w:tc>
          <w:tcPr>
            <w:tcW w:w="709" w:type="dxa"/>
          </w:tcPr>
          <w:p w14:paraId="4877940C" w14:textId="786237B5" w:rsidR="00570CCC" w:rsidRPr="00F05917" w:rsidRDefault="00026735"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554" w:type="dxa"/>
          </w:tcPr>
          <w:p w14:paraId="2E7767E1" w14:textId="3140394B" w:rsidR="00570CCC" w:rsidRPr="00F05917" w:rsidRDefault="004F793F"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1.10 (0.92, 1.31)</w:t>
            </w:r>
          </w:p>
        </w:tc>
        <w:tc>
          <w:tcPr>
            <w:tcW w:w="709" w:type="dxa"/>
          </w:tcPr>
          <w:p w14:paraId="35D8DC36" w14:textId="07E2B3F6" w:rsidR="00570CCC" w:rsidRPr="00F05917" w:rsidRDefault="004F793F" w:rsidP="00C6247E">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r>
      <w:tr w:rsidR="00C9513F" w:rsidRPr="004F6EAB" w14:paraId="714AC57D" w14:textId="77777777" w:rsidTr="00026735">
        <w:tc>
          <w:tcPr>
            <w:tcW w:w="846" w:type="dxa"/>
          </w:tcPr>
          <w:p w14:paraId="5A953EE1" w14:textId="32B1C308" w:rsidR="00C9513F" w:rsidRPr="00F05917" w:rsidRDefault="00B75CF5" w:rsidP="00C6247E">
            <w:pPr>
              <w:widowControl w:val="0"/>
              <w:autoSpaceDE w:val="0"/>
              <w:autoSpaceDN w:val="0"/>
              <w:adjustRightInd w:val="0"/>
              <w:spacing w:line="276" w:lineRule="auto"/>
              <w:rPr>
                <w:rFonts w:cstheme="minorHAnsi"/>
                <w:sz w:val="18"/>
                <w:szCs w:val="20"/>
              </w:rPr>
            </w:pPr>
            <w:r w:rsidRPr="00F05917">
              <w:rPr>
                <w:rFonts w:cstheme="minorHAnsi"/>
                <w:i/>
                <w:iCs/>
                <w:sz w:val="18"/>
                <w:szCs w:val="20"/>
              </w:rPr>
              <w:t>P-value</w:t>
            </w:r>
          </w:p>
        </w:tc>
        <w:tc>
          <w:tcPr>
            <w:tcW w:w="1843" w:type="dxa"/>
          </w:tcPr>
          <w:p w14:paraId="2A9A157B" w14:textId="2FDB3BC3" w:rsidR="00C9513F" w:rsidRPr="00F05917" w:rsidRDefault="008B53B9" w:rsidP="00C6247E">
            <w:pPr>
              <w:widowControl w:val="0"/>
              <w:autoSpaceDE w:val="0"/>
              <w:autoSpaceDN w:val="0"/>
              <w:adjustRightInd w:val="0"/>
              <w:spacing w:line="276" w:lineRule="auto"/>
              <w:rPr>
                <w:rFonts w:cstheme="minorHAnsi"/>
                <w:sz w:val="18"/>
                <w:szCs w:val="20"/>
              </w:rPr>
            </w:pPr>
            <w:r>
              <w:rPr>
                <w:rFonts w:cstheme="minorHAnsi"/>
                <w:sz w:val="18"/>
                <w:szCs w:val="20"/>
              </w:rPr>
              <w:t>0.06</w:t>
            </w:r>
          </w:p>
        </w:tc>
        <w:tc>
          <w:tcPr>
            <w:tcW w:w="668" w:type="dxa"/>
          </w:tcPr>
          <w:p w14:paraId="7436DE0E" w14:textId="095E212C" w:rsidR="00C9513F" w:rsidRPr="00F05917" w:rsidRDefault="008B53B9" w:rsidP="00C6247E">
            <w:pPr>
              <w:widowControl w:val="0"/>
              <w:autoSpaceDE w:val="0"/>
              <w:autoSpaceDN w:val="0"/>
              <w:adjustRightInd w:val="0"/>
              <w:spacing w:line="276" w:lineRule="auto"/>
              <w:rPr>
                <w:rFonts w:cstheme="minorHAnsi"/>
                <w:sz w:val="18"/>
                <w:szCs w:val="20"/>
              </w:rPr>
            </w:pPr>
            <w:r>
              <w:rPr>
                <w:rFonts w:cstheme="minorHAnsi"/>
                <w:sz w:val="18"/>
                <w:szCs w:val="20"/>
              </w:rPr>
              <w:t>0.73</w:t>
            </w:r>
          </w:p>
        </w:tc>
        <w:tc>
          <w:tcPr>
            <w:tcW w:w="1883" w:type="dxa"/>
          </w:tcPr>
          <w:p w14:paraId="77F1BF23" w14:textId="0D12C18B" w:rsidR="00C9513F" w:rsidRPr="00F05917" w:rsidRDefault="00EF7CBA" w:rsidP="00C6247E">
            <w:pPr>
              <w:widowControl w:val="0"/>
              <w:autoSpaceDE w:val="0"/>
              <w:autoSpaceDN w:val="0"/>
              <w:adjustRightInd w:val="0"/>
              <w:spacing w:line="276" w:lineRule="auto"/>
              <w:rPr>
                <w:rFonts w:cstheme="minorHAnsi"/>
                <w:sz w:val="18"/>
                <w:szCs w:val="20"/>
              </w:rPr>
            </w:pPr>
            <w:r>
              <w:rPr>
                <w:rFonts w:cstheme="minorHAnsi"/>
                <w:sz w:val="18"/>
                <w:szCs w:val="20"/>
              </w:rPr>
              <w:t>0.08</w:t>
            </w:r>
          </w:p>
        </w:tc>
        <w:tc>
          <w:tcPr>
            <w:tcW w:w="709" w:type="dxa"/>
          </w:tcPr>
          <w:p w14:paraId="103E8BE4" w14:textId="198EAA4E" w:rsidR="00C9513F" w:rsidRPr="00F05917" w:rsidRDefault="00EF7CBA" w:rsidP="00C6247E">
            <w:pPr>
              <w:widowControl w:val="0"/>
              <w:autoSpaceDE w:val="0"/>
              <w:autoSpaceDN w:val="0"/>
              <w:adjustRightInd w:val="0"/>
              <w:spacing w:line="276" w:lineRule="auto"/>
              <w:rPr>
                <w:rFonts w:cstheme="minorHAnsi"/>
                <w:sz w:val="18"/>
                <w:szCs w:val="20"/>
              </w:rPr>
            </w:pPr>
            <w:r>
              <w:rPr>
                <w:rFonts w:cstheme="minorHAnsi"/>
                <w:sz w:val="18"/>
                <w:szCs w:val="20"/>
              </w:rPr>
              <w:t>0.81</w:t>
            </w:r>
          </w:p>
        </w:tc>
        <w:tc>
          <w:tcPr>
            <w:tcW w:w="1701" w:type="dxa"/>
          </w:tcPr>
          <w:p w14:paraId="4A896C24" w14:textId="6D036E05" w:rsidR="00C9513F" w:rsidRPr="00F05917" w:rsidRDefault="00EF7CBA" w:rsidP="00C6247E">
            <w:pPr>
              <w:widowControl w:val="0"/>
              <w:autoSpaceDE w:val="0"/>
              <w:autoSpaceDN w:val="0"/>
              <w:adjustRightInd w:val="0"/>
              <w:spacing w:line="276" w:lineRule="auto"/>
              <w:rPr>
                <w:rFonts w:cstheme="minorHAnsi"/>
                <w:sz w:val="18"/>
                <w:szCs w:val="20"/>
              </w:rPr>
            </w:pPr>
            <w:r>
              <w:rPr>
                <w:rFonts w:cstheme="minorHAnsi"/>
                <w:sz w:val="18"/>
                <w:szCs w:val="20"/>
              </w:rPr>
              <w:t>0.79</w:t>
            </w:r>
          </w:p>
        </w:tc>
        <w:tc>
          <w:tcPr>
            <w:tcW w:w="709" w:type="dxa"/>
          </w:tcPr>
          <w:p w14:paraId="15067167" w14:textId="56C42855" w:rsidR="00C9513F" w:rsidRPr="00F05917" w:rsidRDefault="00EF7CBA" w:rsidP="00C6247E">
            <w:pPr>
              <w:widowControl w:val="0"/>
              <w:autoSpaceDE w:val="0"/>
              <w:autoSpaceDN w:val="0"/>
              <w:adjustRightInd w:val="0"/>
              <w:spacing w:line="276" w:lineRule="auto"/>
              <w:rPr>
                <w:rFonts w:cstheme="minorHAnsi"/>
                <w:sz w:val="18"/>
                <w:szCs w:val="20"/>
              </w:rPr>
            </w:pPr>
            <w:r>
              <w:rPr>
                <w:rFonts w:cstheme="minorHAnsi"/>
                <w:sz w:val="18"/>
                <w:szCs w:val="20"/>
              </w:rPr>
              <w:t>0.81</w:t>
            </w:r>
          </w:p>
        </w:tc>
        <w:tc>
          <w:tcPr>
            <w:tcW w:w="1843" w:type="dxa"/>
          </w:tcPr>
          <w:p w14:paraId="33394B78" w14:textId="17464A63" w:rsidR="00C9513F" w:rsidRPr="00F05917" w:rsidRDefault="00EF7CBA" w:rsidP="00C6247E">
            <w:pPr>
              <w:widowControl w:val="0"/>
              <w:autoSpaceDE w:val="0"/>
              <w:autoSpaceDN w:val="0"/>
              <w:adjustRightInd w:val="0"/>
              <w:spacing w:line="276" w:lineRule="auto"/>
              <w:rPr>
                <w:rFonts w:cstheme="minorHAnsi"/>
                <w:sz w:val="18"/>
                <w:szCs w:val="20"/>
              </w:rPr>
            </w:pPr>
            <w:r>
              <w:rPr>
                <w:rFonts w:cstheme="minorHAnsi"/>
                <w:sz w:val="18"/>
                <w:szCs w:val="20"/>
              </w:rPr>
              <w:t>0.41</w:t>
            </w:r>
          </w:p>
        </w:tc>
        <w:tc>
          <w:tcPr>
            <w:tcW w:w="708" w:type="dxa"/>
          </w:tcPr>
          <w:p w14:paraId="38110646" w14:textId="56728730" w:rsidR="00C9513F" w:rsidRPr="00F05917" w:rsidRDefault="00EF7CBA" w:rsidP="00C6247E">
            <w:pPr>
              <w:widowControl w:val="0"/>
              <w:autoSpaceDE w:val="0"/>
              <w:autoSpaceDN w:val="0"/>
              <w:adjustRightInd w:val="0"/>
              <w:spacing w:line="276" w:lineRule="auto"/>
              <w:rPr>
                <w:rFonts w:cstheme="minorHAnsi"/>
                <w:sz w:val="18"/>
                <w:szCs w:val="20"/>
              </w:rPr>
            </w:pPr>
            <w:r>
              <w:rPr>
                <w:rFonts w:cstheme="minorHAnsi"/>
                <w:sz w:val="18"/>
                <w:szCs w:val="20"/>
              </w:rPr>
              <w:t>0.83</w:t>
            </w:r>
          </w:p>
        </w:tc>
        <w:tc>
          <w:tcPr>
            <w:tcW w:w="1848" w:type="dxa"/>
          </w:tcPr>
          <w:p w14:paraId="002A7071" w14:textId="030C4363" w:rsidR="00C9513F" w:rsidRPr="00F05917" w:rsidRDefault="00EF7CBA" w:rsidP="00C6247E">
            <w:pPr>
              <w:widowControl w:val="0"/>
              <w:autoSpaceDE w:val="0"/>
              <w:autoSpaceDN w:val="0"/>
              <w:adjustRightInd w:val="0"/>
              <w:spacing w:line="276" w:lineRule="auto"/>
              <w:rPr>
                <w:rFonts w:cstheme="minorHAnsi"/>
                <w:sz w:val="18"/>
                <w:szCs w:val="20"/>
              </w:rPr>
            </w:pPr>
            <w:r>
              <w:rPr>
                <w:rFonts w:cstheme="minorHAnsi"/>
                <w:sz w:val="18"/>
                <w:szCs w:val="20"/>
              </w:rPr>
              <w:t>0.60</w:t>
            </w:r>
          </w:p>
        </w:tc>
        <w:tc>
          <w:tcPr>
            <w:tcW w:w="709" w:type="dxa"/>
          </w:tcPr>
          <w:p w14:paraId="77285DB0" w14:textId="439C0F94" w:rsidR="00C9513F" w:rsidRPr="00F05917" w:rsidRDefault="00EF7CBA" w:rsidP="00C6247E">
            <w:pPr>
              <w:widowControl w:val="0"/>
              <w:autoSpaceDE w:val="0"/>
              <w:autoSpaceDN w:val="0"/>
              <w:adjustRightInd w:val="0"/>
              <w:spacing w:line="276" w:lineRule="auto"/>
              <w:rPr>
                <w:rFonts w:cstheme="minorHAnsi"/>
                <w:sz w:val="18"/>
                <w:szCs w:val="20"/>
              </w:rPr>
            </w:pPr>
            <w:r>
              <w:rPr>
                <w:rFonts w:cstheme="minorHAnsi"/>
                <w:sz w:val="18"/>
                <w:szCs w:val="20"/>
              </w:rPr>
              <w:t>0.44</w:t>
            </w:r>
          </w:p>
        </w:tc>
        <w:tc>
          <w:tcPr>
            <w:tcW w:w="1554" w:type="dxa"/>
          </w:tcPr>
          <w:p w14:paraId="629F2372" w14:textId="0CBCB649" w:rsidR="00C9513F" w:rsidRPr="00F05917" w:rsidRDefault="00EF7CBA" w:rsidP="00C6247E">
            <w:pPr>
              <w:widowControl w:val="0"/>
              <w:autoSpaceDE w:val="0"/>
              <w:autoSpaceDN w:val="0"/>
              <w:adjustRightInd w:val="0"/>
              <w:spacing w:line="276" w:lineRule="auto"/>
              <w:rPr>
                <w:rFonts w:cstheme="minorHAnsi"/>
                <w:sz w:val="18"/>
                <w:szCs w:val="20"/>
              </w:rPr>
            </w:pPr>
            <w:r>
              <w:rPr>
                <w:rFonts w:cstheme="minorHAnsi"/>
                <w:sz w:val="18"/>
                <w:szCs w:val="20"/>
              </w:rPr>
              <w:t>0.31</w:t>
            </w:r>
          </w:p>
        </w:tc>
        <w:tc>
          <w:tcPr>
            <w:tcW w:w="709" w:type="dxa"/>
          </w:tcPr>
          <w:p w14:paraId="0E1FB40B" w14:textId="7F093FAD" w:rsidR="00C9513F" w:rsidRPr="00F05917" w:rsidRDefault="00EF7CBA" w:rsidP="00C6247E">
            <w:pPr>
              <w:widowControl w:val="0"/>
              <w:autoSpaceDE w:val="0"/>
              <w:autoSpaceDN w:val="0"/>
              <w:adjustRightInd w:val="0"/>
              <w:spacing w:line="276" w:lineRule="auto"/>
              <w:rPr>
                <w:rFonts w:cstheme="minorHAnsi"/>
                <w:sz w:val="18"/>
                <w:szCs w:val="20"/>
              </w:rPr>
            </w:pPr>
            <w:r>
              <w:rPr>
                <w:rFonts w:cstheme="minorHAnsi"/>
                <w:sz w:val="18"/>
                <w:szCs w:val="20"/>
              </w:rPr>
              <w:t>0.38</w:t>
            </w:r>
          </w:p>
        </w:tc>
      </w:tr>
      <w:tr w:rsidR="004F6EAB" w:rsidRPr="004F6EAB" w14:paraId="752D60BE" w14:textId="77777777" w:rsidTr="00026735">
        <w:tc>
          <w:tcPr>
            <w:tcW w:w="846" w:type="dxa"/>
            <w:tcBorders>
              <w:bottom w:val="single" w:sz="4" w:space="0" w:color="auto"/>
            </w:tcBorders>
          </w:tcPr>
          <w:p w14:paraId="0F457050" w14:textId="166C3C34" w:rsidR="002E245C" w:rsidRPr="00F05917" w:rsidRDefault="00D65D4D"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Np/Nc</w:t>
            </w:r>
          </w:p>
        </w:tc>
        <w:tc>
          <w:tcPr>
            <w:tcW w:w="1843" w:type="dxa"/>
            <w:tcBorders>
              <w:bottom w:val="single" w:sz="4" w:space="0" w:color="auto"/>
            </w:tcBorders>
          </w:tcPr>
          <w:p w14:paraId="75F272E5" w14:textId="481C76F1" w:rsidR="002E245C" w:rsidRPr="00F05917" w:rsidRDefault="009471A7"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4119/2</w:t>
            </w:r>
          </w:p>
        </w:tc>
        <w:tc>
          <w:tcPr>
            <w:tcW w:w="668" w:type="dxa"/>
            <w:tcBorders>
              <w:bottom w:val="single" w:sz="4" w:space="0" w:color="auto"/>
            </w:tcBorders>
          </w:tcPr>
          <w:p w14:paraId="712EA01E"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883" w:type="dxa"/>
            <w:tcBorders>
              <w:bottom w:val="single" w:sz="4" w:space="0" w:color="auto"/>
            </w:tcBorders>
          </w:tcPr>
          <w:p w14:paraId="24C19284" w14:textId="78B7A91F"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4119/2</w:t>
            </w:r>
          </w:p>
        </w:tc>
        <w:tc>
          <w:tcPr>
            <w:tcW w:w="709" w:type="dxa"/>
            <w:tcBorders>
              <w:bottom w:val="single" w:sz="4" w:space="0" w:color="auto"/>
            </w:tcBorders>
          </w:tcPr>
          <w:p w14:paraId="311E8FEC"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701" w:type="dxa"/>
            <w:tcBorders>
              <w:bottom w:val="single" w:sz="4" w:space="0" w:color="auto"/>
            </w:tcBorders>
          </w:tcPr>
          <w:p w14:paraId="7C840C86" w14:textId="42117527"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4065/2</w:t>
            </w:r>
          </w:p>
        </w:tc>
        <w:tc>
          <w:tcPr>
            <w:tcW w:w="709" w:type="dxa"/>
            <w:tcBorders>
              <w:bottom w:val="single" w:sz="4" w:space="0" w:color="auto"/>
            </w:tcBorders>
          </w:tcPr>
          <w:p w14:paraId="70E16EEE"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1369A337" w14:textId="266564FD"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4119/2</w:t>
            </w:r>
          </w:p>
        </w:tc>
        <w:tc>
          <w:tcPr>
            <w:tcW w:w="708" w:type="dxa"/>
            <w:tcBorders>
              <w:bottom w:val="single" w:sz="4" w:space="0" w:color="auto"/>
            </w:tcBorders>
          </w:tcPr>
          <w:p w14:paraId="56A7271B"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848" w:type="dxa"/>
            <w:tcBorders>
              <w:bottom w:val="single" w:sz="4" w:space="0" w:color="auto"/>
            </w:tcBorders>
          </w:tcPr>
          <w:p w14:paraId="65942480" w14:textId="623882C7"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4137/2</w:t>
            </w:r>
          </w:p>
        </w:tc>
        <w:tc>
          <w:tcPr>
            <w:tcW w:w="709" w:type="dxa"/>
            <w:tcBorders>
              <w:bottom w:val="single" w:sz="4" w:space="0" w:color="auto"/>
            </w:tcBorders>
          </w:tcPr>
          <w:p w14:paraId="7F493FB4"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554" w:type="dxa"/>
            <w:tcBorders>
              <w:bottom w:val="single" w:sz="4" w:space="0" w:color="auto"/>
            </w:tcBorders>
          </w:tcPr>
          <w:p w14:paraId="381DCA3C" w14:textId="52ABF870" w:rsidR="002E245C" w:rsidRPr="00F05917" w:rsidRDefault="004F793F"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4137/2</w:t>
            </w:r>
          </w:p>
        </w:tc>
        <w:tc>
          <w:tcPr>
            <w:tcW w:w="709" w:type="dxa"/>
            <w:tcBorders>
              <w:bottom w:val="single" w:sz="4" w:space="0" w:color="auto"/>
            </w:tcBorders>
          </w:tcPr>
          <w:p w14:paraId="69E444B9"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r>
      <w:tr w:rsidR="004F6EAB" w:rsidRPr="004F6EAB" w14:paraId="14184A77" w14:textId="77777777" w:rsidTr="00C9513F">
        <w:tc>
          <w:tcPr>
            <w:tcW w:w="846" w:type="dxa"/>
            <w:tcBorders>
              <w:top w:val="single" w:sz="4" w:space="0" w:color="auto"/>
            </w:tcBorders>
          </w:tcPr>
          <w:p w14:paraId="68E55CAC" w14:textId="77777777" w:rsidR="002E245C" w:rsidRPr="00F05917" w:rsidRDefault="002E245C" w:rsidP="002E245C">
            <w:pPr>
              <w:widowControl w:val="0"/>
              <w:autoSpaceDE w:val="0"/>
              <w:autoSpaceDN w:val="0"/>
              <w:adjustRightInd w:val="0"/>
              <w:spacing w:line="276" w:lineRule="auto"/>
              <w:rPr>
                <w:rFonts w:cstheme="minorHAnsi"/>
                <w:sz w:val="18"/>
                <w:szCs w:val="20"/>
              </w:rPr>
            </w:pPr>
            <w:proofErr w:type="spellStart"/>
            <w:r w:rsidRPr="00F05917">
              <w:rPr>
                <w:rFonts w:cstheme="minorHAnsi"/>
                <w:sz w:val="18"/>
                <w:szCs w:val="20"/>
              </w:rPr>
              <w:t>Preg</w:t>
            </w:r>
            <w:proofErr w:type="spellEnd"/>
          </w:p>
        </w:tc>
        <w:tc>
          <w:tcPr>
            <w:tcW w:w="1843" w:type="dxa"/>
            <w:tcBorders>
              <w:top w:val="single" w:sz="4" w:space="0" w:color="auto"/>
            </w:tcBorders>
          </w:tcPr>
          <w:p w14:paraId="422111DE" w14:textId="123FDADF" w:rsidR="002E245C" w:rsidRPr="00F05917" w:rsidRDefault="009471A7" w:rsidP="0018068A">
            <w:pPr>
              <w:widowControl w:val="0"/>
              <w:autoSpaceDE w:val="0"/>
              <w:autoSpaceDN w:val="0"/>
              <w:adjustRightInd w:val="0"/>
              <w:spacing w:line="276" w:lineRule="auto"/>
              <w:rPr>
                <w:rFonts w:cstheme="minorHAnsi"/>
                <w:sz w:val="18"/>
                <w:szCs w:val="20"/>
              </w:rPr>
            </w:pPr>
            <w:r w:rsidRPr="00F05917">
              <w:rPr>
                <w:rFonts w:cstheme="minorHAnsi"/>
                <w:sz w:val="18"/>
                <w:szCs w:val="20"/>
              </w:rPr>
              <w:t>1.14 (1.04, 1.26)</w:t>
            </w:r>
          </w:p>
        </w:tc>
        <w:tc>
          <w:tcPr>
            <w:tcW w:w="668" w:type="dxa"/>
            <w:tcBorders>
              <w:top w:val="single" w:sz="4" w:space="0" w:color="auto"/>
            </w:tcBorders>
          </w:tcPr>
          <w:p w14:paraId="09B75442" w14:textId="59FF1931" w:rsidR="002E245C" w:rsidRPr="00F05917" w:rsidRDefault="009471A7"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27</w:t>
            </w:r>
          </w:p>
        </w:tc>
        <w:tc>
          <w:tcPr>
            <w:tcW w:w="1883" w:type="dxa"/>
            <w:tcBorders>
              <w:top w:val="single" w:sz="4" w:space="0" w:color="auto"/>
            </w:tcBorders>
          </w:tcPr>
          <w:p w14:paraId="59281CF3" w14:textId="36BC6372" w:rsidR="002E245C" w:rsidRPr="00F05917" w:rsidRDefault="00026735" w:rsidP="0018068A">
            <w:pPr>
              <w:widowControl w:val="0"/>
              <w:autoSpaceDE w:val="0"/>
              <w:autoSpaceDN w:val="0"/>
              <w:adjustRightInd w:val="0"/>
              <w:spacing w:line="276" w:lineRule="auto"/>
              <w:rPr>
                <w:rFonts w:cstheme="minorHAnsi"/>
                <w:sz w:val="18"/>
                <w:szCs w:val="20"/>
              </w:rPr>
            </w:pPr>
            <w:r w:rsidRPr="00F05917">
              <w:rPr>
                <w:rFonts w:cstheme="minorHAnsi"/>
                <w:sz w:val="18"/>
                <w:szCs w:val="20"/>
              </w:rPr>
              <w:t>1.18 (1.11, 1.26)</w:t>
            </w:r>
          </w:p>
        </w:tc>
        <w:tc>
          <w:tcPr>
            <w:tcW w:w="709" w:type="dxa"/>
            <w:tcBorders>
              <w:top w:val="single" w:sz="4" w:space="0" w:color="auto"/>
            </w:tcBorders>
          </w:tcPr>
          <w:p w14:paraId="72EB8039" w14:textId="1712BBA0"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701" w:type="dxa"/>
            <w:tcBorders>
              <w:top w:val="single" w:sz="4" w:space="0" w:color="auto"/>
            </w:tcBorders>
          </w:tcPr>
          <w:p w14:paraId="4FA304C4" w14:textId="3DE242D4"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0.95 (0.89, 1.02)</w:t>
            </w:r>
          </w:p>
        </w:tc>
        <w:tc>
          <w:tcPr>
            <w:tcW w:w="709" w:type="dxa"/>
            <w:tcBorders>
              <w:top w:val="single" w:sz="4" w:space="0" w:color="auto"/>
            </w:tcBorders>
          </w:tcPr>
          <w:p w14:paraId="3BFAA8FF" w14:textId="7770AFA9"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49</w:t>
            </w:r>
          </w:p>
        </w:tc>
        <w:tc>
          <w:tcPr>
            <w:tcW w:w="1843" w:type="dxa"/>
            <w:tcBorders>
              <w:top w:val="single" w:sz="4" w:space="0" w:color="auto"/>
            </w:tcBorders>
          </w:tcPr>
          <w:p w14:paraId="1A3217A7" w14:textId="2760D525"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0.98 (0.92, 1.05)</w:t>
            </w:r>
          </w:p>
        </w:tc>
        <w:tc>
          <w:tcPr>
            <w:tcW w:w="708" w:type="dxa"/>
            <w:tcBorders>
              <w:top w:val="single" w:sz="4" w:space="0" w:color="auto"/>
            </w:tcBorders>
          </w:tcPr>
          <w:p w14:paraId="0EC2336B" w14:textId="743FE7DC"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63</w:t>
            </w:r>
          </w:p>
        </w:tc>
        <w:tc>
          <w:tcPr>
            <w:tcW w:w="1848" w:type="dxa"/>
            <w:tcBorders>
              <w:top w:val="single" w:sz="4" w:space="0" w:color="auto"/>
            </w:tcBorders>
          </w:tcPr>
          <w:p w14:paraId="4B3B49DE" w14:textId="5DDAB451"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1.02 (0.92, 1.13)</w:t>
            </w:r>
          </w:p>
        </w:tc>
        <w:tc>
          <w:tcPr>
            <w:tcW w:w="709" w:type="dxa"/>
            <w:tcBorders>
              <w:top w:val="single" w:sz="4" w:space="0" w:color="auto"/>
            </w:tcBorders>
          </w:tcPr>
          <w:p w14:paraId="3C8D93C1" w14:textId="1C5FBEDC"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40</w:t>
            </w:r>
          </w:p>
        </w:tc>
        <w:tc>
          <w:tcPr>
            <w:tcW w:w="1554" w:type="dxa"/>
            <w:tcBorders>
              <w:top w:val="single" w:sz="4" w:space="0" w:color="auto"/>
            </w:tcBorders>
          </w:tcPr>
          <w:p w14:paraId="1E6A1F3E" w14:textId="285FC947" w:rsidR="002E245C" w:rsidRPr="00F05917" w:rsidRDefault="004F793F"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0.99 (0.92, 1.06)</w:t>
            </w:r>
          </w:p>
        </w:tc>
        <w:tc>
          <w:tcPr>
            <w:tcW w:w="709" w:type="dxa"/>
            <w:tcBorders>
              <w:top w:val="single" w:sz="4" w:space="0" w:color="auto"/>
            </w:tcBorders>
          </w:tcPr>
          <w:p w14:paraId="683D55FA" w14:textId="4C96C368" w:rsidR="002E245C" w:rsidRPr="00F05917" w:rsidRDefault="004F793F"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15</w:t>
            </w:r>
          </w:p>
        </w:tc>
      </w:tr>
      <w:tr w:rsidR="00C9513F" w:rsidRPr="004F6EAB" w14:paraId="70258147" w14:textId="77777777" w:rsidTr="00C9513F">
        <w:tc>
          <w:tcPr>
            <w:tcW w:w="846" w:type="dxa"/>
          </w:tcPr>
          <w:p w14:paraId="7E85451D" w14:textId="5965EDFB" w:rsidR="00C9513F" w:rsidRPr="00F05917" w:rsidRDefault="00B75CF5" w:rsidP="002E245C">
            <w:pPr>
              <w:widowControl w:val="0"/>
              <w:autoSpaceDE w:val="0"/>
              <w:autoSpaceDN w:val="0"/>
              <w:adjustRightInd w:val="0"/>
              <w:spacing w:line="276" w:lineRule="auto"/>
              <w:rPr>
                <w:rFonts w:cstheme="minorHAnsi"/>
                <w:sz w:val="18"/>
                <w:szCs w:val="20"/>
              </w:rPr>
            </w:pPr>
            <w:r w:rsidRPr="00F05917">
              <w:rPr>
                <w:rFonts w:cstheme="minorHAnsi"/>
                <w:i/>
                <w:iCs/>
                <w:sz w:val="18"/>
                <w:szCs w:val="20"/>
              </w:rPr>
              <w:t>P-value</w:t>
            </w:r>
          </w:p>
        </w:tc>
        <w:tc>
          <w:tcPr>
            <w:tcW w:w="1843" w:type="dxa"/>
          </w:tcPr>
          <w:p w14:paraId="59B97713" w14:textId="3824A7C2" w:rsidR="00C9513F" w:rsidRPr="00F05917" w:rsidRDefault="008B53B9" w:rsidP="002E245C">
            <w:pPr>
              <w:widowControl w:val="0"/>
              <w:autoSpaceDE w:val="0"/>
              <w:autoSpaceDN w:val="0"/>
              <w:adjustRightInd w:val="0"/>
              <w:spacing w:line="276" w:lineRule="auto"/>
              <w:rPr>
                <w:rFonts w:cstheme="minorHAnsi"/>
                <w:sz w:val="18"/>
                <w:szCs w:val="20"/>
              </w:rPr>
            </w:pPr>
            <w:r>
              <w:rPr>
                <w:rFonts w:cstheme="minorHAnsi"/>
                <w:sz w:val="18"/>
                <w:szCs w:val="20"/>
              </w:rPr>
              <w:t>0.008</w:t>
            </w:r>
          </w:p>
        </w:tc>
        <w:tc>
          <w:tcPr>
            <w:tcW w:w="668" w:type="dxa"/>
          </w:tcPr>
          <w:p w14:paraId="3B19F263" w14:textId="37BA881A" w:rsidR="00C9513F" w:rsidRPr="00F05917" w:rsidRDefault="008B53B9" w:rsidP="002E245C">
            <w:pPr>
              <w:widowControl w:val="0"/>
              <w:autoSpaceDE w:val="0"/>
              <w:autoSpaceDN w:val="0"/>
              <w:adjustRightInd w:val="0"/>
              <w:spacing w:line="276" w:lineRule="auto"/>
              <w:rPr>
                <w:rFonts w:cstheme="minorHAnsi"/>
                <w:sz w:val="18"/>
                <w:szCs w:val="20"/>
              </w:rPr>
            </w:pPr>
            <w:r>
              <w:rPr>
                <w:rFonts w:cstheme="minorHAnsi"/>
                <w:sz w:val="18"/>
                <w:szCs w:val="20"/>
              </w:rPr>
              <w:t>0.23</w:t>
            </w:r>
          </w:p>
        </w:tc>
        <w:tc>
          <w:tcPr>
            <w:tcW w:w="1883" w:type="dxa"/>
          </w:tcPr>
          <w:p w14:paraId="6D749BAD" w14:textId="7900B3D8"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&lt;0.001</w:t>
            </w:r>
          </w:p>
        </w:tc>
        <w:tc>
          <w:tcPr>
            <w:tcW w:w="709" w:type="dxa"/>
          </w:tcPr>
          <w:p w14:paraId="2D852247" w14:textId="771CA2A1"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0.93</w:t>
            </w:r>
          </w:p>
        </w:tc>
        <w:tc>
          <w:tcPr>
            <w:tcW w:w="1701" w:type="dxa"/>
          </w:tcPr>
          <w:p w14:paraId="6780BCF5" w14:textId="4E08F886"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0.14</w:t>
            </w:r>
          </w:p>
        </w:tc>
        <w:tc>
          <w:tcPr>
            <w:tcW w:w="709" w:type="dxa"/>
          </w:tcPr>
          <w:p w14:paraId="50DDE190" w14:textId="132CEC3F"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0.07</w:t>
            </w:r>
          </w:p>
        </w:tc>
        <w:tc>
          <w:tcPr>
            <w:tcW w:w="1843" w:type="dxa"/>
          </w:tcPr>
          <w:p w14:paraId="6B2333FE" w14:textId="0C1F5E27"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0.58</w:t>
            </w:r>
          </w:p>
        </w:tc>
        <w:tc>
          <w:tcPr>
            <w:tcW w:w="708" w:type="dxa"/>
          </w:tcPr>
          <w:p w14:paraId="408E7994" w14:textId="6A1B5115"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0.012</w:t>
            </w:r>
          </w:p>
        </w:tc>
        <w:tc>
          <w:tcPr>
            <w:tcW w:w="1848" w:type="dxa"/>
          </w:tcPr>
          <w:p w14:paraId="34DB0898" w14:textId="661EF2B9"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0.75</w:t>
            </w:r>
          </w:p>
        </w:tc>
        <w:tc>
          <w:tcPr>
            <w:tcW w:w="709" w:type="dxa"/>
          </w:tcPr>
          <w:p w14:paraId="51E5834A" w14:textId="1B231BCD"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0.12</w:t>
            </w:r>
          </w:p>
        </w:tc>
        <w:tc>
          <w:tcPr>
            <w:tcW w:w="1554" w:type="dxa"/>
          </w:tcPr>
          <w:p w14:paraId="6CEA8014" w14:textId="7747BD2E"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0.75</w:t>
            </w:r>
          </w:p>
        </w:tc>
        <w:tc>
          <w:tcPr>
            <w:tcW w:w="709" w:type="dxa"/>
          </w:tcPr>
          <w:p w14:paraId="7B406311" w14:textId="395A1862"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0.31</w:t>
            </w:r>
          </w:p>
        </w:tc>
      </w:tr>
      <w:tr w:rsidR="004F6EAB" w:rsidRPr="004F6EAB" w14:paraId="53243543" w14:textId="77777777" w:rsidTr="00026735">
        <w:tc>
          <w:tcPr>
            <w:tcW w:w="846" w:type="dxa"/>
            <w:tcBorders>
              <w:bottom w:val="single" w:sz="4" w:space="0" w:color="auto"/>
            </w:tcBorders>
          </w:tcPr>
          <w:p w14:paraId="02ED6743" w14:textId="7210AB10" w:rsidR="002E245C" w:rsidRPr="00F05917" w:rsidRDefault="00D65D4D"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Np/Nc</w:t>
            </w:r>
          </w:p>
        </w:tc>
        <w:tc>
          <w:tcPr>
            <w:tcW w:w="1843" w:type="dxa"/>
            <w:tcBorders>
              <w:bottom w:val="single" w:sz="4" w:space="0" w:color="auto"/>
            </w:tcBorders>
          </w:tcPr>
          <w:p w14:paraId="689F395F" w14:textId="5CBAEDCC" w:rsidR="002E245C" w:rsidRPr="00F05917" w:rsidRDefault="009471A7"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23571/7</w:t>
            </w:r>
          </w:p>
        </w:tc>
        <w:tc>
          <w:tcPr>
            <w:tcW w:w="668" w:type="dxa"/>
            <w:tcBorders>
              <w:bottom w:val="single" w:sz="4" w:space="0" w:color="auto"/>
            </w:tcBorders>
          </w:tcPr>
          <w:p w14:paraId="3F68EF05"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883" w:type="dxa"/>
            <w:tcBorders>
              <w:bottom w:val="single" w:sz="4" w:space="0" w:color="auto"/>
            </w:tcBorders>
          </w:tcPr>
          <w:p w14:paraId="37A666D0" w14:textId="7F23490F"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23370/7</w:t>
            </w:r>
          </w:p>
        </w:tc>
        <w:tc>
          <w:tcPr>
            <w:tcW w:w="709" w:type="dxa"/>
            <w:tcBorders>
              <w:bottom w:val="single" w:sz="4" w:space="0" w:color="auto"/>
            </w:tcBorders>
          </w:tcPr>
          <w:p w14:paraId="05C304CB"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701" w:type="dxa"/>
            <w:tcBorders>
              <w:bottom w:val="single" w:sz="4" w:space="0" w:color="auto"/>
            </w:tcBorders>
          </w:tcPr>
          <w:p w14:paraId="259BA14F" w14:textId="0E011D02"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23938/7</w:t>
            </w:r>
          </w:p>
        </w:tc>
        <w:tc>
          <w:tcPr>
            <w:tcW w:w="709" w:type="dxa"/>
            <w:tcBorders>
              <w:bottom w:val="single" w:sz="4" w:space="0" w:color="auto"/>
            </w:tcBorders>
          </w:tcPr>
          <w:p w14:paraId="5E882B10"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28E8FD13" w14:textId="031513EC"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23791/7</w:t>
            </w:r>
          </w:p>
        </w:tc>
        <w:tc>
          <w:tcPr>
            <w:tcW w:w="708" w:type="dxa"/>
            <w:tcBorders>
              <w:bottom w:val="single" w:sz="4" w:space="0" w:color="auto"/>
            </w:tcBorders>
          </w:tcPr>
          <w:p w14:paraId="0D4189D6"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848" w:type="dxa"/>
            <w:tcBorders>
              <w:bottom w:val="single" w:sz="4" w:space="0" w:color="auto"/>
            </w:tcBorders>
          </w:tcPr>
          <w:p w14:paraId="2651989B" w14:textId="55507328"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23953/7</w:t>
            </w:r>
          </w:p>
        </w:tc>
        <w:tc>
          <w:tcPr>
            <w:tcW w:w="709" w:type="dxa"/>
            <w:tcBorders>
              <w:bottom w:val="single" w:sz="4" w:space="0" w:color="auto"/>
            </w:tcBorders>
          </w:tcPr>
          <w:p w14:paraId="23583F30"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554" w:type="dxa"/>
            <w:tcBorders>
              <w:bottom w:val="single" w:sz="4" w:space="0" w:color="auto"/>
            </w:tcBorders>
          </w:tcPr>
          <w:p w14:paraId="0B7CD5DA" w14:textId="151563BC" w:rsidR="002E245C" w:rsidRPr="00F05917" w:rsidRDefault="004F793F"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23998/7</w:t>
            </w:r>
          </w:p>
        </w:tc>
        <w:tc>
          <w:tcPr>
            <w:tcW w:w="709" w:type="dxa"/>
            <w:tcBorders>
              <w:bottom w:val="single" w:sz="4" w:space="0" w:color="auto"/>
            </w:tcBorders>
          </w:tcPr>
          <w:p w14:paraId="4F24D5A0"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r>
      <w:tr w:rsidR="004F6EAB" w:rsidRPr="004F6EAB" w14:paraId="6C111B6E" w14:textId="77777777" w:rsidTr="00C9513F">
        <w:tc>
          <w:tcPr>
            <w:tcW w:w="846" w:type="dxa"/>
            <w:tcBorders>
              <w:top w:val="single" w:sz="4" w:space="0" w:color="auto"/>
            </w:tcBorders>
          </w:tcPr>
          <w:p w14:paraId="2F1C38E3" w14:textId="77777777" w:rsidR="002E245C" w:rsidRPr="00F05917" w:rsidRDefault="002E245C"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Early</w:t>
            </w:r>
          </w:p>
        </w:tc>
        <w:tc>
          <w:tcPr>
            <w:tcW w:w="1843" w:type="dxa"/>
            <w:tcBorders>
              <w:top w:val="single" w:sz="4" w:space="0" w:color="auto"/>
            </w:tcBorders>
          </w:tcPr>
          <w:p w14:paraId="68BF255E" w14:textId="52AEEA8B" w:rsidR="002E245C" w:rsidRPr="00F05917" w:rsidRDefault="009471A7" w:rsidP="0018068A">
            <w:pPr>
              <w:widowControl w:val="0"/>
              <w:autoSpaceDE w:val="0"/>
              <w:autoSpaceDN w:val="0"/>
              <w:adjustRightInd w:val="0"/>
              <w:spacing w:line="276" w:lineRule="auto"/>
              <w:rPr>
                <w:rFonts w:cstheme="minorHAnsi"/>
                <w:sz w:val="18"/>
                <w:szCs w:val="20"/>
              </w:rPr>
            </w:pPr>
            <w:r w:rsidRPr="00F05917">
              <w:rPr>
                <w:rFonts w:cstheme="minorHAnsi"/>
                <w:sz w:val="18"/>
                <w:szCs w:val="20"/>
              </w:rPr>
              <w:t>1.19 (1.08, 1.32)</w:t>
            </w:r>
          </w:p>
        </w:tc>
        <w:tc>
          <w:tcPr>
            <w:tcW w:w="668" w:type="dxa"/>
            <w:tcBorders>
              <w:top w:val="single" w:sz="4" w:space="0" w:color="auto"/>
            </w:tcBorders>
          </w:tcPr>
          <w:p w14:paraId="08097D3D" w14:textId="35E39A21" w:rsidR="002E245C" w:rsidRPr="00F05917" w:rsidRDefault="009471A7"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883" w:type="dxa"/>
            <w:tcBorders>
              <w:top w:val="single" w:sz="4" w:space="0" w:color="auto"/>
            </w:tcBorders>
          </w:tcPr>
          <w:p w14:paraId="6F164AD3" w14:textId="1B68A7A5" w:rsidR="002E245C" w:rsidRPr="00F05917" w:rsidRDefault="00026735" w:rsidP="0018068A">
            <w:pPr>
              <w:widowControl w:val="0"/>
              <w:autoSpaceDE w:val="0"/>
              <w:autoSpaceDN w:val="0"/>
              <w:adjustRightInd w:val="0"/>
              <w:spacing w:line="276" w:lineRule="auto"/>
              <w:rPr>
                <w:rFonts w:cstheme="minorHAnsi"/>
                <w:sz w:val="18"/>
                <w:szCs w:val="20"/>
              </w:rPr>
            </w:pPr>
            <w:r w:rsidRPr="00F05917">
              <w:rPr>
                <w:rFonts w:cstheme="minorHAnsi"/>
                <w:sz w:val="18"/>
                <w:szCs w:val="20"/>
              </w:rPr>
              <w:t>1.17 (1.07, 1.29)</w:t>
            </w:r>
          </w:p>
        </w:tc>
        <w:tc>
          <w:tcPr>
            <w:tcW w:w="709" w:type="dxa"/>
            <w:tcBorders>
              <w:top w:val="single" w:sz="4" w:space="0" w:color="auto"/>
            </w:tcBorders>
          </w:tcPr>
          <w:p w14:paraId="45416D4C" w14:textId="087A3021"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701" w:type="dxa"/>
            <w:tcBorders>
              <w:top w:val="single" w:sz="4" w:space="0" w:color="auto"/>
            </w:tcBorders>
          </w:tcPr>
          <w:p w14:paraId="7A0AE522" w14:textId="7217A571"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0.99 (0.90, 1.09)</w:t>
            </w:r>
          </w:p>
        </w:tc>
        <w:tc>
          <w:tcPr>
            <w:tcW w:w="709" w:type="dxa"/>
            <w:tcBorders>
              <w:top w:val="single" w:sz="4" w:space="0" w:color="auto"/>
            </w:tcBorders>
          </w:tcPr>
          <w:p w14:paraId="0F05321B" w14:textId="488CED9E"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52</w:t>
            </w:r>
          </w:p>
        </w:tc>
        <w:tc>
          <w:tcPr>
            <w:tcW w:w="1843" w:type="dxa"/>
            <w:tcBorders>
              <w:top w:val="single" w:sz="4" w:space="0" w:color="auto"/>
            </w:tcBorders>
          </w:tcPr>
          <w:p w14:paraId="555FE6E3" w14:textId="37D7FD98"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1.02 (0.91, 1.13)</w:t>
            </w:r>
          </w:p>
        </w:tc>
        <w:tc>
          <w:tcPr>
            <w:tcW w:w="708" w:type="dxa"/>
            <w:tcBorders>
              <w:top w:val="single" w:sz="4" w:space="0" w:color="auto"/>
            </w:tcBorders>
          </w:tcPr>
          <w:p w14:paraId="5B296B54" w14:textId="18F433EB"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72</w:t>
            </w:r>
          </w:p>
        </w:tc>
        <w:tc>
          <w:tcPr>
            <w:tcW w:w="1848" w:type="dxa"/>
            <w:tcBorders>
              <w:top w:val="single" w:sz="4" w:space="0" w:color="auto"/>
            </w:tcBorders>
          </w:tcPr>
          <w:p w14:paraId="5F075FB0" w14:textId="6B788314"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1.10 (1.003, 1.21)</w:t>
            </w:r>
          </w:p>
        </w:tc>
        <w:tc>
          <w:tcPr>
            <w:tcW w:w="709" w:type="dxa"/>
            <w:tcBorders>
              <w:top w:val="single" w:sz="4" w:space="0" w:color="auto"/>
            </w:tcBorders>
          </w:tcPr>
          <w:p w14:paraId="38EECB8A" w14:textId="66AF8F6B"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554" w:type="dxa"/>
            <w:tcBorders>
              <w:top w:val="single" w:sz="4" w:space="0" w:color="auto"/>
            </w:tcBorders>
          </w:tcPr>
          <w:p w14:paraId="3C03367D" w14:textId="167A1336" w:rsidR="002E245C" w:rsidRPr="00F05917" w:rsidRDefault="004F793F"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1.01 (0.92, 1.10)</w:t>
            </w:r>
          </w:p>
        </w:tc>
        <w:tc>
          <w:tcPr>
            <w:tcW w:w="709" w:type="dxa"/>
            <w:tcBorders>
              <w:top w:val="single" w:sz="4" w:space="0" w:color="auto"/>
            </w:tcBorders>
          </w:tcPr>
          <w:p w14:paraId="624E2C94" w14:textId="643FCF50" w:rsidR="002E245C" w:rsidRPr="00F05917" w:rsidRDefault="004F793F"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r>
      <w:tr w:rsidR="00C9513F" w:rsidRPr="004F6EAB" w14:paraId="4F87E4E6" w14:textId="77777777" w:rsidTr="00C9513F">
        <w:tc>
          <w:tcPr>
            <w:tcW w:w="846" w:type="dxa"/>
          </w:tcPr>
          <w:p w14:paraId="2D7A8F53" w14:textId="2119FF80" w:rsidR="00C9513F" w:rsidRPr="00F05917" w:rsidRDefault="00B75CF5" w:rsidP="002E245C">
            <w:pPr>
              <w:widowControl w:val="0"/>
              <w:autoSpaceDE w:val="0"/>
              <w:autoSpaceDN w:val="0"/>
              <w:adjustRightInd w:val="0"/>
              <w:spacing w:line="276" w:lineRule="auto"/>
              <w:rPr>
                <w:rFonts w:cstheme="minorHAnsi"/>
                <w:sz w:val="18"/>
                <w:szCs w:val="20"/>
              </w:rPr>
            </w:pPr>
            <w:r w:rsidRPr="00F05917">
              <w:rPr>
                <w:rFonts w:cstheme="minorHAnsi"/>
                <w:i/>
                <w:iCs/>
                <w:sz w:val="18"/>
                <w:szCs w:val="20"/>
              </w:rPr>
              <w:t>P-value</w:t>
            </w:r>
          </w:p>
        </w:tc>
        <w:tc>
          <w:tcPr>
            <w:tcW w:w="1843" w:type="dxa"/>
          </w:tcPr>
          <w:p w14:paraId="51D91DAC" w14:textId="66467D93" w:rsidR="00C9513F" w:rsidRPr="00F05917" w:rsidRDefault="008B53B9" w:rsidP="002E245C">
            <w:pPr>
              <w:widowControl w:val="0"/>
              <w:autoSpaceDE w:val="0"/>
              <w:autoSpaceDN w:val="0"/>
              <w:adjustRightInd w:val="0"/>
              <w:spacing w:line="276" w:lineRule="auto"/>
              <w:rPr>
                <w:rFonts w:cstheme="minorHAnsi"/>
                <w:sz w:val="18"/>
                <w:szCs w:val="20"/>
              </w:rPr>
            </w:pPr>
            <w:r>
              <w:rPr>
                <w:rFonts w:cstheme="minorHAnsi"/>
                <w:sz w:val="18"/>
                <w:szCs w:val="20"/>
              </w:rPr>
              <w:t>0.001</w:t>
            </w:r>
          </w:p>
        </w:tc>
        <w:tc>
          <w:tcPr>
            <w:tcW w:w="668" w:type="dxa"/>
          </w:tcPr>
          <w:p w14:paraId="11542402" w14:textId="1E294E5C" w:rsidR="00C9513F" w:rsidRPr="00F05917" w:rsidRDefault="008B53B9" w:rsidP="002E245C">
            <w:pPr>
              <w:widowControl w:val="0"/>
              <w:autoSpaceDE w:val="0"/>
              <w:autoSpaceDN w:val="0"/>
              <w:adjustRightInd w:val="0"/>
              <w:spacing w:line="276" w:lineRule="auto"/>
              <w:rPr>
                <w:rFonts w:cstheme="minorHAnsi"/>
                <w:sz w:val="18"/>
                <w:szCs w:val="20"/>
              </w:rPr>
            </w:pPr>
            <w:r>
              <w:rPr>
                <w:rFonts w:cstheme="minorHAnsi"/>
                <w:sz w:val="18"/>
                <w:szCs w:val="20"/>
              </w:rPr>
              <w:t>0.97</w:t>
            </w:r>
          </w:p>
        </w:tc>
        <w:tc>
          <w:tcPr>
            <w:tcW w:w="1883" w:type="dxa"/>
          </w:tcPr>
          <w:p w14:paraId="63F61001" w14:textId="3BF4DBA8"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0.001</w:t>
            </w:r>
          </w:p>
        </w:tc>
        <w:tc>
          <w:tcPr>
            <w:tcW w:w="709" w:type="dxa"/>
          </w:tcPr>
          <w:p w14:paraId="71D0E7CD" w14:textId="766B863D"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0.91</w:t>
            </w:r>
          </w:p>
        </w:tc>
        <w:tc>
          <w:tcPr>
            <w:tcW w:w="1701" w:type="dxa"/>
          </w:tcPr>
          <w:p w14:paraId="7659A3D2" w14:textId="025D350E"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0.85</w:t>
            </w:r>
          </w:p>
        </w:tc>
        <w:tc>
          <w:tcPr>
            <w:tcW w:w="709" w:type="dxa"/>
          </w:tcPr>
          <w:p w14:paraId="67EEB555" w14:textId="2966C41D"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0.08</w:t>
            </w:r>
          </w:p>
        </w:tc>
        <w:tc>
          <w:tcPr>
            <w:tcW w:w="1843" w:type="dxa"/>
          </w:tcPr>
          <w:p w14:paraId="4BAF7C6F" w14:textId="184FD84E"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0.75</w:t>
            </w:r>
          </w:p>
        </w:tc>
        <w:tc>
          <w:tcPr>
            <w:tcW w:w="708" w:type="dxa"/>
          </w:tcPr>
          <w:p w14:paraId="26458026" w14:textId="6C98C932"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0.007</w:t>
            </w:r>
          </w:p>
        </w:tc>
        <w:tc>
          <w:tcPr>
            <w:tcW w:w="1848" w:type="dxa"/>
          </w:tcPr>
          <w:p w14:paraId="5351F2C4" w14:textId="74B1269A"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0.042</w:t>
            </w:r>
          </w:p>
        </w:tc>
        <w:tc>
          <w:tcPr>
            <w:tcW w:w="709" w:type="dxa"/>
          </w:tcPr>
          <w:p w14:paraId="09DB358E" w14:textId="2F34E7F7"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0.74</w:t>
            </w:r>
          </w:p>
        </w:tc>
        <w:tc>
          <w:tcPr>
            <w:tcW w:w="1554" w:type="dxa"/>
          </w:tcPr>
          <w:p w14:paraId="39A22EBA" w14:textId="112B1FB8"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0.89</w:t>
            </w:r>
          </w:p>
        </w:tc>
        <w:tc>
          <w:tcPr>
            <w:tcW w:w="709" w:type="dxa"/>
          </w:tcPr>
          <w:p w14:paraId="1DE75A82" w14:textId="10BA7AFD"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0.81</w:t>
            </w:r>
          </w:p>
        </w:tc>
      </w:tr>
      <w:tr w:rsidR="004F6EAB" w:rsidRPr="004F6EAB" w14:paraId="754C3152" w14:textId="77777777" w:rsidTr="00026735">
        <w:tc>
          <w:tcPr>
            <w:tcW w:w="846" w:type="dxa"/>
            <w:tcBorders>
              <w:bottom w:val="single" w:sz="4" w:space="0" w:color="auto"/>
            </w:tcBorders>
          </w:tcPr>
          <w:p w14:paraId="675639DA" w14:textId="047F8744" w:rsidR="002E245C" w:rsidRPr="00F05917" w:rsidRDefault="00D65D4D"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Np/Nc</w:t>
            </w:r>
          </w:p>
        </w:tc>
        <w:tc>
          <w:tcPr>
            <w:tcW w:w="1843" w:type="dxa"/>
            <w:tcBorders>
              <w:bottom w:val="single" w:sz="4" w:space="0" w:color="auto"/>
            </w:tcBorders>
          </w:tcPr>
          <w:p w14:paraId="71F659CD" w14:textId="47492064" w:rsidR="002E245C" w:rsidRPr="00F05917" w:rsidRDefault="009471A7"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10441/5</w:t>
            </w:r>
          </w:p>
        </w:tc>
        <w:tc>
          <w:tcPr>
            <w:tcW w:w="668" w:type="dxa"/>
            <w:tcBorders>
              <w:bottom w:val="single" w:sz="4" w:space="0" w:color="auto"/>
            </w:tcBorders>
          </w:tcPr>
          <w:p w14:paraId="12E0061C"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883" w:type="dxa"/>
            <w:tcBorders>
              <w:bottom w:val="single" w:sz="4" w:space="0" w:color="auto"/>
            </w:tcBorders>
          </w:tcPr>
          <w:p w14:paraId="375724BB" w14:textId="31332DF5"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10291/5</w:t>
            </w:r>
          </w:p>
        </w:tc>
        <w:tc>
          <w:tcPr>
            <w:tcW w:w="709" w:type="dxa"/>
            <w:tcBorders>
              <w:bottom w:val="single" w:sz="4" w:space="0" w:color="auto"/>
            </w:tcBorders>
          </w:tcPr>
          <w:p w14:paraId="2528FB7E"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701" w:type="dxa"/>
            <w:tcBorders>
              <w:bottom w:val="single" w:sz="4" w:space="0" w:color="auto"/>
            </w:tcBorders>
          </w:tcPr>
          <w:p w14:paraId="3044D748" w14:textId="5811EC58"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10863/5</w:t>
            </w:r>
          </w:p>
        </w:tc>
        <w:tc>
          <w:tcPr>
            <w:tcW w:w="709" w:type="dxa"/>
            <w:tcBorders>
              <w:bottom w:val="single" w:sz="4" w:space="0" w:color="auto"/>
            </w:tcBorders>
          </w:tcPr>
          <w:p w14:paraId="5C03BC12"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1652F35B" w14:textId="0D056113"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10712/5</w:t>
            </w:r>
          </w:p>
        </w:tc>
        <w:tc>
          <w:tcPr>
            <w:tcW w:w="708" w:type="dxa"/>
            <w:tcBorders>
              <w:bottom w:val="single" w:sz="4" w:space="0" w:color="auto"/>
            </w:tcBorders>
          </w:tcPr>
          <w:p w14:paraId="074EA45B"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848" w:type="dxa"/>
            <w:tcBorders>
              <w:bottom w:val="single" w:sz="4" w:space="0" w:color="auto"/>
            </w:tcBorders>
          </w:tcPr>
          <w:p w14:paraId="6F03F6AC" w14:textId="1F9BC769"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10677/5</w:t>
            </w:r>
          </w:p>
        </w:tc>
        <w:tc>
          <w:tcPr>
            <w:tcW w:w="709" w:type="dxa"/>
            <w:tcBorders>
              <w:bottom w:val="single" w:sz="4" w:space="0" w:color="auto"/>
            </w:tcBorders>
          </w:tcPr>
          <w:p w14:paraId="061B067F"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554" w:type="dxa"/>
            <w:tcBorders>
              <w:bottom w:val="single" w:sz="4" w:space="0" w:color="auto"/>
            </w:tcBorders>
          </w:tcPr>
          <w:p w14:paraId="55D4D9BA" w14:textId="5C2E4C89" w:rsidR="002E245C" w:rsidRPr="00F05917" w:rsidRDefault="004F793F"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10722/5</w:t>
            </w:r>
          </w:p>
        </w:tc>
        <w:tc>
          <w:tcPr>
            <w:tcW w:w="709" w:type="dxa"/>
            <w:tcBorders>
              <w:bottom w:val="single" w:sz="4" w:space="0" w:color="auto"/>
            </w:tcBorders>
          </w:tcPr>
          <w:p w14:paraId="61B1991F"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r>
      <w:tr w:rsidR="004F6EAB" w:rsidRPr="004F6EAB" w14:paraId="52729E86" w14:textId="77777777" w:rsidTr="00C9513F">
        <w:tc>
          <w:tcPr>
            <w:tcW w:w="846" w:type="dxa"/>
            <w:tcBorders>
              <w:top w:val="single" w:sz="4" w:space="0" w:color="auto"/>
            </w:tcBorders>
          </w:tcPr>
          <w:p w14:paraId="070D08AF" w14:textId="77777777" w:rsidR="002E245C" w:rsidRPr="00F05917" w:rsidRDefault="002E245C"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Late</w:t>
            </w:r>
          </w:p>
        </w:tc>
        <w:tc>
          <w:tcPr>
            <w:tcW w:w="1843" w:type="dxa"/>
            <w:tcBorders>
              <w:top w:val="single" w:sz="4" w:space="0" w:color="auto"/>
            </w:tcBorders>
          </w:tcPr>
          <w:p w14:paraId="1A12D8A6" w14:textId="3B562BE2" w:rsidR="002E245C" w:rsidRPr="00F05917" w:rsidRDefault="009471A7"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1.04 (0.84, 1.30)</w:t>
            </w:r>
          </w:p>
        </w:tc>
        <w:tc>
          <w:tcPr>
            <w:tcW w:w="668" w:type="dxa"/>
            <w:tcBorders>
              <w:top w:val="single" w:sz="4" w:space="0" w:color="auto"/>
            </w:tcBorders>
          </w:tcPr>
          <w:p w14:paraId="600E1F2F" w14:textId="094985C3" w:rsidR="002E245C" w:rsidRPr="00F05917" w:rsidRDefault="009471A7"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72</w:t>
            </w:r>
          </w:p>
        </w:tc>
        <w:tc>
          <w:tcPr>
            <w:tcW w:w="1883" w:type="dxa"/>
            <w:tcBorders>
              <w:top w:val="single" w:sz="4" w:space="0" w:color="auto"/>
            </w:tcBorders>
          </w:tcPr>
          <w:p w14:paraId="18CF47D6" w14:textId="649D481A" w:rsidR="002E245C" w:rsidRPr="00F05917" w:rsidRDefault="00026735" w:rsidP="0018068A">
            <w:pPr>
              <w:widowControl w:val="0"/>
              <w:autoSpaceDE w:val="0"/>
              <w:autoSpaceDN w:val="0"/>
              <w:adjustRightInd w:val="0"/>
              <w:spacing w:line="276" w:lineRule="auto"/>
              <w:rPr>
                <w:rFonts w:cstheme="minorHAnsi"/>
                <w:sz w:val="18"/>
                <w:szCs w:val="20"/>
              </w:rPr>
            </w:pPr>
            <w:r w:rsidRPr="00F05917">
              <w:rPr>
                <w:rFonts w:cstheme="minorHAnsi"/>
                <w:sz w:val="18"/>
                <w:szCs w:val="20"/>
              </w:rPr>
              <w:t>1.18 (1.09, 1.28)</w:t>
            </w:r>
          </w:p>
        </w:tc>
        <w:tc>
          <w:tcPr>
            <w:tcW w:w="709" w:type="dxa"/>
            <w:tcBorders>
              <w:top w:val="single" w:sz="4" w:space="0" w:color="auto"/>
            </w:tcBorders>
          </w:tcPr>
          <w:p w14:paraId="63039696" w14:textId="4752CDFD"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701" w:type="dxa"/>
            <w:tcBorders>
              <w:top w:val="single" w:sz="4" w:space="0" w:color="auto"/>
            </w:tcBorders>
          </w:tcPr>
          <w:p w14:paraId="1BB4DB07" w14:textId="597507EA"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0.93 (0.83, 1.04)</w:t>
            </w:r>
          </w:p>
        </w:tc>
        <w:tc>
          <w:tcPr>
            <w:tcW w:w="709" w:type="dxa"/>
            <w:tcBorders>
              <w:top w:val="single" w:sz="4" w:space="0" w:color="auto"/>
            </w:tcBorders>
          </w:tcPr>
          <w:p w14:paraId="0443498E" w14:textId="770538FB"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59</w:t>
            </w:r>
          </w:p>
        </w:tc>
        <w:tc>
          <w:tcPr>
            <w:tcW w:w="1843" w:type="dxa"/>
            <w:tcBorders>
              <w:top w:val="single" w:sz="4" w:space="0" w:color="auto"/>
            </w:tcBorders>
          </w:tcPr>
          <w:p w14:paraId="24696DEE" w14:textId="73BE3C7D"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0.95 (0.90, 1.01)</w:t>
            </w:r>
          </w:p>
        </w:tc>
        <w:tc>
          <w:tcPr>
            <w:tcW w:w="708" w:type="dxa"/>
            <w:tcBorders>
              <w:top w:val="single" w:sz="4" w:space="0" w:color="auto"/>
            </w:tcBorders>
          </w:tcPr>
          <w:p w14:paraId="7BAB16C7" w14:textId="41B4A82E"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22</w:t>
            </w:r>
          </w:p>
        </w:tc>
        <w:tc>
          <w:tcPr>
            <w:tcW w:w="1848" w:type="dxa"/>
            <w:tcBorders>
              <w:top w:val="single" w:sz="4" w:space="0" w:color="auto"/>
            </w:tcBorders>
          </w:tcPr>
          <w:p w14:paraId="6D95CFE5" w14:textId="0FB83061"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0.97 (0.82, 1.16)</w:t>
            </w:r>
          </w:p>
        </w:tc>
        <w:tc>
          <w:tcPr>
            <w:tcW w:w="709" w:type="dxa"/>
            <w:tcBorders>
              <w:top w:val="single" w:sz="4" w:space="0" w:color="auto"/>
            </w:tcBorders>
          </w:tcPr>
          <w:p w14:paraId="27556AEC" w14:textId="244D1FC6"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66</w:t>
            </w:r>
          </w:p>
        </w:tc>
        <w:tc>
          <w:tcPr>
            <w:tcW w:w="1554" w:type="dxa"/>
            <w:tcBorders>
              <w:top w:val="single" w:sz="4" w:space="0" w:color="auto"/>
            </w:tcBorders>
          </w:tcPr>
          <w:p w14:paraId="12F39469" w14:textId="48EEF117" w:rsidR="002E245C" w:rsidRPr="00F05917" w:rsidRDefault="004F793F"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1.07 (0.87,1.31)</w:t>
            </w:r>
          </w:p>
        </w:tc>
        <w:tc>
          <w:tcPr>
            <w:tcW w:w="709" w:type="dxa"/>
            <w:tcBorders>
              <w:top w:val="single" w:sz="4" w:space="0" w:color="auto"/>
            </w:tcBorders>
          </w:tcPr>
          <w:p w14:paraId="25914E39" w14:textId="00E40B7B" w:rsidR="002E245C" w:rsidRPr="00F05917" w:rsidRDefault="004F793F"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68</w:t>
            </w:r>
          </w:p>
        </w:tc>
      </w:tr>
      <w:tr w:rsidR="00C9513F" w:rsidRPr="004F6EAB" w14:paraId="35AE22FF" w14:textId="77777777" w:rsidTr="00C9513F">
        <w:tc>
          <w:tcPr>
            <w:tcW w:w="846" w:type="dxa"/>
          </w:tcPr>
          <w:p w14:paraId="2B0CDB39" w14:textId="7F71D68D" w:rsidR="00C9513F" w:rsidRPr="00F05917" w:rsidRDefault="00B75CF5" w:rsidP="002E245C">
            <w:pPr>
              <w:widowControl w:val="0"/>
              <w:autoSpaceDE w:val="0"/>
              <w:autoSpaceDN w:val="0"/>
              <w:adjustRightInd w:val="0"/>
              <w:spacing w:line="276" w:lineRule="auto"/>
              <w:rPr>
                <w:rFonts w:cstheme="minorHAnsi"/>
                <w:sz w:val="18"/>
                <w:szCs w:val="20"/>
              </w:rPr>
            </w:pPr>
            <w:r w:rsidRPr="00F05917">
              <w:rPr>
                <w:rFonts w:cstheme="minorHAnsi"/>
                <w:i/>
                <w:iCs/>
                <w:sz w:val="18"/>
                <w:szCs w:val="20"/>
              </w:rPr>
              <w:t>P-value</w:t>
            </w:r>
          </w:p>
        </w:tc>
        <w:tc>
          <w:tcPr>
            <w:tcW w:w="1843" w:type="dxa"/>
          </w:tcPr>
          <w:p w14:paraId="2742F3FF" w14:textId="068C37FE" w:rsidR="00C9513F" w:rsidRPr="00F05917" w:rsidRDefault="008B53B9" w:rsidP="002E245C">
            <w:pPr>
              <w:widowControl w:val="0"/>
              <w:autoSpaceDE w:val="0"/>
              <w:autoSpaceDN w:val="0"/>
              <w:adjustRightInd w:val="0"/>
              <w:spacing w:line="276" w:lineRule="auto"/>
              <w:rPr>
                <w:rFonts w:cstheme="minorHAnsi"/>
                <w:sz w:val="18"/>
                <w:szCs w:val="20"/>
              </w:rPr>
            </w:pPr>
            <w:r>
              <w:rPr>
                <w:rFonts w:cstheme="minorHAnsi"/>
                <w:sz w:val="18"/>
                <w:szCs w:val="20"/>
              </w:rPr>
              <w:t>0.70</w:t>
            </w:r>
          </w:p>
        </w:tc>
        <w:tc>
          <w:tcPr>
            <w:tcW w:w="668" w:type="dxa"/>
          </w:tcPr>
          <w:p w14:paraId="4E9752C1" w14:textId="27A67FE0" w:rsidR="00C9513F" w:rsidRPr="00F05917" w:rsidRDefault="008B53B9" w:rsidP="002E245C">
            <w:pPr>
              <w:widowControl w:val="0"/>
              <w:autoSpaceDE w:val="0"/>
              <w:autoSpaceDN w:val="0"/>
              <w:adjustRightInd w:val="0"/>
              <w:spacing w:line="276" w:lineRule="auto"/>
              <w:rPr>
                <w:rFonts w:cstheme="minorHAnsi"/>
                <w:sz w:val="18"/>
                <w:szCs w:val="20"/>
              </w:rPr>
            </w:pPr>
            <w:r>
              <w:rPr>
                <w:rFonts w:cstheme="minorHAnsi"/>
                <w:sz w:val="18"/>
                <w:szCs w:val="20"/>
              </w:rPr>
              <w:t>0.029</w:t>
            </w:r>
          </w:p>
        </w:tc>
        <w:tc>
          <w:tcPr>
            <w:tcW w:w="1883" w:type="dxa"/>
          </w:tcPr>
          <w:p w14:paraId="1E4E9D24" w14:textId="1D903A99"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&lt;0.001</w:t>
            </w:r>
          </w:p>
        </w:tc>
        <w:tc>
          <w:tcPr>
            <w:tcW w:w="709" w:type="dxa"/>
          </w:tcPr>
          <w:p w14:paraId="48EF3E8D" w14:textId="0C0F909F"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0.50</w:t>
            </w:r>
          </w:p>
        </w:tc>
        <w:tc>
          <w:tcPr>
            <w:tcW w:w="1701" w:type="dxa"/>
          </w:tcPr>
          <w:p w14:paraId="1D3F8436" w14:textId="4882D067"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0.19</w:t>
            </w:r>
          </w:p>
        </w:tc>
        <w:tc>
          <w:tcPr>
            <w:tcW w:w="709" w:type="dxa"/>
          </w:tcPr>
          <w:p w14:paraId="28BFCF0E" w14:textId="33BEBCC0"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0.09</w:t>
            </w:r>
          </w:p>
        </w:tc>
        <w:tc>
          <w:tcPr>
            <w:tcW w:w="1843" w:type="dxa"/>
          </w:tcPr>
          <w:p w14:paraId="617711D8" w14:textId="2812AEB8"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0.07</w:t>
            </w:r>
          </w:p>
        </w:tc>
        <w:tc>
          <w:tcPr>
            <w:tcW w:w="708" w:type="dxa"/>
          </w:tcPr>
          <w:p w14:paraId="2FF4696E" w14:textId="732B11E6"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0.28</w:t>
            </w:r>
          </w:p>
        </w:tc>
        <w:tc>
          <w:tcPr>
            <w:tcW w:w="1848" w:type="dxa"/>
          </w:tcPr>
          <w:p w14:paraId="4E7D7242" w14:textId="7B62AC8A"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0.74</w:t>
            </w:r>
          </w:p>
        </w:tc>
        <w:tc>
          <w:tcPr>
            <w:tcW w:w="709" w:type="dxa"/>
          </w:tcPr>
          <w:p w14:paraId="3D952AE3" w14:textId="18BC9F6D"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0.05</w:t>
            </w:r>
          </w:p>
        </w:tc>
        <w:tc>
          <w:tcPr>
            <w:tcW w:w="1554" w:type="dxa"/>
          </w:tcPr>
          <w:p w14:paraId="1E9B294C" w14:textId="10B56544"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0.51</w:t>
            </w:r>
          </w:p>
        </w:tc>
        <w:tc>
          <w:tcPr>
            <w:tcW w:w="709" w:type="dxa"/>
          </w:tcPr>
          <w:p w14:paraId="418C127D" w14:textId="736482BE" w:rsidR="00C9513F" w:rsidRPr="00F05917" w:rsidRDefault="00EF7CBA" w:rsidP="002E245C">
            <w:pPr>
              <w:widowControl w:val="0"/>
              <w:autoSpaceDE w:val="0"/>
              <w:autoSpaceDN w:val="0"/>
              <w:adjustRightInd w:val="0"/>
              <w:spacing w:line="276" w:lineRule="auto"/>
              <w:rPr>
                <w:rFonts w:cstheme="minorHAnsi"/>
                <w:sz w:val="18"/>
                <w:szCs w:val="20"/>
              </w:rPr>
            </w:pPr>
            <w:r>
              <w:rPr>
                <w:rFonts w:cstheme="minorHAnsi"/>
                <w:sz w:val="18"/>
                <w:szCs w:val="20"/>
              </w:rPr>
              <w:t>0.044</w:t>
            </w:r>
          </w:p>
        </w:tc>
      </w:tr>
      <w:tr w:rsidR="004F6EAB" w:rsidRPr="004F6EAB" w14:paraId="4326ED69" w14:textId="77777777" w:rsidTr="00026735">
        <w:tc>
          <w:tcPr>
            <w:tcW w:w="846" w:type="dxa"/>
            <w:tcBorders>
              <w:bottom w:val="single" w:sz="4" w:space="0" w:color="auto"/>
            </w:tcBorders>
          </w:tcPr>
          <w:p w14:paraId="12384EE7" w14:textId="2B74F852" w:rsidR="002E245C" w:rsidRPr="00F05917" w:rsidRDefault="00D65D4D"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Np/Nc</w:t>
            </w:r>
          </w:p>
        </w:tc>
        <w:tc>
          <w:tcPr>
            <w:tcW w:w="1843" w:type="dxa"/>
            <w:tcBorders>
              <w:bottom w:val="single" w:sz="4" w:space="0" w:color="auto"/>
            </w:tcBorders>
          </w:tcPr>
          <w:p w14:paraId="1537ADB1" w14:textId="34CB1871" w:rsidR="002E245C" w:rsidRPr="00F05917" w:rsidRDefault="009471A7"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15621/3</w:t>
            </w:r>
          </w:p>
        </w:tc>
        <w:tc>
          <w:tcPr>
            <w:tcW w:w="668" w:type="dxa"/>
            <w:tcBorders>
              <w:bottom w:val="single" w:sz="4" w:space="0" w:color="auto"/>
            </w:tcBorders>
          </w:tcPr>
          <w:p w14:paraId="140F1481"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883" w:type="dxa"/>
            <w:tcBorders>
              <w:bottom w:val="single" w:sz="4" w:space="0" w:color="auto"/>
            </w:tcBorders>
          </w:tcPr>
          <w:p w14:paraId="21924AFE" w14:textId="546A05D3"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15570/3</w:t>
            </w:r>
          </w:p>
        </w:tc>
        <w:tc>
          <w:tcPr>
            <w:tcW w:w="709" w:type="dxa"/>
            <w:tcBorders>
              <w:bottom w:val="single" w:sz="4" w:space="0" w:color="auto"/>
            </w:tcBorders>
          </w:tcPr>
          <w:p w14:paraId="0453B99C"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701" w:type="dxa"/>
            <w:tcBorders>
              <w:bottom w:val="single" w:sz="4" w:space="0" w:color="auto"/>
            </w:tcBorders>
          </w:tcPr>
          <w:p w14:paraId="1B044627" w14:textId="592D21CF"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15566/3</w:t>
            </w:r>
          </w:p>
        </w:tc>
        <w:tc>
          <w:tcPr>
            <w:tcW w:w="709" w:type="dxa"/>
            <w:tcBorders>
              <w:bottom w:val="single" w:sz="4" w:space="0" w:color="auto"/>
            </w:tcBorders>
          </w:tcPr>
          <w:p w14:paraId="0E040DA7"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4C8C7E15" w14:textId="1A1DADF6"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15570/3</w:t>
            </w:r>
          </w:p>
        </w:tc>
        <w:tc>
          <w:tcPr>
            <w:tcW w:w="708" w:type="dxa"/>
            <w:tcBorders>
              <w:bottom w:val="single" w:sz="4" w:space="0" w:color="auto"/>
            </w:tcBorders>
          </w:tcPr>
          <w:p w14:paraId="44CDD13B"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848" w:type="dxa"/>
            <w:tcBorders>
              <w:bottom w:val="single" w:sz="4" w:space="0" w:color="auto"/>
            </w:tcBorders>
          </w:tcPr>
          <w:p w14:paraId="26E0A9F7" w14:textId="3D7C0144" w:rsidR="002E245C" w:rsidRPr="00F05917" w:rsidRDefault="00026735"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15784/3</w:t>
            </w:r>
          </w:p>
        </w:tc>
        <w:tc>
          <w:tcPr>
            <w:tcW w:w="709" w:type="dxa"/>
            <w:tcBorders>
              <w:bottom w:val="single" w:sz="4" w:space="0" w:color="auto"/>
            </w:tcBorders>
          </w:tcPr>
          <w:p w14:paraId="13E520EE"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554" w:type="dxa"/>
            <w:tcBorders>
              <w:bottom w:val="single" w:sz="4" w:space="0" w:color="auto"/>
            </w:tcBorders>
          </w:tcPr>
          <w:p w14:paraId="582D06C7" w14:textId="682D9B9E" w:rsidR="002E245C" w:rsidRPr="00F05917" w:rsidRDefault="004F793F"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15784/3</w:t>
            </w:r>
          </w:p>
        </w:tc>
        <w:tc>
          <w:tcPr>
            <w:tcW w:w="709" w:type="dxa"/>
            <w:tcBorders>
              <w:bottom w:val="single" w:sz="4" w:space="0" w:color="auto"/>
            </w:tcBorders>
          </w:tcPr>
          <w:p w14:paraId="5269E299"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r>
      <w:tr w:rsidR="004F6EAB" w:rsidRPr="004F6EAB" w14:paraId="4E606CF6" w14:textId="77777777" w:rsidTr="00026735">
        <w:tc>
          <w:tcPr>
            <w:tcW w:w="846" w:type="dxa"/>
            <w:tcBorders>
              <w:top w:val="single" w:sz="4" w:space="0" w:color="auto"/>
            </w:tcBorders>
          </w:tcPr>
          <w:p w14:paraId="476EA937"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843" w:type="dxa"/>
            <w:tcBorders>
              <w:top w:val="single" w:sz="4" w:space="0" w:color="auto"/>
            </w:tcBorders>
          </w:tcPr>
          <w:p w14:paraId="7B5E752C"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668" w:type="dxa"/>
            <w:tcBorders>
              <w:top w:val="single" w:sz="4" w:space="0" w:color="auto"/>
            </w:tcBorders>
          </w:tcPr>
          <w:p w14:paraId="71C22326"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883" w:type="dxa"/>
            <w:tcBorders>
              <w:top w:val="single" w:sz="4" w:space="0" w:color="auto"/>
            </w:tcBorders>
          </w:tcPr>
          <w:p w14:paraId="3FCB66E9"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709" w:type="dxa"/>
            <w:tcBorders>
              <w:top w:val="single" w:sz="4" w:space="0" w:color="auto"/>
            </w:tcBorders>
          </w:tcPr>
          <w:p w14:paraId="7937C717"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701" w:type="dxa"/>
            <w:tcBorders>
              <w:top w:val="single" w:sz="4" w:space="0" w:color="auto"/>
            </w:tcBorders>
          </w:tcPr>
          <w:p w14:paraId="6BDDC460"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709" w:type="dxa"/>
            <w:tcBorders>
              <w:top w:val="single" w:sz="4" w:space="0" w:color="auto"/>
            </w:tcBorders>
          </w:tcPr>
          <w:p w14:paraId="35C37D01"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843" w:type="dxa"/>
            <w:tcBorders>
              <w:top w:val="single" w:sz="4" w:space="0" w:color="auto"/>
            </w:tcBorders>
          </w:tcPr>
          <w:p w14:paraId="279F5905"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708" w:type="dxa"/>
            <w:tcBorders>
              <w:top w:val="single" w:sz="4" w:space="0" w:color="auto"/>
            </w:tcBorders>
          </w:tcPr>
          <w:p w14:paraId="2726DD80"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848" w:type="dxa"/>
            <w:tcBorders>
              <w:top w:val="single" w:sz="4" w:space="0" w:color="auto"/>
            </w:tcBorders>
          </w:tcPr>
          <w:p w14:paraId="190C3252"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709" w:type="dxa"/>
            <w:tcBorders>
              <w:top w:val="single" w:sz="4" w:space="0" w:color="auto"/>
            </w:tcBorders>
          </w:tcPr>
          <w:p w14:paraId="03F33DD2"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554" w:type="dxa"/>
            <w:tcBorders>
              <w:top w:val="single" w:sz="4" w:space="0" w:color="auto"/>
            </w:tcBorders>
          </w:tcPr>
          <w:p w14:paraId="25976673"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709" w:type="dxa"/>
            <w:tcBorders>
              <w:top w:val="single" w:sz="4" w:space="0" w:color="auto"/>
            </w:tcBorders>
          </w:tcPr>
          <w:p w14:paraId="3C42165B"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r>
      <w:tr w:rsidR="004F6EAB" w:rsidRPr="004F6EAB" w14:paraId="7FB3E020" w14:textId="77777777" w:rsidTr="00026735">
        <w:tc>
          <w:tcPr>
            <w:tcW w:w="846" w:type="dxa"/>
          </w:tcPr>
          <w:p w14:paraId="6440F347" w14:textId="77777777" w:rsidR="002E245C" w:rsidRPr="00F05917" w:rsidRDefault="002E245C" w:rsidP="002E245C">
            <w:pPr>
              <w:widowControl w:val="0"/>
              <w:autoSpaceDE w:val="0"/>
              <w:autoSpaceDN w:val="0"/>
              <w:adjustRightInd w:val="0"/>
              <w:spacing w:line="276" w:lineRule="auto"/>
              <w:rPr>
                <w:rFonts w:cstheme="minorHAnsi"/>
                <w:b/>
                <w:bCs/>
                <w:sz w:val="18"/>
                <w:szCs w:val="20"/>
              </w:rPr>
            </w:pPr>
            <w:r w:rsidRPr="00F05917">
              <w:rPr>
                <w:rFonts w:cstheme="minorHAnsi"/>
                <w:b/>
                <w:bCs/>
                <w:sz w:val="18"/>
                <w:szCs w:val="20"/>
              </w:rPr>
              <w:t>DASH</w:t>
            </w:r>
          </w:p>
        </w:tc>
        <w:tc>
          <w:tcPr>
            <w:tcW w:w="1843" w:type="dxa"/>
          </w:tcPr>
          <w:p w14:paraId="2AC1E9CC"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668" w:type="dxa"/>
          </w:tcPr>
          <w:p w14:paraId="6C330C60"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883" w:type="dxa"/>
          </w:tcPr>
          <w:p w14:paraId="7D6EB3D6"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709" w:type="dxa"/>
          </w:tcPr>
          <w:p w14:paraId="1AF6076A"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701" w:type="dxa"/>
          </w:tcPr>
          <w:p w14:paraId="6B872BEC"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709" w:type="dxa"/>
          </w:tcPr>
          <w:p w14:paraId="3BACE256"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843" w:type="dxa"/>
          </w:tcPr>
          <w:p w14:paraId="7273E2C4"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708" w:type="dxa"/>
          </w:tcPr>
          <w:p w14:paraId="62CF7E20"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848" w:type="dxa"/>
          </w:tcPr>
          <w:p w14:paraId="4D267474"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709" w:type="dxa"/>
          </w:tcPr>
          <w:p w14:paraId="574E7662"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1554" w:type="dxa"/>
          </w:tcPr>
          <w:p w14:paraId="78206B2F"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c>
          <w:tcPr>
            <w:tcW w:w="709" w:type="dxa"/>
          </w:tcPr>
          <w:p w14:paraId="0EBCE542" w14:textId="77777777" w:rsidR="002E245C" w:rsidRPr="00F05917" w:rsidRDefault="002E245C" w:rsidP="002E245C">
            <w:pPr>
              <w:widowControl w:val="0"/>
              <w:autoSpaceDE w:val="0"/>
              <w:autoSpaceDN w:val="0"/>
              <w:adjustRightInd w:val="0"/>
              <w:spacing w:line="276" w:lineRule="auto"/>
              <w:rPr>
                <w:rFonts w:cstheme="minorHAnsi"/>
                <w:sz w:val="18"/>
                <w:szCs w:val="20"/>
              </w:rPr>
            </w:pPr>
          </w:p>
        </w:tc>
      </w:tr>
      <w:tr w:rsidR="004F6EAB" w:rsidRPr="004F6EAB" w14:paraId="41569231" w14:textId="77777777" w:rsidTr="00026735">
        <w:tc>
          <w:tcPr>
            <w:tcW w:w="846" w:type="dxa"/>
          </w:tcPr>
          <w:p w14:paraId="32AA32F2" w14:textId="77777777" w:rsidR="002E245C" w:rsidRPr="00F05917" w:rsidRDefault="002E245C"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Pre</w:t>
            </w:r>
          </w:p>
        </w:tc>
        <w:tc>
          <w:tcPr>
            <w:tcW w:w="1843" w:type="dxa"/>
          </w:tcPr>
          <w:p w14:paraId="4671498D" w14:textId="04B7327E" w:rsidR="002E245C" w:rsidRPr="00F05917" w:rsidRDefault="004F793F"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0.88 (0.61, 1.28)</w:t>
            </w:r>
          </w:p>
        </w:tc>
        <w:tc>
          <w:tcPr>
            <w:tcW w:w="668" w:type="dxa"/>
          </w:tcPr>
          <w:p w14:paraId="031F85AF" w14:textId="47990EBA" w:rsidR="002E245C" w:rsidRPr="00F05917" w:rsidRDefault="004F793F" w:rsidP="0018068A">
            <w:pPr>
              <w:widowControl w:val="0"/>
              <w:autoSpaceDE w:val="0"/>
              <w:autoSpaceDN w:val="0"/>
              <w:adjustRightInd w:val="0"/>
              <w:spacing w:line="276" w:lineRule="auto"/>
              <w:rPr>
                <w:rFonts w:cstheme="minorHAnsi"/>
                <w:sz w:val="18"/>
                <w:szCs w:val="20"/>
              </w:rPr>
            </w:pPr>
            <w:r w:rsidRPr="00F05917">
              <w:rPr>
                <w:rFonts w:cstheme="minorHAnsi"/>
                <w:sz w:val="18"/>
                <w:szCs w:val="20"/>
              </w:rPr>
              <w:t>81</w:t>
            </w:r>
          </w:p>
        </w:tc>
        <w:tc>
          <w:tcPr>
            <w:tcW w:w="1883" w:type="dxa"/>
          </w:tcPr>
          <w:p w14:paraId="6B584DC8" w14:textId="0F58F833" w:rsidR="002E245C" w:rsidRPr="00F05917" w:rsidRDefault="004F793F"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0.85 (0.71, 1.02)</w:t>
            </w:r>
          </w:p>
        </w:tc>
        <w:tc>
          <w:tcPr>
            <w:tcW w:w="709" w:type="dxa"/>
          </w:tcPr>
          <w:p w14:paraId="35ACEF3D" w14:textId="39A1D17A" w:rsidR="002E245C" w:rsidRPr="00F05917" w:rsidRDefault="004F793F"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33</w:t>
            </w:r>
          </w:p>
        </w:tc>
        <w:tc>
          <w:tcPr>
            <w:tcW w:w="1701" w:type="dxa"/>
          </w:tcPr>
          <w:p w14:paraId="4662D233" w14:textId="253E8392" w:rsidR="002E245C" w:rsidRPr="00F05917" w:rsidRDefault="002D7AC7"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1.05 (0.94, 1.17)</w:t>
            </w:r>
          </w:p>
        </w:tc>
        <w:tc>
          <w:tcPr>
            <w:tcW w:w="709" w:type="dxa"/>
          </w:tcPr>
          <w:p w14:paraId="5826BC9A" w14:textId="6A4A4523" w:rsidR="002E245C" w:rsidRPr="00F05917" w:rsidRDefault="002D7AC7"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843" w:type="dxa"/>
          </w:tcPr>
          <w:p w14:paraId="611E441F" w14:textId="7EE2FF3E" w:rsidR="002E245C" w:rsidRPr="00F05917" w:rsidRDefault="002646D2"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1.05 (0.92, 1.20)</w:t>
            </w:r>
          </w:p>
        </w:tc>
        <w:tc>
          <w:tcPr>
            <w:tcW w:w="708" w:type="dxa"/>
          </w:tcPr>
          <w:p w14:paraId="612853D8" w14:textId="3AE8713A" w:rsidR="002E245C" w:rsidRPr="00F05917" w:rsidRDefault="002646D2"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51</w:t>
            </w:r>
          </w:p>
        </w:tc>
        <w:tc>
          <w:tcPr>
            <w:tcW w:w="1848" w:type="dxa"/>
          </w:tcPr>
          <w:p w14:paraId="6325659A" w14:textId="05026FC6" w:rsidR="002E245C" w:rsidRPr="00F05917" w:rsidRDefault="001A5B8E" w:rsidP="002E245C">
            <w:pPr>
              <w:widowControl w:val="0"/>
              <w:autoSpaceDE w:val="0"/>
              <w:autoSpaceDN w:val="0"/>
              <w:adjustRightInd w:val="0"/>
              <w:spacing w:line="276" w:lineRule="auto"/>
              <w:rPr>
                <w:rFonts w:cstheme="minorHAnsi"/>
                <w:sz w:val="18"/>
                <w:szCs w:val="20"/>
              </w:rPr>
            </w:pPr>
            <w:r w:rsidRPr="00F05917">
              <w:rPr>
                <w:rFonts w:cstheme="minorHAnsi" w:hint="eastAsia"/>
                <w:sz w:val="18"/>
                <w:szCs w:val="20"/>
              </w:rPr>
              <w:t>0.95</w:t>
            </w:r>
            <w:r w:rsidRPr="00F05917">
              <w:rPr>
                <w:rFonts w:cstheme="minorHAnsi"/>
                <w:sz w:val="18"/>
                <w:szCs w:val="20"/>
              </w:rPr>
              <w:t xml:space="preserve"> (0.82, 1.10)</w:t>
            </w:r>
          </w:p>
        </w:tc>
        <w:tc>
          <w:tcPr>
            <w:tcW w:w="709" w:type="dxa"/>
          </w:tcPr>
          <w:p w14:paraId="2CB7A082" w14:textId="4986BCE5" w:rsidR="002E245C" w:rsidRPr="00F05917" w:rsidRDefault="001A5B8E"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554" w:type="dxa"/>
          </w:tcPr>
          <w:p w14:paraId="1B9573B8" w14:textId="3FD8C4A7" w:rsidR="002E245C" w:rsidRPr="00F05917" w:rsidRDefault="001A5B8E"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0.90 (0.67, 1.20)</w:t>
            </w:r>
          </w:p>
        </w:tc>
        <w:tc>
          <w:tcPr>
            <w:tcW w:w="709" w:type="dxa"/>
          </w:tcPr>
          <w:p w14:paraId="4F85212D" w14:textId="7B6AA385" w:rsidR="002E245C" w:rsidRPr="00F05917" w:rsidRDefault="001A5B8E" w:rsidP="002E245C">
            <w:pPr>
              <w:widowControl w:val="0"/>
              <w:autoSpaceDE w:val="0"/>
              <w:autoSpaceDN w:val="0"/>
              <w:adjustRightInd w:val="0"/>
              <w:spacing w:line="276" w:lineRule="auto"/>
              <w:rPr>
                <w:rFonts w:cstheme="minorHAnsi"/>
                <w:sz w:val="18"/>
                <w:szCs w:val="20"/>
              </w:rPr>
            </w:pPr>
            <w:r w:rsidRPr="00F05917">
              <w:rPr>
                <w:rFonts w:cstheme="minorHAnsi"/>
                <w:sz w:val="18"/>
                <w:szCs w:val="20"/>
              </w:rPr>
              <w:t>50</w:t>
            </w:r>
          </w:p>
        </w:tc>
      </w:tr>
      <w:tr w:rsidR="00C9513F" w:rsidRPr="004F6EAB" w14:paraId="340C42A2" w14:textId="77777777" w:rsidTr="00026735">
        <w:tc>
          <w:tcPr>
            <w:tcW w:w="846" w:type="dxa"/>
          </w:tcPr>
          <w:p w14:paraId="30CEEF0B" w14:textId="34CAAAD1" w:rsidR="00C9513F" w:rsidRPr="00F05917" w:rsidRDefault="00B75CF5" w:rsidP="002E245C">
            <w:pPr>
              <w:widowControl w:val="0"/>
              <w:autoSpaceDE w:val="0"/>
              <w:autoSpaceDN w:val="0"/>
              <w:adjustRightInd w:val="0"/>
              <w:spacing w:line="276" w:lineRule="auto"/>
              <w:rPr>
                <w:rFonts w:cstheme="minorHAnsi"/>
                <w:sz w:val="18"/>
                <w:szCs w:val="20"/>
              </w:rPr>
            </w:pPr>
            <w:r w:rsidRPr="00F05917">
              <w:rPr>
                <w:rFonts w:cstheme="minorHAnsi"/>
                <w:i/>
                <w:iCs/>
                <w:sz w:val="18"/>
                <w:szCs w:val="20"/>
              </w:rPr>
              <w:t>P-value</w:t>
            </w:r>
          </w:p>
        </w:tc>
        <w:tc>
          <w:tcPr>
            <w:tcW w:w="1843" w:type="dxa"/>
          </w:tcPr>
          <w:p w14:paraId="0DB53B89" w14:textId="7E1C8B7F" w:rsidR="00C9513F" w:rsidRPr="00F05917" w:rsidRDefault="0051517A" w:rsidP="002E245C">
            <w:pPr>
              <w:widowControl w:val="0"/>
              <w:autoSpaceDE w:val="0"/>
              <w:autoSpaceDN w:val="0"/>
              <w:adjustRightInd w:val="0"/>
              <w:spacing w:line="276" w:lineRule="auto"/>
              <w:rPr>
                <w:rFonts w:cstheme="minorHAnsi"/>
                <w:sz w:val="18"/>
                <w:szCs w:val="20"/>
              </w:rPr>
            </w:pPr>
            <w:r>
              <w:rPr>
                <w:rFonts w:cstheme="minorHAnsi"/>
                <w:sz w:val="18"/>
                <w:szCs w:val="20"/>
              </w:rPr>
              <w:t>0.51</w:t>
            </w:r>
          </w:p>
        </w:tc>
        <w:tc>
          <w:tcPr>
            <w:tcW w:w="668" w:type="dxa"/>
          </w:tcPr>
          <w:p w14:paraId="7CB9B5A2" w14:textId="73FFCD29" w:rsidR="00C9513F" w:rsidRPr="00F05917" w:rsidRDefault="0051517A" w:rsidP="002E245C">
            <w:pPr>
              <w:widowControl w:val="0"/>
              <w:autoSpaceDE w:val="0"/>
              <w:autoSpaceDN w:val="0"/>
              <w:adjustRightInd w:val="0"/>
              <w:spacing w:line="276" w:lineRule="auto"/>
              <w:rPr>
                <w:rFonts w:cstheme="minorHAnsi"/>
                <w:sz w:val="18"/>
                <w:szCs w:val="20"/>
              </w:rPr>
            </w:pPr>
            <w:r>
              <w:rPr>
                <w:rFonts w:cstheme="minorHAnsi"/>
                <w:sz w:val="18"/>
                <w:szCs w:val="20"/>
              </w:rPr>
              <w:t>0.023</w:t>
            </w:r>
          </w:p>
        </w:tc>
        <w:tc>
          <w:tcPr>
            <w:tcW w:w="1883" w:type="dxa"/>
          </w:tcPr>
          <w:p w14:paraId="7B79F0E6" w14:textId="7ADB2EC7" w:rsidR="00C9513F" w:rsidRPr="00F05917" w:rsidRDefault="00706F9A" w:rsidP="002E245C">
            <w:pPr>
              <w:widowControl w:val="0"/>
              <w:autoSpaceDE w:val="0"/>
              <w:autoSpaceDN w:val="0"/>
              <w:adjustRightInd w:val="0"/>
              <w:spacing w:line="276" w:lineRule="auto"/>
              <w:rPr>
                <w:rFonts w:cstheme="minorHAnsi"/>
                <w:sz w:val="18"/>
                <w:szCs w:val="20"/>
              </w:rPr>
            </w:pPr>
            <w:r>
              <w:rPr>
                <w:rFonts w:cstheme="minorHAnsi"/>
                <w:sz w:val="18"/>
                <w:szCs w:val="20"/>
              </w:rPr>
              <w:t>0.08</w:t>
            </w:r>
          </w:p>
        </w:tc>
        <w:tc>
          <w:tcPr>
            <w:tcW w:w="709" w:type="dxa"/>
          </w:tcPr>
          <w:p w14:paraId="101B9ADF" w14:textId="6BDBBFCC" w:rsidR="00C9513F" w:rsidRPr="00F05917" w:rsidRDefault="00706F9A" w:rsidP="002E245C">
            <w:pPr>
              <w:widowControl w:val="0"/>
              <w:autoSpaceDE w:val="0"/>
              <w:autoSpaceDN w:val="0"/>
              <w:adjustRightInd w:val="0"/>
              <w:spacing w:line="276" w:lineRule="auto"/>
              <w:rPr>
                <w:rFonts w:cstheme="minorHAnsi"/>
                <w:sz w:val="18"/>
                <w:szCs w:val="20"/>
              </w:rPr>
            </w:pPr>
            <w:r>
              <w:rPr>
                <w:rFonts w:cstheme="minorHAnsi"/>
                <w:sz w:val="18"/>
                <w:szCs w:val="20"/>
              </w:rPr>
              <w:t>0.22</w:t>
            </w:r>
          </w:p>
        </w:tc>
        <w:tc>
          <w:tcPr>
            <w:tcW w:w="1701" w:type="dxa"/>
          </w:tcPr>
          <w:p w14:paraId="0E112579" w14:textId="025F41A2" w:rsidR="00C9513F" w:rsidRPr="00F05917" w:rsidRDefault="00706F9A" w:rsidP="002E245C">
            <w:pPr>
              <w:widowControl w:val="0"/>
              <w:autoSpaceDE w:val="0"/>
              <w:autoSpaceDN w:val="0"/>
              <w:adjustRightInd w:val="0"/>
              <w:spacing w:line="276" w:lineRule="auto"/>
              <w:rPr>
                <w:rFonts w:cstheme="minorHAnsi"/>
                <w:sz w:val="18"/>
                <w:szCs w:val="20"/>
              </w:rPr>
            </w:pPr>
            <w:r>
              <w:rPr>
                <w:rFonts w:cstheme="minorHAnsi"/>
                <w:sz w:val="18"/>
                <w:szCs w:val="20"/>
              </w:rPr>
              <w:t>0.43</w:t>
            </w:r>
          </w:p>
        </w:tc>
        <w:tc>
          <w:tcPr>
            <w:tcW w:w="709" w:type="dxa"/>
          </w:tcPr>
          <w:p w14:paraId="42D738DF" w14:textId="693742AA" w:rsidR="00C9513F" w:rsidRPr="00F05917" w:rsidRDefault="00706F9A" w:rsidP="002E245C">
            <w:pPr>
              <w:widowControl w:val="0"/>
              <w:autoSpaceDE w:val="0"/>
              <w:autoSpaceDN w:val="0"/>
              <w:adjustRightInd w:val="0"/>
              <w:spacing w:line="276" w:lineRule="auto"/>
              <w:rPr>
                <w:rFonts w:cstheme="minorHAnsi"/>
                <w:sz w:val="18"/>
                <w:szCs w:val="20"/>
              </w:rPr>
            </w:pPr>
            <w:r>
              <w:rPr>
                <w:rFonts w:cstheme="minorHAnsi"/>
                <w:sz w:val="18"/>
                <w:szCs w:val="20"/>
              </w:rPr>
              <w:t>0.61</w:t>
            </w:r>
          </w:p>
        </w:tc>
        <w:tc>
          <w:tcPr>
            <w:tcW w:w="1843" w:type="dxa"/>
          </w:tcPr>
          <w:p w14:paraId="55AD9967" w14:textId="699C8200" w:rsidR="00C9513F" w:rsidRPr="00F05917" w:rsidRDefault="00706F9A" w:rsidP="002E245C">
            <w:pPr>
              <w:widowControl w:val="0"/>
              <w:autoSpaceDE w:val="0"/>
              <w:autoSpaceDN w:val="0"/>
              <w:adjustRightInd w:val="0"/>
              <w:spacing w:line="276" w:lineRule="auto"/>
              <w:rPr>
                <w:rFonts w:cstheme="minorHAnsi"/>
                <w:sz w:val="18"/>
                <w:szCs w:val="20"/>
              </w:rPr>
            </w:pPr>
            <w:r>
              <w:rPr>
                <w:rFonts w:cstheme="minorHAnsi"/>
                <w:sz w:val="18"/>
                <w:szCs w:val="20"/>
              </w:rPr>
              <w:t>0.44</w:t>
            </w:r>
          </w:p>
        </w:tc>
        <w:tc>
          <w:tcPr>
            <w:tcW w:w="708" w:type="dxa"/>
          </w:tcPr>
          <w:p w14:paraId="7FE2EED0" w14:textId="2F805AC8" w:rsidR="00C9513F" w:rsidRPr="00F05917" w:rsidRDefault="00706F9A" w:rsidP="002E245C">
            <w:pPr>
              <w:widowControl w:val="0"/>
              <w:autoSpaceDE w:val="0"/>
              <w:autoSpaceDN w:val="0"/>
              <w:adjustRightInd w:val="0"/>
              <w:spacing w:line="276" w:lineRule="auto"/>
              <w:rPr>
                <w:rFonts w:cstheme="minorHAnsi"/>
                <w:sz w:val="18"/>
                <w:szCs w:val="20"/>
              </w:rPr>
            </w:pPr>
            <w:r>
              <w:rPr>
                <w:rFonts w:cstheme="minorHAnsi"/>
                <w:sz w:val="18"/>
                <w:szCs w:val="20"/>
              </w:rPr>
              <w:t>0.16</w:t>
            </w:r>
          </w:p>
        </w:tc>
        <w:tc>
          <w:tcPr>
            <w:tcW w:w="1848" w:type="dxa"/>
          </w:tcPr>
          <w:p w14:paraId="3FF09F11" w14:textId="566FE01F" w:rsidR="00C9513F" w:rsidRPr="00F05917" w:rsidRDefault="00D335B6" w:rsidP="002E245C">
            <w:pPr>
              <w:widowControl w:val="0"/>
              <w:autoSpaceDE w:val="0"/>
              <w:autoSpaceDN w:val="0"/>
              <w:adjustRightInd w:val="0"/>
              <w:spacing w:line="276" w:lineRule="auto"/>
              <w:rPr>
                <w:rFonts w:cstheme="minorHAnsi"/>
                <w:sz w:val="18"/>
                <w:szCs w:val="20"/>
              </w:rPr>
            </w:pPr>
            <w:r>
              <w:rPr>
                <w:rFonts w:cstheme="minorHAnsi"/>
                <w:sz w:val="18"/>
                <w:szCs w:val="20"/>
              </w:rPr>
              <w:t>0.49</w:t>
            </w:r>
          </w:p>
        </w:tc>
        <w:tc>
          <w:tcPr>
            <w:tcW w:w="709" w:type="dxa"/>
          </w:tcPr>
          <w:p w14:paraId="0D13329C" w14:textId="0FD48FF8" w:rsidR="00C9513F" w:rsidRPr="00F05917" w:rsidRDefault="00D335B6" w:rsidP="002E245C">
            <w:pPr>
              <w:widowControl w:val="0"/>
              <w:autoSpaceDE w:val="0"/>
              <w:autoSpaceDN w:val="0"/>
              <w:adjustRightInd w:val="0"/>
              <w:spacing w:line="276" w:lineRule="auto"/>
              <w:rPr>
                <w:rFonts w:cstheme="minorHAnsi"/>
                <w:sz w:val="18"/>
                <w:szCs w:val="20"/>
              </w:rPr>
            </w:pPr>
            <w:r>
              <w:rPr>
                <w:rFonts w:cstheme="minorHAnsi"/>
                <w:sz w:val="18"/>
                <w:szCs w:val="20"/>
              </w:rPr>
              <w:t>0.51</w:t>
            </w:r>
          </w:p>
        </w:tc>
        <w:tc>
          <w:tcPr>
            <w:tcW w:w="1554" w:type="dxa"/>
          </w:tcPr>
          <w:p w14:paraId="34893F93" w14:textId="24755247" w:rsidR="00C9513F" w:rsidRPr="00F05917" w:rsidRDefault="00D335B6" w:rsidP="002E245C">
            <w:pPr>
              <w:widowControl w:val="0"/>
              <w:autoSpaceDE w:val="0"/>
              <w:autoSpaceDN w:val="0"/>
              <w:adjustRightInd w:val="0"/>
              <w:spacing w:line="276" w:lineRule="auto"/>
              <w:rPr>
                <w:rFonts w:cstheme="minorHAnsi"/>
                <w:sz w:val="18"/>
                <w:szCs w:val="20"/>
              </w:rPr>
            </w:pPr>
            <w:r>
              <w:rPr>
                <w:rFonts w:cstheme="minorHAnsi"/>
                <w:sz w:val="18"/>
                <w:szCs w:val="20"/>
              </w:rPr>
              <w:t>0.47</w:t>
            </w:r>
          </w:p>
        </w:tc>
        <w:tc>
          <w:tcPr>
            <w:tcW w:w="709" w:type="dxa"/>
          </w:tcPr>
          <w:p w14:paraId="1058A706" w14:textId="749982C5" w:rsidR="00C9513F" w:rsidRPr="00F05917" w:rsidRDefault="00D335B6" w:rsidP="002E245C">
            <w:pPr>
              <w:widowControl w:val="0"/>
              <w:autoSpaceDE w:val="0"/>
              <w:autoSpaceDN w:val="0"/>
              <w:adjustRightInd w:val="0"/>
              <w:spacing w:line="276" w:lineRule="auto"/>
              <w:rPr>
                <w:rFonts w:cstheme="minorHAnsi"/>
                <w:sz w:val="18"/>
                <w:szCs w:val="20"/>
              </w:rPr>
            </w:pPr>
            <w:r>
              <w:rPr>
                <w:rFonts w:cstheme="minorHAnsi"/>
                <w:sz w:val="18"/>
                <w:szCs w:val="20"/>
              </w:rPr>
              <w:t>0.16</w:t>
            </w:r>
          </w:p>
        </w:tc>
      </w:tr>
      <w:tr w:rsidR="004F6EAB" w:rsidRPr="004F6EAB" w14:paraId="1FDD5857" w14:textId="77777777" w:rsidTr="00026735">
        <w:tc>
          <w:tcPr>
            <w:tcW w:w="846" w:type="dxa"/>
            <w:tcBorders>
              <w:bottom w:val="single" w:sz="4" w:space="0" w:color="auto"/>
            </w:tcBorders>
          </w:tcPr>
          <w:p w14:paraId="31332949" w14:textId="3ACF66CC" w:rsidR="007973FD" w:rsidRPr="00F05917" w:rsidRDefault="007973FD"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Np/Nc</w:t>
            </w:r>
          </w:p>
        </w:tc>
        <w:tc>
          <w:tcPr>
            <w:tcW w:w="1843" w:type="dxa"/>
            <w:tcBorders>
              <w:bottom w:val="single" w:sz="4" w:space="0" w:color="auto"/>
            </w:tcBorders>
          </w:tcPr>
          <w:p w14:paraId="12C393F0" w14:textId="02261369" w:rsidR="007973FD" w:rsidRPr="00F05917" w:rsidRDefault="004F793F"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4119/2</w:t>
            </w:r>
          </w:p>
        </w:tc>
        <w:tc>
          <w:tcPr>
            <w:tcW w:w="668" w:type="dxa"/>
            <w:tcBorders>
              <w:bottom w:val="single" w:sz="4" w:space="0" w:color="auto"/>
            </w:tcBorders>
          </w:tcPr>
          <w:p w14:paraId="740F1D6D"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c>
          <w:tcPr>
            <w:tcW w:w="1883" w:type="dxa"/>
            <w:tcBorders>
              <w:bottom w:val="single" w:sz="4" w:space="0" w:color="auto"/>
            </w:tcBorders>
          </w:tcPr>
          <w:p w14:paraId="02E8C421" w14:textId="0BFF5D1B" w:rsidR="007973FD" w:rsidRPr="00F05917" w:rsidRDefault="004F793F"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4119/2</w:t>
            </w:r>
          </w:p>
        </w:tc>
        <w:tc>
          <w:tcPr>
            <w:tcW w:w="709" w:type="dxa"/>
            <w:tcBorders>
              <w:bottom w:val="single" w:sz="4" w:space="0" w:color="auto"/>
            </w:tcBorders>
          </w:tcPr>
          <w:p w14:paraId="36B8DE43"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c>
          <w:tcPr>
            <w:tcW w:w="1701" w:type="dxa"/>
            <w:tcBorders>
              <w:bottom w:val="single" w:sz="4" w:space="0" w:color="auto"/>
            </w:tcBorders>
          </w:tcPr>
          <w:p w14:paraId="6D3373A0" w14:textId="09B93CF7" w:rsidR="007973FD" w:rsidRPr="00F05917" w:rsidRDefault="002D7AC7"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4065/2</w:t>
            </w:r>
          </w:p>
        </w:tc>
        <w:tc>
          <w:tcPr>
            <w:tcW w:w="709" w:type="dxa"/>
            <w:tcBorders>
              <w:bottom w:val="single" w:sz="4" w:space="0" w:color="auto"/>
            </w:tcBorders>
          </w:tcPr>
          <w:p w14:paraId="69E7B650"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7949F832" w14:textId="3124DB56" w:rsidR="007973FD" w:rsidRPr="00F05917" w:rsidRDefault="002646D2"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4119/2</w:t>
            </w:r>
          </w:p>
        </w:tc>
        <w:tc>
          <w:tcPr>
            <w:tcW w:w="708" w:type="dxa"/>
            <w:tcBorders>
              <w:bottom w:val="single" w:sz="4" w:space="0" w:color="auto"/>
            </w:tcBorders>
          </w:tcPr>
          <w:p w14:paraId="25C38DE7"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c>
          <w:tcPr>
            <w:tcW w:w="1848" w:type="dxa"/>
            <w:tcBorders>
              <w:bottom w:val="single" w:sz="4" w:space="0" w:color="auto"/>
            </w:tcBorders>
          </w:tcPr>
          <w:p w14:paraId="5A279495" w14:textId="2A500A07" w:rsidR="007973FD" w:rsidRPr="00F05917" w:rsidRDefault="001A5B8E"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4137/2</w:t>
            </w:r>
          </w:p>
        </w:tc>
        <w:tc>
          <w:tcPr>
            <w:tcW w:w="709" w:type="dxa"/>
            <w:tcBorders>
              <w:bottom w:val="single" w:sz="4" w:space="0" w:color="auto"/>
            </w:tcBorders>
          </w:tcPr>
          <w:p w14:paraId="3B7C04C7"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c>
          <w:tcPr>
            <w:tcW w:w="1554" w:type="dxa"/>
            <w:tcBorders>
              <w:bottom w:val="single" w:sz="4" w:space="0" w:color="auto"/>
            </w:tcBorders>
          </w:tcPr>
          <w:p w14:paraId="1FD0084F" w14:textId="66A31253" w:rsidR="007973FD" w:rsidRPr="00F05917" w:rsidRDefault="001A5B8E"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4137/2</w:t>
            </w:r>
          </w:p>
        </w:tc>
        <w:tc>
          <w:tcPr>
            <w:tcW w:w="709" w:type="dxa"/>
            <w:tcBorders>
              <w:bottom w:val="single" w:sz="4" w:space="0" w:color="auto"/>
            </w:tcBorders>
          </w:tcPr>
          <w:p w14:paraId="0ADB7327"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r>
      <w:tr w:rsidR="004F6EAB" w:rsidRPr="004F6EAB" w14:paraId="3BA921AF" w14:textId="77777777" w:rsidTr="00C9513F">
        <w:tc>
          <w:tcPr>
            <w:tcW w:w="846" w:type="dxa"/>
            <w:tcBorders>
              <w:top w:val="single" w:sz="4" w:space="0" w:color="auto"/>
            </w:tcBorders>
          </w:tcPr>
          <w:p w14:paraId="0992CBCA" w14:textId="77777777" w:rsidR="007973FD" w:rsidRPr="00F05917" w:rsidRDefault="007973FD" w:rsidP="007973FD">
            <w:pPr>
              <w:widowControl w:val="0"/>
              <w:autoSpaceDE w:val="0"/>
              <w:autoSpaceDN w:val="0"/>
              <w:adjustRightInd w:val="0"/>
              <w:spacing w:line="276" w:lineRule="auto"/>
              <w:rPr>
                <w:rFonts w:cstheme="minorHAnsi"/>
                <w:sz w:val="18"/>
                <w:szCs w:val="20"/>
              </w:rPr>
            </w:pPr>
            <w:proofErr w:type="spellStart"/>
            <w:r w:rsidRPr="00F05917">
              <w:rPr>
                <w:rFonts w:cstheme="minorHAnsi"/>
                <w:sz w:val="18"/>
                <w:szCs w:val="20"/>
              </w:rPr>
              <w:t>Preg</w:t>
            </w:r>
            <w:proofErr w:type="spellEnd"/>
          </w:p>
        </w:tc>
        <w:tc>
          <w:tcPr>
            <w:tcW w:w="1843" w:type="dxa"/>
            <w:tcBorders>
              <w:top w:val="single" w:sz="4" w:space="0" w:color="auto"/>
            </w:tcBorders>
          </w:tcPr>
          <w:p w14:paraId="5FA0B11D" w14:textId="55D6D361" w:rsidR="007973FD" w:rsidRPr="00F05917" w:rsidRDefault="004F793F"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0.89 (0.82, 0.95)</w:t>
            </w:r>
          </w:p>
        </w:tc>
        <w:tc>
          <w:tcPr>
            <w:tcW w:w="668" w:type="dxa"/>
            <w:tcBorders>
              <w:top w:val="single" w:sz="4" w:space="0" w:color="auto"/>
            </w:tcBorders>
          </w:tcPr>
          <w:p w14:paraId="32B7903C" w14:textId="2D978B3B" w:rsidR="007973FD" w:rsidRPr="00F05917" w:rsidRDefault="004F793F"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883" w:type="dxa"/>
            <w:tcBorders>
              <w:top w:val="single" w:sz="4" w:space="0" w:color="auto"/>
            </w:tcBorders>
          </w:tcPr>
          <w:p w14:paraId="47251A73" w14:textId="2D78256D" w:rsidR="007973FD" w:rsidRPr="00F05917" w:rsidRDefault="004F793F"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0.87 (0.82, 0.94)</w:t>
            </w:r>
          </w:p>
        </w:tc>
        <w:tc>
          <w:tcPr>
            <w:tcW w:w="709" w:type="dxa"/>
            <w:tcBorders>
              <w:top w:val="single" w:sz="4" w:space="0" w:color="auto"/>
            </w:tcBorders>
          </w:tcPr>
          <w:p w14:paraId="757480A5" w14:textId="37820E50" w:rsidR="007973FD" w:rsidRPr="00F05917" w:rsidRDefault="004F793F"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7</w:t>
            </w:r>
          </w:p>
        </w:tc>
        <w:tc>
          <w:tcPr>
            <w:tcW w:w="1701" w:type="dxa"/>
            <w:tcBorders>
              <w:top w:val="single" w:sz="4" w:space="0" w:color="auto"/>
            </w:tcBorders>
          </w:tcPr>
          <w:p w14:paraId="1178361A" w14:textId="31C63E8C" w:rsidR="007973FD" w:rsidRPr="00F05917" w:rsidRDefault="002D7AC7"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1.03 (0.97, 1.10)</w:t>
            </w:r>
          </w:p>
        </w:tc>
        <w:tc>
          <w:tcPr>
            <w:tcW w:w="709" w:type="dxa"/>
            <w:tcBorders>
              <w:top w:val="single" w:sz="4" w:space="0" w:color="auto"/>
            </w:tcBorders>
          </w:tcPr>
          <w:p w14:paraId="4BC0362C" w14:textId="2F6D2A28" w:rsidR="007973FD" w:rsidRPr="00F05917" w:rsidRDefault="002D7AC7"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35</w:t>
            </w:r>
          </w:p>
        </w:tc>
        <w:tc>
          <w:tcPr>
            <w:tcW w:w="1843" w:type="dxa"/>
            <w:tcBorders>
              <w:top w:val="single" w:sz="4" w:space="0" w:color="auto"/>
            </w:tcBorders>
          </w:tcPr>
          <w:p w14:paraId="27EB0EB4" w14:textId="378442B4" w:rsidR="007973FD" w:rsidRPr="00F05917" w:rsidRDefault="002646D2"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1.05 (0.99, 1.12)</w:t>
            </w:r>
          </w:p>
        </w:tc>
        <w:tc>
          <w:tcPr>
            <w:tcW w:w="708" w:type="dxa"/>
            <w:tcBorders>
              <w:top w:val="single" w:sz="4" w:space="0" w:color="auto"/>
            </w:tcBorders>
          </w:tcPr>
          <w:p w14:paraId="7F9FC543" w14:textId="5A434FAF" w:rsidR="007973FD" w:rsidRPr="00F05917" w:rsidRDefault="002646D2"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48</w:t>
            </w:r>
          </w:p>
        </w:tc>
        <w:tc>
          <w:tcPr>
            <w:tcW w:w="1848" w:type="dxa"/>
            <w:tcBorders>
              <w:top w:val="single" w:sz="4" w:space="0" w:color="auto"/>
            </w:tcBorders>
          </w:tcPr>
          <w:p w14:paraId="2F5F8C2F" w14:textId="4FF87F1F" w:rsidR="007973FD" w:rsidRPr="00F05917" w:rsidRDefault="001A5B8E"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0.96 (0.89, 1.04)</w:t>
            </w:r>
          </w:p>
        </w:tc>
        <w:tc>
          <w:tcPr>
            <w:tcW w:w="709" w:type="dxa"/>
            <w:tcBorders>
              <w:top w:val="single" w:sz="4" w:space="0" w:color="auto"/>
            </w:tcBorders>
          </w:tcPr>
          <w:p w14:paraId="7F91AFD3" w14:textId="09051E0E" w:rsidR="007973FD" w:rsidRPr="00F05917" w:rsidRDefault="001A5B8E"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13</w:t>
            </w:r>
          </w:p>
        </w:tc>
        <w:tc>
          <w:tcPr>
            <w:tcW w:w="1554" w:type="dxa"/>
            <w:tcBorders>
              <w:top w:val="single" w:sz="4" w:space="0" w:color="auto"/>
            </w:tcBorders>
          </w:tcPr>
          <w:p w14:paraId="1313402B" w14:textId="1C47DEA9" w:rsidR="007973FD" w:rsidRPr="00F05917" w:rsidRDefault="001A5B8E"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0.98 (0.89, 1.08)</w:t>
            </w:r>
          </w:p>
        </w:tc>
        <w:tc>
          <w:tcPr>
            <w:tcW w:w="709" w:type="dxa"/>
            <w:tcBorders>
              <w:top w:val="single" w:sz="4" w:space="0" w:color="auto"/>
            </w:tcBorders>
          </w:tcPr>
          <w:p w14:paraId="649177AD" w14:textId="03A5A822" w:rsidR="007973FD" w:rsidRPr="00F05917" w:rsidRDefault="001A5B8E"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38</w:t>
            </w:r>
          </w:p>
        </w:tc>
      </w:tr>
      <w:tr w:rsidR="00C9513F" w:rsidRPr="004F6EAB" w14:paraId="0B246322" w14:textId="77777777" w:rsidTr="00C9513F">
        <w:tc>
          <w:tcPr>
            <w:tcW w:w="846" w:type="dxa"/>
          </w:tcPr>
          <w:p w14:paraId="7E5F23D5" w14:textId="6E8FBCCE" w:rsidR="00C9513F" w:rsidRPr="00F05917" w:rsidRDefault="00B75CF5" w:rsidP="007973FD">
            <w:pPr>
              <w:widowControl w:val="0"/>
              <w:autoSpaceDE w:val="0"/>
              <w:autoSpaceDN w:val="0"/>
              <w:adjustRightInd w:val="0"/>
              <w:spacing w:line="276" w:lineRule="auto"/>
              <w:rPr>
                <w:rFonts w:cstheme="minorHAnsi"/>
                <w:sz w:val="18"/>
                <w:szCs w:val="20"/>
              </w:rPr>
            </w:pPr>
            <w:r w:rsidRPr="00F05917">
              <w:rPr>
                <w:rFonts w:cstheme="minorHAnsi"/>
                <w:i/>
                <w:iCs/>
                <w:sz w:val="18"/>
                <w:szCs w:val="20"/>
              </w:rPr>
              <w:t>P-value</w:t>
            </w:r>
          </w:p>
        </w:tc>
        <w:tc>
          <w:tcPr>
            <w:tcW w:w="1843" w:type="dxa"/>
          </w:tcPr>
          <w:p w14:paraId="22EEAC53" w14:textId="02D2A055" w:rsidR="00C9513F" w:rsidRPr="00F05917" w:rsidRDefault="0051517A" w:rsidP="007973FD">
            <w:pPr>
              <w:widowControl w:val="0"/>
              <w:autoSpaceDE w:val="0"/>
              <w:autoSpaceDN w:val="0"/>
              <w:adjustRightInd w:val="0"/>
              <w:spacing w:line="276" w:lineRule="auto"/>
              <w:rPr>
                <w:rFonts w:cstheme="minorHAnsi"/>
                <w:sz w:val="18"/>
                <w:szCs w:val="20"/>
              </w:rPr>
            </w:pPr>
            <w:r>
              <w:rPr>
                <w:rFonts w:cstheme="minorHAnsi"/>
                <w:sz w:val="18"/>
                <w:szCs w:val="20"/>
              </w:rPr>
              <w:t>0.001</w:t>
            </w:r>
          </w:p>
        </w:tc>
        <w:tc>
          <w:tcPr>
            <w:tcW w:w="668" w:type="dxa"/>
          </w:tcPr>
          <w:p w14:paraId="3955AF10" w14:textId="71628CCA" w:rsidR="00C9513F" w:rsidRPr="00F05917" w:rsidRDefault="0051517A" w:rsidP="007973FD">
            <w:pPr>
              <w:widowControl w:val="0"/>
              <w:autoSpaceDE w:val="0"/>
              <w:autoSpaceDN w:val="0"/>
              <w:adjustRightInd w:val="0"/>
              <w:spacing w:line="276" w:lineRule="auto"/>
              <w:rPr>
                <w:rFonts w:cstheme="minorHAnsi"/>
                <w:sz w:val="18"/>
                <w:szCs w:val="20"/>
              </w:rPr>
            </w:pPr>
            <w:r>
              <w:rPr>
                <w:rFonts w:cstheme="minorHAnsi"/>
                <w:sz w:val="18"/>
                <w:szCs w:val="20"/>
              </w:rPr>
              <w:t>0.49</w:t>
            </w:r>
          </w:p>
        </w:tc>
        <w:tc>
          <w:tcPr>
            <w:tcW w:w="1883" w:type="dxa"/>
          </w:tcPr>
          <w:p w14:paraId="2729DA85" w14:textId="5FCBB3AB" w:rsidR="00C9513F" w:rsidRPr="00F05917" w:rsidRDefault="00706F9A" w:rsidP="007973FD">
            <w:pPr>
              <w:widowControl w:val="0"/>
              <w:autoSpaceDE w:val="0"/>
              <w:autoSpaceDN w:val="0"/>
              <w:adjustRightInd w:val="0"/>
              <w:spacing w:line="276" w:lineRule="auto"/>
              <w:rPr>
                <w:rFonts w:cstheme="minorHAnsi"/>
                <w:sz w:val="18"/>
                <w:szCs w:val="20"/>
              </w:rPr>
            </w:pPr>
            <w:r>
              <w:rPr>
                <w:rFonts w:cstheme="minorHAnsi"/>
                <w:sz w:val="18"/>
                <w:szCs w:val="20"/>
              </w:rPr>
              <w:t>&lt;0.001</w:t>
            </w:r>
          </w:p>
        </w:tc>
        <w:tc>
          <w:tcPr>
            <w:tcW w:w="709" w:type="dxa"/>
          </w:tcPr>
          <w:p w14:paraId="0BB0F4C4" w14:textId="6093F622" w:rsidR="00C9513F" w:rsidRPr="00F05917" w:rsidRDefault="00706F9A" w:rsidP="007973FD">
            <w:pPr>
              <w:widowControl w:val="0"/>
              <w:autoSpaceDE w:val="0"/>
              <w:autoSpaceDN w:val="0"/>
              <w:adjustRightInd w:val="0"/>
              <w:spacing w:line="276" w:lineRule="auto"/>
              <w:rPr>
                <w:rFonts w:cstheme="minorHAnsi"/>
                <w:sz w:val="18"/>
                <w:szCs w:val="20"/>
              </w:rPr>
            </w:pPr>
            <w:r>
              <w:rPr>
                <w:rFonts w:cstheme="minorHAnsi"/>
                <w:sz w:val="18"/>
                <w:szCs w:val="20"/>
              </w:rPr>
              <w:t>0.38</w:t>
            </w:r>
          </w:p>
        </w:tc>
        <w:tc>
          <w:tcPr>
            <w:tcW w:w="1701" w:type="dxa"/>
          </w:tcPr>
          <w:p w14:paraId="1EAAAB84" w14:textId="22C42E02" w:rsidR="00C9513F" w:rsidRPr="00F05917" w:rsidRDefault="00706F9A" w:rsidP="007973FD">
            <w:pPr>
              <w:widowControl w:val="0"/>
              <w:autoSpaceDE w:val="0"/>
              <w:autoSpaceDN w:val="0"/>
              <w:adjustRightInd w:val="0"/>
              <w:spacing w:line="276" w:lineRule="auto"/>
              <w:rPr>
                <w:rFonts w:cstheme="minorHAnsi"/>
                <w:sz w:val="18"/>
                <w:szCs w:val="20"/>
              </w:rPr>
            </w:pPr>
            <w:r>
              <w:rPr>
                <w:rFonts w:cstheme="minorHAnsi"/>
                <w:sz w:val="18"/>
                <w:szCs w:val="20"/>
              </w:rPr>
              <w:t>0.30</w:t>
            </w:r>
          </w:p>
        </w:tc>
        <w:tc>
          <w:tcPr>
            <w:tcW w:w="709" w:type="dxa"/>
          </w:tcPr>
          <w:p w14:paraId="1482B628" w14:textId="1CBB082A" w:rsidR="00C9513F" w:rsidRPr="00F05917" w:rsidRDefault="00706F9A" w:rsidP="007973FD">
            <w:pPr>
              <w:widowControl w:val="0"/>
              <w:autoSpaceDE w:val="0"/>
              <w:autoSpaceDN w:val="0"/>
              <w:adjustRightInd w:val="0"/>
              <w:spacing w:line="276" w:lineRule="auto"/>
              <w:rPr>
                <w:rFonts w:cstheme="minorHAnsi"/>
                <w:sz w:val="18"/>
                <w:szCs w:val="20"/>
              </w:rPr>
            </w:pPr>
            <w:r>
              <w:rPr>
                <w:rFonts w:cstheme="minorHAnsi"/>
                <w:sz w:val="18"/>
                <w:szCs w:val="20"/>
              </w:rPr>
              <w:t>0.16</w:t>
            </w:r>
          </w:p>
        </w:tc>
        <w:tc>
          <w:tcPr>
            <w:tcW w:w="1843" w:type="dxa"/>
          </w:tcPr>
          <w:p w14:paraId="7592CFC7" w14:textId="2A4E22C1" w:rsidR="00C9513F" w:rsidRPr="00F05917" w:rsidRDefault="00706F9A" w:rsidP="007973FD">
            <w:pPr>
              <w:widowControl w:val="0"/>
              <w:autoSpaceDE w:val="0"/>
              <w:autoSpaceDN w:val="0"/>
              <w:adjustRightInd w:val="0"/>
              <w:spacing w:line="276" w:lineRule="auto"/>
              <w:rPr>
                <w:rFonts w:cstheme="minorHAnsi"/>
                <w:sz w:val="18"/>
                <w:szCs w:val="20"/>
              </w:rPr>
            </w:pPr>
            <w:r>
              <w:rPr>
                <w:rFonts w:cstheme="minorHAnsi"/>
                <w:sz w:val="18"/>
                <w:szCs w:val="20"/>
              </w:rPr>
              <w:t>0.08</w:t>
            </w:r>
          </w:p>
        </w:tc>
        <w:tc>
          <w:tcPr>
            <w:tcW w:w="708" w:type="dxa"/>
          </w:tcPr>
          <w:p w14:paraId="1C3A0ECA" w14:textId="79B4057C" w:rsidR="00C9513F" w:rsidRPr="00F05917" w:rsidRDefault="00706F9A" w:rsidP="007973FD">
            <w:pPr>
              <w:widowControl w:val="0"/>
              <w:autoSpaceDE w:val="0"/>
              <w:autoSpaceDN w:val="0"/>
              <w:adjustRightInd w:val="0"/>
              <w:spacing w:line="276" w:lineRule="auto"/>
              <w:rPr>
                <w:rFonts w:cstheme="minorHAnsi"/>
                <w:sz w:val="18"/>
                <w:szCs w:val="20"/>
              </w:rPr>
            </w:pPr>
            <w:r>
              <w:rPr>
                <w:rFonts w:cstheme="minorHAnsi"/>
                <w:sz w:val="18"/>
                <w:szCs w:val="20"/>
              </w:rPr>
              <w:t>0.07</w:t>
            </w:r>
          </w:p>
        </w:tc>
        <w:tc>
          <w:tcPr>
            <w:tcW w:w="1848" w:type="dxa"/>
          </w:tcPr>
          <w:p w14:paraId="7A561AD8" w14:textId="0943055E" w:rsidR="00C9513F" w:rsidRPr="00F05917" w:rsidRDefault="00D335B6" w:rsidP="007973FD">
            <w:pPr>
              <w:widowControl w:val="0"/>
              <w:autoSpaceDE w:val="0"/>
              <w:autoSpaceDN w:val="0"/>
              <w:adjustRightInd w:val="0"/>
              <w:spacing w:line="276" w:lineRule="auto"/>
              <w:rPr>
                <w:rFonts w:cstheme="minorHAnsi"/>
                <w:sz w:val="18"/>
                <w:szCs w:val="20"/>
              </w:rPr>
            </w:pPr>
            <w:r>
              <w:rPr>
                <w:rFonts w:cstheme="minorHAnsi"/>
                <w:sz w:val="18"/>
                <w:szCs w:val="20"/>
              </w:rPr>
              <w:t>0.33</w:t>
            </w:r>
          </w:p>
        </w:tc>
        <w:tc>
          <w:tcPr>
            <w:tcW w:w="709" w:type="dxa"/>
          </w:tcPr>
          <w:p w14:paraId="5450CAE7" w14:textId="587816F2" w:rsidR="00C9513F" w:rsidRPr="00F05917" w:rsidRDefault="00D335B6" w:rsidP="007973FD">
            <w:pPr>
              <w:widowControl w:val="0"/>
              <w:autoSpaceDE w:val="0"/>
              <w:autoSpaceDN w:val="0"/>
              <w:adjustRightInd w:val="0"/>
              <w:spacing w:line="276" w:lineRule="auto"/>
              <w:rPr>
                <w:rFonts w:cstheme="minorHAnsi"/>
                <w:sz w:val="18"/>
                <w:szCs w:val="20"/>
              </w:rPr>
            </w:pPr>
            <w:r>
              <w:rPr>
                <w:rFonts w:cstheme="minorHAnsi"/>
                <w:sz w:val="18"/>
                <w:szCs w:val="20"/>
              </w:rPr>
              <w:t>0.33</w:t>
            </w:r>
          </w:p>
        </w:tc>
        <w:tc>
          <w:tcPr>
            <w:tcW w:w="1554" w:type="dxa"/>
          </w:tcPr>
          <w:p w14:paraId="3A84D244" w14:textId="0AC4691B" w:rsidR="00C9513F" w:rsidRPr="00F05917" w:rsidRDefault="00D335B6" w:rsidP="007973FD">
            <w:pPr>
              <w:widowControl w:val="0"/>
              <w:autoSpaceDE w:val="0"/>
              <w:autoSpaceDN w:val="0"/>
              <w:adjustRightInd w:val="0"/>
              <w:spacing w:line="276" w:lineRule="auto"/>
              <w:rPr>
                <w:rFonts w:cstheme="minorHAnsi"/>
                <w:sz w:val="18"/>
                <w:szCs w:val="20"/>
              </w:rPr>
            </w:pPr>
            <w:r>
              <w:rPr>
                <w:rFonts w:cstheme="minorHAnsi"/>
                <w:sz w:val="18"/>
                <w:szCs w:val="20"/>
              </w:rPr>
              <w:t>0.62</w:t>
            </w:r>
          </w:p>
        </w:tc>
        <w:tc>
          <w:tcPr>
            <w:tcW w:w="709" w:type="dxa"/>
          </w:tcPr>
          <w:p w14:paraId="14834615" w14:textId="7E9565DA" w:rsidR="00C9513F" w:rsidRPr="00F05917" w:rsidRDefault="00D335B6" w:rsidP="007973FD">
            <w:pPr>
              <w:widowControl w:val="0"/>
              <w:autoSpaceDE w:val="0"/>
              <w:autoSpaceDN w:val="0"/>
              <w:adjustRightInd w:val="0"/>
              <w:spacing w:line="276" w:lineRule="auto"/>
              <w:rPr>
                <w:rFonts w:cstheme="minorHAnsi"/>
                <w:sz w:val="18"/>
                <w:szCs w:val="20"/>
              </w:rPr>
            </w:pPr>
            <w:r>
              <w:rPr>
                <w:rFonts w:cstheme="minorHAnsi"/>
                <w:sz w:val="18"/>
                <w:szCs w:val="20"/>
              </w:rPr>
              <w:t>0.14</w:t>
            </w:r>
          </w:p>
        </w:tc>
      </w:tr>
      <w:tr w:rsidR="004F6EAB" w:rsidRPr="004F6EAB" w14:paraId="0D0F705A" w14:textId="77777777" w:rsidTr="00026735">
        <w:tc>
          <w:tcPr>
            <w:tcW w:w="846" w:type="dxa"/>
            <w:tcBorders>
              <w:bottom w:val="single" w:sz="4" w:space="0" w:color="auto"/>
            </w:tcBorders>
          </w:tcPr>
          <w:p w14:paraId="627DF763" w14:textId="41A783D7" w:rsidR="007973FD" w:rsidRPr="00F05917" w:rsidRDefault="007973FD"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Np/Nc</w:t>
            </w:r>
          </w:p>
        </w:tc>
        <w:tc>
          <w:tcPr>
            <w:tcW w:w="1843" w:type="dxa"/>
            <w:tcBorders>
              <w:bottom w:val="single" w:sz="4" w:space="0" w:color="auto"/>
            </w:tcBorders>
          </w:tcPr>
          <w:p w14:paraId="15886F61" w14:textId="391CCF41" w:rsidR="007973FD" w:rsidRPr="00F05917" w:rsidRDefault="004F793F"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23570/7</w:t>
            </w:r>
          </w:p>
        </w:tc>
        <w:tc>
          <w:tcPr>
            <w:tcW w:w="668" w:type="dxa"/>
            <w:tcBorders>
              <w:bottom w:val="single" w:sz="4" w:space="0" w:color="auto"/>
            </w:tcBorders>
          </w:tcPr>
          <w:p w14:paraId="2E258A9F"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c>
          <w:tcPr>
            <w:tcW w:w="1883" w:type="dxa"/>
            <w:tcBorders>
              <w:bottom w:val="single" w:sz="4" w:space="0" w:color="auto"/>
            </w:tcBorders>
          </w:tcPr>
          <w:p w14:paraId="7143B9F2" w14:textId="0160F1E1" w:rsidR="007973FD" w:rsidRPr="00F05917" w:rsidRDefault="004F793F"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23369/7</w:t>
            </w:r>
          </w:p>
        </w:tc>
        <w:tc>
          <w:tcPr>
            <w:tcW w:w="709" w:type="dxa"/>
            <w:tcBorders>
              <w:bottom w:val="single" w:sz="4" w:space="0" w:color="auto"/>
            </w:tcBorders>
          </w:tcPr>
          <w:p w14:paraId="4E415DFE"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c>
          <w:tcPr>
            <w:tcW w:w="1701" w:type="dxa"/>
            <w:tcBorders>
              <w:bottom w:val="single" w:sz="4" w:space="0" w:color="auto"/>
            </w:tcBorders>
          </w:tcPr>
          <w:p w14:paraId="3CBFB476" w14:textId="7F1C3325" w:rsidR="007973FD" w:rsidRPr="00F05917" w:rsidRDefault="002D7AC7"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23936/7</w:t>
            </w:r>
          </w:p>
        </w:tc>
        <w:tc>
          <w:tcPr>
            <w:tcW w:w="709" w:type="dxa"/>
            <w:tcBorders>
              <w:bottom w:val="single" w:sz="4" w:space="0" w:color="auto"/>
            </w:tcBorders>
          </w:tcPr>
          <w:p w14:paraId="217AEEE2"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042B09AE" w14:textId="2B7D5DC2" w:rsidR="007973FD" w:rsidRPr="00F05917" w:rsidRDefault="002646D2"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23790/7</w:t>
            </w:r>
          </w:p>
        </w:tc>
        <w:tc>
          <w:tcPr>
            <w:tcW w:w="708" w:type="dxa"/>
            <w:tcBorders>
              <w:bottom w:val="single" w:sz="4" w:space="0" w:color="auto"/>
            </w:tcBorders>
          </w:tcPr>
          <w:p w14:paraId="021F06D2"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c>
          <w:tcPr>
            <w:tcW w:w="1848" w:type="dxa"/>
            <w:tcBorders>
              <w:bottom w:val="single" w:sz="4" w:space="0" w:color="auto"/>
            </w:tcBorders>
          </w:tcPr>
          <w:p w14:paraId="7B555903" w14:textId="55C7E2FE" w:rsidR="007973FD" w:rsidRPr="00F05917" w:rsidRDefault="001A5B8E"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23952/7</w:t>
            </w:r>
          </w:p>
        </w:tc>
        <w:tc>
          <w:tcPr>
            <w:tcW w:w="709" w:type="dxa"/>
            <w:tcBorders>
              <w:bottom w:val="single" w:sz="4" w:space="0" w:color="auto"/>
            </w:tcBorders>
          </w:tcPr>
          <w:p w14:paraId="1444C72C"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c>
          <w:tcPr>
            <w:tcW w:w="1554" w:type="dxa"/>
            <w:tcBorders>
              <w:bottom w:val="single" w:sz="4" w:space="0" w:color="auto"/>
            </w:tcBorders>
          </w:tcPr>
          <w:p w14:paraId="2D99AFF0" w14:textId="0B2F5E94" w:rsidR="007973FD" w:rsidRPr="00F05917" w:rsidRDefault="001A5B8E"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23997/7</w:t>
            </w:r>
          </w:p>
        </w:tc>
        <w:tc>
          <w:tcPr>
            <w:tcW w:w="709" w:type="dxa"/>
            <w:tcBorders>
              <w:bottom w:val="single" w:sz="4" w:space="0" w:color="auto"/>
            </w:tcBorders>
          </w:tcPr>
          <w:p w14:paraId="7BFF5291"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r>
      <w:tr w:rsidR="004F6EAB" w:rsidRPr="004F6EAB" w14:paraId="2310F5E0" w14:textId="77777777" w:rsidTr="00C9513F">
        <w:tc>
          <w:tcPr>
            <w:tcW w:w="846" w:type="dxa"/>
            <w:tcBorders>
              <w:top w:val="single" w:sz="4" w:space="0" w:color="auto"/>
            </w:tcBorders>
          </w:tcPr>
          <w:p w14:paraId="2455E0EC" w14:textId="77777777" w:rsidR="007973FD" w:rsidRPr="00F05917" w:rsidRDefault="007973FD"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Early</w:t>
            </w:r>
          </w:p>
        </w:tc>
        <w:tc>
          <w:tcPr>
            <w:tcW w:w="1843" w:type="dxa"/>
            <w:tcBorders>
              <w:top w:val="single" w:sz="4" w:space="0" w:color="auto"/>
            </w:tcBorders>
          </w:tcPr>
          <w:p w14:paraId="0DA2885E" w14:textId="7540A3BB" w:rsidR="007973FD" w:rsidRPr="00F05917" w:rsidRDefault="004F793F"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0.83 (0.75, 0.92)</w:t>
            </w:r>
          </w:p>
        </w:tc>
        <w:tc>
          <w:tcPr>
            <w:tcW w:w="668" w:type="dxa"/>
            <w:tcBorders>
              <w:top w:val="single" w:sz="4" w:space="0" w:color="auto"/>
            </w:tcBorders>
          </w:tcPr>
          <w:p w14:paraId="2F562E54" w14:textId="26F66051" w:rsidR="007973FD" w:rsidRPr="00F05917" w:rsidRDefault="004F793F"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883" w:type="dxa"/>
            <w:tcBorders>
              <w:top w:val="single" w:sz="4" w:space="0" w:color="auto"/>
            </w:tcBorders>
          </w:tcPr>
          <w:p w14:paraId="183C1E7D" w14:textId="4BD634AB" w:rsidR="007973FD" w:rsidRPr="00F05917" w:rsidRDefault="004F793F" w:rsidP="0018068A">
            <w:pPr>
              <w:widowControl w:val="0"/>
              <w:autoSpaceDE w:val="0"/>
              <w:autoSpaceDN w:val="0"/>
              <w:adjustRightInd w:val="0"/>
              <w:spacing w:line="276" w:lineRule="auto"/>
              <w:rPr>
                <w:rFonts w:cstheme="minorHAnsi"/>
                <w:sz w:val="18"/>
                <w:szCs w:val="20"/>
              </w:rPr>
            </w:pPr>
            <w:r w:rsidRPr="00F05917">
              <w:rPr>
                <w:rFonts w:cstheme="minorHAnsi"/>
                <w:sz w:val="18"/>
                <w:szCs w:val="20"/>
              </w:rPr>
              <w:t>0.82 (0.74, 0.90)</w:t>
            </w:r>
          </w:p>
        </w:tc>
        <w:tc>
          <w:tcPr>
            <w:tcW w:w="709" w:type="dxa"/>
            <w:tcBorders>
              <w:top w:val="single" w:sz="4" w:space="0" w:color="auto"/>
            </w:tcBorders>
          </w:tcPr>
          <w:p w14:paraId="556A704F" w14:textId="60C8DDCF" w:rsidR="007973FD" w:rsidRPr="00F05917" w:rsidRDefault="004F793F"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701" w:type="dxa"/>
            <w:tcBorders>
              <w:top w:val="single" w:sz="4" w:space="0" w:color="auto"/>
            </w:tcBorders>
          </w:tcPr>
          <w:p w14:paraId="6F636ACD" w14:textId="32E26512" w:rsidR="007973FD" w:rsidRPr="00F05917" w:rsidRDefault="002D7AC7"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1.04 (0.97, 1.11)</w:t>
            </w:r>
          </w:p>
        </w:tc>
        <w:tc>
          <w:tcPr>
            <w:tcW w:w="709" w:type="dxa"/>
            <w:tcBorders>
              <w:top w:val="single" w:sz="4" w:space="0" w:color="auto"/>
            </w:tcBorders>
          </w:tcPr>
          <w:p w14:paraId="54052E16" w14:textId="32D87888" w:rsidR="007973FD" w:rsidRPr="00F05917" w:rsidRDefault="002D7AC7"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14</w:t>
            </w:r>
          </w:p>
        </w:tc>
        <w:tc>
          <w:tcPr>
            <w:tcW w:w="1843" w:type="dxa"/>
            <w:tcBorders>
              <w:top w:val="single" w:sz="4" w:space="0" w:color="auto"/>
            </w:tcBorders>
          </w:tcPr>
          <w:p w14:paraId="65C5E652" w14:textId="2C16B376" w:rsidR="007973FD" w:rsidRPr="00F05917" w:rsidRDefault="002646D2"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1.05 (0.97, 1.13)</w:t>
            </w:r>
          </w:p>
        </w:tc>
        <w:tc>
          <w:tcPr>
            <w:tcW w:w="708" w:type="dxa"/>
            <w:tcBorders>
              <w:top w:val="single" w:sz="4" w:space="0" w:color="auto"/>
            </w:tcBorders>
          </w:tcPr>
          <w:p w14:paraId="7421B9F1" w14:textId="69B6AC71" w:rsidR="007973FD" w:rsidRPr="00F05917" w:rsidRDefault="002646D2"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41</w:t>
            </w:r>
          </w:p>
        </w:tc>
        <w:tc>
          <w:tcPr>
            <w:tcW w:w="1848" w:type="dxa"/>
            <w:tcBorders>
              <w:top w:val="single" w:sz="4" w:space="0" w:color="auto"/>
            </w:tcBorders>
          </w:tcPr>
          <w:p w14:paraId="4CE750CE" w14:textId="739DA5D1" w:rsidR="007973FD" w:rsidRPr="00F05917" w:rsidRDefault="001A5B8E"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0.98 (0.85, 1.13)</w:t>
            </w:r>
          </w:p>
        </w:tc>
        <w:tc>
          <w:tcPr>
            <w:tcW w:w="709" w:type="dxa"/>
            <w:tcBorders>
              <w:top w:val="single" w:sz="4" w:space="0" w:color="auto"/>
            </w:tcBorders>
          </w:tcPr>
          <w:p w14:paraId="6113CB39" w14:textId="4E93CCEA" w:rsidR="007973FD" w:rsidRPr="00F05917" w:rsidRDefault="001A5B8E"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36</w:t>
            </w:r>
          </w:p>
        </w:tc>
        <w:tc>
          <w:tcPr>
            <w:tcW w:w="1554" w:type="dxa"/>
            <w:tcBorders>
              <w:top w:val="single" w:sz="4" w:space="0" w:color="auto"/>
            </w:tcBorders>
          </w:tcPr>
          <w:p w14:paraId="4F68221F" w14:textId="1373781B" w:rsidR="007973FD" w:rsidRPr="00F05917" w:rsidRDefault="001A5B8E"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0.96 (0.85, 1.07)</w:t>
            </w:r>
          </w:p>
        </w:tc>
        <w:tc>
          <w:tcPr>
            <w:tcW w:w="709" w:type="dxa"/>
            <w:tcBorders>
              <w:top w:val="single" w:sz="4" w:space="0" w:color="auto"/>
            </w:tcBorders>
          </w:tcPr>
          <w:p w14:paraId="68F1E5FC" w14:textId="7AFBEF5A" w:rsidR="007973FD" w:rsidRPr="00F05917" w:rsidRDefault="001A5B8E"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14</w:t>
            </w:r>
          </w:p>
        </w:tc>
      </w:tr>
      <w:tr w:rsidR="00C9513F" w:rsidRPr="004F6EAB" w14:paraId="02AA2B94" w14:textId="77777777" w:rsidTr="00C9513F">
        <w:tc>
          <w:tcPr>
            <w:tcW w:w="846" w:type="dxa"/>
          </w:tcPr>
          <w:p w14:paraId="16C4380A" w14:textId="760AAB47" w:rsidR="00C9513F" w:rsidRPr="00F05917" w:rsidRDefault="00B75CF5" w:rsidP="007973FD">
            <w:pPr>
              <w:widowControl w:val="0"/>
              <w:autoSpaceDE w:val="0"/>
              <w:autoSpaceDN w:val="0"/>
              <w:adjustRightInd w:val="0"/>
              <w:spacing w:line="276" w:lineRule="auto"/>
              <w:rPr>
                <w:rFonts w:cstheme="minorHAnsi"/>
                <w:sz w:val="18"/>
                <w:szCs w:val="20"/>
              </w:rPr>
            </w:pPr>
            <w:r w:rsidRPr="00F05917">
              <w:rPr>
                <w:rFonts w:cstheme="minorHAnsi"/>
                <w:i/>
                <w:iCs/>
                <w:sz w:val="18"/>
                <w:szCs w:val="20"/>
              </w:rPr>
              <w:t>P-value</w:t>
            </w:r>
          </w:p>
        </w:tc>
        <w:tc>
          <w:tcPr>
            <w:tcW w:w="1843" w:type="dxa"/>
          </w:tcPr>
          <w:p w14:paraId="00A69095" w14:textId="4B24F8E5" w:rsidR="00C9513F" w:rsidRPr="00F05917" w:rsidRDefault="0051517A" w:rsidP="007973FD">
            <w:pPr>
              <w:widowControl w:val="0"/>
              <w:autoSpaceDE w:val="0"/>
              <w:autoSpaceDN w:val="0"/>
              <w:adjustRightInd w:val="0"/>
              <w:spacing w:line="276" w:lineRule="auto"/>
              <w:rPr>
                <w:rFonts w:cstheme="minorHAnsi"/>
                <w:sz w:val="18"/>
                <w:szCs w:val="20"/>
              </w:rPr>
            </w:pPr>
            <w:r>
              <w:rPr>
                <w:rFonts w:cstheme="minorHAnsi"/>
                <w:sz w:val="18"/>
                <w:szCs w:val="20"/>
              </w:rPr>
              <w:t>0.001</w:t>
            </w:r>
          </w:p>
        </w:tc>
        <w:tc>
          <w:tcPr>
            <w:tcW w:w="668" w:type="dxa"/>
          </w:tcPr>
          <w:p w14:paraId="11055968" w14:textId="776D31BC" w:rsidR="00C9513F" w:rsidRPr="00F05917" w:rsidRDefault="0051517A" w:rsidP="007973FD">
            <w:pPr>
              <w:widowControl w:val="0"/>
              <w:autoSpaceDE w:val="0"/>
              <w:autoSpaceDN w:val="0"/>
              <w:adjustRightInd w:val="0"/>
              <w:spacing w:line="276" w:lineRule="auto"/>
              <w:rPr>
                <w:rFonts w:cstheme="minorHAnsi"/>
                <w:sz w:val="18"/>
                <w:szCs w:val="20"/>
              </w:rPr>
            </w:pPr>
            <w:r>
              <w:rPr>
                <w:rFonts w:cstheme="minorHAnsi"/>
                <w:sz w:val="18"/>
                <w:szCs w:val="20"/>
              </w:rPr>
              <w:t>0.46</w:t>
            </w:r>
          </w:p>
        </w:tc>
        <w:tc>
          <w:tcPr>
            <w:tcW w:w="1883" w:type="dxa"/>
          </w:tcPr>
          <w:p w14:paraId="1543A3E1" w14:textId="42714FB6" w:rsidR="00C9513F" w:rsidRPr="00F05917" w:rsidRDefault="00706F9A" w:rsidP="007973FD">
            <w:pPr>
              <w:widowControl w:val="0"/>
              <w:autoSpaceDE w:val="0"/>
              <w:autoSpaceDN w:val="0"/>
              <w:adjustRightInd w:val="0"/>
              <w:spacing w:line="276" w:lineRule="auto"/>
              <w:rPr>
                <w:rFonts w:cstheme="minorHAnsi"/>
                <w:sz w:val="18"/>
                <w:szCs w:val="20"/>
              </w:rPr>
            </w:pPr>
            <w:r>
              <w:rPr>
                <w:rFonts w:cstheme="minorHAnsi"/>
                <w:sz w:val="18"/>
                <w:szCs w:val="20"/>
              </w:rPr>
              <w:t>&lt;0.001</w:t>
            </w:r>
          </w:p>
        </w:tc>
        <w:tc>
          <w:tcPr>
            <w:tcW w:w="709" w:type="dxa"/>
          </w:tcPr>
          <w:p w14:paraId="5EF2BD73" w14:textId="3E156C08" w:rsidR="00C9513F" w:rsidRPr="00F05917" w:rsidRDefault="00706F9A" w:rsidP="007973FD">
            <w:pPr>
              <w:widowControl w:val="0"/>
              <w:autoSpaceDE w:val="0"/>
              <w:autoSpaceDN w:val="0"/>
              <w:adjustRightInd w:val="0"/>
              <w:spacing w:line="276" w:lineRule="auto"/>
              <w:rPr>
                <w:rFonts w:cstheme="minorHAnsi"/>
                <w:sz w:val="18"/>
                <w:szCs w:val="20"/>
              </w:rPr>
            </w:pPr>
            <w:r>
              <w:rPr>
                <w:rFonts w:cstheme="minorHAnsi"/>
                <w:sz w:val="18"/>
                <w:szCs w:val="20"/>
              </w:rPr>
              <w:t>0.66</w:t>
            </w:r>
          </w:p>
        </w:tc>
        <w:tc>
          <w:tcPr>
            <w:tcW w:w="1701" w:type="dxa"/>
          </w:tcPr>
          <w:p w14:paraId="215ACAA5" w14:textId="430905DE" w:rsidR="00C9513F" w:rsidRPr="00F05917" w:rsidRDefault="00706F9A" w:rsidP="007973FD">
            <w:pPr>
              <w:widowControl w:val="0"/>
              <w:autoSpaceDE w:val="0"/>
              <w:autoSpaceDN w:val="0"/>
              <w:adjustRightInd w:val="0"/>
              <w:spacing w:line="276" w:lineRule="auto"/>
              <w:rPr>
                <w:rFonts w:cstheme="minorHAnsi"/>
                <w:sz w:val="18"/>
                <w:szCs w:val="20"/>
              </w:rPr>
            </w:pPr>
            <w:r>
              <w:rPr>
                <w:rFonts w:cstheme="minorHAnsi"/>
                <w:sz w:val="18"/>
                <w:szCs w:val="20"/>
              </w:rPr>
              <w:t>0.28</w:t>
            </w:r>
          </w:p>
        </w:tc>
        <w:tc>
          <w:tcPr>
            <w:tcW w:w="709" w:type="dxa"/>
          </w:tcPr>
          <w:p w14:paraId="331CE047" w14:textId="3DBE711F" w:rsidR="00C9513F" w:rsidRPr="00F05917" w:rsidRDefault="00706F9A" w:rsidP="007973FD">
            <w:pPr>
              <w:widowControl w:val="0"/>
              <w:autoSpaceDE w:val="0"/>
              <w:autoSpaceDN w:val="0"/>
              <w:adjustRightInd w:val="0"/>
              <w:spacing w:line="276" w:lineRule="auto"/>
              <w:rPr>
                <w:rFonts w:cstheme="minorHAnsi"/>
                <w:sz w:val="18"/>
                <w:szCs w:val="20"/>
              </w:rPr>
            </w:pPr>
            <w:r>
              <w:rPr>
                <w:rFonts w:cstheme="minorHAnsi"/>
                <w:sz w:val="18"/>
                <w:szCs w:val="20"/>
              </w:rPr>
              <w:t>0.32</w:t>
            </w:r>
          </w:p>
        </w:tc>
        <w:tc>
          <w:tcPr>
            <w:tcW w:w="1843" w:type="dxa"/>
          </w:tcPr>
          <w:p w14:paraId="75D4D071" w14:textId="18072829" w:rsidR="00C9513F" w:rsidRPr="00F05917" w:rsidRDefault="00706F9A" w:rsidP="007973FD">
            <w:pPr>
              <w:widowControl w:val="0"/>
              <w:autoSpaceDE w:val="0"/>
              <w:autoSpaceDN w:val="0"/>
              <w:adjustRightInd w:val="0"/>
              <w:spacing w:line="276" w:lineRule="auto"/>
              <w:rPr>
                <w:rFonts w:cstheme="minorHAnsi"/>
                <w:sz w:val="18"/>
                <w:szCs w:val="20"/>
              </w:rPr>
            </w:pPr>
            <w:r>
              <w:rPr>
                <w:rFonts w:cstheme="minorHAnsi"/>
                <w:sz w:val="18"/>
                <w:szCs w:val="20"/>
              </w:rPr>
              <w:t>0.22</w:t>
            </w:r>
          </w:p>
        </w:tc>
        <w:tc>
          <w:tcPr>
            <w:tcW w:w="708" w:type="dxa"/>
          </w:tcPr>
          <w:p w14:paraId="004D784A" w14:textId="0B671F0E" w:rsidR="00C9513F" w:rsidRPr="00F05917" w:rsidRDefault="00706F9A" w:rsidP="007973FD">
            <w:pPr>
              <w:widowControl w:val="0"/>
              <w:autoSpaceDE w:val="0"/>
              <w:autoSpaceDN w:val="0"/>
              <w:adjustRightInd w:val="0"/>
              <w:spacing w:line="276" w:lineRule="auto"/>
              <w:rPr>
                <w:rFonts w:cstheme="minorHAnsi"/>
                <w:sz w:val="18"/>
                <w:szCs w:val="20"/>
              </w:rPr>
            </w:pPr>
            <w:r>
              <w:rPr>
                <w:rFonts w:cstheme="minorHAnsi"/>
                <w:sz w:val="18"/>
                <w:szCs w:val="20"/>
              </w:rPr>
              <w:t>0.15</w:t>
            </w:r>
          </w:p>
        </w:tc>
        <w:tc>
          <w:tcPr>
            <w:tcW w:w="1848" w:type="dxa"/>
          </w:tcPr>
          <w:p w14:paraId="370C5E77" w14:textId="6D441045" w:rsidR="00C9513F" w:rsidRPr="00F05917" w:rsidRDefault="00D335B6" w:rsidP="007973FD">
            <w:pPr>
              <w:widowControl w:val="0"/>
              <w:autoSpaceDE w:val="0"/>
              <w:autoSpaceDN w:val="0"/>
              <w:adjustRightInd w:val="0"/>
              <w:spacing w:line="276" w:lineRule="auto"/>
              <w:rPr>
                <w:rFonts w:cstheme="minorHAnsi"/>
                <w:sz w:val="18"/>
                <w:szCs w:val="20"/>
              </w:rPr>
            </w:pPr>
            <w:r>
              <w:rPr>
                <w:rFonts w:cstheme="minorHAnsi"/>
                <w:sz w:val="18"/>
                <w:szCs w:val="20"/>
              </w:rPr>
              <w:t>0.79</w:t>
            </w:r>
          </w:p>
        </w:tc>
        <w:tc>
          <w:tcPr>
            <w:tcW w:w="709" w:type="dxa"/>
          </w:tcPr>
          <w:p w14:paraId="7090BBD1" w14:textId="341108D7" w:rsidR="00C9513F" w:rsidRPr="00F05917" w:rsidRDefault="00D335B6" w:rsidP="007973FD">
            <w:pPr>
              <w:widowControl w:val="0"/>
              <w:autoSpaceDE w:val="0"/>
              <w:autoSpaceDN w:val="0"/>
              <w:adjustRightInd w:val="0"/>
              <w:spacing w:line="276" w:lineRule="auto"/>
              <w:rPr>
                <w:rFonts w:cstheme="minorHAnsi"/>
                <w:sz w:val="18"/>
                <w:szCs w:val="20"/>
              </w:rPr>
            </w:pPr>
            <w:r>
              <w:rPr>
                <w:rFonts w:cstheme="minorHAnsi"/>
                <w:sz w:val="18"/>
                <w:szCs w:val="20"/>
              </w:rPr>
              <w:t>0.18</w:t>
            </w:r>
          </w:p>
        </w:tc>
        <w:tc>
          <w:tcPr>
            <w:tcW w:w="1554" w:type="dxa"/>
          </w:tcPr>
          <w:p w14:paraId="7B823F2D" w14:textId="7584EB79" w:rsidR="00C9513F" w:rsidRPr="00F05917" w:rsidRDefault="00D335B6" w:rsidP="007973FD">
            <w:pPr>
              <w:widowControl w:val="0"/>
              <w:autoSpaceDE w:val="0"/>
              <w:autoSpaceDN w:val="0"/>
              <w:adjustRightInd w:val="0"/>
              <w:spacing w:line="276" w:lineRule="auto"/>
              <w:rPr>
                <w:rFonts w:cstheme="minorHAnsi"/>
                <w:sz w:val="18"/>
                <w:szCs w:val="20"/>
              </w:rPr>
            </w:pPr>
            <w:r>
              <w:rPr>
                <w:rFonts w:cstheme="minorHAnsi"/>
                <w:sz w:val="18"/>
                <w:szCs w:val="20"/>
              </w:rPr>
              <w:t>0.44</w:t>
            </w:r>
          </w:p>
        </w:tc>
        <w:tc>
          <w:tcPr>
            <w:tcW w:w="709" w:type="dxa"/>
          </w:tcPr>
          <w:p w14:paraId="4EBEA419" w14:textId="6806702E" w:rsidR="00C9513F" w:rsidRPr="00F05917" w:rsidRDefault="00D335B6" w:rsidP="007973FD">
            <w:pPr>
              <w:widowControl w:val="0"/>
              <w:autoSpaceDE w:val="0"/>
              <w:autoSpaceDN w:val="0"/>
              <w:adjustRightInd w:val="0"/>
              <w:spacing w:line="276" w:lineRule="auto"/>
              <w:rPr>
                <w:rFonts w:cstheme="minorHAnsi"/>
                <w:sz w:val="18"/>
                <w:szCs w:val="20"/>
              </w:rPr>
            </w:pPr>
            <w:r>
              <w:rPr>
                <w:rFonts w:cstheme="minorHAnsi"/>
                <w:sz w:val="18"/>
                <w:szCs w:val="20"/>
              </w:rPr>
              <w:t>0.33</w:t>
            </w:r>
          </w:p>
        </w:tc>
      </w:tr>
      <w:tr w:rsidR="004F6EAB" w:rsidRPr="004F6EAB" w14:paraId="22F7CD5A" w14:textId="77777777" w:rsidTr="00026735">
        <w:tc>
          <w:tcPr>
            <w:tcW w:w="846" w:type="dxa"/>
            <w:tcBorders>
              <w:bottom w:val="single" w:sz="4" w:space="0" w:color="auto"/>
            </w:tcBorders>
          </w:tcPr>
          <w:p w14:paraId="5CB5597B" w14:textId="52799FE1" w:rsidR="007973FD" w:rsidRPr="00F05917" w:rsidRDefault="007973FD"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Np/Nc</w:t>
            </w:r>
          </w:p>
        </w:tc>
        <w:tc>
          <w:tcPr>
            <w:tcW w:w="1843" w:type="dxa"/>
            <w:tcBorders>
              <w:bottom w:val="single" w:sz="4" w:space="0" w:color="auto"/>
            </w:tcBorders>
          </w:tcPr>
          <w:p w14:paraId="3436ABFC" w14:textId="2F29A304" w:rsidR="007973FD" w:rsidRPr="00F05917" w:rsidRDefault="004F793F"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10440/5</w:t>
            </w:r>
          </w:p>
        </w:tc>
        <w:tc>
          <w:tcPr>
            <w:tcW w:w="668" w:type="dxa"/>
            <w:tcBorders>
              <w:bottom w:val="single" w:sz="4" w:space="0" w:color="auto"/>
            </w:tcBorders>
          </w:tcPr>
          <w:p w14:paraId="3070B665"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c>
          <w:tcPr>
            <w:tcW w:w="1883" w:type="dxa"/>
            <w:tcBorders>
              <w:bottom w:val="single" w:sz="4" w:space="0" w:color="auto"/>
            </w:tcBorders>
          </w:tcPr>
          <w:p w14:paraId="6F11FDFB" w14:textId="5863D1F7" w:rsidR="007973FD" w:rsidRPr="00F05917" w:rsidRDefault="004F793F"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10290/5</w:t>
            </w:r>
          </w:p>
        </w:tc>
        <w:tc>
          <w:tcPr>
            <w:tcW w:w="709" w:type="dxa"/>
            <w:tcBorders>
              <w:bottom w:val="single" w:sz="4" w:space="0" w:color="auto"/>
            </w:tcBorders>
          </w:tcPr>
          <w:p w14:paraId="2049765A"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c>
          <w:tcPr>
            <w:tcW w:w="1701" w:type="dxa"/>
            <w:tcBorders>
              <w:bottom w:val="single" w:sz="4" w:space="0" w:color="auto"/>
            </w:tcBorders>
          </w:tcPr>
          <w:p w14:paraId="3D4E3163" w14:textId="596F34A3" w:rsidR="007973FD" w:rsidRPr="00F05917" w:rsidRDefault="002D7AC7"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10861/5</w:t>
            </w:r>
          </w:p>
        </w:tc>
        <w:tc>
          <w:tcPr>
            <w:tcW w:w="709" w:type="dxa"/>
            <w:tcBorders>
              <w:bottom w:val="single" w:sz="4" w:space="0" w:color="auto"/>
            </w:tcBorders>
          </w:tcPr>
          <w:p w14:paraId="7BC982DF"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7CAE9207" w14:textId="40D4AE17" w:rsidR="007973FD" w:rsidRPr="00F05917" w:rsidRDefault="002646D2"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10711/5</w:t>
            </w:r>
          </w:p>
        </w:tc>
        <w:tc>
          <w:tcPr>
            <w:tcW w:w="708" w:type="dxa"/>
            <w:tcBorders>
              <w:bottom w:val="single" w:sz="4" w:space="0" w:color="auto"/>
            </w:tcBorders>
          </w:tcPr>
          <w:p w14:paraId="502521D6"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c>
          <w:tcPr>
            <w:tcW w:w="1848" w:type="dxa"/>
            <w:tcBorders>
              <w:bottom w:val="single" w:sz="4" w:space="0" w:color="auto"/>
            </w:tcBorders>
          </w:tcPr>
          <w:p w14:paraId="3B8FDBFE" w14:textId="0EAE5AFE" w:rsidR="007973FD" w:rsidRPr="00F05917" w:rsidRDefault="001A5B8E"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10676/5</w:t>
            </w:r>
          </w:p>
        </w:tc>
        <w:tc>
          <w:tcPr>
            <w:tcW w:w="709" w:type="dxa"/>
            <w:tcBorders>
              <w:bottom w:val="single" w:sz="4" w:space="0" w:color="auto"/>
            </w:tcBorders>
          </w:tcPr>
          <w:p w14:paraId="18F78388"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c>
          <w:tcPr>
            <w:tcW w:w="1554" w:type="dxa"/>
            <w:tcBorders>
              <w:bottom w:val="single" w:sz="4" w:space="0" w:color="auto"/>
            </w:tcBorders>
          </w:tcPr>
          <w:p w14:paraId="6A7DAD3A" w14:textId="4015B798" w:rsidR="007973FD" w:rsidRPr="00F05917" w:rsidRDefault="001A5B8E"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10721/5</w:t>
            </w:r>
          </w:p>
        </w:tc>
        <w:tc>
          <w:tcPr>
            <w:tcW w:w="709" w:type="dxa"/>
            <w:tcBorders>
              <w:bottom w:val="single" w:sz="4" w:space="0" w:color="auto"/>
            </w:tcBorders>
          </w:tcPr>
          <w:p w14:paraId="726B8C71"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r>
      <w:tr w:rsidR="004F6EAB" w:rsidRPr="004F6EAB" w14:paraId="1281B875" w14:textId="77777777" w:rsidTr="00C9513F">
        <w:tc>
          <w:tcPr>
            <w:tcW w:w="846" w:type="dxa"/>
            <w:tcBorders>
              <w:top w:val="single" w:sz="4" w:space="0" w:color="auto"/>
            </w:tcBorders>
          </w:tcPr>
          <w:p w14:paraId="178DCABE" w14:textId="77777777" w:rsidR="007973FD" w:rsidRPr="00F05917" w:rsidRDefault="007973FD"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Late</w:t>
            </w:r>
          </w:p>
        </w:tc>
        <w:tc>
          <w:tcPr>
            <w:tcW w:w="1843" w:type="dxa"/>
            <w:tcBorders>
              <w:top w:val="single" w:sz="4" w:space="0" w:color="auto"/>
            </w:tcBorders>
          </w:tcPr>
          <w:p w14:paraId="35A794B8" w14:textId="48E00E4F" w:rsidR="007973FD" w:rsidRPr="00F05917" w:rsidRDefault="004F793F"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0.92 (0.84, 1.002)</w:t>
            </w:r>
          </w:p>
        </w:tc>
        <w:tc>
          <w:tcPr>
            <w:tcW w:w="668" w:type="dxa"/>
            <w:tcBorders>
              <w:top w:val="single" w:sz="4" w:space="0" w:color="auto"/>
            </w:tcBorders>
          </w:tcPr>
          <w:p w14:paraId="79012B6F" w14:textId="5691DB11" w:rsidR="007973FD" w:rsidRPr="00F05917" w:rsidRDefault="004F793F"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883" w:type="dxa"/>
            <w:tcBorders>
              <w:top w:val="single" w:sz="4" w:space="0" w:color="auto"/>
            </w:tcBorders>
          </w:tcPr>
          <w:p w14:paraId="3CEC444D" w14:textId="73AF6826" w:rsidR="007973FD" w:rsidRPr="00F05917" w:rsidRDefault="004F793F"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0.87 (0.77, 0.99)</w:t>
            </w:r>
          </w:p>
        </w:tc>
        <w:tc>
          <w:tcPr>
            <w:tcW w:w="709" w:type="dxa"/>
            <w:tcBorders>
              <w:top w:val="single" w:sz="4" w:space="0" w:color="auto"/>
            </w:tcBorders>
          </w:tcPr>
          <w:p w14:paraId="4F0504EE" w14:textId="5DFD8F92" w:rsidR="007973FD" w:rsidRPr="00F05917" w:rsidRDefault="004F793F"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43</w:t>
            </w:r>
          </w:p>
        </w:tc>
        <w:tc>
          <w:tcPr>
            <w:tcW w:w="1701" w:type="dxa"/>
            <w:tcBorders>
              <w:top w:val="single" w:sz="4" w:space="0" w:color="auto"/>
            </w:tcBorders>
          </w:tcPr>
          <w:p w14:paraId="0E9AF8D4" w14:textId="4ECF6111" w:rsidR="007973FD" w:rsidRPr="00F05917" w:rsidRDefault="002D7AC7"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1.07 (0.95, 1.19)</w:t>
            </w:r>
          </w:p>
        </w:tc>
        <w:tc>
          <w:tcPr>
            <w:tcW w:w="709" w:type="dxa"/>
            <w:tcBorders>
              <w:top w:val="single" w:sz="4" w:space="0" w:color="auto"/>
            </w:tcBorders>
          </w:tcPr>
          <w:p w14:paraId="6A4892BD" w14:textId="0DBDFAEE" w:rsidR="007973FD" w:rsidRPr="00F05917" w:rsidRDefault="002646D2"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57</w:t>
            </w:r>
          </w:p>
        </w:tc>
        <w:tc>
          <w:tcPr>
            <w:tcW w:w="1843" w:type="dxa"/>
            <w:tcBorders>
              <w:top w:val="single" w:sz="4" w:space="0" w:color="auto"/>
            </w:tcBorders>
          </w:tcPr>
          <w:p w14:paraId="7D323F90" w14:textId="4292B2A5" w:rsidR="007973FD" w:rsidRPr="00F05917" w:rsidRDefault="002646D2"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1.09 (0.99, 1.20)</w:t>
            </w:r>
          </w:p>
        </w:tc>
        <w:tc>
          <w:tcPr>
            <w:tcW w:w="708" w:type="dxa"/>
            <w:tcBorders>
              <w:top w:val="single" w:sz="4" w:space="0" w:color="auto"/>
            </w:tcBorders>
          </w:tcPr>
          <w:p w14:paraId="0BBD6E87" w14:textId="6AC54423" w:rsidR="007973FD" w:rsidRPr="00F05917" w:rsidRDefault="002646D2"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66</w:t>
            </w:r>
          </w:p>
        </w:tc>
        <w:tc>
          <w:tcPr>
            <w:tcW w:w="1848" w:type="dxa"/>
            <w:tcBorders>
              <w:top w:val="single" w:sz="4" w:space="0" w:color="auto"/>
            </w:tcBorders>
          </w:tcPr>
          <w:p w14:paraId="7D45E437" w14:textId="597EE31F" w:rsidR="007973FD" w:rsidRPr="00F05917" w:rsidRDefault="001A5B8E"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0.95 (0.88, 1.03)</w:t>
            </w:r>
          </w:p>
        </w:tc>
        <w:tc>
          <w:tcPr>
            <w:tcW w:w="709" w:type="dxa"/>
            <w:tcBorders>
              <w:top w:val="single" w:sz="4" w:space="0" w:color="auto"/>
            </w:tcBorders>
          </w:tcPr>
          <w:p w14:paraId="7D511481" w14:textId="73DC13D8" w:rsidR="007973FD" w:rsidRPr="00F05917" w:rsidRDefault="001A5B8E"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0</w:t>
            </w:r>
          </w:p>
        </w:tc>
        <w:tc>
          <w:tcPr>
            <w:tcW w:w="1554" w:type="dxa"/>
            <w:tcBorders>
              <w:top w:val="single" w:sz="4" w:space="0" w:color="auto"/>
            </w:tcBorders>
          </w:tcPr>
          <w:p w14:paraId="2A8C82E3" w14:textId="30CBA637" w:rsidR="007973FD" w:rsidRPr="00F05917" w:rsidRDefault="001A5B8E"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0.93 (0.76, 1.13)</w:t>
            </w:r>
          </w:p>
        </w:tc>
        <w:tc>
          <w:tcPr>
            <w:tcW w:w="709" w:type="dxa"/>
            <w:tcBorders>
              <w:top w:val="single" w:sz="4" w:space="0" w:color="auto"/>
            </w:tcBorders>
          </w:tcPr>
          <w:p w14:paraId="6B861933" w14:textId="166B1E32" w:rsidR="007973FD" w:rsidRPr="00F05917" w:rsidRDefault="001A5B8E"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64</w:t>
            </w:r>
          </w:p>
        </w:tc>
      </w:tr>
      <w:tr w:rsidR="00C9513F" w:rsidRPr="004F6EAB" w14:paraId="025496EC" w14:textId="77777777" w:rsidTr="00C9513F">
        <w:tc>
          <w:tcPr>
            <w:tcW w:w="846" w:type="dxa"/>
          </w:tcPr>
          <w:p w14:paraId="385B60EE" w14:textId="2E2E045E" w:rsidR="00C9513F" w:rsidRPr="00F05917" w:rsidRDefault="00B75CF5" w:rsidP="007973FD">
            <w:pPr>
              <w:widowControl w:val="0"/>
              <w:autoSpaceDE w:val="0"/>
              <w:autoSpaceDN w:val="0"/>
              <w:adjustRightInd w:val="0"/>
              <w:spacing w:line="276" w:lineRule="auto"/>
              <w:rPr>
                <w:rFonts w:cstheme="minorHAnsi"/>
                <w:sz w:val="18"/>
                <w:szCs w:val="20"/>
              </w:rPr>
            </w:pPr>
            <w:r w:rsidRPr="00F05917">
              <w:rPr>
                <w:rFonts w:cstheme="minorHAnsi"/>
                <w:i/>
                <w:iCs/>
                <w:sz w:val="18"/>
                <w:szCs w:val="20"/>
              </w:rPr>
              <w:t>P-value</w:t>
            </w:r>
          </w:p>
        </w:tc>
        <w:tc>
          <w:tcPr>
            <w:tcW w:w="1843" w:type="dxa"/>
          </w:tcPr>
          <w:p w14:paraId="24A25458" w14:textId="5287DA65" w:rsidR="00C9513F" w:rsidRPr="00F05917" w:rsidRDefault="0051517A" w:rsidP="007973FD">
            <w:pPr>
              <w:widowControl w:val="0"/>
              <w:autoSpaceDE w:val="0"/>
              <w:autoSpaceDN w:val="0"/>
              <w:adjustRightInd w:val="0"/>
              <w:spacing w:line="276" w:lineRule="auto"/>
              <w:rPr>
                <w:rFonts w:cstheme="minorHAnsi"/>
                <w:sz w:val="18"/>
                <w:szCs w:val="20"/>
              </w:rPr>
            </w:pPr>
            <w:r>
              <w:rPr>
                <w:rFonts w:cstheme="minorHAnsi"/>
                <w:sz w:val="18"/>
                <w:szCs w:val="20"/>
              </w:rPr>
              <w:t>0.06</w:t>
            </w:r>
          </w:p>
        </w:tc>
        <w:tc>
          <w:tcPr>
            <w:tcW w:w="668" w:type="dxa"/>
          </w:tcPr>
          <w:p w14:paraId="028A6B32" w14:textId="370D7DC9" w:rsidR="00C9513F" w:rsidRPr="00F05917" w:rsidRDefault="0051517A" w:rsidP="007973FD">
            <w:pPr>
              <w:widowControl w:val="0"/>
              <w:autoSpaceDE w:val="0"/>
              <w:autoSpaceDN w:val="0"/>
              <w:adjustRightInd w:val="0"/>
              <w:spacing w:line="276" w:lineRule="auto"/>
              <w:rPr>
                <w:rFonts w:cstheme="minorHAnsi"/>
                <w:sz w:val="18"/>
                <w:szCs w:val="20"/>
              </w:rPr>
            </w:pPr>
            <w:r>
              <w:rPr>
                <w:rFonts w:cstheme="minorHAnsi"/>
                <w:sz w:val="18"/>
                <w:szCs w:val="20"/>
              </w:rPr>
              <w:t>0.87</w:t>
            </w:r>
          </w:p>
        </w:tc>
        <w:tc>
          <w:tcPr>
            <w:tcW w:w="1883" w:type="dxa"/>
          </w:tcPr>
          <w:p w14:paraId="133F0B9F" w14:textId="237F04CD" w:rsidR="00C9513F" w:rsidRPr="00F05917" w:rsidRDefault="00706F9A" w:rsidP="007973FD">
            <w:pPr>
              <w:widowControl w:val="0"/>
              <w:autoSpaceDE w:val="0"/>
              <w:autoSpaceDN w:val="0"/>
              <w:adjustRightInd w:val="0"/>
              <w:spacing w:line="276" w:lineRule="auto"/>
              <w:rPr>
                <w:rFonts w:cstheme="minorHAnsi"/>
                <w:sz w:val="18"/>
                <w:szCs w:val="20"/>
              </w:rPr>
            </w:pPr>
            <w:r>
              <w:rPr>
                <w:rFonts w:cstheme="minorHAnsi"/>
                <w:sz w:val="18"/>
                <w:szCs w:val="20"/>
              </w:rPr>
              <w:t>0.037</w:t>
            </w:r>
          </w:p>
        </w:tc>
        <w:tc>
          <w:tcPr>
            <w:tcW w:w="709" w:type="dxa"/>
          </w:tcPr>
          <w:p w14:paraId="74AD9DEA" w14:textId="68586E0C" w:rsidR="00C9513F" w:rsidRPr="00F05917" w:rsidRDefault="00706F9A" w:rsidP="007973FD">
            <w:pPr>
              <w:widowControl w:val="0"/>
              <w:autoSpaceDE w:val="0"/>
              <w:autoSpaceDN w:val="0"/>
              <w:adjustRightInd w:val="0"/>
              <w:spacing w:line="276" w:lineRule="auto"/>
              <w:rPr>
                <w:rFonts w:cstheme="minorHAnsi"/>
                <w:sz w:val="18"/>
                <w:szCs w:val="20"/>
              </w:rPr>
            </w:pPr>
            <w:r>
              <w:rPr>
                <w:rFonts w:cstheme="minorHAnsi"/>
                <w:sz w:val="18"/>
                <w:szCs w:val="20"/>
              </w:rPr>
              <w:t>0.18</w:t>
            </w:r>
          </w:p>
        </w:tc>
        <w:tc>
          <w:tcPr>
            <w:tcW w:w="1701" w:type="dxa"/>
          </w:tcPr>
          <w:p w14:paraId="439011F8" w14:textId="1CF812E8" w:rsidR="00C9513F" w:rsidRPr="00F05917" w:rsidRDefault="00706F9A" w:rsidP="007973FD">
            <w:pPr>
              <w:widowControl w:val="0"/>
              <w:autoSpaceDE w:val="0"/>
              <w:autoSpaceDN w:val="0"/>
              <w:adjustRightInd w:val="0"/>
              <w:spacing w:line="276" w:lineRule="auto"/>
              <w:rPr>
                <w:rFonts w:cstheme="minorHAnsi"/>
                <w:sz w:val="18"/>
                <w:szCs w:val="20"/>
              </w:rPr>
            </w:pPr>
            <w:r>
              <w:rPr>
                <w:rFonts w:cstheme="minorHAnsi"/>
                <w:sz w:val="18"/>
                <w:szCs w:val="20"/>
              </w:rPr>
              <w:t>0.27</w:t>
            </w:r>
          </w:p>
        </w:tc>
        <w:tc>
          <w:tcPr>
            <w:tcW w:w="709" w:type="dxa"/>
          </w:tcPr>
          <w:p w14:paraId="090E2998" w14:textId="2B18DD52" w:rsidR="00C9513F" w:rsidRPr="00F05917" w:rsidRDefault="00706F9A" w:rsidP="007973FD">
            <w:pPr>
              <w:widowControl w:val="0"/>
              <w:autoSpaceDE w:val="0"/>
              <w:autoSpaceDN w:val="0"/>
              <w:adjustRightInd w:val="0"/>
              <w:spacing w:line="276" w:lineRule="auto"/>
              <w:rPr>
                <w:rFonts w:cstheme="minorHAnsi"/>
                <w:sz w:val="18"/>
                <w:szCs w:val="20"/>
              </w:rPr>
            </w:pPr>
            <w:r>
              <w:rPr>
                <w:rFonts w:cstheme="minorHAnsi"/>
                <w:sz w:val="18"/>
                <w:szCs w:val="20"/>
              </w:rPr>
              <w:t>0.10</w:t>
            </w:r>
          </w:p>
        </w:tc>
        <w:tc>
          <w:tcPr>
            <w:tcW w:w="1843" w:type="dxa"/>
          </w:tcPr>
          <w:p w14:paraId="7F5E5F2B" w14:textId="5F0A81B1" w:rsidR="00C9513F" w:rsidRPr="00F05917" w:rsidRDefault="00706F9A" w:rsidP="007973FD">
            <w:pPr>
              <w:widowControl w:val="0"/>
              <w:autoSpaceDE w:val="0"/>
              <w:autoSpaceDN w:val="0"/>
              <w:adjustRightInd w:val="0"/>
              <w:spacing w:line="276" w:lineRule="auto"/>
              <w:rPr>
                <w:rFonts w:cstheme="minorHAnsi"/>
                <w:sz w:val="18"/>
                <w:szCs w:val="20"/>
              </w:rPr>
            </w:pPr>
            <w:r>
              <w:rPr>
                <w:rFonts w:cstheme="minorHAnsi"/>
                <w:sz w:val="18"/>
                <w:szCs w:val="20"/>
              </w:rPr>
              <w:t>0.10</w:t>
            </w:r>
          </w:p>
        </w:tc>
        <w:tc>
          <w:tcPr>
            <w:tcW w:w="708" w:type="dxa"/>
          </w:tcPr>
          <w:p w14:paraId="6275E23D" w14:textId="542B4876" w:rsidR="00C9513F" w:rsidRPr="00F05917" w:rsidRDefault="00706F9A" w:rsidP="007973FD">
            <w:pPr>
              <w:widowControl w:val="0"/>
              <w:autoSpaceDE w:val="0"/>
              <w:autoSpaceDN w:val="0"/>
              <w:adjustRightInd w:val="0"/>
              <w:spacing w:line="276" w:lineRule="auto"/>
              <w:rPr>
                <w:rFonts w:cstheme="minorHAnsi"/>
                <w:sz w:val="18"/>
                <w:szCs w:val="20"/>
              </w:rPr>
            </w:pPr>
            <w:r>
              <w:rPr>
                <w:rFonts w:cstheme="minorHAnsi"/>
                <w:sz w:val="18"/>
                <w:szCs w:val="20"/>
              </w:rPr>
              <w:t>0.06</w:t>
            </w:r>
          </w:p>
        </w:tc>
        <w:tc>
          <w:tcPr>
            <w:tcW w:w="1848" w:type="dxa"/>
          </w:tcPr>
          <w:p w14:paraId="5F753478" w14:textId="7A2F5546" w:rsidR="00C9513F" w:rsidRPr="00F05917" w:rsidRDefault="00D335B6" w:rsidP="007973FD">
            <w:pPr>
              <w:widowControl w:val="0"/>
              <w:autoSpaceDE w:val="0"/>
              <w:autoSpaceDN w:val="0"/>
              <w:adjustRightInd w:val="0"/>
              <w:spacing w:line="276" w:lineRule="auto"/>
              <w:rPr>
                <w:rFonts w:cstheme="minorHAnsi"/>
                <w:sz w:val="18"/>
                <w:szCs w:val="20"/>
              </w:rPr>
            </w:pPr>
            <w:r>
              <w:rPr>
                <w:rFonts w:cstheme="minorHAnsi"/>
                <w:sz w:val="18"/>
                <w:szCs w:val="20"/>
              </w:rPr>
              <w:t>0.20</w:t>
            </w:r>
          </w:p>
        </w:tc>
        <w:tc>
          <w:tcPr>
            <w:tcW w:w="709" w:type="dxa"/>
          </w:tcPr>
          <w:p w14:paraId="2E6AD888" w14:textId="24DD3DA1" w:rsidR="00C9513F" w:rsidRPr="00F05917" w:rsidRDefault="00D335B6" w:rsidP="007973FD">
            <w:pPr>
              <w:widowControl w:val="0"/>
              <w:autoSpaceDE w:val="0"/>
              <w:autoSpaceDN w:val="0"/>
              <w:adjustRightInd w:val="0"/>
              <w:spacing w:line="276" w:lineRule="auto"/>
              <w:rPr>
                <w:rFonts w:cstheme="minorHAnsi"/>
                <w:sz w:val="18"/>
                <w:szCs w:val="20"/>
              </w:rPr>
            </w:pPr>
            <w:r>
              <w:rPr>
                <w:rFonts w:cstheme="minorHAnsi"/>
                <w:sz w:val="18"/>
                <w:szCs w:val="20"/>
              </w:rPr>
              <w:t>0.54</w:t>
            </w:r>
          </w:p>
        </w:tc>
        <w:tc>
          <w:tcPr>
            <w:tcW w:w="1554" w:type="dxa"/>
          </w:tcPr>
          <w:p w14:paraId="54019353" w14:textId="62315302" w:rsidR="00C9513F" w:rsidRPr="00F05917" w:rsidRDefault="00D335B6" w:rsidP="007973FD">
            <w:pPr>
              <w:widowControl w:val="0"/>
              <w:autoSpaceDE w:val="0"/>
              <w:autoSpaceDN w:val="0"/>
              <w:adjustRightInd w:val="0"/>
              <w:spacing w:line="276" w:lineRule="auto"/>
              <w:rPr>
                <w:rFonts w:cstheme="minorHAnsi"/>
                <w:sz w:val="18"/>
                <w:szCs w:val="20"/>
              </w:rPr>
            </w:pPr>
            <w:r>
              <w:rPr>
                <w:rFonts w:cstheme="minorHAnsi"/>
                <w:sz w:val="18"/>
                <w:szCs w:val="20"/>
              </w:rPr>
              <w:t>0.46</w:t>
            </w:r>
          </w:p>
        </w:tc>
        <w:tc>
          <w:tcPr>
            <w:tcW w:w="709" w:type="dxa"/>
          </w:tcPr>
          <w:p w14:paraId="5B7DC0A6" w14:textId="5F2E2956" w:rsidR="00C9513F" w:rsidRPr="00F05917" w:rsidRDefault="00D335B6" w:rsidP="007973FD">
            <w:pPr>
              <w:widowControl w:val="0"/>
              <w:autoSpaceDE w:val="0"/>
              <w:autoSpaceDN w:val="0"/>
              <w:adjustRightInd w:val="0"/>
              <w:spacing w:line="276" w:lineRule="auto"/>
              <w:rPr>
                <w:rFonts w:cstheme="minorHAnsi"/>
                <w:sz w:val="18"/>
                <w:szCs w:val="20"/>
              </w:rPr>
            </w:pPr>
            <w:r>
              <w:rPr>
                <w:rFonts w:cstheme="minorHAnsi"/>
                <w:sz w:val="18"/>
                <w:szCs w:val="20"/>
              </w:rPr>
              <w:t>0.06</w:t>
            </w:r>
          </w:p>
        </w:tc>
      </w:tr>
      <w:tr w:rsidR="004F6EAB" w:rsidRPr="004F6EAB" w14:paraId="5E299A84" w14:textId="77777777" w:rsidTr="00026735">
        <w:tc>
          <w:tcPr>
            <w:tcW w:w="846" w:type="dxa"/>
            <w:tcBorders>
              <w:bottom w:val="single" w:sz="4" w:space="0" w:color="auto"/>
            </w:tcBorders>
          </w:tcPr>
          <w:p w14:paraId="158E2EF5" w14:textId="1EF74D3D" w:rsidR="007973FD" w:rsidRPr="00F05917" w:rsidRDefault="007973FD"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Np/Nc</w:t>
            </w:r>
          </w:p>
        </w:tc>
        <w:tc>
          <w:tcPr>
            <w:tcW w:w="1843" w:type="dxa"/>
            <w:tcBorders>
              <w:bottom w:val="single" w:sz="4" w:space="0" w:color="auto"/>
            </w:tcBorders>
          </w:tcPr>
          <w:p w14:paraId="0AAC274D" w14:textId="75E2398B" w:rsidR="007973FD" w:rsidRPr="00F05917" w:rsidRDefault="004F793F"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15620/3</w:t>
            </w:r>
          </w:p>
        </w:tc>
        <w:tc>
          <w:tcPr>
            <w:tcW w:w="668" w:type="dxa"/>
            <w:tcBorders>
              <w:bottom w:val="single" w:sz="4" w:space="0" w:color="auto"/>
            </w:tcBorders>
          </w:tcPr>
          <w:p w14:paraId="096C7497"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c>
          <w:tcPr>
            <w:tcW w:w="1883" w:type="dxa"/>
            <w:tcBorders>
              <w:bottom w:val="single" w:sz="4" w:space="0" w:color="auto"/>
            </w:tcBorders>
          </w:tcPr>
          <w:p w14:paraId="20C18080" w14:textId="364F6790" w:rsidR="007973FD" w:rsidRPr="00F05917" w:rsidRDefault="004F793F"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15569/3</w:t>
            </w:r>
          </w:p>
        </w:tc>
        <w:tc>
          <w:tcPr>
            <w:tcW w:w="709" w:type="dxa"/>
            <w:tcBorders>
              <w:bottom w:val="single" w:sz="4" w:space="0" w:color="auto"/>
            </w:tcBorders>
          </w:tcPr>
          <w:p w14:paraId="3A6B7874"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c>
          <w:tcPr>
            <w:tcW w:w="1701" w:type="dxa"/>
            <w:tcBorders>
              <w:bottom w:val="single" w:sz="4" w:space="0" w:color="auto"/>
            </w:tcBorders>
          </w:tcPr>
          <w:p w14:paraId="47F8DEB2" w14:textId="02E31F1D" w:rsidR="007973FD" w:rsidRPr="00F05917" w:rsidRDefault="002646D2"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15565/3</w:t>
            </w:r>
          </w:p>
        </w:tc>
        <w:tc>
          <w:tcPr>
            <w:tcW w:w="709" w:type="dxa"/>
            <w:tcBorders>
              <w:bottom w:val="single" w:sz="4" w:space="0" w:color="auto"/>
            </w:tcBorders>
          </w:tcPr>
          <w:p w14:paraId="3184235D"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c>
          <w:tcPr>
            <w:tcW w:w="1843" w:type="dxa"/>
            <w:tcBorders>
              <w:bottom w:val="single" w:sz="4" w:space="0" w:color="auto"/>
            </w:tcBorders>
          </w:tcPr>
          <w:p w14:paraId="354D7250" w14:textId="7A97D78F" w:rsidR="007973FD" w:rsidRPr="00F05917" w:rsidRDefault="002646D2"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15569/3</w:t>
            </w:r>
          </w:p>
        </w:tc>
        <w:tc>
          <w:tcPr>
            <w:tcW w:w="708" w:type="dxa"/>
            <w:tcBorders>
              <w:bottom w:val="single" w:sz="4" w:space="0" w:color="auto"/>
            </w:tcBorders>
          </w:tcPr>
          <w:p w14:paraId="7727447F"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c>
          <w:tcPr>
            <w:tcW w:w="1848" w:type="dxa"/>
            <w:tcBorders>
              <w:bottom w:val="single" w:sz="4" w:space="0" w:color="auto"/>
            </w:tcBorders>
          </w:tcPr>
          <w:p w14:paraId="387BA962" w14:textId="73B1DA89" w:rsidR="007973FD" w:rsidRPr="00F05917" w:rsidRDefault="001A5B8E"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15783/3</w:t>
            </w:r>
          </w:p>
        </w:tc>
        <w:tc>
          <w:tcPr>
            <w:tcW w:w="709" w:type="dxa"/>
            <w:tcBorders>
              <w:bottom w:val="single" w:sz="4" w:space="0" w:color="auto"/>
            </w:tcBorders>
          </w:tcPr>
          <w:p w14:paraId="7B1DE825"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c>
          <w:tcPr>
            <w:tcW w:w="1554" w:type="dxa"/>
            <w:tcBorders>
              <w:bottom w:val="single" w:sz="4" w:space="0" w:color="auto"/>
            </w:tcBorders>
          </w:tcPr>
          <w:p w14:paraId="455FC196" w14:textId="77578C8C" w:rsidR="007973FD" w:rsidRPr="00F05917" w:rsidRDefault="001A5B8E" w:rsidP="007973FD">
            <w:pPr>
              <w:widowControl w:val="0"/>
              <w:autoSpaceDE w:val="0"/>
              <w:autoSpaceDN w:val="0"/>
              <w:adjustRightInd w:val="0"/>
              <w:spacing w:line="276" w:lineRule="auto"/>
              <w:rPr>
                <w:rFonts w:cstheme="minorHAnsi"/>
                <w:sz w:val="18"/>
                <w:szCs w:val="20"/>
              </w:rPr>
            </w:pPr>
            <w:r w:rsidRPr="00F05917">
              <w:rPr>
                <w:rFonts w:cstheme="minorHAnsi"/>
                <w:sz w:val="18"/>
                <w:szCs w:val="20"/>
              </w:rPr>
              <w:t>15783/3</w:t>
            </w:r>
          </w:p>
        </w:tc>
        <w:tc>
          <w:tcPr>
            <w:tcW w:w="709" w:type="dxa"/>
            <w:tcBorders>
              <w:bottom w:val="single" w:sz="4" w:space="0" w:color="auto"/>
            </w:tcBorders>
          </w:tcPr>
          <w:p w14:paraId="059271EF" w14:textId="77777777" w:rsidR="007973FD" w:rsidRPr="00F05917" w:rsidRDefault="007973FD" w:rsidP="007973FD">
            <w:pPr>
              <w:widowControl w:val="0"/>
              <w:autoSpaceDE w:val="0"/>
              <w:autoSpaceDN w:val="0"/>
              <w:adjustRightInd w:val="0"/>
              <w:spacing w:line="276" w:lineRule="auto"/>
              <w:rPr>
                <w:rFonts w:cstheme="minorHAnsi"/>
                <w:sz w:val="18"/>
                <w:szCs w:val="20"/>
              </w:rPr>
            </w:pPr>
          </w:p>
        </w:tc>
      </w:tr>
    </w:tbl>
    <w:p w14:paraId="2A1F85A7" w14:textId="77777777" w:rsidR="00723C31" w:rsidRPr="004F6EAB" w:rsidRDefault="00723C31" w:rsidP="00F12D6B">
      <w:pPr>
        <w:rPr>
          <w:rFonts w:cstheme="minorHAnsi"/>
          <w:b/>
          <w:bCs/>
          <w:sz w:val="24"/>
          <w:szCs w:val="24"/>
        </w:rPr>
      </w:pPr>
      <w:bookmarkStart w:id="19" w:name="_Hlk19197046"/>
    </w:p>
    <w:p w14:paraId="3190C1AB" w14:textId="2C74B73F" w:rsidR="0096162D" w:rsidRPr="004F6EAB" w:rsidRDefault="0096162D" w:rsidP="0096162D">
      <w:pPr>
        <w:spacing w:after="0"/>
        <w:rPr>
          <w:rFonts w:cstheme="minorHAnsi"/>
          <w:sz w:val="20"/>
          <w:szCs w:val="20"/>
        </w:rPr>
      </w:pPr>
      <w:r w:rsidRPr="004F6EAB">
        <w:rPr>
          <w:rFonts w:cstheme="minorHAnsi"/>
          <w:sz w:val="20"/>
          <w:szCs w:val="20"/>
        </w:rPr>
        <w:t>Values are adjusted pooled effect estimates [OR (95% CI)]</w:t>
      </w:r>
      <w:r w:rsidR="008426AF" w:rsidRPr="004F6EAB">
        <w:rPr>
          <w:rFonts w:cstheme="minorHAnsi"/>
          <w:sz w:val="20"/>
          <w:szCs w:val="20"/>
        </w:rPr>
        <w:t xml:space="preserve"> expressed for a 1</w:t>
      </w:r>
      <w:r w:rsidR="000A0CB5" w:rsidRPr="004F6EAB">
        <w:rPr>
          <w:rFonts w:cstheme="minorHAnsi"/>
          <w:sz w:val="20"/>
          <w:szCs w:val="20"/>
        </w:rPr>
        <w:t>-</w:t>
      </w:r>
      <w:r w:rsidR="008426AF" w:rsidRPr="004F6EAB">
        <w:rPr>
          <w:rFonts w:cstheme="minorHAnsi"/>
          <w:sz w:val="20"/>
          <w:szCs w:val="20"/>
        </w:rPr>
        <w:t>SD increment in dietary scores</w:t>
      </w:r>
      <w:r w:rsidRPr="004F6EAB">
        <w:rPr>
          <w:rFonts w:cstheme="minorHAnsi"/>
          <w:sz w:val="20"/>
          <w:szCs w:val="20"/>
        </w:rPr>
        <w:t>, heterogeneity measure (</w:t>
      </w:r>
      <w:r w:rsidRPr="004F6EAB">
        <w:rPr>
          <w:rFonts w:cstheme="minorHAnsi"/>
          <w:i/>
          <w:iCs/>
          <w:sz w:val="20"/>
          <w:szCs w:val="20"/>
        </w:rPr>
        <w:t>I</w:t>
      </w:r>
      <w:r w:rsidRPr="004F6EAB">
        <w:rPr>
          <w:rFonts w:cstheme="minorHAnsi"/>
          <w:sz w:val="20"/>
          <w:szCs w:val="20"/>
          <w:vertAlign w:val="superscript"/>
        </w:rPr>
        <w:t>2</w:t>
      </w:r>
      <w:r w:rsidRPr="004F6EAB">
        <w:rPr>
          <w:rFonts w:cstheme="minorHAnsi"/>
          <w:sz w:val="20"/>
          <w:szCs w:val="20"/>
        </w:rPr>
        <w:t>), and number of participants and studies included (Np/Nc) across different outcomes and conception periods, as labelled.</w:t>
      </w:r>
      <w:r w:rsidR="00F01FB3" w:rsidRPr="004F6EAB">
        <w:rPr>
          <w:rFonts w:cstheme="minorHAnsi"/>
          <w:sz w:val="20"/>
          <w:szCs w:val="20"/>
        </w:rPr>
        <w:t xml:space="preserve"> </w:t>
      </w:r>
      <w:r w:rsidRPr="004F6EAB">
        <w:rPr>
          <w:rFonts w:cstheme="minorHAnsi"/>
          <w:sz w:val="20"/>
          <w:szCs w:val="20"/>
        </w:rPr>
        <w:t xml:space="preserve">Effect estimates were adjusted for </w:t>
      </w:r>
      <w:r w:rsidR="00F01FB3" w:rsidRPr="004F6EAB">
        <w:rPr>
          <w:rFonts w:cstheme="minorHAnsi"/>
          <w:sz w:val="20"/>
          <w:szCs w:val="20"/>
        </w:rPr>
        <w:t>maternal education, ethnicity, pre-pregnancy BMI, maternal height, parity, energy intake</w:t>
      </w:r>
      <w:r w:rsidR="005C1A9D" w:rsidRPr="004F6EAB">
        <w:t xml:space="preserve"> </w:t>
      </w:r>
      <w:r w:rsidR="005C1A9D" w:rsidRPr="004F6EAB">
        <w:rPr>
          <w:rFonts w:cstheme="minorHAnsi"/>
          <w:sz w:val="20"/>
          <w:szCs w:val="20"/>
        </w:rPr>
        <w:t>(for DASH)</w:t>
      </w:r>
      <w:r w:rsidR="00F01FB3" w:rsidRPr="004F6EAB">
        <w:rPr>
          <w:rFonts w:cstheme="minorHAnsi"/>
          <w:sz w:val="20"/>
          <w:szCs w:val="20"/>
        </w:rPr>
        <w:t>, cigarette smoking and alcohol consumption during pregnancy, and child sex.</w:t>
      </w:r>
    </w:p>
    <w:p w14:paraId="510B5405" w14:textId="2E189ECA" w:rsidR="00F01FB3" w:rsidRPr="004F6EAB" w:rsidRDefault="00723C31" w:rsidP="0096162D">
      <w:pPr>
        <w:spacing w:after="0"/>
        <w:rPr>
          <w:rFonts w:cstheme="minorHAnsi"/>
          <w:sz w:val="20"/>
          <w:szCs w:val="20"/>
        </w:rPr>
      </w:pPr>
      <w:r w:rsidRPr="004F6EAB">
        <w:rPr>
          <w:rFonts w:cstheme="minorHAnsi"/>
          <w:sz w:val="20"/>
          <w:szCs w:val="20"/>
        </w:rPr>
        <w:lastRenderedPageBreak/>
        <w:t>E-DII, energy-adjusted Dietary Inflammatory Index; DASH, Dietary Approach</w:t>
      </w:r>
      <w:r w:rsidR="008D45D2" w:rsidRPr="004F6EAB">
        <w:rPr>
          <w:rFonts w:cstheme="minorHAnsi"/>
          <w:sz w:val="20"/>
          <w:szCs w:val="20"/>
        </w:rPr>
        <w:t>es</w:t>
      </w:r>
      <w:r w:rsidRPr="004F6EAB">
        <w:rPr>
          <w:rFonts w:cstheme="minorHAnsi"/>
          <w:sz w:val="20"/>
          <w:szCs w:val="20"/>
        </w:rPr>
        <w:t xml:space="preserve"> to Stop Hypertension; </w:t>
      </w:r>
      <w:r w:rsidR="0096162D" w:rsidRPr="004F6EAB">
        <w:rPr>
          <w:rFonts w:cstheme="minorHAnsi"/>
          <w:i/>
          <w:iCs/>
          <w:sz w:val="20"/>
          <w:szCs w:val="20"/>
        </w:rPr>
        <w:t>I</w:t>
      </w:r>
      <w:r w:rsidR="0096162D" w:rsidRPr="004F6EAB">
        <w:rPr>
          <w:rFonts w:cstheme="minorHAnsi"/>
          <w:sz w:val="20"/>
          <w:szCs w:val="20"/>
          <w:vertAlign w:val="superscript"/>
        </w:rPr>
        <w:t>2</w:t>
      </w:r>
      <w:r w:rsidR="0096162D" w:rsidRPr="004F6EAB">
        <w:rPr>
          <w:rFonts w:cstheme="minorHAnsi"/>
          <w:sz w:val="20"/>
          <w:szCs w:val="20"/>
        </w:rPr>
        <w:t xml:space="preserve">, </w:t>
      </w:r>
      <w:r w:rsidR="0096162D" w:rsidRPr="004F6EAB">
        <w:rPr>
          <w:rFonts w:cstheme="minorHAnsi"/>
          <w:i/>
          <w:iCs/>
          <w:sz w:val="20"/>
          <w:szCs w:val="20"/>
        </w:rPr>
        <w:t>I</w:t>
      </w:r>
      <w:r w:rsidR="0096162D" w:rsidRPr="004F6EAB">
        <w:rPr>
          <w:rFonts w:cstheme="minorHAnsi"/>
          <w:sz w:val="20"/>
          <w:szCs w:val="20"/>
        </w:rPr>
        <w:t>-squared;</w:t>
      </w:r>
      <w:r w:rsidR="0096162D" w:rsidRPr="004F6EAB">
        <w:rPr>
          <w:rFonts w:cstheme="minorHAnsi"/>
          <w:i/>
          <w:iCs/>
          <w:sz w:val="20"/>
          <w:szCs w:val="20"/>
        </w:rPr>
        <w:t xml:space="preserve"> </w:t>
      </w:r>
      <w:r w:rsidR="0034378D" w:rsidRPr="004F6EAB">
        <w:rPr>
          <w:rFonts w:cstheme="minorHAnsi"/>
          <w:sz w:val="20"/>
          <w:szCs w:val="20"/>
        </w:rPr>
        <w:t>SGA, small-for-gestational-age; LGA, large-for-gestational-age;</w:t>
      </w:r>
      <w:r w:rsidR="0034378D" w:rsidRPr="004F6EAB">
        <w:rPr>
          <w:rFonts w:cstheme="minorHAnsi"/>
          <w:i/>
          <w:iCs/>
          <w:sz w:val="20"/>
          <w:szCs w:val="20"/>
        </w:rPr>
        <w:t xml:space="preserve"> </w:t>
      </w:r>
      <w:r w:rsidRPr="004F6EAB">
        <w:rPr>
          <w:rFonts w:cstheme="minorHAnsi"/>
          <w:sz w:val="20"/>
          <w:szCs w:val="20"/>
        </w:rPr>
        <w:t xml:space="preserve">Pre, pre-pregnancy; </w:t>
      </w:r>
      <w:proofErr w:type="spellStart"/>
      <w:r w:rsidRPr="004F6EAB">
        <w:rPr>
          <w:rFonts w:cstheme="minorHAnsi"/>
          <w:sz w:val="20"/>
          <w:szCs w:val="20"/>
        </w:rPr>
        <w:t>Preg</w:t>
      </w:r>
      <w:proofErr w:type="spellEnd"/>
      <w:r w:rsidRPr="004F6EAB">
        <w:rPr>
          <w:rFonts w:cstheme="minorHAnsi"/>
          <w:sz w:val="20"/>
          <w:szCs w:val="20"/>
        </w:rPr>
        <w:t xml:space="preserve">, pregnancy; Early, early pregnancy; Late, late pregnancy; Np, number of participants included; Nc, number of cohorts included. </w:t>
      </w:r>
    </w:p>
    <w:bookmarkEnd w:id="19"/>
    <w:p w14:paraId="0951F453" w14:textId="36D97E38" w:rsidR="002365E6" w:rsidRPr="004F6EAB" w:rsidRDefault="002365E6" w:rsidP="00C103D5">
      <w:pPr>
        <w:spacing w:after="0"/>
        <w:rPr>
          <w:rFonts w:cstheme="minorHAnsi"/>
          <w:sz w:val="24"/>
          <w:szCs w:val="24"/>
        </w:rPr>
      </w:pPr>
    </w:p>
    <w:sectPr w:rsidR="002365E6" w:rsidRPr="004F6EAB" w:rsidSect="00E02361">
      <w:headerReference w:type="default" r:id="rId13"/>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4FA10" w14:textId="77777777" w:rsidR="006D0406" w:rsidRDefault="006D0406" w:rsidP="00E02361">
      <w:pPr>
        <w:spacing w:after="0" w:line="240" w:lineRule="auto"/>
      </w:pPr>
      <w:r>
        <w:separator/>
      </w:r>
    </w:p>
  </w:endnote>
  <w:endnote w:type="continuationSeparator" w:id="0">
    <w:p w14:paraId="3E39531B" w14:textId="77777777" w:rsidR="006D0406" w:rsidRDefault="006D0406" w:rsidP="00E02361">
      <w:pPr>
        <w:spacing w:after="0" w:line="240" w:lineRule="auto"/>
      </w:pPr>
      <w:r>
        <w:continuationSeparator/>
      </w:r>
    </w:p>
  </w:endnote>
  <w:endnote w:type="continuationNotice" w:id="1">
    <w:p w14:paraId="0BA73875" w14:textId="77777777" w:rsidR="006D0406" w:rsidRDefault="006D04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973883"/>
      <w:docPartObj>
        <w:docPartGallery w:val="Page Numbers (Bottom of Page)"/>
        <w:docPartUnique/>
      </w:docPartObj>
    </w:sdtPr>
    <w:sdtEndPr>
      <w:rPr>
        <w:noProof/>
      </w:rPr>
    </w:sdtEndPr>
    <w:sdtContent>
      <w:p w14:paraId="588AF2F5" w14:textId="47AA284D" w:rsidR="00F47BEA" w:rsidRDefault="00F47BEA">
        <w:pPr>
          <w:pStyle w:val="Footer"/>
          <w:jc w:val="right"/>
        </w:pPr>
        <w:r>
          <w:fldChar w:fldCharType="begin"/>
        </w:r>
        <w:r>
          <w:instrText xml:space="preserve"> PAGE   \* MERGEFORMAT </w:instrText>
        </w:r>
        <w:r>
          <w:fldChar w:fldCharType="separate"/>
        </w:r>
        <w:r w:rsidR="003805BD">
          <w:rPr>
            <w:noProof/>
          </w:rPr>
          <w:t>21</w:t>
        </w:r>
        <w:r>
          <w:rPr>
            <w:noProof/>
          </w:rPr>
          <w:fldChar w:fldCharType="end"/>
        </w:r>
      </w:p>
    </w:sdtContent>
  </w:sdt>
  <w:p w14:paraId="699A6032" w14:textId="77777777" w:rsidR="00F47BEA" w:rsidRDefault="00F47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387A0" w14:textId="77777777" w:rsidR="006D0406" w:rsidRDefault="006D0406" w:rsidP="00E02361">
      <w:pPr>
        <w:spacing w:after="0" w:line="240" w:lineRule="auto"/>
      </w:pPr>
      <w:r>
        <w:separator/>
      </w:r>
    </w:p>
  </w:footnote>
  <w:footnote w:type="continuationSeparator" w:id="0">
    <w:p w14:paraId="6EBB658F" w14:textId="77777777" w:rsidR="006D0406" w:rsidRDefault="006D0406" w:rsidP="00E02361">
      <w:pPr>
        <w:spacing w:after="0" w:line="240" w:lineRule="auto"/>
      </w:pPr>
      <w:r>
        <w:continuationSeparator/>
      </w:r>
    </w:p>
  </w:footnote>
  <w:footnote w:type="continuationNotice" w:id="1">
    <w:p w14:paraId="38A76C66" w14:textId="77777777" w:rsidR="006D0406" w:rsidRDefault="006D04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BA11F" w14:textId="37B91817" w:rsidR="00F47BEA" w:rsidRDefault="00F47BEA">
    <w:pPr>
      <w:pStyle w:val="Header"/>
    </w:pP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6DE1E" w14:textId="3576713E" w:rsidR="00F47BEA" w:rsidRPr="00D6245A" w:rsidRDefault="00F47BEA" w:rsidP="00D6245A">
    <w:pPr>
      <w:pStyle w:val="Header"/>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5082D" w14:textId="2DB2D74C" w:rsidR="00F47BEA" w:rsidRPr="00D6245A" w:rsidRDefault="00F47BEA" w:rsidP="00D6245A">
    <w:pPr>
      <w:pStyle w:val="Header"/>
    </w:pPr>
    <w:r>
      <w:tab/>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E6EB5"/>
    <w:multiLevelType w:val="multilevel"/>
    <w:tmpl w:val="B0E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F3A97"/>
    <w:multiLevelType w:val="hybridMultilevel"/>
    <w:tmpl w:val="D8CCB5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46427C2"/>
    <w:multiLevelType w:val="hybridMultilevel"/>
    <w:tmpl w:val="C1266480"/>
    <w:lvl w:ilvl="0" w:tplc="AC629C4C">
      <w:start w:val="5"/>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B447D3"/>
    <w:multiLevelType w:val="hybridMultilevel"/>
    <w:tmpl w:val="44DC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E2EAC"/>
    <w:multiLevelType w:val="hybridMultilevel"/>
    <w:tmpl w:val="61F092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022"/>
    <w:rsid w:val="00000311"/>
    <w:rsid w:val="00001CB1"/>
    <w:rsid w:val="000160A9"/>
    <w:rsid w:val="00017042"/>
    <w:rsid w:val="00017E43"/>
    <w:rsid w:val="00020673"/>
    <w:rsid w:val="00025790"/>
    <w:rsid w:val="00026735"/>
    <w:rsid w:val="00032364"/>
    <w:rsid w:val="00036317"/>
    <w:rsid w:val="00037B6E"/>
    <w:rsid w:val="00045485"/>
    <w:rsid w:val="000468A6"/>
    <w:rsid w:val="00047300"/>
    <w:rsid w:val="00047B94"/>
    <w:rsid w:val="00050443"/>
    <w:rsid w:val="0005123B"/>
    <w:rsid w:val="00054180"/>
    <w:rsid w:val="00061520"/>
    <w:rsid w:val="0008063A"/>
    <w:rsid w:val="00080B22"/>
    <w:rsid w:val="00080C95"/>
    <w:rsid w:val="00082B11"/>
    <w:rsid w:val="00083399"/>
    <w:rsid w:val="0008371A"/>
    <w:rsid w:val="0009130E"/>
    <w:rsid w:val="00093624"/>
    <w:rsid w:val="000958BB"/>
    <w:rsid w:val="00096C09"/>
    <w:rsid w:val="000A0B51"/>
    <w:rsid w:val="000A0CB5"/>
    <w:rsid w:val="000A1B56"/>
    <w:rsid w:val="000A3AB6"/>
    <w:rsid w:val="000A3FF6"/>
    <w:rsid w:val="000A4B17"/>
    <w:rsid w:val="000B0AC6"/>
    <w:rsid w:val="000B0CD2"/>
    <w:rsid w:val="000B5CC1"/>
    <w:rsid w:val="000C1CE9"/>
    <w:rsid w:val="000C2277"/>
    <w:rsid w:val="000C2892"/>
    <w:rsid w:val="000C3290"/>
    <w:rsid w:val="000C3843"/>
    <w:rsid w:val="000C3EC0"/>
    <w:rsid w:val="000C6680"/>
    <w:rsid w:val="000D0484"/>
    <w:rsid w:val="000D52CD"/>
    <w:rsid w:val="000D63AB"/>
    <w:rsid w:val="000E0F03"/>
    <w:rsid w:val="000E268F"/>
    <w:rsid w:val="000E2EE0"/>
    <w:rsid w:val="000E32DF"/>
    <w:rsid w:val="000E52D9"/>
    <w:rsid w:val="000E5471"/>
    <w:rsid w:val="000E69C1"/>
    <w:rsid w:val="000F04D6"/>
    <w:rsid w:val="000F4B8B"/>
    <w:rsid w:val="000F5C45"/>
    <w:rsid w:val="000F79A1"/>
    <w:rsid w:val="00103A17"/>
    <w:rsid w:val="001061AD"/>
    <w:rsid w:val="001070D9"/>
    <w:rsid w:val="001073AA"/>
    <w:rsid w:val="00107598"/>
    <w:rsid w:val="001137AD"/>
    <w:rsid w:val="0011441F"/>
    <w:rsid w:val="00114477"/>
    <w:rsid w:val="001272FD"/>
    <w:rsid w:val="00130AAC"/>
    <w:rsid w:val="00132C10"/>
    <w:rsid w:val="00133B34"/>
    <w:rsid w:val="00135BDD"/>
    <w:rsid w:val="00136FD5"/>
    <w:rsid w:val="00137570"/>
    <w:rsid w:val="00137C0D"/>
    <w:rsid w:val="001400FF"/>
    <w:rsid w:val="001405F9"/>
    <w:rsid w:val="0014229D"/>
    <w:rsid w:val="001424C9"/>
    <w:rsid w:val="00143ABE"/>
    <w:rsid w:val="00147C7D"/>
    <w:rsid w:val="0015078E"/>
    <w:rsid w:val="00154FDF"/>
    <w:rsid w:val="00155FAB"/>
    <w:rsid w:val="001620F3"/>
    <w:rsid w:val="00163EB7"/>
    <w:rsid w:val="001654CD"/>
    <w:rsid w:val="001749CB"/>
    <w:rsid w:val="00175385"/>
    <w:rsid w:val="00175CDD"/>
    <w:rsid w:val="0018068A"/>
    <w:rsid w:val="00184622"/>
    <w:rsid w:val="00186EBD"/>
    <w:rsid w:val="00190257"/>
    <w:rsid w:val="00191A8E"/>
    <w:rsid w:val="00191C86"/>
    <w:rsid w:val="00193AD7"/>
    <w:rsid w:val="001A4A9D"/>
    <w:rsid w:val="001A5B8E"/>
    <w:rsid w:val="001B152A"/>
    <w:rsid w:val="001B1A2C"/>
    <w:rsid w:val="001B2F2B"/>
    <w:rsid w:val="001B78B9"/>
    <w:rsid w:val="001C27DC"/>
    <w:rsid w:val="001D0750"/>
    <w:rsid w:val="001D4062"/>
    <w:rsid w:val="001D51A9"/>
    <w:rsid w:val="001E1289"/>
    <w:rsid w:val="001E2236"/>
    <w:rsid w:val="001E5043"/>
    <w:rsid w:val="001F2588"/>
    <w:rsid w:val="001F2E9E"/>
    <w:rsid w:val="001F5E80"/>
    <w:rsid w:val="0020107A"/>
    <w:rsid w:val="00201772"/>
    <w:rsid w:val="00202B94"/>
    <w:rsid w:val="00210B1C"/>
    <w:rsid w:val="002247C6"/>
    <w:rsid w:val="00224F26"/>
    <w:rsid w:val="00225710"/>
    <w:rsid w:val="00225847"/>
    <w:rsid w:val="00230440"/>
    <w:rsid w:val="00230BB9"/>
    <w:rsid w:val="00230F5D"/>
    <w:rsid w:val="00232467"/>
    <w:rsid w:val="00233D4C"/>
    <w:rsid w:val="00234498"/>
    <w:rsid w:val="002365E6"/>
    <w:rsid w:val="002379B2"/>
    <w:rsid w:val="00245174"/>
    <w:rsid w:val="0024767A"/>
    <w:rsid w:val="002546E7"/>
    <w:rsid w:val="002646D2"/>
    <w:rsid w:val="002703BA"/>
    <w:rsid w:val="00271080"/>
    <w:rsid w:val="002712FB"/>
    <w:rsid w:val="00272087"/>
    <w:rsid w:val="00273E1F"/>
    <w:rsid w:val="00276FCD"/>
    <w:rsid w:val="00280F08"/>
    <w:rsid w:val="00283349"/>
    <w:rsid w:val="00285CC7"/>
    <w:rsid w:val="00286EC0"/>
    <w:rsid w:val="00293E3A"/>
    <w:rsid w:val="002945EA"/>
    <w:rsid w:val="002946BF"/>
    <w:rsid w:val="00295A69"/>
    <w:rsid w:val="00295BD2"/>
    <w:rsid w:val="002A03E3"/>
    <w:rsid w:val="002A3D78"/>
    <w:rsid w:val="002A4943"/>
    <w:rsid w:val="002B226A"/>
    <w:rsid w:val="002B2C96"/>
    <w:rsid w:val="002C65B1"/>
    <w:rsid w:val="002D1783"/>
    <w:rsid w:val="002D4556"/>
    <w:rsid w:val="002D4C04"/>
    <w:rsid w:val="002D7551"/>
    <w:rsid w:val="002D7AC7"/>
    <w:rsid w:val="002E1B34"/>
    <w:rsid w:val="002E245C"/>
    <w:rsid w:val="002F062F"/>
    <w:rsid w:val="002F3A61"/>
    <w:rsid w:val="002F3B34"/>
    <w:rsid w:val="002F3FCB"/>
    <w:rsid w:val="002F4790"/>
    <w:rsid w:val="002F52F3"/>
    <w:rsid w:val="002F732E"/>
    <w:rsid w:val="002F7419"/>
    <w:rsid w:val="00300C84"/>
    <w:rsid w:val="0030147D"/>
    <w:rsid w:val="0031140C"/>
    <w:rsid w:val="00311F4B"/>
    <w:rsid w:val="00313999"/>
    <w:rsid w:val="0031440D"/>
    <w:rsid w:val="00314BFC"/>
    <w:rsid w:val="00316F98"/>
    <w:rsid w:val="00320574"/>
    <w:rsid w:val="00321712"/>
    <w:rsid w:val="003301F2"/>
    <w:rsid w:val="00331079"/>
    <w:rsid w:val="0033326F"/>
    <w:rsid w:val="00336D10"/>
    <w:rsid w:val="00341A8A"/>
    <w:rsid w:val="0034378D"/>
    <w:rsid w:val="00343AF0"/>
    <w:rsid w:val="00344C8A"/>
    <w:rsid w:val="00345349"/>
    <w:rsid w:val="0035081B"/>
    <w:rsid w:val="00352D6F"/>
    <w:rsid w:val="00352EFC"/>
    <w:rsid w:val="00353054"/>
    <w:rsid w:val="00353669"/>
    <w:rsid w:val="00355562"/>
    <w:rsid w:val="003618D9"/>
    <w:rsid w:val="003658D9"/>
    <w:rsid w:val="00373186"/>
    <w:rsid w:val="003739C8"/>
    <w:rsid w:val="0037443F"/>
    <w:rsid w:val="00377249"/>
    <w:rsid w:val="003805BD"/>
    <w:rsid w:val="00381099"/>
    <w:rsid w:val="003812E9"/>
    <w:rsid w:val="003814BA"/>
    <w:rsid w:val="00383A1E"/>
    <w:rsid w:val="00393290"/>
    <w:rsid w:val="00393997"/>
    <w:rsid w:val="003A41F6"/>
    <w:rsid w:val="003A605A"/>
    <w:rsid w:val="003A6977"/>
    <w:rsid w:val="003A6C4E"/>
    <w:rsid w:val="003B230B"/>
    <w:rsid w:val="003B232C"/>
    <w:rsid w:val="003B287D"/>
    <w:rsid w:val="003B2BC9"/>
    <w:rsid w:val="003B2ECD"/>
    <w:rsid w:val="003B5559"/>
    <w:rsid w:val="003B5F60"/>
    <w:rsid w:val="003B64EE"/>
    <w:rsid w:val="003B702A"/>
    <w:rsid w:val="003C38A9"/>
    <w:rsid w:val="003C3C1C"/>
    <w:rsid w:val="003C49F9"/>
    <w:rsid w:val="003C5324"/>
    <w:rsid w:val="003C5C07"/>
    <w:rsid w:val="003C69BC"/>
    <w:rsid w:val="003C6B1E"/>
    <w:rsid w:val="003D51FA"/>
    <w:rsid w:val="003D5A0A"/>
    <w:rsid w:val="003E0CD8"/>
    <w:rsid w:val="003E1E84"/>
    <w:rsid w:val="003E20EB"/>
    <w:rsid w:val="003E3D41"/>
    <w:rsid w:val="003E41B2"/>
    <w:rsid w:val="003F1981"/>
    <w:rsid w:val="003F2561"/>
    <w:rsid w:val="003F3730"/>
    <w:rsid w:val="003F4B16"/>
    <w:rsid w:val="003F5D49"/>
    <w:rsid w:val="00401F4D"/>
    <w:rsid w:val="004022E4"/>
    <w:rsid w:val="00404486"/>
    <w:rsid w:val="004104D5"/>
    <w:rsid w:val="00411405"/>
    <w:rsid w:val="0041219F"/>
    <w:rsid w:val="004213C0"/>
    <w:rsid w:val="00421BD2"/>
    <w:rsid w:val="00424CED"/>
    <w:rsid w:val="004269D0"/>
    <w:rsid w:val="00430199"/>
    <w:rsid w:val="0043301D"/>
    <w:rsid w:val="00434111"/>
    <w:rsid w:val="00440605"/>
    <w:rsid w:val="00442C7D"/>
    <w:rsid w:val="00444106"/>
    <w:rsid w:val="0044414A"/>
    <w:rsid w:val="004509FF"/>
    <w:rsid w:val="004544C1"/>
    <w:rsid w:val="00454575"/>
    <w:rsid w:val="00454D12"/>
    <w:rsid w:val="004610C8"/>
    <w:rsid w:val="004622D3"/>
    <w:rsid w:val="004623B0"/>
    <w:rsid w:val="00463362"/>
    <w:rsid w:val="00465C45"/>
    <w:rsid w:val="00466419"/>
    <w:rsid w:val="00475B56"/>
    <w:rsid w:val="00477F23"/>
    <w:rsid w:val="00482FAA"/>
    <w:rsid w:val="0048477C"/>
    <w:rsid w:val="00487285"/>
    <w:rsid w:val="00494300"/>
    <w:rsid w:val="004A32ED"/>
    <w:rsid w:val="004A3B11"/>
    <w:rsid w:val="004A41A0"/>
    <w:rsid w:val="004A5D3A"/>
    <w:rsid w:val="004B4C09"/>
    <w:rsid w:val="004B63A2"/>
    <w:rsid w:val="004B7CFB"/>
    <w:rsid w:val="004C16B6"/>
    <w:rsid w:val="004C2BE1"/>
    <w:rsid w:val="004C30B8"/>
    <w:rsid w:val="004C4669"/>
    <w:rsid w:val="004D2D2E"/>
    <w:rsid w:val="004D4443"/>
    <w:rsid w:val="004D65B6"/>
    <w:rsid w:val="004E01BF"/>
    <w:rsid w:val="004E36CB"/>
    <w:rsid w:val="004E4755"/>
    <w:rsid w:val="004E7D32"/>
    <w:rsid w:val="004F04A7"/>
    <w:rsid w:val="004F628E"/>
    <w:rsid w:val="004F62DB"/>
    <w:rsid w:val="004F6EAB"/>
    <w:rsid w:val="004F793F"/>
    <w:rsid w:val="00503028"/>
    <w:rsid w:val="00507B0F"/>
    <w:rsid w:val="00510CBE"/>
    <w:rsid w:val="00513B38"/>
    <w:rsid w:val="0051517A"/>
    <w:rsid w:val="005171E5"/>
    <w:rsid w:val="0051755E"/>
    <w:rsid w:val="00517C8E"/>
    <w:rsid w:val="005212B9"/>
    <w:rsid w:val="00521966"/>
    <w:rsid w:val="005241D8"/>
    <w:rsid w:val="00530405"/>
    <w:rsid w:val="00535209"/>
    <w:rsid w:val="005355BF"/>
    <w:rsid w:val="0053621F"/>
    <w:rsid w:val="0054132F"/>
    <w:rsid w:val="0054213F"/>
    <w:rsid w:val="005445AE"/>
    <w:rsid w:val="005519C2"/>
    <w:rsid w:val="00551FC9"/>
    <w:rsid w:val="00552F18"/>
    <w:rsid w:val="005531BF"/>
    <w:rsid w:val="00553F3C"/>
    <w:rsid w:val="00555643"/>
    <w:rsid w:val="0055572A"/>
    <w:rsid w:val="00555DF8"/>
    <w:rsid w:val="0055629C"/>
    <w:rsid w:val="00561A05"/>
    <w:rsid w:val="00561E0E"/>
    <w:rsid w:val="00564EC0"/>
    <w:rsid w:val="0056547C"/>
    <w:rsid w:val="005700C0"/>
    <w:rsid w:val="00570CCC"/>
    <w:rsid w:val="00571BBE"/>
    <w:rsid w:val="00571F46"/>
    <w:rsid w:val="005721DB"/>
    <w:rsid w:val="00573B08"/>
    <w:rsid w:val="0057703A"/>
    <w:rsid w:val="005801F1"/>
    <w:rsid w:val="005809EB"/>
    <w:rsid w:val="00595F38"/>
    <w:rsid w:val="00597BF3"/>
    <w:rsid w:val="005A1897"/>
    <w:rsid w:val="005A3F59"/>
    <w:rsid w:val="005A69B2"/>
    <w:rsid w:val="005A7765"/>
    <w:rsid w:val="005A7A69"/>
    <w:rsid w:val="005B3DE1"/>
    <w:rsid w:val="005B4AAB"/>
    <w:rsid w:val="005C1A9D"/>
    <w:rsid w:val="005C1ADD"/>
    <w:rsid w:val="005C6526"/>
    <w:rsid w:val="005C6E0D"/>
    <w:rsid w:val="005D20B1"/>
    <w:rsid w:val="005D688C"/>
    <w:rsid w:val="005E4A27"/>
    <w:rsid w:val="005E5B5F"/>
    <w:rsid w:val="005E62D3"/>
    <w:rsid w:val="005E62FE"/>
    <w:rsid w:val="005E64F0"/>
    <w:rsid w:val="005E6C45"/>
    <w:rsid w:val="005F1463"/>
    <w:rsid w:val="005F186D"/>
    <w:rsid w:val="005F318E"/>
    <w:rsid w:val="005F5BE0"/>
    <w:rsid w:val="00610F21"/>
    <w:rsid w:val="00611948"/>
    <w:rsid w:val="0061469B"/>
    <w:rsid w:val="00616120"/>
    <w:rsid w:val="00617289"/>
    <w:rsid w:val="006174BD"/>
    <w:rsid w:val="006205EE"/>
    <w:rsid w:val="00621183"/>
    <w:rsid w:val="00621A5D"/>
    <w:rsid w:val="00626A4D"/>
    <w:rsid w:val="00627246"/>
    <w:rsid w:val="00633AF9"/>
    <w:rsid w:val="006428BB"/>
    <w:rsid w:val="00645DAD"/>
    <w:rsid w:val="006475F8"/>
    <w:rsid w:val="006506B0"/>
    <w:rsid w:val="00654C99"/>
    <w:rsid w:val="00655044"/>
    <w:rsid w:val="00656250"/>
    <w:rsid w:val="0066389F"/>
    <w:rsid w:val="0066445F"/>
    <w:rsid w:val="00671A43"/>
    <w:rsid w:val="00675488"/>
    <w:rsid w:val="00680AB6"/>
    <w:rsid w:val="00682A68"/>
    <w:rsid w:val="00683633"/>
    <w:rsid w:val="00685992"/>
    <w:rsid w:val="00686730"/>
    <w:rsid w:val="006942AC"/>
    <w:rsid w:val="00695DAE"/>
    <w:rsid w:val="006962C7"/>
    <w:rsid w:val="006969E8"/>
    <w:rsid w:val="006974C5"/>
    <w:rsid w:val="00697D39"/>
    <w:rsid w:val="006A06BD"/>
    <w:rsid w:val="006A0A00"/>
    <w:rsid w:val="006A1828"/>
    <w:rsid w:val="006A23B3"/>
    <w:rsid w:val="006A4D35"/>
    <w:rsid w:val="006B03D1"/>
    <w:rsid w:val="006B41AF"/>
    <w:rsid w:val="006B7271"/>
    <w:rsid w:val="006C4464"/>
    <w:rsid w:val="006C575C"/>
    <w:rsid w:val="006C6277"/>
    <w:rsid w:val="006D0406"/>
    <w:rsid w:val="006D2677"/>
    <w:rsid w:val="006D3E96"/>
    <w:rsid w:val="006D56C9"/>
    <w:rsid w:val="006E2E71"/>
    <w:rsid w:val="006E4747"/>
    <w:rsid w:val="006E4AD0"/>
    <w:rsid w:val="006E6299"/>
    <w:rsid w:val="006E6B35"/>
    <w:rsid w:val="006F0073"/>
    <w:rsid w:val="006F18E5"/>
    <w:rsid w:val="006F25BF"/>
    <w:rsid w:val="006F542A"/>
    <w:rsid w:val="006F56F7"/>
    <w:rsid w:val="00706F9A"/>
    <w:rsid w:val="00707092"/>
    <w:rsid w:val="0071478E"/>
    <w:rsid w:val="00715DE2"/>
    <w:rsid w:val="00717B66"/>
    <w:rsid w:val="00721E44"/>
    <w:rsid w:val="00723C31"/>
    <w:rsid w:val="0073659C"/>
    <w:rsid w:val="00736BFE"/>
    <w:rsid w:val="00742E88"/>
    <w:rsid w:val="0074573A"/>
    <w:rsid w:val="00747796"/>
    <w:rsid w:val="00752021"/>
    <w:rsid w:val="007528CE"/>
    <w:rsid w:val="007544E0"/>
    <w:rsid w:val="00760809"/>
    <w:rsid w:val="007634C8"/>
    <w:rsid w:val="00765B98"/>
    <w:rsid w:val="00767B81"/>
    <w:rsid w:val="00767DDB"/>
    <w:rsid w:val="00770E31"/>
    <w:rsid w:val="007736BD"/>
    <w:rsid w:val="00782F67"/>
    <w:rsid w:val="00784461"/>
    <w:rsid w:val="00790BD2"/>
    <w:rsid w:val="00792766"/>
    <w:rsid w:val="007972A3"/>
    <w:rsid w:val="007973FD"/>
    <w:rsid w:val="007A371D"/>
    <w:rsid w:val="007A78C0"/>
    <w:rsid w:val="007B02E9"/>
    <w:rsid w:val="007B0DDC"/>
    <w:rsid w:val="007B3A27"/>
    <w:rsid w:val="007B4C6A"/>
    <w:rsid w:val="007C1BFB"/>
    <w:rsid w:val="007D1345"/>
    <w:rsid w:val="007D336E"/>
    <w:rsid w:val="007D3C3A"/>
    <w:rsid w:val="007D4136"/>
    <w:rsid w:val="007D45FB"/>
    <w:rsid w:val="007D4AE6"/>
    <w:rsid w:val="007D57AD"/>
    <w:rsid w:val="007D64CD"/>
    <w:rsid w:val="007E3C41"/>
    <w:rsid w:val="007E533E"/>
    <w:rsid w:val="007E5810"/>
    <w:rsid w:val="007E5F17"/>
    <w:rsid w:val="007E61B7"/>
    <w:rsid w:val="007E631A"/>
    <w:rsid w:val="007F0A6E"/>
    <w:rsid w:val="007F10CC"/>
    <w:rsid w:val="007F1B3D"/>
    <w:rsid w:val="007F1D15"/>
    <w:rsid w:val="007F2497"/>
    <w:rsid w:val="007F681D"/>
    <w:rsid w:val="0080216B"/>
    <w:rsid w:val="0080440B"/>
    <w:rsid w:val="008063F5"/>
    <w:rsid w:val="0081257B"/>
    <w:rsid w:val="00814980"/>
    <w:rsid w:val="0081719E"/>
    <w:rsid w:val="00820D3D"/>
    <w:rsid w:val="00821522"/>
    <w:rsid w:val="008275BB"/>
    <w:rsid w:val="00832219"/>
    <w:rsid w:val="0083552B"/>
    <w:rsid w:val="00840688"/>
    <w:rsid w:val="00842661"/>
    <w:rsid w:val="008426AF"/>
    <w:rsid w:val="00842F5D"/>
    <w:rsid w:val="00844E2C"/>
    <w:rsid w:val="00845A89"/>
    <w:rsid w:val="00847274"/>
    <w:rsid w:val="00851FCB"/>
    <w:rsid w:val="00852280"/>
    <w:rsid w:val="00853A7A"/>
    <w:rsid w:val="008554FD"/>
    <w:rsid w:val="008568E4"/>
    <w:rsid w:val="00856A46"/>
    <w:rsid w:val="00856B24"/>
    <w:rsid w:val="00857387"/>
    <w:rsid w:val="0086271D"/>
    <w:rsid w:val="00864A2A"/>
    <w:rsid w:val="00864F78"/>
    <w:rsid w:val="00865748"/>
    <w:rsid w:val="00871E3E"/>
    <w:rsid w:val="00873F83"/>
    <w:rsid w:val="00875B1F"/>
    <w:rsid w:val="008764CB"/>
    <w:rsid w:val="008809A7"/>
    <w:rsid w:val="00881539"/>
    <w:rsid w:val="0088428D"/>
    <w:rsid w:val="00885E7E"/>
    <w:rsid w:val="00890949"/>
    <w:rsid w:val="00890A4A"/>
    <w:rsid w:val="008921E6"/>
    <w:rsid w:val="00893B23"/>
    <w:rsid w:val="008944FB"/>
    <w:rsid w:val="00895409"/>
    <w:rsid w:val="008971D7"/>
    <w:rsid w:val="00897C5A"/>
    <w:rsid w:val="008A3019"/>
    <w:rsid w:val="008A5CE5"/>
    <w:rsid w:val="008A785E"/>
    <w:rsid w:val="008B4DF2"/>
    <w:rsid w:val="008B53B9"/>
    <w:rsid w:val="008C16F5"/>
    <w:rsid w:val="008C18B3"/>
    <w:rsid w:val="008C2735"/>
    <w:rsid w:val="008C4823"/>
    <w:rsid w:val="008C5089"/>
    <w:rsid w:val="008C6E4E"/>
    <w:rsid w:val="008D45D2"/>
    <w:rsid w:val="008D5586"/>
    <w:rsid w:val="008E08A6"/>
    <w:rsid w:val="008E250D"/>
    <w:rsid w:val="008E3574"/>
    <w:rsid w:val="008F34BF"/>
    <w:rsid w:val="00900907"/>
    <w:rsid w:val="009072EB"/>
    <w:rsid w:val="00907B6D"/>
    <w:rsid w:val="009122D4"/>
    <w:rsid w:val="009177B5"/>
    <w:rsid w:val="009179AD"/>
    <w:rsid w:val="00921CB8"/>
    <w:rsid w:val="00926444"/>
    <w:rsid w:val="00926477"/>
    <w:rsid w:val="00927B19"/>
    <w:rsid w:val="009355C8"/>
    <w:rsid w:val="00937FD4"/>
    <w:rsid w:val="00940148"/>
    <w:rsid w:val="0094018D"/>
    <w:rsid w:val="009402C4"/>
    <w:rsid w:val="00942E51"/>
    <w:rsid w:val="0094437B"/>
    <w:rsid w:val="0094543A"/>
    <w:rsid w:val="00946A82"/>
    <w:rsid w:val="00946AAA"/>
    <w:rsid w:val="009471A7"/>
    <w:rsid w:val="00954D05"/>
    <w:rsid w:val="00956C46"/>
    <w:rsid w:val="00961586"/>
    <w:rsid w:val="0096162D"/>
    <w:rsid w:val="009617EA"/>
    <w:rsid w:val="00963803"/>
    <w:rsid w:val="00971B7D"/>
    <w:rsid w:val="0097601D"/>
    <w:rsid w:val="009772A7"/>
    <w:rsid w:val="00981A83"/>
    <w:rsid w:val="0098485C"/>
    <w:rsid w:val="00984B29"/>
    <w:rsid w:val="009908CE"/>
    <w:rsid w:val="0099232C"/>
    <w:rsid w:val="00995CD6"/>
    <w:rsid w:val="009A13AF"/>
    <w:rsid w:val="009B0860"/>
    <w:rsid w:val="009B0903"/>
    <w:rsid w:val="009B16CC"/>
    <w:rsid w:val="009B1CB7"/>
    <w:rsid w:val="009B2B9E"/>
    <w:rsid w:val="009B2F08"/>
    <w:rsid w:val="009B4675"/>
    <w:rsid w:val="009B7031"/>
    <w:rsid w:val="009C021F"/>
    <w:rsid w:val="009C111D"/>
    <w:rsid w:val="009D5D9D"/>
    <w:rsid w:val="009D7BC4"/>
    <w:rsid w:val="009E5411"/>
    <w:rsid w:val="009E5AA7"/>
    <w:rsid w:val="009F23EC"/>
    <w:rsid w:val="009F5272"/>
    <w:rsid w:val="009F5D95"/>
    <w:rsid w:val="009F71E1"/>
    <w:rsid w:val="00A00834"/>
    <w:rsid w:val="00A01461"/>
    <w:rsid w:val="00A03F73"/>
    <w:rsid w:val="00A10052"/>
    <w:rsid w:val="00A1185E"/>
    <w:rsid w:val="00A16416"/>
    <w:rsid w:val="00A1731F"/>
    <w:rsid w:val="00A2330B"/>
    <w:rsid w:val="00A23B50"/>
    <w:rsid w:val="00A24DF1"/>
    <w:rsid w:val="00A306FD"/>
    <w:rsid w:val="00A43BAF"/>
    <w:rsid w:val="00A45EB0"/>
    <w:rsid w:val="00A47A6E"/>
    <w:rsid w:val="00A47AB9"/>
    <w:rsid w:val="00A518FC"/>
    <w:rsid w:val="00A5258B"/>
    <w:rsid w:val="00A52B76"/>
    <w:rsid w:val="00A531AE"/>
    <w:rsid w:val="00A55578"/>
    <w:rsid w:val="00A60B64"/>
    <w:rsid w:val="00A614A7"/>
    <w:rsid w:val="00A61A5B"/>
    <w:rsid w:val="00A61F94"/>
    <w:rsid w:val="00A63480"/>
    <w:rsid w:val="00A6382C"/>
    <w:rsid w:val="00A654B5"/>
    <w:rsid w:val="00A66190"/>
    <w:rsid w:val="00A67E82"/>
    <w:rsid w:val="00A67F01"/>
    <w:rsid w:val="00A70D89"/>
    <w:rsid w:val="00A77022"/>
    <w:rsid w:val="00A8187D"/>
    <w:rsid w:val="00A82D36"/>
    <w:rsid w:val="00A83FCC"/>
    <w:rsid w:val="00A84A3B"/>
    <w:rsid w:val="00A85039"/>
    <w:rsid w:val="00A85F7A"/>
    <w:rsid w:val="00A86ABB"/>
    <w:rsid w:val="00A86CA0"/>
    <w:rsid w:val="00A90D9B"/>
    <w:rsid w:val="00A92B47"/>
    <w:rsid w:val="00A95E86"/>
    <w:rsid w:val="00A96CDB"/>
    <w:rsid w:val="00AA07D2"/>
    <w:rsid w:val="00AA12C4"/>
    <w:rsid w:val="00AA1625"/>
    <w:rsid w:val="00AA43B3"/>
    <w:rsid w:val="00AA637C"/>
    <w:rsid w:val="00AB721B"/>
    <w:rsid w:val="00AC020F"/>
    <w:rsid w:val="00AC07D7"/>
    <w:rsid w:val="00AC4361"/>
    <w:rsid w:val="00AC481D"/>
    <w:rsid w:val="00AC5CD8"/>
    <w:rsid w:val="00AC5F97"/>
    <w:rsid w:val="00AC61FB"/>
    <w:rsid w:val="00AC7807"/>
    <w:rsid w:val="00AC7C3B"/>
    <w:rsid w:val="00AD1291"/>
    <w:rsid w:val="00AD1DED"/>
    <w:rsid w:val="00AD3BEE"/>
    <w:rsid w:val="00AD4583"/>
    <w:rsid w:val="00AD5E87"/>
    <w:rsid w:val="00AE049F"/>
    <w:rsid w:val="00AE262B"/>
    <w:rsid w:val="00AE282C"/>
    <w:rsid w:val="00AE4B4A"/>
    <w:rsid w:val="00AE7B4C"/>
    <w:rsid w:val="00AF398C"/>
    <w:rsid w:val="00AF4908"/>
    <w:rsid w:val="00AF75FB"/>
    <w:rsid w:val="00AF76D0"/>
    <w:rsid w:val="00B01EF2"/>
    <w:rsid w:val="00B05E2F"/>
    <w:rsid w:val="00B06D43"/>
    <w:rsid w:val="00B1121C"/>
    <w:rsid w:val="00B116E3"/>
    <w:rsid w:val="00B11A86"/>
    <w:rsid w:val="00B11D3F"/>
    <w:rsid w:val="00B15983"/>
    <w:rsid w:val="00B159CA"/>
    <w:rsid w:val="00B16275"/>
    <w:rsid w:val="00B163FB"/>
    <w:rsid w:val="00B16CAA"/>
    <w:rsid w:val="00B24408"/>
    <w:rsid w:val="00B260DA"/>
    <w:rsid w:val="00B30F35"/>
    <w:rsid w:val="00B3355B"/>
    <w:rsid w:val="00B344B4"/>
    <w:rsid w:val="00B405FB"/>
    <w:rsid w:val="00B42A6D"/>
    <w:rsid w:val="00B440EF"/>
    <w:rsid w:val="00B450B1"/>
    <w:rsid w:val="00B46CEA"/>
    <w:rsid w:val="00B4754A"/>
    <w:rsid w:val="00B529F6"/>
    <w:rsid w:val="00B52D3B"/>
    <w:rsid w:val="00B538D0"/>
    <w:rsid w:val="00B5644D"/>
    <w:rsid w:val="00B56F1F"/>
    <w:rsid w:val="00B57EB7"/>
    <w:rsid w:val="00B61ECF"/>
    <w:rsid w:val="00B62998"/>
    <w:rsid w:val="00B64489"/>
    <w:rsid w:val="00B67247"/>
    <w:rsid w:val="00B70E13"/>
    <w:rsid w:val="00B72690"/>
    <w:rsid w:val="00B74236"/>
    <w:rsid w:val="00B756AF"/>
    <w:rsid w:val="00B75CF5"/>
    <w:rsid w:val="00B90F61"/>
    <w:rsid w:val="00B912A3"/>
    <w:rsid w:val="00B94184"/>
    <w:rsid w:val="00B95593"/>
    <w:rsid w:val="00B96334"/>
    <w:rsid w:val="00B965DA"/>
    <w:rsid w:val="00B97F56"/>
    <w:rsid w:val="00BA0800"/>
    <w:rsid w:val="00BA2513"/>
    <w:rsid w:val="00BA4AF4"/>
    <w:rsid w:val="00BB315A"/>
    <w:rsid w:val="00BB608A"/>
    <w:rsid w:val="00BC16EA"/>
    <w:rsid w:val="00BC27CB"/>
    <w:rsid w:val="00BC378F"/>
    <w:rsid w:val="00BD0069"/>
    <w:rsid w:val="00BD17AA"/>
    <w:rsid w:val="00BD199C"/>
    <w:rsid w:val="00BD2020"/>
    <w:rsid w:val="00BD290C"/>
    <w:rsid w:val="00BD415D"/>
    <w:rsid w:val="00BD64D0"/>
    <w:rsid w:val="00BD7E23"/>
    <w:rsid w:val="00BE09CB"/>
    <w:rsid w:val="00BE2E13"/>
    <w:rsid w:val="00BE6006"/>
    <w:rsid w:val="00BF05B9"/>
    <w:rsid w:val="00BF08AA"/>
    <w:rsid w:val="00BF1250"/>
    <w:rsid w:val="00BF2A67"/>
    <w:rsid w:val="00C040C7"/>
    <w:rsid w:val="00C103D5"/>
    <w:rsid w:val="00C15C82"/>
    <w:rsid w:val="00C163BE"/>
    <w:rsid w:val="00C16EE3"/>
    <w:rsid w:val="00C17264"/>
    <w:rsid w:val="00C2026D"/>
    <w:rsid w:val="00C23EEA"/>
    <w:rsid w:val="00C248CA"/>
    <w:rsid w:val="00C27118"/>
    <w:rsid w:val="00C324B6"/>
    <w:rsid w:val="00C334FB"/>
    <w:rsid w:val="00C359CF"/>
    <w:rsid w:val="00C41137"/>
    <w:rsid w:val="00C44704"/>
    <w:rsid w:val="00C47023"/>
    <w:rsid w:val="00C52A96"/>
    <w:rsid w:val="00C545B4"/>
    <w:rsid w:val="00C57346"/>
    <w:rsid w:val="00C60A0F"/>
    <w:rsid w:val="00C61BA0"/>
    <w:rsid w:val="00C6247E"/>
    <w:rsid w:val="00C668EF"/>
    <w:rsid w:val="00C67B88"/>
    <w:rsid w:val="00C7351C"/>
    <w:rsid w:val="00C73AF4"/>
    <w:rsid w:val="00C81779"/>
    <w:rsid w:val="00C85888"/>
    <w:rsid w:val="00C873F8"/>
    <w:rsid w:val="00C9063F"/>
    <w:rsid w:val="00C91F4A"/>
    <w:rsid w:val="00C94951"/>
    <w:rsid w:val="00C9513F"/>
    <w:rsid w:val="00C958BB"/>
    <w:rsid w:val="00C96450"/>
    <w:rsid w:val="00C9726A"/>
    <w:rsid w:val="00C97B88"/>
    <w:rsid w:val="00C97DA0"/>
    <w:rsid w:val="00CA58E5"/>
    <w:rsid w:val="00CB02E1"/>
    <w:rsid w:val="00CB165E"/>
    <w:rsid w:val="00CB2189"/>
    <w:rsid w:val="00CB28CA"/>
    <w:rsid w:val="00CB4D42"/>
    <w:rsid w:val="00CC139F"/>
    <w:rsid w:val="00CC568F"/>
    <w:rsid w:val="00CC6DCB"/>
    <w:rsid w:val="00CC6E90"/>
    <w:rsid w:val="00CC701A"/>
    <w:rsid w:val="00CC786B"/>
    <w:rsid w:val="00CC793F"/>
    <w:rsid w:val="00CD065B"/>
    <w:rsid w:val="00CD1FB3"/>
    <w:rsid w:val="00CD37A3"/>
    <w:rsid w:val="00CD3D42"/>
    <w:rsid w:val="00CD424F"/>
    <w:rsid w:val="00CE37AD"/>
    <w:rsid w:val="00CE4086"/>
    <w:rsid w:val="00CE5F9B"/>
    <w:rsid w:val="00CF3289"/>
    <w:rsid w:val="00CF3FE1"/>
    <w:rsid w:val="00CF5EAA"/>
    <w:rsid w:val="00CF7E6F"/>
    <w:rsid w:val="00D022D9"/>
    <w:rsid w:val="00D031C8"/>
    <w:rsid w:val="00D04992"/>
    <w:rsid w:val="00D11B01"/>
    <w:rsid w:val="00D12EB5"/>
    <w:rsid w:val="00D1420F"/>
    <w:rsid w:val="00D157E2"/>
    <w:rsid w:val="00D1651F"/>
    <w:rsid w:val="00D22A92"/>
    <w:rsid w:val="00D23AE9"/>
    <w:rsid w:val="00D24305"/>
    <w:rsid w:val="00D335B6"/>
    <w:rsid w:val="00D364EC"/>
    <w:rsid w:val="00D376BD"/>
    <w:rsid w:val="00D460B0"/>
    <w:rsid w:val="00D46B22"/>
    <w:rsid w:val="00D51AAD"/>
    <w:rsid w:val="00D566F7"/>
    <w:rsid w:val="00D57D5C"/>
    <w:rsid w:val="00D60279"/>
    <w:rsid w:val="00D60870"/>
    <w:rsid w:val="00D6245A"/>
    <w:rsid w:val="00D6461C"/>
    <w:rsid w:val="00D65D4D"/>
    <w:rsid w:val="00D80429"/>
    <w:rsid w:val="00D83017"/>
    <w:rsid w:val="00D83E43"/>
    <w:rsid w:val="00D85072"/>
    <w:rsid w:val="00D852BD"/>
    <w:rsid w:val="00D85BFB"/>
    <w:rsid w:val="00D930C7"/>
    <w:rsid w:val="00D94C32"/>
    <w:rsid w:val="00D96CFF"/>
    <w:rsid w:val="00D97FB7"/>
    <w:rsid w:val="00DA5636"/>
    <w:rsid w:val="00DB0816"/>
    <w:rsid w:val="00DB0A55"/>
    <w:rsid w:val="00DB15CD"/>
    <w:rsid w:val="00DB3EE1"/>
    <w:rsid w:val="00DB6247"/>
    <w:rsid w:val="00DC3E76"/>
    <w:rsid w:val="00DD279D"/>
    <w:rsid w:val="00DD2A19"/>
    <w:rsid w:val="00DD2C78"/>
    <w:rsid w:val="00DD457F"/>
    <w:rsid w:val="00DD72E9"/>
    <w:rsid w:val="00DD75FE"/>
    <w:rsid w:val="00DD79A1"/>
    <w:rsid w:val="00DE03CC"/>
    <w:rsid w:val="00DE173E"/>
    <w:rsid w:val="00DE5737"/>
    <w:rsid w:val="00DE68EE"/>
    <w:rsid w:val="00DE6A13"/>
    <w:rsid w:val="00DF2354"/>
    <w:rsid w:val="00DF695E"/>
    <w:rsid w:val="00E00B94"/>
    <w:rsid w:val="00E018A8"/>
    <w:rsid w:val="00E0221D"/>
    <w:rsid w:val="00E02361"/>
    <w:rsid w:val="00E046BE"/>
    <w:rsid w:val="00E0528E"/>
    <w:rsid w:val="00E05CF2"/>
    <w:rsid w:val="00E0734D"/>
    <w:rsid w:val="00E136DE"/>
    <w:rsid w:val="00E13F76"/>
    <w:rsid w:val="00E20335"/>
    <w:rsid w:val="00E22E90"/>
    <w:rsid w:val="00E2421D"/>
    <w:rsid w:val="00E24C0D"/>
    <w:rsid w:val="00E254E3"/>
    <w:rsid w:val="00E25677"/>
    <w:rsid w:val="00E26949"/>
    <w:rsid w:val="00E27500"/>
    <w:rsid w:val="00E31EC3"/>
    <w:rsid w:val="00E326A2"/>
    <w:rsid w:val="00E3377A"/>
    <w:rsid w:val="00E349D8"/>
    <w:rsid w:val="00E438FC"/>
    <w:rsid w:val="00E43CEC"/>
    <w:rsid w:val="00E46A8B"/>
    <w:rsid w:val="00E46C79"/>
    <w:rsid w:val="00E50AA5"/>
    <w:rsid w:val="00E50B27"/>
    <w:rsid w:val="00E53298"/>
    <w:rsid w:val="00E64D77"/>
    <w:rsid w:val="00E6534B"/>
    <w:rsid w:val="00E67332"/>
    <w:rsid w:val="00E71904"/>
    <w:rsid w:val="00E72540"/>
    <w:rsid w:val="00E80B98"/>
    <w:rsid w:val="00E828EC"/>
    <w:rsid w:val="00E850FD"/>
    <w:rsid w:val="00E85E00"/>
    <w:rsid w:val="00E87499"/>
    <w:rsid w:val="00E87515"/>
    <w:rsid w:val="00E90D44"/>
    <w:rsid w:val="00E917EF"/>
    <w:rsid w:val="00E9195E"/>
    <w:rsid w:val="00E91F40"/>
    <w:rsid w:val="00E948CF"/>
    <w:rsid w:val="00E979EE"/>
    <w:rsid w:val="00EA0966"/>
    <w:rsid w:val="00EA2A1C"/>
    <w:rsid w:val="00EA5AE7"/>
    <w:rsid w:val="00EA6923"/>
    <w:rsid w:val="00EB0ED6"/>
    <w:rsid w:val="00EB2816"/>
    <w:rsid w:val="00EB6AE1"/>
    <w:rsid w:val="00EC27A3"/>
    <w:rsid w:val="00EC3E12"/>
    <w:rsid w:val="00EC4E2F"/>
    <w:rsid w:val="00EC657F"/>
    <w:rsid w:val="00EC6F08"/>
    <w:rsid w:val="00ED07C8"/>
    <w:rsid w:val="00ED1E0E"/>
    <w:rsid w:val="00ED4219"/>
    <w:rsid w:val="00EE4C66"/>
    <w:rsid w:val="00EE7629"/>
    <w:rsid w:val="00EF20CC"/>
    <w:rsid w:val="00EF3266"/>
    <w:rsid w:val="00EF4CA5"/>
    <w:rsid w:val="00EF7792"/>
    <w:rsid w:val="00EF7CBA"/>
    <w:rsid w:val="00F00940"/>
    <w:rsid w:val="00F013CA"/>
    <w:rsid w:val="00F015FB"/>
    <w:rsid w:val="00F01E70"/>
    <w:rsid w:val="00F01FB3"/>
    <w:rsid w:val="00F03849"/>
    <w:rsid w:val="00F05784"/>
    <w:rsid w:val="00F05917"/>
    <w:rsid w:val="00F06B13"/>
    <w:rsid w:val="00F07636"/>
    <w:rsid w:val="00F11B51"/>
    <w:rsid w:val="00F12B00"/>
    <w:rsid w:val="00F12D6B"/>
    <w:rsid w:val="00F1477F"/>
    <w:rsid w:val="00F220D8"/>
    <w:rsid w:val="00F2248A"/>
    <w:rsid w:val="00F247D9"/>
    <w:rsid w:val="00F26DDC"/>
    <w:rsid w:val="00F308E5"/>
    <w:rsid w:val="00F315DB"/>
    <w:rsid w:val="00F33197"/>
    <w:rsid w:val="00F33B04"/>
    <w:rsid w:val="00F35ACD"/>
    <w:rsid w:val="00F367DE"/>
    <w:rsid w:val="00F37372"/>
    <w:rsid w:val="00F374FF"/>
    <w:rsid w:val="00F465C1"/>
    <w:rsid w:val="00F47BEA"/>
    <w:rsid w:val="00F500C9"/>
    <w:rsid w:val="00F55545"/>
    <w:rsid w:val="00F55EC2"/>
    <w:rsid w:val="00F63CB5"/>
    <w:rsid w:val="00F643A8"/>
    <w:rsid w:val="00F6585F"/>
    <w:rsid w:val="00F66AC9"/>
    <w:rsid w:val="00F6735F"/>
    <w:rsid w:val="00F75158"/>
    <w:rsid w:val="00F83801"/>
    <w:rsid w:val="00F85AEC"/>
    <w:rsid w:val="00F8730E"/>
    <w:rsid w:val="00FA31F0"/>
    <w:rsid w:val="00FA406E"/>
    <w:rsid w:val="00FA70DE"/>
    <w:rsid w:val="00FA726C"/>
    <w:rsid w:val="00FA74C0"/>
    <w:rsid w:val="00FB0A00"/>
    <w:rsid w:val="00FB30BA"/>
    <w:rsid w:val="00FB4573"/>
    <w:rsid w:val="00FB7EF4"/>
    <w:rsid w:val="00FC13FE"/>
    <w:rsid w:val="00FC202C"/>
    <w:rsid w:val="00FC73AF"/>
    <w:rsid w:val="00FC7F8E"/>
    <w:rsid w:val="00FD36AF"/>
    <w:rsid w:val="00FD7BAF"/>
    <w:rsid w:val="00FE261C"/>
    <w:rsid w:val="00FE275C"/>
    <w:rsid w:val="00FE2F75"/>
    <w:rsid w:val="00FE4708"/>
    <w:rsid w:val="00FE7F46"/>
    <w:rsid w:val="00FF0443"/>
    <w:rsid w:val="00FF2911"/>
    <w:rsid w:val="00FF2F50"/>
    <w:rsid w:val="00FF2F9E"/>
    <w:rsid w:val="00FF5827"/>
    <w:rsid w:val="00FF6852"/>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FF2B0"/>
  <w15:docId w15:val="{E4096582-C229-4B02-AD47-73398485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37C0D"/>
    <w:pPr>
      <w:keepNext/>
      <w:keepLines/>
      <w:spacing w:after="240" w:line="240" w:lineRule="auto"/>
      <w:outlineLvl w:val="2"/>
    </w:pPr>
    <w:rPr>
      <w:rFonts w:ascii="Times New Roman" w:eastAsiaTheme="majorEastAsia" w:hAnsi="Times New Roman" w:cstheme="majorBidi"/>
      <w:b/>
      <w:bCs/>
      <w:i/>
      <w:sz w:val="24"/>
      <w:lang w:val="en-GB" w:eastAsia="en-US"/>
    </w:rPr>
  </w:style>
  <w:style w:type="paragraph" w:styleId="Heading4">
    <w:name w:val="heading 4"/>
    <w:basedOn w:val="Normal"/>
    <w:next w:val="Normal"/>
    <w:link w:val="Heading4Char"/>
    <w:uiPriority w:val="9"/>
    <w:semiHidden/>
    <w:unhideWhenUsed/>
    <w:qFormat/>
    <w:rsid w:val="00137C0D"/>
    <w:pPr>
      <w:keepNext/>
      <w:keepLines/>
      <w:spacing w:after="240" w:line="240" w:lineRule="auto"/>
      <w:outlineLvl w:val="3"/>
    </w:pPr>
    <w:rPr>
      <w:rFonts w:ascii="Times New Roman" w:eastAsiaTheme="majorEastAsia" w:hAnsi="Times New Roman" w:cs="Times New Roman"/>
      <w:bCs/>
      <w:i/>
      <w:iCs/>
      <w:sz w:val="24"/>
      <w:szCs w:val="24"/>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BC16EA"/>
  </w:style>
  <w:style w:type="character" w:customStyle="1" w:styleId="DateChar">
    <w:name w:val="Date Char"/>
    <w:basedOn w:val="DefaultParagraphFont"/>
    <w:link w:val="Date"/>
    <w:uiPriority w:val="99"/>
    <w:semiHidden/>
    <w:rsid w:val="00BC16EA"/>
  </w:style>
  <w:style w:type="character" w:styleId="Hyperlink">
    <w:name w:val="Hyperlink"/>
    <w:basedOn w:val="DefaultParagraphFont"/>
    <w:uiPriority w:val="99"/>
    <w:unhideWhenUsed/>
    <w:rsid w:val="00BC16EA"/>
    <w:rPr>
      <w:color w:val="0563C1" w:themeColor="hyperlink"/>
      <w:u w:val="single"/>
    </w:rPr>
  </w:style>
  <w:style w:type="character" w:customStyle="1" w:styleId="UnresolvedMention1">
    <w:name w:val="Unresolved Mention1"/>
    <w:basedOn w:val="DefaultParagraphFont"/>
    <w:uiPriority w:val="99"/>
    <w:semiHidden/>
    <w:unhideWhenUsed/>
    <w:rsid w:val="00BC16EA"/>
    <w:rPr>
      <w:color w:val="808080"/>
      <w:shd w:val="clear" w:color="auto" w:fill="E6E6E6"/>
    </w:rPr>
  </w:style>
  <w:style w:type="table" w:styleId="TableGrid">
    <w:name w:val="Table Grid"/>
    <w:basedOn w:val="TableNormal"/>
    <w:uiPriority w:val="39"/>
    <w:rsid w:val="00BC1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0A55"/>
    <w:rPr>
      <w:sz w:val="16"/>
      <w:szCs w:val="16"/>
    </w:rPr>
  </w:style>
  <w:style w:type="paragraph" w:styleId="CommentText">
    <w:name w:val="annotation text"/>
    <w:basedOn w:val="Normal"/>
    <w:link w:val="CommentTextChar"/>
    <w:uiPriority w:val="99"/>
    <w:unhideWhenUsed/>
    <w:rsid w:val="000C3843"/>
    <w:pPr>
      <w:spacing w:line="240" w:lineRule="auto"/>
    </w:pPr>
    <w:rPr>
      <w:sz w:val="20"/>
      <w:szCs w:val="20"/>
    </w:rPr>
  </w:style>
  <w:style w:type="character" w:customStyle="1" w:styleId="CommentTextChar">
    <w:name w:val="Comment Text Char"/>
    <w:basedOn w:val="DefaultParagraphFont"/>
    <w:link w:val="CommentText"/>
    <w:uiPriority w:val="99"/>
    <w:rsid w:val="00DB0A55"/>
    <w:rPr>
      <w:sz w:val="20"/>
      <w:szCs w:val="20"/>
    </w:rPr>
  </w:style>
  <w:style w:type="paragraph" w:styleId="CommentSubject">
    <w:name w:val="annotation subject"/>
    <w:basedOn w:val="CommentText"/>
    <w:next w:val="CommentText"/>
    <w:link w:val="CommentSubjectChar"/>
    <w:uiPriority w:val="99"/>
    <w:semiHidden/>
    <w:unhideWhenUsed/>
    <w:rsid w:val="00DB0A55"/>
    <w:rPr>
      <w:b/>
      <w:bCs/>
    </w:rPr>
  </w:style>
  <w:style w:type="character" w:customStyle="1" w:styleId="CommentSubjectChar">
    <w:name w:val="Comment Subject Char"/>
    <w:basedOn w:val="CommentTextChar"/>
    <w:link w:val="CommentSubject"/>
    <w:uiPriority w:val="99"/>
    <w:semiHidden/>
    <w:rsid w:val="00DB0A55"/>
    <w:rPr>
      <w:b/>
      <w:bCs/>
      <w:sz w:val="20"/>
      <w:szCs w:val="20"/>
    </w:rPr>
  </w:style>
  <w:style w:type="paragraph" w:styleId="BalloonText">
    <w:name w:val="Balloon Text"/>
    <w:basedOn w:val="Normal"/>
    <w:link w:val="BalloonTextChar"/>
    <w:uiPriority w:val="99"/>
    <w:semiHidden/>
    <w:unhideWhenUsed/>
    <w:rsid w:val="00DB0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A55"/>
    <w:rPr>
      <w:rFonts w:ascii="Tahoma" w:hAnsi="Tahoma" w:cs="Tahoma"/>
      <w:sz w:val="16"/>
      <w:szCs w:val="16"/>
    </w:rPr>
  </w:style>
  <w:style w:type="paragraph" w:styleId="Revision">
    <w:name w:val="Revision"/>
    <w:hidden/>
    <w:uiPriority w:val="99"/>
    <w:semiHidden/>
    <w:rsid w:val="00017E43"/>
    <w:pPr>
      <w:spacing w:after="0" w:line="240" w:lineRule="auto"/>
    </w:pPr>
  </w:style>
  <w:style w:type="character" w:customStyle="1" w:styleId="UnresolvedMention2">
    <w:name w:val="Unresolved Mention2"/>
    <w:basedOn w:val="DefaultParagraphFont"/>
    <w:uiPriority w:val="99"/>
    <w:semiHidden/>
    <w:unhideWhenUsed/>
    <w:rsid w:val="009F5272"/>
    <w:rPr>
      <w:color w:val="605E5C"/>
      <w:shd w:val="clear" w:color="auto" w:fill="E1DFDD"/>
    </w:rPr>
  </w:style>
  <w:style w:type="paragraph" w:styleId="Header">
    <w:name w:val="header"/>
    <w:basedOn w:val="Normal"/>
    <w:link w:val="HeaderChar"/>
    <w:uiPriority w:val="99"/>
    <w:unhideWhenUsed/>
    <w:rsid w:val="00E023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361"/>
  </w:style>
  <w:style w:type="paragraph" w:styleId="Footer">
    <w:name w:val="footer"/>
    <w:basedOn w:val="Normal"/>
    <w:link w:val="FooterChar"/>
    <w:uiPriority w:val="99"/>
    <w:unhideWhenUsed/>
    <w:rsid w:val="00E02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361"/>
  </w:style>
  <w:style w:type="character" w:customStyle="1" w:styleId="Heading3Char">
    <w:name w:val="Heading 3 Char"/>
    <w:basedOn w:val="DefaultParagraphFont"/>
    <w:link w:val="Heading3"/>
    <w:uiPriority w:val="9"/>
    <w:rsid w:val="00137C0D"/>
    <w:rPr>
      <w:rFonts w:ascii="Times New Roman" w:eastAsiaTheme="majorEastAsia" w:hAnsi="Times New Roman" w:cstheme="majorBidi"/>
      <w:b/>
      <w:bCs/>
      <w:i/>
      <w:sz w:val="24"/>
      <w:lang w:val="en-GB" w:eastAsia="en-US"/>
    </w:rPr>
  </w:style>
  <w:style w:type="character" w:customStyle="1" w:styleId="Heading4Char">
    <w:name w:val="Heading 4 Char"/>
    <w:basedOn w:val="DefaultParagraphFont"/>
    <w:link w:val="Heading4"/>
    <w:uiPriority w:val="9"/>
    <w:semiHidden/>
    <w:rsid w:val="00137C0D"/>
    <w:rPr>
      <w:rFonts w:ascii="Times New Roman" w:eastAsiaTheme="majorEastAsia" w:hAnsi="Times New Roman" w:cs="Times New Roman"/>
      <w:bCs/>
      <w:i/>
      <w:iCs/>
      <w:sz w:val="24"/>
      <w:szCs w:val="24"/>
      <w:lang w:val="en-CA" w:eastAsia="en-US"/>
    </w:rPr>
  </w:style>
  <w:style w:type="character" w:customStyle="1" w:styleId="NoSpacingChar">
    <w:name w:val="No Spacing Char"/>
    <w:aliases w:val="Text Char"/>
    <w:basedOn w:val="DefaultParagraphFont"/>
    <w:link w:val="NoSpacing"/>
    <w:uiPriority w:val="1"/>
    <w:locked/>
    <w:rsid w:val="00137C0D"/>
    <w:rPr>
      <w:rFonts w:ascii="Times New Roman" w:hAnsi="Times New Roman" w:cs="Times New Roman"/>
      <w:sz w:val="24"/>
      <w:szCs w:val="24"/>
      <w:lang w:val="en-GB"/>
    </w:rPr>
  </w:style>
  <w:style w:type="paragraph" w:styleId="NoSpacing">
    <w:name w:val="No Spacing"/>
    <w:aliases w:val="Text"/>
    <w:link w:val="NoSpacingChar"/>
    <w:uiPriority w:val="1"/>
    <w:qFormat/>
    <w:rsid w:val="00137C0D"/>
    <w:pPr>
      <w:spacing w:after="0" w:line="360" w:lineRule="auto"/>
      <w:jc w:val="both"/>
    </w:pPr>
    <w:rPr>
      <w:rFonts w:ascii="Times New Roman" w:hAnsi="Times New Roman" w:cs="Times New Roman"/>
      <w:sz w:val="24"/>
      <w:szCs w:val="24"/>
      <w:lang w:val="en-GB"/>
    </w:rPr>
  </w:style>
  <w:style w:type="character" w:customStyle="1" w:styleId="UnresolvedMention3">
    <w:name w:val="Unresolved Mention3"/>
    <w:basedOn w:val="DefaultParagraphFont"/>
    <w:uiPriority w:val="99"/>
    <w:semiHidden/>
    <w:unhideWhenUsed/>
    <w:rsid w:val="00AC5F97"/>
    <w:rPr>
      <w:color w:val="605E5C"/>
      <w:shd w:val="clear" w:color="auto" w:fill="E1DFDD"/>
    </w:rPr>
  </w:style>
  <w:style w:type="paragraph" w:styleId="HTMLPreformatted">
    <w:name w:val="HTML Preformatted"/>
    <w:basedOn w:val="Normal"/>
    <w:link w:val="HTMLPreformattedChar"/>
    <w:uiPriority w:val="99"/>
    <w:semiHidden/>
    <w:unhideWhenUsed/>
    <w:rsid w:val="00DF6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l-PL" w:eastAsia="pl-PL"/>
    </w:rPr>
  </w:style>
  <w:style w:type="character" w:customStyle="1" w:styleId="HTMLPreformattedChar">
    <w:name w:val="HTML Preformatted Char"/>
    <w:basedOn w:val="DefaultParagraphFont"/>
    <w:link w:val="HTMLPreformatted"/>
    <w:uiPriority w:val="99"/>
    <w:semiHidden/>
    <w:rsid w:val="00DF695E"/>
    <w:rPr>
      <w:rFonts w:ascii="Courier New" w:eastAsia="Times New Roman" w:hAnsi="Courier New" w:cs="Courier New"/>
      <w:sz w:val="20"/>
      <w:szCs w:val="20"/>
      <w:lang w:val="pl-PL" w:eastAsia="pl-PL"/>
    </w:rPr>
  </w:style>
  <w:style w:type="character" w:customStyle="1" w:styleId="fontstyle01">
    <w:name w:val="fontstyle01"/>
    <w:basedOn w:val="DefaultParagraphFont"/>
    <w:rsid w:val="00DF695E"/>
    <w:rPr>
      <w:rFonts w:ascii="Calibri" w:hAnsi="Calibri" w:hint="default"/>
      <w:b w:val="0"/>
      <w:bCs w:val="0"/>
      <w:i w:val="0"/>
      <w:iCs w:val="0"/>
      <w:color w:val="000000"/>
      <w:sz w:val="22"/>
      <w:szCs w:val="22"/>
    </w:rPr>
  </w:style>
  <w:style w:type="character" w:customStyle="1" w:styleId="jrnl">
    <w:name w:val="jrnl"/>
    <w:basedOn w:val="DefaultParagraphFont"/>
    <w:rsid w:val="000C3843"/>
  </w:style>
  <w:style w:type="paragraph" w:customStyle="1" w:styleId="desc">
    <w:name w:val="desc"/>
    <w:basedOn w:val="Normal"/>
    <w:rsid w:val="000C384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0C384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683633"/>
    <w:rPr>
      <w:color w:val="954F72" w:themeColor="followedHyperlink"/>
      <w:u w:val="single"/>
    </w:rPr>
  </w:style>
  <w:style w:type="character" w:customStyle="1" w:styleId="UnresolvedMention4">
    <w:name w:val="Unresolved Mention4"/>
    <w:basedOn w:val="DefaultParagraphFont"/>
    <w:uiPriority w:val="99"/>
    <w:semiHidden/>
    <w:unhideWhenUsed/>
    <w:rsid w:val="00AC07D7"/>
    <w:rPr>
      <w:color w:val="605E5C"/>
      <w:shd w:val="clear" w:color="auto" w:fill="E1DFDD"/>
    </w:rPr>
  </w:style>
  <w:style w:type="character" w:styleId="LineNumber">
    <w:name w:val="line number"/>
    <w:basedOn w:val="DefaultParagraphFont"/>
    <w:uiPriority w:val="99"/>
    <w:semiHidden/>
    <w:unhideWhenUsed/>
    <w:rsid w:val="00233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48447">
      <w:bodyDiv w:val="1"/>
      <w:marLeft w:val="0"/>
      <w:marRight w:val="0"/>
      <w:marTop w:val="0"/>
      <w:marBottom w:val="0"/>
      <w:divBdr>
        <w:top w:val="none" w:sz="0" w:space="0" w:color="auto"/>
        <w:left w:val="none" w:sz="0" w:space="0" w:color="auto"/>
        <w:bottom w:val="none" w:sz="0" w:space="0" w:color="auto"/>
        <w:right w:val="none" w:sz="0" w:space="0" w:color="auto"/>
      </w:divBdr>
    </w:div>
    <w:div w:id="629554580">
      <w:bodyDiv w:val="1"/>
      <w:marLeft w:val="0"/>
      <w:marRight w:val="0"/>
      <w:marTop w:val="0"/>
      <w:marBottom w:val="0"/>
      <w:divBdr>
        <w:top w:val="none" w:sz="0" w:space="0" w:color="auto"/>
        <w:left w:val="none" w:sz="0" w:space="0" w:color="auto"/>
        <w:bottom w:val="none" w:sz="0" w:space="0" w:color="auto"/>
        <w:right w:val="none" w:sz="0" w:space="0" w:color="auto"/>
      </w:divBdr>
    </w:div>
    <w:div w:id="727529552">
      <w:bodyDiv w:val="1"/>
      <w:marLeft w:val="0"/>
      <w:marRight w:val="0"/>
      <w:marTop w:val="0"/>
      <w:marBottom w:val="0"/>
      <w:divBdr>
        <w:top w:val="none" w:sz="0" w:space="0" w:color="auto"/>
        <w:left w:val="none" w:sz="0" w:space="0" w:color="auto"/>
        <w:bottom w:val="none" w:sz="0" w:space="0" w:color="auto"/>
        <w:right w:val="none" w:sz="0" w:space="0" w:color="auto"/>
      </w:divBdr>
    </w:div>
    <w:div w:id="869803644">
      <w:bodyDiv w:val="1"/>
      <w:marLeft w:val="0"/>
      <w:marRight w:val="0"/>
      <w:marTop w:val="0"/>
      <w:marBottom w:val="0"/>
      <w:divBdr>
        <w:top w:val="none" w:sz="0" w:space="0" w:color="auto"/>
        <w:left w:val="none" w:sz="0" w:space="0" w:color="auto"/>
        <w:bottom w:val="none" w:sz="0" w:space="0" w:color="auto"/>
        <w:right w:val="none" w:sz="0" w:space="0" w:color="auto"/>
      </w:divBdr>
    </w:div>
    <w:div w:id="1211769221">
      <w:bodyDiv w:val="1"/>
      <w:marLeft w:val="0"/>
      <w:marRight w:val="0"/>
      <w:marTop w:val="0"/>
      <w:marBottom w:val="0"/>
      <w:divBdr>
        <w:top w:val="none" w:sz="0" w:space="0" w:color="auto"/>
        <w:left w:val="none" w:sz="0" w:space="0" w:color="auto"/>
        <w:bottom w:val="none" w:sz="0" w:space="0" w:color="auto"/>
        <w:right w:val="none" w:sz="0" w:space="0" w:color="auto"/>
      </w:divBdr>
    </w:div>
    <w:div w:id="1299841876">
      <w:bodyDiv w:val="1"/>
      <w:marLeft w:val="0"/>
      <w:marRight w:val="0"/>
      <w:marTop w:val="0"/>
      <w:marBottom w:val="0"/>
      <w:divBdr>
        <w:top w:val="none" w:sz="0" w:space="0" w:color="auto"/>
        <w:left w:val="none" w:sz="0" w:space="0" w:color="auto"/>
        <w:bottom w:val="none" w:sz="0" w:space="0" w:color="auto"/>
        <w:right w:val="none" w:sz="0" w:space="0" w:color="auto"/>
      </w:divBdr>
    </w:div>
    <w:div w:id="1372264283">
      <w:bodyDiv w:val="1"/>
      <w:marLeft w:val="0"/>
      <w:marRight w:val="0"/>
      <w:marTop w:val="0"/>
      <w:marBottom w:val="0"/>
      <w:divBdr>
        <w:top w:val="none" w:sz="0" w:space="0" w:color="auto"/>
        <w:left w:val="none" w:sz="0" w:space="0" w:color="auto"/>
        <w:bottom w:val="none" w:sz="0" w:space="0" w:color="auto"/>
        <w:right w:val="none" w:sz="0" w:space="0" w:color="auto"/>
      </w:divBdr>
    </w:div>
    <w:div w:id="1853957345">
      <w:bodyDiv w:val="1"/>
      <w:marLeft w:val="0"/>
      <w:marRight w:val="0"/>
      <w:marTop w:val="0"/>
      <w:marBottom w:val="0"/>
      <w:divBdr>
        <w:top w:val="none" w:sz="0" w:space="0" w:color="auto"/>
        <w:left w:val="none" w:sz="0" w:space="0" w:color="auto"/>
        <w:bottom w:val="none" w:sz="0" w:space="0" w:color="auto"/>
        <w:right w:val="none" w:sz="0" w:space="0" w:color="auto"/>
      </w:divBdr>
    </w:div>
    <w:div w:id="1869567466">
      <w:bodyDiv w:val="1"/>
      <w:marLeft w:val="0"/>
      <w:marRight w:val="0"/>
      <w:marTop w:val="0"/>
      <w:marBottom w:val="0"/>
      <w:divBdr>
        <w:top w:val="none" w:sz="0" w:space="0" w:color="auto"/>
        <w:left w:val="none" w:sz="0" w:space="0" w:color="auto"/>
        <w:bottom w:val="none" w:sz="0" w:space="0" w:color="auto"/>
        <w:right w:val="none" w:sz="0" w:space="0" w:color="auto"/>
      </w:divBdr>
    </w:div>
    <w:div w:id="1878425099">
      <w:bodyDiv w:val="1"/>
      <w:marLeft w:val="0"/>
      <w:marRight w:val="0"/>
      <w:marTop w:val="0"/>
      <w:marBottom w:val="0"/>
      <w:divBdr>
        <w:top w:val="none" w:sz="0" w:space="0" w:color="auto"/>
        <w:left w:val="none" w:sz="0" w:space="0" w:color="auto"/>
        <w:bottom w:val="none" w:sz="0" w:space="0" w:color="auto"/>
        <w:right w:val="none" w:sz="0" w:space="0" w:color="auto"/>
      </w:divBdr>
    </w:div>
    <w:div w:id="1889342010">
      <w:bodyDiv w:val="1"/>
      <w:marLeft w:val="0"/>
      <w:marRight w:val="0"/>
      <w:marTop w:val="0"/>
      <w:marBottom w:val="0"/>
      <w:divBdr>
        <w:top w:val="none" w:sz="0" w:space="0" w:color="auto"/>
        <w:left w:val="none" w:sz="0" w:space="0" w:color="auto"/>
        <w:bottom w:val="none" w:sz="0" w:space="0" w:color="auto"/>
        <w:right w:val="none" w:sz="0" w:space="0" w:color="auto"/>
      </w:divBdr>
    </w:div>
    <w:div w:id="1955019730">
      <w:bodyDiv w:val="1"/>
      <w:marLeft w:val="0"/>
      <w:marRight w:val="0"/>
      <w:marTop w:val="0"/>
      <w:marBottom w:val="0"/>
      <w:divBdr>
        <w:top w:val="none" w:sz="0" w:space="0" w:color="auto"/>
        <w:left w:val="none" w:sz="0" w:space="0" w:color="auto"/>
        <w:bottom w:val="none" w:sz="0" w:space="0" w:color="auto"/>
        <w:right w:val="none" w:sz="0" w:space="0" w:color="auto"/>
      </w:divBdr>
    </w:div>
    <w:div w:id="2003462987">
      <w:bodyDiv w:val="1"/>
      <w:marLeft w:val="0"/>
      <w:marRight w:val="0"/>
      <w:marTop w:val="0"/>
      <w:marBottom w:val="0"/>
      <w:divBdr>
        <w:top w:val="none" w:sz="0" w:space="0" w:color="auto"/>
        <w:left w:val="none" w:sz="0" w:space="0" w:color="auto"/>
        <w:bottom w:val="none" w:sz="0" w:space="0" w:color="auto"/>
        <w:right w:val="none" w:sz="0" w:space="0" w:color="auto"/>
      </w:divBdr>
    </w:div>
    <w:div w:id="209381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g-wei.chen@ucd.i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therine.phillips@ucd.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3D914-775B-431A-92E6-651D0FFE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39</Pages>
  <Words>42132</Words>
  <Characters>240153</Characters>
  <Application>Microsoft Office Word</Application>
  <DocSecurity>0</DocSecurity>
  <Lines>2001</Lines>
  <Paragraphs>563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UCD Staff ONLY!</Company>
  <LinksUpToDate>false</LinksUpToDate>
  <CharactersWithSpaces>281722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lchen</dc:creator>
  <cp:lastModifiedBy>Karen Drake</cp:lastModifiedBy>
  <cp:revision>2</cp:revision>
  <cp:lastPrinted>2019-09-18T09:14:00Z</cp:lastPrinted>
  <dcterms:created xsi:type="dcterms:W3CDTF">2021-01-05T15:53:00Z</dcterms:created>
  <dcterms:modified xsi:type="dcterms:W3CDTF">2021-01-05T15:53:00Z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http://www.zotero.org/styles/annals-of-internal-medicine</vt:lpwstr>
  </property>
  <property fmtid="{D5CDD505-2E9C-101B-9397-08002B2CF9AE}" pid="5" name="Mendeley Recent Style Name 1_1">
    <vt:lpwstr>Annals of Internal Medicine</vt:lpwstr>
  </property>
  <property fmtid="{D5CDD505-2E9C-101B-9397-08002B2CF9AE}" pid="6" name="Mendeley Recent Style Id 2_1">
    <vt:lpwstr>http://www.zotero.org/styles/bmj</vt:lpwstr>
  </property>
  <property fmtid="{D5CDD505-2E9C-101B-9397-08002B2CF9AE}" pid="7" name="Mendeley Recent Style Name 2_1">
    <vt:lpwstr>BMJ</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http://www.zotero.org/styles/elsevier-vancouver</vt:lpwstr>
  </property>
  <property fmtid="{D5CDD505-2E9C-101B-9397-08002B2CF9AE}" pid="11" name="Mendeley Recent Style Name 4_1">
    <vt:lpwstr>Elsevier - Vancouver</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http://www.zotero.org/styles/plos-medicine</vt:lpwstr>
  </property>
  <property fmtid="{D5CDD505-2E9C-101B-9397-08002B2CF9AE}" pid="15" name="Mendeley Recent Style Name 6_1">
    <vt:lpwstr>PLOS Medicine</vt:lpwstr>
  </property>
  <property fmtid="{D5CDD505-2E9C-101B-9397-08002B2CF9AE}" pid="16" name="Mendeley Recent Style Id 7_1">
    <vt:lpwstr>http://www.zotero.org/styles/sage-vancouver</vt:lpwstr>
  </property>
  <property fmtid="{D5CDD505-2E9C-101B-9397-08002B2CF9AE}" pid="17" name="Mendeley Recent Style Name 7_1">
    <vt:lpwstr>SAGE - Vancouver</vt:lpwstr>
  </property>
  <property fmtid="{D5CDD505-2E9C-101B-9397-08002B2CF9AE}" pid="18" name="Mendeley Recent Style Id 8_1">
    <vt:lpwstr>http://www.zotero.org/styles/ucl-university-college-vancouver</vt:lpwstr>
  </property>
  <property fmtid="{D5CDD505-2E9C-101B-9397-08002B2CF9AE}" pid="19" name="Mendeley Recent Style Name 8_1">
    <vt:lpwstr>UCL University College - Vancouver (English)</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b2cd1c9d-65f1-3eb6-b57e-4854692850ea</vt:lpwstr>
  </property>
  <property fmtid="{D5CDD505-2E9C-101B-9397-08002B2CF9AE}" pid="24" name="Mendeley Citation Style_1">
    <vt:lpwstr>http://www.zotero.org/styles/plos-medicine</vt:lpwstr>
  </property>
</Properties>
</file>