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5A3A0" w14:textId="16C9AEB5" w:rsidR="00F606DB" w:rsidRPr="00BB54DF" w:rsidRDefault="0045261F" w:rsidP="00BF19FB">
      <w:pPr>
        <w:rPr>
          <w:rFonts w:cs="Arial"/>
          <w:b/>
          <w:sz w:val="32"/>
          <w:szCs w:val="32"/>
        </w:rPr>
      </w:pPr>
      <w:bookmarkStart w:id="0" w:name="_Hlk56505322"/>
      <w:r w:rsidRPr="00BB54DF">
        <w:rPr>
          <w:rFonts w:cs="Arial"/>
          <w:b/>
          <w:sz w:val="32"/>
          <w:szCs w:val="32"/>
        </w:rPr>
        <w:t>S</w:t>
      </w:r>
      <w:r w:rsidR="00477EB7" w:rsidRPr="00BB54DF">
        <w:rPr>
          <w:rFonts w:cs="Arial"/>
          <w:b/>
          <w:sz w:val="32"/>
          <w:szCs w:val="32"/>
        </w:rPr>
        <w:t>afety of</w:t>
      </w:r>
      <w:r w:rsidR="00AE6ECF" w:rsidRPr="00BB54DF">
        <w:rPr>
          <w:rFonts w:cs="Arial"/>
          <w:b/>
          <w:sz w:val="32"/>
          <w:szCs w:val="32"/>
        </w:rPr>
        <w:t xml:space="preserve"> </w:t>
      </w:r>
      <w:r w:rsidR="00452B0A" w:rsidRPr="00BB54DF">
        <w:rPr>
          <w:rFonts w:cs="Arial"/>
          <w:b/>
          <w:sz w:val="32"/>
          <w:szCs w:val="32"/>
        </w:rPr>
        <w:t xml:space="preserve">oral </w:t>
      </w:r>
      <w:r w:rsidR="00477EB7" w:rsidRPr="00BB54DF">
        <w:rPr>
          <w:rFonts w:cs="Arial"/>
          <w:b/>
          <w:sz w:val="32"/>
          <w:szCs w:val="32"/>
        </w:rPr>
        <w:t>bisphosphonates in moderate-</w:t>
      </w:r>
      <w:r w:rsidRPr="00BB54DF">
        <w:rPr>
          <w:rFonts w:cs="Arial"/>
          <w:b/>
          <w:sz w:val="32"/>
          <w:szCs w:val="32"/>
        </w:rPr>
        <w:t>to-</w:t>
      </w:r>
      <w:r w:rsidR="00477EB7" w:rsidRPr="00BB54DF">
        <w:rPr>
          <w:rFonts w:cs="Arial"/>
          <w:b/>
          <w:sz w:val="32"/>
          <w:szCs w:val="32"/>
        </w:rPr>
        <w:t xml:space="preserve">severe chronic kidney disease: a bi-national cohort analysis </w:t>
      </w:r>
    </w:p>
    <w:bookmarkEnd w:id="0"/>
    <w:p w14:paraId="4CB762A0" w14:textId="77777777" w:rsidR="00C41685" w:rsidRPr="00BB54DF" w:rsidRDefault="00C41685" w:rsidP="00BF19FB">
      <w:pPr>
        <w:rPr>
          <w:rFonts w:cs="Arial"/>
          <w:u w:val="single"/>
        </w:rPr>
      </w:pPr>
    </w:p>
    <w:p w14:paraId="3E91353C" w14:textId="51BE99D5" w:rsidR="0062252E" w:rsidRPr="00BB54DF" w:rsidRDefault="00DA62C2" w:rsidP="00E33A7D">
      <w:pPr>
        <w:spacing w:line="360" w:lineRule="auto"/>
        <w:jc w:val="both"/>
        <w:rPr>
          <w:rFonts w:cs="Arial"/>
        </w:rPr>
      </w:pPr>
      <w:r w:rsidRPr="00BB54DF">
        <w:rPr>
          <w:rFonts w:cs="Arial"/>
          <w:b/>
        </w:rPr>
        <w:t>AUTHORS</w:t>
      </w:r>
    </w:p>
    <w:p w14:paraId="3CF2F1DD" w14:textId="7C77F8FD" w:rsidR="00E9662B" w:rsidRPr="00BB54DF" w:rsidRDefault="00F606DB" w:rsidP="0062252E">
      <w:pPr>
        <w:spacing w:line="276" w:lineRule="auto"/>
        <w:jc w:val="both"/>
        <w:rPr>
          <w:rFonts w:cs="Arial"/>
          <w:vertAlign w:val="superscript"/>
        </w:rPr>
      </w:pPr>
      <w:r w:rsidRPr="00BB54DF">
        <w:rPr>
          <w:rFonts w:cs="Arial"/>
        </w:rPr>
        <w:t xml:space="preserve">Danielle </w:t>
      </w:r>
      <w:r w:rsidR="00981986" w:rsidRPr="00BB54DF">
        <w:rPr>
          <w:rFonts w:cs="Arial"/>
        </w:rPr>
        <w:t xml:space="preserve">E. </w:t>
      </w:r>
      <w:r w:rsidRPr="00BB54DF">
        <w:rPr>
          <w:rFonts w:cs="Arial"/>
        </w:rPr>
        <w:t>Robinson</w:t>
      </w:r>
      <w:r w:rsidR="00477EB7" w:rsidRPr="00BB54DF">
        <w:rPr>
          <w:rFonts w:cs="Arial"/>
        </w:rPr>
        <w:t>*</w:t>
      </w:r>
      <w:r w:rsidR="00283036" w:rsidRPr="00BB54DF">
        <w:rPr>
          <w:rFonts w:cs="Arial"/>
          <w:vertAlign w:val="superscript"/>
        </w:rPr>
        <w:t>,1</w:t>
      </w:r>
      <w:r w:rsidR="005603FE" w:rsidRPr="00BB54DF">
        <w:rPr>
          <w:rFonts w:cs="Arial"/>
        </w:rPr>
        <w:t xml:space="preserve">, </w:t>
      </w:r>
      <w:r w:rsidRPr="00BB54DF">
        <w:rPr>
          <w:rFonts w:cs="Arial"/>
        </w:rPr>
        <w:t>M Sanni Ali</w:t>
      </w:r>
      <w:r w:rsidR="00477EB7" w:rsidRPr="00BB54DF">
        <w:rPr>
          <w:rFonts w:cs="Arial"/>
        </w:rPr>
        <w:t>*</w:t>
      </w:r>
      <w:r w:rsidR="00283036" w:rsidRPr="00BB54DF">
        <w:rPr>
          <w:rFonts w:cs="Arial"/>
          <w:vertAlign w:val="superscript"/>
        </w:rPr>
        <w:t>,1</w:t>
      </w:r>
      <w:r w:rsidR="00BF19FB" w:rsidRPr="00BB54DF">
        <w:rPr>
          <w:rFonts w:cs="Arial"/>
          <w:vertAlign w:val="superscript"/>
        </w:rPr>
        <w:t>-3</w:t>
      </w:r>
      <w:r w:rsidRPr="00BB54DF">
        <w:rPr>
          <w:rFonts w:cs="Arial"/>
        </w:rPr>
        <w:t xml:space="preserve">, Natalia </w:t>
      </w:r>
      <w:r w:rsidR="00477EB7" w:rsidRPr="00BB54DF">
        <w:rPr>
          <w:rFonts w:cs="Arial"/>
        </w:rPr>
        <w:t>Pallares</w:t>
      </w:r>
      <w:r w:rsidR="00BF19FB" w:rsidRPr="00BB54DF">
        <w:rPr>
          <w:rFonts w:cs="Arial"/>
          <w:vertAlign w:val="superscript"/>
        </w:rPr>
        <w:t>4</w:t>
      </w:r>
      <w:r w:rsidRPr="00BB54DF">
        <w:rPr>
          <w:rFonts w:cs="Arial"/>
        </w:rPr>
        <w:t>,</w:t>
      </w:r>
      <w:r w:rsidR="005603FE" w:rsidRPr="00BB54DF">
        <w:rPr>
          <w:rFonts w:cs="Arial"/>
        </w:rPr>
        <w:t xml:space="preserve"> </w:t>
      </w:r>
      <w:r w:rsidRPr="00BB54DF">
        <w:rPr>
          <w:rFonts w:cs="Arial"/>
        </w:rPr>
        <w:t xml:space="preserve">Cristian </w:t>
      </w:r>
      <w:r w:rsidR="00697367" w:rsidRPr="00BB54DF">
        <w:rPr>
          <w:rFonts w:cs="Arial"/>
        </w:rPr>
        <w:t>Tebé</w:t>
      </w:r>
      <w:r w:rsidR="00697367" w:rsidRPr="00BB54DF">
        <w:rPr>
          <w:rFonts w:cs="Arial"/>
          <w:vertAlign w:val="superscript"/>
        </w:rPr>
        <w:t>4</w:t>
      </w:r>
      <w:r w:rsidR="0096088A" w:rsidRPr="00BB54DF">
        <w:rPr>
          <w:rFonts w:cs="Arial"/>
          <w:vertAlign w:val="superscript"/>
        </w:rPr>
        <w:t>,</w:t>
      </w:r>
      <w:r w:rsidR="00BF19FB" w:rsidRPr="00BB54DF">
        <w:rPr>
          <w:rFonts w:cs="Arial"/>
          <w:vertAlign w:val="superscript"/>
        </w:rPr>
        <w:t>5</w:t>
      </w:r>
      <w:r w:rsidRPr="00BB54DF">
        <w:rPr>
          <w:rFonts w:cs="Arial"/>
        </w:rPr>
        <w:t>,</w:t>
      </w:r>
      <w:r w:rsidR="00017F4B" w:rsidRPr="00BB54DF">
        <w:rPr>
          <w:rFonts w:cs="Arial"/>
        </w:rPr>
        <w:t xml:space="preserve"> Leena Elhussein</w:t>
      </w:r>
      <w:r w:rsidR="00017F4B" w:rsidRPr="00BB54DF">
        <w:rPr>
          <w:rFonts w:cs="Arial"/>
          <w:vertAlign w:val="superscript"/>
        </w:rPr>
        <w:t>1</w:t>
      </w:r>
      <w:r w:rsidR="00017F4B" w:rsidRPr="00BB54DF">
        <w:rPr>
          <w:rFonts w:cs="Arial"/>
        </w:rPr>
        <w:t>,</w:t>
      </w:r>
      <w:r w:rsidRPr="00BB54DF">
        <w:rPr>
          <w:rFonts w:cs="Arial"/>
        </w:rPr>
        <w:t xml:space="preserve"> Bo Abrahamsen</w:t>
      </w:r>
      <w:r w:rsidR="00C41685" w:rsidRPr="00BB54DF">
        <w:rPr>
          <w:rFonts w:cs="Arial"/>
          <w:vertAlign w:val="superscript"/>
        </w:rPr>
        <w:t>6</w:t>
      </w:r>
      <w:r w:rsidR="00BF19FB" w:rsidRPr="00BB54DF">
        <w:rPr>
          <w:rFonts w:cs="Arial"/>
          <w:vertAlign w:val="superscript"/>
        </w:rPr>
        <w:t>-</w:t>
      </w:r>
      <w:r w:rsidR="00C6349B" w:rsidRPr="00BB54DF">
        <w:rPr>
          <w:rFonts w:cs="Arial"/>
          <w:vertAlign w:val="superscript"/>
        </w:rPr>
        <w:t>8</w:t>
      </w:r>
      <w:r w:rsidRPr="00BB54DF">
        <w:rPr>
          <w:rFonts w:cs="Arial"/>
        </w:rPr>
        <w:t>, Nigel K</w:t>
      </w:r>
      <w:r w:rsidR="007E575C" w:rsidRPr="00BB54DF">
        <w:rPr>
          <w:rFonts w:cs="Arial"/>
        </w:rPr>
        <w:t>.</w:t>
      </w:r>
      <w:r w:rsidRPr="00BB54DF">
        <w:rPr>
          <w:rFonts w:cs="Arial"/>
        </w:rPr>
        <w:t xml:space="preserve"> Arden</w:t>
      </w:r>
      <w:r w:rsidR="00C6349B" w:rsidRPr="00BB54DF">
        <w:rPr>
          <w:rFonts w:cs="Arial"/>
          <w:vertAlign w:val="superscript"/>
        </w:rPr>
        <w:t>9</w:t>
      </w:r>
      <w:r w:rsidRPr="00BB54DF">
        <w:rPr>
          <w:rFonts w:cs="Arial"/>
        </w:rPr>
        <w:t>, Yoav Ben-Shlomo</w:t>
      </w:r>
      <w:r w:rsidR="00BF19FB" w:rsidRPr="00BB54DF">
        <w:rPr>
          <w:rFonts w:cs="Arial"/>
          <w:vertAlign w:val="superscript"/>
        </w:rPr>
        <w:t>1</w:t>
      </w:r>
      <w:r w:rsidR="00C6349B" w:rsidRPr="00BB54DF">
        <w:rPr>
          <w:rFonts w:cs="Arial"/>
          <w:vertAlign w:val="superscript"/>
        </w:rPr>
        <w:t>0</w:t>
      </w:r>
      <w:r w:rsidRPr="00BB54DF">
        <w:rPr>
          <w:rFonts w:cs="Arial"/>
        </w:rPr>
        <w:t>, Fergus</w:t>
      </w:r>
      <w:r w:rsidR="006506A1" w:rsidRPr="00BB54DF">
        <w:rPr>
          <w:rFonts w:cs="Arial"/>
        </w:rPr>
        <w:t xml:space="preserve"> J</w:t>
      </w:r>
      <w:r w:rsidRPr="00BB54DF">
        <w:rPr>
          <w:rFonts w:cs="Arial"/>
        </w:rPr>
        <w:t xml:space="preserve"> Caskey</w:t>
      </w:r>
      <w:r w:rsidR="00BF19FB" w:rsidRPr="00BB54DF">
        <w:rPr>
          <w:rFonts w:cs="Arial"/>
          <w:vertAlign w:val="superscript"/>
        </w:rPr>
        <w:t>1</w:t>
      </w:r>
      <w:r w:rsidR="00C6349B" w:rsidRPr="00BB54DF">
        <w:rPr>
          <w:rFonts w:cs="Arial"/>
          <w:vertAlign w:val="superscript"/>
        </w:rPr>
        <w:t>0</w:t>
      </w:r>
      <w:r w:rsidR="00BF19FB" w:rsidRPr="00BB54DF">
        <w:rPr>
          <w:rFonts w:cs="Arial"/>
          <w:vertAlign w:val="superscript"/>
        </w:rPr>
        <w:t>,1</w:t>
      </w:r>
      <w:r w:rsidR="00C6349B" w:rsidRPr="00BB54DF">
        <w:rPr>
          <w:rFonts w:cs="Arial"/>
          <w:vertAlign w:val="superscript"/>
        </w:rPr>
        <w:t>1</w:t>
      </w:r>
      <w:r w:rsidRPr="00BB54DF">
        <w:rPr>
          <w:rFonts w:cs="Arial"/>
        </w:rPr>
        <w:t xml:space="preserve">, </w:t>
      </w:r>
      <w:r w:rsidR="00D13658" w:rsidRPr="00BB54DF">
        <w:rPr>
          <w:rFonts w:cs="Arial"/>
        </w:rPr>
        <w:t>Cyrus Cooper</w:t>
      </w:r>
      <w:r w:rsidR="00BF19FB" w:rsidRPr="00BB54DF">
        <w:rPr>
          <w:rFonts w:cs="Arial"/>
          <w:vertAlign w:val="superscript"/>
        </w:rPr>
        <w:t>6,1</w:t>
      </w:r>
      <w:r w:rsidR="00C6349B" w:rsidRPr="00BB54DF">
        <w:rPr>
          <w:rFonts w:cs="Arial"/>
          <w:vertAlign w:val="superscript"/>
        </w:rPr>
        <w:t>2</w:t>
      </w:r>
      <w:r w:rsidR="00D13658" w:rsidRPr="00BB54DF">
        <w:rPr>
          <w:rFonts w:cs="Arial"/>
        </w:rPr>
        <w:t>,</w:t>
      </w:r>
      <w:r w:rsidR="005603FE" w:rsidRPr="00BB54DF">
        <w:rPr>
          <w:rFonts w:cs="Arial"/>
        </w:rPr>
        <w:t xml:space="preserve"> </w:t>
      </w:r>
      <w:r w:rsidRPr="00BB54DF">
        <w:rPr>
          <w:rFonts w:cs="Arial"/>
        </w:rPr>
        <w:t>Daniel Dedman</w:t>
      </w:r>
      <w:r w:rsidR="00BF19FB" w:rsidRPr="00BB54DF">
        <w:rPr>
          <w:rFonts w:cs="Arial"/>
          <w:vertAlign w:val="superscript"/>
        </w:rPr>
        <w:t>1</w:t>
      </w:r>
      <w:r w:rsidR="00C6349B" w:rsidRPr="00BB54DF">
        <w:rPr>
          <w:rFonts w:cs="Arial"/>
          <w:vertAlign w:val="superscript"/>
        </w:rPr>
        <w:t>3</w:t>
      </w:r>
      <w:r w:rsidRPr="00BB54DF">
        <w:rPr>
          <w:rFonts w:cs="Arial"/>
        </w:rPr>
        <w:t xml:space="preserve">, </w:t>
      </w:r>
      <w:bookmarkStart w:id="1" w:name="_GoBack"/>
      <w:r w:rsidRPr="00BB54DF">
        <w:rPr>
          <w:rFonts w:cs="Arial"/>
        </w:rPr>
        <w:t>Antonella Delmestri</w:t>
      </w:r>
      <w:bookmarkEnd w:id="1"/>
      <w:r w:rsidR="00BF19FB" w:rsidRPr="00BB54DF">
        <w:rPr>
          <w:rFonts w:cs="Arial"/>
          <w:vertAlign w:val="superscript"/>
        </w:rPr>
        <w:t>1</w:t>
      </w:r>
      <w:r w:rsidRPr="00BB54DF">
        <w:rPr>
          <w:rFonts w:cs="Arial"/>
        </w:rPr>
        <w:t>, Andrew Judge</w:t>
      </w:r>
      <w:r w:rsidR="00BF19FB" w:rsidRPr="00BB54DF">
        <w:rPr>
          <w:rFonts w:cs="Arial"/>
          <w:vertAlign w:val="superscript"/>
        </w:rPr>
        <w:t>1</w:t>
      </w:r>
      <w:r w:rsidR="007E575C" w:rsidRPr="00BB54DF">
        <w:rPr>
          <w:rFonts w:cs="Arial"/>
          <w:vertAlign w:val="superscript"/>
        </w:rPr>
        <w:t>,1</w:t>
      </w:r>
      <w:r w:rsidR="00C6349B" w:rsidRPr="00BB54DF">
        <w:rPr>
          <w:rFonts w:cs="Arial"/>
          <w:vertAlign w:val="superscript"/>
        </w:rPr>
        <w:t>2</w:t>
      </w:r>
      <w:r w:rsidR="007E575C" w:rsidRPr="00BB54DF">
        <w:rPr>
          <w:rFonts w:cs="Arial"/>
          <w:vertAlign w:val="superscript"/>
        </w:rPr>
        <w:t>,1</w:t>
      </w:r>
      <w:r w:rsidR="00C6349B" w:rsidRPr="00BB54DF">
        <w:rPr>
          <w:rFonts w:cs="Arial"/>
          <w:vertAlign w:val="superscript"/>
        </w:rPr>
        <w:t>4</w:t>
      </w:r>
      <w:r w:rsidRPr="00BB54DF">
        <w:rPr>
          <w:rFonts w:cs="Arial"/>
        </w:rPr>
        <w:t xml:space="preserve">, </w:t>
      </w:r>
      <w:r w:rsidR="00CC773B" w:rsidRPr="00BB54DF">
        <w:rPr>
          <w:rFonts w:cs="Arial"/>
        </w:rPr>
        <w:t>María José Pérez-Sáez</w:t>
      </w:r>
      <w:r w:rsidR="00BF19FB" w:rsidRPr="00BB54DF">
        <w:rPr>
          <w:rFonts w:cs="Arial"/>
          <w:vertAlign w:val="superscript"/>
        </w:rPr>
        <w:t>1</w:t>
      </w:r>
      <w:r w:rsidR="00C6349B" w:rsidRPr="00BB54DF">
        <w:rPr>
          <w:rFonts w:cs="Arial"/>
          <w:vertAlign w:val="superscript"/>
        </w:rPr>
        <w:t>5</w:t>
      </w:r>
      <w:r w:rsidR="00477EB7" w:rsidRPr="00BB54DF">
        <w:rPr>
          <w:rFonts w:cs="Arial"/>
        </w:rPr>
        <w:t>, J</w:t>
      </w:r>
      <w:r w:rsidR="00D13658" w:rsidRPr="00BB54DF">
        <w:rPr>
          <w:rFonts w:cs="Arial"/>
        </w:rPr>
        <w:t>ulio</w:t>
      </w:r>
      <w:r w:rsidR="00477EB7" w:rsidRPr="00BB54DF">
        <w:rPr>
          <w:rFonts w:cs="Arial"/>
        </w:rPr>
        <w:t xml:space="preserve"> </w:t>
      </w:r>
      <w:r w:rsidR="00BF19FB" w:rsidRPr="00BB54DF">
        <w:rPr>
          <w:rFonts w:cs="Arial"/>
        </w:rPr>
        <w:t>Pascual</w:t>
      </w:r>
      <w:r w:rsidR="00BF19FB" w:rsidRPr="00BB54DF">
        <w:rPr>
          <w:rFonts w:cs="Arial"/>
          <w:vertAlign w:val="superscript"/>
        </w:rPr>
        <w:t>1</w:t>
      </w:r>
      <w:r w:rsidR="00C6349B" w:rsidRPr="00BB54DF">
        <w:rPr>
          <w:rFonts w:cs="Arial"/>
          <w:vertAlign w:val="superscript"/>
        </w:rPr>
        <w:t>5</w:t>
      </w:r>
      <w:r w:rsidR="00477EB7" w:rsidRPr="00BB54DF">
        <w:rPr>
          <w:rFonts w:cs="Arial"/>
        </w:rPr>
        <w:t>, X</w:t>
      </w:r>
      <w:r w:rsidR="00D13658" w:rsidRPr="00BB54DF">
        <w:rPr>
          <w:rFonts w:cs="Arial"/>
        </w:rPr>
        <w:t>avier</w:t>
      </w:r>
      <w:r w:rsidR="00477EB7" w:rsidRPr="00BB54DF">
        <w:rPr>
          <w:rFonts w:cs="Arial"/>
        </w:rPr>
        <w:t xml:space="preserve"> Nogues</w:t>
      </w:r>
      <w:r w:rsidR="00BF19FB" w:rsidRPr="00BB54DF">
        <w:rPr>
          <w:rFonts w:cs="Arial"/>
          <w:vertAlign w:val="superscript"/>
        </w:rPr>
        <w:t>1</w:t>
      </w:r>
      <w:r w:rsidR="00C6349B" w:rsidRPr="00BB54DF">
        <w:rPr>
          <w:rFonts w:cs="Arial"/>
          <w:vertAlign w:val="superscript"/>
        </w:rPr>
        <w:t>6</w:t>
      </w:r>
      <w:r w:rsidR="00893C2A" w:rsidRPr="00BB54DF">
        <w:rPr>
          <w:rFonts w:cs="Arial"/>
          <w:vertAlign w:val="superscript"/>
        </w:rPr>
        <w:t>,1</w:t>
      </w:r>
      <w:r w:rsidR="00C6349B" w:rsidRPr="00BB54DF">
        <w:rPr>
          <w:rFonts w:cs="Arial"/>
          <w:vertAlign w:val="superscript"/>
        </w:rPr>
        <w:t>7</w:t>
      </w:r>
      <w:r w:rsidR="00477EB7" w:rsidRPr="00BB54DF">
        <w:rPr>
          <w:rFonts w:cs="Arial"/>
        </w:rPr>
        <w:t>,</w:t>
      </w:r>
      <w:r w:rsidR="005603FE" w:rsidRPr="00BB54DF">
        <w:rPr>
          <w:rFonts w:cs="Arial"/>
        </w:rPr>
        <w:t xml:space="preserve"> </w:t>
      </w:r>
      <w:r w:rsidR="00D13658" w:rsidRPr="00BB54DF">
        <w:rPr>
          <w:rFonts w:cs="Arial"/>
        </w:rPr>
        <w:t>Adolfo Diez</w:t>
      </w:r>
      <w:r w:rsidR="006116B5" w:rsidRPr="00BB54DF">
        <w:rPr>
          <w:rFonts w:cs="Arial"/>
        </w:rPr>
        <w:t>-Perez</w:t>
      </w:r>
      <w:r w:rsidR="00BF19FB" w:rsidRPr="00BB54DF">
        <w:rPr>
          <w:rFonts w:cs="Arial"/>
          <w:vertAlign w:val="superscript"/>
        </w:rPr>
        <w:t>1</w:t>
      </w:r>
      <w:r w:rsidR="00C6349B" w:rsidRPr="00BB54DF">
        <w:rPr>
          <w:rFonts w:cs="Arial"/>
          <w:vertAlign w:val="superscript"/>
        </w:rPr>
        <w:t>6</w:t>
      </w:r>
      <w:r w:rsidR="006116B5" w:rsidRPr="00BB54DF">
        <w:rPr>
          <w:rFonts w:cs="Arial"/>
        </w:rPr>
        <w:t>,</w:t>
      </w:r>
      <w:r w:rsidR="005603FE" w:rsidRPr="00BB54DF">
        <w:rPr>
          <w:rFonts w:cs="Arial"/>
        </w:rPr>
        <w:t xml:space="preserve"> </w:t>
      </w:r>
      <w:r w:rsidRPr="00BB54DF">
        <w:rPr>
          <w:rFonts w:cs="Arial"/>
        </w:rPr>
        <w:t>Victoria</w:t>
      </w:r>
      <w:r w:rsidR="00981986" w:rsidRPr="00BB54DF">
        <w:rPr>
          <w:rFonts w:cs="Arial"/>
        </w:rPr>
        <w:t xml:space="preserve"> Y.</w:t>
      </w:r>
      <w:r w:rsidRPr="00BB54DF">
        <w:rPr>
          <w:rFonts w:cs="Arial"/>
        </w:rPr>
        <w:t xml:space="preserve"> Strauss</w:t>
      </w:r>
      <w:r w:rsidR="00477EB7" w:rsidRPr="00BB54DF">
        <w:rPr>
          <w:rFonts w:cs="Arial"/>
          <w:vertAlign w:val="superscript"/>
        </w:rPr>
        <w:t>¶</w:t>
      </w:r>
      <w:r w:rsidR="00283036" w:rsidRPr="00BB54DF">
        <w:rPr>
          <w:rFonts w:cs="Arial"/>
          <w:vertAlign w:val="superscript"/>
        </w:rPr>
        <w:t>,1</w:t>
      </w:r>
      <w:r w:rsidRPr="00BB54DF">
        <w:rPr>
          <w:rFonts w:cs="Arial"/>
        </w:rPr>
        <w:t>,</w:t>
      </w:r>
      <w:r w:rsidR="005603FE" w:rsidRPr="00BB54DF">
        <w:rPr>
          <w:rFonts w:cs="Arial"/>
        </w:rPr>
        <w:t xml:space="preserve"> </w:t>
      </w:r>
      <w:r w:rsidR="00477EB7" w:rsidRPr="00BB54DF">
        <w:rPr>
          <w:rFonts w:cs="Arial"/>
        </w:rPr>
        <w:t>M</w:t>
      </w:r>
      <w:r w:rsidR="007E575C" w:rsidRPr="00BB54DF">
        <w:rPr>
          <w:rFonts w:cs="Arial"/>
        </w:rPr>
        <w:t>.</w:t>
      </w:r>
      <w:r w:rsidR="00477EB7" w:rsidRPr="00BB54DF">
        <w:rPr>
          <w:rFonts w:cs="Arial"/>
        </w:rPr>
        <w:t xml:space="preserve"> Kassim Javaid**</w:t>
      </w:r>
      <w:r w:rsidR="006D4774" w:rsidRPr="00BB54DF">
        <w:rPr>
          <w:rFonts w:cs="Arial"/>
          <w:vertAlign w:val="superscript"/>
        </w:rPr>
        <w:t>,6</w:t>
      </w:r>
      <w:r w:rsidR="00477EB7" w:rsidRPr="00BB54DF">
        <w:rPr>
          <w:rFonts w:cs="Arial"/>
        </w:rPr>
        <w:t>,</w:t>
      </w:r>
      <w:r w:rsidRPr="00BB54DF">
        <w:rPr>
          <w:rFonts w:cs="Arial"/>
        </w:rPr>
        <w:t xml:space="preserve"> Daniel Prieto-Alhambra</w:t>
      </w:r>
      <w:r w:rsidR="00C6172A" w:rsidRPr="00BB54DF">
        <w:rPr>
          <w:rFonts w:cs="Arial"/>
        </w:rPr>
        <w:t>*</w:t>
      </w:r>
      <w:r w:rsidR="00477EB7" w:rsidRPr="00BB54DF">
        <w:rPr>
          <w:rFonts w:cs="Arial"/>
        </w:rPr>
        <w:t>*</w:t>
      </w:r>
      <w:r w:rsidR="00283036" w:rsidRPr="00BB54DF">
        <w:rPr>
          <w:rFonts w:cs="Arial"/>
          <w:vertAlign w:val="superscript"/>
        </w:rPr>
        <w:t>,1</w:t>
      </w:r>
      <w:r w:rsidR="006D4774" w:rsidRPr="00BB54DF">
        <w:rPr>
          <w:rFonts w:cs="Arial"/>
          <w:vertAlign w:val="superscript"/>
        </w:rPr>
        <w:t>,1</w:t>
      </w:r>
      <w:r w:rsidR="00C6349B" w:rsidRPr="00BB54DF">
        <w:rPr>
          <w:rFonts w:cs="Arial"/>
          <w:vertAlign w:val="superscript"/>
        </w:rPr>
        <w:t>8</w:t>
      </w:r>
    </w:p>
    <w:p w14:paraId="4F3582BA" w14:textId="77777777" w:rsidR="00477EB7" w:rsidRPr="00BB54DF" w:rsidRDefault="00477EB7" w:rsidP="00E33A7D">
      <w:pPr>
        <w:spacing w:line="360" w:lineRule="auto"/>
        <w:jc w:val="both"/>
        <w:rPr>
          <w:rFonts w:cs="Arial"/>
        </w:rPr>
      </w:pPr>
      <w:r w:rsidRPr="00BB54DF">
        <w:rPr>
          <w:rFonts w:cs="Arial"/>
        </w:rPr>
        <w:t>* Joint first authors</w:t>
      </w:r>
    </w:p>
    <w:p w14:paraId="52E4F26F" w14:textId="77777777" w:rsidR="00283036" w:rsidRPr="00BB54DF" w:rsidRDefault="00477EB7" w:rsidP="00283036">
      <w:pPr>
        <w:spacing w:line="360" w:lineRule="auto"/>
        <w:jc w:val="both"/>
        <w:rPr>
          <w:rFonts w:cs="Arial"/>
        </w:rPr>
      </w:pPr>
      <w:r w:rsidRPr="00BB54DF">
        <w:rPr>
          <w:rFonts w:cs="Arial"/>
        </w:rPr>
        <w:t>** Joint senior authors</w:t>
      </w:r>
    </w:p>
    <w:p w14:paraId="34357680" w14:textId="7F1F42F1" w:rsidR="00283036" w:rsidRPr="00BB54DF" w:rsidRDefault="00DA62C2" w:rsidP="00605BDA">
      <w:pPr>
        <w:spacing w:line="360" w:lineRule="auto"/>
        <w:jc w:val="both"/>
        <w:outlineLvl w:val="0"/>
        <w:rPr>
          <w:rFonts w:cs="Arial"/>
          <w:b/>
        </w:rPr>
      </w:pPr>
      <w:r w:rsidRPr="00BB54DF">
        <w:rPr>
          <w:rFonts w:cs="Arial"/>
          <w:b/>
        </w:rPr>
        <w:t>AFFILIATIONS</w:t>
      </w:r>
    </w:p>
    <w:p w14:paraId="020FCEBE" w14:textId="42B6C36E" w:rsidR="00283036" w:rsidRPr="00BB54DF" w:rsidRDefault="00283036" w:rsidP="00C41685">
      <w:pPr>
        <w:pStyle w:val="ListParagraph"/>
        <w:numPr>
          <w:ilvl w:val="0"/>
          <w:numId w:val="7"/>
        </w:numPr>
        <w:rPr>
          <w:rFonts w:cs="Arial"/>
        </w:rPr>
      </w:pPr>
      <w:r w:rsidRPr="00BB54DF">
        <w:rPr>
          <w:rFonts w:cs="Arial"/>
        </w:rPr>
        <w:t xml:space="preserve">Centre for Statistics in Medicine, </w:t>
      </w:r>
      <w:r w:rsidR="00A55A47" w:rsidRPr="00BB54DF">
        <w:rPr>
          <w:rFonts w:cs="Arial"/>
        </w:rPr>
        <w:t>Nuffield Department of Orthopaedics, Rheumatology and Musculoskeletal Sciences (NDORMS)</w:t>
      </w:r>
      <w:r w:rsidRPr="00BB54DF">
        <w:rPr>
          <w:rFonts w:cs="Arial"/>
        </w:rPr>
        <w:t>, Windmill Road, University of Oxford, Oxford, UK</w:t>
      </w:r>
    </w:p>
    <w:p w14:paraId="15ACAE2A" w14:textId="09B3984E" w:rsidR="00BF19FB" w:rsidRPr="00BB54DF" w:rsidRDefault="00BF19FB" w:rsidP="00C41685">
      <w:pPr>
        <w:pStyle w:val="ListParagraph"/>
        <w:numPr>
          <w:ilvl w:val="0"/>
          <w:numId w:val="7"/>
        </w:numPr>
        <w:spacing w:before="7"/>
        <w:ind w:right="1640"/>
        <w:rPr>
          <w:rFonts w:cs="Arial"/>
        </w:rPr>
      </w:pPr>
      <w:r w:rsidRPr="00BB54DF">
        <w:rPr>
          <w:rFonts w:cs="Arial"/>
        </w:rPr>
        <w:t>Faculty</w:t>
      </w:r>
      <w:r w:rsidRPr="00BB54DF">
        <w:rPr>
          <w:rFonts w:cs="Arial"/>
          <w:spacing w:val="-16"/>
        </w:rPr>
        <w:t xml:space="preserve"> </w:t>
      </w:r>
      <w:r w:rsidRPr="00BB54DF">
        <w:rPr>
          <w:rFonts w:cs="Arial"/>
        </w:rPr>
        <w:t>of</w:t>
      </w:r>
      <w:r w:rsidRPr="00BB54DF">
        <w:rPr>
          <w:rFonts w:cs="Arial"/>
          <w:spacing w:val="-15"/>
        </w:rPr>
        <w:t xml:space="preserve"> </w:t>
      </w:r>
      <w:r w:rsidRPr="00BB54DF">
        <w:rPr>
          <w:rFonts w:cs="Arial"/>
        </w:rPr>
        <w:t>Epidemiology</w:t>
      </w:r>
      <w:r w:rsidRPr="00BB54DF">
        <w:rPr>
          <w:rFonts w:cs="Arial"/>
          <w:spacing w:val="-15"/>
        </w:rPr>
        <w:t xml:space="preserve"> </w:t>
      </w:r>
      <w:r w:rsidRPr="00BB54DF">
        <w:rPr>
          <w:rFonts w:cs="Arial"/>
        </w:rPr>
        <w:t>and</w:t>
      </w:r>
      <w:r w:rsidRPr="00BB54DF">
        <w:rPr>
          <w:rFonts w:cs="Arial"/>
          <w:spacing w:val="-16"/>
        </w:rPr>
        <w:t xml:space="preserve"> </w:t>
      </w:r>
      <w:r w:rsidRPr="00BB54DF">
        <w:rPr>
          <w:rFonts w:cs="Arial"/>
        </w:rPr>
        <w:t>Population</w:t>
      </w:r>
      <w:r w:rsidRPr="00BB54DF">
        <w:rPr>
          <w:rFonts w:cs="Arial"/>
          <w:spacing w:val="-15"/>
        </w:rPr>
        <w:t xml:space="preserve"> </w:t>
      </w:r>
      <w:r w:rsidRPr="00BB54DF">
        <w:rPr>
          <w:rFonts w:cs="Arial"/>
        </w:rPr>
        <w:t>Health,</w:t>
      </w:r>
      <w:r w:rsidRPr="00BB54DF">
        <w:rPr>
          <w:rFonts w:cs="Arial"/>
          <w:spacing w:val="-15"/>
        </w:rPr>
        <w:t xml:space="preserve"> </w:t>
      </w:r>
      <w:r w:rsidRPr="00BB54DF">
        <w:rPr>
          <w:rFonts w:cs="Arial"/>
        </w:rPr>
        <w:t>Department</w:t>
      </w:r>
      <w:r w:rsidRPr="00BB54DF">
        <w:rPr>
          <w:rFonts w:cs="Arial"/>
          <w:spacing w:val="-16"/>
        </w:rPr>
        <w:t xml:space="preserve"> </w:t>
      </w:r>
      <w:r w:rsidRPr="00BB54DF">
        <w:rPr>
          <w:rFonts w:cs="Arial"/>
        </w:rPr>
        <w:t>of</w:t>
      </w:r>
      <w:r w:rsidRPr="00BB54DF">
        <w:rPr>
          <w:rFonts w:cs="Arial"/>
          <w:spacing w:val="-15"/>
        </w:rPr>
        <w:t xml:space="preserve"> </w:t>
      </w:r>
      <w:r w:rsidR="00C41685" w:rsidRPr="00BB54DF">
        <w:rPr>
          <w:rFonts w:cs="Arial"/>
          <w:spacing w:val="-15"/>
        </w:rPr>
        <w:t>No</w:t>
      </w:r>
      <w:r w:rsidRPr="00BB54DF">
        <w:rPr>
          <w:rFonts w:cs="Arial"/>
        </w:rPr>
        <w:t>n-communicable Disease</w:t>
      </w:r>
      <w:r w:rsidR="00C41685" w:rsidRPr="00BB54DF">
        <w:rPr>
          <w:rFonts w:cs="Arial"/>
        </w:rPr>
        <w:t xml:space="preserve"> Epidemiology, London School of </w:t>
      </w:r>
      <w:r w:rsidRPr="00BB54DF">
        <w:rPr>
          <w:rFonts w:cs="Arial"/>
        </w:rPr>
        <w:t xml:space="preserve">Hygiene and </w:t>
      </w:r>
      <w:r w:rsidRPr="00BB54DF">
        <w:rPr>
          <w:rFonts w:cs="Arial"/>
          <w:spacing w:val="-4"/>
        </w:rPr>
        <w:t xml:space="preserve">Tropical </w:t>
      </w:r>
      <w:r w:rsidRPr="00BB54DF">
        <w:rPr>
          <w:rFonts w:cs="Arial"/>
        </w:rPr>
        <w:t>Medicine, London, UK.</w:t>
      </w:r>
    </w:p>
    <w:p w14:paraId="0DAF05AA" w14:textId="795D9AC7" w:rsidR="00BF19FB" w:rsidRPr="00BB54DF" w:rsidRDefault="00BF19FB" w:rsidP="00C41685">
      <w:pPr>
        <w:pStyle w:val="ListParagraph"/>
        <w:numPr>
          <w:ilvl w:val="0"/>
          <w:numId w:val="7"/>
        </w:numPr>
        <w:rPr>
          <w:rFonts w:cs="Arial"/>
        </w:rPr>
      </w:pPr>
      <w:r w:rsidRPr="00BB54DF">
        <w:rPr>
          <w:rFonts w:cs="Arial"/>
        </w:rPr>
        <w:t>Department of Public Health, Saint Paul Hospital Millennium Medical College, Addis Ababa, Ethiopia.</w:t>
      </w:r>
    </w:p>
    <w:p w14:paraId="337AF204" w14:textId="77777777" w:rsidR="00076CE6" w:rsidRPr="00BB54DF" w:rsidRDefault="00076CE6" w:rsidP="00C41685">
      <w:pPr>
        <w:pStyle w:val="ListParagraph"/>
        <w:numPr>
          <w:ilvl w:val="0"/>
          <w:numId w:val="7"/>
        </w:numPr>
        <w:rPr>
          <w:rFonts w:cs="Arial"/>
        </w:rPr>
      </w:pPr>
      <w:r w:rsidRPr="00BB54DF">
        <w:rPr>
          <w:rFonts w:cs="Arial"/>
        </w:rPr>
        <w:t xml:space="preserve">Biostatistics Unit, </w:t>
      </w:r>
      <w:proofErr w:type="spellStart"/>
      <w:r w:rsidRPr="00BB54DF">
        <w:rPr>
          <w:rFonts w:cs="Arial"/>
        </w:rPr>
        <w:t>Bellvitge</w:t>
      </w:r>
      <w:proofErr w:type="spellEnd"/>
      <w:r w:rsidRPr="00BB54DF">
        <w:rPr>
          <w:rFonts w:cs="Arial"/>
        </w:rPr>
        <w:t xml:space="preserve"> Biomedical Research Institute (IDIBELL) </w:t>
      </w:r>
      <w:proofErr w:type="spellStart"/>
      <w:r w:rsidRPr="00BB54DF">
        <w:rPr>
          <w:rFonts w:cs="Arial"/>
        </w:rPr>
        <w:t>L'Hospitalet</w:t>
      </w:r>
      <w:proofErr w:type="spellEnd"/>
      <w:r w:rsidRPr="00BB54DF">
        <w:rPr>
          <w:rFonts w:cs="Arial"/>
        </w:rPr>
        <w:t xml:space="preserve"> de </w:t>
      </w:r>
      <w:proofErr w:type="spellStart"/>
      <w:r w:rsidRPr="00BB54DF">
        <w:rPr>
          <w:rFonts w:cs="Arial"/>
        </w:rPr>
        <w:t>Llobregat</w:t>
      </w:r>
      <w:proofErr w:type="spellEnd"/>
      <w:r w:rsidRPr="00BB54DF">
        <w:rPr>
          <w:rFonts w:cs="Arial"/>
        </w:rPr>
        <w:t>, 08907 Barcelona, Spain</w:t>
      </w:r>
    </w:p>
    <w:p w14:paraId="3D0D5302" w14:textId="4705183D" w:rsidR="00BF19FB" w:rsidRPr="00BB54DF" w:rsidRDefault="00076CE6" w:rsidP="00C41685">
      <w:pPr>
        <w:pStyle w:val="ListParagraph"/>
        <w:numPr>
          <w:ilvl w:val="0"/>
          <w:numId w:val="7"/>
        </w:numPr>
        <w:rPr>
          <w:rFonts w:cs="Arial"/>
        </w:rPr>
      </w:pPr>
      <w:r w:rsidRPr="00BB54DF">
        <w:rPr>
          <w:rFonts w:cs="Arial"/>
        </w:rPr>
        <w:t>Basic Medical Sciences</w:t>
      </w:r>
      <w:r w:rsidR="009354BA" w:rsidRPr="00BB54DF">
        <w:rPr>
          <w:rFonts w:cs="Arial"/>
        </w:rPr>
        <w:t xml:space="preserve"> Department</w:t>
      </w:r>
      <w:r w:rsidR="00C41685" w:rsidRPr="00BB54DF">
        <w:rPr>
          <w:rFonts w:cs="Arial"/>
        </w:rPr>
        <w:t>,</w:t>
      </w:r>
      <w:r w:rsidRPr="00BB54DF">
        <w:rPr>
          <w:rFonts w:cs="Arial"/>
        </w:rPr>
        <w:t xml:space="preserve"> </w:t>
      </w:r>
      <w:proofErr w:type="spellStart"/>
      <w:r w:rsidRPr="00BB54DF">
        <w:rPr>
          <w:rFonts w:cs="Arial"/>
        </w:rPr>
        <w:t>Rovira</w:t>
      </w:r>
      <w:proofErr w:type="spellEnd"/>
      <w:r w:rsidRPr="00BB54DF">
        <w:rPr>
          <w:rFonts w:cs="Arial"/>
        </w:rPr>
        <w:t xml:space="preserve"> </w:t>
      </w:r>
      <w:proofErr w:type="spellStart"/>
      <w:r w:rsidRPr="00BB54DF">
        <w:rPr>
          <w:rFonts w:cs="Arial"/>
        </w:rPr>
        <w:t>Virg</w:t>
      </w:r>
      <w:r w:rsidR="009354BA" w:rsidRPr="00BB54DF">
        <w:rPr>
          <w:rFonts w:cs="Arial"/>
        </w:rPr>
        <w:t>ili</w:t>
      </w:r>
      <w:proofErr w:type="spellEnd"/>
      <w:r w:rsidR="009354BA" w:rsidRPr="00BB54DF">
        <w:rPr>
          <w:rFonts w:cs="Arial"/>
        </w:rPr>
        <w:t xml:space="preserve"> University, Reus, Tarragona, Spain</w:t>
      </w:r>
    </w:p>
    <w:p w14:paraId="43363B6F" w14:textId="77777777" w:rsidR="00BF19FB" w:rsidRPr="00BB54DF" w:rsidRDefault="00BF19FB" w:rsidP="00C41685">
      <w:pPr>
        <w:pStyle w:val="ListParagraph"/>
        <w:numPr>
          <w:ilvl w:val="0"/>
          <w:numId w:val="7"/>
        </w:numPr>
        <w:rPr>
          <w:rFonts w:cs="Arial"/>
        </w:rPr>
      </w:pPr>
      <w:r w:rsidRPr="00BB54DF">
        <w:rPr>
          <w:rFonts w:cs="Arial"/>
        </w:rPr>
        <w:t>NDORMS, Windmill Road, University of Oxford, Oxford, UK</w:t>
      </w:r>
    </w:p>
    <w:p w14:paraId="05FA9A8D" w14:textId="77777777" w:rsidR="006D4774" w:rsidRPr="00BB54DF" w:rsidRDefault="00BF19FB" w:rsidP="00C41685">
      <w:pPr>
        <w:pStyle w:val="ListParagraph"/>
        <w:numPr>
          <w:ilvl w:val="0"/>
          <w:numId w:val="7"/>
        </w:numPr>
        <w:rPr>
          <w:rFonts w:cs="Arial"/>
        </w:rPr>
      </w:pPr>
      <w:r w:rsidRPr="00BB54DF">
        <w:rPr>
          <w:rFonts w:cs="Arial"/>
        </w:rPr>
        <w:t>OPEN,</w:t>
      </w:r>
      <w:r w:rsidRPr="00BB54DF">
        <w:rPr>
          <w:rFonts w:cs="Arial"/>
          <w:spacing w:val="-12"/>
        </w:rPr>
        <w:t xml:space="preserve"> </w:t>
      </w:r>
      <w:r w:rsidRPr="00BB54DF">
        <w:rPr>
          <w:rFonts w:cs="Arial"/>
        </w:rPr>
        <w:t>Department</w:t>
      </w:r>
      <w:r w:rsidRPr="00BB54DF">
        <w:rPr>
          <w:rFonts w:cs="Arial"/>
          <w:spacing w:val="-12"/>
        </w:rPr>
        <w:t xml:space="preserve"> </w:t>
      </w:r>
      <w:r w:rsidRPr="00BB54DF">
        <w:rPr>
          <w:rFonts w:cs="Arial"/>
        </w:rPr>
        <w:t>of</w:t>
      </w:r>
      <w:r w:rsidRPr="00BB54DF">
        <w:rPr>
          <w:rFonts w:cs="Arial"/>
          <w:spacing w:val="-11"/>
        </w:rPr>
        <w:t xml:space="preserve"> </w:t>
      </w:r>
      <w:r w:rsidRPr="00BB54DF">
        <w:rPr>
          <w:rFonts w:cs="Arial"/>
        </w:rPr>
        <w:t>Health,</w:t>
      </w:r>
      <w:r w:rsidRPr="00BB54DF">
        <w:rPr>
          <w:rFonts w:cs="Arial"/>
          <w:spacing w:val="-12"/>
        </w:rPr>
        <w:t xml:space="preserve"> </w:t>
      </w:r>
      <w:r w:rsidRPr="00BB54DF">
        <w:rPr>
          <w:rFonts w:cs="Arial"/>
        </w:rPr>
        <w:t>University</w:t>
      </w:r>
      <w:r w:rsidRPr="00BB54DF">
        <w:rPr>
          <w:rFonts w:cs="Arial"/>
          <w:spacing w:val="-12"/>
        </w:rPr>
        <w:t xml:space="preserve"> </w:t>
      </w:r>
      <w:r w:rsidRPr="00BB54DF">
        <w:rPr>
          <w:rFonts w:cs="Arial"/>
        </w:rPr>
        <w:t>of</w:t>
      </w:r>
      <w:r w:rsidRPr="00BB54DF">
        <w:rPr>
          <w:rFonts w:cs="Arial"/>
          <w:spacing w:val="-11"/>
        </w:rPr>
        <w:t xml:space="preserve"> </w:t>
      </w:r>
      <w:r w:rsidRPr="00BB54DF">
        <w:rPr>
          <w:rFonts w:cs="Arial"/>
        </w:rPr>
        <w:t>Southern</w:t>
      </w:r>
      <w:r w:rsidRPr="00BB54DF">
        <w:rPr>
          <w:rFonts w:cs="Arial"/>
          <w:spacing w:val="-12"/>
        </w:rPr>
        <w:t xml:space="preserve"> </w:t>
      </w:r>
      <w:r w:rsidRPr="00BB54DF">
        <w:rPr>
          <w:rFonts w:cs="Arial"/>
        </w:rPr>
        <w:t>Denmark,</w:t>
      </w:r>
      <w:r w:rsidRPr="00BB54DF">
        <w:rPr>
          <w:rFonts w:cs="Arial"/>
          <w:spacing w:val="-11"/>
        </w:rPr>
        <w:t xml:space="preserve"> </w:t>
      </w:r>
      <w:r w:rsidRPr="00BB54DF">
        <w:rPr>
          <w:rFonts w:cs="Arial"/>
        </w:rPr>
        <w:t>Odense,</w:t>
      </w:r>
      <w:r w:rsidRPr="00BB54DF">
        <w:rPr>
          <w:rFonts w:cs="Arial"/>
          <w:spacing w:val="-12"/>
        </w:rPr>
        <w:t xml:space="preserve"> </w:t>
      </w:r>
      <w:r w:rsidRPr="00BB54DF">
        <w:rPr>
          <w:rFonts w:cs="Arial"/>
        </w:rPr>
        <w:t>Denmark.</w:t>
      </w:r>
    </w:p>
    <w:p w14:paraId="41F610E3" w14:textId="77777777" w:rsidR="00BF19FB" w:rsidRPr="00BB54DF" w:rsidRDefault="00BF19FB" w:rsidP="00C41685">
      <w:pPr>
        <w:pStyle w:val="ListParagraph"/>
        <w:numPr>
          <w:ilvl w:val="0"/>
          <w:numId w:val="7"/>
        </w:numPr>
        <w:rPr>
          <w:rFonts w:cs="Arial"/>
        </w:rPr>
      </w:pPr>
      <w:proofErr w:type="spellStart"/>
      <w:r w:rsidRPr="00BB54DF">
        <w:rPr>
          <w:rFonts w:cs="Arial"/>
        </w:rPr>
        <w:t>Holbæk</w:t>
      </w:r>
      <w:proofErr w:type="spellEnd"/>
      <w:r w:rsidRPr="00BB54DF">
        <w:rPr>
          <w:rFonts w:cs="Arial"/>
        </w:rPr>
        <w:t xml:space="preserve"> Hospital, Dept of Medicine, </w:t>
      </w:r>
      <w:proofErr w:type="spellStart"/>
      <w:r w:rsidRPr="00BB54DF">
        <w:rPr>
          <w:rFonts w:cs="Arial"/>
        </w:rPr>
        <w:t>Holbæk</w:t>
      </w:r>
      <w:proofErr w:type="spellEnd"/>
      <w:r w:rsidRPr="00BB54DF">
        <w:rPr>
          <w:rFonts w:cs="Arial"/>
        </w:rPr>
        <w:t>, Denmark</w:t>
      </w:r>
    </w:p>
    <w:p w14:paraId="17F2A6E4" w14:textId="178103C8" w:rsidR="00BF19FB" w:rsidRPr="00BB54DF" w:rsidRDefault="00BF19FB" w:rsidP="00C41685">
      <w:pPr>
        <w:pStyle w:val="ListParagraph"/>
        <w:numPr>
          <w:ilvl w:val="0"/>
          <w:numId w:val="7"/>
        </w:numPr>
        <w:rPr>
          <w:rFonts w:cs="Arial"/>
        </w:rPr>
      </w:pPr>
      <w:r w:rsidRPr="00BB54DF">
        <w:rPr>
          <w:rFonts w:cs="Arial"/>
        </w:rPr>
        <w:t>Sport, Exercise and Arthritis Centre: versus arthritis, University of Oxford, Oxford UK</w:t>
      </w:r>
    </w:p>
    <w:p w14:paraId="55DC24F5" w14:textId="28436C31" w:rsidR="00BF19FB" w:rsidRPr="00BB54DF" w:rsidRDefault="00BF19FB" w:rsidP="00C41685">
      <w:pPr>
        <w:pStyle w:val="ListParagraph"/>
        <w:numPr>
          <w:ilvl w:val="0"/>
          <w:numId w:val="7"/>
        </w:numPr>
        <w:rPr>
          <w:rFonts w:cs="Arial"/>
        </w:rPr>
      </w:pPr>
      <w:r w:rsidRPr="00BB54DF">
        <w:rPr>
          <w:rFonts w:cs="Arial"/>
        </w:rPr>
        <w:t>Population Health Sciences, Bristol Medical School, University of Bristol, Bristol, UK.</w:t>
      </w:r>
    </w:p>
    <w:p w14:paraId="2D26472B" w14:textId="77777777" w:rsidR="00893C2A" w:rsidRPr="00BB54DF" w:rsidRDefault="00893C2A" w:rsidP="00893C2A">
      <w:pPr>
        <w:pStyle w:val="ListParagraph"/>
        <w:numPr>
          <w:ilvl w:val="0"/>
          <w:numId w:val="7"/>
        </w:numPr>
        <w:rPr>
          <w:rFonts w:cs="Arial"/>
        </w:rPr>
      </w:pPr>
      <w:r w:rsidRPr="00BB54DF">
        <w:rPr>
          <w:rFonts w:cs="Arial"/>
        </w:rPr>
        <w:t xml:space="preserve">North Bristol NHS Trust, Bristol. BS10 5NB </w:t>
      </w:r>
    </w:p>
    <w:p w14:paraId="5683F49D" w14:textId="5AE5637B" w:rsidR="00BF19FB" w:rsidRPr="00BB54DF" w:rsidRDefault="00BF19FB" w:rsidP="00893C2A">
      <w:pPr>
        <w:pStyle w:val="ListParagraph"/>
        <w:numPr>
          <w:ilvl w:val="0"/>
          <w:numId w:val="7"/>
        </w:numPr>
        <w:rPr>
          <w:rFonts w:cs="Arial"/>
        </w:rPr>
      </w:pPr>
      <w:r w:rsidRPr="00BB54DF">
        <w:rPr>
          <w:rFonts w:cs="Arial"/>
        </w:rPr>
        <w:lastRenderedPageBreak/>
        <w:t>MRC Lifecourse Epidemiology Unit,</w:t>
      </w:r>
      <w:r w:rsidR="00976DFA" w:rsidRPr="00BB54DF">
        <w:rPr>
          <w:rFonts w:cs="Arial"/>
        </w:rPr>
        <w:t xml:space="preserve"> University of</w:t>
      </w:r>
      <w:r w:rsidRPr="00BB54DF">
        <w:rPr>
          <w:rFonts w:cs="Arial"/>
        </w:rPr>
        <w:t xml:space="preserve"> Southampton, </w:t>
      </w:r>
      <w:r w:rsidR="00976DFA" w:rsidRPr="00BB54DF">
        <w:rPr>
          <w:rFonts w:cs="Arial"/>
        </w:rPr>
        <w:t xml:space="preserve">Southampton, </w:t>
      </w:r>
      <w:r w:rsidRPr="00BB54DF">
        <w:rPr>
          <w:rFonts w:cs="Arial"/>
        </w:rPr>
        <w:t>UK.</w:t>
      </w:r>
    </w:p>
    <w:p w14:paraId="098034FA" w14:textId="77777777" w:rsidR="00BF19FB" w:rsidRPr="00BB54DF" w:rsidRDefault="00BF19FB" w:rsidP="00C41685">
      <w:pPr>
        <w:pStyle w:val="ListParagraph"/>
        <w:numPr>
          <w:ilvl w:val="0"/>
          <w:numId w:val="7"/>
        </w:numPr>
        <w:rPr>
          <w:rFonts w:cs="Arial"/>
        </w:rPr>
      </w:pPr>
      <w:r w:rsidRPr="00BB54DF">
        <w:rPr>
          <w:rFonts w:cs="Arial"/>
        </w:rPr>
        <w:t>Clinical Practice Research Datalink (CPRD), London, UK</w:t>
      </w:r>
    </w:p>
    <w:p w14:paraId="7CAF332D" w14:textId="77777777" w:rsidR="007E575C" w:rsidRPr="00BB54DF" w:rsidRDefault="007E575C" w:rsidP="007E575C">
      <w:pPr>
        <w:pStyle w:val="ListParagraph"/>
        <w:numPr>
          <w:ilvl w:val="0"/>
          <w:numId w:val="7"/>
        </w:numPr>
        <w:rPr>
          <w:rFonts w:cs="Arial"/>
          <w:lang w:val="en-US"/>
        </w:rPr>
      </w:pPr>
      <w:r w:rsidRPr="00BB54DF">
        <w:rPr>
          <w:rFonts w:cs="Arial"/>
        </w:rPr>
        <w:t>Musculoskeletal Research Unit, Translational Health Sciences, Bristol Medical School, University of Bristol, Bristol, UK</w:t>
      </w:r>
    </w:p>
    <w:p w14:paraId="2504A2C3" w14:textId="388FB8BE" w:rsidR="00C41685" w:rsidRPr="00BB54DF" w:rsidRDefault="00B554A4" w:rsidP="007E575C">
      <w:pPr>
        <w:pStyle w:val="ListParagraph"/>
        <w:numPr>
          <w:ilvl w:val="0"/>
          <w:numId w:val="7"/>
        </w:numPr>
        <w:rPr>
          <w:rFonts w:cs="Arial"/>
          <w:lang w:val="en-US"/>
        </w:rPr>
      </w:pPr>
      <w:r w:rsidRPr="00BB54DF">
        <w:rPr>
          <w:rFonts w:cs="Arial"/>
        </w:rPr>
        <w:t>Department of Nephrology, Hospital del Mar, Barcelona, Spain</w:t>
      </w:r>
    </w:p>
    <w:p w14:paraId="3FE31982" w14:textId="77777777" w:rsidR="00292FEB" w:rsidRPr="00BB54DF" w:rsidRDefault="00292FEB" w:rsidP="00C41685">
      <w:pPr>
        <w:pStyle w:val="ListParagraph"/>
        <w:numPr>
          <w:ilvl w:val="0"/>
          <w:numId w:val="7"/>
        </w:numPr>
        <w:rPr>
          <w:rFonts w:cs="Arial"/>
          <w:lang w:val="es-ES"/>
        </w:rPr>
      </w:pPr>
      <w:proofErr w:type="spellStart"/>
      <w:r w:rsidRPr="00BB54DF">
        <w:rPr>
          <w:rFonts w:cs="Arial"/>
          <w:color w:val="000000"/>
          <w:lang w:val="es-ES"/>
        </w:rPr>
        <w:t>Internal</w:t>
      </w:r>
      <w:proofErr w:type="spellEnd"/>
      <w:r w:rsidRPr="00BB54DF">
        <w:rPr>
          <w:rFonts w:cs="Arial"/>
          <w:color w:val="000000"/>
          <w:lang w:val="es-ES"/>
        </w:rPr>
        <w:t xml:space="preserve"> Medicine. IMIM (Hospital del Mar </w:t>
      </w:r>
      <w:proofErr w:type="spellStart"/>
      <w:r w:rsidRPr="00BB54DF">
        <w:rPr>
          <w:rFonts w:cs="Arial"/>
          <w:color w:val="000000"/>
          <w:lang w:val="es-ES"/>
        </w:rPr>
        <w:t>Research</w:t>
      </w:r>
      <w:proofErr w:type="spellEnd"/>
      <w:r w:rsidRPr="00BB54DF">
        <w:rPr>
          <w:rFonts w:cs="Arial"/>
          <w:color w:val="000000"/>
          <w:lang w:val="es-ES"/>
        </w:rPr>
        <w:t xml:space="preserve"> </w:t>
      </w:r>
      <w:proofErr w:type="spellStart"/>
      <w:r w:rsidRPr="00BB54DF">
        <w:rPr>
          <w:rFonts w:cs="Arial"/>
          <w:color w:val="000000"/>
          <w:lang w:val="es-ES"/>
        </w:rPr>
        <w:t>Institute</w:t>
      </w:r>
      <w:proofErr w:type="spellEnd"/>
      <w:r w:rsidRPr="00BB54DF">
        <w:rPr>
          <w:rFonts w:cs="Arial"/>
          <w:color w:val="000000"/>
          <w:lang w:val="es-ES"/>
        </w:rPr>
        <w:t xml:space="preserve">), Centro de Investigación Biomédica en Red de Fragilidad y Envejecimiento Saludable (CIBERFES), Barcelona, </w:t>
      </w:r>
      <w:proofErr w:type="spellStart"/>
      <w:r w:rsidRPr="00BB54DF">
        <w:rPr>
          <w:rFonts w:cs="Arial"/>
          <w:color w:val="000000"/>
          <w:lang w:val="es-ES"/>
        </w:rPr>
        <w:t>Spain</w:t>
      </w:r>
      <w:proofErr w:type="spellEnd"/>
      <w:r w:rsidRPr="00BB54DF">
        <w:rPr>
          <w:rFonts w:cs="Arial"/>
          <w:color w:val="000000"/>
          <w:lang w:val="es-ES"/>
        </w:rPr>
        <w:t>.</w:t>
      </w:r>
      <w:r w:rsidRPr="00BB54DF">
        <w:rPr>
          <w:rFonts w:cs="Arial"/>
          <w:lang w:val="es-ES"/>
        </w:rPr>
        <w:t xml:space="preserve"> </w:t>
      </w:r>
    </w:p>
    <w:p w14:paraId="087F031B" w14:textId="447577CA" w:rsidR="00893C2A" w:rsidRPr="00BB54DF" w:rsidRDefault="00893C2A" w:rsidP="00C41685">
      <w:pPr>
        <w:pStyle w:val="ListParagraph"/>
        <w:numPr>
          <w:ilvl w:val="0"/>
          <w:numId w:val="7"/>
        </w:numPr>
        <w:rPr>
          <w:rFonts w:cs="Arial"/>
          <w:lang w:val="en-US"/>
        </w:rPr>
      </w:pPr>
      <w:r w:rsidRPr="00BB54DF">
        <w:rPr>
          <w:rFonts w:cs="Arial"/>
          <w:lang w:val="en-US"/>
        </w:rPr>
        <w:t>Hospital del Mar Institute of Medical Research Autonomous University of Barcelona Research Network on Frailty and Healthy Aging (CIBERFES) Instituto Carlos III</w:t>
      </w:r>
      <w:r w:rsidR="00292FEB" w:rsidRPr="00BB54DF">
        <w:rPr>
          <w:rFonts w:cs="Arial"/>
          <w:lang w:val="en-US"/>
        </w:rPr>
        <w:t>,</w:t>
      </w:r>
      <w:r w:rsidR="00292FEB" w:rsidRPr="00BB54DF">
        <w:rPr>
          <w:rFonts w:cs="Arial"/>
          <w:color w:val="000000"/>
          <w:lang w:val="en-US"/>
        </w:rPr>
        <w:t xml:space="preserve"> Barcelona, Spain</w:t>
      </w:r>
    </w:p>
    <w:p w14:paraId="26E5B1F5" w14:textId="6D993669" w:rsidR="006D4774" w:rsidRPr="00BB54DF" w:rsidRDefault="00340166" w:rsidP="00340166">
      <w:pPr>
        <w:pStyle w:val="ListParagraph"/>
        <w:numPr>
          <w:ilvl w:val="0"/>
          <w:numId w:val="7"/>
        </w:numPr>
        <w:ind w:right="1640"/>
        <w:rPr>
          <w:rFonts w:cs="Arial"/>
        </w:rPr>
      </w:pPr>
      <w:proofErr w:type="spellStart"/>
      <w:r w:rsidRPr="00BB54DF">
        <w:rPr>
          <w:rFonts w:cs="Arial"/>
          <w:spacing w:val="-3"/>
        </w:rPr>
        <w:t>Grup</w:t>
      </w:r>
      <w:proofErr w:type="spellEnd"/>
      <w:r w:rsidRPr="00BB54DF">
        <w:rPr>
          <w:rFonts w:cs="Arial"/>
          <w:spacing w:val="-3"/>
        </w:rPr>
        <w:t xml:space="preserve"> de </w:t>
      </w:r>
      <w:proofErr w:type="spellStart"/>
      <w:r w:rsidRPr="00BB54DF">
        <w:rPr>
          <w:rFonts w:cs="Arial"/>
          <w:spacing w:val="-3"/>
        </w:rPr>
        <w:t>Recerca</w:t>
      </w:r>
      <w:proofErr w:type="spellEnd"/>
      <w:r w:rsidRPr="00BB54DF">
        <w:rPr>
          <w:rFonts w:cs="Arial"/>
          <w:spacing w:val="-3"/>
        </w:rPr>
        <w:t xml:space="preserve"> </w:t>
      </w:r>
      <w:proofErr w:type="spellStart"/>
      <w:r w:rsidRPr="00BB54DF">
        <w:rPr>
          <w:rFonts w:cs="Arial"/>
          <w:spacing w:val="-3"/>
        </w:rPr>
        <w:t>en</w:t>
      </w:r>
      <w:proofErr w:type="spellEnd"/>
      <w:r w:rsidRPr="00BB54DF">
        <w:rPr>
          <w:rFonts w:cs="Arial"/>
          <w:spacing w:val="-3"/>
        </w:rPr>
        <w:t xml:space="preserve"> </w:t>
      </w:r>
      <w:proofErr w:type="spellStart"/>
      <w:r w:rsidRPr="00BB54DF">
        <w:rPr>
          <w:rFonts w:cs="Arial"/>
          <w:spacing w:val="-3"/>
        </w:rPr>
        <w:t>Malalties</w:t>
      </w:r>
      <w:proofErr w:type="spellEnd"/>
      <w:r w:rsidRPr="00BB54DF">
        <w:rPr>
          <w:rFonts w:cs="Arial"/>
          <w:spacing w:val="-3"/>
        </w:rPr>
        <w:t xml:space="preserve"> </w:t>
      </w:r>
      <w:proofErr w:type="spellStart"/>
      <w:r w:rsidRPr="00BB54DF">
        <w:rPr>
          <w:rFonts w:cs="Arial"/>
          <w:spacing w:val="-3"/>
        </w:rPr>
        <w:t>Prevalents</w:t>
      </w:r>
      <w:proofErr w:type="spellEnd"/>
      <w:r w:rsidRPr="00BB54DF">
        <w:rPr>
          <w:rFonts w:cs="Arial"/>
          <w:spacing w:val="-3"/>
        </w:rPr>
        <w:t xml:space="preserve"> de </w:t>
      </w:r>
      <w:proofErr w:type="spellStart"/>
      <w:r w:rsidRPr="00BB54DF">
        <w:rPr>
          <w:rFonts w:cs="Arial"/>
          <w:spacing w:val="-3"/>
        </w:rPr>
        <w:t>l’Aparell</w:t>
      </w:r>
      <w:proofErr w:type="spellEnd"/>
      <w:r w:rsidRPr="00BB54DF">
        <w:rPr>
          <w:rFonts w:cs="Arial"/>
          <w:spacing w:val="-3"/>
        </w:rPr>
        <w:t xml:space="preserve"> Locomotor (GREMPAL) Research Group and </w:t>
      </w:r>
      <w:proofErr w:type="spellStart"/>
      <w:r w:rsidRPr="00BB54DF">
        <w:rPr>
          <w:rFonts w:cs="Arial"/>
          <w:spacing w:val="-3"/>
        </w:rPr>
        <w:t>CIBERFes</w:t>
      </w:r>
      <w:proofErr w:type="spellEnd"/>
      <w:r w:rsidRPr="00BB54DF">
        <w:rPr>
          <w:rFonts w:cs="Arial"/>
          <w:spacing w:val="-3"/>
        </w:rPr>
        <w:t xml:space="preserve">, University Institute for Primary Care Research (IDIAP) Jordi Gol, </w:t>
      </w:r>
      <w:proofErr w:type="spellStart"/>
      <w:r w:rsidRPr="00BB54DF">
        <w:rPr>
          <w:rFonts w:cs="Arial"/>
          <w:spacing w:val="-3"/>
        </w:rPr>
        <w:t>Universitat</w:t>
      </w:r>
      <w:proofErr w:type="spellEnd"/>
      <w:r w:rsidRPr="00BB54DF">
        <w:rPr>
          <w:rFonts w:cs="Arial"/>
          <w:spacing w:val="-3"/>
        </w:rPr>
        <w:t xml:space="preserve"> </w:t>
      </w:r>
      <w:proofErr w:type="spellStart"/>
      <w:r w:rsidRPr="00BB54DF">
        <w:rPr>
          <w:rFonts w:cs="Arial"/>
          <w:spacing w:val="-3"/>
        </w:rPr>
        <w:t>Autonoma</w:t>
      </w:r>
      <w:proofErr w:type="spellEnd"/>
      <w:r w:rsidRPr="00BB54DF">
        <w:rPr>
          <w:rFonts w:cs="Arial"/>
          <w:spacing w:val="-3"/>
        </w:rPr>
        <w:t xml:space="preserve"> de Barcelona and Instituto de </w:t>
      </w:r>
      <w:proofErr w:type="spellStart"/>
      <w:r w:rsidRPr="00BB54DF">
        <w:rPr>
          <w:rFonts w:cs="Arial"/>
          <w:spacing w:val="-3"/>
        </w:rPr>
        <w:t>Salud</w:t>
      </w:r>
      <w:proofErr w:type="spellEnd"/>
      <w:r w:rsidRPr="00BB54DF">
        <w:rPr>
          <w:rFonts w:cs="Arial"/>
          <w:spacing w:val="-3"/>
        </w:rPr>
        <w:t xml:space="preserve"> Carlos III, Barcelona, Spain</w:t>
      </w:r>
      <w:r w:rsidR="006D4774" w:rsidRPr="00BB54DF">
        <w:rPr>
          <w:rFonts w:cs="Arial"/>
        </w:rPr>
        <w:t>.</w:t>
      </w:r>
    </w:p>
    <w:p w14:paraId="5F965FCA" w14:textId="77777777" w:rsidR="006D4774" w:rsidRPr="00BB54DF" w:rsidRDefault="006D4774" w:rsidP="006D4774">
      <w:pPr>
        <w:ind w:left="360"/>
        <w:rPr>
          <w:rFonts w:cs="Arial"/>
          <w:lang w:val="en-US"/>
        </w:rPr>
      </w:pPr>
    </w:p>
    <w:p w14:paraId="2EE5D3CA" w14:textId="2D26B0BA" w:rsidR="00477EB7" w:rsidRPr="00BB54DF" w:rsidRDefault="00477EB7" w:rsidP="00283036">
      <w:pPr>
        <w:jc w:val="both"/>
        <w:rPr>
          <w:rFonts w:cs="Arial"/>
          <w:b/>
        </w:rPr>
      </w:pPr>
      <w:r w:rsidRPr="00BB54DF">
        <w:rPr>
          <w:rFonts w:cs="Arial"/>
          <w:b/>
          <w:vertAlign w:val="superscript"/>
        </w:rPr>
        <w:t xml:space="preserve">¶ </w:t>
      </w:r>
      <w:r w:rsidR="00DA62C2" w:rsidRPr="00BB54DF">
        <w:rPr>
          <w:rFonts w:cs="Arial"/>
          <w:b/>
        </w:rPr>
        <w:t>CORRESPON</w:t>
      </w:r>
      <w:r w:rsidR="00CC773B" w:rsidRPr="00BB54DF">
        <w:rPr>
          <w:rFonts w:cs="Arial"/>
          <w:b/>
        </w:rPr>
        <w:t>EN</w:t>
      </w:r>
      <w:r w:rsidR="00DA62C2" w:rsidRPr="00BB54DF">
        <w:rPr>
          <w:rFonts w:cs="Arial"/>
          <w:b/>
        </w:rPr>
        <w:t>CE TO</w:t>
      </w:r>
    </w:p>
    <w:p w14:paraId="41FAC074" w14:textId="77777777" w:rsidR="00477EB7" w:rsidRPr="00BB54DF" w:rsidRDefault="00477EB7" w:rsidP="00283036">
      <w:pPr>
        <w:jc w:val="both"/>
        <w:rPr>
          <w:rFonts w:cs="Arial"/>
        </w:rPr>
      </w:pPr>
      <w:r w:rsidRPr="00BB54DF">
        <w:rPr>
          <w:rFonts w:cs="Arial"/>
        </w:rPr>
        <w:t>Dr Victoria Strauss</w:t>
      </w:r>
    </w:p>
    <w:p w14:paraId="4BB5F456" w14:textId="77777777" w:rsidR="00477EB7" w:rsidRPr="00BB54DF" w:rsidRDefault="00477EB7" w:rsidP="00283036">
      <w:pPr>
        <w:jc w:val="both"/>
        <w:rPr>
          <w:rFonts w:cs="Arial"/>
        </w:rPr>
      </w:pPr>
      <w:r w:rsidRPr="00BB54DF">
        <w:rPr>
          <w:rFonts w:cs="Arial"/>
        </w:rPr>
        <w:t>Pharmaco- and Device Epidemiology, CSM, NDORMS</w:t>
      </w:r>
    </w:p>
    <w:p w14:paraId="1E6B6B0D" w14:textId="77777777" w:rsidR="00477EB7" w:rsidRPr="00BB54DF" w:rsidRDefault="00477EB7" w:rsidP="00283036">
      <w:pPr>
        <w:jc w:val="both"/>
        <w:rPr>
          <w:rFonts w:cs="Arial"/>
        </w:rPr>
      </w:pPr>
      <w:r w:rsidRPr="00BB54DF">
        <w:rPr>
          <w:rFonts w:cs="Arial"/>
        </w:rPr>
        <w:t>Botnar Research Centre</w:t>
      </w:r>
    </w:p>
    <w:p w14:paraId="19F6831A" w14:textId="0C32F927" w:rsidR="00477EB7" w:rsidRPr="00BB54DF" w:rsidRDefault="00477EB7" w:rsidP="00283036">
      <w:pPr>
        <w:jc w:val="both"/>
        <w:rPr>
          <w:rFonts w:cs="Arial"/>
        </w:rPr>
      </w:pPr>
      <w:r w:rsidRPr="00BB54DF">
        <w:rPr>
          <w:rFonts w:cs="Arial"/>
        </w:rPr>
        <w:t>OX37LD, Oxford, United Kingdom</w:t>
      </w:r>
    </w:p>
    <w:p w14:paraId="1A8CF495" w14:textId="49877907" w:rsidR="005603FE" w:rsidRPr="00BB54DF" w:rsidRDefault="005603FE" w:rsidP="00283036">
      <w:pPr>
        <w:jc w:val="both"/>
        <w:rPr>
          <w:rFonts w:cs="Arial"/>
        </w:rPr>
      </w:pPr>
      <w:r w:rsidRPr="00BB54DF">
        <w:rPr>
          <w:rFonts w:cs="Arial"/>
        </w:rPr>
        <w:t xml:space="preserve">Email: </w:t>
      </w:r>
      <w:hyperlink r:id="rId11" w:history="1">
        <w:r w:rsidRPr="00BB54DF">
          <w:rPr>
            <w:rStyle w:val="Hyperlink"/>
            <w:rFonts w:cs="Arial"/>
          </w:rPr>
          <w:t>Victoria.strauss@csm.ox.ac.uk</w:t>
        </w:r>
      </w:hyperlink>
    </w:p>
    <w:p w14:paraId="5BDFC878" w14:textId="77777777" w:rsidR="005603FE" w:rsidRPr="00BB54DF" w:rsidRDefault="005603FE" w:rsidP="005603FE">
      <w:pPr>
        <w:rPr>
          <w:rFonts w:ascii="Calibri" w:hAnsi="Calibri"/>
          <w:sz w:val="22"/>
          <w:szCs w:val="22"/>
          <w:lang w:eastAsia="en-GB"/>
        </w:rPr>
      </w:pPr>
      <w:r w:rsidRPr="00BB54DF">
        <w:rPr>
          <w:lang w:eastAsia="en-GB"/>
        </w:rPr>
        <w:t>Tel: 01865 223 721</w:t>
      </w:r>
    </w:p>
    <w:p w14:paraId="24AB26BD" w14:textId="77777777" w:rsidR="0062252E" w:rsidRPr="00BB54DF" w:rsidRDefault="0062252E">
      <w:pPr>
        <w:spacing w:before="0" w:after="160" w:line="259" w:lineRule="auto"/>
        <w:rPr>
          <w:rFonts w:cs="Arial"/>
          <w:u w:val="single"/>
        </w:rPr>
      </w:pPr>
    </w:p>
    <w:p w14:paraId="4B7458AE" w14:textId="77777777" w:rsidR="0027219D" w:rsidRPr="00BB54DF" w:rsidRDefault="0027219D">
      <w:pPr>
        <w:spacing w:before="0" w:after="160" w:line="259" w:lineRule="auto"/>
        <w:rPr>
          <w:rFonts w:cs="Arial"/>
          <w:b/>
        </w:rPr>
      </w:pPr>
      <w:r w:rsidRPr="00BB54DF">
        <w:rPr>
          <w:rFonts w:cs="Arial"/>
          <w:b/>
        </w:rPr>
        <w:br w:type="page"/>
      </w:r>
    </w:p>
    <w:p w14:paraId="6A7FB661" w14:textId="77777777" w:rsidR="0027219D" w:rsidRPr="00BB54DF" w:rsidRDefault="0027219D" w:rsidP="0027219D">
      <w:pPr>
        <w:spacing w:line="360" w:lineRule="auto"/>
        <w:jc w:val="both"/>
        <w:rPr>
          <w:rFonts w:cs="Arial"/>
          <w:b/>
        </w:rPr>
      </w:pPr>
      <w:r w:rsidRPr="00BB54DF">
        <w:rPr>
          <w:rFonts w:cs="Arial"/>
          <w:b/>
        </w:rPr>
        <w:lastRenderedPageBreak/>
        <w:t>COMPETING INTERESTS</w:t>
      </w:r>
    </w:p>
    <w:p w14:paraId="40848D11" w14:textId="77777777" w:rsidR="0027219D" w:rsidRPr="00BB54DF" w:rsidRDefault="0027219D" w:rsidP="0027219D">
      <w:pPr>
        <w:spacing w:line="360" w:lineRule="auto"/>
        <w:rPr>
          <w:rFonts w:ascii="Myriad Pro" w:hAnsi="Myriad Pro" w:cs="Myriad Pro"/>
          <w:sz w:val="20"/>
          <w:szCs w:val="20"/>
        </w:rPr>
      </w:pPr>
      <w:r w:rsidRPr="00BB54DF">
        <w:rPr>
          <w:rFonts w:cs="Arial"/>
        </w:rPr>
        <w:t xml:space="preserve">All authors have completed the ICMJE uniform disclosure form at www.icmje.org/coi_disclosure.pdf and declare: DPA reports grants and other from AMGEN; grants, non-financial support, and other from UCB Biopharma; grants from Les </w:t>
      </w:r>
      <w:proofErr w:type="spellStart"/>
      <w:r w:rsidRPr="00BB54DF">
        <w:rPr>
          <w:rFonts w:cs="Arial"/>
        </w:rPr>
        <w:t>Laboratoires</w:t>
      </w:r>
      <w:proofErr w:type="spellEnd"/>
      <w:r w:rsidRPr="00BB54DF">
        <w:rPr>
          <w:rFonts w:cs="Arial"/>
        </w:rPr>
        <w:t xml:space="preserve"> </w:t>
      </w:r>
      <w:proofErr w:type="spellStart"/>
      <w:r w:rsidRPr="00BB54DF">
        <w:rPr>
          <w:rFonts w:cs="Arial"/>
        </w:rPr>
        <w:t>Servier</w:t>
      </w:r>
      <w:proofErr w:type="spellEnd"/>
      <w:r w:rsidRPr="00BB54DF">
        <w:rPr>
          <w:rFonts w:cs="Arial"/>
        </w:rPr>
        <w:t xml:space="preserve">, outside the submitted work. DPA also reports that Janssen, on behalf of the IMI-funded EHDEN and EMIF consortiums, and Synapse Management Partners have supported training programmes that are organised by DPA's department and are open to external participants. AJ reports personal fees from Freshfields Bruckhaus Derringer and </w:t>
      </w:r>
      <w:proofErr w:type="spellStart"/>
      <w:r w:rsidRPr="00BB54DF">
        <w:rPr>
          <w:rFonts w:cs="Arial"/>
        </w:rPr>
        <w:t>Anthera</w:t>
      </w:r>
      <w:proofErr w:type="spellEnd"/>
      <w:r w:rsidRPr="00BB54DF">
        <w:rPr>
          <w:rFonts w:cs="Arial"/>
        </w:rPr>
        <w:t xml:space="preserve"> Pharmaceuticals INC, outside the submitted work. CC reports personal fees from Alliance for Better Bone Health, Amgen, Eli Lilly, GSK, Medtronic, Merck, Novartis, Pfizer, Roche, </w:t>
      </w:r>
      <w:proofErr w:type="spellStart"/>
      <w:r w:rsidRPr="00BB54DF">
        <w:rPr>
          <w:rFonts w:cs="Arial"/>
        </w:rPr>
        <w:t>Servier</w:t>
      </w:r>
      <w:proofErr w:type="spellEnd"/>
      <w:r w:rsidRPr="00BB54DF">
        <w:rPr>
          <w:rFonts w:cs="Arial"/>
        </w:rPr>
        <w:t xml:space="preserve">, Takeda, and UCB. KJ reports grants from NIHR HTA during the conduct of the study and personal fees from UCB and AMGEN, outside the submitted work. NA reports grants from Merck and personal fees from Merck, Regeneron, Pfizer/Lilly, and Flexion, outside the submitted work. VS reports consultancy fees from Janssen </w:t>
      </w:r>
      <w:proofErr w:type="spellStart"/>
      <w:r w:rsidRPr="00BB54DF">
        <w:rPr>
          <w:rFonts w:cs="Arial"/>
        </w:rPr>
        <w:t>Pharmaceutica</w:t>
      </w:r>
      <w:proofErr w:type="spellEnd"/>
      <w:r w:rsidRPr="00BB54DF">
        <w:rPr>
          <w:rFonts w:cs="Arial"/>
        </w:rPr>
        <w:t xml:space="preserve"> NV, during the conduct of the study. XN reports advisory boards for Amgen, Lilly, and Formation, and talks for Amgen, Lilly, FAES, and ITALFARMACO. ADP reports personal fees from AMGEN-UCB, Lilly, Gilead, and Sandoz; other from Active Life Sci; and personal fees and non-financial support from </w:t>
      </w:r>
      <w:proofErr w:type="spellStart"/>
      <w:r w:rsidRPr="00BB54DF">
        <w:rPr>
          <w:rFonts w:cs="Arial"/>
        </w:rPr>
        <w:t>EchoLight</w:t>
      </w:r>
      <w:proofErr w:type="spellEnd"/>
      <w:r w:rsidRPr="00BB54DF">
        <w:rPr>
          <w:rFonts w:cs="Arial"/>
        </w:rPr>
        <w:t>, outside the submitted work. BA</w:t>
      </w:r>
      <w:r w:rsidRPr="00BB54DF">
        <w:rPr>
          <w:rFonts w:cs="Arial"/>
          <w:bCs/>
          <w:color w:val="000000"/>
        </w:rPr>
        <w:t xml:space="preserve"> reports institutional research contracts and personal consulting fees from </w:t>
      </w:r>
      <w:r w:rsidRPr="00BB54DF">
        <w:rPr>
          <w:rFonts w:cs="Arial"/>
          <w:bCs/>
          <w:color w:val="000000"/>
          <w:lang w:val="en-US"/>
        </w:rPr>
        <w:t xml:space="preserve">UCB Biopharma </w:t>
      </w:r>
      <w:proofErr w:type="spellStart"/>
      <w:r w:rsidRPr="00BB54DF">
        <w:rPr>
          <w:rFonts w:cs="Arial"/>
          <w:bCs/>
          <w:color w:val="000000"/>
          <w:lang w:val="en-US"/>
        </w:rPr>
        <w:t>sprl</w:t>
      </w:r>
      <w:proofErr w:type="spellEnd"/>
      <w:r w:rsidRPr="00BB54DF">
        <w:rPr>
          <w:rFonts w:cs="Arial"/>
          <w:bCs/>
          <w:color w:val="000000"/>
        </w:rPr>
        <w:t xml:space="preserve">, institutional research contracts from Novartis, personal speaker’s fees from Eli Lily and Amgen, and personal consulting fees from Kyowa-Kirin Plc. </w:t>
      </w:r>
      <w:r w:rsidRPr="00BB54DF">
        <w:rPr>
          <w:rFonts w:cs="Arial"/>
        </w:rPr>
        <w:t>CT reports personal fees from Boehringer Ingelheim and Amgen, outside the submitted work.</w:t>
      </w:r>
    </w:p>
    <w:p w14:paraId="3824993F" w14:textId="77777777" w:rsidR="0027219D" w:rsidRPr="00BB54DF" w:rsidRDefault="0027219D" w:rsidP="0027219D">
      <w:pPr>
        <w:spacing w:line="360" w:lineRule="auto"/>
        <w:jc w:val="both"/>
        <w:rPr>
          <w:rFonts w:cs="Arial"/>
          <w:b/>
        </w:rPr>
      </w:pPr>
      <w:r w:rsidRPr="00BB54DF">
        <w:rPr>
          <w:rFonts w:cs="Arial"/>
          <w:b/>
        </w:rPr>
        <w:t>DATA ACCESS STATEMENT</w:t>
      </w:r>
    </w:p>
    <w:p w14:paraId="6F17D815" w14:textId="40568FC9" w:rsidR="0027219D" w:rsidRPr="00BB54DF" w:rsidRDefault="0027219D" w:rsidP="0027219D">
      <w:pPr>
        <w:spacing w:line="360" w:lineRule="auto"/>
        <w:jc w:val="both"/>
        <w:rPr>
          <w:rFonts w:ascii="Times New Roman" w:hAnsi="Times New Roman"/>
        </w:rPr>
      </w:pPr>
      <w:r w:rsidRPr="00BB54DF">
        <w:rPr>
          <w:rFonts w:cs="Arial"/>
        </w:rPr>
        <w:t xml:space="preserve">Data were obtained from CPRD under the Oxford University CPRD license and ISAC approval and SIDIAP by IDIBELL. Direct data sharing is not allowed. Data access can be obtained from CPRD, conditional on ISAC approval and SIDIAP after protocol approval. </w:t>
      </w:r>
    </w:p>
    <w:p w14:paraId="3CB684D8" w14:textId="6249FCCE" w:rsidR="005603FE" w:rsidRPr="00BB54DF" w:rsidRDefault="005603FE">
      <w:pPr>
        <w:spacing w:before="0" w:after="160" w:line="259" w:lineRule="auto"/>
        <w:rPr>
          <w:rFonts w:cs="Arial"/>
          <w:b/>
        </w:rPr>
      </w:pPr>
      <w:r w:rsidRPr="00BB54DF">
        <w:rPr>
          <w:rFonts w:cs="Arial"/>
          <w:b/>
        </w:rPr>
        <w:br w:type="page"/>
      </w:r>
    </w:p>
    <w:p w14:paraId="40BDE7EB" w14:textId="43226BF2" w:rsidR="00E364C9" w:rsidRPr="00BB54DF" w:rsidRDefault="005603FE" w:rsidP="00E33A7D">
      <w:pPr>
        <w:spacing w:line="360" w:lineRule="auto"/>
        <w:jc w:val="both"/>
        <w:rPr>
          <w:rFonts w:cs="Arial"/>
          <w:b/>
        </w:rPr>
      </w:pPr>
      <w:r w:rsidRPr="00BB54DF">
        <w:rPr>
          <w:rFonts w:cs="Arial"/>
          <w:b/>
        </w:rPr>
        <w:lastRenderedPageBreak/>
        <w:t>ABSTRACT</w:t>
      </w:r>
      <w:r w:rsidR="00F14267" w:rsidRPr="00BB54DF">
        <w:rPr>
          <w:rFonts w:cs="Arial"/>
          <w:b/>
        </w:rPr>
        <w:t xml:space="preserve"> </w:t>
      </w:r>
    </w:p>
    <w:p w14:paraId="149B7ABD" w14:textId="1D3AD2CE" w:rsidR="00A332DC" w:rsidRPr="00BB54DF" w:rsidRDefault="00D019D1" w:rsidP="0027219D">
      <w:pPr>
        <w:spacing w:line="360" w:lineRule="auto"/>
        <w:jc w:val="both"/>
        <w:rPr>
          <w:rFonts w:cs="Arial"/>
        </w:rPr>
      </w:pPr>
      <w:r w:rsidRPr="00BB54DF">
        <w:rPr>
          <w:rFonts w:cs="Arial"/>
          <w:bCs/>
        </w:rPr>
        <w:t>Bisphosphonates are the first</w:t>
      </w:r>
      <w:r w:rsidR="001D7D0B" w:rsidRPr="00BB54DF">
        <w:rPr>
          <w:rFonts w:cs="Arial"/>
          <w:bCs/>
        </w:rPr>
        <w:t>-</w:t>
      </w:r>
      <w:r w:rsidRPr="00BB54DF">
        <w:rPr>
          <w:rFonts w:cs="Arial"/>
          <w:bCs/>
        </w:rPr>
        <w:t>line treatment for preventing fractures in osteoporosis patients</w:t>
      </w:r>
      <w:r w:rsidR="001D7D0B" w:rsidRPr="00BB54DF">
        <w:rPr>
          <w:rFonts w:cs="Arial"/>
          <w:bCs/>
        </w:rPr>
        <w:t>.</w:t>
      </w:r>
      <w:r w:rsidRPr="00BB54DF">
        <w:rPr>
          <w:rFonts w:cs="Arial"/>
          <w:bCs/>
        </w:rPr>
        <w:t xml:space="preserve"> </w:t>
      </w:r>
      <w:r w:rsidR="001D7D0B" w:rsidRPr="00BB54DF">
        <w:rPr>
          <w:rFonts w:cs="Arial"/>
          <w:bCs/>
        </w:rPr>
        <w:t>H</w:t>
      </w:r>
      <w:r w:rsidRPr="00BB54DF">
        <w:rPr>
          <w:rFonts w:cs="Arial"/>
          <w:bCs/>
        </w:rPr>
        <w:t>owever</w:t>
      </w:r>
      <w:r w:rsidR="001D7D0B" w:rsidRPr="00BB54DF">
        <w:rPr>
          <w:rFonts w:cs="Arial"/>
          <w:bCs/>
        </w:rPr>
        <w:t>,</w:t>
      </w:r>
      <w:r w:rsidRPr="00BB54DF">
        <w:rPr>
          <w:rFonts w:cs="Arial"/>
          <w:bCs/>
        </w:rPr>
        <w:t xml:space="preserve"> their </w:t>
      </w:r>
      <w:r w:rsidR="00403EB7" w:rsidRPr="00BB54DF">
        <w:rPr>
          <w:rFonts w:cs="Arial"/>
          <w:bCs/>
        </w:rPr>
        <w:t>use is contraindicated</w:t>
      </w:r>
      <w:r w:rsidR="006B4AD3" w:rsidRPr="00BB54DF">
        <w:rPr>
          <w:rFonts w:cs="Arial"/>
          <w:bCs/>
        </w:rPr>
        <w:t xml:space="preserve"> or to be used with caution</w:t>
      </w:r>
      <w:r w:rsidR="00403EB7" w:rsidRPr="00BB54DF">
        <w:rPr>
          <w:rFonts w:cs="Arial"/>
          <w:bCs/>
        </w:rPr>
        <w:t xml:space="preserve"> in </w:t>
      </w:r>
      <w:r w:rsidR="00FB316A" w:rsidRPr="00BB54DF">
        <w:rPr>
          <w:rFonts w:cs="Arial"/>
          <w:bCs/>
        </w:rPr>
        <w:t>chronic kidney disease (CKD)</w:t>
      </w:r>
      <w:r w:rsidR="00CC773B" w:rsidRPr="00BB54DF">
        <w:rPr>
          <w:rFonts w:cs="Arial"/>
          <w:bCs/>
        </w:rPr>
        <w:t xml:space="preserve"> patients</w:t>
      </w:r>
      <w:r w:rsidR="001D7D0B" w:rsidRPr="00BB54DF">
        <w:rPr>
          <w:rFonts w:cs="Arial"/>
        </w:rPr>
        <w:t>,</w:t>
      </w:r>
      <w:r w:rsidR="00403EB7" w:rsidRPr="00BB54DF">
        <w:rPr>
          <w:rFonts w:cs="Arial"/>
        </w:rPr>
        <w:t xml:space="preserve"> primarily due to a lack o</w:t>
      </w:r>
      <w:r w:rsidR="001D7D0B" w:rsidRPr="00BB54DF">
        <w:rPr>
          <w:rFonts w:cs="Arial"/>
        </w:rPr>
        <w:t>f</w:t>
      </w:r>
      <w:r w:rsidR="00403EB7" w:rsidRPr="00BB54DF">
        <w:rPr>
          <w:rFonts w:cs="Arial"/>
        </w:rPr>
        <w:t xml:space="preserve"> information about their safety and effectiveness. </w:t>
      </w:r>
      <w:r w:rsidR="0027219D" w:rsidRPr="00BB54DF">
        <w:rPr>
          <w:rFonts w:cs="Arial"/>
        </w:rPr>
        <w:t>We aimed t</w:t>
      </w:r>
      <w:r w:rsidR="00C53C1C" w:rsidRPr="00BB54DF">
        <w:rPr>
          <w:rFonts w:cs="Arial"/>
          <w:lang w:val="en-US"/>
        </w:rPr>
        <w:t xml:space="preserve">o investigate the </w:t>
      </w:r>
      <w:r w:rsidR="00F14267" w:rsidRPr="00BB54DF">
        <w:rPr>
          <w:rFonts w:cs="Arial"/>
          <w:lang w:val="en-US"/>
        </w:rPr>
        <w:t>safety</w:t>
      </w:r>
      <w:r w:rsidR="00C53C1C" w:rsidRPr="00BB54DF">
        <w:rPr>
          <w:rFonts w:cs="Arial"/>
          <w:lang w:val="en-US"/>
        </w:rPr>
        <w:t xml:space="preserve"> of </w:t>
      </w:r>
      <w:r w:rsidR="00452B0A" w:rsidRPr="00BB54DF">
        <w:rPr>
          <w:rFonts w:cs="Arial"/>
          <w:lang w:val="en-US"/>
        </w:rPr>
        <w:t xml:space="preserve">oral </w:t>
      </w:r>
      <w:r w:rsidR="00C53C1C" w:rsidRPr="00BB54DF">
        <w:rPr>
          <w:rFonts w:cs="Arial"/>
          <w:lang w:val="en-US"/>
        </w:rPr>
        <w:t>bisphosphonates in patients with moderate-to-severe CKD.</w:t>
      </w:r>
      <w:r w:rsidR="0027219D" w:rsidRPr="00BB54DF">
        <w:rPr>
          <w:rFonts w:cs="Arial"/>
          <w:lang w:val="en-US"/>
        </w:rPr>
        <w:t xml:space="preserve"> Using p</w:t>
      </w:r>
      <w:r w:rsidR="00C53C1C" w:rsidRPr="00BB54DF">
        <w:rPr>
          <w:rFonts w:cs="Arial"/>
          <w:lang w:val="en-US"/>
        </w:rPr>
        <w:t xml:space="preserve">rimary-care </w:t>
      </w:r>
      <w:r w:rsidR="008A354A" w:rsidRPr="00BB54DF">
        <w:rPr>
          <w:rFonts w:cs="Arial"/>
          <w:lang w:val="en-US"/>
        </w:rPr>
        <w:t xml:space="preserve">electronic </w:t>
      </w:r>
      <w:r w:rsidR="00C53C1C" w:rsidRPr="00BB54DF">
        <w:rPr>
          <w:rFonts w:cs="Arial"/>
          <w:lang w:val="en-US"/>
        </w:rPr>
        <w:t>records from</w:t>
      </w:r>
      <w:r w:rsidR="0027219D" w:rsidRPr="00BB54DF">
        <w:rPr>
          <w:rFonts w:cs="Arial"/>
          <w:lang w:val="en-US"/>
        </w:rPr>
        <w:t xml:space="preserve"> two cohorts,</w:t>
      </w:r>
      <w:r w:rsidR="00C53C1C" w:rsidRPr="00BB54DF">
        <w:rPr>
          <w:rFonts w:cs="Arial"/>
          <w:lang w:val="en-US"/>
        </w:rPr>
        <w:t xml:space="preserve"> CPRD GOLD (1997-2016) and SIDIAP (2007</w:t>
      </w:r>
      <w:r w:rsidR="00E20EDC" w:rsidRPr="00BB54DF">
        <w:rPr>
          <w:rFonts w:cs="Arial"/>
          <w:lang w:val="en-US"/>
        </w:rPr>
        <w:t>-</w:t>
      </w:r>
      <w:r w:rsidR="00C53C1C" w:rsidRPr="00BB54DF">
        <w:rPr>
          <w:rFonts w:cs="Arial"/>
          <w:lang w:val="en-US"/>
        </w:rPr>
        <w:t xml:space="preserve">2015) in the UK and </w:t>
      </w:r>
      <w:r w:rsidR="008A354A" w:rsidRPr="00BB54DF">
        <w:rPr>
          <w:rFonts w:cs="Arial"/>
          <w:lang w:val="en-US"/>
        </w:rPr>
        <w:t>Catalonia</w:t>
      </w:r>
      <w:r w:rsidR="001D7D0B" w:rsidRPr="00BB54DF">
        <w:rPr>
          <w:rFonts w:cs="Arial"/>
          <w:lang w:val="en-US"/>
        </w:rPr>
        <w:t>,</w:t>
      </w:r>
      <w:r w:rsidR="00C53C1C" w:rsidRPr="00BB54DF">
        <w:rPr>
          <w:rFonts w:cs="Arial"/>
          <w:lang w:val="en-US"/>
        </w:rPr>
        <w:t xml:space="preserve"> respectively. Both databases were linked to hospital records. SIDIAP was also linked to </w:t>
      </w:r>
      <w:r w:rsidR="008A354A" w:rsidRPr="00BB54DF">
        <w:rPr>
          <w:rFonts w:cs="Arial"/>
          <w:lang w:val="en-US"/>
        </w:rPr>
        <w:t xml:space="preserve">end-stage renal disease </w:t>
      </w:r>
      <w:r w:rsidR="00C53C1C" w:rsidRPr="00BB54DF">
        <w:rPr>
          <w:rFonts w:cs="Arial"/>
          <w:lang w:val="en-US"/>
        </w:rPr>
        <w:t>registry data</w:t>
      </w:r>
      <w:r w:rsidR="0027219D" w:rsidRPr="00BB54DF">
        <w:rPr>
          <w:rFonts w:cs="Arial"/>
          <w:lang w:val="en-US"/>
        </w:rPr>
        <w:t xml:space="preserve">. </w:t>
      </w:r>
      <w:r w:rsidR="00C53C1C" w:rsidRPr="00BB54DF">
        <w:rPr>
          <w:rFonts w:cs="Arial"/>
          <w:lang w:val="en-US"/>
        </w:rPr>
        <w:t xml:space="preserve">Patients with CKD </w:t>
      </w:r>
      <w:r w:rsidR="008A354A" w:rsidRPr="00BB54DF">
        <w:rPr>
          <w:rFonts w:cs="Arial"/>
          <w:lang w:val="en-US"/>
        </w:rPr>
        <w:t>stage 3b</w:t>
      </w:r>
      <w:r w:rsidR="00E20EDC" w:rsidRPr="00BB54DF">
        <w:rPr>
          <w:rFonts w:cs="Arial"/>
          <w:lang w:val="en-US"/>
        </w:rPr>
        <w:t>-5</w:t>
      </w:r>
      <w:r w:rsidR="005D2991" w:rsidRPr="00BB54DF">
        <w:rPr>
          <w:rFonts w:cs="Arial"/>
          <w:lang w:val="en-US"/>
        </w:rPr>
        <w:t>,</w:t>
      </w:r>
      <w:r w:rsidR="008A354A" w:rsidRPr="00BB54DF">
        <w:rPr>
          <w:rFonts w:cs="Arial"/>
          <w:lang w:val="en-US"/>
        </w:rPr>
        <w:t xml:space="preserve"> </w:t>
      </w:r>
      <w:r w:rsidR="00C53C1C" w:rsidRPr="00BB54DF">
        <w:rPr>
          <w:rFonts w:cs="Arial"/>
          <w:lang w:val="en-US"/>
        </w:rPr>
        <w:t>based on 2</w:t>
      </w:r>
      <w:r w:rsidR="005D2991" w:rsidRPr="00BB54DF">
        <w:rPr>
          <w:rFonts w:cs="Arial"/>
          <w:lang w:val="en-US"/>
        </w:rPr>
        <w:t xml:space="preserve"> or more</w:t>
      </w:r>
      <w:r w:rsidR="00C53C1C" w:rsidRPr="00BB54DF">
        <w:rPr>
          <w:rFonts w:cs="Arial"/>
        </w:rPr>
        <w:t xml:space="preserve"> </w:t>
      </w:r>
      <w:r w:rsidR="00681F65" w:rsidRPr="00BB54DF">
        <w:rPr>
          <w:rFonts w:cs="Arial"/>
        </w:rPr>
        <w:t>estimated glomerular filtration rate</w:t>
      </w:r>
      <w:r w:rsidR="00C53C1C" w:rsidRPr="00BB54DF">
        <w:rPr>
          <w:rFonts w:cs="Arial"/>
        </w:rPr>
        <w:t xml:space="preserve"> measurements less than 45</w:t>
      </w:r>
      <w:r w:rsidR="005D2991" w:rsidRPr="00BB54DF">
        <w:rPr>
          <w:rFonts w:cs="Arial"/>
        </w:rPr>
        <w:t xml:space="preserve"> ml/min/1.73m</w:t>
      </w:r>
      <w:r w:rsidR="005D2991" w:rsidRPr="00BB54DF">
        <w:rPr>
          <w:rFonts w:cs="Arial"/>
          <w:vertAlign w:val="superscript"/>
        </w:rPr>
        <w:t>2</w:t>
      </w:r>
      <w:r w:rsidR="008A354A" w:rsidRPr="00BB54DF">
        <w:rPr>
          <w:rFonts w:cs="Arial"/>
        </w:rPr>
        <w:t>,</w:t>
      </w:r>
      <w:r w:rsidR="00060105" w:rsidRPr="00BB54DF">
        <w:rPr>
          <w:rFonts w:cs="Arial"/>
        </w:rPr>
        <w:t xml:space="preserve"> aged 40 </w:t>
      </w:r>
      <w:r w:rsidR="00E20EDC" w:rsidRPr="00BB54DF">
        <w:rPr>
          <w:rFonts w:cs="Arial"/>
        </w:rPr>
        <w:t xml:space="preserve">years </w:t>
      </w:r>
      <w:r w:rsidR="00060105" w:rsidRPr="00BB54DF">
        <w:rPr>
          <w:rFonts w:cs="Arial"/>
        </w:rPr>
        <w:t>or older</w:t>
      </w:r>
      <w:r w:rsidR="0027219D" w:rsidRPr="00BB54DF">
        <w:rPr>
          <w:rFonts w:cs="Arial"/>
        </w:rPr>
        <w:t xml:space="preserve"> were identified</w:t>
      </w:r>
      <w:r w:rsidR="00C53C1C" w:rsidRPr="00BB54DF">
        <w:rPr>
          <w:rFonts w:cs="Arial"/>
        </w:rPr>
        <w:t>.</w:t>
      </w:r>
      <w:r w:rsidR="00060105" w:rsidRPr="00BB54DF">
        <w:rPr>
          <w:rFonts w:cs="Arial"/>
        </w:rPr>
        <w:t xml:space="preserve"> </w:t>
      </w:r>
      <w:r w:rsidR="00A332DC" w:rsidRPr="00BB54DF">
        <w:rPr>
          <w:rFonts w:cs="Arial"/>
        </w:rPr>
        <w:t>New bisphosphonate users were propensity-score-matched with up to five non-users to minimise confounding</w:t>
      </w:r>
      <w:r w:rsidR="0027219D" w:rsidRPr="00BB54DF">
        <w:rPr>
          <w:rFonts w:cs="Arial"/>
        </w:rPr>
        <w:t xml:space="preserve"> within this population. Our </w:t>
      </w:r>
      <w:proofErr w:type="spellStart"/>
      <w:r w:rsidR="0027219D" w:rsidRPr="00BB54DF">
        <w:rPr>
          <w:rFonts w:cs="Arial"/>
        </w:rPr>
        <w:t>pr</w:t>
      </w:r>
      <w:r w:rsidR="00C53C1C" w:rsidRPr="00BB54DF">
        <w:rPr>
          <w:rFonts w:cs="Arial"/>
          <w:lang w:val="en-US"/>
        </w:rPr>
        <w:t>imary</w:t>
      </w:r>
      <w:proofErr w:type="spellEnd"/>
      <w:r w:rsidR="00C53C1C" w:rsidRPr="00BB54DF">
        <w:rPr>
          <w:rFonts w:cs="Arial"/>
          <w:lang w:val="en-US"/>
        </w:rPr>
        <w:t xml:space="preserve"> outcome</w:t>
      </w:r>
      <w:r w:rsidR="0027219D" w:rsidRPr="00BB54DF">
        <w:rPr>
          <w:rFonts w:cs="Arial"/>
          <w:lang w:val="en-US"/>
        </w:rPr>
        <w:t xml:space="preserve"> was</w:t>
      </w:r>
      <w:r w:rsidR="00C53C1C" w:rsidRPr="00BB54DF">
        <w:rPr>
          <w:rFonts w:cs="Arial"/>
          <w:lang w:val="en-US"/>
        </w:rPr>
        <w:t xml:space="preserve"> CKD stage worsening (eGFR decline or renal replacement therapy). Secondary outcomes</w:t>
      </w:r>
      <w:r w:rsidR="0027219D" w:rsidRPr="00BB54DF">
        <w:rPr>
          <w:rFonts w:cs="Arial"/>
          <w:lang w:val="en-US"/>
        </w:rPr>
        <w:t xml:space="preserve"> were</w:t>
      </w:r>
      <w:r w:rsidR="00C53C1C" w:rsidRPr="00BB54DF">
        <w:rPr>
          <w:rFonts w:cs="Arial"/>
          <w:lang w:val="en-US"/>
        </w:rPr>
        <w:t xml:space="preserve"> </w:t>
      </w:r>
      <w:r w:rsidR="00C53C1C" w:rsidRPr="00BB54DF">
        <w:rPr>
          <w:rFonts w:cs="Arial"/>
        </w:rPr>
        <w:t xml:space="preserve">acute kidney injury, gastrointestinal bleeding/ulcers, and </w:t>
      </w:r>
      <w:r w:rsidR="008A354A" w:rsidRPr="00BB54DF">
        <w:rPr>
          <w:rFonts w:cs="Arial"/>
        </w:rPr>
        <w:t xml:space="preserve">severe </w:t>
      </w:r>
      <w:r w:rsidR="00C53C1C" w:rsidRPr="00BB54DF">
        <w:rPr>
          <w:rFonts w:cs="Arial"/>
        </w:rPr>
        <w:t>hypocalcaemia</w:t>
      </w:r>
      <w:r w:rsidR="00A332DC" w:rsidRPr="00BB54DF">
        <w:rPr>
          <w:rFonts w:cs="Arial"/>
        </w:rPr>
        <w:t xml:space="preserve">. Hazard ratios (HRs) were estimated using Cox </w:t>
      </w:r>
      <w:r w:rsidR="00681F65" w:rsidRPr="00BB54DF">
        <w:rPr>
          <w:rFonts w:cs="Arial"/>
        </w:rPr>
        <w:t>regression and</w:t>
      </w:r>
      <w:r w:rsidR="00A332DC" w:rsidRPr="00BB54DF">
        <w:rPr>
          <w:rFonts w:cs="Arial"/>
        </w:rPr>
        <w:t xml:space="preserve"> </w:t>
      </w:r>
      <w:r w:rsidR="0019078B" w:rsidRPr="00BB54DF">
        <w:rPr>
          <w:rFonts w:cs="Arial"/>
        </w:rPr>
        <w:t>Fine and Gray sub-</w:t>
      </w:r>
      <w:r w:rsidR="00A332DC" w:rsidRPr="00BB54DF">
        <w:rPr>
          <w:rFonts w:cs="Arial"/>
        </w:rPr>
        <w:t xml:space="preserve">HRs </w:t>
      </w:r>
      <w:r w:rsidR="00E20EDC" w:rsidRPr="00BB54DF">
        <w:rPr>
          <w:rFonts w:cs="Arial"/>
        </w:rPr>
        <w:t xml:space="preserve">were </w:t>
      </w:r>
      <w:r w:rsidR="00A332DC" w:rsidRPr="00BB54DF">
        <w:rPr>
          <w:rFonts w:cs="Arial"/>
        </w:rPr>
        <w:t xml:space="preserve">calculated </w:t>
      </w:r>
      <w:r w:rsidR="0030646A" w:rsidRPr="00BB54DF">
        <w:rPr>
          <w:rFonts w:cs="Arial"/>
        </w:rPr>
        <w:t>for competing risks</w:t>
      </w:r>
      <w:r w:rsidR="00A332DC" w:rsidRPr="00BB54DF">
        <w:rPr>
          <w:rFonts w:cs="Arial"/>
        </w:rPr>
        <w:t>.</w:t>
      </w:r>
      <w:r w:rsidR="0027219D" w:rsidRPr="00BB54DF">
        <w:rPr>
          <w:rFonts w:cs="Arial"/>
        </w:rPr>
        <w:t xml:space="preserve"> </w:t>
      </w:r>
      <w:r w:rsidR="00A332DC" w:rsidRPr="00BB54DF">
        <w:rPr>
          <w:rFonts w:cs="Arial"/>
        </w:rPr>
        <w:t>We matched 2,447 bisphosphonate users with 8,931 non-users from CPRD and 1,399 users with 6,547 non-users from SIDIAP. Bisphosphonate use was associated with greater risk of CKD progression in CPRD (HR [95% CI]: 1</w:t>
      </w:r>
      <w:r w:rsidR="00EC47FC" w:rsidRPr="00BB54DF">
        <w:rPr>
          <w:rFonts w:cs="Arial"/>
        </w:rPr>
        <w:t>.</w:t>
      </w:r>
      <w:r w:rsidR="00A332DC" w:rsidRPr="00BB54DF">
        <w:rPr>
          <w:rFonts w:cs="Arial"/>
        </w:rPr>
        <w:t>14 [1</w:t>
      </w:r>
      <w:r w:rsidR="00EC47FC" w:rsidRPr="00BB54DF">
        <w:rPr>
          <w:rFonts w:cs="Arial"/>
        </w:rPr>
        <w:t>.</w:t>
      </w:r>
      <w:r w:rsidR="00A332DC" w:rsidRPr="00BB54DF">
        <w:rPr>
          <w:rFonts w:cs="Arial"/>
        </w:rPr>
        <w:t>04, 1</w:t>
      </w:r>
      <w:r w:rsidR="00EC47FC" w:rsidRPr="00BB54DF">
        <w:rPr>
          <w:rFonts w:cs="Arial"/>
        </w:rPr>
        <w:t>.</w:t>
      </w:r>
      <w:r w:rsidR="00A332DC" w:rsidRPr="00BB54DF">
        <w:rPr>
          <w:rFonts w:cs="Arial"/>
        </w:rPr>
        <w:t>26]) and SIDIAP (HR: 1</w:t>
      </w:r>
      <w:r w:rsidR="00EC47FC" w:rsidRPr="00BB54DF">
        <w:rPr>
          <w:rFonts w:cs="Arial"/>
        </w:rPr>
        <w:t>.</w:t>
      </w:r>
      <w:r w:rsidR="00A332DC" w:rsidRPr="00BB54DF">
        <w:rPr>
          <w:rFonts w:cs="Arial"/>
        </w:rPr>
        <w:t>1</w:t>
      </w:r>
      <w:r w:rsidR="00EA43C3" w:rsidRPr="00BB54DF">
        <w:rPr>
          <w:rFonts w:cs="Arial"/>
        </w:rPr>
        <w:t>5</w:t>
      </w:r>
      <w:r w:rsidR="00A332DC" w:rsidRPr="00BB54DF">
        <w:rPr>
          <w:rFonts w:cs="Arial"/>
        </w:rPr>
        <w:t xml:space="preserve"> [1</w:t>
      </w:r>
      <w:r w:rsidR="00EC47FC" w:rsidRPr="00BB54DF">
        <w:rPr>
          <w:rFonts w:cs="Arial"/>
        </w:rPr>
        <w:t>.</w:t>
      </w:r>
      <w:r w:rsidR="00A332DC" w:rsidRPr="00BB54DF">
        <w:rPr>
          <w:rFonts w:cs="Arial"/>
        </w:rPr>
        <w:t>04, 1</w:t>
      </w:r>
      <w:r w:rsidR="00EC47FC" w:rsidRPr="00BB54DF">
        <w:rPr>
          <w:rFonts w:cs="Arial"/>
        </w:rPr>
        <w:t>.</w:t>
      </w:r>
      <w:r w:rsidR="00A332DC" w:rsidRPr="00BB54DF">
        <w:rPr>
          <w:rFonts w:cs="Arial"/>
        </w:rPr>
        <w:t>2</w:t>
      </w:r>
      <w:r w:rsidR="00EA43C3" w:rsidRPr="00BB54DF">
        <w:rPr>
          <w:rFonts w:cs="Arial"/>
        </w:rPr>
        <w:t>7</w:t>
      </w:r>
      <w:r w:rsidR="00A332DC" w:rsidRPr="00BB54DF">
        <w:rPr>
          <w:rFonts w:cs="Arial"/>
        </w:rPr>
        <w:t xml:space="preserve">]). No risk differences were found for </w:t>
      </w:r>
      <w:r w:rsidR="00E20EDC" w:rsidRPr="00BB54DF">
        <w:rPr>
          <w:rFonts w:cs="Arial"/>
        </w:rPr>
        <w:t>acute kidney injury</w:t>
      </w:r>
      <w:r w:rsidR="00A332DC" w:rsidRPr="00BB54DF">
        <w:rPr>
          <w:rFonts w:cs="Arial"/>
        </w:rPr>
        <w:t xml:space="preserve">, </w:t>
      </w:r>
      <w:r w:rsidR="00E20EDC" w:rsidRPr="00BB54DF">
        <w:rPr>
          <w:rFonts w:cs="Arial"/>
        </w:rPr>
        <w:t>gastrointestinal bleeding/ulcers</w:t>
      </w:r>
      <w:r w:rsidR="00A332DC" w:rsidRPr="00BB54DF">
        <w:rPr>
          <w:rFonts w:cs="Arial"/>
        </w:rPr>
        <w:t xml:space="preserve">, or hypocalcaemia. </w:t>
      </w:r>
      <w:r w:rsidR="0027219D" w:rsidRPr="00BB54DF">
        <w:rPr>
          <w:rFonts w:cs="Arial"/>
        </w:rPr>
        <w:t>Hence, we can conclude a</w:t>
      </w:r>
      <w:r w:rsidR="00A332DC" w:rsidRPr="00BB54DF">
        <w:rPr>
          <w:rFonts w:cs="Arial"/>
        </w:rPr>
        <w:t xml:space="preserve"> modest (15%) increased risk of CKD progression was identified in association with bisphosphonate use. No other safety concerns were identified. Our findings should be considered before prescribing bisphosphonates to patients with moderate-</w:t>
      </w:r>
      <w:r w:rsidR="008051F8" w:rsidRPr="00BB54DF">
        <w:rPr>
          <w:rFonts w:cs="Arial"/>
        </w:rPr>
        <w:t>to-</w:t>
      </w:r>
      <w:r w:rsidR="00A332DC" w:rsidRPr="00BB54DF">
        <w:rPr>
          <w:rFonts w:cs="Arial"/>
        </w:rPr>
        <w:t>severe CKD.</w:t>
      </w:r>
    </w:p>
    <w:p w14:paraId="32547089" w14:textId="323DE75E" w:rsidR="0027219D" w:rsidRPr="00BB54DF" w:rsidRDefault="0027219D" w:rsidP="0027219D">
      <w:pPr>
        <w:spacing w:line="360" w:lineRule="auto"/>
        <w:jc w:val="both"/>
        <w:rPr>
          <w:rFonts w:cs="Arial"/>
          <w:b/>
          <w:bCs/>
        </w:rPr>
      </w:pPr>
      <w:r w:rsidRPr="00BB54DF">
        <w:rPr>
          <w:rFonts w:cs="Arial"/>
          <w:b/>
          <w:bCs/>
        </w:rPr>
        <w:t>Key words</w:t>
      </w:r>
    </w:p>
    <w:p w14:paraId="0BE1D512" w14:textId="1E04FC4F" w:rsidR="0027219D" w:rsidRPr="00BB54DF" w:rsidRDefault="0027219D" w:rsidP="0027219D">
      <w:pPr>
        <w:spacing w:line="360" w:lineRule="auto"/>
        <w:jc w:val="both"/>
        <w:rPr>
          <w:rFonts w:cs="Arial"/>
        </w:rPr>
      </w:pPr>
      <w:r w:rsidRPr="00BB54DF">
        <w:rPr>
          <w:rFonts w:cs="Arial"/>
        </w:rPr>
        <w:t xml:space="preserve">General population studies, </w:t>
      </w:r>
      <w:proofErr w:type="spellStart"/>
      <w:r w:rsidRPr="00BB54DF">
        <w:rPr>
          <w:rFonts w:cs="Arial"/>
        </w:rPr>
        <w:t>Antiresorptives</w:t>
      </w:r>
      <w:proofErr w:type="spellEnd"/>
      <w:r w:rsidRPr="00BB54DF">
        <w:rPr>
          <w:rFonts w:cs="Arial"/>
        </w:rPr>
        <w:t xml:space="preserve">, Statistical methods, Osteoporosis, Fracture prevention, </w:t>
      </w:r>
    </w:p>
    <w:p w14:paraId="7932992B" w14:textId="0B712BEE" w:rsidR="00DA450F" w:rsidRPr="00BB54DF" w:rsidRDefault="00BF5C37" w:rsidP="00BF5C37">
      <w:pPr>
        <w:spacing w:before="0" w:after="160" w:line="259" w:lineRule="auto"/>
        <w:rPr>
          <w:rFonts w:cs="Arial"/>
          <w:b/>
          <w:lang w:val="en-US"/>
        </w:rPr>
      </w:pPr>
      <w:r w:rsidRPr="00BB54DF">
        <w:rPr>
          <w:rFonts w:cs="Arial"/>
          <w:b/>
          <w:lang w:val="en-US"/>
        </w:rPr>
        <w:br w:type="page"/>
      </w:r>
    </w:p>
    <w:p w14:paraId="74B000FE" w14:textId="5DF057E0" w:rsidR="00E364C9" w:rsidRPr="00BB54DF" w:rsidRDefault="005603FE" w:rsidP="00605BDA">
      <w:pPr>
        <w:spacing w:line="360" w:lineRule="auto"/>
        <w:jc w:val="both"/>
        <w:outlineLvl w:val="0"/>
        <w:rPr>
          <w:rFonts w:cs="Arial"/>
          <w:b/>
        </w:rPr>
      </w:pPr>
      <w:r w:rsidRPr="00BB54DF">
        <w:rPr>
          <w:rFonts w:cs="Arial"/>
          <w:b/>
        </w:rPr>
        <w:lastRenderedPageBreak/>
        <w:t>INTRODUCTION</w:t>
      </w:r>
    </w:p>
    <w:p w14:paraId="57C9FD53" w14:textId="33E9A6A1" w:rsidR="001F2FD7" w:rsidRPr="00BB54DF" w:rsidRDefault="00A4030B" w:rsidP="00E85F26">
      <w:pPr>
        <w:spacing w:line="360" w:lineRule="auto"/>
        <w:jc w:val="both"/>
        <w:rPr>
          <w:rFonts w:cs="Arial"/>
        </w:rPr>
      </w:pPr>
      <w:r w:rsidRPr="00BB54DF">
        <w:rPr>
          <w:rFonts w:cs="Arial"/>
        </w:rPr>
        <w:t>Moderate-</w:t>
      </w:r>
      <w:r w:rsidR="00F338D2" w:rsidRPr="00BB54DF">
        <w:rPr>
          <w:rFonts w:cs="Arial"/>
        </w:rPr>
        <w:t>to-</w:t>
      </w:r>
      <w:r w:rsidRPr="00BB54DF">
        <w:rPr>
          <w:rFonts w:cs="Arial"/>
        </w:rPr>
        <w:t>severe (s</w:t>
      </w:r>
      <w:r w:rsidR="002F7222" w:rsidRPr="00BB54DF">
        <w:rPr>
          <w:rFonts w:cs="Arial"/>
        </w:rPr>
        <w:t>tage 3-5</w:t>
      </w:r>
      <w:r w:rsidRPr="00BB54DF">
        <w:rPr>
          <w:rFonts w:cs="Arial"/>
        </w:rPr>
        <w:t>)</w:t>
      </w:r>
      <w:r w:rsidR="00B75DEB" w:rsidRPr="00BB54DF">
        <w:rPr>
          <w:rFonts w:cs="Arial"/>
        </w:rPr>
        <w:t xml:space="preserve"> c</w:t>
      </w:r>
      <w:r w:rsidR="00F606DB" w:rsidRPr="00BB54DF">
        <w:rPr>
          <w:rFonts w:cs="Arial"/>
        </w:rPr>
        <w:t>hronic kidney disease</w:t>
      </w:r>
      <w:r w:rsidR="002F7222" w:rsidRPr="00BB54DF">
        <w:rPr>
          <w:rFonts w:cs="Arial"/>
        </w:rPr>
        <w:t xml:space="preserve"> (CKD) </w:t>
      </w:r>
      <w:r w:rsidR="00F606DB" w:rsidRPr="00BB54DF">
        <w:rPr>
          <w:rFonts w:cs="Arial"/>
        </w:rPr>
        <w:t xml:space="preserve">affects </w:t>
      </w:r>
      <w:r w:rsidR="00201B69" w:rsidRPr="00BB54DF">
        <w:rPr>
          <w:rFonts w:cs="Arial"/>
        </w:rPr>
        <w:t xml:space="preserve">up to </w:t>
      </w:r>
      <w:r w:rsidR="00F606DB" w:rsidRPr="00BB54DF">
        <w:rPr>
          <w:rFonts w:cs="Arial"/>
        </w:rPr>
        <w:t>2.</w:t>
      </w:r>
      <w:r w:rsidR="00201B69" w:rsidRPr="00BB54DF">
        <w:rPr>
          <w:rFonts w:cs="Arial"/>
        </w:rPr>
        <w:t>8</w:t>
      </w:r>
      <w:r w:rsidR="00F606DB" w:rsidRPr="00BB54DF">
        <w:rPr>
          <w:rFonts w:cs="Arial"/>
        </w:rPr>
        <w:t xml:space="preserve"> million people in the United </w:t>
      </w:r>
      <w:r w:rsidR="000B6393" w:rsidRPr="00BB54DF">
        <w:rPr>
          <w:rFonts w:cs="Arial"/>
        </w:rPr>
        <w:t>Kingdom (UK)</w:t>
      </w:r>
      <w:r w:rsidR="00201B69" w:rsidRPr="00BB54DF">
        <w:rPr>
          <w:rFonts w:cs="Arial"/>
        </w:rPr>
        <w:fldChar w:fldCharType="begin"/>
      </w:r>
      <w:r w:rsidR="00CC773B" w:rsidRPr="00BB54DF">
        <w:rPr>
          <w:rFonts w:cs="Arial"/>
        </w:rPr>
        <w:instrText xml:space="preserve"> ADDIN EN.CITE &lt;EndNote&gt;&lt;Cite&gt;&lt;Author&gt;Kerr&lt;/Author&gt;&lt;Year&gt;2017&lt;/Year&gt;&lt;RecNum&gt;38&lt;/RecNum&gt;&lt;DisplayText&gt;[1]&lt;/DisplayText&gt;&lt;record&gt;&lt;rec-number&gt;38&lt;/rec-number&gt;&lt;foreign-keys&gt;&lt;key app="EN" db-id="pwdswvde6sasexe5rx9p90509rsftz22fdv9" timestamp="0"&gt;38&lt;/key&gt;&lt;/foreign-keys&gt;&lt;ref-type name="Government Document"&gt;46&lt;/ref-type&gt;&lt;contributors&gt;&lt;authors&gt;&lt;author&gt;Marion Kerr&lt;/author&gt;&lt;/authors&gt;&lt;secondary-authors&gt;&lt;author&gt;National Health Service England&lt;/author&gt;&lt;/secondary-authors&gt;&lt;/contributors&gt;&lt;titles&gt;&lt;title&gt;Chronic Kidney Diesease in England: The Human and Financial Cost&lt;/title&gt;&lt;/titles&gt;&lt;dates&gt;&lt;year&gt;2017&lt;/year&gt;&lt;/dates&gt;&lt;urls&gt;&lt;/urls&gt;&lt;/record&gt;&lt;/Cite&gt;&lt;/EndNote&gt;</w:instrText>
      </w:r>
      <w:r w:rsidR="00201B69" w:rsidRPr="00BB54DF">
        <w:rPr>
          <w:rFonts w:cs="Arial"/>
        </w:rPr>
        <w:fldChar w:fldCharType="separate"/>
      </w:r>
      <w:r w:rsidR="00CC773B" w:rsidRPr="00BB54DF">
        <w:rPr>
          <w:rFonts w:cs="Arial"/>
          <w:noProof/>
        </w:rPr>
        <w:t>[1]</w:t>
      </w:r>
      <w:r w:rsidR="00201B69" w:rsidRPr="00BB54DF">
        <w:rPr>
          <w:rFonts w:cs="Arial"/>
        </w:rPr>
        <w:fldChar w:fldCharType="end"/>
      </w:r>
      <w:r w:rsidR="00607917" w:rsidRPr="00BB54DF">
        <w:rPr>
          <w:rFonts w:cs="Arial"/>
        </w:rPr>
        <w:t xml:space="preserve"> and 2.7 million people in Spain</w:t>
      </w:r>
      <w:r w:rsidR="00201B69" w:rsidRPr="00BB54DF">
        <w:rPr>
          <w:rFonts w:cs="Arial"/>
        </w:rPr>
        <w:fldChar w:fldCharType="begin"/>
      </w:r>
      <w:r w:rsidR="00A8378F" w:rsidRPr="00BB54DF">
        <w:rPr>
          <w:rFonts w:cs="Arial"/>
        </w:rPr>
        <w:instrText xml:space="preserve"> ADDIN EN.CITE &lt;EndNote&gt;&lt;Cite&gt;&lt;Author&gt;Otero&lt;/Author&gt;&lt;Year&gt;2010&lt;/Year&gt;&lt;RecNum&gt;37&lt;/RecNum&gt;&lt;DisplayText&gt;[2]&lt;/DisplayText&gt;&lt;record&gt;&lt;rec-number&gt;37&lt;/rec-number&gt;&lt;foreign-keys&gt;&lt;key app="EN" db-id="pwdswvde6sasexe5rx9p90509rsftz22fdv9" timestamp="0"&gt;37&lt;/key&gt;&lt;/foreign-keys&gt;&lt;ref-type name="Journal Article"&gt;17&lt;/ref-type&gt;&lt;contributors&gt;&lt;authors&gt;&lt;author&gt;Otero, A.&lt;/author&gt;&lt;author&gt;de Francisco, A.&lt;/author&gt;&lt;author&gt;Gayoso, P.&lt;/author&gt;&lt;author&gt;Garcia, F.&lt;/author&gt;&lt;/authors&gt;&lt;/contributors&gt;&lt;auth-address&gt;Nephrology Department, Ourense Hospital, Orense, Spain. alfonso.otero.gonzalez@sergas.es&lt;/auth-address&gt;&lt;titles&gt;&lt;title&gt;Prevalence of chronic renal disease in Spain: results of the EPIRCE study&lt;/title&gt;&lt;secondary-title&gt;Nefrologia&lt;/secondary-title&gt;&lt;alt-title&gt;Nefrologia : publicacion oficial de la Sociedad Espanola Nefrologia&lt;/alt-title&gt;&lt;/titles&gt;&lt;periodical&gt;&lt;full-title&gt;Nefrologia : publicacion oficial de la Sociedad Espanola Nefrologia&lt;/full-title&gt;&lt;abbr-1&gt;Nefrologia&lt;/abbr-1&gt;&lt;/periodical&gt;&lt;alt-periodical&gt;&lt;full-title&gt;Nefrologia : publicacion oficial de la Sociedad Espanola Nefrologia&lt;/full-title&gt;&lt;abbr-1&gt;Nefrologia&lt;/abbr-1&gt;&lt;/alt-periodical&gt;&lt;pages&gt;78-86&lt;/pages&gt;&lt;volume&gt;30&lt;/volume&gt;&lt;number&gt;1&lt;/number&gt;&lt;edition&gt;2009/12/30&lt;/edition&gt;&lt;keywords&gt;&lt;keyword&gt;Adult&lt;/keyword&gt;&lt;keyword&gt;Cross-Sectional Studies&lt;/keyword&gt;&lt;keyword&gt;Female&lt;/keyword&gt;&lt;keyword&gt;Humans&lt;/keyword&gt;&lt;keyword&gt;Kidney Diseases&lt;/keyword&gt;&lt;keyword&gt;Kidney Failure, Chronic/*epidemiology&lt;/keyword&gt;&lt;keyword&gt;Male&lt;/keyword&gt;&lt;keyword&gt;Middle Aged&lt;/keyword&gt;&lt;keyword&gt;Prevalence&lt;/keyword&gt;&lt;keyword&gt;Spain/epidemiology&lt;/keyword&gt;&lt;keyword&gt;Young Adult&lt;/keyword&gt;&lt;/keywords&gt;&lt;dates&gt;&lt;year&gt;2010&lt;/year&gt;&lt;/dates&gt;&lt;isbn&gt;0211-6995 (Print)&amp;#xD;0211-6995&lt;/isbn&gt;&lt;accession-num&gt;20038967&lt;/accession-num&gt;&lt;urls&gt;&lt;/urls&gt;&lt;electronic-resource-num&gt;10.3265/Nefrologia.pre2009.Dic.5732&lt;/electronic-resource-num&gt;&lt;remote-database-provider&gt;NLM&lt;/remote-database-provider&gt;&lt;language&gt;eng&lt;/language&gt;&lt;/record&gt;&lt;/Cite&gt;&lt;/EndNote&gt;</w:instrText>
      </w:r>
      <w:r w:rsidR="00201B69" w:rsidRPr="00BB54DF">
        <w:rPr>
          <w:rFonts w:cs="Arial"/>
        </w:rPr>
        <w:fldChar w:fldCharType="separate"/>
      </w:r>
      <w:r w:rsidR="00CC773B" w:rsidRPr="00BB54DF">
        <w:rPr>
          <w:rFonts w:cs="Arial"/>
          <w:noProof/>
        </w:rPr>
        <w:t>[2]</w:t>
      </w:r>
      <w:r w:rsidR="00201B69" w:rsidRPr="00BB54DF">
        <w:rPr>
          <w:rFonts w:cs="Arial"/>
        </w:rPr>
        <w:fldChar w:fldCharType="end"/>
      </w:r>
      <w:r w:rsidR="00F01A9E" w:rsidRPr="00BB54DF">
        <w:rPr>
          <w:rFonts w:cs="Arial"/>
        </w:rPr>
        <w:t>.</w:t>
      </w:r>
      <w:r w:rsidRPr="00BB54DF">
        <w:rPr>
          <w:rFonts w:cs="Arial"/>
        </w:rPr>
        <w:t xml:space="preserve"> CKD is associated with low bone mass</w:t>
      </w:r>
      <w:r w:rsidR="00532E03" w:rsidRPr="00BB54DF">
        <w:rPr>
          <w:rFonts w:cs="Arial"/>
        </w:rPr>
        <w:fldChar w:fldCharType="begin"/>
      </w:r>
      <w:r w:rsidR="00CC773B" w:rsidRPr="00BB54DF">
        <w:rPr>
          <w:rFonts w:cs="Arial"/>
        </w:rPr>
        <w:instrText xml:space="preserve"> ADDIN EN.CITE &lt;EndNote&gt;&lt;Cite&gt;&lt;Author&gt;Pan&lt;/Author&gt;&lt;Year&gt;2018&lt;/Year&gt;&lt;RecNum&gt;63&lt;/RecNum&gt;&lt;DisplayText&gt;[3]&lt;/DisplayText&gt;&lt;record&gt;&lt;rec-number&gt;63&lt;/rec-number&gt;&lt;foreign-keys&gt;&lt;key app="EN" db-id="pwdswvde6sasexe5rx9p90509rsftz22fdv9" timestamp="1568364592"&gt;63&lt;/key&gt;&lt;/foreign-keys&gt;&lt;ref-type name="Journal Article"&gt;17&lt;/ref-type&gt;&lt;contributors&gt;&lt;authors&gt;&lt;author&gt;Pan, Bo-Lin&lt;/author&gt;&lt;author&gt;Loke, Song-Seng&lt;/author&gt;&lt;/authors&gt;&lt;/contributors&gt;&lt;titles&gt;&lt;title&gt;Chronic kidney disease associated with decreased bone mineral density, uric acid and metabolic syndrome&lt;/title&gt;&lt;secondary-title&gt;PloS one&lt;/secondary-title&gt;&lt;alt-title&gt;PLoS One&lt;/alt-title&gt;&lt;/titles&gt;&lt;pages&gt;e0190985-e0190985&lt;/pages&gt;&lt;volume&gt;13&lt;/volume&gt;&lt;number&gt;1&lt;/number&gt;&lt;keywords&gt;&lt;keyword&gt;*Bone Density&lt;/keyword&gt;&lt;keyword&gt;Cross-Sectional Studies&lt;/keyword&gt;&lt;keyword&gt;Female&lt;/keyword&gt;&lt;keyword&gt;Humans&lt;/keyword&gt;&lt;keyword&gt;Male&lt;/keyword&gt;&lt;keyword&gt;Metabolic Syndrome/*complications&lt;/keyword&gt;&lt;keyword&gt;Middle Aged&lt;/keyword&gt;&lt;keyword&gt;Prognosis&lt;/keyword&gt;&lt;keyword&gt;Renal Insufficiency, Chronic/*diagnosis/etiology/metabolism&lt;/keyword&gt;&lt;keyword&gt;Retrospective Studies&lt;/keyword&gt;&lt;keyword&gt;Risk Factors&lt;/keyword&gt;&lt;keyword&gt;Uric Acid/*metabolism&lt;/keyword&gt;&lt;/keywords&gt;&lt;dates&gt;&lt;year&gt;2018&lt;/year&gt;&lt;/dates&gt;&lt;publisher&gt;Public Library of Science&lt;/publisher&gt;&lt;isbn&gt;1932-6203&lt;/isbn&gt;&lt;accession-num&gt;29320555&lt;/accession-num&gt;&lt;urls&gt;&lt;related-urls&gt;&lt;url&gt;https://www.ncbi.nlm.nih.gov/pubmed/29320555&lt;/url&gt;&lt;url&gt;https://www.ncbi.nlm.nih.gov/pmc/articles/PMC5761949/&lt;/url&gt;&lt;/related-urls&gt;&lt;/urls&gt;&lt;electronic-resource-num&gt;10.1371/journal.pone.0190985&lt;/electronic-resource-num&gt;&lt;remote-database-name&gt;PubMed&lt;/remote-database-name&gt;&lt;language&gt;eng&lt;/language&gt;&lt;/record&gt;&lt;/Cite&gt;&lt;/EndNote&gt;</w:instrText>
      </w:r>
      <w:r w:rsidR="00532E03" w:rsidRPr="00BB54DF">
        <w:rPr>
          <w:rFonts w:cs="Arial"/>
        </w:rPr>
        <w:fldChar w:fldCharType="separate"/>
      </w:r>
      <w:r w:rsidR="00CC773B" w:rsidRPr="00BB54DF">
        <w:rPr>
          <w:rFonts w:cs="Arial"/>
          <w:noProof/>
        </w:rPr>
        <w:t>[3]</w:t>
      </w:r>
      <w:r w:rsidR="00532E03" w:rsidRPr="00BB54DF">
        <w:rPr>
          <w:rFonts w:cs="Arial"/>
        </w:rPr>
        <w:fldChar w:fldCharType="end"/>
      </w:r>
      <w:r w:rsidR="002975B8" w:rsidRPr="00BB54DF">
        <w:rPr>
          <w:rFonts w:cs="Arial"/>
        </w:rPr>
        <w:t>.</w:t>
      </w:r>
      <w:r w:rsidR="00532E03" w:rsidRPr="00BB54DF">
        <w:rPr>
          <w:rFonts w:cs="Arial"/>
        </w:rPr>
        <w:t xml:space="preserve"> </w:t>
      </w:r>
      <w:r w:rsidR="002975B8" w:rsidRPr="00BB54DF">
        <w:rPr>
          <w:rFonts w:cs="Arial"/>
        </w:rPr>
        <w:t>I</w:t>
      </w:r>
      <w:r w:rsidR="003B40B1" w:rsidRPr="00BB54DF">
        <w:rPr>
          <w:rFonts w:cs="Arial"/>
        </w:rPr>
        <w:t>ncreased fracture risk</w:t>
      </w:r>
      <w:r w:rsidR="002C6FA1" w:rsidRPr="00BB54DF">
        <w:rPr>
          <w:rFonts w:cs="Arial"/>
        </w:rPr>
        <w:t xml:space="preserve"> </w:t>
      </w:r>
      <w:r w:rsidR="00733296" w:rsidRPr="00BB54DF">
        <w:rPr>
          <w:rFonts w:cs="Arial"/>
        </w:rPr>
        <w:t xml:space="preserve">is associated </w:t>
      </w:r>
      <w:r w:rsidRPr="00BB54DF">
        <w:rPr>
          <w:rFonts w:cs="Arial"/>
        </w:rPr>
        <w:t xml:space="preserve">with </w:t>
      </w:r>
      <w:r w:rsidR="007E3A43" w:rsidRPr="00BB54DF">
        <w:rPr>
          <w:rFonts w:cs="Arial"/>
        </w:rPr>
        <w:t xml:space="preserve">increasing </w:t>
      </w:r>
      <w:r w:rsidRPr="00BB54DF">
        <w:rPr>
          <w:rFonts w:cs="Arial"/>
        </w:rPr>
        <w:t>CKD severity</w:t>
      </w:r>
      <w:r w:rsidR="00AC05EC" w:rsidRPr="00BB54DF">
        <w:rPr>
          <w:rFonts w:cs="Arial"/>
        </w:rPr>
        <w:t xml:space="preserve"> </w:t>
      </w:r>
      <w:r w:rsidR="00AC05EC" w:rsidRPr="00BB54DF">
        <w:rPr>
          <w:rFonts w:cs="Arial"/>
        </w:rPr>
        <w:fldChar w:fldCharType="begin"/>
      </w:r>
      <w:r w:rsidR="00F003BB" w:rsidRPr="00BB54DF">
        <w:rPr>
          <w:rFonts w:cs="Arial"/>
        </w:rPr>
        <w:instrText xml:space="preserve"> ADDIN EN.CITE &lt;EndNote&gt;&lt;Cite&gt;&lt;Author&gt;Nickolas&lt;/Author&gt;&lt;Year&gt;2006&lt;/Year&gt;&lt;RecNum&gt;39&lt;/RecNum&gt;&lt;DisplayText&gt;[4]&lt;/DisplayText&gt;&lt;record&gt;&lt;rec-number&gt;39&lt;/rec-number&gt;&lt;foreign-keys&gt;&lt;key app="EN" db-id="pwdswvde6sasexe5rx9p90509rsftz22fdv9" timestamp="0"&gt;39&lt;/key&gt;&lt;/foreign-keys&gt;&lt;ref-type name="Journal Article"&gt;17&lt;/ref-type&gt;&lt;contributors&gt;&lt;authors&gt;&lt;author&gt;Nickolas, T. L.&lt;/author&gt;&lt;author&gt;McMahon, D. J.&lt;/author&gt;&lt;author&gt;Shane, E.&lt;/author&gt;&lt;/authors&gt;&lt;/contributors&gt;&lt;auth-address&gt;Division of Nephrology, Department of Medicine, Columbia University Medical Center, New York, NY 10032, USA. tln2001@colubmia.edu&lt;/auth-address&gt;&lt;titles&gt;&lt;title&gt;Relationship between moderate to severe kidney disease and hip fracture in the United States&lt;/title&gt;&lt;secondary-title&gt;J Am Soc Nephrol&lt;/secondary-title&gt;&lt;alt-title&gt;Journal of the American Society of Nephrology : JASN&lt;/alt-title&gt;&lt;/titles&gt;&lt;periodical&gt;&lt;full-title&gt;J Am Soc Nephrol&lt;/full-title&gt;&lt;/periodical&gt;&lt;pages&gt;3223-32&lt;/pages&gt;&lt;volume&gt;17&lt;/volume&gt;&lt;number&gt;11&lt;/number&gt;&lt;edition&gt;2006/09/29&lt;/edition&gt;&lt;keywords&gt;&lt;keyword&gt;Aged&lt;/keyword&gt;&lt;keyword&gt;Chronic Disease&lt;/keyword&gt;&lt;keyword&gt;Female&lt;/keyword&gt;&lt;keyword&gt;Fractures, Spontaneous/epidemiology/*etiology&lt;/keyword&gt;&lt;keyword&gt;Hip Fractures/epidemiology/*etiology&lt;/keyword&gt;&lt;keyword&gt;Humans&lt;/keyword&gt;&lt;keyword&gt;Kidney Diseases/*complications&lt;/keyword&gt;&lt;keyword&gt;Male&lt;/keyword&gt;&lt;keyword&gt;Middle Aged&lt;/keyword&gt;&lt;keyword&gt;Severity of Illness Index&lt;/keyword&gt;&lt;keyword&gt;United States/epidemiology&lt;/keyword&gt;&lt;/keywords&gt;&lt;dates&gt;&lt;year&gt;2006&lt;/year&gt;&lt;pub-dates&gt;&lt;date&gt;Nov&lt;/date&gt;&lt;/pub-dates&gt;&lt;/dates&gt;&lt;isbn&gt;1046-6673 (Print)&amp;#xD;1046-6673&lt;/isbn&gt;&lt;accession-num&gt;17005938&lt;/accession-num&gt;&lt;urls&gt;&lt;/urls&gt;&lt;electronic-resource-num&gt;10.1681/asn.2005111194&lt;/electronic-resource-num&gt;&lt;remote-database-provider&gt;NLM&lt;/remote-database-provider&gt;&lt;language&gt;eng&lt;/language&gt;&lt;/record&gt;&lt;/Cite&gt;&lt;/EndNote&gt;</w:instrText>
      </w:r>
      <w:r w:rsidR="00AC05EC" w:rsidRPr="00BB54DF">
        <w:rPr>
          <w:rFonts w:cs="Arial"/>
        </w:rPr>
        <w:fldChar w:fldCharType="separate"/>
      </w:r>
      <w:r w:rsidR="00CC773B" w:rsidRPr="00BB54DF">
        <w:rPr>
          <w:rFonts w:cs="Arial"/>
          <w:noProof/>
        </w:rPr>
        <w:t>[4]</w:t>
      </w:r>
      <w:r w:rsidR="00AC05EC" w:rsidRPr="00BB54DF">
        <w:rPr>
          <w:rFonts w:cs="Arial"/>
        </w:rPr>
        <w:fldChar w:fldCharType="end"/>
      </w:r>
      <w:r w:rsidR="00AC05EC" w:rsidRPr="00BB54DF">
        <w:rPr>
          <w:rFonts w:cs="Arial"/>
        </w:rPr>
        <w:t xml:space="preserve"> </w:t>
      </w:r>
      <w:r w:rsidR="00AC05EC" w:rsidRPr="00BB54DF">
        <w:rPr>
          <w:rFonts w:cs="Arial"/>
        </w:rPr>
        <w:fldChar w:fldCharType="begin"/>
      </w:r>
      <w:r w:rsidR="00CC773B" w:rsidRPr="00BB54DF">
        <w:rPr>
          <w:rFonts w:cs="Arial"/>
        </w:rPr>
        <w:instrText xml:space="preserve"> ADDIN EN.CITE &lt;EndNote&gt;&lt;Cite&gt;&lt;Author&gt;Ensrud&lt;/Author&gt;&lt;Year&gt;2007&lt;/Year&gt;&lt;RecNum&gt;40&lt;/RecNum&gt;&lt;DisplayText&gt;[5]&lt;/DisplayText&gt;&lt;record&gt;&lt;rec-number&gt;40&lt;/rec-number&gt;&lt;foreign-keys&gt;&lt;key app="EN" db-id="pwdswvde6sasexe5rx9p90509rsftz22fdv9" timestamp="0"&gt;40&lt;/key&gt;&lt;/foreign-keys&gt;&lt;ref-type name="Journal Article"&gt;17&lt;/ref-type&gt;&lt;contributors&gt;&lt;authors&gt;&lt;author&gt;Ensrud, K. E.&lt;/author&gt;&lt;author&gt;Lui, L. Y.&lt;/author&gt;&lt;author&gt;Taylor, B. C.&lt;/author&gt;&lt;author&gt;Ishani, A.&lt;/author&gt;&lt;author&gt;Shlipak, M. G.&lt;/author&gt;&lt;author&gt;Stone, K. L.&lt;/author&gt;&lt;author&gt;Cauley, J. A.&lt;/author&gt;&lt;author&gt;Jamal, S. A.&lt;/author&gt;&lt;author&gt;Antoniucci, D. M.&lt;/author&gt;&lt;author&gt;Cummings, S. R.&lt;/author&gt;&lt;/authors&gt;&lt;/contributors&gt;&lt;auth-address&gt;Center for Chronic Disease Outcomes Research, VA Medical Center, Minneapolis, MN 55417, USA. ensru001@umn.edu&lt;/auth-address&gt;&lt;titles&gt;&lt;title&gt;Renal function and risk of hip and vertebral fractures in older women&lt;/title&gt;&lt;secondary-title&gt;Arch Intern Med&lt;/secondary-title&gt;&lt;alt-title&gt;Archives of internal medicine&lt;/alt-title&gt;&lt;/titles&gt;&lt;pages&gt;133-9&lt;/pages&gt;&lt;volume&gt;167&lt;/volume&gt;&lt;number&gt;2&lt;/number&gt;&lt;edition&gt;2007/01/24&lt;/edition&gt;&lt;keywords&gt;&lt;keyword&gt;Aged&lt;/keyword&gt;&lt;keyword&gt;Body Weight&lt;/keyword&gt;&lt;keyword&gt;Bone Density&lt;/keyword&gt;&lt;keyword&gt;Chronic Disease&lt;/keyword&gt;&lt;keyword&gt;Cohort Studies&lt;/keyword&gt;&lt;keyword&gt;Female&lt;/keyword&gt;&lt;keyword&gt;*Glomerular Filtration Rate&lt;/keyword&gt;&lt;keyword&gt;Hip Fractures/*epidemiology/etiology&lt;/keyword&gt;&lt;keyword&gt;Humans&lt;/keyword&gt;&lt;keyword&gt;Kidney Diseases/*complications/physiopathology&lt;/keyword&gt;&lt;keyword&gt;Logistic Models&lt;/keyword&gt;&lt;keyword&gt;Multivariate Analysis&lt;/keyword&gt;&lt;keyword&gt;Proportional Hazards Models&lt;/keyword&gt;&lt;keyword&gt;Risk Assessment&lt;/keyword&gt;&lt;keyword&gt;Spinal Fractures/*epidemiology/etiology&lt;/keyword&gt;&lt;/keywords&gt;&lt;dates&gt;&lt;year&gt;2007&lt;/year&gt;&lt;pub-dates&gt;&lt;date&gt;Jan 22&lt;/date&gt;&lt;/pub-dates&gt;&lt;/dates&gt;&lt;isbn&gt;0003-9926 (Print)&amp;#xD;0003-9926&lt;/isbn&gt;&lt;accession-num&gt;17242313&lt;/accession-num&gt;&lt;urls&gt;&lt;/urls&gt;&lt;electronic-resource-num&gt;10.1001/archinte.167.2.133&lt;/electronic-resource-num&gt;&lt;remote-database-provider&gt;NLM&lt;/remote-database-provider&gt;&lt;language&gt;eng&lt;/language&gt;&lt;/record&gt;&lt;/Cite&gt;&lt;/EndNote&gt;</w:instrText>
      </w:r>
      <w:r w:rsidR="00AC05EC" w:rsidRPr="00BB54DF">
        <w:rPr>
          <w:rFonts w:cs="Arial"/>
        </w:rPr>
        <w:fldChar w:fldCharType="separate"/>
      </w:r>
      <w:r w:rsidR="00CC773B" w:rsidRPr="00BB54DF">
        <w:rPr>
          <w:rFonts w:cs="Arial"/>
          <w:noProof/>
        </w:rPr>
        <w:t>[5]</w:t>
      </w:r>
      <w:r w:rsidR="00AC05EC" w:rsidRPr="00BB54DF">
        <w:rPr>
          <w:rFonts w:cs="Arial"/>
        </w:rPr>
        <w:fldChar w:fldCharType="end"/>
      </w:r>
      <w:r w:rsidR="00AC05EC" w:rsidRPr="00BB54DF">
        <w:rPr>
          <w:rFonts w:cs="Arial"/>
        </w:rPr>
        <w:t xml:space="preserve"> </w:t>
      </w:r>
      <w:r w:rsidR="00AC05EC" w:rsidRPr="00BB54DF">
        <w:rPr>
          <w:rFonts w:cs="Arial"/>
        </w:rPr>
        <w:fldChar w:fldCharType="begin">
          <w:fldData xml:space="preserve">PEVuZE5vdGU+PENpdGU+PEF1dGhvcj5Eb29sZXk8L0F1dGhvcj48WWVhcj4yMDA4PC9ZZWFyPjxS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</w:fldData>
        </w:fldChar>
      </w:r>
      <w:r w:rsidR="00F003BB" w:rsidRPr="00BB54DF">
        <w:rPr>
          <w:rFonts w:cs="Arial"/>
        </w:rPr>
        <w:instrText xml:space="preserve"> ADDIN EN.CITE </w:instrText>
      </w:r>
      <w:r w:rsidR="00F003BB" w:rsidRPr="00BB54DF">
        <w:rPr>
          <w:rFonts w:cs="Arial"/>
        </w:rPr>
        <w:fldChar w:fldCharType="begin">
          <w:fldData xml:space="preserve">PEVuZE5vdGU+PENpdGU+PEF1dGhvcj5Eb29sZXk8L0F1dGhvcj48WWVhcj4yMDA4PC9ZZWFyPjxS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</w:fldData>
        </w:fldChar>
      </w:r>
      <w:r w:rsidR="00F003BB" w:rsidRPr="00BB54DF">
        <w:rPr>
          <w:rFonts w:cs="Arial"/>
        </w:rPr>
        <w:instrText xml:space="preserve"> ADDIN EN.CITE.DATA </w:instrText>
      </w:r>
      <w:r w:rsidR="00F003BB" w:rsidRPr="00BB54DF">
        <w:rPr>
          <w:rFonts w:cs="Arial"/>
        </w:rPr>
      </w:r>
      <w:r w:rsidR="00F003BB" w:rsidRPr="00BB54DF">
        <w:rPr>
          <w:rFonts w:cs="Arial"/>
        </w:rPr>
        <w:fldChar w:fldCharType="end"/>
      </w:r>
      <w:r w:rsidR="00AC05EC" w:rsidRPr="00BB54DF">
        <w:rPr>
          <w:rFonts w:cs="Arial"/>
        </w:rPr>
      </w:r>
      <w:r w:rsidR="00AC05EC" w:rsidRPr="00BB54DF">
        <w:rPr>
          <w:rFonts w:cs="Arial"/>
        </w:rPr>
        <w:fldChar w:fldCharType="separate"/>
      </w:r>
      <w:r w:rsidR="00CC773B" w:rsidRPr="00BB54DF">
        <w:rPr>
          <w:rFonts w:cs="Arial"/>
          <w:noProof/>
        </w:rPr>
        <w:t>[6, 7]</w:t>
      </w:r>
      <w:r w:rsidR="00AC05EC" w:rsidRPr="00BB54DF">
        <w:rPr>
          <w:rFonts w:cs="Arial"/>
        </w:rPr>
        <w:fldChar w:fldCharType="end"/>
      </w:r>
      <w:r w:rsidR="001C7FF5" w:rsidRPr="00BB54DF">
        <w:rPr>
          <w:rFonts w:cs="Arial"/>
        </w:rPr>
        <w:t>.</w:t>
      </w:r>
    </w:p>
    <w:p w14:paraId="07E7F740" w14:textId="1FDED277" w:rsidR="00DC4FF3" w:rsidRPr="00BB54DF" w:rsidRDefault="00F338D2" w:rsidP="00E85F26">
      <w:pPr>
        <w:spacing w:line="360" w:lineRule="auto"/>
        <w:jc w:val="both"/>
        <w:rPr>
          <w:rFonts w:cs="Arial"/>
        </w:rPr>
      </w:pPr>
      <w:r w:rsidRPr="00BB54DF">
        <w:rPr>
          <w:rFonts w:cs="Arial"/>
        </w:rPr>
        <w:t>Although</w:t>
      </w:r>
      <w:r w:rsidR="00F606DB" w:rsidRPr="00BB54DF">
        <w:rPr>
          <w:rFonts w:cs="Arial"/>
        </w:rPr>
        <w:t xml:space="preserve"> </w:t>
      </w:r>
      <w:r w:rsidR="008A62A4" w:rsidRPr="00BB54DF">
        <w:rPr>
          <w:rFonts w:cs="Arial"/>
        </w:rPr>
        <w:t xml:space="preserve">bisphosphonates </w:t>
      </w:r>
      <w:r w:rsidR="00F606DB" w:rsidRPr="00BB54DF">
        <w:rPr>
          <w:rFonts w:cs="Arial"/>
        </w:rPr>
        <w:t xml:space="preserve">are </w:t>
      </w:r>
      <w:r w:rsidR="00DF2216" w:rsidRPr="00BB54DF">
        <w:rPr>
          <w:rFonts w:cs="Arial"/>
        </w:rPr>
        <w:t>first</w:t>
      </w:r>
      <w:r w:rsidRPr="00BB54DF">
        <w:rPr>
          <w:rFonts w:cs="Arial"/>
        </w:rPr>
        <w:t>-</w:t>
      </w:r>
      <w:r w:rsidR="00DF2216" w:rsidRPr="00BB54DF">
        <w:rPr>
          <w:rFonts w:cs="Arial"/>
        </w:rPr>
        <w:t>line</w:t>
      </w:r>
      <w:r w:rsidR="008A62A4" w:rsidRPr="00BB54DF">
        <w:rPr>
          <w:rFonts w:cs="Arial"/>
        </w:rPr>
        <w:t xml:space="preserve"> </w:t>
      </w:r>
      <w:r w:rsidR="00DF2216" w:rsidRPr="00BB54DF">
        <w:rPr>
          <w:rFonts w:cs="Arial"/>
        </w:rPr>
        <w:t xml:space="preserve">anti-osteoporosis </w:t>
      </w:r>
      <w:r w:rsidR="008A62A4" w:rsidRPr="00BB54DF">
        <w:rPr>
          <w:rFonts w:cs="Arial"/>
        </w:rPr>
        <w:t>therap</w:t>
      </w:r>
      <w:r w:rsidR="00DF2216" w:rsidRPr="00BB54DF">
        <w:rPr>
          <w:rFonts w:cs="Arial"/>
        </w:rPr>
        <w:t>ies</w:t>
      </w:r>
      <w:r w:rsidR="008A62A4" w:rsidRPr="00BB54DF">
        <w:rPr>
          <w:rFonts w:cs="Arial"/>
        </w:rPr>
        <w:t xml:space="preserve"> for preventing </w:t>
      </w:r>
      <w:r w:rsidR="00DF2216" w:rsidRPr="00BB54DF">
        <w:rPr>
          <w:rFonts w:cs="Arial"/>
        </w:rPr>
        <w:t>fractures</w:t>
      </w:r>
      <w:r w:rsidR="00F606DB" w:rsidRPr="00BB54DF">
        <w:rPr>
          <w:rFonts w:cs="Arial"/>
        </w:rPr>
        <w:t xml:space="preserve">, </w:t>
      </w:r>
      <w:r w:rsidR="00DF2216" w:rsidRPr="00BB54DF">
        <w:rPr>
          <w:rFonts w:cs="Arial"/>
        </w:rPr>
        <w:t>their</w:t>
      </w:r>
      <w:r w:rsidR="008A62A4" w:rsidRPr="00BB54DF">
        <w:rPr>
          <w:rFonts w:cs="Arial"/>
        </w:rPr>
        <w:t xml:space="preserve"> use </w:t>
      </w:r>
      <w:r w:rsidR="00DF2216" w:rsidRPr="00BB54DF">
        <w:rPr>
          <w:rFonts w:cs="Arial"/>
        </w:rPr>
        <w:t xml:space="preserve">is </w:t>
      </w:r>
      <w:r w:rsidR="00F606DB" w:rsidRPr="00BB54DF">
        <w:rPr>
          <w:rFonts w:cs="Arial"/>
        </w:rPr>
        <w:t>contraindicated</w:t>
      </w:r>
      <w:r w:rsidR="00DF2216" w:rsidRPr="00BB54DF">
        <w:rPr>
          <w:rFonts w:cs="Arial"/>
        </w:rPr>
        <w:t xml:space="preserve"> or to be used with caution in patients with an </w:t>
      </w:r>
      <w:r w:rsidRPr="00BB54DF">
        <w:rPr>
          <w:rFonts w:cs="Arial"/>
        </w:rPr>
        <w:t>estimated glomerular filtration rate (</w:t>
      </w:r>
      <w:r w:rsidR="00DF2216" w:rsidRPr="00BB54DF">
        <w:rPr>
          <w:rFonts w:cs="Arial"/>
        </w:rPr>
        <w:t>eGFR</w:t>
      </w:r>
      <w:r w:rsidRPr="00BB54DF">
        <w:rPr>
          <w:rFonts w:cs="Arial"/>
        </w:rPr>
        <w:t>)</w:t>
      </w:r>
      <w:r w:rsidR="00DF2216" w:rsidRPr="00BB54DF">
        <w:rPr>
          <w:rFonts w:cs="Arial"/>
        </w:rPr>
        <w:t xml:space="preserve"> </w:t>
      </w:r>
      <w:r w:rsidR="002C6FA1" w:rsidRPr="00BB54DF">
        <w:rPr>
          <w:rFonts w:cs="Arial"/>
        </w:rPr>
        <w:t xml:space="preserve">under </w:t>
      </w:r>
      <w:r w:rsidR="00DF2216" w:rsidRPr="00BB54DF">
        <w:rPr>
          <w:rFonts w:cs="Arial"/>
        </w:rPr>
        <w:t>30</w:t>
      </w:r>
      <w:r w:rsidR="002C6FA1" w:rsidRPr="00BB54DF">
        <w:rPr>
          <w:rFonts w:cs="Arial"/>
        </w:rPr>
        <w:t xml:space="preserve"> ml/min/1</w:t>
      </w:r>
      <w:r w:rsidR="00EC47FC" w:rsidRPr="00BB54DF">
        <w:rPr>
          <w:rFonts w:cs="Arial"/>
        </w:rPr>
        <w:t>.</w:t>
      </w:r>
      <w:r w:rsidR="002C6FA1" w:rsidRPr="00BB54DF">
        <w:rPr>
          <w:rFonts w:cs="Arial"/>
        </w:rPr>
        <w:t>73m</w:t>
      </w:r>
      <w:r w:rsidR="002C6FA1" w:rsidRPr="00BB54DF">
        <w:rPr>
          <w:rFonts w:cs="Arial"/>
          <w:vertAlign w:val="superscript"/>
        </w:rPr>
        <w:t>2</w:t>
      </w:r>
      <w:r w:rsidR="00DF2216" w:rsidRPr="00BB54DF">
        <w:rPr>
          <w:rFonts w:cs="Arial"/>
        </w:rPr>
        <w:t>. Clinical guidelines</w:t>
      </w:r>
      <w:r w:rsidR="009F4946" w:rsidRPr="00BB54DF">
        <w:rPr>
          <w:rFonts w:cs="Arial"/>
        </w:rPr>
        <w:fldChar w:fldCharType="begin"/>
      </w:r>
      <w:r w:rsidR="00CC773B" w:rsidRPr="00BB54DF">
        <w:rPr>
          <w:rFonts w:cs="Arial"/>
        </w:rPr>
        <w:instrText xml:space="preserve"> ADDIN EN.CITE &lt;EndNote&gt;&lt;Cite&gt;&lt;Author&gt;National Institue for Heatlth and Care Excellence&lt;/Author&gt;&lt;Year&gt;2008&lt;/Year&gt;&lt;RecNum&gt;46&lt;/RecNum&gt;&lt;DisplayText&gt;[8-10]&lt;/DisplayText&gt;&lt;record&gt;&lt;rec-number&gt;46&lt;/rec-number&gt;&lt;foreign-keys&gt;&lt;key app="EN" db-id="pwdswvde6sasexe5rx9p90509rsftz22fdv9" timestamp="0"&gt;46&lt;/key&gt;&lt;/foreign-keys&gt;&lt;ref-type name="Government Document"&gt;46&lt;/ref-type&gt;&lt;contributors&gt;&lt;authors&gt;&lt;author&gt;National Institue for Heatlth and Care Excellence, &lt;/author&gt;&lt;/authors&gt;&lt;/contributors&gt;&lt;titles&gt;&lt;title&gt;Raloxifene for the primary prevention of osteoporotic fragility fractures in postmenopausal women (TA160)&lt;/title&gt;&lt;/titles&gt;&lt;dates&gt;&lt;year&gt;2008&lt;/year&gt;&lt;/dates&gt;&lt;urls&gt;&lt;/urls&gt;&lt;/record&gt;&lt;/Cite&gt;&lt;Cite&gt;&lt;Author&gt;National Institue for Heatlth and Care Excellence&lt;/Author&gt;&lt;Year&gt;2008&lt;/Year&gt;&lt;RecNum&gt;47&lt;/RecNum&gt;&lt;record&gt;&lt;rec-number&gt;47&lt;/rec-number&gt;&lt;foreign-keys&gt;&lt;key app="EN" db-id="pwdswvde6sasexe5rx9p90509rsftz22fdv9" timestamp="0"&gt;47&lt;/key&gt;&lt;/foreign-keys&gt;&lt;ref-type name="Government Document"&gt;46&lt;/ref-type&gt;&lt;contributors&gt;&lt;authors&gt;&lt;author&gt;National Institue for Heatlth and Care Excellence, &lt;/author&gt;&lt;/authors&gt;&lt;/contributors&gt;&lt;titles&gt;&lt;title&gt;Raloxifene and teriparatide for the secondary prevention of osteoporotic fragility fractures in postmenopausal women (TA161)&lt;/title&gt;&lt;/titles&gt;&lt;dates&gt;&lt;year&gt;2008&lt;/year&gt;&lt;/dates&gt;&lt;urls&gt;&lt;/urls&gt;&lt;/record&gt;&lt;/Cite&gt;&lt;Cite&gt;&lt;Author&gt;National Institue for Heatlth and Care Excellence&lt;/Author&gt;&lt;Year&gt;2014&lt;/Year&gt;&lt;RecNum&gt;48&lt;/RecNum&gt;&lt;record&gt;&lt;rec-number&gt;48&lt;/rec-number&gt;&lt;foreign-keys&gt;&lt;key app="EN" db-id="pwdswvde6sasexe5rx9p90509rsftz22fdv9" timestamp="0"&gt;48&lt;/key&gt;&lt;/foreign-keys&gt;&lt;ref-type name="Government Document"&gt;46&lt;/ref-type&gt;&lt;contributors&gt;&lt;authors&gt;&lt;author&gt;National Institue for Heatlth and Care Excellence,&lt;/author&gt;&lt;/authors&gt;&lt;/contributors&gt;&lt;titles&gt;&lt;title&gt;Chronic kidney disease in adults: assessment and management (CG182)&lt;/title&gt;&lt;/titles&gt;&lt;dates&gt;&lt;year&gt;2014&lt;/year&gt;&lt;/dates&gt;&lt;urls&gt;&lt;/urls&gt;&lt;/record&gt;&lt;/Cite&gt;&lt;/EndNote&gt;</w:instrText>
      </w:r>
      <w:r w:rsidR="009F4946" w:rsidRPr="00BB54DF">
        <w:rPr>
          <w:rFonts w:cs="Arial"/>
        </w:rPr>
        <w:fldChar w:fldCharType="separate"/>
      </w:r>
      <w:r w:rsidR="00CC773B" w:rsidRPr="00BB54DF">
        <w:rPr>
          <w:rFonts w:cs="Arial"/>
          <w:noProof/>
        </w:rPr>
        <w:t>[8-10]</w:t>
      </w:r>
      <w:r w:rsidR="009F4946" w:rsidRPr="00BB54DF">
        <w:rPr>
          <w:rFonts w:cs="Arial"/>
        </w:rPr>
        <w:fldChar w:fldCharType="end"/>
      </w:r>
      <w:r w:rsidR="000D0A06" w:rsidRPr="00BB54DF">
        <w:rPr>
          <w:rFonts w:cs="Arial"/>
        </w:rPr>
        <w:t xml:space="preserve"> and drug regulators</w:t>
      </w:r>
      <w:r w:rsidR="009F4946" w:rsidRPr="00BB54DF">
        <w:rPr>
          <w:rFonts w:cs="Arial"/>
        </w:rPr>
        <w:fldChar w:fldCharType="begin"/>
      </w:r>
      <w:r w:rsidR="00CC773B" w:rsidRPr="00BB54DF">
        <w:rPr>
          <w:rFonts w:cs="Arial"/>
        </w:rPr>
        <w:instrText xml:space="preserve"> ADDIN EN.CITE &lt;EndNote&gt;&lt;Cite&gt;&lt;Year&gt;2011&lt;/Year&gt;&lt;RecNum&gt;44&lt;/RecNum&gt;&lt;DisplayText&gt;[11-13]&lt;/DisplayText&gt;&lt;record&gt;&lt;rec-number&gt;44&lt;/rec-number&gt;&lt;foreign-keys&gt;&lt;key app="EN" db-id="pwdswvde6sasexe5rx9p90509rsftz22fdv9" timestamp="0"&gt;44&lt;/key&gt;&lt;/foreign-keys&gt;&lt;ref-type name="Generic"&gt;13&lt;/ref-type&gt;&lt;contributors&gt;&lt;secondary-authors&gt;&lt;author&gt;Roche Products Limited,&lt;/author&gt;&lt;/secondary-authors&gt;&lt;/contributors&gt;&lt;titles&gt;&lt;title&gt;Summary of Product Characteristics - Bonviva&lt;/title&gt;&lt;/titles&gt;&lt;dates&gt;&lt;year&gt;2011&lt;/year&gt;&lt;/dates&gt;&lt;urls&gt;&lt;/urls&gt;&lt;/record&gt;&lt;/Cite&gt;&lt;Cite&gt;&lt;Year&gt;2011&lt;/Year&gt;&lt;RecNum&gt;45&lt;/RecNum&gt;&lt;record&gt;&lt;rec-number&gt;45&lt;/rec-number&gt;&lt;foreign-keys&gt;&lt;key app="EN" db-id="pwdswvde6sasexe5rx9p90509rsftz22fdv9" timestamp="0"&gt;45&lt;/key&gt;&lt;/foreign-keys&gt;&lt;ref-type name="Generic"&gt;13&lt;/ref-type&gt;&lt;contributors&gt;&lt;secondary-authors&gt;&lt;author&gt;Warner Chilcott UK,&lt;/author&gt;&lt;/secondary-authors&gt;&lt;/contributors&gt;&lt;titles&gt;&lt;title&gt;Summary of Product Characteristics - Actonel 30mg&lt;/title&gt;&lt;/titles&gt;&lt;dates&gt;&lt;year&gt;2011&lt;/year&gt;&lt;/dates&gt;&lt;urls&gt;&lt;/urls&gt;&lt;/record&gt;&lt;/Cite&gt;&lt;Cite&gt;&lt;Year&gt;2012&lt;/Year&gt;&lt;RecNum&gt;43&lt;/RecNum&gt;&lt;record&gt;&lt;rec-number&gt;43&lt;/rec-number&gt;&lt;foreign-keys&gt;&lt;key app="EN" db-id="pwdswvde6sasexe5rx9p90509rsftz22fdv9" timestamp="0"&gt;43&lt;/key&gt;&lt;/foreign-keys&gt;&lt;ref-type name="Generic"&gt;13&lt;/ref-type&gt;&lt;contributors&gt;&lt;secondary-authors&gt;&lt;author&gt;Merck Sharp and Dohme,&lt;/author&gt;&lt;/secondary-authors&gt;&lt;/contributors&gt;&lt;titles&gt;&lt;title&gt;Summary of Product Characteristics - Fosamax Onces Weekly.&lt;/title&gt;&lt;/titles&gt;&lt;dates&gt;&lt;year&gt;2012&lt;/year&gt;&lt;/dates&gt;&lt;urls&gt;&lt;/urls&gt;&lt;/record&gt;&lt;/Cite&gt;&lt;/EndNote&gt;</w:instrText>
      </w:r>
      <w:r w:rsidR="009F4946" w:rsidRPr="00BB54DF">
        <w:rPr>
          <w:rFonts w:cs="Arial"/>
        </w:rPr>
        <w:fldChar w:fldCharType="separate"/>
      </w:r>
      <w:r w:rsidR="00CC773B" w:rsidRPr="00BB54DF">
        <w:rPr>
          <w:rFonts w:cs="Arial"/>
          <w:noProof/>
        </w:rPr>
        <w:t>[11-13]</w:t>
      </w:r>
      <w:r w:rsidR="009F4946" w:rsidRPr="00BB54DF">
        <w:rPr>
          <w:rFonts w:cs="Arial"/>
        </w:rPr>
        <w:fldChar w:fldCharType="end"/>
      </w:r>
      <w:r w:rsidR="00DF2216" w:rsidRPr="00BB54DF">
        <w:rPr>
          <w:rFonts w:cs="Arial"/>
        </w:rPr>
        <w:t xml:space="preserve"> impose similar restrictions</w:t>
      </w:r>
      <w:r w:rsidR="00DC4FF3" w:rsidRPr="00BB54DF">
        <w:rPr>
          <w:rFonts w:cs="Arial"/>
        </w:rPr>
        <w:t>.</w:t>
      </w:r>
    </w:p>
    <w:p w14:paraId="1B7BD544" w14:textId="3BD2E131" w:rsidR="006B4D97" w:rsidRPr="00BB54DF" w:rsidRDefault="006C4C46" w:rsidP="00E85F26">
      <w:pPr>
        <w:spacing w:line="360" w:lineRule="auto"/>
        <w:jc w:val="both"/>
        <w:rPr>
          <w:rFonts w:cs="Arial"/>
        </w:rPr>
      </w:pPr>
      <w:r w:rsidRPr="00BB54DF">
        <w:rPr>
          <w:rFonts w:cs="Arial"/>
        </w:rPr>
        <w:t xml:space="preserve">A systematic review </w:t>
      </w:r>
      <w:r w:rsidR="00F338D2" w:rsidRPr="00BB54DF">
        <w:rPr>
          <w:rFonts w:cs="Arial"/>
        </w:rPr>
        <w:t>of</w:t>
      </w:r>
      <w:r w:rsidR="008C4EBD" w:rsidRPr="00BB54DF">
        <w:rPr>
          <w:rFonts w:cs="Arial"/>
        </w:rPr>
        <w:t xml:space="preserve"> the benefits and harms of anti-osteoporosis medications</w:t>
      </w:r>
      <w:r w:rsidR="00F338D2" w:rsidRPr="00BB54DF">
        <w:rPr>
          <w:rFonts w:cs="Arial"/>
        </w:rPr>
        <w:t>,</w:t>
      </w:r>
      <w:r w:rsidR="008C4EBD" w:rsidRPr="00BB54DF">
        <w:rPr>
          <w:rFonts w:cs="Arial"/>
        </w:rPr>
        <w:t xml:space="preserve"> including bisphosphonates</w:t>
      </w:r>
      <w:r w:rsidR="00F338D2" w:rsidRPr="00BB54DF">
        <w:rPr>
          <w:rFonts w:cs="Arial"/>
        </w:rPr>
        <w:t>,</w:t>
      </w:r>
      <w:r w:rsidR="008C4EBD" w:rsidRPr="00BB54DF">
        <w:rPr>
          <w:rFonts w:cs="Arial"/>
        </w:rPr>
        <w:t xml:space="preserve"> </w:t>
      </w:r>
      <w:r w:rsidRPr="00BB54DF">
        <w:rPr>
          <w:rFonts w:cs="Arial"/>
        </w:rPr>
        <w:t>suggested that bisphosphonates</w:t>
      </w:r>
      <w:r w:rsidR="008D363F" w:rsidRPr="00BB54DF">
        <w:rPr>
          <w:rFonts w:cs="Arial"/>
        </w:rPr>
        <w:t xml:space="preserve"> </w:t>
      </w:r>
      <w:r w:rsidR="00636098" w:rsidRPr="00BB54DF">
        <w:rPr>
          <w:rFonts w:cs="Arial"/>
        </w:rPr>
        <w:t xml:space="preserve">did not </w:t>
      </w:r>
      <w:r w:rsidR="00735822" w:rsidRPr="00BB54DF">
        <w:rPr>
          <w:rFonts w:cs="Arial"/>
        </w:rPr>
        <w:t>increas</w:t>
      </w:r>
      <w:r w:rsidR="00636098" w:rsidRPr="00BB54DF">
        <w:rPr>
          <w:rFonts w:cs="Arial"/>
        </w:rPr>
        <w:t>e</w:t>
      </w:r>
      <w:r w:rsidR="00735822" w:rsidRPr="00BB54DF">
        <w:rPr>
          <w:rFonts w:cs="Arial"/>
        </w:rPr>
        <w:t xml:space="preserve"> </w:t>
      </w:r>
      <w:r w:rsidR="00F338D2" w:rsidRPr="00BB54DF">
        <w:rPr>
          <w:rFonts w:cs="Arial"/>
        </w:rPr>
        <w:t xml:space="preserve">the </w:t>
      </w:r>
      <w:r w:rsidR="00735822" w:rsidRPr="00BB54DF">
        <w:rPr>
          <w:rFonts w:cs="Arial"/>
        </w:rPr>
        <w:t>risk of renal adverse events (373 patients from</w:t>
      </w:r>
      <w:r w:rsidR="008051F8" w:rsidRPr="00BB54DF">
        <w:rPr>
          <w:rFonts w:cs="Arial"/>
        </w:rPr>
        <w:t xml:space="preserve"> 4</w:t>
      </w:r>
      <w:r w:rsidR="00735822" w:rsidRPr="00BB54DF">
        <w:rPr>
          <w:rFonts w:cs="Arial"/>
        </w:rPr>
        <w:t xml:space="preserve"> trials)</w:t>
      </w:r>
      <w:r w:rsidR="00636098" w:rsidRPr="00BB54DF">
        <w:rPr>
          <w:rFonts w:cs="Arial"/>
        </w:rPr>
        <w:t>, gastrointestinal events</w:t>
      </w:r>
      <w:r w:rsidR="00F338D2" w:rsidRPr="00BB54DF">
        <w:rPr>
          <w:rFonts w:cs="Arial"/>
        </w:rPr>
        <w:t xml:space="preserve"> </w:t>
      </w:r>
      <w:r w:rsidR="00636098" w:rsidRPr="00BB54DF">
        <w:rPr>
          <w:rFonts w:cs="Arial"/>
        </w:rPr>
        <w:t xml:space="preserve">(179 patients from </w:t>
      </w:r>
      <w:r w:rsidR="008051F8" w:rsidRPr="00BB54DF">
        <w:rPr>
          <w:rFonts w:cs="Arial"/>
        </w:rPr>
        <w:t>2</w:t>
      </w:r>
      <w:r w:rsidR="00636098" w:rsidRPr="00BB54DF">
        <w:rPr>
          <w:rFonts w:cs="Arial"/>
        </w:rPr>
        <w:t xml:space="preserve"> trials), </w:t>
      </w:r>
      <w:r w:rsidR="002C6FA1" w:rsidRPr="00BB54DF">
        <w:rPr>
          <w:rFonts w:cs="Arial"/>
        </w:rPr>
        <w:t>or</w:t>
      </w:r>
      <w:r w:rsidR="00636098" w:rsidRPr="00BB54DF">
        <w:rPr>
          <w:rFonts w:cs="Arial"/>
        </w:rPr>
        <w:t xml:space="preserve"> hypocalcaemia (93 patients from </w:t>
      </w:r>
      <w:r w:rsidR="008051F8" w:rsidRPr="00BB54DF">
        <w:rPr>
          <w:rFonts w:cs="Arial"/>
        </w:rPr>
        <w:t>1</w:t>
      </w:r>
      <w:r w:rsidR="00636098" w:rsidRPr="00BB54DF">
        <w:rPr>
          <w:rFonts w:cs="Arial"/>
        </w:rPr>
        <w:t xml:space="preserve"> trial)</w:t>
      </w:r>
      <w:r w:rsidR="00201B69" w:rsidRPr="00BB54DF">
        <w:rPr>
          <w:rFonts w:cs="Arial"/>
        </w:rPr>
        <w:fldChar w:fldCharType="begin">
          <w:fldData xml:space="preserve">PEVuZE5vdGU+PENpdGU+PEF1dGhvcj5XaWxzb248L0F1dGhvcj48WWVhcj4yMDE3PC9ZZWFyPjxS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</w:fldData>
        </w:fldChar>
      </w:r>
      <w:r w:rsidR="00CC773B" w:rsidRPr="00BB54DF">
        <w:rPr>
          <w:rFonts w:cs="Arial"/>
        </w:rPr>
        <w:instrText xml:space="preserve"> ADDIN EN.CITE </w:instrText>
      </w:r>
      <w:r w:rsidR="00CC773B" w:rsidRPr="00BB54DF">
        <w:rPr>
          <w:rFonts w:cs="Arial"/>
        </w:rPr>
        <w:fldChar w:fldCharType="begin">
          <w:fldData xml:space="preserve">PEVuZE5vdGU+PENpdGU+PEF1dGhvcj5XaWxzb248L0F1dGhvcj48WWVhcj4yMDE3PC9ZZWFyPjxS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</w:fldData>
        </w:fldChar>
      </w:r>
      <w:r w:rsidR="00CC773B" w:rsidRPr="00BB54DF">
        <w:rPr>
          <w:rFonts w:cs="Arial"/>
        </w:rPr>
        <w:instrText xml:space="preserve"> ADDIN EN.CITE.DATA </w:instrText>
      </w:r>
      <w:r w:rsidR="00CC773B" w:rsidRPr="00BB54DF">
        <w:rPr>
          <w:rFonts w:cs="Arial"/>
        </w:rPr>
      </w:r>
      <w:r w:rsidR="00CC773B" w:rsidRPr="00BB54DF">
        <w:rPr>
          <w:rFonts w:cs="Arial"/>
        </w:rPr>
        <w:fldChar w:fldCharType="end"/>
      </w:r>
      <w:r w:rsidR="00201B69" w:rsidRPr="00BB54DF">
        <w:rPr>
          <w:rFonts w:cs="Arial"/>
        </w:rPr>
      </w:r>
      <w:r w:rsidR="00201B69" w:rsidRPr="00BB54DF">
        <w:rPr>
          <w:rFonts w:cs="Arial"/>
        </w:rPr>
        <w:fldChar w:fldCharType="separate"/>
      </w:r>
      <w:r w:rsidR="00CC773B" w:rsidRPr="00BB54DF">
        <w:rPr>
          <w:rFonts w:cs="Arial"/>
          <w:noProof/>
        </w:rPr>
        <w:t>[14]</w:t>
      </w:r>
      <w:r w:rsidR="00201B69" w:rsidRPr="00BB54DF">
        <w:rPr>
          <w:rFonts w:cs="Arial"/>
        </w:rPr>
        <w:fldChar w:fldCharType="end"/>
      </w:r>
      <w:r w:rsidR="00F01A9E" w:rsidRPr="00BB54DF">
        <w:rPr>
          <w:rFonts w:cs="Arial"/>
        </w:rPr>
        <w:t>.</w:t>
      </w:r>
      <w:r w:rsidR="002C6FA1" w:rsidRPr="00BB54DF">
        <w:rPr>
          <w:rFonts w:cs="Arial"/>
        </w:rPr>
        <w:t xml:space="preserve"> </w:t>
      </w:r>
      <w:r w:rsidR="00156E7C" w:rsidRPr="00BB54DF">
        <w:rPr>
          <w:rFonts w:cs="Arial"/>
        </w:rPr>
        <w:t>Th</w:t>
      </w:r>
      <w:r w:rsidR="00F338D2" w:rsidRPr="00BB54DF">
        <w:rPr>
          <w:rFonts w:cs="Arial"/>
        </w:rPr>
        <w:t>e</w:t>
      </w:r>
      <w:r w:rsidR="00156E7C" w:rsidRPr="00BB54DF">
        <w:rPr>
          <w:rFonts w:cs="Arial"/>
        </w:rPr>
        <w:t xml:space="preserve"> review acknowledged that </w:t>
      </w:r>
      <w:r w:rsidR="008D363F" w:rsidRPr="00BB54DF">
        <w:rPr>
          <w:rFonts w:cs="Arial"/>
        </w:rPr>
        <w:t>most</w:t>
      </w:r>
      <w:r w:rsidR="00F338D2" w:rsidRPr="00BB54DF">
        <w:rPr>
          <w:rFonts w:cs="Arial"/>
        </w:rPr>
        <w:t xml:space="preserve"> of the included</w:t>
      </w:r>
      <w:r w:rsidR="008D363F" w:rsidRPr="00BB54DF">
        <w:rPr>
          <w:rFonts w:cs="Arial"/>
        </w:rPr>
        <w:t xml:space="preserve"> studies had possible reporting bias and </w:t>
      </w:r>
      <w:r w:rsidR="00AC0C31" w:rsidRPr="00BB54DF">
        <w:rPr>
          <w:rFonts w:cs="Arial"/>
        </w:rPr>
        <w:t xml:space="preserve">that the results </w:t>
      </w:r>
      <w:r w:rsidR="006B4D97" w:rsidRPr="00BB54DF">
        <w:rPr>
          <w:rFonts w:cs="Arial"/>
        </w:rPr>
        <w:t xml:space="preserve">might not apply to patients with stage 3b-5 </w:t>
      </w:r>
      <w:r w:rsidR="002C6FA1" w:rsidRPr="00BB54DF">
        <w:rPr>
          <w:rFonts w:cs="Arial"/>
        </w:rPr>
        <w:t xml:space="preserve">CKD </w:t>
      </w:r>
      <w:r w:rsidR="006B4D97" w:rsidRPr="00BB54DF">
        <w:rPr>
          <w:rFonts w:cs="Arial"/>
        </w:rPr>
        <w:t xml:space="preserve">due to scant evidence in this population. </w:t>
      </w:r>
      <w:r w:rsidR="002975B8" w:rsidRPr="00BB54DF">
        <w:rPr>
          <w:rFonts w:cs="Arial"/>
        </w:rPr>
        <w:t>R</w:t>
      </w:r>
      <w:r w:rsidR="007D0161" w:rsidRPr="00BB54DF">
        <w:rPr>
          <w:rFonts w:cs="Arial"/>
        </w:rPr>
        <w:t xml:space="preserve">eporting bias </w:t>
      </w:r>
      <w:r w:rsidR="00F338D2" w:rsidRPr="00BB54DF">
        <w:rPr>
          <w:rFonts w:cs="Arial"/>
        </w:rPr>
        <w:t>was driven by</w:t>
      </w:r>
      <w:r w:rsidR="007D0161" w:rsidRPr="00BB54DF">
        <w:rPr>
          <w:rFonts w:cs="Arial"/>
        </w:rPr>
        <w:t xml:space="preserve"> selective reporting </w:t>
      </w:r>
      <w:r w:rsidR="00F338D2" w:rsidRPr="00BB54DF">
        <w:rPr>
          <w:rFonts w:cs="Arial"/>
        </w:rPr>
        <w:t xml:space="preserve">of trial </w:t>
      </w:r>
      <w:r w:rsidR="007D0161" w:rsidRPr="00BB54DF">
        <w:rPr>
          <w:rFonts w:cs="Arial"/>
        </w:rPr>
        <w:t>outcomes, unclear methods</w:t>
      </w:r>
      <w:r w:rsidR="00F338D2" w:rsidRPr="00BB54DF">
        <w:rPr>
          <w:rFonts w:cs="Arial"/>
        </w:rPr>
        <w:t>,</w:t>
      </w:r>
      <w:r w:rsidR="007D0161" w:rsidRPr="00BB54DF">
        <w:rPr>
          <w:rFonts w:cs="Arial"/>
        </w:rPr>
        <w:t xml:space="preserve"> and restricted study design</w:t>
      </w:r>
      <w:r w:rsidR="00F338D2" w:rsidRPr="00BB54DF">
        <w:rPr>
          <w:rFonts w:cs="Arial"/>
        </w:rPr>
        <w:t>s</w:t>
      </w:r>
      <w:r w:rsidR="007D0161" w:rsidRPr="00BB54DF">
        <w:rPr>
          <w:rFonts w:cs="Arial"/>
        </w:rPr>
        <w:t xml:space="preserve"> (randomised trials with 6-36 months follow-up). </w:t>
      </w:r>
      <w:r w:rsidR="002975B8" w:rsidRPr="00BB54DF">
        <w:rPr>
          <w:rFonts w:cs="Arial"/>
        </w:rPr>
        <w:t>T</w:t>
      </w:r>
      <w:r w:rsidR="00F338D2" w:rsidRPr="00BB54DF">
        <w:rPr>
          <w:rFonts w:cs="Arial"/>
        </w:rPr>
        <w:t xml:space="preserve">he </w:t>
      </w:r>
      <w:r w:rsidR="00923BB2" w:rsidRPr="00BB54DF">
        <w:rPr>
          <w:rFonts w:cs="Arial"/>
        </w:rPr>
        <w:t xml:space="preserve">participants in </w:t>
      </w:r>
      <w:r w:rsidR="00F338D2" w:rsidRPr="00BB54DF">
        <w:rPr>
          <w:rFonts w:cs="Arial"/>
        </w:rPr>
        <w:t>the included trials were</w:t>
      </w:r>
      <w:r w:rsidR="00923BB2" w:rsidRPr="00BB54DF">
        <w:rPr>
          <w:rFonts w:cs="Arial"/>
        </w:rPr>
        <w:t xml:space="preserve"> </w:t>
      </w:r>
      <w:r w:rsidR="002975B8" w:rsidRPr="00BB54DF">
        <w:rPr>
          <w:rFonts w:cs="Arial"/>
        </w:rPr>
        <w:t xml:space="preserve">also </w:t>
      </w:r>
      <w:r w:rsidR="00923BB2" w:rsidRPr="00BB54DF">
        <w:rPr>
          <w:rFonts w:cs="Arial"/>
        </w:rPr>
        <w:t>far healthier</w:t>
      </w:r>
      <w:r w:rsidR="008C4EBD" w:rsidRPr="00BB54DF">
        <w:rPr>
          <w:rFonts w:cs="Arial"/>
        </w:rPr>
        <w:t xml:space="preserve"> than </w:t>
      </w:r>
      <w:r w:rsidR="00923BB2" w:rsidRPr="00BB54DF">
        <w:rPr>
          <w:rFonts w:cs="Arial"/>
        </w:rPr>
        <w:t xml:space="preserve">bisphosphonate </w:t>
      </w:r>
      <w:r w:rsidR="00290E92" w:rsidRPr="00BB54DF">
        <w:rPr>
          <w:rFonts w:cs="Arial"/>
        </w:rPr>
        <w:t>users</w:t>
      </w:r>
      <w:r w:rsidR="008C4EBD" w:rsidRPr="00BB54DF">
        <w:rPr>
          <w:rFonts w:cs="Arial"/>
        </w:rPr>
        <w:t xml:space="preserve"> </w:t>
      </w:r>
      <w:r w:rsidR="00923BB2" w:rsidRPr="00BB54DF">
        <w:rPr>
          <w:rFonts w:cs="Arial"/>
        </w:rPr>
        <w:t>in actual practice</w:t>
      </w:r>
      <w:r w:rsidR="008C4EBD" w:rsidRPr="00BB54DF">
        <w:rPr>
          <w:rFonts w:cs="Arial"/>
        </w:rPr>
        <w:t xml:space="preserve"> settings.</w:t>
      </w:r>
      <w:r w:rsidR="00017F4B" w:rsidRPr="00BB54DF">
        <w:rPr>
          <w:rFonts w:cs="Arial"/>
        </w:rPr>
        <w:t xml:space="preserve"> </w:t>
      </w:r>
    </w:p>
    <w:p w14:paraId="78B1470D" w14:textId="552CCB40" w:rsidR="00C160A5" w:rsidRPr="00BB54DF" w:rsidRDefault="00156E7C" w:rsidP="001869FB">
      <w:pPr>
        <w:spacing w:line="360" w:lineRule="auto"/>
        <w:jc w:val="both"/>
        <w:rPr>
          <w:rFonts w:cs="Arial"/>
        </w:rPr>
      </w:pPr>
      <w:r w:rsidRPr="00BB54DF">
        <w:rPr>
          <w:rFonts w:cs="Arial"/>
        </w:rPr>
        <w:t>The most recent (2017) Kidney Disease Outcomes Quality Initiative guidelines</w:t>
      </w:r>
      <w:r w:rsidR="00201B69" w:rsidRPr="00BB54DF">
        <w:rPr>
          <w:rFonts w:cs="Arial"/>
        </w:rPr>
        <w:fldChar w:fldCharType="begin"/>
      </w:r>
      <w:r w:rsidR="00CC773B" w:rsidRPr="00BB54DF">
        <w:rPr>
          <w:rFonts w:cs="Arial"/>
        </w:rPr>
        <w:instrText xml:space="preserve"> ADDIN EN.CITE &lt;EndNote&gt;&lt;Cite&gt;&lt;Year&gt;2017&lt;/Year&gt;&lt;RecNum&gt;33&lt;/RecNum&gt;&lt;DisplayText&gt;[15]&lt;/DisplayText&gt;&lt;record&gt;&lt;rec-number&gt;33&lt;/rec-number&gt;&lt;foreign-keys&gt;&lt;key app="EN" db-id="pwdswvde6sasexe5rx9p90509rsftz22fdv9" timestamp="0"&gt;33&lt;/key&gt;&lt;/foreign-keys&gt;&lt;ref-type name="Journal Article"&gt;17&lt;/ref-type&gt;&lt;contributors&gt;&lt;/contributors&gt;&lt;titles&gt;&lt;title&gt;KDIGO 2017 Clinical Practice Guideline Update for the Diagnosis, Evaluation, Prevention, and Treatment of Chronic Kidney Disease-Mineral and Bone Disorder (CKD-MBD)&lt;/title&gt;&lt;secondary-title&gt;Kidney Int Suppl (2011)&lt;/secondary-title&gt;&lt;alt-title&gt;Kidney international supplements&lt;/alt-title&gt;&lt;/titles&gt;&lt;pages&gt;1-59&lt;/pages&gt;&lt;volume&gt;7&lt;/volume&gt;&lt;number&gt;1&lt;/number&gt;&lt;edition&gt;2017/07/01&lt;/edition&gt;&lt;dates&gt;&lt;year&gt;2017&lt;/year&gt;&lt;pub-dates&gt;&lt;date&gt;Jul&lt;/date&gt;&lt;/pub-dates&gt;&lt;/dates&gt;&lt;isbn&gt;2157-1724 (Print)&amp;#xD;2157-1716&lt;/isbn&gt;&lt;accession-num&gt;30675420&lt;/accession-num&gt;&lt;urls&gt;&lt;/urls&gt;&lt;custom2&gt;PMC6340919&lt;/custom2&gt;&lt;electronic-resource-num&gt;10.1016/j.kisu.2017.04.001&lt;/electronic-resource-num&gt;&lt;remote-database-provider&gt;NLM&lt;/remote-database-provider&gt;&lt;language&gt;eng&lt;/language&gt;&lt;/record&gt;&lt;/Cite&gt;&lt;/EndNote&gt;</w:instrText>
      </w:r>
      <w:r w:rsidR="00201B69" w:rsidRPr="00BB54DF">
        <w:rPr>
          <w:rFonts w:cs="Arial"/>
        </w:rPr>
        <w:fldChar w:fldCharType="separate"/>
      </w:r>
      <w:r w:rsidR="00CC773B" w:rsidRPr="00BB54DF">
        <w:rPr>
          <w:rFonts w:cs="Arial"/>
          <w:noProof/>
        </w:rPr>
        <w:t>[15]</w:t>
      </w:r>
      <w:r w:rsidR="00201B69" w:rsidRPr="00BB54DF">
        <w:rPr>
          <w:rFonts w:cs="Arial"/>
        </w:rPr>
        <w:fldChar w:fldCharType="end"/>
      </w:r>
      <w:r w:rsidR="00201B69" w:rsidRPr="00BB54DF" w:rsidDel="00201B69">
        <w:rPr>
          <w:rFonts w:cs="Arial"/>
        </w:rPr>
        <w:t xml:space="preserve"> </w:t>
      </w:r>
      <w:r w:rsidRPr="00BB54DF">
        <w:rPr>
          <w:rFonts w:cs="Arial"/>
        </w:rPr>
        <w:t xml:space="preserve">proposed </w:t>
      </w:r>
      <w:r w:rsidR="002C6FA1" w:rsidRPr="00BB54DF">
        <w:rPr>
          <w:rFonts w:cs="Arial"/>
        </w:rPr>
        <w:t xml:space="preserve">that </w:t>
      </w:r>
      <w:r w:rsidRPr="00BB54DF">
        <w:rPr>
          <w:rFonts w:cs="Arial"/>
        </w:rPr>
        <w:t>potential kidney progression, the severity of any biochemical abnormalities, fracture risk, and bone and mineral disorders related to CKD</w:t>
      </w:r>
      <w:r w:rsidR="00F338D2" w:rsidRPr="00BB54DF">
        <w:rPr>
          <w:rFonts w:cs="Arial"/>
        </w:rPr>
        <w:t xml:space="preserve"> should be considered when deciding whether to </w:t>
      </w:r>
      <w:r w:rsidR="002975B8" w:rsidRPr="00BB54DF">
        <w:rPr>
          <w:rFonts w:cs="Arial"/>
        </w:rPr>
        <w:t>prescribe</w:t>
      </w:r>
      <w:r w:rsidR="00F338D2" w:rsidRPr="00BB54DF">
        <w:rPr>
          <w:rFonts w:cs="Arial"/>
        </w:rPr>
        <w:t xml:space="preserve"> bisphosphonates</w:t>
      </w:r>
      <w:r w:rsidRPr="00BB54DF">
        <w:rPr>
          <w:rFonts w:cs="Arial"/>
        </w:rPr>
        <w:t xml:space="preserve">. There is an urgent need for data on the risks and benefits of bisphosphonates for patients with moderate-to-severe CKD. </w:t>
      </w:r>
    </w:p>
    <w:p w14:paraId="43FFA426" w14:textId="3B4C4A13" w:rsidR="00F90C68" w:rsidRPr="00BB54DF" w:rsidRDefault="00F96375" w:rsidP="001869FB">
      <w:pPr>
        <w:spacing w:line="360" w:lineRule="auto"/>
        <w:jc w:val="both"/>
        <w:rPr>
          <w:rFonts w:cs="Arial"/>
        </w:rPr>
      </w:pPr>
      <w:r w:rsidRPr="00BB54DF">
        <w:rPr>
          <w:rFonts w:cs="Arial"/>
        </w:rPr>
        <w:t xml:space="preserve">Following a commissioned call from the UK National Institute for Health Research, we analysed </w:t>
      </w:r>
      <w:r w:rsidR="001C2B53" w:rsidRPr="00BB54DF">
        <w:rPr>
          <w:rFonts w:cs="Arial"/>
        </w:rPr>
        <w:t xml:space="preserve">routinely collected data from Spain and the UK to establish </w:t>
      </w:r>
      <w:r w:rsidR="00F606DB" w:rsidRPr="00BB54DF">
        <w:rPr>
          <w:rFonts w:cs="Arial"/>
        </w:rPr>
        <w:t xml:space="preserve">the </w:t>
      </w:r>
      <w:r w:rsidR="001C2B53" w:rsidRPr="00BB54DF">
        <w:rPr>
          <w:rFonts w:cs="Arial"/>
        </w:rPr>
        <w:t>safety of</w:t>
      </w:r>
      <w:r w:rsidR="00F606DB" w:rsidRPr="00BB54DF">
        <w:rPr>
          <w:rFonts w:cs="Arial"/>
        </w:rPr>
        <w:t xml:space="preserve"> bisphosphonate</w:t>
      </w:r>
      <w:r w:rsidR="001C2B53" w:rsidRPr="00BB54DF">
        <w:rPr>
          <w:rFonts w:cs="Arial"/>
        </w:rPr>
        <w:t>s</w:t>
      </w:r>
      <w:r w:rsidR="00F606DB" w:rsidRPr="00BB54DF">
        <w:rPr>
          <w:rFonts w:cs="Arial"/>
        </w:rPr>
        <w:t xml:space="preserve"> </w:t>
      </w:r>
      <w:r w:rsidR="001C2B53" w:rsidRPr="00BB54DF">
        <w:rPr>
          <w:rFonts w:cs="Arial"/>
        </w:rPr>
        <w:t>in patients with stage 3b</w:t>
      </w:r>
      <w:r w:rsidR="00F338D2" w:rsidRPr="00BB54DF">
        <w:rPr>
          <w:rFonts w:cs="Arial"/>
        </w:rPr>
        <w:t>-</w:t>
      </w:r>
      <w:r w:rsidR="001C2B53" w:rsidRPr="00BB54DF">
        <w:rPr>
          <w:rFonts w:cs="Arial"/>
        </w:rPr>
        <w:t>5</w:t>
      </w:r>
      <w:r w:rsidR="002C6FA1" w:rsidRPr="00BB54DF">
        <w:rPr>
          <w:rFonts w:cs="Arial"/>
        </w:rPr>
        <w:t xml:space="preserve"> CKD</w:t>
      </w:r>
      <w:r w:rsidR="001C2B53" w:rsidRPr="00BB54DF">
        <w:rPr>
          <w:rFonts w:cs="Arial"/>
        </w:rPr>
        <w:t>. Our pre-specified list of safety events included</w:t>
      </w:r>
      <w:r w:rsidR="00F606DB" w:rsidRPr="00BB54DF">
        <w:rPr>
          <w:rFonts w:cs="Arial"/>
        </w:rPr>
        <w:t xml:space="preserve"> CKD </w:t>
      </w:r>
      <w:r w:rsidR="00F96103" w:rsidRPr="00BB54DF">
        <w:rPr>
          <w:rFonts w:cs="Arial"/>
        </w:rPr>
        <w:t xml:space="preserve">worsening </w:t>
      </w:r>
      <w:r w:rsidR="00F606DB" w:rsidRPr="00BB54DF">
        <w:rPr>
          <w:rFonts w:cs="Arial"/>
        </w:rPr>
        <w:t>(primary outcome)</w:t>
      </w:r>
      <w:r w:rsidR="001C2B53" w:rsidRPr="00BB54DF">
        <w:rPr>
          <w:rFonts w:cs="Arial"/>
        </w:rPr>
        <w:t>,</w:t>
      </w:r>
      <w:r w:rsidR="00F606DB" w:rsidRPr="00BB54DF">
        <w:rPr>
          <w:rFonts w:cs="Arial"/>
        </w:rPr>
        <w:t xml:space="preserve"> acute kidney injury, </w:t>
      </w:r>
      <w:r w:rsidR="00492D32" w:rsidRPr="00BB54DF">
        <w:rPr>
          <w:rFonts w:cs="Arial"/>
        </w:rPr>
        <w:t>gastrointestinal events</w:t>
      </w:r>
      <w:r w:rsidR="00F338D2" w:rsidRPr="00BB54DF">
        <w:rPr>
          <w:rFonts w:cs="Arial"/>
        </w:rPr>
        <w:t>,</w:t>
      </w:r>
      <w:r w:rsidR="00F606DB" w:rsidRPr="00BB54DF">
        <w:rPr>
          <w:rFonts w:cs="Arial"/>
        </w:rPr>
        <w:t xml:space="preserve"> and </w:t>
      </w:r>
      <w:r w:rsidRPr="00BB54DF">
        <w:rPr>
          <w:rFonts w:cs="Arial"/>
        </w:rPr>
        <w:t xml:space="preserve">severe </w:t>
      </w:r>
      <w:r w:rsidR="00F606DB" w:rsidRPr="00BB54DF">
        <w:rPr>
          <w:rFonts w:cs="Arial"/>
        </w:rPr>
        <w:t xml:space="preserve">hypocalcaemia (secondary outcomes). </w:t>
      </w:r>
      <w:r w:rsidR="00F90C68" w:rsidRPr="00BB54DF">
        <w:rPr>
          <w:rFonts w:cs="Arial"/>
          <w:b/>
          <w:u w:val="single"/>
        </w:rPr>
        <w:br w:type="page"/>
      </w:r>
    </w:p>
    <w:p w14:paraId="41492B55" w14:textId="42EE38E0" w:rsidR="00F9080B" w:rsidRPr="00BB54DF" w:rsidRDefault="001C7FF5" w:rsidP="00605BDA">
      <w:pPr>
        <w:spacing w:line="360" w:lineRule="auto"/>
        <w:jc w:val="both"/>
        <w:outlineLvl w:val="0"/>
        <w:rPr>
          <w:rFonts w:cs="Arial"/>
          <w:b/>
        </w:rPr>
      </w:pPr>
      <w:r w:rsidRPr="00BB54DF">
        <w:rPr>
          <w:rFonts w:cs="Arial"/>
          <w:b/>
        </w:rPr>
        <w:lastRenderedPageBreak/>
        <w:t>METHODS</w:t>
      </w:r>
    </w:p>
    <w:p w14:paraId="2F103A71" w14:textId="6D40FD66" w:rsidR="00344DCC" w:rsidRPr="00BB54DF" w:rsidRDefault="00F723AD" w:rsidP="00605BDA">
      <w:pPr>
        <w:spacing w:line="360" w:lineRule="auto"/>
        <w:jc w:val="both"/>
        <w:outlineLvl w:val="0"/>
        <w:rPr>
          <w:rFonts w:cs="Arial"/>
          <w:b/>
        </w:rPr>
      </w:pPr>
      <w:r w:rsidRPr="00BB54DF">
        <w:rPr>
          <w:rFonts w:cs="Arial"/>
          <w:b/>
        </w:rPr>
        <w:t xml:space="preserve">Data </w:t>
      </w:r>
      <w:r w:rsidR="00F338D2" w:rsidRPr="00BB54DF">
        <w:rPr>
          <w:rFonts w:cs="Arial"/>
          <w:b/>
        </w:rPr>
        <w:t>s</w:t>
      </w:r>
      <w:r w:rsidRPr="00BB54DF">
        <w:rPr>
          <w:rFonts w:cs="Arial"/>
          <w:b/>
        </w:rPr>
        <w:t>ources</w:t>
      </w:r>
    </w:p>
    <w:p w14:paraId="7DA44190" w14:textId="1F31EDA0" w:rsidR="002C6FA1" w:rsidRPr="00BB54DF" w:rsidRDefault="00040C1F" w:rsidP="00A61B8F">
      <w:pPr>
        <w:spacing w:line="360" w:lineRule="auto"/>
        <w:jc w:val="both"/>
        <w:rPr>
          <w:rFonts w:cs="Arial"/>
        </w:rPr>
      </w:pPr>
      <w:r w:rsidRPr="00BB54DF">
        <w:rPr>
          <w:rFonts w:cs="Arial"/>
        </w:rPr>
        <w:t xml:space="preserve">This study </w:t>
      </w:r>
      <w:r w:rsidR="00F338D2" w:rsidRPr="00BB54DF">
        <w:rPr>
          <w:rFonts w:cs="Arial"/>
        </w:rPr>
        <w:t xml:space="preserve">used </w:t>
      </w:r>
      <w:r w:rsidRPr="00BB54DF">
        <w:rPr>
          <w:rFonts w:cs="Arial"/>
        </w:rPr>
        <w:t xml:space="preserve">a cohort design </w:t>
      </w:r>
      <w:r w:rsidR="00F338D2" w:rsidRPr="00BB54DF">
        <w:rPr>
          <w:rFonts w:cs="Arial"/>
        </w:rPr>
        <w:t xml:space="preserve">with data from </w:t>
      </w:r>
      <w:r w:rsidR="000A56C2" w:rsidRPr="00BB54DF">
        <w:rPr>
          <w:rFonts w:cs="Arial"/>
        </w:rPr>
        <w:t>two</w:t>
      </w:r>
      <w:r w:rsidR="009050A9" w:rsidRPr="00BB54DF">
        <w:rPr>
          <w:rFonts w:cs="Arial"/>
        </w:rPr>
        <w:t xml:space="preserve"> </w:t>
      </w:r>
      <w:r w:rsidR="00605BDA" w:rsidRPr="00BB54DF">
        <w:rPr>
          <w:rFonts w:cs="Arial"/>
        </w:rPr>
        <w:t>primary</w:t>
      </w:r>
      <w:r w:rsidR="00AC0C31" w:rsidRPr="00BB54DF">
        <w:rPr>
          <w:rFonts w:cs="Arial"/>
        </w:rPr>
        <w:t>-</w:t>
      </w:r>
      <w:r w:rsidR="00605BDA" w:rsidRPr="00BB54DF">
        <w:rPr>
          <w:rFonts w:cs="Arial"/>
        </w:rPr>
        <w:t xml:space="preserve">care </w:t>
      </w:r>
      <w:r w:rsidR="00331457" w:rsidRPr="00BB54DF">
        <w:rPr>
          <w:rFonts w:cs="Arial"/>
        </w:rPr>
        <w:t>electronic</w:t>
      </w:r>
      <w:r w:rsidR="009050A9" w:rsidRPr="00BB54DF">
        <w:rPr>
          <w:rFonts w:cs="Arial"/>
        </w:rPr>
        <w:t xml:space="preserve"> </w:t>
      </w:r>
      <w:r w:rsidR="005B4871" w:rsidRPr="00BB54DF">
        <w:rPr>
          <w:rFonts w:cs="Arial"/>
        </w:rPr>
        <w:t xml:space="preserve">health </w:t>
      </w:r>
      <w:r w:rsidR="009050A9" w:rsidRPr="00BB54DF">
        <w:rPr>
          <w:rFonts w:cs="Arial"/>
        </w:rPr>
        <w:t>record data</w:t>
      </w:r>
      <w:r w:rsidR="00605BDA" w:rsidRPr="00BB54DF">
        <w:rPr>
          <w:rFonts w:cs="Arial"/>
        </w:rPr>
        <w:t>bases</w:t>
      </w:r>
      <w:r w:rsidR="00B06285" w:rsidRPr="00BB54DF">
        <w:rPr>
          <w:rFonts w:cs="Arial"/>
        </w:rPr>
        <w:t xml:space="preserve"> linked to hospital records</w:t>
      </w:r>
      <w:r w:rsidR="002C6FA1" w:rsidRPr="00BB54DF">
        <w:rPr>
          <w:rFonts w:cs="Arial"/>
        </w:rPr>
        <w:t>.</w:t>
      </w:r>
      <w:r w:rsidR="001243F2" w:rsidRPr="00BB54DF">
        <w:rPr>
          <w:rFonts w:cs="Arial"/>
        </w:rPr>
        <w:t xml:space="preserve"> </w:t>
      </w:r>
    </w:p>
    <w:p w14:paraId="0096DDF0" w14:textId="39D5A97B" w:rsidR="002C6FA1" w:rsidRPr="00BB54DF" w:rsidRDefault="002C6FA1" w:rsidP="00A61B8F">
      <w:pPr>
        <w:spacing w:line="360" w:lineRule="auto"/>
        <w:jc w:val="both"/>
        <w:rPr>
          <w:rFonts w:cs="Arial"/>
        </w:rPr>
      </w:pPr>
      <w:r w:rsidRPr="00BB54DF">
        <w:rPr>
          <w:rFonts w:cs="Arial"/>
        </w:rPr>
        <w:t xml:space="preserve">We used 1997-2016 records from the UK’s </w:t>
      </w:r>
      <w:r w:rsidR="00C6172A" w:rsidRPr="00BB54DF">
        <w:rPr>
          <w:rFonts w:cs="Arial"/>
        </w:rPr>
        <w:t>Clinical Practice Research Datalink</w:t>
      </w:r>
      <w:r w:rsidR="00C55E28" w:rsidRPr="00BB54DF">
        <w:rPr>
          <w:rFonts w:cs="Arial"/>
        </w:rPr>
        <w:t xml:space="preserve"> (CPRD)</w:t>
      </w:r>
      <w:r w:rsidR="00C6172A" w:rsidRPr="00BB54DF">
        <w:rPr>
          <w:rFonts w:cs="Arial"/>
        </w:rPr>
        <w:t xml:space="preserve"> </w:t>
      </w:r>
      <w:r w:rsidR="00384884" w:rsidRPr="00BB54DF">
        <w:rPr>
          <w:rFonts w:cs="Arial"/>
        </w:rPr>
        <w:t>GOLD</w:t>
      </w:r>
      <w:r w:rsidR="008D185C" w:rsidRPr="00BB54DF">
        <w:rPr>
          <w:rFonts w:cs="Arial"/>
        </w:rPr>
        <w:t xml:space="preserve"> </w:t>
      </w:r>
      <w:r w:rsidR="00733296" w:rsidRPr="00BB54DF">
        <w:rPr>
          <w:rFonts w:cs="Arial"/>
        </w:rPr>
        <w:t>linked with</w:t>
      </w:r>
      <w:r w:rsidR="002C31BD" w:rsidRPr="00BB54DF">
        <w:rPr>
          <w:rFonts w:cs="Arial"/>
        </w:rPr>
        <w:t xml:space="preserve"> </w:t>
      </w:r>
      <w:r w:rsidR="008D185C" w:rsidRPr="00BB54DF">
        <w:rPr>
          <w:rFonts w:cs="Arial"/>
        </w:rPr>
        <w:t>Hospital Episode Statistics</w:t>
      </w:r>
      <w:r w:rsidR="00C55E28" w:rsidRPr="00BB54DF">
        <w:rPr>
          <w:rFonts w:cs="Arial"/>
        </w:rPr>
        <w:t xml:space="preserve"> (HES)</w:t>
      </w:r>
      <w:r w:rsidRPr="00BB54DF">
        <w:rPr>
          <w:rFonts w:cs="Arial"/>
        </w:rPr>
        <w:t xml:space="preserve">. </w:t>
      </w:r>
      <w:r w:rsidR="00E631B1" w:rsidRPr="00BB54DF">
        <w:rPr>
          <w:rFonts w:cs="Arial"/>
        </w:rPr>
        <w:t>CPRD</w:t>
      </w:r>
      <w:r w:rsidR="002E303D" w:rsidRPr="00BB54DF">
        <w:rPr>
          <w:rFonts w:cs="Arial"/>
        </w:rPr>
        <w:t xml:space="preserve">-HES </w:t>
      </w:r>
      <w:r w:rsidR="00E631B1" w:rsidRPr="00BB54DF">
        <w:rPr>
          <w:rFonts w:cs="Arial"/>
        </w:rPr>
        <w:t xml:space="preserve">contains </w:t>
      </w:r>
      <w:r w:rsidR="002C31BD" w:rsidRPr="00BB54DF">
        <w:rPr>
          <w:rFonts w:cs="Arial"/>
        </w:rPr>
        <w:t>anonymised</w:t>
      </w:r>
      <w:r w:rsidR="00E631B1" w:rsidRPr="00BB54DF">
        <w:rPr>
          <w:rFonts w:cs="Arial"/>
        </w:rPr>
        <w:t xml:space="preserve"> </w:t>
      </w:r>
      <w:r w:rsidR="00A33E91" w:rsidRPr="00BB54DF">
        <w:rPr>
          <w:rFonts w:cs="Arial"/>
        </w:rPr>
        <w:t>primary</w:t>
      </w:r>
      <w:r w:rsidR="002975B8" w:rsidRPr="00BB54DF">
        <w:rPr>
          <w:rFonts w:cs="Arial"/>
        </w:rPr>
        <w:t>-</w:t>
      </w:r>
      <w:r w:rsidR="00A33E91" w:rsidRPr="00BB54DF">
        <w:rPr>
          <w:rFonts w:cs="Arial"/>
        </w:rPr>
        <w:t xml:space="preserve"> and secondary</w:t>
      </w:r>
      <w:r w:rsidR="002975B8" w:rsidRPr="00BB54DF">
        <w:rPr>
          <w:rFonts w:cs="Arial"/>
        </w:rPr>
        <w:t>-</w:t>
      </w:r>
      <w:r w:rsidR="00A33E91" w:rsidRPr="00BB54DF">
        <w:rPr>
          <w:rFonts w:cs="Arial"/>
        </w:rPr>
        <w:t xml:space="preserve">care </w:t>
      </w:r>
      <w:r w:rsidR="002E303D" w:rsidRPr="00BB54DF">
        <w:rPr>
          <w:rFonts w:cs="Arial"/>
        </w:rPr>
        <w:t>records from</w:t>
      </w:r>
      <w:r w:rsidR="00EE6AF5" w:rsidRPr="00BB54DF">
        <w:rPr>
          <w:rFonts w:cs="Arial"/>
        </w:rPr>
        <w:t xml:space="preserve"> </w:t>
      </w:r>
      <w:r w:rsidR="005B4871" w:rsidRPr="00BB54DF">
        <w:rPr>
          <w:rFonts w:cs="Arial"/>
        </w:rPr>
        <w:t xml:space="preserve">401 </w:t>
      </w:r>
      <w:r w:rsidR="00EE6AF5" w:rsidRPr="00BB54DF">
        <w:rPr>
          <w:rFonts w:cs="Arial"/>
        </w:rPr>
        <w:t xml:space="preserve">English </w:t>
      </w:r>
      <w:r w:rsidR="002975B8" w:rsidRPr="00BB54DF">
        <w:rPr>
          <w:rFonts w:cs="Arial"/>
        </w:rPr>
        <w:t>primary-</w:t>
      </w:r>
      <w:r w:rsidR="00733296" w:rsidRPr="00BB54DF">
        <w:rPr>
          <w:rFonts w:cs="Arial"/>
        </w:rPr>
        <w:t xml:space="preserve">care </w:t>
      </w:r>
      <w:r w:rsidR="00EE6AF5" w:rsidRPr="00BB54DF">
        <w:rPr>
          <w:rFonts w:cs="Arial"/>
        </w:rPr>
        <w:t>practices</w:t>
      </w:r>
      <w:r w:rsidR="006E3F7E" w:rsidRPr="00BB54DF">
        <w:rPr>
          <w:rFonts w:cs="Arial"/>
        </w:rPr>
        <w:t xml:space="preserve"> (</w:t>
      </w:r>
      <w:r w:rsidR="00EE6AF5" w:rsidRPr="00BB54DF">
        <w:rPr>
          <w:rFonts w:cs="Arial"/>
        </w:rPr>
        <w:t>58% of CPRD</w:t>
      </w:r>
      <w:r w:rsidR="00F338D2" w:rsidRPr="00BB54DF">
        <w:rPr>
          <w:rFonts w:cs="Arial"/>
        </w:rPr>
        <w:t>-</w:t>
      </w:r>
      <w:r w:rsidR="00EE6AF5" w:rsidRPr="00BB54DF">
        <w:rPr>
          <w:rFonts w:cs="Arial"/>
        </w:rPr>
        <w:t>registered practices</w:t>
      </w:r>
      <w:r w:rsidR="006E3F7E" w:rsidRPr="00BB54DF">
        <w:rPr>
          <w:rFonts w:cs="Arial"/>
        </w:rPr>
        <w:t>)</w:t>
      </w:r>
      <w:r w:rsidR="00EE6AF5" w:rsidRPr="00BB54DF">
        <w:rPr>
          <w:rFonts w:cs="Arial"/>
        </w:rPr>
        <w:t>.</w:t>
      </w:r>
      <w:r w:rsidR="00D74F51" w:rsidRPr="00BB54DF">
        <w:rPr>
          <w:rFonts w:cs="Arial"/>
        </w:rPr>
        <w:t xml:space="preserve"> In CPRD</w:t>
      </w:r>
      <w:r w:rsidR="00F338D2" w:rsidRPr="00BB54DF">
        <w:rPr>
          <w:rFonts w:cs="Arial"/>
        </w:rPr>
        <w:t>,</w:t>
      </w:r>
      <w:r w:rsidR="00D74F51" w:rsidRPr="00BB54DF">
        <w:rPr>
          <w:rFonts w:cs="Arial"/>
        </w:rPr>
        <w:t xml:space="preserve"> practices suitable for research purposes are considered “up to standard</w:t>
      </w:r>
      <w:r w:rsidR="00F01A9E" w:rsidRPr="00BB54DF">
        <w:rPr>
          <w:rFonts w:cs="Arial"/>
        </w:rPr>
        <w:t>”</w:t>
      </w:r>
      <w:r w:rsidR="0064576B" w:rsidRPr="00BB54DF">
        <w:rPr>
          <w:rFonts w:cs="Arial"/>
        </w:rPr>
        <w:fldChar w:fldCharType="begin">
          <w:fldData xml:space="preserve">PEVuZE5vdGU+PENpdGU+PEF1dGhvcj5IZXJyZXR0PC9BdXRob3I+PFllYXI+MjAxNTwvWWVhcj48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</w:fldData>
        </w:fldChar>
      </w:r>
      <w:r w:rsidR="00CC773B" w:rsidRPr="00BB54DF">
        <w:rPr>
          <w:rFonts w:cs="Arial"/>
        </w:rPr>
        <w:instrText xml:space="preserve"> ADDIN EN.CITE </w:instrText>
      </w:r>
      <w:r w:rsidR="00CC773B" w:rsidRPr="00BB54DF">
        <w:rPr>
          <w:rFonts w:cs="Arial"/>
        </w:rPr>
        <w:fldChar w:fldCharType="begin">
          <w:fldData xml:space="preserve">PEVuZE5vdGU+PENpdGU+PEF1dGhvcj5IZXJyZXR0PC9BdXRob3I+PFllYXI+MjAxNTwvWWVhcj48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</w:fldData>
        </w:fldChar>
      </w:r>
      <w:r w:rsidR="00CC773B" w:rsidRPr="00BB54DF">
        <w:rPr>
          <w:rFonts w:cs="Arial"/>
        </w:rPr>
        <w:instrText xml:space="preserve"> ADDIN EN.CITE.DATA </w:instrText>
      </w:r>
      <w:r w:rsidR="00CC773B" w:rsidRPr="00BB54DF">
        <w:rPr>
          <w:rFonts w:cs="Arial"/>
        </w:rPr>
      </w:r>
      <w:r w:rsidR="00CC773B" w:rsidRPr="00BB54DF">
        <w:rPr>
          <w:rFonts w:cs="Arial"/>
        </w:rPr>
        <w:fldChar w:fldCharType="end"/>
      </w:r>
      <w:r w:rsidR="0064576B" w:rsidRPr="00BB54DF">
        <w:rPr>
          <w:rFonts w:cs="Arial"/>
        </w:rPr>
      </w:r>
      <w:r w:rsidR="0064576B" w:rsidRPr="00BB54DF">
        <w:rPr>
          <w:rFonts w:cs="Arial"/>
        </w:rPr>
        <w:fldChar w:fldCharType="separate"/>
      </w:r>
      <w:r w:rsidR="00CC773B" w:rsidRPr="00BB54DF">
        <w:rPr>
          <w:rFonts w:cs="Arial"/>
          <w:noProof/>
        </w:rPr>
        <w:t>[16]</w:t>
      </w:r>
      <w:r w:rsidR="0064576B" w:rsidRPr="00BB54DF">
        <w:rPr>
          <w:rFonts w:cs="Arial"/>
        </w:rPr>
        <w:fldChar w:fldCharType="end"/>
      </w:r>
      <w:r w:rsidR="00F01A9E" w:rsidRPr="00BB54DF">
        <w:rPr>
          <w:rFonts w:cs="Arial"/>
        </w:rPr>
        <w:t>.</w:t>
      </w:r>
    </w:p>
    <w:p w14:paraId="6E2883E3" w14:textId="7BDD24BC" w:rsidR="002C6FA1" w:rsidRPr="00BB54DF" w:rsidRDefault="002C6FA1" w:rsidP="00A61B8F">
      <w:pPr>
        <w:spacing w:line="360" w:lineRule="auto"/>
        <w:jc w:val="both"/>
        <w:rPr>
          <w:rFonts w:cs="Arial"/>
        </w:rPr>
      </w:pPr>
      <w:r w:rsidRPr="00BB54DF">
        <w:rPr>
          <w:rFonts w:cs="Arial"/>
        </w:rPr>
        <w:t>We also used 200</w:t>
      </w:r>
      <w:r w:rsidR="001F2FD7" w:rsidRPr="00BB54DF">
        <w:rPr>
          <w:rFonts w:cs="Arial"/>
        </w:rPr>
        <w:t>7</w:t>
      </w:r>
      <w:r w:rsidRPr="00BB54DF">
        <w:rPr>
          <w:rFonts w:cs="Arial"/>
        </w:rPr>
        <w:t xml:space="preserve">-2015 records from Catalonia’s Information System for the Development of Research in Primary Care (SIDIAP) linked </w:t>
      </w:r>
      <w:r w:rsidR="00733296" w:rsidRPr="00BB54DF">
        <w:rPr>
          <w:rFonts w:cs="Arial"/>
        </w:rPr>
        <w:t>with</w:t>
      </w:r>
      <w:r w:rsidRPr="00BB54DF">
        <w:rPr>
          <w:rFonts w:cs="Arial"/>
        </w:rPr>
        <w:t xml:space="preserve"> the National Hospital Discharge Database and renal registry. </w:t>
      </w:r>
      <w:r w:rsidR="00C6172A" w:rsidRPr="00BB54DF">
        <w:rPr>
          <w:rFonts w:cs="Arial"/>
        </w:rPr>
        <w:t xml:space="preserve">SIDIAP contains information </w:t>
      </w:r>
      <w:r w:rsidR="00EA0D05" w:rsidRPr="00BB54DF">
        <w:rPr>
          <w:rFonts w:cs="Arial"/>
        </w:rPr>
        <w:t>on</w:t>
      </w:r>
      <w:r w:rsidR="00C6172A" w:rsidRPr="00BB54DF">
        <w:rPr>
          <w:rFonts w:cs="Arial"/>
        </w:rPr>
        <w:t xml:space="preserve"> 5.8 million patients from 279 practices in the Catalonia region of Spain</w:t>
      </w:r>
      <w:r w:rsidR="00733296" w:rsidRPr="00BB54DF">
        <w:rPr>
          <w:rFonts w:cs="Arial"/>
        </w:rPr>
        <w:t>,</w:t>
      </w:r>
      <w:r w:rsidR="00C6172A" w:rsidRPr="00BB54DF">
        <w:rPr>
          <w:rFonts w:cs="Arial"/>
        </w:rPr>
        <w:t xml:space="preserve"> </w:t>
      </w:r>
      <w:r w:rsidR="00733296" w:rsidRPr="00BB54DF">
        <w:rPr>
          <w:rFonts w:cs="Arial"/>
        </w:rPr>
        <w:t xml:space="preserve">representing </w:t>
      </w:r>
      <w:r w:rsidR="005C3F02" w:rsidRPr="00BB54DF">
        <w:rPr>
          <w:rFonts w:cs="Arial"/>
        </w:rPr>
        <w:t>80</w:t>
      </w:r>
      <w:r w:rsidR="00C6172A" w:rsidRPr="00BB54DF">
        <w:rPr>
          <w:rFonts w:cs="Arial"/>
        </w:rPr>
        <w:t>% of th</w:t>
      </w:r>
      <w:r w:rsidR="00733296" w:rsidRPr="00BB54DF">
        <w:rPr>
          <w:rFonts w:cs="Arial"/>
        </w:rPr>
        <w:t>at</w:t>
      </w:r>
      <w:r w:rsidR="00C6172A" w:rsidRPr="00BB54DF">
        <w:rPr>
          <w:rFonts w:cs="Arial"/>
        </w:rPr>
        <w:t xml:space="preserve"> population</w:t>
      </w:r>
      <w:r w:rsidR="0064576B" w:rsidRPr="00BB54DF">
        <w:rPr>
          <w:rFonts w:cs="Arial"/>
        </w:rPr>
        <w:fldChar w:fldCharType="begin"/>
      </w:r>
      <w:r w:rsidR="00CC773B" w:rsidRPr="00BB54DF">
        <w:rPr>
          <w:rFonts w:cs="Arial"/>
        </w:rPr>
        <w:instrText xml:space="preserve"> ADDIN EN.CITE &lt;EndNote&gt;&lt;Cite&gt;&lt;Author&gt;SIDIAP&lt;/Author&gt;&lt;Year&gt;2014&lt;/Year&gt;&lt;RecNum&gt;52&lt;/RecNum&gt;&lt;DisplayText&gt;[17]&lt;/DisplayText&gt;&lt;record&gt;&lt;rec-number&gt;52&lt;/rec-number&gt;&lt;foreign-keys&gt;&lt;key app="EN" db-id="pwdswvde6sasexe5rx9p90509rsftz22fdv9" timestamp="0"&gt;52&lt;/key&gt;&lt;/foreign-keys&gt;&lt;ref-type name="Web Page"&gt;12&lt;/ref-type&gt;&lt;contributors&gt;&lt;authors&gt;&lt;author&gt;SIDIAP&lt;/author&gt;&lt;/authors&gt;&lt;/contributors&gt;&lt;titles&gt;&lt;title&gt;SIDIAP Information System for Research in Primary Care&lt;/title&gt;&lt;/titles&gt;&lt;volume&gt;2019&lt;/volume&gt;&lt;number&gt;23/08&lt;/number&gt;&lt;dates&gt;&lt;year&gt;2014&lt;/year&gt;&lt;/dates&gt;&lt;urls&gt;&lt;/urls&gt;&lt;/record&gt;&lt;/Cite&gt;&lt;/EndNote&gt;</w:instrText>
      </w:r>
      <w:r w:rsidR="0064576B" w:rsidRPr="00BB54DF">
        <w:rPr>
          <w:rFonts w:cs="Arial"/>
        </w:rPr>
        <w:fldChar w:fldCharType="separate"/>
      </w:r>
      <w:r w:rsidR="00CC773B" w:rsidRPr="00BB54DF">
        <w:rPr>
          <w:rFonts w:cs="Arial"/>
          <w:noProof/>
        </w:rPr>
        <w:t>[17]</w:t>
      </w:r>
      <w:r w:rsidR="0064576B" w:rsidRPr="00BB54DF">
        <w:rPr>
          <w:rFonts w:cs="Arial"/>
        </w:rPr>
        <w:fldChar w:fldCharType="end"/>
      </w:r>
      <w:r w:rsidR="00F01A9E" w:rsidRPr="00BB54DF">
        <w:rPr>
          <w:rFonts w:cs="Arial"/>
        </w:rPr>
        <w:t>.</w:t>
      </w:r>
    </w:p>
    <w:p w14:paraId="1C9EBD5F" w14:textId="184877AC" w:rsidR="00D16118" w:rsidRPr="00BB54DF" w:rsidRDefault="00C6172A" w:rsidP="00A61B8F">
      <w:pPr>
        <w:spacing w:line="360" w:lineRule="auto"/>
        <w:jc w:val="both"/>
        <w:rPr>
          <w:rFonts w:cs="Arial"/>
        </w:rPr>
      </w:pPr>
      <w:r w:rsidRPr="00BB54DF">
        <w:rPr>
          <w:rFonts w:cs="Arial"/>
        </w:rPr>
        <w:t xml:space="preserve">Both datasets </w:t>
      </w:r>
      <w:r w:rsidR="00F338D2" w:rsidRPr="00BB54DF">
        <w:rPr>
          <w:rFonts w:cs="Arial"/>
        </w:rPr>
        <w:t>are</w:t>
      </w:r>
      <w:r w:rsidRPr="00BB54DF">
        <w:rPr>
          <w:rFonts w:cs="Arial"/>
        </w:rPr>
        <w:t xml:space="preserve"> representative of their respective populations</w:t>
      </w:r>
      <w:r w:rsidR="0064576B" w:rsidRPr="00BB54DF">
        <w:rPr>
          <w:rFonts w:cs="Arial"/>
        </w:rPr>
        <w:fldChar w:fldCharType="begin">
          <w:fldData xml:space="preserve">PEVuZE5vdGU+PENpdGU+PEF1dGhvcj5IZXJyZXR0PC9BdXRob3I+PFllYXI+MjAxMDwvWWVhcj48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==
</w:fldData>
        </w:fldChar>
      </w:r>
      <w:r w:rsidR="00CC773B" w:rsidRPr="00BB54DF">
        <w:rPr>
          <w:rFonts w:cs="Arial"/>
        </w:rPr>
        <w:instrText xml:space="preserve"> ADDIN EN.CITE </w:instrText>
      </w:r>
      <w:r w:rsidR="00CC773B" w:rsidRPr="00BB54DF">
        <w:rPr>
          <w:rFonts w:cs="Arial"/>
        </w:rPr>
        <w:fldChar w:fldCharType="begin">
          <w:fldData xml:space="preserve">PEVuZE5vdGU+PENpdGU+PEF1dGhvcj5IZXJyZXR0PC9BdXRob3I+PFllYXI+MjAxMDwvWWVhcj48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==
</w:fldData>
        </w:fldChar>
      </w:r>
      <w:r w:rsidR="00CC773B" w:rsidRPr="00BB54DF">
        <w:rPr>
          <w:rFonts w:cs="Arial"/>
        </w:rPr>
        <w:instrText xml:space="preserve"> ADDIN EN.CITE.DATA </w:instrText>
      </w:r>
      <w:r w:rsidR="00CC773B" w:rsidRPr="00BB54DF">
        <w:rPr>
          <w:rFonts w:cs="Arial"/>
        </w:rPr>
      </w:r>
      <w:r w:rsidR="00CC773B" w:rsidRPr="00BB54DF">
        <w:rPr>
          <w:rFonts w:cs="Arial"/>
        </w:rPr>
        <w:fldChar w:fldCharType="end"/>
      </w:r>
      <w:r w:rsidR="0064576B" w:rsidRPr="00BB54DF">
        <w:rPr>
          <w:rFonts w:cs="Arial"/>
        </w:rPr>
      </w:r>
      <w:r w:rsidR="0064576B" w:rsidRPr="00BB54DF">
        <w:rPr>
          <w:rFonts w:cs="Arial"/>
        </w:rPr>
        <w:fldChar w:fldCharType="separate"/>
      </w:r>
      <w:r w:rsidR="00CC773B" w:rsidRPr="00BB54DF">
        <w:rPr>
          <w:rFonts w:cs="Arial"/>
          <w:noProof/>
        </w:rPr>
        <w:t>[18, 19]</w:t>
      </w:r>
      <w:r w:rsidR="0064576B" w:rsidRPr="00BB54DF">
        <w:rPr>
          <w:rFonts w:cs="Arial"/>
        </w:rPr>
        <w:fldChar w:fldCharType="end"/>
      </w:r>
      <w:r w:rsidR="00F01A9E" w:rsidRPr="00BB54DF">
        <w:rPr>
          <w:rFonts w:cs="Arial"/>
        </w:rPr>
        <w:t>.</w:t>
      </w:r>
      <w:r w:rsidRPr="00BB54DF">
        <w:rPr>
          <w:rFonts w:cs="Arial"/>
        </w:rPr>
        <w:t xml:space="preserve"> </w:t>
      </w:r>
      <w:r w:rsidR="006A7B2B" w:rsidRPr="00BB54DF">
        <w:rPr>
          <w:rFonts w:cs="Arial"/>
        </w:rPr>
        <w:t xml:space="preserve">The replication of analyses from CPRD in SIDIAP was undertaken to check the generalisability of results identified in the UK to other European countries. Differences between CPRD and SIDIAP are mainly due to difference in the population, since the datasets collect data in the same manner. </w:t>
      </w:r>
      <w:r w:rsidR="00F723AD" w:rsidRPr="00BB54DF">
        <w:rPr>
          <w:rFonts w:cs="Arial"/>
        </w:rPr>
        <w:t xml:space="preserve">Scientific approval was </w:t>
      </w:r>
      <w:r w:rsidR="00733296" w:rsidRPr="00BB54DF">
        <w:rPr>
          <w:rFonts w:cs="Arial"/>
        </w:rPr>
        <w:t>obtained</w:t>
      </w:r>
      <w:r w:rsidR="00F723AD" w:rsidRPr="00BB54DF">
        <w:rPr>
          <w:rFonts w:cs="Arial"/>
        </w:rPr>
        <w:t xml:space="preserve"> </w:t>
      </w:r>
      <w:r w:rsidR="001D2E4B" w:rsidRPr="00BB54DF">
        <w:rPr>
          <w:rFonts w:cs="Arial"/>
        </w:rPr>
        <w:t>for CPRD</w:t>
      </w:r>
      <w:r w:rsidR="001049B6" w:rsidRPr="00BB54DF">
        <w:rPr>
          <w:rFonts w:cs="Arial"/>
        </w:rPr>
        <w:t xml:space="preserve"> </w:t>
      </w:r>
      <w:r w:rsidR="00733296" w:rsidRPr="00BB54DF">
        <w:rPr>
          <w:rFonts w:cs="Arial"/>
        </w:rPr>
        <w:t>(</w:t>
      </w:r>
      <w:r w:rsidR="001049B6" w:rsidRPr="00BB54DF">
        <w:rPr>
          <w:rFonts w:cs="Arial"/>
        </w:rPr>
        <w:t>protocol number 15_153R2</w:t>
      </w:r>
      <w:r w:rsidR="00733296" w:rsidRPr="00BB54DF">
        <w:rPr>
          <w:rFonts w:cs="Arial"/>
        </w:rPr>
        <w:t>)</w:t>
      </w:r>
      <w:r w:rsidR="00F723AD" w:rsidRPr="00BB54DF">
        <w:rPr>
          <w:rFonts w:cs="Arial"/>
        </w:rPr>
        <w:t xml:space="preserve"> </w:t>
      </w:r>
      <w:r w:rsidR="00733296" w:rsidRPr="00BB54DF">
        <w:rPr>
          <w:rFonts w:cs="Arial"/>
        </w:rPr>
        <w:t xml:space="preserve">and </w:t>
      </w:r>
      <w:r w:rsidR="001D2E4B" w:rsidRPr="00BB54DF">
        <w:rPr>
          <w:rFonts w:cs="Arial"/>
        </w:rPr>
        <w:t xml:space="preserve">SIDIAP </w:t>
      </w:r>
      <w:r w:rsidR="00733296" w:rsidRPr="00BB54DF">
        <w:rPr>
          <w:rFonts w:cs="Arial"/>
        </w:rPr>
        <w:t>(</w:t>
      </w:r>
      <w:r w:rsidR="001D2E4B" w:rsidRPr="00BB54DF">
        <w:rPr>
          <w:rFonts w:cs="Arial"/>
        </w:rPr>
        <w:t xml:space="preserve">protocol number </w:t>
      </w:r>
      <w:r w:rsidR="00B57226" w:rsidRPr="00BB54DF">
        <w:rPr>
          <w:rFonts w:cs="Arial"/>
        </w:rPr>
        <w:t>148</w:t>
      </w:r>
      <w:r w:rsidR="00F723AD" w:rsidRPr="00BB54DF">
        <w:rPr>
          <w:rFonts w:cs="Arial"/>
        </w:rPr>
        <w:t>)</w:t>
      </w:r>
      <w:r w:rsidR="005C3F02" w:rsidRPr="00BB54DF">
        <w:rPr>
          <w:rFonts w:cs="Arial"/>
        </w:rPr>
        <w:t>.</w:t>
      </w:r>
      <w:r w:rsidR="00D16118" w:rsidRPr="00BB54DF">
        <w:rPr>
          <w:rFonts w:cs="Arial"/>
        </w:rPr>
        <w:t xml:space="preserve"> </w:t>
      </w:r>
      <w:r w:rsidR="00AC0C31" w:rsidRPr="00BB54DF">
        <w:rPr>
          <w:rFonts w:cs="Arial"/>
        </w:rPr>
        <w:t>D</w:t>
      </w:r>
      <w:r w:rsidR="00D16118" w:rsidRPr="00BB54DF">
        <w:rPr>
          <w:rFonts w:cs="Arial"/>
        </w:rPr>
        <w:t xml:space="preserve">ata were extracted and analysed </w:t>
      </w:r>
      <w:r w:rsidR="00655DDC" w:rsidRPr="00BB54DF">
        <w:rPr>
          <w:rFonts w:cs="Arial"/>
        </w:rPr>
        <w:t xml:space="preserve">by independent statisticians </w:t>
      </w:r>
      <w:r w:rsidR="00D16118" w:rsidRPr="00BB54DF">
        <w:rPr>
          <w:rFonts w:cs="Arial"/>
        </w:rPr>
        <w:t xml:space="preserve">using </w:t>
      </w:r>
      <w:r w:rsidR="00655DDC" w:rsidRPr="00BB54DF">
        <w:rPr>
          <w:rFonts w:cs="Arial"/>
        </w:rPr>
        <w:t xml:space="preserve">an agreed common </w:t>
      </w:r>
      <w:r w:rsidR="00D16118" w:rsidRPr="00BB54DF">
        <w:rPr>
          <w:rFonts w:cs="Arial"/>
        </w:rPr>
        <w:t xml:space="preserve">data structure and </w:t>
      </w:r>
      <w:r w:rsidR="00655DDC" w:rsidRPr="00BB54DF">
        <w:rPr>
          <w:rFonts w:cs="Arial"/>
        </w:rPr>
        <w:t xml:space="preserve">shared </w:t>
      </w:r>
      <w:r w:rsidR="00D16118" w:rsidRPr="00BB54DF">
        <w:rPr>
          <w:rFonts w:cs="Arial"/>
        </w:rPr>
        <w:t xml:space="preserve">programming codes. </w:t>
      </w:r>
    </w:p>
    <w:p w14:paraId="10D3A175" w14:textId="77777777" w:rsidR="00F723AD" w:rsidRPr="00BB54DF" w:rsidRDefault="00F723AD" w:rsidP="00605BDA">
      <w:pPr>
        <w:spacing w:line="360" w:lineRule="auto"/>
        <w:jc w:val="both"/>
        <w:outlineLvl w:val="0"/>
        <w:rPr>
          <w:rFonts w:cs="Arial"/>
          <w:b/>
        </w:rPr>
      </w:pPr>
      <w:r w:rsidRPr="00BB54DF">
        <w:rPr>
          <w:rFonts w:cs="Arial"/>
          <w:b/>
        </w:rPr>
        <w:t>Study population</w:t>
      </w:r>
    </w:p>
    <w:p w14:paraId="267992E3" w14:textId="65CC2FDE" w:rsidR="00590AD6" w:rsidRPr="00BB54DF" w:rsidRDefault="002A78FD" w:rsidP="00E33A7D">
      <w:pPr>
        <w:spacing w:line="360" w:lineRule="auto"/>
        <w:jc w:val="both"/>
        <w:rPr>
          <w:rFonts w:cs="Arial"/>
        </w:rPr>
      </w:pPr>
      <w:r w:rsidRPr="00BB54DF">
        <w:rPr>
          <w:rFonts w:cs="Arial"/>
        </w:rPr>
        <w:t>Our target population was p</w:t>
      </w:r>
      <w:r w:rsidR="00C6172A" w:rsidRPr="00BB54DF">
        <w:rPr>
          <w:rFonts w:cs="Arial"/>
        </w:rPr>
        <w:t xml:space="preserve">atients with </w:t>
      </w:r>
      <w:r w:rsidR="00017F4B" w:rsidRPr="00BB54DF">
        <w:rPr>
          <w:rFonts w:cs="Arial"/>
        </w:rPr>
        <w:t>two</w:t>
      </w:r>
      <w:r w:rsidR="003953D0" w:rsidRPr="00BB54DF">
        <w:rPr>
          <w:rFonts w:cs="Arial"/>
        </w:rPr>
        <w:t xml:space="preserve"> or more</w:t>
      </w:r>
      <w:r w:rsidR="00C6172A" w:rsidRPr="00BB54DF">
        <w:rPr>
          <w:rFonts w:cs="Arial"/>
        </w:rPr>
        <w:t xml:space="preserve"> eGFR</w:t>
      </w:r>
      <w:r w:rsidR="007D0161" w:rsidRPr="00BB54DF">
        <w:rPr>
          <w:rFonts w:cs="Arial"/>
        </w:rPr>
        <w:t xml:space="preserve"> </w:t>
      </w:r>
      <w:r w:rsidR="00C6172A" w:rsidRPr="00BB54DF">
        <w:rPr>
          <w:rFonts w:cs="Arial"/>
        </w:rPr>
        <w:t>measurement</w:t>
      </w:r>
      <w:r w:rsidR="00017F4B" w:rsidRPr="00BB54DF">
        <w:rPr>
          <w:rFonts w:cs="Arial"/>
        </w:rPr>
        <w:t>s</w:t>
      </w:r>
      <w:r w:rsidR="00C6172A" w:rsidRPr="00BB54DF">
        <w:rPr>
          <w:rFonts w:cs="Arial"/>
        </w:rPr>
        <w:t xml:space="preserve"> </w:t>
      </w:r>
      <w:r w:rsidR="00117CBF" w:rsidRPr="00BB54DF">
        <w:rPr>
          <w:rFonts w:cs="Arial"/>
        </w:rPr>
        <w:t xml:space="preserve">under </w:t>
      </w:r>
      <w:r w:rsidR="00C6172A" w:rsidRPr="00BB54DF">
        <w:rPr>
          <w:rFonts w:cs="Arial"/>
        </w:rPr>
        <w:t xml:space="preserve">45 </w:t>
      </w:r>
      <w:r w:rsidR="0056450B" w:rsidRPr="00BB54DF">
        <w:rPr>
          <w:rFonts w:cs="Arial"/>
        </w:rPr>
        <w:t>ml</w:t>
      </w:r>
      <w:r w:rsidR="00C6172A" w:rsidRPr="00BB54DF">
        <w:rPr>
          <w:rFonts w:cs="Arial"/>
        </w:rPr>
        <w:t>/min/1</w:t>
      </w:r>
      <w:r w:rsidR="00EC47FC" w:rsidRPr="00BB54DF">
        <w:rPr>
          <w:rFonts w:cs="Arial"/>
        </w:rPr>
        <w:t>.</w:t>
      </w:r>
      <w:r w:rsidR="00C6172A" w:rsidRPr="00BB54DF">
        <w:rPr>
          <w:rFonts w:cs="Arial"/>
        </w:rPr>
        <w:t>73m</w:t>
      </w:r>
      <w:r w:rsidR="00C6172A" w:rsidRPr="00BB54DF">
        <w:rPr>
          <w:rFonts w:cs="Arial"/>
          <w:vertAlign w:val="superscript"/>
        </w:rPr>
        <w:t>2</w:t>
      </w:r>
      <w:r w:rsidR="004E7749" w:rsidRPr="00BB54DF">
        <w:rPr>
          <w:rFonts w:cs="Arial"/>
        </w:rPr>
        <w:t xml:space="preserve">, </w:t>
      </w:r>
      <w:r w:rsidRPr="00BB54DF">
        <w:rPr>
          <w:rFonts w:cs="Arial"/>
        </w:rPr>
        <w:t xml:space="preserve">aged </w:t>
      </w:r>
      <w:r w:rsidR="002C6CF1" w:rsidRPr="00BB54DF">
        <w:rPr>
          <w:rFonts w:cs="Arial"/>
        </w:rPr>
        <w:t>40 years or older</w:t>
      </w:r>
      <w:r w:rsidR="00590AD6" w:rsidRPr="00BB54DF">
        <w:rPr>
          <w:rFonts w:cs="Arial"/>
        </w:rPr>
        <w:t>.</w:t>
      </w:r>
      <w:r w:rsidR="002C6CF1" w:rsidRPr="00BB54DF">
        <w:rPr>
          <w:rFonts w:cs="Arial"/>
        </w:rPr>
        <w:t xml:space="preserve"> </w:t>
      </w:r>
      <w:r w:rsidR="00590AD6" w:rsidRPr="00BB54DF">
        <w:rPr>
          <w:rFonts w:cs="Arial"/>
        </w:rPr>
        <w:t>Patients had to</w:t>
      </w:r>
      <w:r w:rsidR="00AE6ECF" w:rsidRPr="00BB54DF">
        <w:rPr>
          <w:rFonts w:cs="Arial"/>
        </w:rPr>
        <w:t xml:space="preserve"> be</w:t>
      </w:r>
      <w:r w:rsidR="00590AD6" w:rsidRPr="00BB54DF">
        <w:rPr>
          <w:rFonts w:cs="Arial"/>
        </w:rPr>
        <w:t xml:space="preserve"> registered with a </w:t>
      </w:r>
      <w:r w:rsidR="005B4871" w:rsidRPr="00BB54DF">
        <w:rPr>
          <w:rFonts w:cs="Arial"/>
        </w:rPr>
        <w:t xml:space="preserve">practice </w:t>
      </w:r>
      <w:r w:rsidR="00590AD6" w:rsidRPr="00BB54DF">
        <w:rPr>
          <w:rFonts w:cs="Arial"/>
        </w:rPr>
        <w:t>considered “</w:t>
      </w:r>
      <w:r w:rsidR="005B4871" w:rsidRPr="00BB54DF">
        <w:rPr>
          <w:rFonts w:cs="Arial"/>
        </w:rPr>
        <w:t>up to standard</w:t>
      </w:r>
      <w:r w:rsidR="00590AD6" w:rsidRPr="00BB54DF">
        <w:rPr>
          <w:rFonts w:cs="Arial"/>
        </w:rPr>
        <w:t>”</w:t>
      </w:r>
      <w:r w:rsidR="005B4871" w:rsidRPr="00BB54DF">
        <w:rPr>
          <w:rFonts w:cs="Arial"/>
        </w:rPr>
        <w:t xml:space="preserve"> </w:t>
      </w:r>
      <w:r w:rsidR="00590AD6" w:rsidRPr="00BB54DF">
        <w:rPr>
          <w:rFonts w:cs="Arial"/>
        </w:rPr>
        <w:t xml:space="preserve">by that database </w:t>
      </w:r>
      <w:r w:rsidR="005B4871" w:rsidRPr="00BB54DF">
        <w:rPr>
          <w:rFonts w:cs="Arial"/>
        </w:rPr>
        <w:t>for at</w:t>
      </w:r>
      <w:r w:rsidR="00655DDC" w:rsidRPr="00BB54DF">
        <w:rPr>
          <w:rFonts w:cs="Arial"/>
        </w:rPr>
        <w:t xml:space="preserve"> least 1 year before their </w:t>
      </w:r>
      <w:r w:rsidR="00017F4B" w:rsidRPr="00BB54DF">
        <w:rPr>
          <w:rFonts w:cs="Arial"/>
        </w:rPr>
        <w:t>first</w:t>
      </w:r>
      <w:r w:rsidR="00655DDC" w:rsidRPr="00BB54DF">
        <w:rPr>
          <w:rFonts w:cs="Arial"/>
        </w:rPr>
        <w:t xml:space="preserve"> </w:t>
      </w:r>
      <w:r w:rsidR="00C953EA" w:rsidRPr="00BB54DF">
        <w:rPr>
          <w:rFonts w:cs="Arial"/>
        </w:rPr>
        <w:t xml:space="preserve">low </w:t>
      </w:r>
      <w:r w:rsidR="00655DDC" w:rsidRPr="00BB54DF">
        <w:rPr>
          <w:rFonts w:cs="Arial"/>
        </w:rPr>
        <w:t>eGFR measure</w:t>
      </w:r>
      <w:r w:rsidR="00C55E28" w:rsidRPr="00BB54DF">
        <w:rPr>
          <w:rFonts w:cs="Arial"/>
        </w:rPr>
        <w:t>ment</w:t>
      </w:r>
      <w:r w:rsidRPr="00BB54DF">
        <w:rPr>
          <w:rFonts w:cs="Arial"/>
        </w:rPr>
        <w:t xml:space="preserve">. </w:t>
      </w:r>
      <w:r w:rsidR="001869FB" w:rsidRPr="00BB54DF">
        <w:rPr>
          <w:rFonts w:cs="Arial"/>
        </w:rPr>
        <w:t>eGFR</w:t>
      </w:r>
      <w:r w:rsidR="00117CBF" w:rsidRPr="00BB54DF">
        <w:rPr>
          <w:rFonts w:cs="Arial"/>
        </w:rPr>
        <w:t xml:space="preserve"> estimates</w:t>
      </w:r>
      <w:r w:rsidR="001869FB" w:rsidRPr="00BB54DF">
        <w:rPr>
          <w:rFonts w:cs="Arial"/>
        </w:rPr>
        <w:t xml:space="preserve"> were </w:t>
      </w:r>
      <w:r w:rsidR="00655DDC" w:rsidRPr="00BB54DF">
        <w:rPr>
          <w:rFonts w:cs="Arial"/>
        </w:rPr>
        <w:t xml:space="preserve">obtained directly from biochemistry data and </w:t>
      </w:r>
      <w:r w:rsidR="001869FB" w:rsidRPr="00BB54DF">
        <w:rPr>
          <w:rFonts w:cs="Arial"/>
        </w:rPr>
        <w:t>calculated using the CKD Epidemiology Collaboration formula</w:t>
      </w:r>
      <w:r w:rsidR="00655DDC" w:rsidRPr="00BB54DF">
        <w:rPr>
          <w:rFonts w:cs="Arial"/>
        </w:rPr>
        <w:t xml:space="preserve"> based on serum creatinine</w:t>
      </w:r>
      <w:r w:rsidR="001869FB" w:rsidRPr="00BB54DF">
        <w:rPr>
          <w:rFonts w:cs="Arial"/>
        </w:rPr>
        <w:t xml:space="preserve"> </w:t>
      </w:r>
      <w:r w:rsidR="00590AD6" w:rsidRPr="00BB54DF">
        <w:rPr>
          <w:rFonts w:cs="Arial"/>
        </w:rPr>
        <w:t>if</w:t>
      </w:r>
      <w:r w:rsidR="00655DDC" w:rsidRPr="00BB54DF">
        <w:rPr>
          <w:rFonts w:cs="Arial"/>
        </w:rPr>
        <w:t xml:space="preserve"> </w:t>
      </w:r>
      <w:r w:rsidR="001869FB" w:rsidRPr="00BB54DF">
        <w:rPr>
          <w:rFonts w:cs="Arial"/>
        </w:rPr>
        <w:t>automated laboratory reporting of eGFR was not available</w:t>
      </w:r>
      <w:r w:rsidR="0064576B" w:rsidRPr="00BB54DF">
        <w:rPr>
          <w:rFonts w:cs="Arial"/>
        </w:rPr>
        <w:fldChar w:fldCharType="begin"/>
      </w:r>
      <w:r w:rsidR="00CC773B" w:rsidRPr="00BB54DF">
        <w:rPr>
          <w:rFonts w:cs="Arial"/>
        </w:rPr>
        <w:instrText xml:space="preserve"> ADDIN EN.CITE &lt;EndNote&gt;&lt;Cite&gt;&lt;Author&gt;Levey&lt;/Author&gt;&lt;Year&gt;2009&lt;/Year&gt;&lt;RecNum&gt;53&lt;/RecNum&gt;&lt;DisplayText&gt;[20]&lt;/DisplayText&gt;&lt;record&gt;&lt;rec-number&gt;53&lt;/rec-number&gt;&lt;foreign-keys&gt;&lt;key app="EN" db-id="pwdswvde6sasexe5rx9p90509rsftz22fdv9" timestamp="0"&gt;53&lt;/key&gt;&lt;/foreign-keys&gt;&lt;ref-type name="Journal Article"&gt;17&lt;/ref-type&gt;&lt;contributors&gt;&lt;authors&gt;&lt;author&gt;Levey, A. S.&lt;/author&gt;&lt;author&gt;Stevens, L. A.&lt;/author&gt;&lt;author&gt;Schmid, C. H.&lt;/author&gt;&lt;author&gt;Zhang, Y. L.&lt;/author&gt;&lt;author&gt;Castro, A. F., 3rd&lt;/author&gt;&lt;author&gt;Feldman, H. I.&lt;/author&gt;&lt;author&gt;Kusek, J. W.&lt;/author&gt;&lt;author&gt;Eggers, P.&lt;/author&gt;&lt;author&gt;Van Lente, F.&lt;/author&gt;&lt;author&gt;Greene, T.&lt;/author&gt;&lt;author&gt;Coresh, J.&lt;/author&gt;&lt;/authors&gt;&lt;/contributors&gt;&lt;auth-address&gt;Tufts Medical Center, Boston, Massachusetts 02111, USA.&lt;/auth-address&gt;&lt;titles&gt;&lt;title&gt;A new equation to estimate glomerular filtration rate&lt;/title&gt;&lt;secondary-title&gt;Ann Intern Med&lt;/secondary-title&gt;&lt;alt-title&gt;Annals of internal medicine&lt;/alt-title&gt;&lt;/titles&gt;&lt;pages&gt;604-12&lt;/pages&gt;&lt;volume&gt;150&lt;/volume&gt;&lt;number&gt;9&lt;/number&gt;&lt;edition&gt;2009/05/06&lt;/edition&gt;&lt;keywords&gt;&lt;keyword&gt;Adult&lt;/keyword&gt;&lt;keyword&gt;Aged&lt;/keyword&gt;&lt;keyword&gt;Aged, 80 and over&lt;/keyword&gt;&lt;keyword&gt;Chronic Disease&lt;/keyword&gt;&lt;keyword&gt;Creatinine/blood&lt;/keyword&gt;&lt;keyword&gt;Cross-Sectional Studies&lt;/keyword&gt;&lt;keyword&gt;Female&lt;/keyword&gt;&lt;keyword&gt;*Glomerular Filtration Rate&lt;/keyword&gt;&lt;keyword&gt;Humans&lt;/keyword&gt;&lt;keyword&gt;Kidney Diseases/diagnosis/*epidemiology&lt;/keyword&gt;&lt;keyword&gt;Male&lt;/keyword&gt;&lt;keyword&gt;Middle Aged&lt;/keyword&gt;&lt;keyword&gt;Nutrition Surveys&lt;/keyword&gt;&lt;keyword&gt;Prevalence&lt;/keyword&gt;&lt;keyword&gt;Reproducibility of Results&lt;/keyword&gt;&lt;keyword&gt;United States/epidemiology&lt;/keyword&gt;&lt;/keywords&gt;&lt;dates&gt;&lt;year&gt;2009&lt;/year&gt;&lt;pub-dates&gt;&lt;date&gt;May 5&lt;/date&gt;&lt;/pub-dates&gt;&lt;/dates&gt;&lt;isbn&gt;0003-4819 (Print)&amp;#xD;0003-4819&lt;/isbn&gt;&lt;accession-num&gt;19414839&lt;/accession-num&gt;&lt;urls&gt;&lt;/urls&gt;&lt;custom2&gt;PMC2763564&lt;/custom2&gt;&lt;custom6&gt;NIHMS132246&lt;/custom6&gt;&lt;electronic-resource-num&gt;10.7326/0003-4819-150-9-200905050-00006&lt;/electronic-resource-num&gt;&lt;remote-database-provider&gt;NLM&lt;/remote-database-provider&gt;&lt;language&gt;eng&lt;/language&gt;&lt;/record&gt;&lt;/Cite&gt;&lt;/EndNote&gt;</w:instrText>
      </w:r>
      <w:r w:rsidR="0064576B" w:rsidRPr="00BB54DF">
        <w:rPr>
          <w:rFonts w:cs="Arial"/>
        </w:rPr>
        <w:fldChar w:fldCharType="separate"/>
      </w:r>
      <w:r w:rsidR="00CC773B" w:rsidRPr="00BB54DF">
        <w:rPr>
          <w:rFonts w:cs="Arial"/>
          <w:noProof/>
        </w:rPr>
        <w:t>[20]</w:t>
      </w:r>
      <w:r w:rsidR="0064576B" w:rsidRPr="00BB54DF">
        <w:rPr>
          <w:rFonts w:cs="Arial"/>
        </w:rPr>
        <w:fldChar w:fldCharType="end"/>
      </w:r>
      <w:r w:rsidR="00F01A9E" w:rsidRPr="00BB54DF">
        <w:rPr>
          <w:rFonts w:cs="Arial"/>
        </w:rPr>
        <w:t>.</w:t>
      </w:r>
    </w:p>
    <w:p w14:paraId="21E5C4F8" w14:textId="19D88C4B" w:rsidR="00C6172A" w:rsidRPr="00BB54DF" w:rsidRDefault="00C6172A" w:rsidP="00E33A7D">
      <w:pPr>
        <w:spacing w:line="360" w:lineRule="auto"/>
        <w:jc w:val="both"/>
        <w:rPr>
          <w:rFonts w:cs="Arial"/>
        </w:rPr>
      </w:pPr>
      <w:r w:rsidRPr="00BB54DF">
        <w:rPr>
          <w:rFonts w:cs="Arial"/>
        </w:rPr>
        <w:t xml:space="preserve">Patients were excluded if they had </w:t>
      </w:r>
      <w:r w:rsidR="00590AD6" w:rsidRPr="00BB54DF">
        <w:rPr>
          <w:rFonts w:cs="Arial"/>
        </w:rPr>
        <w:t xml:space="preserve">used </w:t>
      </w:r>
      <w:r w:rsidR="00B2512F" w:rsidRPr="00BB54DF">
        <w:rPr>
          <w:rFonts w:cs="Arial"/>
        </w:rPr>
        <w:t>bisphosphonates</w:t>
      </w:r>
      <w:r w:rsidR="00655DDC" w:rsidRPr="00BB54DF">
        <w:rPr>
          <w:rFonts w:cs="Arial"/>
        </w:rPr>
        <w:t xml:space="preserve"> </w:t>
      </w:r>
      <w:r w:rsidRPr="00BB54DF">
        <w:rPr>
          <w:rFonts w:cs="Arial"/>
        </w:rPr>
        <w:t xml:space="preserve">in the year </w:t>
      </w:r>
      <w:r w:rsidR="00590AD6" w:rsidRPr="00BB54DF">
        <w:rPr>
          <w:rFonts w:cs="Arial"/>
        </w:rPr>
        <w:t>before</w:t>
      </w:r>
      <w:r w:rsidRPr="00BB54DF">
        <w:rPr>
          <w:rFonts w:cs="Arial"/>
        </w:rPr>
        <w:t xml:space="preserve"> their </w:t>
      </w:r>
      <w:r w:rsidR="00655DDC" w:rsidRPr="00BB54DF">
        <w:rPr>
          <w:rFonts w:cs="Arial"/>
        </w:rPr>
        <w:t>index date</w:t>
      </w:r>
      <w:r w:rsidR="00EA0D05" w:rsidRPr="00BB54DF">
        <w:rPr>
          <w:rFonts w:cs="Arial"/>
        </w:rPr>
        <w:t xml:space="preserve"> (first bisphosphonate use)</w:t>
      </w:r>
      <w:r w:rsidRPr="00BB54DF">
        <w:rPr>
          <w:rFonts w:cs="Arial"/>
        </w:rPr>
        <w:t>, use</w:t>
      </w:r>
      <w:r w:rsidR="00590AD6" w:rsidRPr="00BB54DF">
        <w:rPr>
          <w:rFonts w:cs="Arial"/>
        </w:rPr>
        <w:t>d</w:t>
      </w:r>
      <w:r w:rsidRPr="00BB54DF">
        <w:rPr>
          <w:rFonts w:cs="Arial"/>
        </w:rPr>
        <w:t xml:space="preserve"> non-oral bisphosphonate anti-osteoporotic </w:t>
      </w:r>
      <w:r w:rsidRPr="00BB54DF">
        <w:rPr>
          <w:rFonts w:cs="Arial"/>
        </w:rPr>
        <w:lastRenderedPageBreak/>
        <w:t>thera</w:t>
      </w:r>
      <w:r w:rsidR="001D2E4B" w:rsidRPr="00BB54DF">
        <w:rPr>
          <w:rFonts w:cs="Arial"/>
        </w:rPr>
        <w:t>pies</w:t>
      </w:r>
      <w:r w:rsidR="00655DDC" w:rsidRPr="00BB54DF">
        <w:rPr>
          <w:rFonts w:cs="Arial"/>
        </w:rPr>
        <w:t xml:space="preserve"> at any time before </w:t>
      </w:r>
      <w:r w:rsidR="00590AD6" w:rsidRPr="00BB54DF">
        <w:rPr>
          <w:rFonts w:cs="Arial"/>
        </w:rPr>
        <w:t xml:space="preserve">their </w:t>
      </w:r>
      <w:r w:rsidR="00655DDC" w:rsidRPr="00BB54DF">
        <w:rPr>
          <w:rFonts w:cs="Arial"/>
        </w:rPr>
        <w:t>index date</w:t>
      </w:r>
      <w:r w:rsidR="000C0F76" w:rsidRPr="00BB54DF">
        <w:rPr>
          <w:rFonts w:cs="Arial"/>
        </w:rPr>
        <w:t>,</w:t>
      </w:r>
      <w:r w:rsidRPr="00BB54DF">
        <w:rPr>
          <w:rFonts w:cs="Arial"/>
        </w:rPr>
        <w:t xml:space="preserve"> </w:t>
      </w:r>
      <w:r w:rsidR="00590AD6" w:rsidRPr="00BB54DF">
        <w:rPr>
          <w:rFonts w:cs="Arial"/>
        </w:rPr>
        <w:t xml:space="preserve">were </w:t>
      </w:r>
      <w:r w:rsidRPr="00BB54DF">
        <w:rPr>
          <w:rFonts w:cs="Arial"/>
        </w:rPr>
        <w:t>missing index of multiple deprivation information (</w:t>
      </w:r>
      <w:r w:rsidR="00D74F51" w:rsidRPr="00BB54DF">
        <w:rPr>
          <w:rFonts w:cs="Arial"/>
        </w:rPr>
        <w:t xml:space="preserve">social deprivation level in </w:t>
      </w:r>
      <w:r w:rsidRPr="00BB54DF">
        <w:rPr>
          <w:rFonts w:cs="Arial"/>
        </w:rPr>
        <w:t>CPRD)</w:t>
      </w:r>
      <w:r w:rsidR="00FA20DE" w:rsidRPr="00BB54DF">
        <w:rPr>
          <w:rFonts w:cs="Arial"/>
        </w:rPr>
        <w:t>,</w:t>
      </w:r>
      <w:r w:rsidR="006E3F7E" w:rsidRPr="00BB54DF">
        <w:rPr>
          <w:rFonts w:cs="Arial"/>
        </w:rPr>
        <w:t xml:space="preserve"> or</w:t>
      </w:r>
      <w:r w:rsidR="000C0F76" w:rsidRPr="00BB54DF">
        <w:rPr>
          <w:rFonts w:cs="Arial"/>
        </w:rPr>
        <w:t xml:space="preserve"> </w:t>
      </w:r>
      <w:r w:rsidR="00590AD6" w:rsidRPr="00BB54DF">
        <w:rPr>
          <w:rFonts w:cs="Arial"/>
        </w:rPr>
        <w:t xml:space="preserve">had </w:t>
      </w:r>
      <w:r w:rsidR="000C0F76" w:rsidRPr="00BB54DF">
        <w:rPr>
          <w:rFonts w:cs="Arial"/>
        </w:rPr>
        <w:t>no follow-up eGFR measurement</w:t>
      </w:r>
      <w:r w:rsidRPr="00BB54DF">
        <w:rPr>
          <w:rFonts w:cs="Arial"/>
        </w:rPr>
        <w:t xml:space="preserve">. </w:t>
      </w:r>
    </w:p>
    <w:p w14:paraId="06C2322B" w14:textId="0822A8F4" w:rsidR="008247EA" w:rsidRPr="00BB54DF" w:rsidRDefault="00BF78E0" w:rsidP="00605BDA">
      <w:pPr>
        <w:spacing w:line="360" w:lineRule="auto"/>
        <w:jc w:val="both"/>
        <w:outlineLvl w:val="0"/>
        <w:rPr>
          <w:rFonts w:cs="Arial"/>
          <w:b/>
        </w:rPr>
      </w:pPr>
      <w:r w:rsidRPr="00BB54DF">
        <w:rPr>
          <w:rFonts w:cs="Arial"/>
          <w:b/>
        </w:rPr>
        <w:t>Study exposure: bisphosphonate use</w:t>
      </w:r>
    </w:p>
    <w:p w14:paraId="42C110F2" w14:textId="0E054422" w:rsidR="00084DD7" w:rsidRPr="00BB54DF" w:rsidRDefault="00590AD6" w:rsidP="009E41EB">
      <w:pPr>
        <w:spacing w:line="360" w:lineRule="auto"/>
        <w:jc w:val="both"/>
        <w:rPr>
          <w:rFonts w:cs="Arial"/>
        </w:rPr>
      </w:pPr>
      <w:r w:rsidRPr="00BB54DF">
        <w:rPr>
          <w:rFonts w:cs="Arial"/>
        </w:rPr>
        <w:t>O</w:t>
      </w:r>
      <w:r w:rsidR="00CE66F4" w:rsidRPr="00BB54DF">
        <w:rPr>
          <w:rFonts w:cs="Arial"/>
        </w:rPr>
        <w:t>ral</w:t>
      </w:r>
      <w:r w:rsidR="00BF78E0" w:rsidRPr="00BB54DF">
        <w:rPr>
          <w:rFonts w:cs="Arial"/>
        </w:rPr>
        <w:t xml:space="preserve"> </w:t>
      </w:r>
      <w:r w:rsidR="008247EA" w:rsidRPr="00BB54DF">
        <w:rPr>
          <w:rFonts w:cs="Arial"/>
        </w:rPr>
        <w:t>bisphosphonate</w:t>
      </w:r>
      <w:r w:rsidRPr="00BB54DF">
        <w:rPr>
          <w:rFonts w:cs="Arial"/>
        </w:rPr>
        <w:t xml:space="preserve"> </w:t>
      </w:r>
      <w:r w:rsidR="00540FBD" w:rsidRPr="00BB54DF">
        <w:rPr>
          <w:rFonts w:cs="Arial"/>
        </w:rPr>
        <w:t xml:space="preserve">prescriptions (CPRD) and dispensations (SIDIAP) </w:t>
      </w:r>
      <w:r w:rsidR="008247EA" w:rsidRPr="00BB54DF">
        <w:rPr>
          <w:rFonts w:cs="Arial"/>
        </w:rPr>
        <w:t xml:space="preserve">were identified </w:t>
      </w:r>
      <w:r w:rsidR="001D2E4B" w:rsidRPr="00BB54DF">
        <w:rPr>
          <w:rFonts w:cs="Arial"/>
        </w:rPr>
        <w:t xml:space="preserve">using </w:t>
      </w:r>
      <w:r w:rsidR="00BB404A" w:rsidRPr="00BB54DF">
        <w:rPr>
          <w:rFonts w:cs="Arial"/>
        </w:rPr>
        <w:t>previous</w:t>
      </w:r>
      <w:r w:rsidR="00EA0D05" w:rsidRPr="00BB54DF">
        <w:rPr>
          <w:rFonts w:cs="Arial"/>
        </w:rPr>
        <w:t>ly</w:t>
      </w:r>
      <w:r w:rsidR="00BB404A" w:rsidRPr="00BB54DF">
        <w:rPr>
          <w:rFonts w:cs="Arial"/>
        </w:rPr>
        <w:t xml:space="preserve"> validated lists of </w:t>
      </w:r>
      <w:proofErr w:type="spellStart"/>
      <w:r w:rsidR="005B4871" w:rsidRPr="00BB54DF">
        <w:rPr>
          <w:rFonts w:cs="Arial"/>
        </w:rPr>
        <w:t>prodcodes</w:t>
      </w:r>
      <w:proofErr w:type="spellEnd"/>
      <w:r w:rsidR="00CE66F4" w:rsidRPr="00BB54DF">
        <w:rPr>
          <w:rFonts w:cs="Arial"/>
        </w:rPr>
        <w:t xml:space="preserve"> </w:t>
      </w:r>
      <w:r w:rsidR="002C43DA" w:rsidRPr="00BB54DF">
        <w:rPr>
          <w:rFonts w:cs="Arial"/>
        </w:rPr>
        <w:t xml:space="preserve">in CPRD </w:t>
      </w:r>
      <w:r w:rsidR="00CE66F4" w:rsidRPr="00BB54DF">
        <w:rPr>
          <w:rFonts w:cs="Arial"/>
        </w:rPr>
        <w:t xml:space="preserve">and </w:t>
      </w:r>
      <w:r w:rsidRPr="00BB54DF">
        <w:rPr>
          <w:rFonts w:cs="Arial"/>
        </w:rPr>
        <w:t>a</w:t>
      </w:r>
      <w:r w:rsidR="00CE66F4" w:rsidRPr="00BB54DF">
        <w:rPr>
          <w:rFonts w:cs="Arial"/>
        </w:rPr>
        <w:t xml:space="preserve">natomic therapeutic chemical classification </w:t>
      </w:r>
      <w:r w:rsidR="00985CF6" w:rsidRPr="00BB54DF">
        <w:rPr>
          <w:rFonts w:cs="Arial"/>
        </w:rPr>
        <w:t xml:space="preserve">(ATC) </w:t>
      </w:r>
      <w:r w:rsidR="00CE66F4" w:rsidRPr="00BB54DF">
        <w:rPr>
          <w:rFonts w:cs="Arial"/>
        </w:rPr>
        <w:t xml:space="preserve">codes </w:t>
      </w:r>
      <w:r w:rsidR="002C43DA" w:rsidRPr="00BB54DF">
        <w:rPr>
          <w:rFonts w:cs="Arial"/>
        </w:rPr>
        <w:t xml:space="preserve">in </w:t>
      </w:r>
      <w:r w:rsidR="00CE66F4" w:rsidRPr="00BB54DF">
        <w:rPr>
          <w:rFonts w:cs="Arial"/>
        </w:rPr>
        <w:t>SIDIAP</w:t>
      </w:r>
      <w:r w:rsidR="00785F2B" w:rsidRPr="00BB54DF">
        <w:rPr>
          <w:rFonts w:cs="Arial"/>
        </w:rPr>
        <w:t>.</w:t>
      </w:r>
      <w:r w:rsidR="006B0B50" w:rsidRPr="00BB54DF">
        <w:rPr>
          <w:rFonts w:cs="Arial"/>
        </w:rPr>
        <w:t xml:space="preserve"> </w:t>
      </w:r>
      <w:r w:rsidR="00084DD7" w:rsidRPr="00BB54DF">
        <w:rPr>
          <w:rFonts w:cs="Arial"/>
        </w:rPr>
        <w:t>All participants joined the study unexposed to bisphosphonate</w:t>
      </w:r>
      <w:r w:rsidR="00EA0D05" w:rsidRPr="00BB54DF">
        <w:rPr>
          <w:rFonts w:cs="Arial"/>
        </w:rPr>
        <w:t>s</w:t>
      </w:r>
      <w:r w:rsidR="00084DD7" w:rsidRPr="00BB54DF">
        <w:rPr>
          <w:rFonts w:cs="Arial"/>
        </w:rPr>
        <w:t xml:space="preserve"> on their second eGFR measurement </w:t>
      </w:r>
      <w:r w:rsidR="00117CBF" w:rsidRPr="00BB54DF">
        <w:rPr>
          <w:rFonts w:cs="Arial"/>
        </w:rPr>
        <w:t xml:space="preserve">under </w:t>
      </w:r>
      <w:r w:rsidR="00084DD7" w:rsidRPr="00BB54DF">
        <w:rPr>
          <w:rFonts w:cs="Arial"/>
        </w:rPr>
        <w:t>45</w:t>
      </w:r>
      <w:r w:rsidR="00C953EA" w:rsidRPr="00BB54DF">
        <w:rPr>
          <w:rFonts w:cs="Arial"/>
        </w:rPr>
        <w:t xml:space="preserve"> </w:t>
      </w:r>
      <w:r w:rsidR="009E41EB" w:rsidRPr="00BB54DF">
        <w:rPr>
          <w:rFonts w:cs="Arial"/>
        </w:rPr>
        <w:t>ml/min/1</w:t>
      </w:r>
      <w:r w:rsidR="00EC47FC" w:rsidRPr="00BB54DF">
        <w:rPr>
          <w:rFonts w:cs="Arial"/>
        </w:rPr>
        <w:t>.</w:t>
      </w:r>
      <w:r w:rsidR="009E41EB" w:rsidRPr="00BB54DF">
        <w:rPr>
          <w:rFonts w:cs="Arial"/>
        </w:rPr>
        <w:t>73m</w:t>
      </w:r>
      <w:r w:rsidR="009E41EB" w:rsidRPr="00BB54DF">
        <w:rPr>
          <w:rFonts w:cs="Arial"/>
          <w:vertAlign w:val="superscript"/>
        </w:rPr>
        <w:t>2</w:t>
      </w:r>
      <w:r w:rsidR="00084DD7" w:rsidRPr="00BB54DF">
        <w:rPr>
          <w:rFonts w:cs="Arial"/>
        </w:rPr>
        <w:t>. Participants could contribute both exposed and unexposed time</w:t>
      </w:r>
      <w:r w:rsidR="00A65CF7" w:rsidRPr="00BB54DF">
        <w:rPr>
          <w:rFonts w:cs="Arial"/>
        </w:rPr>
        <w:t>, as illustrated in</w:t>
      </w:r>
      <w:r w:rsidR="00DA3E36" w:rsidRPr="00BB54DF">
        <w:rPr>
          <w:rFonts w:cs="Arial"/>
        </w:rPr>
        <w:t xml:space="preserve"> Supplement</w:t>
      </w:r>
      <w:r w:rsidR="00A65CF7" w:rsidRPr="00BB54DF">
        <w:rPr>
          <w:rFonts w:cs="Arial"/>
        </w:rPr>
        <w:t xml:space="preserve"> 1</w:t>
      </w:r>
      <w:r w:rsidR="00084DD7" w:rsidRPr="00BB54DF">
        <w:rPr>
          <w:rFonts w:cs="Arial"/>
        </w:rPr>
        <w:t xml:space="preserve">. </w:t>
      </w:r>
      <w:r w:rsidR="00C963D7" w:rsidRPr="00BB54DF">
        <w:rPr>
          <w:rFonts w:cs="Arial"/>
        </w:rPr>
        <w:t>Participants</w:t>
      </w:r>
      <w:r w:rsidR="00084DD7" w:rsidRPr="00BB54DF">
        <w:rPr>
          <w:rFonts w:cs="Arial"/>
        </w:rPr>
        <w:t xml:space="preserve"> were followed until the end of enrolment in the database (moving out</w:t>
      </w:r>
      <w:r w:rsidRPr="00BB54DF">
        <w:rPr>
          <w:rFonts w:cs="Arial"/>
        </w:rPr>
        <w:t>,</w:t>
      </w:r>
      <w:r w:rsidR="00084DD7" w:rsidRPr="00BB54DF">
        <w:rPr>
          <w:rFonts w:cs="Arial"/>
        </w:rPr>
        <w:t xml:space="preserve"> death</w:t>
      </w:r>
      <w:r w:rsidR="00817D99" w:rsidRPr="00BB54DF">
        <w:rPr>
          <w:rFonts w:cs="Arial"/>
        </w:rPr>
        <w:t>,</w:t>
      </w:r>
      <w:r w:rsidR="00084DD7" w:rsidRPr="00BB54DF">
        <w:rPr>
          <w:rFonts w:cs="Arial"/>
        </w:rPr>
        <w:t xml:space="preserve"> or 10 years)</w:t>
      </w:r>
      <w:r w:rsidR="006038C1" w:rsidRPr="00BB54DF">
        <w:rPr>
          <w:rFonts w:cs="Arial"/>
        </w:rPr>
        <w:t>,</w:t>
      </w:r>
      <w:r w:rsidR="00084DD7" w:rsidRPr="00BB54DF">
        <w:rPr>
          <w:rFonts w:cs="Arial"/>
        </w:rPr>
        <w:t xml:space="preserve"> </w:t>
      </w:r>
      <w:r w:rsidR="002C43DA" w:rsidRPr="00BB54DF">
        <w:rPr>
          <w:rFonts w:cs="Arial"/>
        </w:rPr>
        <w:t xml:space="preserve">an </w:t>
      </w:r>
      <w:r w:rsidR="00084DD7" w:rsidRPr="00BB54DF">
        <w:rPr>
          <w:rFonts w:cs="Arial"/>
        </w:rPr>
        <w:t>incident</w:t>
      </w:r>
      <w:r w:rsidR="00B2512F" w:rsidRPr="00BB54DF">
        <w:rPr>
          <w:rFonts w:cs="Arial"/>
        </w:rPr>
        <w:t xml:space="preserve"> record</w:t>
      </w:r>
      <w:r w:rsidR="00084DD7" w:rsidRPr="00BB54DF">
        <w:rPr>
          <w:rFonts w:cs="Arial"/>
        </w:rPr>
        <w:t xml:space="preserve"> of the outcome of interest</w:t>
      </w:r>
      <w:r w:rsidR="006038C1" w:rsidRPr="00BB54DF">
        <w:rPr>
          <w:rFonts w:cs="Arial"/>
        </w:rPr>
        <w:t>,</w:t>
      </w:r>
      <w:r w:rsidR="00084DD7" w:rsidRPr="00BB54DF">
        <w:rPr>
          <w:rFonts w:cs="Arial"/>
        </w:rPr>
        <w:t xml:space="preserve"> stopping</w:t>
      </w:r>
      <w:r w:rsidR="00D74F51" w:rsidRPr="00BB54DF">
        <w:rPr>
          <w:rFonts w:cs="Arial"/>
        </w:rPr>
        <w:t xml:space="preserve"> </w:t>
      </w:r>
      <w:r w:rsidR="00817D99" w:rsidRPr="00BB54DF">
        <w:rPr>
          <w:rFonts w:cs="Arial"/>
        </w:rPr>
        <w:t xml:space="preserve">treatment </w:t>
      </w:r>
      <w:r w:rsidR="00D74F51" w:rsidRPr="00BB54DF">
        <w:rPr>
          <w:rFonts w:cs="Arial"/>
        </w:rPr>
        <w:t>(6 months</w:t>
      </w:r>
      <w:r w:rsidR="00F01A9E" w:rsidRPr="00BB54DF">
        <w:rPr>
          <w:rFonts w:cs="Arial"/>
        </w:rPr>
        <w:t>)</w:t>
      </w:r>
      <w:r w:rsidR="006038C1" w:rsidRPr="00BB54DF">
        <w:rPr>
          <w:rFonts w:cs="Arial"/>
        </w:rPr>
        <w:t>,</w:t>
      </w:r>
      <w:r w:rsidR="00F01A9E" w:rsidRPr="00BB54DF">
        <w:rPr>
          <w:rFonts w:cs="Arial"/>
        </w:rPr>
        <w:t xml:space="preserve"> or</w:t>
      </w:r>
      <w:r w:rsidR="00084DD7" w:rsidRPr="00BB54DF">
        <w:rPr>
          <w:rFonts w:cs="Arial"/>
        </w:rPr>
        <w:t xml:space="preserve"> switching treatment (</w:t>
      </w:r>
      <w:r w:rsidRPr="00BB54DF">
        <w:rPr>
          <w:rFonts w:cs="Arial"/>
        </w:rPr>
        <w:t xml:space="preserve">bisphosphonate </w:t>
      </w:r>
      <w:r w:rsidR="00084DD7" w:rsidRPr="00BB54DF">
        <w:rPr>
          <w:rFonts w:cs="Arial"/>
        </w:rPr>
        <w:t>users onl</w:t>
      </w:r>
      <w:r w:rsidR="005B4871" w:rsidRPr="00BB54DF">
        <w:rPr>
          <w:rFonts w:cs="Arial"/>
        </w:rPr>
        <w:t xml:space="preserve">y). A </w:t>
      </w:r>
      <w:r w:rsidR="00EA0D05" w:rsidRPr="00BB54DF">
        <w:rPr>
          <w:rFonts w:cs="Arial"/>
        </w:rPr>
        <w:t xml:space="preserve">washout period of </w:t>
      </w:r>
      <w:r w:rsidRPr="00BB54DF">
        <w:rPr>
          <w:rFonts w:cs="Arial"/>
        </w:rPr>
        <w:t>6</w:t>
      </w:r>
      <w:r w:rsidR="00EA0D05" w:rsidRPr="00BB54DF">
        <w:rPr>
          <w:rFonts w:cs="Arial"/>
        </w:rPr>
        <w:t xml:space="preserve"> </w:t>
      </w:r>
      <w:r w:rsidR="005B4871" w:rsidRPr="00BB54DF">
        <w:rPr>
          <w:rFonts w:cs="Arial"/>
        </w:rPr>
        <w:t>month</w:t>
      </w:r>
      <w:r w:rsidR="00EA0D05" w:rsidRPr="00BB54DF">
        <w:rPr>
          <w:rFonts w:cs="Arial"/>
        </w:rPr>
        <w:t>s</w:t>
      </w:r>
      <w:r w:rsidR="005B4871" w:rsidRPr="00BB54DF">
        <w:rPr>
          <w:rFonts w:cs="Arial"/>
        </w:rPr>
        <w:t xml:space="preserve"> plus</w:t>
      </w:r>
      <w:r w:rsidR="00084DD7" w:rsidRPr="00BB54DF">
        <w:rPr>
          <w:rFonts w:cs="Arial"/>
        </w:rPr>
        <w:t xml:space="preserve"> 30 days </w:t>
      </w:r>
      <w:r w:rsidR="005B4871" w:rsidRPr="00BB54DF">
        <w:rPr>
          <w:rFonts w:cs="Arial"/>
        </w:rPr>
        <w:t xml:space="preserve">from </w:t>
      </w:r>
      <w:r w:rsidR="00084DD7" w:rsidRPr="00BB54DF">
        <w:rPr>
          <w:rFonts w:cs="Arial"/>
        </w:rPr>
        <w:t>the last prescription</w:t>
      </w:r>
      <w:r w:rsidR="002C43DA" w:rsidRPr="00BB54DF">
        <w:rPr>
          <w:rFonts w:cs="Arial"/>
        </w:rPr>
        <w:t xml:space="preserve"> or </w:t>
      </w:r>
      <w:r w:rsidR="00084DD7" w:rsidRPr="00BB54DF">
        <w:rPr>
          <w:rFonts w:cs="Arial"/>
        </w:rPr>
        <w:t>dispensation account</w:t>
      </w:r>
      <w:r w:rsidR="00994C51" w:rsidRPr="00BB54DF">
        <w:rPr>
          <w:rFonts w:cs="Arial"/>
        </w:rPr>
        <w:t>ed</w:t>
      </w:r>
      <w:r w:rsidR="00084DD7" w:rsidRPr="00BB54DF">
        <w:rPr>
          <w:rFonts w:cs="Arial"/>
        </w:rPr>
        <w:t xml:space="preserve"> for carry-o</w:t>
      </w:r>
      <w:r w:rsidR="29F21C44" w:rsidRPr="00BB54DF">
        <w:rPr>
          <w:rFonts w:cs="Arial"/>
        </w:rPr>
        <w:t>ver</w:t>
      </w:r>
      <w:r w:rsidR="00084DD7" w:rsidRPr="00BB54DF">
        <w:rPr>
          <w:rFonts w:cs="Arial"/>
        </w:rPr>
        <w:t xml:space="preserve"> effect</w:t>
      </w:r>
      <w:r w:rsidRPr="00BB54DF">
        <w:rPr>
          <w:rFonts w:cs="Arial"/>
        </w:rPr>
        <w:t>s</w:t>
      </w:r>
      <w:r w:rsidR="00084DD7" w:rsidRPr="00BB54DF">
        <w:rPr>
          <w:rFonts w:cs="Arial"/>
        </w:rPr>
        <w:t>.</w:t>
      </w:r>
      <w:r w:rsidR="005E333B" w:rsidRPr="00BB54DF">
        <w:rPr>
          <w:rFonts w:cs="Arial"/>
        </w:rPr>
        <w:t xml:space="preserve"> Code lists are provided in </w:t>
      </w:r>
      <w:hyperlink r:id="rId12" w:history="1">
        <w:r w:rsidR="00F430C0" w:rsidRPr="00BB54DF">
          <w:rPr>
            <w:rStyle w:val="Hyperlink"/>
          </w:rPr>
          <w:t>https://github.com/vystrauss/BisCK/tree/master</w:t>
        </w:r>
      </w:hyperlink>
      <w:r w:rsidR="005E333B" w:rsidRPr="00BB54DF">
        <w:rPr>
          <w:rFonts w:cs="Arial"/>
        </w:rPr>
        <w:t>.</w:t>
      </w:r>
    </w:p>
    <w:p w14:paraId="28645A68" w14:textId="77777777" w:rsidR="00F86E3C" w:rsidRPr="00BB54DF" w:rsidRDefault="00F86E3C" w:rsidP="00605BDA">
      <w:pPr>
        <w:spacing w:line="360" w:lineRule="auto"/>
        <w:jc w:val="both"/>
        <w:outlineLvl w:val="0"/>
        <w:rPr>
          <w:rFonts w:cs="Arial"/>
          <w:b/>
        </w:rPr>
      </w:pPr>
      <w:r w:rsidRPr="00BB54DF">
        <w:rPr>
          <w:rFonts w:cs="Arial"/>
          <w:b/>
        </w:rPr>
        <w:t xml:space="preserve">Outcomes </w:t>
      </w:r>
    </w:p>
    <w:p w14:paraId="3DE2C693" w14:textId="3C68E8C2" w:rsidR="00EA0D05" w:rsidRPr="00BB54DF" w:rsidRDefault="00C6172A" w:rsidP="00A65CF7">
      <w:pPr>
        <w:spacing w:line="360" w:lineRule="auto"/>
        <w:jc w:val="both"/>
        <w:rPr>
          <w:rFonts w:cs="Arial"/>
        </w:rPr>
      </w:pPr>
      <w:r w:rsidRPr="00BB54DF">
        <w:rPr>
          <w:rFonts w:cs="Arial"/>
        </w:rPr>
        <w:t>The primary outcome was CKD stage</w:t>
      </w:r>
      <w:r w:rsidR="008E3D94" w:rsidRPr="00BB54DF">
        <w:rPr>
          <w:rFonts w:cs="Arial"/>
        </w:rPr>
        <w:t xml:space="preserve"> worsening</w:t>
      </w:r>
      <w:r w:rsidR="00EA0D05" w:rsidRPr="00BB54DF">
        <w:rPr>
          <w:rFonts w:cs="Arial"/>
        </w:rPr>
        <w:t>,</w:t>
      </w:r>
      <w:r w:rsidR="007D3B3A" w:rsidRPr="00BB54DF">
        <w:rPr>
          <w:rFonts w:cs="Arial"/>
        </w:rPr>
        <w:t xml:space="preserve"> </w:t>
      </w:r>
      <w:r w:rsidR="008724E4" w:rsidRPr="00BB54DF">
        <w:rPr>
          <w:rFonts w:cs="Arial"/>
        </w:rPr>
        <w:t xml:space="preserve">based on </w:t>
      </w:r>
      <w:r w:rsidR="00362A94" w:rsidRPr="00BB54DF">
        <w:rPr>
          <w:rFonts w:cs="Arial"/>
        </w:rPr>
        <w:t>follow-up annual eGFR measurement</w:t>
      </w:r>
      <w:r w:rsidR="00EA0D05" w:rsidRPr="00BB54DF">
        <w:rPr>
          <w:rFonts w:cs="Arial"/>
        </w:rPr>
        <w:t>s</w:t>
      </w:r>
      <w:r w:rsidR="00A65CF7" w:rsidRPr="00BB54DF">
        <w:rPr>
          <w:rFonts w:cs="Arial"/>
        </w:rPr>
        <w:t xml:space="preserve"> in primary</w:t>
      </w:r>
      <w:r w:rsidR="002C43DA" w:rsidRPr="00BB54DF">
        <w:rPr>
          <w:rFonts w:cs="Arial"/>
        </w:rPr>
        <w:t>-</w:t>
      </w:r>
      <w:r w:rsidR="00A65CF7" w:rsidRPr="00BB54DF">
        <w:rPr>
          <w:rFonts w:cs="Arial"/>
        </w:rPr>
        <w:t>care records</w:t>
      </w:r>
      <w:r w:rsidR="00817D99" w:rsidRPr="00BB54DF">
        <w:rPr>
          <w:rFonts w:cs="Arial"/>
        </w:rPr>
        <w:t>,</w:t>
      </w:r>
      <w:r w:rsidR="00362A94" w:rsidRPr="00BB54DF">
        <w:rPr>
          <w:rFonts w:cs="Arial"/>
        </w:rPr>
        <w:t xml:space="preserve"> </w:t>
      </w:r>
      <w:r w:rsidR="00A65CF7" w:rsidRPr="00BB54DF">
        <w:rPr>
          <w:rFonts w:cs="Arial"/>
        </w:rPr>
        <w:t>dialysis</w:t>
      </w:r>
      <w:r w:rsidR="00817D99" w:rsidRPr="00BB54DF">
        <w:rPr>
          <w:rFonts w:cs="Arial"/>
        </w:rPr>
        <w:t>,</w:t>
      </w:r>
      <w:r w:rsidR="00E769AC" w:rsidRPr="00BB54DF">
        <w:rPr>
          <w:rFonts w:cs="Arial"/>
        </w:rPr>
        <w:t xml:space="preserve"> a</w:t>
      </w:r>
      <w:r w:rsidR="00EA0D05" w:rsidRPr="00BB54DF">
        <w:rPr>
          <w:rFonts w:cs="Arial"/>
        </w:rPr>
        <w:t xml:space="preserve"> </w:t>
      </w:r>
      <w:r w:rsidR="00A65CF7" w:rsidRPr="00BB54DF">
        <w:rPr>
          <w:rFonts w:cs="Arial"/>
        </w:rPr>
        <w:t>kidney transplant</w:t>
      </w:r>
      <w:r w:rsidR="00362A94" w:rsidRPr="00BB54DF">
        <w:rPr>
          <w:rFonts w:cs="Arial"/>
        </w:rPr>
        <w:t xml:space="preserve"> recorded in </w:t>
      </w:r>
      <w:r w:rsidR="00A65CF7" w:rsidRPr="00BB54DF">
        <w:rPr>
          <w:rFonts w:cs="Arial"/>
        </w:rPr>
        <w:t xml:space="preserve">CPRD-HES with </w:t>
      </w:r>
      <w:r w:rsidR="00117CBF" w:rsidRPr="00BB54DF">
        <w:rPr>
          <w:rFonts w:cs="Arial"/>
        </w:rPr>
        <w:t xml:space="preserve">relevant codes from </w:t>
      </w:r>
      <w:r w:rsidR="00B61BE6" w:rsidRPr="00BB54DF">
        <w:rPr>
          <w:rFonts w:cs="Arial"/>
        </w:rPr>
        <w:t xml:space="preserve">the </w:t>
      </w:r>
      <w:r w:rsidR="00B61BE6" w:rsidRPr="00BB54DF">
        <w:rPr>
          <w:rFonts w:cs="Arial"/>
          <w:color w:val="222222"/>
          <w:shd w:val="clear" w:color="auto" w:fill="FFFFFF"/>
        </w:rPr>
        <w:t>10th revision of the International Statistical Classification of Diseases and Related Health Problems</w:t>
      </w:r>
      <w:r w:rsidR="00B61BE6" w:rsidRPr="00BB54DF">
        <w:rPr>
          <w:rFonts w:cs="Arial"/>
        </w:rPr>
        <w:t xml:space="preserve"> (</w:t>
      </w:r>
      <w:r w:rsidR="00A65CF7" w:rsidRPr="00BB54DF">
        <w:rPr>
          <w:rFonts w:cs="Arial"/>
        </w:rPr>
        <w:t>ICD-10</w:t>
      </w:r>
      <w:r w:rsidR="00B61BE6" w:rsidRPr="00BB54DF">
        <w:rPr>
          <w:rFonts w:cs="Arial"/>
        </w:rPr>
        <w:t>)</w:t>
      </w:r>
      <w:r w:rsidR="00A65CF7" w:rsidRPr="00BB54DF">
        <w:rPr>
          <w:rFonts w:cs="Arial"/>
        </w:rPr>
        <w:t xml:space="preserve"> or </w:t>
      </w:r>
      <w:r w:rsidR="006038C1" w:rsidRPr="00BB54DF">
        <w:rPr>
          <w:rFonts w:cs="Arial"/>
        </w:rPr>
        <w:t>fourth</w:t>
      </w:r>
      <w:r w:rsidR="00B61BE6" w:rsidRPr="00BB54DF">
        <w:rPr>
          <w:rFonts w:cs="Arial"/>
        </w:rPr>
        <w:t xml:space="preserve"> version of </w:t>
      </w:r>
      <w:r w:rsidR="006038C1" w:rsidRPr="00BB54DF">
        <w:rPr>
          <w:rFonts w:cs="Arial"/>
        </w:rPr>
        <w:t xml:space="preserve">the </w:t>
      </w:r>
      <w:r w:rsidR="00B61BE6" w:rsidRPr="00BB54DF">
        <w:t>OPCS</w:t>
      </w:r>
      <w:r w:rsidR="00B61BE6" w:rsidRPr="00BB54DF">
        <w:rPr>
          <w:rFonts w:cs="Arial"/>
        </w:rPr>
        <w:t> Classification of Interventions and Procedures (OPCS-4)</w:t>
      </w:r>
      <w:r w:rsidR="00817D99" w:rsidRPr="00BB54DF">
        <w:rPr>
          <w:rFonts w:cs="Arial"/>
        </w:rPr>
        <w:t>,</w:t>
      </w:r>
      <w:r w:rsidR="00A65CF7" w:rsidRPr="00BB54DF">
        <w:rPr>
          <w:rFonts w:cs="Arial"/>
        </w:rPr>
        <w:t xml:space="preserve"> </w:t>
      </w:r>
      <w:r w:rsidR="00817D99" w:rsidRPr="00BB54DF">
        <w:rPr>
          <w:rFonts w:cs="Arial"/>
        </w:rPr>
        <w:t>or</w:t>
      </w:r>
      <w:r w:rsidR="00A65CF7" w:rsidRPr="00BB54DF">
        <w:rPr>
          <w:rFonts w:cs="Arial"/>
        </w:rPr>
        <w:t xml:space="preserve"> a record in </w:t>
      </w:r>
      <w:r w:rsidR="00817D99" w:rsidRPr="00BB54DF">
        <w:rPr>
          <w:rFonts w:cs="Arial"/>
        </w:rPr>
        <w:t xml:space="preserve">the </w:t>
      </w:r>
      <w:r w:rsidR="00A65CF7" w:rsidRPr="00BB54DF">
        <w:rPr>
          <w:rFonts w:cs="Arial"/>
        </w:rPr>
        <w:t xml:space="preserve">renal registry in SIDIAP. </w:t>
      </w:r>
      <w:r w:rsidR="008E3D94" w:rsidRPr="00BB54DF">
        <w:rPr>
          <w:rFonts w:cs="Arial"/>
        </w:rPr>
        <w:t>CKD stage worsening included a move from stage 3b (eGFR 30-45</w:t>
      </w:r>
      <w:r w:rsidR="00117CBF" w:rsidRPr="00BB54DF">
        <w:rPr>
          <w:rFonts w:cs="Arial"/>
        </w:rPr>
        <w:t xml:space="preserve"> ml/min/1.73m</w:t>
      </w:r>
      <w:r w:rsidR="00117CBF" w:rsidRPr="00BB54DF">
        <w:rPr>
          <w:rFonts w:cs="Arial"/>
          <w:vertAlign w:val="superscript"/>
        </w:rPr>
        <w:t>2</w:t>
      </w:r>
      <w:r w:rsidR="008E3D94" w:rsidRPr="00BB54DF">
        <w:rPr>
          <w:rFonts w:cs="Arial"/>
        </w:rPr>
        <w:t>) to stage 4</w:t>
      </w:r>
      <w:r w:rsidR="00A65CF7" w:rsidRPr="00BB54DF">
        <w:rPr>
          <w:rFonts w:cs="Arial"/>
        </w:rPr>
        <w:t xml:space="preserve"> (</w:t>
      </w:r>
      <w:r w:rsidR="002C43DA" w:rsidRPr="00BB54DF">
        <w:rPr>
          <w:rFonts w:cs="Arial"/>
        </w:rPr>
        <w:t xml:space="preserve">eGFR </w:t>
      </w:r>
      <w:r w:rsidR="00A65CF7" w:rsidRPr="00BB54DF">
        <w:rPr>
          <w:rFonts w:cs="Arial"/>
        </w:rPr>
        <w:t>15-30</w:t>
      </w:r>
      <w:r w:rsidR="00117CBF" w:rsidRPr="00BB54DF">
        <w:rPr>
          <w:rFonts w:cs="Arial"/>
        </w:rPr>
        <w:t xml:space="preserve"> </w:t>
      </w:r>
      <w:bookmarkStart w:id="2" w:name="_Hlk34122730"/>
      <w:r w:rsidR="00117CBF" w:rsidRPr="00BB54DF">
        <w:rPr>
          <w:rFonts w:cs="Arial"/>
        </w:rPr>
        <w:t>ml/min/1.73m</w:t>
      </w:r>
      <w:r w:rsidR="00117CBF" w:rsidRPr="00BB54DF">
        <w:rPr>
          <w:rFonts w:cs="Arial"/>
          <w:vertAlign w:val="superscript"/>
        </w:rPr>
        <w:t>2</w:t>
      </w:r>
      <w:bookmarkEnd w:id="2"/>
      <w:r w:rsidR="00A65CF7" w:rsidRPr="00BB54DF">
        <w:rPr>
          <w:rFonts w:cs="Arial"/>
        </w:rPr>
        <w:t>) or 5</w:t>
      </w:r>
      <w:r w:rsidR="008E3D94" w:rsidRPr="00BB54DF">
        <w:rPr>
          <w:rFonts w:cs="Arial"/>
        </w:rPr>
        <w:t xml:space="preserve"> (</w:t>
      </w:r>
      <w:r w:rsidR="002C43DA" w:rsidRPr="00BB54DF">
        <w:rPr>
          <w:rFonts w:cs="Arial"/>
        </w:rPr>
        <w:t xml:space="preserve">eGFR </w:t>
      </w:r>
      <w:r w:rsidR="00117CBF" w:rsidRPr="00BB54DF">
        <w:rPr>
          <w:rFonts w:cs="Arial"/>
        </w:rPr>
        <w:t xml:space="preserve">under </w:t>
      </w:r>
      <w:r w:rsidR="00A65CF7" w:rsidRPr="00BB54DF">
        <w:rPr>
          <w:rFonts w:cs="Arial"/>
        </w:rPr>
        <w:t>15</w:t>
      </w:r>
      <w:r w:rsidR="00117CBF" w:rsidRPr="00BB54DF">
        <w:rPr>
          <w:rFonts w:cs="Arial"/>
        </w:rPr>
        <w:t xml:space="preserve"> ml/min/1.73m</w:t>
      </w:r>
      <w:r w:rsidR="00117CBF" w:rsidRPr="00BB54DF">
        <w:rPr>
          <w:rFonts w:cs="Arial"/>
          <w:vertAlign w:val="superscript"/>
        </w:rPr>
        <w:t>2</w:t>
      </w:r>
      <w:r w:rsidR="008E3D94" w:rsidRPr="00BB54DF">
        <w:rPr>
          <w:rFonts w:cs="Arial"/>
        </w:rPr>
        <w:t>)</w:t>
      </w:r>
      <w:r w:rsidR="00EA0D05" w:rsidRPr="00BB54DF">
        <w:rPr>
          <w:rFonts w:cs="Arial"/>
        </w:rPr>
        <w:t>,</w:t>
      </w:r>
      <w:r w:rsidR="008E3D94" w:rsidRPr="00BB54DF">
        <w:rPr>
          <w:rFonts w:cs="Arial"/>
        </w:rPr>
        <w:t xml:space="preserve"> or from stage 4 to 5. </w:t>
      </w:r>
    </w:p>
    <w:p w14:paraId="2CED2179" w14:textId="1FB61D17" w:rsidR="008E3D94" w:rsidRPr="00BB54DF" w:rsidRDefault="00C6172A" w:rsidP="00A65CF7">
      <w:pPr>
        <w:spacing w:line="360" w:lineRule="auto"/>
        <w:jc w:val="both"/>
        <w:rPr>
          <w:rFonts w:cs="Arial"/>
        </w:rPr>
      </w:pPr>
      <w:r w:rsidRPr="00BB54DF">
        <w:rPr>
          <w:rFonts w:cs="Arial"/>
        </w:rPr>
        <w:t>The secondary outcomes of interest were hospitalisation</w:t>
      </w:r>
      <w:r w:rsidR="00BF78E0" w:rsidRPr="00BB54DF">
        <w:rPr>
          <w:rFonts w:cs="Arial"/>
        </w:rPr>
        <w:t xml:space="preserve"> </w:t>
      </w:r>
      <w:r w:rsidRPr="00BB54DF">
        <w:rPr>
          <w:rFonts w:cs="Arial"/>
        </w:rPr>
        <w:t>for acute kidney inju</w:t>
      </w:r>
      <w:r w:rsidR="001B3CA5" w:rsidRPr="00BB54DF">
        <w:rPr>
          <w:rFonts w:cs="Arial"/>
        </w:rPr>
        <w:t>ry</w:t>
      </w:r>
      <w:r w:rsidR="002C43DA" w:rsidRPr="00BB54DF">
        <w:rPr>
          <w:rFonts w:cs="Arial"/>
        </w:rPr>
        <w:t>;</w:t>
      </w:r>
      <w:r w:rsidRPr="00BB54DF">
        <w:rPr>
          <w:rFonts w:cs="Arial"/>
        </w:rPr>
        <w:t xml:space="preserve"> hospitalisation</w:t>
      </w:r>
      <w:r w:rsidR="00BF78E0" w:rsidRPr="00BB54DF">
        <w:rPr>
          <w:rFonts w:cs="Arial"/>
        </w:rPr>
        <w:t xml:space="preserve"> </w:t>
      </w:r>
      <w:r w:rsidR="00EA0D05" w:rsidRPr="00BB54DF">
        <w:rPr>
          <w:rFonts w:cs="Arial"/>
        </w:rPr>
        <w:t>for</w:t>
      </w:r>
      <w:r w:rsidR="002C43DA" w:rsidRPr="00BB54DF">
        <w:rPr>
          <w:rFonts w:cs="Arial"/>
        </w:rPr>
        <w:t>,</w:t>
      </w:r>
      <w:r w:rsidR="00EA0D05" w:rsidRPr="00BB54DF">
        <w:rPr>
          <w:rFonts w:cs="Arial"/>
        </w:rPr>
        <w:t xml:space="preserve"> </w:t>
      </w:r>
      <w:r w:rsidRPr="00BB54DF">
        <w:rPr>
          <w:rFonts w:cs="Arial"/>
        </w:rPr>
        <w:t xml:space="preserve">or a </w:t>
      </w:r>
      <w:r w:rsidR="002C43DA" w:rsidRPr="00BB54DF">
        <w:rPr>
          <w:rFonts w:cs="Arial"/>
        </w:rPr>
        <w:t>primary-care</w:t>
      </w:r>
      <w:r w:rsidRPr="00BB54DF">
        <w:rPr>
          <w:rFonts w:cs="Arial"/>
        </w:rPr>
        <w:t xml:space="preserve"> record</w:t>
      </w:r>
      <w:r w:rsidR="00F70958" w:rsidRPr="00BB54DF">
        <w:rPr>
          <w:rFonts w:cs="Arial"/>
        </w:rPr>
        <w:t xml:space="preserve"> </w:t>
      </w:r>
      <w:r w:rsidRPr="00BB54DF">
        <w:rPr>
          <w:rFonts w:cs="Arial"/>
        </w:rPr>
        <w:t>of</w:t>
      </w:r>
      <w:r w:rsidR="002C43DA" w:rsidRPr="00BB54DF">
        <w:rPr>
          <w:rFonts w:cs="Arial"/>
        </w:rPr>
        <w:t>,</w:t>
      </w:r>
      <w:r w:rsidRPr="00BB54DF">
        <w:rPr>
          <w:rFonts w:cs="Arial"/>
        </w:rPr>
        <w:t xml:space="preserve"> peptic ulcer</w:t>
      </w:r>
      <w:r w:rsidR="00EA0D05" w:rsidRPr="00BB54DF">
        <w:rPr>
          <w:rFonts w:cs="Arial"/>
        </w:rPr>
        <w:t xml:space="preserve"> or gastrointestinal</w:t>
      </w:r>
      <w:r w:rsidR="00BF78E0" w:rsidRPr="00BB54DF">
        <w:rPr>
          <w:rFonts w:cs="Arial"/>
        </w:rPr>
        <w:t xml:space="preserve"> bleeding</w:t>
      </w:r>
      <w:r w:rsidR="002C43DA" w:rsidRPr="00BB54DF">
        <w:rPr>
          <w:rFonts w:cs="Arial"/>
        </w:rPr>
        <w:t>;</w:t>
      </w:r>
      <w:r w:rsidRPr="00BB54DF">
        <w:rPr>
          <w:rFonts w:cs="Arial"/>
        </w:rPr>
        <w:t xml:space="preserve"> and hospitalisation</w:t>
      </w:r>
      <w:r w:rsidR="00BF78E0" w:rsidRPr="00BB54DF">
        <w:rPr>
          <w:rFonts w:cs="Arial"/>
        </w:rPr>
        <w:t xml:space="preserve"> </w:t>
      </w:r>
      <w:r w:rsidRPr="00BB54DF">
        <w:rPr>
          <w:rFonts w:cs="Arial"/>
        </w:rPr>
        <w:t>for hypocalcaemia</w:t>
      </w:r>
      <w:r w:rsidR="00A65CF7" w:rsidRPr="00BB54DF">
        <w:rPr>
          <w:rFonts w:cs="Arial"/>
        </w:rPr>
        <w:t>, identified with ICD-10 codes</w:t>
      </w:r>
      <w:r w:rsidRPr="00BB54DF">
        <w:rPr>
          <w:rFonts w:cs="Arial"/>
        </w:rPr>
        <w:t xml:space="preserve">. </w:t>
      </w:r>
    </w:p>
    <w:p w14:paraId="2029E2B2" w14:textId="77777777" w:rsidR="00A35B3B" w:rsidRPr="00BB54DF" w:rsidRDefault="008517F2" w:rsidP="00605BDA">
      <w:pPr>
        <w:spacing w:line="360" w:lineRule="auto"/>
        <w:jc w:val="both"/>
        <w:outlineLvl w:val="0"/>
        <w:rPr>
          <w:rFonts w:cs="Arial"/>
          <w:b/>
        </w:rPr>
      </w:pPr>
      <w:r w:rsidRPr="00BB54DF">
        <w:rPr>
          <w:rFonts w:cs="Arial"/>
          <w:b/>
        </w:rPr>
        <w:t>Covariates</w:t>
      </w:r>
    </w:p>
    <w:p w14:paraId="01EA81F0" w14:textId="5523EAEB" w:rsidR="00FE09A8" w:rsidRPr="00BB54DF" w:rsidRDefault="008517F2" w:rsidP="008E3D94">
      <w:pPr>
        <w:spacing w:line="360" w:lineRule="auto"/>
        <w:jc w:val="both"/>
        <w:rPr>
          <w:rFonts w:cs="Arial"/>
        </w:rPr>
      </w:pPr>
      <w:r w:rsidRPr="00BB54DF">
        <w:rPr>
          <w:rFonts w:cs="Arial"/>
        </w:rPr>
        <w:t>Covariates</w:t>
      </w:r>
      <w:r w:rsidR="003F751F" w:rsidRPr="00BB54DF">
        <w:rPr>
          <w:rFonts w:cs="Arial"/>
        </w:rPr>
        <w:t xml:space="preserve"> were identified</w:t>
      </w:r>
      <w:r w:rsidR="00F52E8A" w:rsidRPr="00BB54DF">
        <w:rPr>
          <w:rFonts w:cs="Arial"/>
        </w:rPr>
        <w:t xml:space="preserve"> </w:t>
      </w:r>
      <w:r w:rsidR="00817D99" w:rsidRPr="00BB54DF">
        <w:rPr>
          <w:rFonts w:cs="Arial"/>
        </w:rPr>
        <w:t xml:space="preserve">in </w:t>
      </w:r>
      <w:r w:rsidR="003F751F" w:rsidRPr="00BB54DF">
        <w:rPr>
          <w:rFonts w:cs="Arial"/>
        </w:rPr>
        <w:t>a</w:t>
      </w:r>
      <w:r w:rsidR="00F52E8A" w:rsidRPr="00BB54DF">
        <w:rPr>
          <w:rFonts w:cs="Arial"/>
        </w:rPr>
        <w:t xml:space="preserve"> </w:t>
      </w:r>
      <w:r w:rsidR="00985CF6" w:rsidRPr="00BB54DF">
        <w:rPr>
          <w:rFonts w:cs="Arial"/>
        </w:rPr>
        <w:t>consensus meeting</w:t>
      </w:r>
      <w:r w:rsidRPr="00BB54DF">
        <w:rPr>
          <w:rFonts w:cs="Arial"/>
        </w:rPr>
        <w:t xml:space="preserve"> </w:t>
      </w:r>
      <w:r w:rsidR="00817D99" w:rsidRPr="00BB54DF">
        <w:rPr>
          <w:rFonts w:cs="Arial"/>
        </w:rPr>
        <w:t xml:space="preserve">between </w:t>
      </w:r>
      <w:r w:rsidR="009A0274" w:rsidRPr="00BB54DF">
        <w:rPr>
          <w:rFonts w:cs="Arial"/>
        </w:rPr>
        <w:t>two</w:t>
      </w:r>
      <w:r w:rsidRPr="00BB54DF">
        <w:rPr>
          <w:rFonts w:cs="Arial"/>
        </w:rPr>
        <w:t xml:space="preserve"> clinicians</w:t>
      </w:r>
      <w:r w:rsidR="009A0274" w:rsidRPr="00BB54DF">
        <w:rPr>
          <w:rFonts w:cs="Arial"/>
        </w:rPr>
        <w:t xml:space="preserve"> and one epidemiologist</w:t>
      </w:r>
      <w:r w:rsidR="009E41EB" w:rsidRPr="00BB54DF">
        <w:rPr>
          <w:rFonts w:cs="Arial"/>
        </w:rPr>
        <w:t xml:space="preserve"> </w:t>
      </w:r>
      <w:r w:rsidR="00817D99" w:rsidRPr="00BB54DF">
        <w:rPr>
          <w:rFonts w:cs="Arial"/>
        </w:rPr>
        <w:t>using</w:t>
      </w:r>
      <w:r w:rsidR="009E41EB" w:rsidRPr="00BB54DF">
        <w:rPr>
          <w:rFonts w:cs="Arial"/>
        </w:rPr>
        <w:t xml:space="preserve"> a predefined list of potential confounders identified in the literature</w:t>
      </w:r>
      <w:r w:rsidR="00985CF6" w:rsidRPr="00BB54DF">
        <w:rPr>
          <w:rFonts w:cs="Arial"/>
        </w:rPr>
        <w:t xml:space="preserve">. </w:t>
      </w:r>
      <w:r w:rsidR="00817D99" w:rsidRPr="00BB54DF">
        <w:rPr>
          <w:rFonts w:cs="Arial"/>
        </w:rPr>
        <w:t>Forty-five</w:t>
      </w:r>
      <w:r w:rsidR="00FA20DE" w:rsidRPr="00BB54DF">
        <w:rPr>
          <w:rFonts w:cs="Arial"/>
        </w:rPr>
        <w:t xml:space="preserve"> </w:t>
      </w:r>
      <w:r w:rsidR="00EA0D05" w:rsidRPr="00BB54DF">
        <w:rPr>
          <w:rFonts w:cs="Arial"/>
        </w:rPr>
        <w:t xml:space="preserve">covariates were </w:t>
      </w:r>
      <w:r w:rsidR="002C43DA" w:rsidRPr="00BB54DF">
        <w:rPr>
          <w:rFonts w:cs="Arial"/>
        </w:rPr>
        <w:t>selected</w:t>
      </w:r>
      <w:r w:rsidR="00A61B8F" w:rsidRPr="00BB54DF">
        <w:rPr>
          <w:rFonts w:cs="Arial"/>
        </w:rPr>
        <w:t>, including patient demographics, clinical diagnos</w:t>
      </w:r>
      <w:r w:rsidR="00EA0D05" w:rsidRPr="00BB54DF">
        <w:rPr>
          <w:rFonts w:cs="Arial"/>
        </w:rPr>
        <w:t>es</w:t>
      </w:r>
      <w:r w:rsidR="00A61B8F" w:rsidRPr="00BB54DF">
        <w:rPr>
          <w:rFonts w:cs="Arial"/>
        </w:rPr>
        <w:t xml:space="preserve"> identified with Read codes </w:t>
      </w:r>
      <w:r w:rsidR="00775B39" w:rsidRPr="00BB54DF">
        <w:rPr>
          <w:rFonts w:cs="Arial"/>
        </w:rPr>
        <w:t xml:space="preserve">(CPRD) </w:t>
      </w:r>
      <w:r w:rsidR="00A61B8F" w:rsidRPr="00BB54DF">
        <w:rPr>
          <w:rFonts w:cs="Arial"/>
        </w:rPr>
        <w:t>or ICD-10</w:t>
      </w:r>
      <w:r w:rsidR="00775B39" w:rsidRPr="00BB54DF">
        <w:rPr>
          <w:rFonts w:cs="Arial"/>
        </w:rPr>
        <w:t xml:space="preserve"> (SIDIAP)</w:t>
      </w:r>
      <w:r w:rsidR="00A61B8F" w:rsidRPr="00BB54DF">
        <w:rPr>
          <w:rFonts w:cs="Arial"/>
        </w:rPr>
        <w:t xml:space="preserve">, and previous drug </w:t>
      </w:r>
      <w:r w:rsidR="00A61B8F" w:rsidRPr="00BB54DF">
        <w:rPr>
          <w:rFonts w:cs="Arial"/>
        </w:rPr>
        <w:lastRenderedPageBreak/>
        <w:t xml:space="preserve">use ascertained using </w:t>
      </w:r>
      <w:proofErr w:type="spellStart"/>
      <w:r w:rsidR="005B4871" w:rsidRPr="00BB54DF">
        <w:rPr>
          <w:rFonts w:cs="Arial"/>
        </w:rPr>
        <w:t>prodcodes</w:t>
      </w:r>
      <w:proofErr w:type="spellEnd"/>
      <w:r w:rsidR="00A61B8F" w:rsidRPr="00BB54DF">
        <w:rPr>
          <w:rFonts w:cs="Arial"/>
        </w:rPr>
        <w:t xml:space="preserve"> </w:t>
      </w:r>
      <w:r w:rsidR="00775B39" w:rsidRPr="00BB54DF">
        <w:rPr>
          <w:rFonts w:cs="Arial"/>
        </w:rPr>
        <w:t xml:space="preserve">(CPRD) </w:t>
      </w:r>
      <w:r w:rsidR="00A61B8F" w:rsidRPr="00BB54DF">
        <w:rPr>
          <w:rFonts w:cs="Arial"/>
        </w:rPr>
        <w:t>or ATC codes</w:t>
      </w:r>
      <w:r w:rsidR="00775B39" w:rsidRPr="00BB54DF">
        <w:rPr>
          <w:rFonts w:cs="Arial"/>
        </w:rPr>
        <w:t xml:space="preserve"> (SIDIAP)</w:t>
      </w:r>
      <w:r w:rsidR="00A61B8F" w:rsidRPr="00BB54DF">
        <w:rPr>
          <w:rFonts w:cs="Arial"/>
        </w:rPr>
        <w:t xml:space="preserve">. </w:t>
      </w:r>
      <w:r w:rsidR="002975B8" w:rsidRPr="00BB54DF">
        <w:rPr>
          <w:rFonts w:cs="Arial"/>
        </w:rPr>
        <w:t xml:space="preserve">Covariates are listed </w:t>
      </w:r>
      <w:r w:rsidR="00B2512F" w:rsidRPr="00BB54DF">
        <w:rPr>
          <w:rFonts w:cs="Arial"/>
        </w:rPr>
        <w:t xml:space="preserve">in the </w:t>
      </w:r>
      <w:r w:rsidR="002975B8" w:rsidRPr="00BB54DF">
        <w:rPr>
          <w:rFonts w:cs="Arial"/>
        </w:rPr>
        <w:t>foot</w:t>
      </w:r>
      <w:r w:rsidR="00B2512F" w:rsidRPr="00BB54DF">
        <w:rPr>
          <w:rFonts w:cs="Arial"/>
        </w:rPr>
        <w:t xml:space="preserve">note of </w:t>
      </w:r>
      <w:r w:rsidR="00117CBF" w:rsidRPr="00BB54DF">
        <w:rPr>
          <w:rFonts w:cs="Arial"/>
        </w:rPr>
        <w:t>S</w:t>
      </w:r>
      <w:r w:rsidR="00B2512F" w:rsidRPr="00BB54DF">
        <w:rPr>
          <w:rFonts w:cs="Arial"/>
        </w:rPr>
        <w:t xml:space="preserve">upplement </w:t>
      </w:r>
      <w:r w:rsidR="003953D0" w:rsidRPr="00BB54DF">
        <w:rPr>
          <w:rFonts w:cs="Arial"/>
        </w:rPr>
        <w:t>2</w:t>
      </w:r>
      <w:r w:rsidR="00B2512F" w:rsidRPr="00BB54DF">
        <w:rPr>
          <w:rFonts w:cs="Arial"/>
        </w:rPr>
        <w:t>.</w:t>
      </w:r>
    </w:p>
    <w:p w14:paraId="1C877B4D" w14:textId="77777777" w:rsidR="008517F2" w:rsidRPr="00BB54DF" w:rsidRDefault="008517F2" w:rsidP="00CC443F">
      <w:pPr>
        <w:spacing w:line="360" w:lineRule="auto"/>
        <w:jc w:val="both"/>
        <w:outlineLvl w:val="0"/>
        <w:rPr>
          <w:rFonts w:cs="Arial"/>
          <w:b/>
        </w:rPr>
      </w:pPr>
      <w:r w:rsidRPr="00BB54DF">
        <w:rPr>
          <w:rFonts w:cs="Arial"/>
          <w:b/>
        </w:rPr>
        <w:t>Statistical analyses</w:t>
      </w:r>
    </w:p>
    <w:p w14:paraId="12B73924" w14:textId="6A24B79C" w:rsidR="00EA0D05" w:rsidRPr="00BB54DF" w:rsidRDefault="00C31B2B" w:rsidP="00B61BE6">
      <w:pPr>
        <w:spacing w:line="360" w:lineRule="auto"/>
        <w:jc w:val="both"/>
      </w:pPr>
      <w:r w:rsidRPr="00BB54DF">
        <w:t xml:space="preserve">A </w:t>
      </w:r>
      <w:r w:rsidR="00523E86" w:rsidRPr="00BB54DF">
        <w:t>propensity score</w:t>
      </w:r>
      <w:r w:rsidR="009E41EB" w:rsidRPr="00BB54DF">
        <w:t xml:space="preserve"> (PS) was estimated</w:t>
      </w:r>
      <w:r w:rsidR="009A0274" w:rsidRPr="00BB54DF">
        <w:t xml:space="preserve"> </w:t>
      </w:r>
      <w:r w:rsidR="005E333B" w:rsidRPr="00BB54DF">
        <w:t xml:space="preserve">using the 45 covariates </w:t>
      </w:r>
      <w:r w:rsidR="009A0274" w:rsidRPr="00BB54DF">
        <w:t>with logistic regression</w:t>
      </w:r>
      <w:r w:rsidR="00817D99" w:rsidRPr="00BB54DF">
        <w:t>. The PS</w:t>
      </w:r>
      <w:r w:rsidR="009A0274" w:rsidRPr="00BB54DF">
        <w:t xml:space="preserve"> </w:t>
      </w:r>
      <w:r w:rsidR="008517F2" w:rsidRPr="00BB54DF">
        <w:t xml:space="preserve">represented the probability of receiving oral bisphosphonates based on </w:t>
      </w:r>
      <w:r w:rsidR="00817D99" w:rsidRPr="00BB54DF">
        <w:t xml:space="preserve">the </w:t>
      </w:r>
      <w:r w:rsidR="008517F2" w:rsidRPr="00BB54DF">
        <w:t xml:space="preserve">covariates </w:t>
      </w:r>
      <w:r w:rsidR="00E62BAF" w:rsidRPr="00BB54DF">
        <w:t xml:space="preserve">and exact matching on </w:t>
      </w:r>
      <w:r w:rsidR="002975B8" w:rsidRPr="00BB54DF">
        <w:t xml:space="preserve">years of </w:t>
      </w:r>
      <w:r w:rsidR="00E62BAF" w:rsidRPr="00BB54DF">
        <w:t>follow-up</w:t>
      </w:r>
      <w:r w:rsidR="008517F2" w:rsidRPr="00BB54DF">
        <w:t xml:space="preserve">. Missing </w:t>
      </w:r>
      <w:r w:rsidR="002C43DA" w:rsidRPr="00BB54DF">
        <w:t>data for</w:t>
      </w:r>
      <w:r w:rsidR="00380B92" w:rsidRPr="00BB54DF">
        <w:t xml:space="preserve"> body mass index, smoking category, drinking category (CPRD)</w:t>
      </w:r>
      <w:r w:rsidR="00817D99" w:rsidRPr="00BB54DF">
        <w:t>,</w:t>
      </w:r>
      <w:r w:rsidR="00380B92" w:rsidRPr="00BB54DF">
        <w:t xml:space="preserve"> and crea</w:t>
      </w:r>
      <w:r w:rsidR="00D656C2" w:rsidRPr="00BB54DF">
        <w:t>tini</w:t>
      </w:r>
      <w:r w:rsidR="00380B92" w:rsidRPr="00BB54DF">
        <w:t>ne (SIDIAP)</w:t>
      </w:r>
      <w:r w:rsidR="008517F2" w:rsidRPr="00BB54DF">
        <w:t xml:space="preserve"> were imputed in </w:t>
      </w:r>
      <w:r w:rsidR="00E80DA5" w:rsidRPr="00BB54DF">
        <w:t>ten</w:t>
      </w:r>
      <w:r w:rsidR="008517F2" w:rsidRPr="00BB54DF">
        <w:t xml:space="preserve"> datasets using multiple imputation by chained equations</w:t>
      </w:r>
      <w:r w:rsidR="00E80DA5" w:rsidRPr="00BB54DF">
        <w:t>,</w:t>
      </w:r>
      <w:r w:rsidR="009E41EB" w:rsidRPr="00BB54DF">
        <w:t xml:space="preserve"> assuming data </w:t>
      </w:r>
      <w:r w:rsidR="00E80DA5" w:rsidRPr="00BB54DF">
        <w:t>were</w:t>
      </w:r>
      <w:r w:rsidR="009E41EB" w:rsidRPr="00BB54DF">
        <w:t xml:space="preserve"> missing at random</w:t>
      </w:r>
      <w:r w:rsidR="008517F2" w:rsidRPr="00BB54DF">
        <w:t xml:space="preserve">. </w:t>
      </w:r>
      <w:r w:rsidR="006E04CD" w:rsidRPr="00BB54DF">
        <w:t>E</w:t>
      </w:r>
      <w:r w:rsidR="00C6172A" w:rsidRPr="00BB54DF">
        <w:t xml:space="preserve">xposed </w:t>
      </w:r>
      <w:r w:rsidR="00EA0D05" w:rsidRPr="00BB54DF">
        <w:t>participants</w:t>
      </w:r>
      <w:r w:rsidR="00C6172A" w:rsidRPr="00BB54DF">
        <w:t xml:space="preserve"> were </w:t>
      </w:r>
      <w:r w:rsidR="006E04CD" w:rsidRPr="00BB54DF">
        <w:t>PS</w:t>
      </w:r>
      <w:r w:rsidR="00E80DA5" w:rsidRPr="00BB54DF">
        <w:t>-</w:t>
      </w:r>
      <w:r w:rsidR="00C6172A" w:rsidRPr="00BB54DF">
        <w:t xml:space="preserve">matched </w:t>
      </w:r>
      <w:r w:rsidR="00EA0D05" w:rsidRPr="00BB54DF">
        <w:t>with</w:t>
      </w:r>
      <w:r w:rsidR="00C6172A" w:rsidRPr="00BB54DF">
        <w:t xml:space="preserve"> up to </w:t>
      </w:r>
      <w:r w:rsidR="00E80DA5" w:rsidRPr="00BB54DF">
        <w:t>five</w:t>
      </w:r>
      <w:r w:rsidR="00C6172A" w:rsidRPr="00BB54DF">
        <w:t xml:space="preserve"> unexposed </w:t>
      </w:r>
      <w:r w:rsidR="00EA0D05" w:rsidRPr="00BB54DF">
        <w:t>participants</w:t>
      </w:r>
      <w:r w:rsidR="00C6172A" w:rsidRPr="00BB54DF">
        <w:t xml:space="preserve"> on a calliper width of 0</w:t>
      </w:r>
      <w:r w:rsidR="00EC47FC" w:rsidRPr="00BB54DF">
        <w:rPr>
          <w:rFonts w:cs="Arial"/>
        </w:rPr>
        <w:t>.</w:t>
      </w:r>
      <w:r w:rsidR="00C6172A" w:rsidRPr="00BB54DF">
        <w:t>2 standard deviation</w:t>
      </w:r>
      <w:r w:rsidR="005D13B0" w:rsidRPr="00BB54DF">
        <w:t>s</w:t>
      </w:r>
      <w:r w:rsidR="00781BD6" w:rsidRPr="00BB54DF">
        <w:t xml:space="preserve"> </w:t>
      </w:r>
      <w:r w:rsidR="00775B39" w:rsidRPr="00BB54DF">
        <w:t xml:space="preserve">of </w:t>
      </w:r>
      <w:r w:rsidR="00117CBF" w:rsidRPr="00BB54DF">
        <w:t xml:space="preserve">the </w:t>
      </w:r>
      <w:r w:rsidR="00775B39" w:rsidRPr="00BB54DF">
        <w:t>logit of the PS</w:t>
      </w:r>
      <w:r w:rsidR="002975B8" w:rsidRPr="00BB54DF">
        <w:t>,</w:t>
      </w:r>
      <w:r w:rsidR="00775B39" w:rsidRPr="00BB54DF">
        <w:t xml:space="preserve"> </w:t>
      </w:r>
      <w:r w:rsidR="00781BD6" w:rsidRPr="00BB54DF">
        <w:t>without replacement</w:t>
      </w:r>
      <w:r w:rsidR="00ED513B" w:rsidRPr="00BB54DF">
        <w:t xml:space="preserve">. </w:t>
      </w:r>
      <w:r w:rsidR="00E80DA5" w:rsidRPr="00BB54DF">
        <w:t>The a</w:t>
      </w:r>
      <w:r w:rsidR="007079BD" w:rsidRPr="00BB54DF">
        <w:t>bsolute</w:t>
      </w:r>
      <w:r w:rsidR="00E62BAF" w:rsidRPr="00BB54DF">
        <w:t xml:space="preserve"> </w:t>
      </w:r>
      <w:r w:rsidR="00E80DA5" w:rsidRPr="00BB54DF">
        <w:t>s</w:t>
      </w:r>
      <w:r w:rsidR="006E04CD" w:rsidRPr="00BB54DF">
        <w:t xml:space="preserve">tandardised </w:t>
      </w:r>
      <w:r w:rsidR="00E80DA5" w:rsidRPr="00BB54DF">
        <w:t>m</w:t>
      </w:r>
      <w:r w:rsidR="006E04CD" w:rsidRPr="00BB54DF">
        <w:t xml:space="preserve">ean </w:t>
      </w:r>
      <w:r w:rsidR="00E80DA5" w:rsidRPr="00BB54DF">
        <w:t>d</w:t>
      </w:r>
      <w:r w:rsidR="006E04CD" w:rsidRPr="00BB54DF">
        <w:t>ifference</w:t>
      </w:r>
      <w:r w:rsidR="00E62BAF" w:rsidRPr="00BB54DF">
        <w:t xml:space="preserve"> (ASMD)</w:t>
      </w:r>
      <w:r w:rsidR="006E04CD" w:rsidRPr="00BB54DF">
        <w:t xml:space="preserve"> was used to evaluate balance</w:t>
      </w:r>
      <w:r w:rsidR="00E80DA5" w:rsidRPr="00BB54DF">
        <w:t>,</w:t>
      </w:r>
      <w:r w:rsidR="006E04CD" w:rsidRPr="00BB54DF">
        <w:t xml:space="preserve"> with </w:t>
      </w:r>
      <w:r w:rsidR="003953D0" w:rsidRPr="00BB54DF">
        <w:t>values below</w:t>
      </w:r>
      <w:r w:rsidR="006E04CD" w:rsidRPr="00BB54DF">
        <w:t xml:space="preserve"> 0</w:t>
      </w:r>
      <w:r w:rsidR="00EC47FC" w:rsidRPr="00BB54DF">
        <w:rPr>
          <w:rFonts w:cs="Arial"/>
        </w:rPr>
        <w:t>.</w:t>
      </w:r>
      <w:r w:rsidR="006E04CD" w:rsidRPr="00BB54DF">
        <w:t xml:space="preserve">1 indicating good balance. </w:t>
      </w:r>
    </w:p>
    <w:p w14:paraId="5098090F" w14:textId="663BF024" w:rsidR="00E80DA5" w:rsidRPr="00BB54DF" w:rsidRDefault="006E04CD" w:rsidP="00B61BE6">
      <w:pPr>
        <w:spacing w:line="360" w:lineRule="auto"/>
        <w:jc w:val="both"/>
      </w:pPr>
      <w:r w:rsidRPr="00BB54DF">
        <w:t>Incidence rate</w:t>
      </w:r>
      <w:r w:rsidR="00EA0D05" w:rsidRPr="00BB54DF">
        <w:t>s</w:t>
      </w:r>
      <w:r w:rsidRPr="00BB54DF">
        <w:t xml:space="preserve"> and </w:t>
      </w:r>
      <w:r w:rsidR="00EA0D05" w:rsidRPr="00BB54DF">
        <w:t>their</w:t>
      </w:r>
      <w:r w:rsidRPr="00BB54DF">
        <w:t xml:space="preserve"> 95% </w:t>
      </w:r>
      <w:r w:rsidR="00E80DA5" w:rsidRPr="00BB54DF">
        <w:t>c</w:t>
      </w:r>
      <w:r w:rsidRPr="00BB54DF">
        <w:t xml:space="preserve">onfidence </w:t>
      </w:r>
      <w:r w:rsidR="00E80DA5" w:rsidRPr="00BB54DF">
        <w:t>i</w:t>
      </w:r>
      <w:r w:rsidRPr="00BB54DF">
        <w:t>nterval</w:t>
      </w:r>
      <w:r w:rsidR="00EA0D05" w:rsidRPr="00BB54DF">
        <w:t>s (CIs)</w:t>
      </w:r>
      <w:r w:rsidRPr="00BB54DF">
        <w:t xml:space="preserve"> were reported per 1</w:t>
      </w:r>
      <w:r w:rsidR="000A7D23" w:rsidRPr="00BB54DF">
        <w:t>,</w:t>
      </w:r>
      <w:r w:rsidRPr="00BB54DF">
        <w:t>000 person</w:t>
      </w:r>
      <w:r w:rsidR="00E80DA5" w:rsidRPr="00BB54DF">
        <w:t>-</w:t>
      </w:r>
      <w:r w:rsidRPr="00BB54DF">
        <w:t xml:space="preserve">years in </w:t>
      </w:r>
      <w:r w:rsidR="00E80DA5" w:rsidRPr="00BB54DF">
        <w:t xml:space="preserve">the </w:t>
      </w:r>
      <w:r w:rsidRPr="00BB54DF">
        <w:t>PS</w:t>
      </w:r>
      <w:r w:rsidR="00E80DA5" w:rsidRPr="00BB54DF">
        <w:t>-</w:t>
      </w:r>
      <w:r w:rsidRPr="00BB54DF">
        <w:t xml:space="preserve">matched and </w:t>
      </w:r>
      <w:r w:rsidR="00E80DA5" w:rsidRPr="00BB54DF">
        <w:t>full</w:t>
      </w:r>
      <w:r w:rsidRPr="00BB54DF">
        <w:t xml:space="preserve"> cohort</w:t>
      </w:r>
      <w:r w:rsidR="00E80DA5" w:rsidRPr="00BB54DF">
        <w:t>s</w:t>
      </w:r>
      <w:r w:rsidRPr="00BB54DF">
        <w:t xml:space="preserve">. </w:t>
      </w:r>
      <w:r w:rsidR="0072202B" w:rsidRPr="00BB54DF">
        <w:t>Unadjusted</w:t>
      </w:r>
      <w:r w:rsidR="00593AA0" w:rsidRPr="00BB54DF">
        <w:t xml:space="preserve"> and</w:t>
      </w:r>
      <w:r w:rsidR="009E41EB" w:rsidRPr="00BB54DF">
        <w:t xml:space="preserve"> </w:t>
      </w:r>
      <w:r w:rsidR="0072202B" w:rsidRPr="00BB54DF">
        <w:t>full</w:t>
      </w:r>
      <w:r w:rsidR="00117CBF" w:rsidRPr="00BB54DF">
        <w:t>y</w:t>
      </w:r>
      <w:r w:rsidR="0072202B" w:rsidRPr="00BB54DF">
        <w:t xml:space="preserve"> adjusted </w:t>
      </w:r>
      <w:r w:rsidR="00E80DA5" w:rsidRPr="00BB54DF">
        <w:t>C</w:t>
      </w:r>
      <w:r w:rsidR="00B742B1" w:rsidRPr="00BB54DF">
        <w:t>ox proportional hazard models were used to calculate hazard ratios</w:t>
      </w:r>
      <w:r w:rsidR="00CB5D00" w:rsidRPr="00BB54DF">
        <w:t xml:space="preserve"> (HRs)</w:t>
      </w:r>
      <w:r w:rsidR="00B742B1" w:rsidRPr="00BB54DF">
        <w:t xml:space="preserve"> </w:t>
      </w:r>
      <w:r w:rsidR="00606FFD" w:rsidRPr="00BB54DF">
        <w:t>for each of the outcomes</w:t>
      </w:r>
      <w:r w:rsidR="00F80A62" w:rsidRPr="00BB54DF">
        <w:t>.</w:t>
      </w:r>
      <w:r w:rsidR="007E5C6D" w:rsidRPr="00BB54DF">
        <w:t xml:space="preserve"> </w:t>
      </w:r>
      <w:r w:rsidR="0019078B" w:rsidRPr="00BB54DF">
        <w:t>Fine and Gray s</w:t>
      </w:r>
      <w:r w:rsidR="006038C1" w:rsidRPr="00BB54DF">
        <w:t>ub-</w:t>
      </w:r>
      <w:r w:rsidR="00B61BE6" w:rsidRPr="00BB54DF">
        <w:t>HRs</w:t>
      </w:r>
      <w:r w:rsidR="004958CA" w:rsidRPr="00BB54DF">
        <w:t xml:space="preserve"> </w:t>
      </w:r>
      <w:r w:rsidR="00E67E4F" w:rsidRPr="00BB54DF">
        <w:t xml:space="preserve">were </w:t>
      </w:r>
      <w:r w:rsidR="000A7D23" w:rsidRPr="00BB54DF">
        <w:t>calculated</w:t>
      </w:r>
      <w:r w:rsidR="00CB5D00" w:rsidRPr="00BB54DF">
        <w:t xml:space="preserve"> </w:t>
      </w:r>
      <w:r w:rsidR="00B2512F" w:rsidRPr="00BB54DF">
        <w:t>for the PS</w:t>
      </w:r>
      <w:r w:rsidR="006038C1" w:rsidRPr="00BB54DF">
        <w:t>-</w:t>
      </w:r>
      <w:r w:rsidR="00B2512F" w:rsidRPr="00BB54DF">
        <w:t>matched cohorts to account for any difference in death rate due to PS matching</w:t>
      </w:r>
      <w:r w:rsidR="00E67E4F" w:rsidRPr="00BB54DF">
        <w:t>.</w:t>
      </w:r>
      <w:r w:rsidR="0019078B" w:rsidRPr="00BB54DF">
        <w:t xml:space="preserve"> </w:t>
      </w:r>
      <w:r w:rsidR="007076FE" w:rsidRPr="00BB54DF">
        <w:t xml:space="preserve">The proportionality assumption of all models was checked using Schoenfeld Residuals. The proportionality assumption held for all models (data not shown). </w:t>
      </w:r>
      <w:r w:rsidR="00117CBF" w:rsidRPr="00BB54DF">
        <w:t xml:space="preserve">We </w:t>
      </w:r>
      <w:r w:rsidR="0019078B" w:rsidRPr="00BB54DF">
        <w:t xml:space="preserve">combined the results </w:t>
      </w:r>
      <w:r w:rsidR="00593AA0" w:rsidRPr="00BB54DF">
        <w:t>from</w:t>
      </w:r>
      <w:r w:rsidR="0019078B" w:rsidRPr="00BB54DF">
        <w:t xml:space="preserve"> CPRD and SIDIAP </w:t>
      </w:r>
      <w:r w:rsidR="00117CBF" w:rsidRPr="00BB54DF">
        <w:t xml:space="preserve">in fixed-effects meta-analyses </w:t>
      </w:r>
      <w:r w:rsidR="0019078B" w:rsidRPr="00BB54DF">
        <w:t xml:space="preserve">to produce an overall estimate. </w:t>
      </w:r>
    </w:p>
    <w:p w14:paraId="41DA6A65" w14:textId="5DC7BFFB" w:rsidR="000459CD" w:rsidRPr="00BB54DF" w:rsidRDefault="005B4871" w:rsidP="00B61BE6">
      <w:pPr>
        <w:spacing w:line="360" w:lineRule="auto"/>
        <w:jc w:val="both"/>
      </w:pPr>
      <w:r w:rsidRPr="00BB54DF">
        <w:t>Numbers needed to harm</w:t>
      </w:r>
      <w:r w:rsidR="00523E86" w:rsidRPr="00BB54DF">
        <w:t xml:space="preserve"> </w:t>
      </w:r>
      <w:r w:rsidR="00CE7D71" w:rsidRPr="00BB54DF">
        <w:t>after</w:t>
      </w:r>
      <w:r w:rsidR="007079BD" w:rsidRPr="00BB54DF">
        <w:t xml:space="preserve"> 3 and 5</w:t>
      </w:r>
      <w:r w:rsidR="00E80DA5" w:rsidRPr="00BB54DF">
        <w:t xml:space="preserve"> </w:t>
      </w:r>
      <w:r w:rsidR="007079BD" w:rsidRPr="00BB54DF">
        <w:t>year</w:t>
      </w:r>
      <w:r w:rsidR="00E80DA5" w:rsidRPr="00BB54DF">
        <w:t>s</w:t>
      </w:r>
      <w:r w:rsidR="007079BD" w:rsidRPr="00BB54DF">
        <w:t xml:space="preserve"> </w:t>
      </w:r>
      <w:r w:rsidR="00523E86" w:rsidRPr="00BB54DF">
        <w:t xml:space="preserve">were calculated from </w:t>
      </w:r>
      <w:r w:rsidR="006E04CD" w:rsidRPr="00BB54DF">
        <w:t xml:space="preserve">Kaplan-Meier </w:t>
      </w:r>
      <w:r w:rsidR="00523E86" w:rsidRPr="00BB54DF">
        <w:t>curves</w:t>
      </w:r>
      <w:r w:rsidR="00806C09" w:rsidRPr="00BB54DF">
        <w:t xml:space="preserve"> for the primary outcome</w:t>
      </w:r>
      <w:r w:rsidR="00523E86" w:rsidRPr="00BB54DF">
        <w:t xml:space="preserve">. </w:t>
      </w:r>
      <w:r w:rsidR="002975B8" w:rsidRPr="00BB54DF">
        <w:t xml:space="preserve">Supplement </w:t>
      </w:r>
      <w:r w:rsidR="003953D0" w:rsidRPr="00BB54DF">
        <w:t xml:space="preserve">3 </w:t>
      </w:r>
      <w:r w:rsidR="002975B8" w:rsidRPr="00BB54DF">
        <w:t>contains t</w:t>
      </w:r>
      <w:r w:rsidR="002D6E3D" w:rsidRPr="00BB54DF">
        <w:t>he sample size calculation.</w:t>
      </w:r>
    </w:p>
    <w:p w14:paraId="733078C2" w14:textId="1D16D0AC" w:rsidR="00B46593" w:rsidRPr="00BB54DF" w:rsidRDefault="0058645D" w:rsidP="00605BDA">
      <w:pPr>
        <w:spacing w:line="360" w:lineRule="auto"/>
        <w:jc w:val="both"/>
        <w:outlineLvl w:val="0"/>
        <w:rPr>
          <w:rFonts w:cs="Arial"/>
          <w:b/>
        </w:rPr>
      </w:pPr>
      <w:r w:rsidRPr="00BB54DF">
        <w:rPr>
          <w:rFonts w:cs="Arial"/>
          <w:b/>
        </w:rPr>
        <w:t>Additional and s</w:t>
      </w:r>
      <w:r w:rsidR="00B46593" w:rsidRPr="00BB54DF">
        <w:rPr>
          <w:rFonts w:cs="Arial"/>
          <w:b/>
        </w:rPr>
        <w:t>ensitivity analyses</w:t>
      </w:r>
    </w:p>
    <w:p w14:paraId="733C9AFB" w14:textId="37D4D19F" w:rsidR="00E80DA5" w:rsidRPr="00BB54DF" w:rsidRDefault="00B46593" w:rsidP="00D75A1F">
      <w:pPr>
        <w:spacing w:line="360" w:lineRule="auto"/>
        <w:jc w:val="both"/>
        <w:rPr>
          <w:rFonts w:cs="Arial"/>
        </w:rPr>
      </w:pPr>
      <w:r w:rsidRPr="00BB54DF">
        <w:rPr>
          <w:rFonts w:cs="Arial"/>
        </w:rPr>
        <w:t>Two pre-defined interactions with bisphosphonate</w:t>
      </w:r>
      <w:r w:rsidR="00E80DA5" w:rsidRPr="00BB54DF">
        <w:rPr>
          <w:rFonts w:cs="Arial"/>
        </w:rPr>
        <w:t xml:space="preserve"> use</w:t>
      </w:r>
      <w:r w:rsidRPr="00BB54DF">
        <w:rPr>
          <w:rFonts w:cs="Arial"/>
        </w:rPr>
        <w:t xml:space="preserve"> were tested</w:t>
      </w:r>
      <w:r w:rsidR="00CE7D71" w:rsidRPr="00BB54DF">
        <w:rPr>
          <w:rFonts w:cs="Arial"/>
        </w:rPr>
        <w:t>,</w:t>
      </w:r>
      <w:r w:rsidR="00606FFD" w:rsidRPr="00BB54DF">
        <w:rPr>
          <w:rFonts w:cs="Arial"/>
        </w:rPr>
        <w:t xml:space="preserve"> </w:t>
      </w:r>
      <w:r w:rsidRPr="00BB54DF">
        <w:rPr>
          <w:rFonts w:cs="Arial"/>
        </w:rPr>
        <w:t>gender</w:t>
      </w:r>
      <w:r w:rsidR="00606FFD" w:rsidRPr="00BB54DF">
        <w:rPr>
          <w:rFonts w:cs="Arial"/>
        </w:rPr>
        <w:t xml:space="preserve"> and </w:t>
      </w:r>
      <w:r w:rsidRPr="00BB54DF">
        <w:rPr>
          <w:rFonts w:cs="Arial"/>
        </w:rPr>
        <w:t>history of fracture</w:t>
      </w:r>
      <w:r w:rsidR="00CC443F" w:rsidRPr="00BB54DF">
        <w:rPr>
          <w:rFonts w:cs="Arial"/>
        </w:rPr>
        <w:t xml:space="preserve"> </w:t>
      </w:r>
      <w:r w:rsidR="00CE7D71" w:rsidRPr="00BB54DF">
        <w:rPr>
          <w:rFonts w:cs="Arial"/>
        </w:rPr>
        <w:t xml:space="preserve">at </w:t>
      </w:r>
      <w:r w:rsidR="00CC443F" w:rsidRPr="00BB54DF">
        <w:rPr>
          <w:rFonts w:cs="Arial"/>
        </w:rPr>
        <w:t xml:space="preserve">any location except </w:t>
      </w:r>
      <w:r w:rsidR="00CE7D71" w:rsidRPr="00BB54DF">
        <w:rPr>
          <w:rFonts w:cs="Arial"/>
        </w:rPr>
        <w:t xml:space="preserve">the </w:t>
      </w:r>
      <w:r w:rsidR="00CC443F" w:rsidRPr="00BB54DF">
        <w:rPr>
          <w:rFonts w:cs="Arial"/>
        </w:rPr>
        <w:t>digits</w:t>
      </w:r>
      <w:r w:rsidR="00F03FD4" w:rsidRPr="00BB54DF">
        <w:rPr>
          <w:rFonts w:cs="Arial"/>
        </w:rPr>
        <w:t>,</w:t>
      </w:r>
      <w:r w:rsidR="00B61BE6" w:rsidRPr="00BB54DF">
        <w:rPr>
          <w:rFonts w:cs="Arial"/>
        </w:rPr>
        <w:t xml:space="preserve"> with a cut-off of p&lt;0</w:t>
      </w:r>
      <w:r w:rsidR="00EC47FC" w:rsidRPr="00BB54DF">
        <w:rPr>
          <w:rFonts w:cs="Arial"/>
        </w:rPr>
        <w:t>.</w:t>
      </w:r>
      <w:r w:rsidR="00B61BE6" w:rsidRPr="00BB54DF">
        <w:rPr>
          <w:rFonts w:cs="Arial"/>
        </w:rPr>
        <w:t>1</w:t>
      </w:r>
      <w:r w:rsidRPr="00BB54DF">
        <w:rPr>
          <w:rFonts w:cs="Arial"/>
        </w:rPr>
        <w:t>.</w:t>
      </w:r>
      <w:r w:rsidR="00C16597" w:rsidRPr="00BB54DF">
        <w:rPr>
          <w:rFonts w:cs="Arial"/>
        </w:rPr>
        <w:t xml:space="preserve"> Stratified </w:t>
      </w:r>
      <w:r w:rsidR="0019078B" w:rsidRPr="00BB54DF">
        <w:rPr>
          <w:rFonts w:cs="Arial"/>
        </w:rPr>
        <w:t xml:space="preserve">Fine and Gray </w:t>
      </w:r>
      <w:r w:rsidR="00C16597" w:rsidRPr="00BB54DF">
        <w:rPr>
          <w:rFonts w:cs="Arial"/>
        </w:rPr>
        <w:t>regression</w:t>
      </w:r>
      <w:r w:rsidR="00FA20DE" w:rsidRPr="00BB54DF">
        <w:rPr>
          <w:rFonts w:cs="Arial"/>
        </w:rPr>
        <w:t>s</w:t>
      </w:r>
      <w:r w:rsidR="00C16597" w:rsidRPr="00BB54DF">
        <w:rPr>
          <w:rFonts w:cs="Arial"/>
        </w:rPr>
        <w:t xml:space="preserve"> </w:t>
      </w:r>
      <w:r w:rsidR="00F03FD4" w:rsidRPr="00BB54DF">
        <w:rPr>
          <w:rFonts w:cs="Arial"/>
        </w:rPr>
        <w:t>were</w:t>
      </w:r>
      <w:r w:rsidR="00C16597" w:rsidRPr="00BB54DF">
        <w:rPr>
          <w:rFonts w:cs="Arial"/>
        </w:rPr>
        <w:t xml:space="preserve"> reported i</w:t>
      </w:r>
      <w:r w:rsidR="004C29FA" w:rsidRPr="00BB54DF">
        <w:rPr>
          <w:rFonts w:cs="Arial"/>
        </w:rPr>
        <w:t>f</w:t>
      </w:r>
      <w:r w:rsidR="00C16597" w:rsidRPr="00BB54DF">
        <w:rPr>
          <w:rFonts w:cs="Arial"/>
        </w:rPr>
        <w:t xml:space="preserve"> </w:t>
      </w:r>
      <w:r w:rsidR="00B61BE6" w:rsidRPr="00BB54DF">
        <w:rPr>
          <w:rFonts w:cs="Arial"/>
        </w:rPr>
        <w:t xml:space="preserve">there </w:t>
      </w:r>
      <w:r w:rsidR="004D6D9A" w:rsidRPr="00BB54DF">
        <w:rPr>
          <w:rFonts w:cs="Arial"/>
        </w:rPr>
        <w:t xml:space="preserve">was </w:t>
      </w:r>
      <w:r w:rsidR="00B61BE6" w:rsidRPr="00BB54DF">
        <w:rPr>
          <w:rFonts w:cs="Arial"/>
        </w:rPr>
        <w:t xml:space="preserve">evidence of </w:t>
      </w:r>
      <w:r w:rsidR="00BE729B" w:rsidRPr="00BB54DF">
        <w:rPr>
          <w:rFonts w:cs="Arial"/>
        </w:rPr>
        <w:t>significan</w:t>
      </w:r>
      <w:r w:rsidR="002975B8" w:rsidRPr="00BB54DF">
        <w:rPr>
          <w:rFonts w:cs="Arial"/>
        </w:rPr>
        <w:t>t interactions</w:t>
      </w:r>
      <w:r w:rsidR="00B61BE6" w:rsidRPr="00BB54DF">
        <w:rPr>
          <w:rFonts w:cs="Arial"/>
        </w:rPr>
        <w:t>.</w:t>
      </w:r>
      <w:r w:rsidR="004C29FA" w:rsidRPr="00BB54DF">
        <w:rPr>
          <w:rFonts w:cs="Arial"/>
        </w:rPr>
        <w:t xml:space="preserve"> </w:t>
      </w:r>
      <w:r w:rsidR="006E04CD" w:rsidRPr="00BB54DF">
        <w:rPr>
          <w:rFonts w:cs="Arial"/>
        </w:rPr>
        <w:t>Medication possession ratios</w:t>
      </w:r>
      <w:r w:rsidR="004D6D9A" w:rsidRPr="00BB54DF">
        <w:rPr>
          <w:rFonts w:cs="Arial"/>
        </w:rPr>
        <w:t xml:space="preserve"> (MPR)</w:t>
      </w:r>
      <w:r w:rsidR="006E04CD" w:rsidRPr="00BB54DF">
        <w:rPr>
          <w:rFonts w:cs="Arial"/>
        </w:rPr>
        <w:t xml:space="preserve"> were calculated as the number of defined daily doses from the first prescription/dispensation until 30 days after the last record</w:t>
      </w:r>
      <w:r w:rsidR="00CE7D71" w:rsidRPr="00BB54DF">
        <w:rPr>
          <w:rFonts w:cs="Arial"/>
        </w:rPr>
        <w:t>,</w:t>
      </w:r>
      <w:r w:rsidR="00D75A1F" w:rsidRPr="00BB54DF">
        <w:rPr>
          <w:rFonts w:cs="Arial"/>
        </w:rPr>
        <w:t xml:space="preserve"> divided by </w:t>
      </w:r>
      <w:r w:rsidR="00CE7D71" w:rsidRPr="00BB54DF">
        <w:rPr>
          <w:rFonts w:cs="Arial"/>
        </w:rPr>
        <w:t xml:space="preserve">the </w:t>
      </w:r>
      <w:r w:rsidR="00D75A1F" w:rsidRPr="00BB54DF">
        <w:rPr>
          <w:rFonts w:cs="Arial"/>
        </w:rPr>
        <w:t>number of days within this time window</w:t>
      </w:r>
      <w:r w:rsidR="006E04CD" w:rsidRPr="00BB54DF">
        <w:rPr>
          <w:rFonts w:cs="Arial"/>
        </w:rPr>
        <w:t>.</w:t>
      </w:r>
      <w:r w:rsidR="00D75A1F" w:rsidRPr="00BB54DF">
        <w:rPr>
          <w:rFonts w:cs="Arial"/>
        </w:rPr>
        <w:t xml:space="preserve"> </w:t>
      </w:r>
      <w:r w:rsidR="0019078B" w:rsidRPr="00BB54DF">
        <w:rPr>
          <w:rFonts w:cs="Arial"/>
        </w:rPr>
        <w:t xml:space="preserve">Fine and Gray </w:t>
      </w:r>
      <w:r w:rsidRPr="00BB54DF">
        <w:rPr>
          <w:rFonts w:cs="Arial"/>
        </w:rPr>
        <w:t xml:space="preserve">models were repeated </w:t>
      </w:r>
      <w:r w:rsidR="00C16597" w:rsidRPr="00BB54DF">
        <w:rPr>
          <w:rFonts w:cs="Arial"/>
        </w:rPr>
        <w:t xml:space="preserve">for </w:t>
      </w:r>
      <w:r w:rsidR="004D6D9A" w:rsidRPr="00BB54DF">
        <w:rPr>
          <w:rFonts w:cs="Arial"/>
        </w:rPr>
        <w:t>MPR</w:t>
      </w:r>
      <w:r w:rsidR="00E80DA5" w:rsidRPr="00BB54DF">
        <w:rPr>
          <w:rFonts w:cs="Arial"/>
        </w:rPr>
        <w:t xml:space="preserve"> </w:t>
      </w:r>
      <w:r w:rsidRPr="00BB54DF">
        <w:rPr>
          <w:rFonts w:cs="Arial"/>
        </w:rPr>
        <w:t xml:space="preserve">quartiles </w:t>
      </w:r>
      <w:r w:rsidR="00E80DA5" w:rsidRPr="00BB54DF">
        <w:rPr>
          <w:rFonts w:cs="Arial"/>
        </w:rPr>
        <w:t>(</w:t>
      </w:r>
      <w:r w:rsidRPr="00BB54DF">
        <w:rPr>
          <w:rFonts w:cs="Arial"/>
        </w:rPr>
        <w:t xml:space="preserve">0 </w:t>
      </w:r>
      <w:r w:rsidR="00C16597" w:rsidRPr="00BB54DF">
        <w:rPr>
          <w:rFonts w:cs="Arial"/>
        </w:rPr>
        <w:t>versus</w:t>
      </w:r>
      <w:r w:rsidRPr="00BB54DF">
        <w:rPr>
          <w:rFonts w:cs="Arial"/>
        </w:rPr>
        <w:t xml:space="preserve"> </w:t>
      </w:r>
      <w:r w:rsidR="008A4662" w:rsidRPr="00BB54DF">
        <w:rPr>
          <w:rFonts w:cs="Arial"/>
        </w:rPr>
        <w:t>&lt;0</w:t>
      </w:r>
      <w:r w:rsidR="00EC47FC" w:rsidRPr="00BB54DF">
        <w:rPr>
          <w:rFonts w:cs="Arial"/>
        </w:rPr>
        <w:t>.</w:t>
      </w:r>
      <w:r w:rsidR="008A4662" w:rsidRPr="00BB54DF">
        <w:rPr>
          <w:rFonts w:cs="Arial"/>
        </w:rPr>
        <w:t>8</w:t>
      </w:r>
      <w:r w:rsidR="00E67E4F" w:rsidRPr="00BB54DF">
        <w:rPr>
          <w:rFonts w:cs="Arial"/>
        </w:rPr>
        <w:t>3</w:t>
      </w:r>
      <w:r w:rsidR="008A4662" w:rsidRPr="00BB54DF">
        <w:rPr>
          <w:rFonts w:cs="Arial"/>
        </w:rPr>
        <w:t>, 0</w:t>
      </w:r>
      <w:r w:rsidR="00EC47FC" w:rsidRPr="00BB54DF">
        <w:rPr>
          <w:rFonts w:cs="Arial"/>
        </w:rPr>
        <w:t>.</w:t>
      </w:r>
      <w:r w:rsidR="008A4662" w:rsidRPr="00BB54DF">
        <w:rPr>
          <w:rFonts w:cs="Arial"/>
        </w:rPr>
        <w:t>8</w:t>
      </w:r>
      <w:r w:rsidR="00E67E4F" w:rsidRPr="00BB54DF">
        <w:rPr>
          <w:rFonts w:cs="Arial"/>
        </w:rPr>
        <w:t>3</w:t>
      </w:r>
      <w:r w:rsidR="008A4662" w:rsidRPr="00BB54DF">
        <w:rPr>
          <w:rFonts w:cs="Arial"/>
        </w:rPr>
        <w:t>-0</w:t>
      </w:r>
      <w:r w:rsidR="00EC47FC" w:rsidRPr="00BB54DF">
        <w:rPr>
          <w:rFonts w:cs="Arial"/>
        </w:rPr>
        <w:t>.</w:t>
      </w:r>
      <w:r w:rsidR="008A4662" w:rsidRPr="00BB54DF">
        <w:rPr>
          <w:rFonts w:cs="Arial"/>
        </w:rPr>
        <w:t>97, 0</w:t>
      </w:r>
      <w:r w:rsidR="00EC47FC" w:rsidRPr="00BB54DF">
        <w:rPr>
          <w:rFonts w:cs="Arial"/>
        </w:rPr>
        <w:t>.</w:t>
      </w:r>
      <w:r w:rsidR="008A4662" w:rsidRPr="00BB54DF">
        <w:rPr>
          <w:rFonts w:cs="Arial"/>
        </w:rPr>
        <w:t>97-1</w:t>
      </w:r>
      <w:r w:rsidR="00EC47FC" w:rsidRPr="00BB54DF">
        <w:rPr>
          <w:rFonts w:cs="Arial"/>
        </w:rPr>
        <w:t>.</w:t>
      </w:r>
      <w:r w:rsidR="008A4662" w:rsidRPr="00BB54DF">
        <w:rPr>
          <w:rFonts w:cs="Arial"/>
        </w:rPr>
        <w:t>0</w:t>
      </w:r>
      <w:r w:rsidR="00E67E4F" w:rsidRPr="00BB54DF">
        <w:rPr>
          <w:rFonts w:cs="Arial"/>
        </w:rPr>
        <w:t>5</w:t>
      </w:r>
      <w:r w:rsidR="00E80DA5" w:rsidRPr="00BB54DF">
        <w:rPr>
          <w:rFonts w:cs="Arial"/>
        </w:rPr>
        <w:t>,</w:t>
      </w:r>
      <w:r w:rsidR="008A4662" w:rsidRPr="00BB54DF">
        <w:rPr>
          <w:rFonts w:cs="Arial"/>
        </w:rPr>
        <w:t xml:space="preserve"> and &gt;1</w:t>
      </w:r>
      <w:r w:rsidR="00EC47FC" w:rsidRPr="00BB54DF">
        <w:rPr>
          <w:rFonts w:cs="Arial"/>
        </w:rPr>
        <w:t>.</w:t>
      </w:r>
      <w:r w:rsidR="008A4662" w:rsidRPr="00BB54DF">
        <w:rPr>
          <w:rFonts w:cs="Arial"/>
        </w:rPr>
        <w:t>0</w:t>
      </w:r>
      <w:r w:rsidR="00E67E4F" w:rsidRPr="00BB54DF">
        <w:rPr>
          <w:rFonts w:cs="Arial"/>
        </w:rPr>
        <w:t>5</w:t>
      </w:r>
      <w:r w:rsidR="00E80DA5" w:rsidRPr="00BB54DF">
        <w:rPr>
          <w:rFonts w:cs="Arial"/>
        </w:rPr>
        <w:t>)</w:t>
      </w:r>
      <w:r w:rsidR="00C16597" w:rsidRPr="00BB54DF">
        <w:rPr>
          <w:rFonts w:cs="Arial"/>
        </w:rPr>
        <w:t xml:space="preserve"> to test the </w:t>
      </w:r>
      <w:r w:rsidR="00804EBD" w:rsidRPr="00BB54DF">
        <w:rPr>
          <w:rFonts w:cs="Arial"/>
        </w:rPr>
        <w:t xml:space="preserve">biological gradient of the </w:t>
      </w:r>
      <w:r w:rsidR="008A4662" w:rsidRPr="00BB54DF">
        <w:rPr>
          <w:rFonts w:cs="Arial"/>
        </w:rPr>
        <w:t xml:space="preserve">Bradford-Hill causality </w:t>
      </w:r>
      <w:r w:rsidR="00CE7D71" w:rsidRPr="00BB54DF">
        <w:rPr>
          <w:rFonts w:cs="Arial"/>
        </w:rPr>
        <w:t>criteria</w:t>
      </w:r>
      <w:r w:rsidR="00E769AC" w:rsidRPr="00BB54DF">
        <w:rPr>
          <w:rFonts w:cs="Arial"/>
        </w:rPr>
        <w:fldChar w:fldCharType="begin"/>
      </w:r>
      <w:r w:rsidR="00CC773B" w:rsidRPr="00BB54DF">
        <w:rPr>
          <w:rFonts w:cs="Arial"/>
        </w:rPr>
        <w:instrText xml:space="preserve"> ADDIN EN.CITE &lt;EndNote&gt;&lt;Cite&gt;&lt;Author&gt;Hill&lt;/Author&gt;&lt;Year&gt;1965&lt;/Year&gt;&lt;RecNum&gt;54&lt;/RecNum&gt;&lt;DisplayText&gt;[21]&lt;/DisplayText&gt;&lt;record&gt;&lt;rec-number&gt;54&lt;/rec-number&gt;&lt;foreign-keys&gt;&lt;key app="EN" db-id="pwdswvde6sasexe5rx9p90509rsftz22fdv9" timestamp="0"&gt;54&lt;/key&gt;&lt;/foreign-keys&gt;&lt;ref-type name="Journal Article"&gt;17&lt;/ref-type&gt;&lt;contributors&gt;&lt;authors&gt;&lt;author&gt;Hill, A. B.&lt;/author&gt;&lt;/authors&gt;&lt;/contributors&gt;&lt;titles&gt;&lt;title&gt;THE ENVIRONMENT AND DISEASE: ASSOCIATION OR CAUSATION?&lt;/title&gt;&lt;secondary-title&gt;Proc R Soc Med&lt;/secondary-title&gt;&lt;alt-title&gt;Proceedings of the Royal Society of Medicine&lt;/alt-title&gt;&lt;/titles&gt;&lt;pages&gt;295-300&lt;/pages&gt;&lt;volume&gt;58&lt;/volume&gt;&lt;edition&gt;1965/05/01&lt;/edition&gt;&lt;keywords&gt;&lt;keyword&gt;*Environment&lt;/keyword&gt;&lt;keyword&gt;*Environmental Health&lt;/keyword&gt;&lt;keyword&gt;Humans&lt;/keyword&gt;&lt;keyword&gt;*Occupational Medicine&lt;/keyword&gt;&lt;keyword&gt;*industrial medicine&lt;/keyword&gt;&lt;/keywords&gt;&lt;dates&gt;&lt;year&gt;1965&lt;/year&gt;&lt;pub-dates&gt;&lt;date&gt;May&lt;/date&gt;&lt;/pub-dates&gt;&lt;/dates&gt;&lt;isbn&gt;0035-9157 (Print)&amp;#xD;0035-9157&lt;/isbn&gt;&lt;accession-num&gt;14283879&lt;/accession-num&gt;&lt;urls&gt;&lt;/urls&gt;&lt;custom2&gt;PMC1898525&lt;/custom2&gt;&lt;remote-database-provider&gt;NLM&lt;/remote-database-provider&gt;&lt;language&gt;eng&lt;/language&gt;&lt;/record&gt;&lt;/Cite&gt;&lt;/EndNote&gt;</w:instrText>
      </w:r>
      <w:r w:rsidR="00E769AC" w:rsidRPr="00BB54DF">
        <w:rPr>
          <w:rFonts w:cs="Arial"/>
        </w:rPr>
        <w:fldChar w:fldCharType="separate"/>
      </w:r>
      <w:r w:rsidR="00CC773B" w:rsidRPr="00BB54DF">
        <w:rPr>
          <w:rFonts w:cs="Arial"/>
          <w:noProof/>
        </w:rPr>
        <w:t>[21]</w:t>
      </w:r>
      <w:r w:rsidR="00E769AC" w:rsidRPr="00BB54DF">
        <w:rPr>
          <w:rFonts w:cs="Arial"/>
        </w:rPr>
        <w:fldChar w:fldCharType="end"/>
      </w:r>
      <w:r w:rsidR="00F01A9E" w:rsidRPr="00BB54DF">
        <w:rPr>
          <w:rFonts w:cs="Arial"/>
        </w:rPr>
        <w:t>.</w:t>
      </w:r>
      <w:r w:rsidR="008A4662" w:rsidRPr="00BB54DF">
        <w:rPr>
          <w:rFonts w:cs="Arial"/>
        </w:rPr>
        <w:t xml:space="preserve"> </w:t>
      </w:r>
    </w:p>
    <w:p w14:paraId="2595A30A" w14:textId="7D46B756" w:rsidR="00C6172A" w:rsidRPr="00BB54DF" w:rsidRDefault="008A4662" w:rsidP="00D75A1F">
      <w:pPr>
        <w:spacing w:line="360" w:lineRule="auto"/>
        <w:jc w:val="both"/>
        <w:rPr>
          <w:rFonts w:cs="Arial"/>
        </w:rPr>
      </w:pPr>
      <w:r w:rsidRPr="00BB54DF">
        <w:rPr>
          <w:rFonts w:cs="Arial"/>
        </w:rPr>
        <w:lastRenderedPageBreak/>
        <w:t xml:space="preserve">The </w:t>
      </w:r>
      <w:r w:rsidR="00E80DA5" w:rsidRPr="00BB54DF">
        <w:rPr>
          <w:rFonts w:cs="Arial"/>
        </w:rPr>
        <w:t>effect</w:t>
      </w:r>
      <w:r w:rsidR="0083494D" w:rsidRPr="00BB54DF">
        <w:rPr>
          <w:rFonts w:cs="Arial"/>
        </w:rPr>
        <w:t xml:space="preserve"> of </w:t>
      </w:r>
      <w:r w:rsidR="00C379EC" w:rsidRPr="00BB54DF">
        <w:rPr>
          <w:rFonts w:cs="Arial"/>
        </w:rPr>
        <w:t xml:space="preserve">potential </w:t>
      </w:r>
      <w:r w:rsidR="0083494D" w:rsidRPr="00BB54DF">
        <w:rPr>
          <w:rFonts w:cs="Arial"/>
        </w:rPr>
        <w:t xml:space="preserve">unmeasured confounding was </w:t>
      </w:r>
      <w:r w:rsidR="00C379EC" w:rsidRPr="00BB54DF">
        <w:rPr>
          <w:rFonts w:cs="Arial"/>
        </w:rPr>
        <w:t>measured</w:t>
      </w:r>
      <w:r w:rsidRPr="00BB54DF">
        <w:rPr>
          <w:rFonts w:cs="Arial"/>
        </w:rPr>
        <w:t xml:space="preserve"> </w:t>
      </w:r>
      <w:r w:rsidR="0083494D" w:rsidRPr="00BB54DF">
        <w:rPr>
          <w:rFonts w:cs="Arial"/>
        </w:rPr>
        <w:t>using an array analysis</w:t>
      </w:r>
      <w:r w:rsidR="00E769AC" w:rsidRPr="00BB54DF">
        <w:rPr>
          <w:rFonts w:cs="Arial"/>
        </w:rPr>
        <w:fldChar w:fldCharType="begin"/>
      </w:r>
      <w:r w:rsidR="00CC773B" w:rsidRPr="00BB54DF">
        <w:rPr>
          <w:rFonts w:cs="Arial"/>
        </w:rPr>
        <w:instrText xml:space="preserve"> ADDIN EN.CITE &lt;EndNote&gt;&lt;Cite&gt;&lt;Author&gt;Schneeweiss&lt;/Author&gt;&lt;Year&gt;2006&lt;/Year&gt;&lt;RecNum&gt;55&lt;/RecNum&gt;&lt;DisplayText&gt;[22]&lt;/DisplayText&gt;&lt;record&gt;&lt;rec-number&gt;55&lt;/rec-number&gt;&lt;foreign-keys&gt;&lt;key app="EN" db-id="pwdswvde6sasexe5rx9p90509rsftz22fdv9" timestamp="0"&gt;55&lt;/key&gt;&lt;/foreign-keys&gt;&lt;ref-type name="Journal Article"&gt;17&lt;/ref-type&gt;&lt;contributors&gt;&lt;authors&gt;&lt;author&gt;Schneeweiss, S.&lt;/author&gt;&lt;/authors&gt;&lt;/contributors&gt;&lt;auth-address&gt;Division of Pharmacoepidemiology and Pharmacoeconomics, Department of Medicine, Brigham and Women&amp;apos;s Hospital and Harvard Medical School, Boston, MA 02120, USA. schneeweiss@post.harvard.edu&lt;/auth-address&gt;&lt;titles&gt;&lt;title&gt;Sensitivity analysis and external adjustment for unmeasured confounders in epidemiologic database studies of therapeutics&lt;/title&gt;&lt;secondary-title&gt;Pharmacoepidemiol Drug Saf&lt;/secondary-title&gt;&lt;alt-title&gt;Pharmacoepidemiology and drug safety&lt;/alt-title&gt;&lt;/titles&gt;&lt;pages&gt;291-303&lt;/pages&gt;&lt;volume&gt;15&lt;/volume&gt;&lt;number&gt;5&lt;/number&gt;&lt;edition&gt;2006/02/01&lt;/edition&gt;&lt;keywords&gt;&lt;keyword&gt;Anti-Inflammatory Agents, Non-Steroidal/adverse effects&lt;/keyword&gt;&lt;keyword&gt;Cyclooxygenase 2 Inhibitors/adverse effects&lt;/keyword&gt;&lt;keyword&gt;Databases as Topic&lt;/keyword&gt;&lt;keyword&gt;Humans&lt;/keyword&gt;&lt;keyword&gt;Pharmacoepidemiology/*statistics &amp;amp; numerical data&lt;/keyword&gt;&lt;keyword&gt;Risk&lt;/keyword&gt;&lt;keyword&gt;Sensitivity and Specificity&lt;/keyword&gt;&lt;/keywords&gt;&lt;dates&gt;&lt;year&gt;2006&lt;/year&gt;&lt;pub-dates&gt;&lt;date&gt;May&lt;/date&gt;&lt;/pub-dates&gt;&lt;/dates&gt;&lt;isbn&gt;1053-8569 (Print)&amp;#xD;1053-8569&lt;/isbn&gt;&lt;accession-num&gt;16447304&lt;/accession-num&gt;&lt;urls&gt;&lt;/urls&gt;&lt;electronic-resource-num&gt;10.1002/pds.1200&lt;/electronic-resource-num&gt;&lt;remote-database-provider&gt;NLM&lt;/remote-database-provider&gt;&lt;language&gt;eng&lt;/language&gt;&lt;/record&gt;&lt;/Cite&gt;&lt;/EndNote&gt;</w:instrText>
      </w:r>
      <w:r w:rsidR="00E769AC" w:rsidRPr="00BB54DF">
        <w:rPr>
          <w:rFonts w:cs="Arial"/>
        </w:rPr>
        <w:fldChar w:fldCharType="separate"/>
      </w:r>
      <w:r w:rsidR="00CC773B" w:rsidRPr="00BB54DF">
        <w:rPr>
          <w:rFonts w:cs="Arial"/>
          <w:noProof/>
        </w:rPr>
        <w:t>[22]</w:t>
      </w:r>
      <w:r w:rsidR="00E769AC" w:rsidRPr="00BB54DF">
        <w:rPr>
          <w:rFonts w:cs="Arial"/>
        </w:rPr>
        <w:fldChar w:fldCharType="end"/>
      </w:r>
      <w:r w:rsidR="00C379EC" w:rsidRPr="00BB54DF">
        <w:rPr>
          <w:rFonts w:cs="Arial"/>
        </w:rPr>
        <w:t xml:space="preserve"> </w:t>
      </w:r>
      <w:r w:rsidR="00074AC5" w:rsidRPr="00BB54DF">
        <w:rPr>
          <w:rFonts w:cs="Arial"/>
        </w:rPr>
        <w:t>for any significant result in CPRD</w:t>
      </w:r>
      <w:r w:rsidR="00C16597" w:rsidRPr="00BB54DF">
        <w:rPr>
          <w:rFonts w:cs="Arial"/>
        </w:rPr>
        <w:t>.</w:t>
      </w:r>
      <w:r w:rsidR="00074AC5" w:rsidRPr="00BB54DF">
        <w:rPr>
          <w:rFonts w:cs="Arial"/>
        </w:rPr>
        <w:t xml:space="preserve"> </w:t>
      </w:r>
      <w:r w:rsidR="00C16597" w:rsidRPr="00BB54DF">
        <w:rPr>
          <w:rFonts w:cs="Arial"/>
        </w:rPr>
        <w:t>T</w:t>
      </w:r>
      <w:r w:rsidR="003E7CB0" w:rsidRPr="00BB54DF">
        <w:rPr>
          <w:rFonts w:cs="Arial"/>
        </w:rPr>
        <w:t>he pe</w:t>
      </w:r>
      <w:r w:rsidR="00074AC5" w:rsidRPr="00BB54DF">
        <w:rPr>
          <w:rFonts w:cs="Arial"/>
        </w:rPr>
        <w:t xml:space="preserve">rcentage </w:t>
      </w:r>
      <w:r w:rsidR="004D6D9A" w:rsidRPr="00BB54DF">
        <w:rPr>
          <w:rFonts w:cs="Arial"/>
        </w:rPr>
        <w:t>unexposed</w:t>
      </w:r>
      <w:r w:rsidR="00074AC5" w:rsidRPr="00BB54DF">
        <w:rPr>
          <w:rFonts w:cs="Arial"/>
        </w:rPr>
        <w:t xml:space="preserve"> with the unmeasured confounder</w:t>
      </w:r>
      <w:r w:rsidR="00C16597" w:rsidRPr="00BB54DF">
        <w:rPr>
          <w:rFonts w:cs="Arial"/>
        </w:rPr>
        <w:t xml:space="preserve"> was</w:t>
      </w:r>
      <w:r w:rsidR="00074AC5" w:rsidRPr="00BB54DF">
        <w:rPr>
          <w:rFonts w:cs="Arial"/>
        </w:rPr>
        <w:t xml:space="preserve"> set at 3</w:t>
      </w:r>
      <w:r w:rsidR="00C42B20" w:rsidRPr="00BB54DF">
        <w:rPr>
          <w:rFonts w:cs="Arial"/>
        </w:rPr>
        <w:t>0</w:t>
      </w:r>
      <w:r w:rsidR="00074AC5" w:rsidRPr="00BB54DF">
        <w:rPr>
          <w:rFonts w:cs="Arial"/>
        </w:rPr>
        <w:t>%</w:t>
      </w:r>
      <w:r w:rsidR="006C73A0" w:rsidRPr="00BB54DF">
        <w:rPr>
          <w:rFonts w:cs="Arial"/>
        </w:rPr>
        <w:t>,</w:t>
      </w:r>
      <w:r w:rsidR="0096205B" w:rsidRPr="00BB54DF">
        <w:rPr>
          <w:rFonts w:cs="Arial"/>
        </w:rPr>
        <w:t xml:space="preserve"> based on unpublished data</w:t>
      </w:r>
      <w:r w:rsidR="00074AC5" w:rsidRPr="00BB54DF">
        <w:rPr>
          <w:rFonts w:cs="Arial"/>
        </w:rPr>
        <w:t>.</w:t>
      </w:r>
      <w:r w:rsidR="00CC6842" w:rsidRPr="00BB54DF">
        <w:rPr>
          <w:rFonts w:cs="Arial"/>
        </w:rPr>
        <w:t xml:space="preserve"> </w:t>
      </w:r>
      <w:r w:rsidR="004D6D9A" w:rsidRPr="00BB54DF">
        <w:rPr>
          <w:rFonts w:cs="Arial"/>
        </w:rPr>
        <w:t>The a</w:t>
      </w:r>
      <w:r w:rsidR="004B666C" w:rsidRPr="00BB54DF">
        <w:rPr>
          <w:rFonts w:cs="Arial"/>
        </w:rPr>
        <w:t>rray analysis</w:t>
      </w:r>
      <w:r w:rsidR="004D6D9A" w:rsidRPr="00BB54DF">
        <w:rPr>
          <w:rFonts w:cs="Arial"/>
        </w:rPr>
        <w:t xml:space="preserve"> </w:t>
      </w:r>
      <w:r w:rsidR="004B666C" w:rsidRPr="00BB54DF">
        <w:rPr>
          <w:rFonts w:cs="Arial"/>
        </w:rPr>
        <w:t xml:space="preserve">combined </w:t>
      </w:r>
      <w:r w:rsidR="004D6D9A" w:rsidRPr="00BB54DF">
        <w:rPr>
          <w:rFonts w:cs="Arial"/>
        </w:rPr>
        <w:t>a range</w:t>
      </w:r>
      <w:r w:rsidR="004B666C" w:rsidRPr="00BB54DF">
        <w:rPr>
          <w:rFonts w:cs="Arial"/>
        </w:rPr>
        <w:t xml:space="preserve"> of values for </w:t>
      </w:r>
      <w:r w:rsidR="004D6D9A" w:rsidRPr="00BB54DF">
        <w:rPr>
          <w:rFonts w:cs="Arial"/>
        </w:rPr>
        <w:t xml:space="preserve">the </w:t>
      </w:r>
      <w:r w:rsidR="004B666C" w:rsidRPr="00BB54DF">
        <w:rPr>
          <w:rFonts w:cs="Arial"/>
        </w:rPr>
        <w:t xml:space="preserve">unmeasured variable’s </w:t>
      </w:r>
      <w:r w:rsidR="004D6D9A" w:rsidRPr="00BB54DF">
        <w:rPr>
          <w:rFonts w:cs="Arial"/>
        </w:rPr>
        <w:t xml:space="preserve">exposed </w:t>
      </w:r>
      <w:r w:rsidR="004B666C" w:rsidRPr="00BB54DF">
        <w:rPr>
          <w:rFonts w:cs="Arial"/>
        </w:rPr>
        <w:t>prevalence</w:t>
      </w:r>
      <w:r w:rsidR="006C73A0" w:rsidRPr="00BB54DF">
        <w:rPr>
          <w:rFonts w:cs="Arial"/>
        </w:rPr>
        <w:t xml:space="preserve"> (</w:t>
      </w:r>
      <w:r w:rsidR="004D6D9A" w:rsidRPr="00BB54DF">
        <w:rPr>
          <w:rFonts w:cs="Arial"/>
        </w:rPr>
        <w:t xml:space="preserve">30% </w:t>
      </w:r>
      <w:r w:rsidR="006C73A0" w:rsidRPr="00BB54DF">
        <w:rPr>
          <w:rFonts w:cs="Arial"/>
        </w:rPr>
        <w:t xml:space="preserve">to </w:t>
      </w:r>
      <w:r w:rsidR="004D6D9A" w:rsidRPr="00BB54DF">
        <w:rPr>
          <w:rFonts w:cs="Arial"/>
        </w:rPr>
        <w:t>80%</w:t>
      </w:r>
      <w:r w:rsidR="006C73A0" w:rsidRPr="00BB54DF">
        <w:rPr>
          <w:rFonts w:cs="Arial"/>
        </w:rPr>
        <w:t>)</w:t>
      </w:r>
      <w:r w:rsidR="004B666C" w:rsidRPr="00BB54DF">
        <w:rPr>
          <w:rFonts w:cs="Arial"/>
        </w:rPr>
        <w:t xml:space="preserve"> and </w:t>
      </w:r>
      <w:r w:rsidR="006C73A0" w:rsidRPr="00BB54DF">
        <w:rPr>
          <w:rFonts w:cs="Arial"/>
        </w:rPr>
        <w:t xml:space="preserve">the </w:t>
      </w:r>
      <w:r w:rsidR="004B666C" w:rsidRPr="00BB54DF">
        <w:rPr>
          <w:rFonts w:cs="Arial"/>
        </w:rPr>
        <w:t>association with the study outcome</w:t>
      </w:r>
      <w:r w:rsidR="003953D0" w:rsidRPr="00BB54DF">
        <w:rPr>
          <w:rFonts w:cs="Arial"/>
        </w:rPr>
        <w:t xml:space="preserve"> (1.0 to 3.0)</w:t>
      </w:r>
      <w:r w:rsidR="004B666C" w:rsidRPr="00BB54DF">
        <w:rPr>
          <w:rFonts w:cs="Arial"/>
        </w:rPr>
        <w:t xml:space="preserve"> to adjust the main (estimated) treatment effect size. </w:t>
      </w:r>
    </w:p>
    <w:p w14:paraId="343327CA" w14:textId="25EEF37F" w:rsidR="0057473C" w:rsidRPr="00BB54DF" w:rsidRDefault="00C6172A" w:rsidP="00380B92">
      <w:pPr>
        <w:spacing w:line="360" w:lineRule="auto"/>
        <w:jc w:val="both"/>
        <w:rPr>
          <w:rFonts w:cs="Arial"/>
        </w:rPr>
      </w:pPr>
      <w:r w:rsidRPr="00BB54DF">
        <w:rPr>
          <w:rFonts w:cs="Arial"/>
        </w:rPr>
        <w:t xml:space="preserve">Data </w:t>
      </w:r>
      <w:r w:rsidR="00E80DA5" w:rsidRPr="00BB54DF">
        <w:rPr>
          <w:rFonts w:cs="Arial"/>
        </w:rPr>
        <w:t>were</w:t>
      </w:r>
      <w:r w:rsidRPr="00BB54DF">
        <w:rPr>
          <w:rFonts w:cs="Arial"/>
        </w:rPr>
        <w:t xml:space="preserve"> analysed in R version 3</w:t>
      </w:r>
      <w:r w:rsidR="00EC47FC" w:rsidRPr="00BB54DF">
        <w:rPr>
          <w:rFonts w:cs="Arial"/>
        </w:rPr>
        <w:t>.</w:t>
      </w:r>
      <w:r w:rsidRPr="00BB54DF">
        <w:rPr>
          <w:rFonts w:cs="Arial"/>
        </w:rPr>
        <w:t>3</w:t>
      </w:r>
      <w:r w:rsidR="00EC47FC" w:rsidRPr="00BB54DF">
        <w:rPr>
          <w:rFonts w:cs="Arial"/>
        </w:rPr>
        <w:t>.</w:t>
      </w:r>
      <w:r w:rsidRPr="00BB54DF">
        <w:rPr>
          <w:rFonts w:cs="Arial"/>
        </w:rPr>
        <w:t xml:space="preserve">2 (CPRD) and </w:t>
      </w:r>
      <w:r w:rsidR="00C16597" w:rsidRPr="00BB54DF">
        <w:rPr>
          <w:rFonts w:cs="Arial"/>
        </w:rPr>
        <w:t>3</w:t>
      </w:r>
      <w:r w:rsidR="00EC47FC" w:rsidRPr="00BB54DF">
        <w:rPr>
          <w:rFonts w:cs="Arial"/>
        </w:rPr>
        <w:t>.</w:t>
      </w:r>
      <w:r w:rsidR="00D17FCA" w:rsidRPr="00BB54DF">
        <w:rPr>
          <w:rFonts w:cs="Arial"/>
        </w:rPr>
        <w:t>5</w:t>
      </w:r>
      <w:r w:rsidR="00EC47FC" w:rsidRPr="00BB54DF">
        <w:rPr>
          <w:rFonts w:cs="Arial"/>
        </w:rPr>
        <w:t>.</w:t>
      </w:r>
      <w:r w:rsidR="00D17FCA" w:rsidRPr="00BB54DF">
        <w:rPr>
          <w:rFonts w:cs="Arial"/>
        </w:rPr>
        <w:t xml:space="preserve">1 </w:t>
      </w:r>
      <w:r w:rsidRPr="00BB54DF">
        <w:rPr>
          <w:rFonts w:cs="Arial"/>
        </w:rPr>
        <w:t xml:space="preserve">(SIDIAP). </w:t>
      </w:r>
      <w:r w:rsidR="00C16597" w:rsidRPr="00BB54DF">
        <w:rPr>
          <w:rFonts w:cs="Arial"/>
        </w:rPr>
        <w:t>P</w:t>
      </w:r>
      <w:r w:rsidRPr="00BB54DF">
        <w:rPr>
          <w:rFonts w:cs="Arial"/>
        </w:rPr>
        <w:t>ackages</w:t>
      </w:r>
      <w:r w:rsidR="00C16597" w:rsidRPr="00BB54DF">
        <w:rPr>
          <w:rFonts w:cs="Arial"/>
        </w:rPr>
        <w:t xml:space="preserve"> used include</w:t>
      </w:r>
      <w:r w:rsidR="00CE7D71" w:rsidRPr="00BB54DF">
        <w:rPr>
          <w:rFonts w:cs="Arial"/>
        </w:rPr>
        <w:t>d</w:t>
      </w:r>
      <w:r w:rsidRPr="00BB54DF">
        <w:rPr>
          <w:rFonts w:cs="Arial"/>
        </w:rPr>
        <w:t xml:space="preserve"> mice</w:t>
      </w:r>
      <w:r w:rsidR="00A57008" w:rsidRPr="00BB54DF">
        <w:rPr>
          <w:rFonts w:cs="Arial"/>
        </w:rPr>
        <w:fldChar w:fldCharType="begin"/>
      </w:r>
      <w:r w:rsidR="00CC773B" w:rsidRPr="00BB54DF">
        <w:rPr>
          <w:rFonts w:cs="Arial"/>
        </w:rPr>
        <w:instrText xml:space="preserve"> ADDIN EN.CITE &lt;EndNote&gt;&lt;Cite&gt;&lt;Author&gt;van Buuren&lt;/Author&gt;&lt;Year&gt;2011&lt;/Year&gt;&lt;RecNum&gt;56&lt;/RecNum&gt;&lt;DisplayText&gt;[23]&lt;/DisplayText&gt;&lt;record&gt;&lt;rec-number&gt;56&lt;/rec-number&gt;&lt;foreign-keys&gt;&lt;key app="EN" db-id="pwdswvde6sasexe5rx9p90509rsftz22fdv9" timestamp="0"&gt;56&lt;/key&gt;&lt;/foreign-keys&gt;&lt;ref-type name="Journal Article"&gt;17&lt;/ref-type&gt;&lt;contributors&gt;&lt;authors&gt;&lt;author&gt;van Buuren, Stef  &lt;/author&gt;&lt;author&gt;Groothuis-Oudshoorn, Karin &lt;/author&gt;&lt;/authors&gt;&lt;/contributors&gt;&lt;titles&gt;&lt;title&gt;mice: Multivariate Imputation by Chained Equations &lt;/title&gt;&lt;secondary-title&gt;R. Journal of Statistical Software&lt;/secondary-title&gt;&lt;/titles&gt;&lt;pages&gt;1-67&lt;/pages&gt;&lt;volume&gt;45&lt;/volume&gt;&lt;number&gt;3&lt;/number&gt;&lt;dates&gt;&lt;year&gt;2011&lt;/year&gt;&lt;/dates&gt;&lt;urls&gt;&lt;related-urls&gt;&lt;url&gt;https://www.jstatsoft.org/v45/i03/.&lt;/url&gt;&lt;/related-urls&gt;&lt;/urls&gt;&lt;/record&gt;&lt;/Cite&gt;&lt;/EndNote&gt;</w:instrText>
      </w:r>
      <w:r w:rsidR="00A57008" w:rsidRPr="00BB54DF">
        <w:rPr>
          <w:rFonts w:cs="Arial"/>
        </w:rPr>
        <w:fldChar w:fldCharType="separate"/>
      </w:r>
      <w:r w:rsidR="00CC773B" w:rsidRPr="00BB54DF">
        <w:rPr>
          <w:rFonts w:cs="Arial"/>
          <w:noProof/>
        </w:rPr>
        <w:t>[23]</w:t>
      </w:r>
      <w:r w:rsidR="00A57008" w:rsidRPr="00BB54DF">
        <w:rPr>
          <w:rFonts w:cs="Arial"/>
        </w:rPr>
        <w:fldChar w:fldCharType="end"/>
      </w:r>
      <w:r w:rsidRPr="00BB54DF">
        <w:rPr>
          <w:rFonts w:cs="Arial"/>
        </w:rPr>
        <w:t xml:space="preserve">, </w:t>
      </w:r>
      <w:proofErr w:type="spellStart"/>
      <w:r w:rsidRPr="00BB54DF">
        <w:rPr>
          <w:rFonts w:cs="Arial"/>
        </w:rPr>
        <w:t>MatchIT</w:t>
      </w:r>
      <w:proofErr w:type="spellEnd"/>
      <w:r w:rsidR="00CF7378" w:rsidRPr="00BB54DF">
        <w:rPr>
          <w:rFonts w:cs="Arial"/>
        </w:rPr>
        <w:fldChar w:fldCharType="begin"/>
      </w:r>
      <w:r w:rsidR="00CC773B" w:rsidRPr="00BB54DF">
        <w:rPr>
          <w:rFonts w:cs="Arial"/>
        </w:rPr>
        <w:instrText xml:space="preserve"> ADDIN EN.CITE &lt;EndNote&gt;&lt;Cite&gt;&lt;Author&gt;Daniel E. Ho&lt;/Author&gt;&lt;Year&gt;2011&lt;/Year&gt;&lt;RecNum&gt;57&lt;/RecNum&gt;&lt;DisplayText&gt;[24]&lt;/DisplayText&gt;&lt;record&gt;&lt;rec-number&gt;57&lt;/rec-number&gt;&lt;foreign-keys&gt;&lt;key app="EN" db-id="pwdswvde6sasexe5rx9p90509rsftz22fdv9" timestamp="0"&gt;57&lt;/key&gt;&lt;/foreign-keys&gt;&lt;ref-type name="Journal Article"&gt;17&lt;/ref-type&gt;&lt;contributors&gt;&lt;authors&gt;&lt;author&gt;Daniel E. Ho,&lt;/author&gt;&lt;author&gt;Kosuke Imai, &lt;/author&gt;&lt;author&gt;Gary King, &lt;/author&gt;&lt;author&gt;Elizabeth A. Stuart &lt;/author&gt;&lt;/authors&gt;&lt;/contributors&gt;&lt;titles&gt;&lt;title&gt;MatchIt: Nonparametric Preprocessing for Parametric Causal Inference.&lt;/title&gt;&lt;secondary-title&gt;Journal of Statistical Software&lt;/secondary-title&gt;&lt;/titles&gt;&lt;pages&gt;1-28&lt;/pages&gt;&lt;volume&gt;42&lt;/volume&gt;&lt;number&gt;8&lt;/number&gt;&lt;dates&gt;&lt;year&gt;2011&lt;/year&gt;&lt;/dates&gt;&lt;urls&gt;&lt;related-urls&gt;&lt;url&gt;http://www.jstatsoft.org/v42/i08/&lt;/url&gt;&lt;/related-urls&gt;&lt;/urls&gt;&lt;/record&gt;&lt;/Cite&gt;&lt;/EndNote&gt;</w:instrText>
      </w:r>
      <w:r w:rsidR="00CF7378" w:rsidRPr="00BB54DF">
        <w:rPr>
          <w:rFonts w:cs="Arial"/>
        </w:rPr>
        <w:fldChar w:fldCharType="separate"/>
      </w:r>
      <w:r w:rsidR="00CC773B" w:rsidRPr="00BB54DF">
        <w:rPr>
          <w:rFonts w:cs="Arial"/>
          <w:noProof/>
        </w:rPr>
        <w:t>[24]</w:t>
      </w:r>
      <w:r w:rsidR="00CF7378" w:rsidRPr="00BB54DF">
        <w:rPr>
          <w:rFonts w:cs="Arial"/>
        </w:rPr>
        <w:fldChar w:fldCharType="end"/>
      </w:r>
      <w:r w:rsidR="00C16597" w:rsidRPr="00BB54DF">
        <w:rPr>
          <w:rFonts w:cs="Arial"/>
        </w:rPr>
        <w:t>,</w:t>
      </w:r>
      <w:r w:rsidRPr="00BB54DF">
        <w:rPr>
          <w:rFonts w:cs="Arial"/>
        </w:rPr>
        <w:t xml:space="preserve"> survival</w:t>
      </w:r>
      <w:r w:rsidR="00CF7378" w:rsidRPr="00BB54DF">
        <w:rPr>
          <w:rFonts w:cs="Arial"/>
        </w:rPr>
        <w:fldChar w:fldCharType="begin"/>
      </w:r>
      <w:r w:rsidR="00CC773B" w:rsidRPr="00BB54DF">
        <w:rPr>
          <w:rFonts w:cs="Arial"/>
        </w:rPr>
        <w:instrText xml:space="preserve"> ADDIN EN.CITE &lt;EndNote&gt;&lt;Cite&gt;&lt;Author&gt;Therneau&lt;/Author&gt;&lt;Year&gt;2015&lt;/Year&gt;&lt;RecNum&gt;58&lt;/RecNum&gt;&lt;DisplayText&gt;[25]&lt;/DisplayText&gt;&lt;record&gt;&lt;rec-number&gt;58&lt;/rec-number&gt;&lt;foreign-keys&gt;&lt;key app="EN" db-id="pwdswvde6sasexe5rx9p90509rsftz22fdv9" timestamp="0"&gt;58&lt;/key&gt;&lt;/foreign-keys&gt;&lt;ref-type name="Computer Program"&gt;9&lt;/ref-type&gt;&lt;contributors&gt;&lt;authors&gt;&lt;author&gt;T Therneau&lt;/author&gt;&lt;/authors&gt;&lt;/contributors&gt;&lt;titles&gt;&lt;title&gt;A Package for Survival Analysis in S&lt;/title&gt;&lt;/titles&gt;&lt;edition&gt;2.38&lt;/edition&gt;&lt;dates&gt;&lt;year&gt;2015&lt;/year&gt;&lt;/dates&gt;&lt;urls&gt;&lt;related-urls&gt;&lt;url&gt;https://CRAN.R-project.org/package=survival&amp;gt;&lt;/url&gt;&lt;/related-urls&gt;&lt;/urls&gt;&lt;/record&gt;&lt;/Cite&gt;&lt;/EndNote&gt;</w:instrText>
      </w:r>
      <w:r w:rsidR="00CF7378" w:rsidRPr="00BB54DF">
        <w:rPr>
          <w:rFonts w:cs="Arial"/>
        </w:rPr>
        <w:fldChar w:fldCharType="separate"/>
      </w:r>
      <w:r w:rsidR="00CC773B" w:rsidRPr="00BB54DF">
        <w:rPr>
          <w:rFonts w:cs="Arial"/>
          <w:noProof/>
        </w:rPr>
        <w:t>[25]</w:t>
      </w:r>
      <w:r w:rsidR="00CF7378" w:rsidRPr="00BB54DF">
        <w:rPr>
          <w:rFonts w:cs="Arial"/>
        </w:rPr>
        <w:fldChar w:fldCharType="end"/>
      </w:r>
      <w:r w:rsidR="006C73A0" w:rsidRPr="00BB54DF">
        <w:rPr>
          <w:rFonts w:cs="Arial"/>
        </w:rPr>
        <w:t>,</w:t>
      </w:r>
      <w:r w:rsidR="00B61BE6" w:rsidRPr="00BB54DF">
        <w:rPr>
          <w:rFonts w:cs="Arial"/>
        </w:rPr>
        <w:t xml:space="preserve"> and</w:t>
      </w:r>
      <w:r w:rsidR="00C16597" w:rsidRPr="00BB54DF">
        <w:rPr>
          <w:rFonts w:cs="Arial"/>
        </w:rPr>
        <w:t xml:space="preserve"> </w:t>
      </w:r>
      <w:proofErr w:type="spellStart"/>
      <w:r w:rsidRPr="00BB54DF">
        <w:rPr>
          <w:rFonts w:cs="Arial"/>
        </w:rPr>
        <w:t>survminer</w:t>
      </w:r>
      <w:proofErr w:type="spellEnd"/>
      <w:r w:rsidR="005A416E" w:rsidRPr="00BB54DF">
        <w:rPr>
          <w:rFonts w:cs="Arial"/>
        </w:rPr>
        <w:fldChar w:fldCharType="begin"/>
      </w:r>
      <w:r w:rsidR="00CC773B" w:rsidRPr="00BB54DF">
        <w:rPr>
          <w:rFonts w:cs="Arial"/>
        </w:rPr>
        <w:instrText xml:space="preserve"> ADDIN EN.CITE &lt;EndNote&gt;&lt;Cite&gt;&lt;Author&gt;Alboukadel Kassambara&lt;/Author&gt;&lt;Year&gt;2018&lt;/Year&gt;&lt;RecNum&gt;60&lt;/RecNum&gt;&lt;DisplayText&gt;[26]&lt;/DisplayText&gt;&lt;record&gt;&lt;rec-number&gt;60&lt;/rec-number&gt;&lt;foreign-keys&gt;&lt;key app="EN" db-id="pwdswvde6sasexe5rx9p90509rsftz22fdv9" timestamp="0"&gt;60&lt;/key&gt;&lt;/foreign-keys&gt;&lt;ref-type name="Computer Program"&gt;9&lt;/ref-type&gt;&lt;contributors&gt;&lt;authors&gt;&lt;author&gt;Alboukadel Kassambara,&lt;/author&gt;&lt;author&gt;Marcin Kosinski,&lt;/author&gt;&lt;/authors&gt;&lt;/contributors&gt;&lt;titles&gt;&lt;title&gt;survminer: Drawing Survival Curves using &amp;apos;ggplot2&amp;apos;&lt;/title&gt;&lt;/titles&gt;&lt;edition&gt;0.4.3&lt;/edition&gt;&lt;dates&gt;&lt;year&gt;2018&lt;/year&gt;&lt;/dates&gt;&lt;pub-location&gt;R&lt;/pub-location&gt;&lt;urls&gt;&lt;related-urls&gt;&lt;url&gt;https://CRAN.R-project.org/package=survminer&lt;/url&gt;&lt;/related-urls&gt;&lt;/urls&gt;&lt;/record&gt;&lt;/Cite&gt;&lt;/EndNote&gt;</w:instrText>
      </w:r>
      <w:r w:rsidR="005A416E" w:rsidRPr="00BB54DF">
        <w:rPr>
          <w:rFonts w:cs="Arial"/>
        </w:rPr>
        <w:fldChar w:fldCharType="separate"/>
      </w:r>
      <w:r w:rsidR="00CC773B" w:rsidRPr="00BB54DF">
        <w:rPr>
          <w:rFonts w:cs="Arial"/>
          <w:noProof/>
        </w:rPr>
        <w:t>[26]</w:t>
      </w:r>
      <w:r w:rsidR="005A416E" w:rsidRPr="00BB54DF">
        <w:rPr>
          <w:rFonts w:cs="Arial"/>
        </w:rPr>
        <w:fldChar w:fldCharType="end"/>
      </w:r>
      <w:r w:rsidR="00380B92" w:rsidRPr="00BB54DF">
        <w:rPr>
          <w:rFonts w:cs="Arial"/>
        </w:rPr>
        <w:t>.</w:t>
      </w:r>
    </w:p>
    <w:p w14:paraId="13765AE5" w14:textId="77777777" w:rsidR="005B7C77" w:rsidRPr="00BB54DF" w:rsidRDefault="0057473C" w:rsidP="00380B92">
      <w:pPr>
        <w:spacing w:line="360" w:lineRule="auto"/>
        <w:jc w:val="both"/>
        <w:rPr>
          <w:rFonts w:cs="Arial"/>
        </w:rPr>
      </w:pPr>
      <w:r w:rsidRPr="00BB54DF">
        <w:rPr>
          <w:rFonts w:cs="Arial"/>
        </w:rPr>
        <w:t xml:space="preserve">The reporting guidelines of STROBE were followed when writing this paper. </w:t>
      </w:r>
    </w:p>
    <w:p w14:paraId="3E89AFB3" w14:textId="6A8E7163" w:rsidR="005B7C77" w:rsidRPr="00BB54DF" w:rsidRDefault="005B7C77" w:rsidP="005B7C77">
      <w:pPr>
        <w:rPr>
          <w:rFonts w:cs="Arial"/>
        </w:rPr>
      </w:pPr>
      <w:r w:rsidRPr="00BB54DF">
        <w:rPr>
          <w:rFonts w:cs="Arial"/>
          <w:b/>
        </w:rPr>
        <w:t>Funding</w:t>
      </w:r>
    </w:p>
    <w:p w14:paraId="43263BD2" w14:textId="33723D1A" w:rsidR="005B7C77" w:rsidRPr="00BB54DF" w:rsidRDefault="005B7C77" w:rsidP="005B7C77">
      <w:pPr>
        <w:spacing w:line="360" w:lineRule="auto"/>
        <w:jc w:val="both"/>
        <w:rPr>
          <w:rFonts w:cs="Arial"/>
          <w:b/>
        </w:rPr>
      </w:pPr>
      <w:r w:rsidRPr="00BB54DF">
        <w:rPr>
          <w:rFonts w:cs="Arial"/>
        </w:rPr>
        <w:t xml:space="preserve">Funding was provided by the National Institute of Health Research Health Technology Assessment project number 14/36/02. The project was partially funded by CIBERFES, Instituto Carlos III, Spain. JP and MJP-S are supported by </w:t>
      </w:r>
      <w:r w:rsidRPr="00BB54DF">
        <w:rPr>
          <w:rFonts w:cs="Arial"/>
          <w:lang w:val="en-US"/>
        </w:rPr>
        <w:t>PI1</w:t>
      </w:r>
      <w:r w:rsidR="00CC773B" w:rsidRPr="00BB54DF">
        <w:rPr>
          <w:rFonts w:cs="Arial"/>
          <w:lang w:val="en-US"/>
        </w:rPr>
        <w:t>9</w:t>
      </w:r>
      <w:r w:rsidRPr="00BB54DF">
        <w:rPr>
          <w:rFonts w:cs="Arial"/>
          <w:lang w:val="en-US"/>
        </w:rPr>
        <w:t>/0</w:t>
      </w:r>
      <w:r w:rsidR="00CC773B" w:rsidRPr="00BB54DF">
        <w:rPr>
          <w:rFonts w:cs="Arial"/>
          <w:lang w:val="en-US"/>
        </w:rPr>
        <w:t>0037</w:t>
      </w:r>
      <w:r w:rsidRPr="00BB54DF">
        <w:rPr>
          <w:rFonts w:cs="Arial"/>
          <w:lang w:val="en-US"/>
        </w:rPr>
        <w:t xml:space="preserve"> (Spanish Ministry of Health ISCIII FIS-FEDER) and RD16/0009/0013 (ISCIII FEDER </w:t>
      </w:r>
      <w:proofErr w:type="spellStart"/>
      <w:r w:rsidRPr="00BB54DF">
        <w:rPr>
          <w:rFonts w:cs="Arial"/>
          <w:lang w:val="en-US"/>
        </w:rPr>
        <w:t>RedinRen</w:t>
      </w:r>
      <w:proofErr w:type="spellEnd"/>
      <w:r w:rsidRPr="00BB54DF">
        <w:rPr>
          <w:rFonts w:cs="Arial"/>
          <w:lang w:val="en-US"/>
        </w:rPr>
        <w:t>). This work was supported by the NIHR Biomedical Research Centre, Oxford.</w:t>
      </w:r>
      <w:r w:rsidR="001904EF" w:rsidRPr="00BB54DF">
        <w:rPr>
          <w:rFonts w:cs="Arial"/>
          <w:lang w:val="en-US"/>
        </w:rPr>
        <w:t xml:space="preserve"> AJ was supported by the NIHR Biomedical Research Centre at University Hospitals </w:t>
      </w:r>
      <w:proofErr w:type="spellStart"/>
      <w:r w:rsidR="001904EF" w:rsidRPr="00BB54DF">
        <w:rPr>
          <w:rFonts w:cs="Arial"/>
          <w:lang w:val="en-US"/>
        </w:rPr>
        <w:t>BristolandWestonNHS</w:t>
      </w:r>
      <w:proofErr w:type="spellEnd"/>
      <w:r w:rsidR="001904EF" w:rsidRPr="00BB54DF">
        <w:rPr>
          <w:rFonts w:cs="Arial"/>
          <w:lang w:val="en-US"/>
        </w:rPr>
        <w:t xml:space="preserve"> Foundation Trust and the University of Bristol.</w:t>
      </w:r>
    </w:p>
    <w:p w14:paraId="3480451A" w14:textId="77777777" w:rsidR="005B7C77" w:rsidRPr="00BB54DF" w:rsidRDefault="005B7C77" w:rsidP="00380B92">
      <w:pPr>
        <w:spacing w:line="360" w:lineRule="auto"/>
        <w:jc w:val="both"/>
        <w:rPr>
          <w:rFonts w:cs="Arial"/>
          <w:b/>
        </w:rPr>
      </w:pPr>
      <w:r w:rsidRPr="00BB54DF">
        <w:rPr>
          <w:rFonts w:cs="Arial"/>
          <w:b/>
        </w:rPr>
        <w:t>Role of the funding source</w:t>
      </w:r>
    </w:p>
    <w:p w14:paraId="72B9F634" w14:textId="4891469C" w:rsidR="00F90C68" w:rsidRPr="00BB54DF" w:rsidRDefault="005B7C77" w:rsidP="00380B92">
      <w:pPr>
        <w:spacing w:line="360" w:lineRule="auto"/>
        <w:jc w:val="both"/>
        <w:rPr>
          <w:rFonts w:cs="Arial"/>
        </w:rPr>
      </w:pPr>
      <w:r w:rsidRPr="00BB54DF">
        <w:rPr>
          <w:rFonts w:cs="Arial"/>
        </w:rPr>
        <w:t>No funder was directly involved in any aspect of this work. The views expressed are those of the authors and not necessarily those of the NHS, the NIHR or the Department of Health and Social Care</w:t>
      </w:r>
      <w:r w:rsidRPr="00BB54DF">
        <w:rPr>
          <w:rFonts w:cs="Arial"/>
          <w:b/>
        </w:rPr>
        <w:t>.</w:t>
      </w:r>
      <w:r w:rsidR="00F90C68" w:rsidRPr="00BB54DF">
        <w:rPr>
          <w:rFonts w:cs="Arial"/>
          <w:b/>
        </w:rPr>
        <w:br w:type="page"/>
      </w:r>
    </w:p>
    <w:p w14:paraId="63272951" w14:textId="73D4E13E" w:rsidR="00E364C9" w:rsidRPr="00BB54DF" w:rsidRDefault="001C7FF5" w:rsidP="00605BDA">
      <w:pPr>
        <w:spacing w:line="360" w:lineRule="auto"/>
        <w:jc w:val="both"/>
        <w:outlineLvl w:val="0"/>
        <w:rPr>
          <w:rFonts w:cs="Arial"/>
          <w:b/>
        </w:rPr>
      </w:pPr>
      <w:r w:rsidRPr="00BB54DF">
        <w:rPr>
          <w:rFonts w:cs="Arial"/>
          <w:b/>
        </w:rPr>
        <w:lastRenderedPageBreak/>
        <w:t>RESULTS</w:t>
      </w:r>
    </w:p>
    <w:p w14:paraId="04AB8623" w14:textId="18D2F198" w:rsidR="00DC4201" w:rsidRPr="00BB54DF" w:rsidRDefault="000D09E1" w:rsidP="00E33A7D">
      <w:pPr>
        <w:spacing w:line="360" w:lineRule="auto"/>
        <w:jc w:val="both"/>
        <w:rPr>
          <w:rFonts w:cs="Arial"/>
        </w:rPr>
      </w:pPr>
      <w:r w:rsidRPr="00BB54DF">
        <w:rPr>
          <w:rFonts w:cs="Arial"/>
        </w:rPr>
        <w:t xml:space="preserve">We identified </w:t>
      </w:r>
      <w:r w:rsidR="00E9662B" w:rsidRPr="00BB54DF">
        <w:rPr>
          <w:rFonts w:cs="Arial"/>
        </w:rPr>
        <w:t>217,405 patients with an eGFR ≤ 45</w:t>
      </w:r>
      <w:r w:rsidR="004A4570" w:rsidRPr="00BB54DF">
        <w:rPr>
          <w:rFonts w:cs="Arial"/>
        </w:rPr>
        <w:t xml:space="preserve"> </w:t>
      </w:r>
      <w:r w:rsidR="009E41EB" w:rsidRPr="00BB54DF">
        <w:rPr>
          <w:rFonts w:cs="Arial"/>
        </w:rPr>
        <w:t>ml/min/1</w:t>
      </w:r>
      <w:r w:rsidR="00EC47FC" w:rsidRPr="00BB54DF">
        <w:rPr>
          <w:rFonts w:cs="Arial"/>
        </w:rPr>
        <w:t>.</w:t>
      </w:r>
      <w:r w:rsidR="009E41EB" w:rsidRPr="00BB54DF">
        <w:rPr>
          <w:rFonts w:cs="Arial"/>
        </w:rPr>
        <w:t>73m</w:t>
      </w:r>
      <w:r w:rsidR="009E41EB" w:rsidRPr="00BB54DF">
        <w:rPr>
          <w:rFonts w:cs="Arial"/>
          <w:vertAlign w:val="superscript"/>
        </w:rPr>
        <w:t>2</w:t>
      </w:r>
      <w:r w:rsidRPr="00BB54DF">
        <w:rPr>
          <w:rFonts w:cs="Arial"/>
        </w:rPr>
        <w:t xml:space="preserve"> </w:t>
      </w:r>
      <w:r w:rsidR="00E9662B" w:rsidRPr="00BB54DF">
        <w:rPr>
          <w:rFonts w:cs="Arial"/>
        </w:rPr>
        <w:t xml:space="preserve">in CPRD, </w:t>
      </w:r>
      <w:r w:rsidR="00E80DA5" w:rsidRPr="00BB54DF">
        <w:rPr>
          <w:rFonts w:cs="Arial"/>
        </w:rPr>
        <w:t>of</w:t>
      </w:r>
      <w:r w:rsidR="00B14BB2" w:rsidRPr="00BB54DF">
        <w:rPr>
          <w:rFonts w:cs="Arial"/>
        </w:rPr>
        <w:t xml:space="preserve"> </w:t>
      </w:r>
      <w:r w:rsidR="00E507DF" w:rsidRPr="00BB54DF">
        <w:rPr>
          <w:rFonts w:cs="Arial"/>
        </w:rPr>
        <w:t>whom</w:t>
      </w:r>
      <w:r w:rsidR="00B14BB2" w:rsidRPr="00BB54DF">
        <w:rPr>
          <w:rFonts w:cs="Arial"/>
        </w:rPr>
        <w:t xml:space="preserve"> </w:t>
      </w:r>
      <w:r w:rsidR="00076732" w:rsidRPr="00BB54DF">
        <w:rPr>
          <w:rFonts w:cs="Arial"/>
        </w:rPr>
        <w:t>53,986</w:t>
      </w:r>
      <w:r w:rsidR="00DC4201" w:rsidRPr="00BB54DF">
        <w:rPr>
          <w:rFonts w:cs="Arial"/>
        </w:rPr>
        <w:t xml:space="preserve"> patients </w:t>
      </w:r>
      <w:r w:rsidR="0086388B" w:rsidRPr="00BB54DF">
        <w:rPr>
          <w:rFonts w:cs="Arial"/>
        </w:rPr>
        <w:t>contribut</w:t>
      </w:r>
      <w:r w:rsidR="00E80DA5" w:rsidRPr="00BB54DF">
        <w:rPr>
          <w:rFonts w:cs="Arial"/>
        </w:rPr>
        <w:t>ed</w:t>
      </w:r>
      <w:r w:rsidR="0086388B" w:rsidRPr="00BB54DF">
        <w:rPr>
          <w:rFonts w:cs="Arial"/>
        </w:rPr>
        <w:t xml:space="preserve"> unexposed time and </w:t>
      </w:r>
      <w:r w:rsidR="00076732" w:rsidRPr="00BB54DF">
        <w:rPr>
          <w:rFonts w:cs="Arial"/>
        </w:rPr>
        <w:t>2,613</w:t>
      </w:r>
      <w:r w:rsidR="00DC4201" w:rsidRPr="00BB54DF">
        <w:rPr>
          <w:rFonts w:cs="Arial"/>
        </w:rPr>
        <w:t xml:space="preserve"> bisphosphonate</w:t>
      </w:r>
      <w:r w:rsidR="0086388B" w:rsidRPr="00BB54DF">
        <w:rPr>
          <w:rFonts w:cs="Arial"/>
        </w:rPr>
        <w:t xml:space="preserve"> exposure</w:t>
      </w:r>
      <w:r w:rsidR="0094458E" w:rsidRPr="00BB54DF">
        <w:rPr>
          <w:rFonts w:cs="Arial"/>
        </w:rPr>
        <w:t xml:space="preserve"> time</w:t>
      </w:r>
      <w:r w:rsidR="00DC4201" w:rsidRPr="00BB54DF">
        <w:rPr>
          <w:rFonts w:cs="Arial"/>
        </w:rPr>
        <w:t xml:space="preserve">. </w:t>
      </w:r>
      <w:r w:rsidR="0094458E" w:rsidRPr="00BB54DF">
        <w:rPr>
          <w:rFonts w:cs="Arial"/>
        </w:rPr>
        <w:t xml:space="preserve">We identified </w:t>
      </w:r>
      <w:r w:rsidR="00B57226" w:rsidRPr="00BB54DF">
        <w:rPr>
          <w:rFonts w:cs="Arial"/>
        </w:rPr>
        <w:t>40,800</w:t>
      </w:r>
      <w:r w:rsidR="00DC4201" w:rsidRPr="00BB54DF">
        <w:rPr>
          <w:rFonts w:cs="Arial"/>
        </w:rPr>
        <w:t xml:space="preserve"> </w:t>
      </w:r>
      <w:r w:rsidR="0038363D" w:rsidRPr="00BB54DF">
        <w:rPr>
          <w:rFonts w:cs="Arial"/>
        </w:rPr>
        <w:t xml:space="preserve">unexposed </w:t>
      </w:r>
      <w:r w:rsidR="001D03BB" w:rsidRPr="00BB54DF">
        <w:rPr>
          <w:rFonts w:cs="Arial"/>
        </w:rPr>
        <w:t>a</w:t>
      </w:r>
      <w:r w:rsidR="00DC4201" w:rsidRPr="00BB54DF">
        <w:rPr>
          <w:rFonts w:cs="Arial"/>
        </w:rPr>
        <w:t xml:space="preserve">nd </w:t>
      </w:r>
      <w:r w:rsidR="00B57226" w:rsidRPr="00BB54DF">
        <w:rPr>
          <w:rFonts w:cs="Arial"/>
        </w:rPr>
        <w:t>1,408</w:t>
      </w:r>
      <w:r w:rsidR="00DC4201" w:rsidRPr="00BB54DF">
        <w:rPr>
          <w:rFonts w:cs="Arial"/>
        </w:rPr>
        <w:t xml:space="preserve"> </w:t>
      </w:r>
      <w:r w:rsidR="004D6D9A" w:rsidRPr="00BB54DF">
        <w:rPr>
          <w:rFonts w:cs="Arial"/>
        </w:rPr>
        <w:t>exposed</w:t>
      </w:r>
      <w:r w:rsidR="0094458E" w:rsidRPr="00BB54DF">
        <w:rPr>
          <w:rFonts w:cs="Arial"/>
        </w:rPr>
        <w:t xml:space="preserve"> </w:t>
      </w:r>
      <w:r w:rsidR="004D6D9A" w:rsidRPr="00BB54DF">
        <w:rPr>
          <w:rFonts w:cs="Arial"/>
        </w:rPr>
        <w:t xml:space="preserve">patients </w:t>
      </w:r>
      <w:r w:rsidR="0094458E" w:rsidRPr="00BB54DF">
        <w:rPr>
          <w:rFonts w:cs="Arial"/>
        </w:rPr>
        <w:t>in SIDIAP</w:t>
      </w:r>
      <w:r w:rsidR="00DC4201" w:rsidRPr="00BB54DF">
        <w:rPr>
          <w:rFonts w:cs="Arial"/>
        </w:rPr>
        <w:t xml:space="preserve">. </w:t>
      </w:r>
      <w:r w:rsidR="009A506F" w:rsidRPr="00BB54DF">
        <w:rPr>
          <w:rFonts w:cs="Arial"/>
        </w:rPr>
        <w:t>Figure 1</w:t>
      </w:r>
      <w:r w:rsidR="006C73A0" w:rsidRPr="00BB54DF">
        <w:rPr>
          <w:rFonts w:cs="Arial"/>
        </w:rPr>
        <w:t xml:space="preserve"> shows all exclusions</w:t>
      </w:r>
      <w:r w:rsidR="00DC4201" w:rsidRPr="00BB54DF">
        <w:rPr>
          <w:rFonts w:cs="Arial"/>
        </w:rPr>
        <w:t>.</w:t>
      </w:r>
      <w:r w:rsidR="009A506F" w:rsidRPr="00BB54DF">
        <w:rPr>
          <w:rFonts w:cs="Arial"/>
        </w:rPr>
        <w:t xml:space="preserve"> </w:t>
      </w:r>
      <w:r w:rsidR="004D6D9A" w:rsidRPr="00BB54DF">
        <w:rPr>
          <w:rFonts w:cs="Arial"/>
        </w:rPr>
        <w:t>T</w:t>
      </w:r>
      <w:r w:rsidR="009A506F" w:rsidRPr="00BB54DF">
        <w:rPr>
          <w:rFonts w:cs="Arial"/>
        </w:rPr>
        <w:t xml:space="preserve">he most </w:t>
      </w:r>
      <w:r w:rsidR="00F03FD4" w:rsidRPr="00BB54DF">
        <w:rPr>
          <w:rFonts w:cs="Arial"/>
        </w:rPr>
        <w:t>common</w:t>
      </w:r>
      <w:r w:rsidR="009A506F" w:rsidRPr="00BB54DF">
        <w:rPr>
          <w:rFonts w:cs="Arial"/>
        </w:rPr>
        <w:t xml:space="preserve"> reason</w:t>
      </w:r>
      <w:r w:rsidR="001B44DB" w:rsidRPr="00BB54DF">
        <w:rPr>
          <w:rFonts w:cs="Arial"/>
        </w:rPr>
        <w:t>s</w:t>
      </w:r>
      <w:r w:rsidR="009A506F" w:rsidRPr="00BB54DF">
        <w:rPr>
          <w:rFonts w:cs="Arial"/>
        </w:rPr>
        <w:t xml:space="preserve"> for exclusion w</w:t>
      </w:r>
      <w:r w:rsidR="001B44DB" w:rsidRPr="00BB54DF">
        <w:rPr>
          <w:rFonts w:cs="Arial"/>
        </w:rPr>
        <w:t>ere</w:t>
      </w:r>
      <w:r w:rsidR="00DC4201" w:rsidRPr="00BB54DF">
        <w:rPr>
          <w:rFonts w:cs="Arial"/>
        </w:rPr>
        <w:t xml:space="preserve"> </w:t>
      </w:r>
      <w:r w:rsidR="009A506F" w:rsidRPr="00BB54DF">
        <w:rPr>
          <w:rFonts w:cs="Arial"/>
        </w:rPr>
        <w:t xml:space="preserve">not having two eGFR </w:t>
      </w:r>
      <w:r w:rsidR="001B44DB" w:rsidRPr="00BB54DF">
        <w:rPr>
          <w:rFonts w:cs="Arial"/>
        </w:rPr>
        <w:t xml:space="preserve">measurements and </w:t>
      </w:r>
      <w:r w:rsidR="009A506F" w:rsidRPr="00BB54DF">
        <w:rPr>
          <w:rFonts w:cs="Arial"/>
        </w:rPr>
        <w:t xml:space="preserve">not having any follow-up eGFR data available. </w:t>
      </w:r>
    </w:p>
    <w:p w14:paraId="67BFE07F" w14:textId="316F585E" w:rsidR="008A7779" w:rsidRPr="00BB54DF" w:rsidRDefault="008A7779" w:rsidP="00E33A7D">
      <w:pPr>
        <w:spacing w:line="360" w:lineRule="auto"/>
        <w:jc w:val="both"/>
        <w:rPr>
          <w:rFonts w:cs="Arial"/>
        </w:rPr>
      </w:pPr>
      <w:r w:rsidRPr="00BB54DF">
        <w:rPr>
          <w:rFonts w:cs="Arial"/>
        </w:rPr>
        <w:t>[</w:t>
      </w:r>
      <w:r w:rsidR="00651FD2" w:rsidRPr="00BB54DF">
        <w:rPr>
          <w:rFonts w:cs="Arial"/>
        </w:rPr>
        <w:t>Figure 1</w:t>
      </w:r>
      <w:r w:rsidRPr="00BB54DF">
        <w:rPr>
          <w:rFonts w:cs="Arial"/>
        </w:rPr>
        <w:t>]</w:t>
      </w:r>
    </w:p>
    <w:p w14:paraId="255BB59E" w14:textId="68E8F99E" w:rsidR="0094458E" w:rsidRPr="00BB54DF" w:rsidRDefault="0094458E" w:rsidP="00E33A7D">
      <w:pPr>
        <w:spacing w:line="360" w:lineRule="auto"/>
        <w:jc w:val="both"/>
        <w:rPr>
          <w:rFonts w:cs="Arial"/>
        </w:rPr>
      </w:pPr>
      <w:r w:rsidRPr="00BB54DF">
        <w:rPr>
          <w:rFonts w:cs="Arial"/>
        </w:rPr>
        <w:t xml:space="preserve">Across </w:t>
      </w:r>
      <w:r w:rsidR="006C73A0" w:rsidRPr="00BB54DF">
        <w:rPr>
          <w:rFonts w:cs="Arial"/>
        </w:rPr>
        <w:t>10</w:t>
      </w:r>
      <w:r w:rsidRPr="00BB54DF">
        <w:rPr>
          <w:rFonts w:cs="Arial"/>
        </w:rPr>
        <w:t xml:space="preserve"> imputed datasets, o</w:t>
      </w:r>
      <w:r w:rsidR="0096088A" w:rsidRPr="00BB54DF">
        <w:rPr>
          <w:rFonts w:cs="Arial"/>
        </w:rPr>
        <w:t>n average 2,447 bisphosphonate</w:t>
      </w:r>
      <w:r w:rsidRPr="00BB54DF">
        <w:rPr>
          <w:rFonts w:cs="Arial"/>
        </w:rPr>
        <w:t xml:space="preserve"> users</w:t>
      </w:r>
      <w:r w:rsidR="0096088A" w:rsidRPr="00BB54DF">
        <w:rPr>
          <w:rFonts w:cs="Arial"/>
        </w:rPr>
        <w:t xml:space="preserve"> </w:t>
      </w:r>
      <w:r w:rsidRPr="00BB54DF">
        <w:rPr>
          <w:rFonts w:cs="Arial"/>
        </w:rPr>
        <w:t xml:space="preserve">were </w:t>
      </w:r>
      <w:r w:rsidR="0096088A" w:rsidRPr="00BB54DF">
        <w:rPr>
          <w:rFonts w:cs="Arial"/>
        </w:rPr>
        <w:t xml:space="preserve">matched </w:t>
      </w:r>
      <w:r w:rsidRPr="00BB54DF">
        <w:rPr>
          <w:rFonts w:cs="Arial"/>
        </w:rPr>
        <w:t>with</w:t>
      </w:r>
      <w:r w:rsidR="0096088A" w:rsidRPr="00BB54DF">
        <w:rPr>
          <w:rFonts w:cs="Arial"/>
        </w:rPr>
        <w:t xml:space="preserve"> 8,931 </w:t>
      </w:r>
      <w:r w:rsidRPr="00BB54DF">
        <w:rPr>
          <w:rFonts w:cs="Arial"/>
        </w:rPr>
        <w:t xml:space="preserve">non-users </w:t>
      </w:r>
      <w:r w:rsidR="0096088A" w:rsidRPr="00BB54DF">
        <w:rPr>
          <w:rFonts w:cs="Arial"/>
        </w:rPr>
        <w:t xml:space="preserve">in CPRD and 1,399 </w:t>
      </w:r>
      <w:r w:rsidRPr="00BB54DF">
        <w:rPr>
          <w:rFonts w:cs="Arial"/>
        </w:rPr>
        <w:t xml:space="preserve">users </w:t>
      </w:r>
      <w:r w:rsidR="007C36B3" w:rsidRPr="00BB54DF">
        <w:rPr>
          <w:rFonts w:cs="Arial"/>
        </w:rPr>
        <w:t xml:space="preserve">were </w:t>
      </w:r>
      <w:r w:rsidR="0096088A" w:rsidRPr="00BB54DF">
        <w:rPr>
          <w:rFonts w:cs="Arial"/>
        </w:rPr>
        <w:t xml:space="preserve">matched </w:t>
      </w:r>
      <w:r w:rsidR="000A7D23" w:rsidRPr="00BB54DF">
        <w:rPr>
          <w:rFonts w:cs="Arial"/>
        </w:rPr>
        <w:t>with</w:t>
      </w:r>
      <w:r w:rsidR="0096088A" w:rsidRPr="00BB54DF">
        <w:rPr>
          <w:rFonts w:cs="Arial"/>
        </w:rPr>
        <w:t xml:space="preserve"> 6,547 </w:t>
      </w:r>
      <w:r w:rsidRPr="00BB54DF">
        <w:rPr>
          <w:rFonts w:cs="Arial"/>
        </w:rPr>
        <w:t xml:space="preserve">non-users </w:t>
      </w:r>
      <w:r w:rsidR="0096088A" w:rsidRPr="00BB54DF">
        <w:rPr>
          <w:rFonts w:cs="Arial"/>
        </w:rPr>
        <w:t>in SIDIAP</w:t>
      </w:r>
      <w:r w:rsidR="00AD5FDD" w:rsidRPr="00BB54DF">
        <w:rPr>
          <w:rFonts w:cs="Arial"/>
        </w:rPr>
        <w:t xml:space="preserve">. </w:t>
      </w:r>
      <w:r w:rsidR="002C1797" w:rsidRPr="00BB54DF">
        <w:rPr>
          <w:rFonts w:cs="Arial"/>
        </w:rPr>
        <w:t>Table 1 reports c</w:t>
      </w:r>
      <w:r w:rsidR="005771B8" w:rsidRPr="00BB54DF">
        <w:rPr>
          <w:rFonts w:cs="Arial"/>
        </w:rPr>
        <w:t xml:space="preserve">haracteristics </w:t>
      </w:r>
      <w:r w:rsidR="009D5CA4" w:rsidRPr="00BB54DF">
        <w:rPr>
          <w:rFonts w:cs="Arial"/>
        </w:rPr>
        <w:t xml:space="preserve">after imputation </w:t>
      </w:r>
      <w:r w:rsidRPr="00BB54DF">
        <w:rPr>
          <w:rFonts w:cs="Arial"/>
        </w:rPr>
        <w:t xml:space="preserve">and </w:t>
      </w:r>
      <w:r w:rsidR="005771B8" w:rsidRPr="00BB54DF">
        <w:rPr>
          <w:rFonts w:cs="Arial"/>
        </w:rPr>
        <w:t xml:space="preserve">before and after </w:t>
      </w:r>
      <w:r w:rsidR="008C469D" w:rsidRPr="00BB54DF">
        <w:rPr>
          <w:rFonts w:cs="Arial"/>
        </w:rPr>
        <w:t xml:space="preserve">PS </w:t>
      </w:r>
      <w:r w:rsidR="005771B8" w:rsidRPr="00BB54DF">
        <w:rPr>
          <w:rFonts w:cs="Arial"/>
        </w:rPr>
        <w:t xml:space="preserve">matching. </w:t>
      </w:r>
    </w:p>
    <w:p w14:paraId="4CBD1018" w14:textId="140F6073" w:rsidR="007340D2" w:rsidRPr="00BB54DF" w:rsidRDefault="007340D2" w:rsidP="00E33A7D">
      <w:pPr>
        <w:spacing w:line="360" w:lineRule="auto"/>
        <w:jc w:val="both"/>
        <w:rPr>
          <w:rFonts w:cs="Arial"/>
        </w:rPr>
      </w:pPr>
      <w:r w:rsidRPr="00BB54DF">
        <w:rPr>
          <w:rFonts w:cs="Arial"/>
        </w:rPr>
        <w:t>[Table 1]</w:t>
      </w:r>
    </w:p>
    <w:p w14:paraId="6C542051" w14:textId="7100A2E6" w:rsidR="0094458E" w:rsidRPr="00BB54DF" w:rsidRDefault="001B44DB" w:rsidP="00E33A7D">
      <w:pPr>
        <w:spacing w:line="360" w:lineRule="auto"/>
        <w:jc w:val="both"/>
        <w:rPr>
          <w:rFonts w:cs="Arial"/>
        </w:rPr>
      </w:pPr>
      <w:bookmarkStart w:id="3" w:name="_Hlk56428370"/>
      <w:r w:rsidRPr="00BB54DF">
        <w:rPr>
          <w:rFonts w:cs="Arial"/>
        </w:rPr>
        <w:t>Participants were well</w:t>
      </w:r>
      <w:r w:rsidR="007C36B3" w:rsidRPr="00BB54DF">
        <w:rPr>
          <w:rFonts w:cs="Arial"/>
        </w:rPr>
        <w:t>-</w:t>
      </w:r>
      <w:r w:rsidRPr="00BB54DF">
        <w:rPr>
          <w:rFonts w:cs="Arial"/>
        </w:rPr>
        <w:t>matched</w:t>
      </w:r>
      <w:r w:rsidR="00864358" w:rsidRPr="00BB54DF">
        <w:rPr>
          <w:rFonts w:cs="Arial"/>
        </w:rPr>
        <w:t xml:space="preserve">, including on key covariates such as age, BMI and </w:t>
      </w:r>
      <w:r w:rsidR="00F003BB" w:rsidRPr="00BB54DF">
        <w:rPr>
          <w:rFonts w:cs="Arial"/>
        </w:rPr>
        <w:t>baseline eGFR</w:t>
      </w:r>
      <w:r w:rsidR="006C73A0" w:rsidRPr="00BB54DF">
        <w:rPr>
          <w:rFonts w:cs="Arial"/>
        </w:rPr>
        <w:t>,</w:t>
      </w:r>
      <w:r w:rsidRPr="00BB54DF">
        <w:rPr>
          <w:rFonts w:cs="Arial"/>
        </w:rPr>
        <w:t xml:space="preserve"> </w:t>
      </w:r>
      <w:r w:rsidR="002C1797" w:rsidRPr="00BB54DF">
        <w:rPr>
          <w:rFonts w:cs="Arial"/>
        </w:rPr>
        <w:t xml:space="preserve">with </w:t>
      </w:r>
      <w:r w:rsidR="009C1B01" w:rsidRPr="00BB54DF">
        <w:rPr>
          <w:rFonts w:cs="Arial"/>
        </w:rPr>
        <w:t>ASMD</w:t>
      </w:r>
      <w:r w:rsidR="002C1797" w:rsidRPr="00BB54DF">
        <w:rPr>
          <w:rFonts w:cs="Arial"/>
        </w:rPr>
        <w:t>s</w:t>
      </w:r>
      <w:r w:rsidR="009C1B01" w:rsidRPr="00BB54DF">
        <w:rPr>
          <w:rFonts w:cs="Arial"/>
        </w:rPr>
        <w:t xml:space="preserve"> of </w:t>
      </w:r>
      <w:r w:rsidR="00C3050B" w:rsidRPr="00BB54DF">
        <w:rPr>
          <w:rFonts w:cs="Arial"/>
        </w:rPr>
        <w:t>less than</w:t>
      </w:r>
      <w:r w:rsidR="009C1B01" w:rsidRPr="00BB54DF">
        <w:rPr>
          <w:rFonts w:cs="Arial"/>
        </w:rPr>
        <w:t xml:space="preserve"> 0</w:t>
      </w:r>
      <w:r w:rsidR="00EC47FC" w:rsidRPr="00BB54DF">
        <w:rPr>
          <w:rFonts w:cs="Arial"/>
        </w:rPr>
        <w:t>.</w:t>
      </w:r>
      <w:r w:rsidR="009C1B01" w:rsidRPr="00BB54DF">
        <w:rPr>
          <w:rFonts w:cs="Arial"/>
        </w:rPr>
        <w:t xml:space="preserve">1 for all covariates in the </w:t>
      </w:r>
      <w:r w:rsidR="00523E86" w:rsidRPr="00BB54DF">
        <w:rPr>
          <w:rFonts w:cs="Arial"/>
        </w:rPr>
        <w:t>PS</w:t>
      </w:r>
      <w:r w:rsidR="00E507DF" w:rsidRPr="00BB54DF">
        <w:rPr>
          <w:rFonts w:cs="Arial"/>
        </w:rPr>
        <w:t xml:space="preserve"> in both datasets</w:t>
      </w:r>
      <w:r w:rsidR="00FA20DE" w:rsidRPr="00BB54DF">
        <w:rPr>
          <w:rFonts w:cs="Arial"/>
        </w:rPr>
        <w:t xml:space="preserve"> (</w:t>
      </w:r>
      <w:r w:rsidR="0094458E" w:rsidRPr="00BB54DF">
        <w:rPr>
          <w:rFonts w:cs="Arial"/>
        </w:rPr>
        <w:t>S</w:t>
      </w:r>
      <w:r w:rsidR="00FA20DE" w:rsidRPr="00BB54DF">
        <w:rPr>
          <w:rFonts w:cs="Arial"/>
        </w:rPr>
        <w:t xml:space="preserve">upplement </w:t>
      </w:r>
      <w:r w:rsidR="00901A7C" w:rsidRPr="00BB54DF">
        <w:rPr>
          <w:rFonts w:cs="Arial"/>
        </w:rPr>
        <w:t>3</w:t>
      </w:r>
      <w:r w:rsidR="00FA20DE" w:rsidRPr="00BB54DF">
        <w:rPr>
          <w:rFonts w:cs="Arial"/>
        </w:rPr>
        <w:t>)</w:t>
      </w:r>
      <w:r w:rsidR="006C73A0" w:rsidRPr="00BB54DF">
        <w:rPr>
          <w:rFonts w:cs="Arial"/>
        </w:rPr>
        <w:t>,</w:t>
      </w:r>
      <w:r w:rsidRPr="00BB54DF">
        <w:rPr>
          <w:rFonts w:cs="Arial"/>
        </w:rPr>
        <w:t xml:space="preserve"> although there were differences in rates (Table 1)</w:t>
      </w:r>
      <w:r w:rsidR="009C1B01" w:rsidRPr="00BB54DF">
        <w:rPr>
          <w:rFonts w:cs="Arial"/>
        </w:rPr>
        <w:t>.</w:t>
      </w:r>
      <w:r w:rsidR="00F84431" w:rsidRPr="00BB54DF">
        <w:rPr>
          <w:rFonts w:cs="Arial"/>
        </w:rPr>
        <w:t xml:space="preserve"> </w:t>
      </w:r>
      <w:bookmarkEnd w:id="3"/>
      <w:r w:rsidR="006A7B2B" w:rsidRPr="00BB54DF">
        <w:rPr>
          <w:rFonts w:cs="Arial"/>
        </w:rPr>
        <w:t xml:space="preserve">In CPRD the average age was 80 with approximately 27% of </w:t>
      </w:r>
      <w:proofErr w:type="gramStart"/>
      <w:r w:rsidR="006A7B2B" w:rsidRPr="00BB54DF">
        <w:rPr>
          <w:rFonts w:cs="Arial"/>
        </w:rPr>
        <w:t>patients</w:t>
      </w:r>
      <w:proofErr w:type="gramEnd"/>
      <w:r w:rsidR="006A7B2B" w:rsidRPr="00BB54DF">
        <w:rPr>
          <w:rFonts w:cs="Arial"/>
        </w:rPr>
        <w:t xml:space="preserve"> male whilst in SIDIAP the average age was 78 with approximately 23% of patients male.</w:t>
      </w:r>
    </w:p>
    <w:p w14:paraId="43458D9C" w14:textId="62464A9D" w:rsidR="005771B8" w:rsidRPr="00BB54DF" w:rsidRDefault="00E83859" w:rsidP="00E33A7D">
      <w:pPr>
        <w:spacing w:line="360" w:lineRule="auto"/>
        <w:jc w:val="both"/>
        <w:rPr>
          <w:rFonts w:cs="Arial"/>
        </w:rPr>
      </w:pPr>
      <w:r w:rsidRPr="00BB54DF">
        <w:rPr>
          <w:rFonts w:cs="Arial"/>
        </w:rPr>
        <w:t xml:space="preserve">In the </w:t>
      </w:r>
      <w:r w:rsidR="00180B86" w:rsidRPr="00BB54DF">
        <w:rPr>
          <w:rFonts w:cs="Arial"/>
        </w:rPr>
        <w:t>PS</w:t>
      </w:r>
      <w:r w:rsidR="0094458E" w:rsidRPr="00BB54DF">
        <w:rPr>
          <w:rFonts w:cs="Arial"/>
        </w:rPr>
        <w:t>-</w:t>
      </w:r>
      <w:r w:rsidRPr="00BB54DF">
        <w:rPr>
          <w:rFonts w:cs="Arial"/>
        </w:rPr>
        <w:t>matched cohort</w:t>
      </w:r>
      <w:r w:rsidR="00E507DF" w:rsidRPr="00BB54DF">
        <w:rPr>
          <w:rFonts w:cs="Arial"/>
        </w:rPr>
        <w:t>s</w:t>
      </w:r>
      <w:r w:rsidRPr="00BB54DF">
        <w:rPr>
          <w:rFonts w:cs="Arial"/>
        </w:rPr>
        <w:t xml:space="preserve">, </w:t>
      </w:r>
      <w:r w:rsidR="0094458E" w:rsidRPr="00BB54DF">
        <w:rPr>
          <w:rFonts w:cs="Arial"/>
        </w:rPr>
        <w:t>participants</w:t>
      </w:r>
      <w:r w:rsidR="00F84431" w:rsidRPr="00BB54DF">
        <w:rPr>
          <w:rFonts w:cs="Arial"/>
        </w:rPr>
        <w:t xml:space="preserve"> were followed up for a total of </w:t>
      </w:r>
      <w:r w:rsidR="00076732" w:rsidRPr="00BB54DF">
        <w:rPr>
          <w:rFonts w:cs="Arial"/>
        </w:rPr>
        <w:t xml:space="preserve">7,287 </w:t>
      </w:r>
      <w:r w:rsidR="00F84431" w:rsidRPr="00BB54DF">
        <w:rPr>
          <w:rFonts w:cs="Arial"/>
        </w:rPr>
        <w:t xml:space="preserve">exposed and </w:t>
      </w:r>
      <w:r w:rsidR="00076732" w:rsidRPr="00BB54DF">
        <w:rPr>
          <w:rFonts w:cs="Arial"/>
        </w:rPr>
        <w:t>26,73</w:t>
      </w:r>
      <w:r w:rsidR="00F97A89" w:rsidRPr="00BB54DF">
        <w:rPr>
          <w:rFonts w:cs="Arial"/>
        </w:rPr>
        <w:t>1</w:t>
      </w:r>
      <w:r w:rsidR="00076732" w:rsidRPr="00BB54DF">
        <w:rPr>
          <w:rFonts w:cs="Arial"/>
        </w:rPr>
        <w:t xml:space="preserve"> </w:t>
      </w:r>
      <w:r w:rsidR="00F84431" w:rsidRPr="00BB54DF">
        <w:rPr>
          <w:rFonts w:cs="Arial"/>
        </w:rPr>
        <w:t>unexpos</w:t>
      </w:r>
      <w:r w:rsidR="00076732" w:rsidRPr="00BB54DF">
        <w:rPr>
          <w:rFonts w:cs="Arial"/>
        </w:rPr>
        <w:t>ed person</w:t>
      </w:r>
      <w:r w:rsidR="0094458E" w:rsidRPr="00BB54DF">
        <w:rPr>
          <w:rFonts w:cs="Arial"/>
        </w:rPr>
        <w:t>-</w:t>
      </w:r>
      <w:r w:rsidR="00076732" w:rsidRPr="00BB54DF">
        <w:rPr>
          <w:rFonts w:cs="Arial"/>
        </w:rPr>
        <w:t>years in CPRD (median</w:t>
      </w:r>
      <w:r w:rsidR="00F84431" w:rsidRPr="00BB54DF">
        <w:rPr>
          <w:rFonts w:cs="Arial"/>
        </w:rPr>
        <w:t xml:space="preserve"> of </w:t>
      </w:r>
      <w:r w:rsidR="00076732" w:rsidRPr="00BB54DF">
        <w:rPr>
          <w:rFonts w:cs="Arial"/>
        </w:rPr>
        <w:t>3</w:t>
      </w:r>
      <w:r w:rsidR="00EC47FC" w:rsidRPr="00BB54DF">
        <w:rPr>
          <w:rFonts w:cs="Arial"/>
        </w:rPr>
        <w:t>.</w:t>
      </w:r>
      <w:r w:rsidR="00076732" w:rsidRPr="00BB54DF">
        <w:rPr>
          <w:rFonts w:cs="Arial"/>
        </w:rPr>
        <w:t>0</w:t>
      </w:r>
      <w:r w:rsidR="00F84431" w:rsidRPr="00BB54DF">
        <w:rPr>
          <w:rFonts w:cs="Arial"/>
        </w:rPr>
        <w:t xml:space="preserve"> </w:t>
      </w:r>
      <w:r w:rsidR="00076732" w:rsidRPr="00BB54DF">
        <w:rPr>
          <w:rFonts w:cs="Arial"/>
        </w:rPr>
        <w:t xml:space="preserve">years </w:t>
      </w:r>
      <w:r w:rsidR="00F84431" w:rsidRPr="00BB54DF">
        <w:rPr>
          <w:rFonts w:cs="Arial"/>
        </w:rPr>
        <w:t>for</w:t>
      </w:r>
      <w:r w:rsidR="00076732" w:rsidRPr="00BB54DF">
        <w:rPr>
          <w:rFonts w:cs="Arial"/>
        </w:rPr>
        <w:t xml:space="preserve"> both</w:t>
      </w:r>
      <w:r w:rsidR="00F84431" w:rsidRPr="00BB54DF">
        <w:rPr>
          <w:rFonts w:cs="Arial"/>
        </w:rPr>
        <w:t xml:space="preserve"> </w:t>
      </w:r>
      <w:r w:rsidR="0094458E" w:rsidRPr="00BB54DF">
        <w:rPr>
          <w:rFonts w:cs="Arial"/>
        </w:rPr>
        <w:t>users and non-users</w:t>
      </w:r>
      <w:r w:rsidR="00F84431" w:rsidRPr="00BB54DF">
        <w:rPr>
          <w:rFonts w:cs="Arial"/>
        </w:rPr>
        <w:t xml:space="preserve">) and </w:t>
      </w:r>
      <w:r w:rsidR="003042CF" w:rsidRPr="00BB54DF">
        <w:rPr>
          <w:rFonts w:cs="Arial"/>
        </w:rPr>
        <w:t>3,94</w:t>
      </w:r>
      <w:r w:rsidR="00F97A89" w:rsidRPr="00BB54DF">
        <w:rPr>
          <w:rFonts w:cs="Arial"/>
        </w:rPr>
        <w:t>6</w:t>
      </w:r>
      <w:r w:rsidR="00F84431" w:rsidRPr="00BB54DF">
        <w:rPr>
          <w:rFonts w:cs="Arial"/>
        </w:rPr>
        <w:t xml:space="preserve"> exposed and </w:t>
      </w:r>
      <w:r w:rsidR="003042CF" w:rsidRPr="00BB54DF">
        <w:rPr>
          <w:rFonts w:cs="Arial"/>
        </w:rPr>
        <w:t>20,152</w:t>
      </w:r>
      <w:r w:rsidR="00F84431" w:rsidRPr="00BB54DF">
        <w:rPr>
          <w:rFonts w:cs="Arial"/>
        </w:rPr>
        <w:t xml:space="preserve"> unexposed person</w:t>
      </w:r>
      <w:r w:rsidR="0094458E" w:rsidRPr="00BB54DF">
        <w:rPr>
          <w:rFonts w:cs="Arial"/>
        </w:rPr>
        <w:t>-</w:t>
      </w:r>
      <w:r w:rsidR="00F84431" w:rsidRPr="00BB54DF">
        <w:rPr>
          <w:rFonts w:cs="Arial"/>
        </w:rPr>
        <w:t xml:space="preserve">years in SIDIAP (median of </w:t>
      </w:r>
      <w:r w:rsidR="003042CF" w:rsidRPr="00BB54DF">
        <w:rPr>
          <w:rFonts w:cs="Arial"/>
        </w:rPr>
        <w:t>4</w:t>
      </w:r>
      <w:r w:rsidR="00EC47FC" w:rsidRPr="00BB54DF">
        <w:rPr>
          <w:rFonts w:cs="Arial"/>
        </w:rPr>
        <w:t>.</w:t>
      </w:r>
      <w:r w:rsidR="003042CF" w:rsidRPr="00BB54DF">
        <w:rPr>
          <w:rFonts w:cs="Arial"/>
        </w:rPr>
        <w:t>4</w:t>
      </w:r>
      <w:r w:rsidR="00F84431" w:rsidRPr="00BB54DF">
        <w:rPr>
          <w:rFonts w:cs="Arial"/>
        </w:rPr>
        <w:t xml:space="preserve"> </w:t>
      </w:r>
      <w:r w:rsidR="0094458E" w:rsidRPr="00BB54DF">
        <w:rPr>
          <w:rFonts w:cs="Arial"/>
        </w:rPr>
        <w:t xml:space="preserve">years for users </w:t>
      </w:r>
      <w:r w:rsidR="00F84431" w:rsidRPr="00BB54DF">
        <w:rPr>
          <w:rFonts w:cs="Arial"/>
        </w:rPr>
        <w:t xml:space="preserve">and </w:t>
      </w:r>
      <w:r w:rsidR="003042CF" w:rsidRPr="00BB54DF">
        <w:rPr>
          <w:rFonts w:cs="Arial"/>
        </w:rPr>
        <w:t>4</w:t>
      </w:r>
      <w:r w:rsidR="00EC47FC" w:rsidRPr="00BB54DF">
        <w:rPr>
          <w:rFonts w:cs="Arial"/>
        </w:rPr>
        <w:t>.</w:t>
      </w:r>
      <w:r w:rsidR="003042CF" w:rsidRPr="00BB54DF">
        <w:rPr>
          <w:rFonts w:cs="Arial"/>
        </w:rPr>
        <w:t>8</w:t>
      </w:r>
      <w:r w:rsidR="00F84431" w:rsidRPr="00BB54DF">
        <w:rPr>
          <w:rFonts w:cs="Arial"/>
        </w:rPr>
        <w:t xml:space="preserve"> </w:t>
      </w:r>
      <w:r w:rsidR="0094458E" w:rsidRPr="00BB54DF">
        <w:rPr>
          <w:rFonts w:cs="Arial"/>
        </w:rPr>
        <w:t xml:space="preserve">years </w:t>
      </w:r>
      <w:r w:rsidR="00F84431" w:rsidRPr="00BB54DF">
        <w:rPr>
          <w:rFonts w:cs="Arial"/>
        </w:rPr>
        <w:t xml:space="preserve">for </w:t>
      </w:r>
      <w:r w:rsidR="0094458E" w:rsidRPr="00BB54DF">
        <w:rPr>
          <w:rFonts w:cs="Arial"/>
        </w:rPr>
        <w:t>non-users</w:t>
      </w:r>
      <w:r w:rsidR="00F84431" w:rsidRPr="00BB54DF">
        <w:rPr>
          <w:rFonts w:cs="Arial"/>
        </w:rPr>
        <w:t>)</w:t>
      </w:r>
      <w:r w:rsidR="006C73A0" w:rsidRPr="00BB54DF">
        <w:rPr>
          <w:rFonts w:cs="Arial"/>
        </w:rPr>
        <w:t>,</w:t>
      </w:r>
      <w:r w:rsidR="009D5CA4" w:rsidRPr="00BB54DF">
        <w:rPr>
          <w:rFonts w:cs="Arial"/>
        </w:rPr>
        <w:t xml:space="preserve"> </w:t>
      </w:r>
      <w:r w:rsidR="0094458E" w:rsidRPr="00BB54DF">
        <w:rPr>
          <w:rFonts w:cs="Arial"/>
        </w:rPr>
        <w:t>before</w:t>
      </w:r>
      <w:r w:rsidR="002079C6" w:rsidRPr="00BB54DF">
        <w:rPr>
          <w:rFonts w:cs="Arial"/>
        </w:rPr>
        <w:t xml:space="preserve"> censoring at an outcome of interest</w:t>
      </w:r>
      <w:r w:rsidR="00F84431" w:rsidRPr="00BB54DF">
        <w:rPr>
          <w:rFonts w:cs="Arial"/>
        </w:rPr>
        <w:t>.</w:t>
      </w:r>
      <w:r w:rsidR="005E742C" w:rsidRPr="00BB54DF">
        <w:rPr>
          <w:rFonts w:cs="Arial"/>
        </w:rPr>
        <w:t xml:space="preserve"> </w:t>
      </w:r>
    </w:p>
    <w:p w14:paraId="3A76944F" w14:textId="43650846" w:rsidR="0094458E" w:rsidRPr="00BB54DF" w:rsidRDefault="002C1797" w:rsidP="00D656C2">
      <w:pPr>
        <w:spacing w:line="360" w:lineRule="auto"/>
      </w:pPr>
      <w:r w:rsidRPr="00BB54DF">
        <w:t>T</w:t>
      </w:r>
      <w:r w:rsidR="0094458E" w:rsidRPr="00BB54DF">
        <w:t xml:space="preserve">he risk of death </w:t>
      </w:r>
      <w:r w:rsidRPr="00BB54DF">
        <w:t xml:space="preserve">differed between </w:t>
      </w:r>
      <w:r w:rsidR="00E507DF" w:rsidRPr="00BB54DF">
        <w:t xml:space="preserve">users and non-users in </w:t>
      </w:r>
      <w:r w:rsidRPr="00BB54DF">
        <w:t xml:space="preserve">only </w:t>
      </w:r>
      <w:r w:rsidR="0094458E" w:rsidRPr="00BB54DF">
        <w:t xml:space="preserve">the PS-matched cohort </w:t>
      </w:r>
      <w:r w:rsidRPr="00BB54DF">
        <w:t xml:space="preserve">from </w:t>
      </w:r>
      <w:r w:rsidR="00540FBD" w:rsidRPr="00BB54DF">
        <w:t xml:space="preserve">CPRD </w:t>
      </w:r>
      <w:r w:rsidR="00E02EDD" w:rsidRPr="00BB54DF">
        <w:t xml:space="preserve">(HR </w:t>
      </w:r>
      <w:r w:rsidR="00C00657" w:rsidRPr="00BB54DF">
        <w:t>[</w:t>
      </w:r>
      <w:r w:rsidR="00E02EDD" w:rsidRPr="00BB54DF">
        <w:t>95% CI</w:t>
      </w:r>
      <w:r w:rsidR="00C00657" w:rsidRPr="00BB54DF">
        <w:t>]</w:t>
      </w:r>
      <w:r w:rsidR="00E02EDD" w:rsidRPr="00BB54DF">
        <w:t xml:space="preserve">: </w:t>
      </w:r>
      <w:bookmarkStart w:id="4" w:name="_Hlk56428578"/>
      <w:r w:rsidR="00E02EDD" w:rsidRPr="00BB54DF">
        <w:t>0</w:t>
      </w:r>
      <w:r w:rsidR="00EC47FC" w:rsidRPr="00BB54DF">
        <w:rPr>
          <w:rFonts w:cs="Arial"/>
        </w:rPr>
        <w:t>.</w:t>
      </w:r>
      <w:r w:rsidR="00E02EDD" w:rsidRPr="00BB54DF">
        <w:t xml:space="preserve">67 </w:t>
      </w:r>
      <w:r w:rsidR="00C00657" w:rsidRPr="00BB54DF">
        <w:t>[</w:t>
      </w:r>
      <w:r w:rsidR="00E02EDD" w:rsidRPr="00BB54DF">
        <w:t>0</w:t>
      </w:r>
      <w:r w:rsidR="00EC47FC" w:rsidRPr="00BB54DF">
        <w:rPr>
          <w:rFonts w:cs="Arial"/>
        </w:rPr>
        <w:t>.</w:t>
      </w:r>
      <w:r w:rsidR="00E02EDD" w:rsidRPr="00BB54DF">
        <w:t>62, 0</w:t>
      </w:r>
      <w:r w:rsidR="00EC47FC" w:rsidRPr="00BB54DF">
        <w:rPr>
          <w:rFonts w:cs="Arial"/>
        </w:rPr>
        <w:t>.</w:t>
      </w:r>
      <w:r w:rsidR="00E02EDD" w:rsidRPr="00BB54DF">
        <w:t>73</w:t>
      </w:r>
      <w:r w:rsidR="00C00657" w:rsidRPr="00BB54DF">
        <w:t>]</w:t>
      </w:r>
      <w:bookmarkEnd w:id="4"/>
      <w:r w:rsidR="00E02EDD" w:rsidRPr="00BB54DF">
        <w:t>)</w:t>
      </w:r>
      <w:r w:rsidR="00540FBD" w:rsidRPr="00BB54DF">
        <w:t>.</w:t>
      </w:r>
      <w:r w:rsidR="0094458E" w:rsidRPr="00BB54DF">
        <w:t xml:space="preserve"> </w:t>
      </w:r>
    </w:p>
    <w:p w14:paraId="341BEB77" w14:textId="7C8F6B81" w:rsidR="00A75AAE" w:rsidRPr="00BB54DF" w:rsidRDefault="00A75AAE" w:rsidP="00FA20DE">
      <w:pPr>
        <w:spacing w:line="360" w:lineRule="auto"/>
        <w:jc w:val="both"/>
        <w:rPr>
          <w:rFonts w:cs="Arial"/>
          <w:u w:val="single"/>
        </w:rPr>
      </w:pPr>
      <w:r w:rsidRPr="00BB54DF">
        <w:rPr>
          <w:rFonts w:cs="Arial"/>
          <w:u w:val="single"/>
        </w:rPr>
        <w:t>CKD stage worsening</w:t>
      </w:r>
    </w:p>
    <w:p w14:paraId="130883EE" w14:textId="2CF3C98F" w:rsidR="00E929CD" w:rsidRPr="00BB54DF" w:rsidRDefault="0094458E" w:rsidP="00E33A7D">
      <w:pPr>
        <w:spacing w:line="360" w:lineRule="auto"/>
        <w:jc w:val="both"/>
        <w:rPr>
          <w:rFonts w:cs="Arial"/>
        </w:rPr>
      </w:pPr>
      <w:r w:rsidRPr="00BB54DF">
        <w:rPr>
          <w:rFonts w:cs="Arial"/>
        </w:rPr>
        <w:t xml:space="preserve">In CPRD, </w:t>
      </w:r>
      <w:r w:rsidR="00854EFD" w:rsidRPr="00BB54DF">
        <w:rPr>
          <w:rFonts w:cs="Arial"/>
        </w:rPr>
        <w:t>2,572 events occurred</w:t>
      </w:r>
      <w:r w:rsidR="003F44C1" w:rsidRPr="00BB54DF">
        <w:rPr>
          <w:rFonts w:cs="Arial"/>
        </w:rPr>
        <w:t xml:space="preserve">, </w:t>
      </w:r>
      <w:r w:rsidR="002C1797" w:rsidRPr="00BB54DF">
        <w:rPr>
          <w:rFonts w:cs="Arial"/>
        </w:rPr>
        <w:t xml:space="preserve">including </w:t>
      </w:r>
      <w:r w:rsidR="003F44C1" w:rsidRPr="00BB54DF">
        <w:rPr>
          <w:rFonts w:cs="Arial"/>
        </w:rPr>
        <w:t>229 dialysis or transplant</w:t>
      </w:r>
      <w:r w:rsidR="002C1797" w:rsidRPr="00BB54DF">
        <w:rPr>
          <w:rFonts w:cs="Arial"/>
        </w:rPr>
        <w:t xml:space="preserve"> events</w:t>
      </w:r>
      <w:r w:rsidR="001B44DB" w:rsidRPr="00BB54DF">
        <w:rPr>
          <w:rFonts w:cs="Arial"/>
        </w:rPr>
        <w:t>. T</w:t>
      </w:r>
      <w:r w:rsidR="007079BD" w:rsidRPr="00BB54DF">
        <w:rPr>
          <w:rFonts w:cs="Arial"/>
        </w:rPr>
        <w:t>he incidence rate of CKD stage worsening w</w:t>
      </w:r>
      <w:r w:rsidR="000A7D23" w:rsidRPr="00BB54DF">
        <w:rPr>
          <w:rFonts w:cs="Arial"/>
        </w:rPr>
        <w:t>as</w:t>
      </w:r>
      <w:r w:rsidR="007079BD" w:rsidRPr="00BB54DF">
        <w:rPr>
          <w:rFonts w:cs="Arial"/>
        </w:rPr>
        <w:t xml:space="preserve"> </w:t>
      </w:r>
      <w:r w:rsidR="00031DD7" w:rsidRPr="00BB54DF">
        <w:rPr>
          <w:rFonts w:cs="Arial"/>
        </w:rPr>
        <w:t>8</w:t>
      </w:r>
      <w:r w:rsidR="00C20E3F" w:rsidRPr="00BB54DF">
        <w:rPr>
          <w:rFonts w:cs="Arial"/>
        </w:rPr>
        <w:t>9</w:t>
      </w:r>
      <w:r w:rsidR="00EC47FC" w:rsidRPr="00BB54DF">
        <w:rPr>
          <w:rFonts w:cs="Arial"/>
        </w:rPr>
        <w:t>.</w:t>
      </w:r>
      <w:r w:rsidR="005E742C" w:rsidRPr="00BB54DF">
        <w:rPr>
          <w:rFonts w:cs="Arial"/>
        </w:rPr>
        <w:t>1</w:t>
      </w:r>
      <w:r w:rsidR="00031DD7" w:rsidRPr="00BB54DF">
        <w:rPr>
          <w:rFonts w:cs="Arial"/>
        </w:rPr>
        <w:t xml:space="preserve"> </w:t>
      </w:r>
      <w:r w:rsidR="00A75AAE" w:rsidRPr="00BB54DF">
        <w:rPr>
          <w:rFonts w:cs="Arial"/>
        </w:rPr>
        <w:t>(95% CI</w:t>
      </w:r>
      <w:r w:rsidR="00492D32" w:rsidRPr="00BB54DF">
        <w:rPr>
          <w:rFonts w:cs="Arial"/>
        </w:rPr>
        <w:t>:</w:t>
      </w:r>
      <w:r w:rsidR="00A75AAE" w:rsidRPr="00BB54DF">
        <w:rPr>
          <w:rFonts w:cs="Arial"/>
        </w:rPr>
        <w:t xml:space="preserve"> </w:t>
      </w:r>
      <w:r w:rsidR="002079C6" w:rsidRPr="00BB54DF">
        <w:rPr>
          <w:rFonts w:cs="Arial"/>
        </w:rPr>
        <w:t>8</w:t>
      </w:r>
      <w:r w:rsidR="005E742C" w:rsidRPr="00BB54DF">
        <w:rPr>
          <w:rFonts w:cs="Arial"/>
        </w:rPr>
        <w:t>2</w:t>
      </w:r>
      <w:r w:rsidR="00EC47FC" w:rsidRPr="00BB54DF">
        <w:rPr>
          <w:rFonts w:cs="Arial"/>
        </w:rPr>
        <w:t>.</w:t>
      </w:r>
      <w:r w:rsidR="002079C6" w:rsidRPr="00BB54DF">
        <w:rPr>
          <w:rFonts w:cs="Arial"/>
        </w:rPr>
        <w:t>1, 9</w:t>
      </w:r>
      <w:r w:rsidR="005E742C" w:rsidRPr="00BB54DF">
        <w:rPr>
          <w:rFonts w:cs="Arial"/>
        </w:rPr>
        <w:t>6</w:t>
      </w:r>
      <w:r w:rsidR="00EC47FC" w:rsidRPr="00BB54DF">
        <w:rPr>
          <w:rFonts w:cs="Arial"/>
        </w:rPr>
        <w:t>.</w:t>
      </w:r>
      <w:r w:rsidR="005E742C" w:rsidRPr="00BB54DF">
        <w:rPr>
          <w:rFonts w:cs="Arial"/>
        </w:rPr>
        <w:t>7</w:t>
      </w:r>
      <w:r w:rsidR="00A75AAE" w:rsidRPr="00BB54DF">
        <w:rPr>
          <w:rFonts w:cs="Arial"/>
        </w:rPr>
        <w:t xml:space="preserve">) </w:t>
      </w:r>
      <w:r w:rsidRPr="00BB54DF">
        <w:rPr>
          <w:rFonts w:cs="Arial"/>
        </w:rPr>
        <w:t xml:space="preserve">per 1,000 person-years in bisphosphonate users </w:t>
      </w:r>
      <w:r w:rsidR="00031DD7" w:rsidRPr="00BB54DF">
        <w:rPr>
          <w:rFonts w:cs="Arial"/>
        </w:rPr>
        <w:t xml:space="preserve">and </w:t>
      </w:r>
      <w:r w:rsidR="005E742C" w:rsidRPr="00BB54DF">
        <w:rPr>
          <w:rFonts w:cs="Arial"/>
        </w:rPr>
        <w:t>85</w:t>
      </w:r>
      <w:r w:rsidR="00EC47FC" w:rsidRPr="00BB54DF">
        <w:rPr>
          <w:rFonts w:cs="Arial"/>
        </w:rPr>
        <w:t>.</w:t>
      </w:r>
      <w:r w:rsidR="005E742C" w:rsidRPr="00BB54DF">
        <w:rPr>
          <w:rFonts w:cs="Arial"/>
        </w:rPr>
        <w:t>6 (82</w:t>
      </w:r>
      <w:r w:rsidR="00EC47FC" w:rsidRPr="00BB54DF">
        <w:rPr>
          <w:rFonts w:cs="Arial"/>
        </w:rPr>
        <w:t>.</w:t>
      </w:r>
      <w:r w:rsidR="005E742C" w:rsidRPr="00BB54DF">
        <w:rPr>
          <w:rFonts w:cs="Arial"/>
        </w:rPr>
        <w:t>0, 89</w:t>
      </w:r>
      <w:r w:rsidR="00EC47FC" w:rsidRPr="00BB54DF">
        <w:rPr>
          <w:rFonts w:cs="Arial"/>
        </w:rPr>
        <w:t>.</w:t>
      </w:r>
      <w:r w:rsidR="005E742C" w:rsidRPr="00BB54DF">
        <w:rPr>
          <w:rFonts w:cs="Arial"/>
        </w:rPr>
        <w:t>5)</w:t>
      </w:r>
      <w:r w:rsidR="00031DD7" w:rsidRPr="00BB54DF">
        <w:rPr>
          <w:rFonts w:cs="Arial"/>
        </w:rPr>
        <w:t xml:space="preserve"> </w:t>
      </w:r>
      <w:r w:rsidRPr="00BB54DF">
        <w:rPr>
          <w:rFonts w:cs="Arial"/>
        </w:rPr>
        <w:t>in non-users</w:t>
      </w:r>
      <w:r w:rsidR="007079BD" w:rsidRPr="00BB54DF">
        <w:rPr>
          <w:rFonts w:cs="Arial"/>
        </w:rPr>
        <w:t xml:space="preserve"> (Table 2)</w:t>
      </w:r>
      <w:r w:rsidR="00031DD7" w:rsidRPr="00BB54DF">
        <w:rPr>
          <w:rFonts w:cs="Arial"/>
        </w:rPr>
        <w:t xml:space="preserve">. </w:t>
      </w:r>
      <w:r w:rsidR="00BC35BA" w:rsidRPr="00BB54DF">
        <w:rPr>
          <w:rFonts w:cs="Arial"/>
        </w:rPr>
        <w:t xml:space="preserve">Figure </w:t>
      </w:r>
      <w:r w:rsidR="00AE6E6F" w:rsidRPr="00BB54DF">
        <w:rPr>
          <w:rFonts w:cs="Arial"/>
        </w:rPr>
        <w:t>2</w:t>
      </w:r>
      <w:r w:rsidR="00EC47FC" w:rsidRPr="00BB54DF">
        <w:rPr>
          <w:rFonts w:cs="Arial"/>
        </w:rPr>
        <w:t>.</w:t>
      </w:r>
      <w:r w:rsidR="00BC35BA" w:rsidRPr="00BB54DF">
        <w:rPr>
          <w:rFonts w:cs="Arial"/>
        </w:rPr>
        <w:t>1 shows the cumulative incidence of stage worsening and death. The</w:t>
      </w:r>
      <w:r w:rsidR="00393970" w:rsidRPr="00BB54DF">
        <w:rPr>
          <w:rFonts w:cs="Arial"/>
        </w:rPr>
        <w:t xml:space="preserve"> </w:t>
      </w:r>
      <w:r w:rsidR="0099657F" w:rsidRPr="00BB54DF">
        <w:rPr>
          <w:rFonts w:cs="Arial"/>
        </w:rPr>
        <w:t xml:space="preserve">number needed to harm </w:t>
      </w:r>
      <w:r w:rsidR="00492D32" w:rsidRPr="00BB54DF">
        <w:rPr>
          <w:rFonts w:cs="Arial"/>
        </w:rPr>
        <w:t>was 40</w:t>
      </w:r>
      <w:r w:rsidR="00EC47FC" w:rsidRPr="00BB54DF">
        <w:rPr>
          <w:rFonts w:cs="Arial"/>
        </w:rPr>
        <w:t>.</w:t>
      </w:r>
      <w:r w:rsidR="00492D32" w:rsidRPr="00BB54DF">
        <w:rPr>
          <w:rFonts w:cs="Arial"/>
        </w:rPr>
        <w:t xml:space="preserve">8 </w:t>
      </w:r>
      <w:r w:rsidRPr="00BB54DF">
        <w:rPr>
          <w:rFonts w:cs="Arial"/>
        </w:rPr>
        <w:t>after</w:t>
      </w:r>
      <w:r w:rsidR="00C87F0E" w:rsidRPr="00BB54DF">
        <w:rPr>
          <w:rFonts w:cs="Arial"/>
        </w:rPr>
        <w:t xml:space="preserve"> 3</w:t>
      </w:r>
      <w:r w:rsidRPr="00BB54DF">
        <w:rPr>
          <w:rFonts w:cs="Arial"/>
        </w:rPr>
        <w:t xml:space="preserve"> </w:t>
      </w:r>
      <w:r w:rsidR="00492D32" w:rsidRPr="00BB54DF">
        <w:rPr>
          <w:rFonts w:cs="Arial"/>
        </w:rPr>
        <w:t xml:space="preserve">years </w:t>
      </w:r>
      <w:r w:rsidR="00C87F0E" w:rsidRPr="00BB54DF">
        <w:rPr>
          <w:rFonts w:cs="Arial"/>
        </w:rPr>
        <w:t xml:space="preserve">and </w:t>
      </w:r>
      <w:r w:rsidR="00492D32" w:rsidRPr="00BB54DF">
        <w:rPr>
          <w:rFonts w:cs="Arial"/>
        </w:rPr>
        <w:t>20</w:t>
      </w:r>
      <w:r w:rsidR="00EC47FC" w:rsidRPr="00BB54DF">
        <w:rPr>
          <w:rFonts w:cs="Arial"/>
        </w:rPr>
        <w:t>.</w:t>
      </w:r>
      <w:r w:rsidR="00492D32" w:rsidRPr="00BB54DF">
        <w:rPr>
          <w:rFonts w:cs="Arial"/>
        </w:rPr>
        <w:t xml:space="preserve">7 after </w:t>
      </w:r>
      <w:r w:rsidR="00C87F0E" w:rsidRPr="00BB54DF">
        <w:rPr>
          <w:rFonts w:cs="Arial"/>
        </w:rPr>
        <w:t>5</w:t>
      </w:r>
      <w:r w:rsidRPr="00BB54DF">
        <w:rPr>
          <w:rFonts w:cs="Arial"/>
        </w:rPr>
        <w:t xml:space="preserve"> </w:t>
      </w:r>
      <w:r w:rsidR="00C87F0E" w:rsidRPr="00BB54DF">
        <w:rPr>
          <w:rFonts w:cs="Arial"/>
        </w:rPr>
        <w:t>year</w:t>
      </w:r>
      <w:r w:rsidR="00E8650E" w:rsidRPr="00BB54DF">
        <w:rPr>
          <w:rFonts w:cs="Arial"/>
        </w:rPr>
        <w:t>s</w:t>
      </w:r>
      <w:r w:rsidR="00C87F0E" w:rsidRPr="00BB54DF">
        <w:rPr>
          <w:rFonts w:cs="Arial"/>
        </w:rPr>
        <w:t>.</w:t>
      </w:r>
      <w:r w:rsidR="00393970" w:rsidRPr="00BB54DF">
        <w:rPr>
          <w:rFonts w:cs="Arial"/>
        </w:rPr>
        <w:t xml:space="preserve"> </w:t>
      </w:r>
    </w:p>
    <w:p w14:paraId="1F884C1E" w14:textId="43BE2EB1" w:rsidR="007340D2" w:rsidRPr="00BB54DF" w:rsidRDefault="007340D2" w:rsidP="00E33A7D">
      <w:pPr>
        <w:spacing w:line="360" w:lineRule="auto"/>
        <w:jc w:val="both"/>
        <w:rPr>
          <w:rFonts w:cs="Arial"/>
        </w:rPr>
      </w:pPr>
      <w:r w:rsidRPr="00BB54DF">
        <w:rPr>
          <w:rFonts w:cs="Arial"/>
        </w:rPr>
        <w:t>[Table 2]</w:t>
      </w:r>
    </w:p>
    <w:p w14:paraId="583C0FDD" w14:textId="72120DF8" w:rsidR="008A7779" w:rsidRPr="00BB54DF" w:rsidRDefault="00AC3398" w:rsidP="00901A7C">
      <w:pPr>
        <w:spacing w:line="360" w:lineRule="auto"/>
        <w:jc w:val="both"/>
        <w:rPr>
          <w:rFonts w:cs="Arial"/>
        </w:rPr>
      </w:pPr>
      <w:r w:rsidRPr="00BB54DF">
        <w:rPr>
          <w:rFonts w:cs="Arial"/>
        </w:rPr>
        <w:lastRenderedPageBreak/>
        <w:t>[Figure 2]</w:t>
      </w:r>
    </w:p>
    <w:p w14:paraId="4084E9FF" w14:textId="77777777" w:rsidR="00593AA0" w:rsidRPr="00BB54DF" w:rsidRDefault="00E929CD" w:rsidP="00E33A7D">
      <w:pPr>
        <w:spacing w:line="360" w:lineRule="auto"/>
        <w:jc w:val="both"/>
        <w:rPr>
          <w:rFonts w:cs="Arial"/>
        </w:rPr>
      </w:pPr>
      <w:r w:rsidRPr="00BB54DF">
        <w:rPr>
          <w:rFonts w:cs="Arial"/>
        </w:rPr>
        <w:t xml:space="preserve">Similar results were found </w:t>
      </w:r>
      <w:r w:rsidR="00031DD7" w:rsidRPr="00BB54DF">
        <w:rPr>
          <w:rFonts w:cs="Arial"/>
        </w:rPr>
        <w:t>in SIDIAP</w:t>
      </w:r>
      <w:r w:rsidR="00AA7396" w:rsidRPr="00BB54DF">
        <w:rPr>
          <w:rFonts w:cs="Arial"/>
        </w:rPr>
        <w:t xml:space="preserve">. </w:t>
      </w:r>
      <w:r w:rsidR="00CB677B" w:rsidRPr="00BB54DF">
        <w:rPr>
          <w:rFonts w:cs="Arial"/>
        </w:rPr>
        <w:t xml:space="preserve">There were </w:t>
      </w:r>
      <w:r w:rsidR="00472E14" w:rsidRPr="00BB54DF">
        <w:rPr>
          <w:rFonts w:cs="Arial"/>
        </w:rPr>
        <w:t>2</w:t>
      </w:r>
      <w:r w:rsidR="00581387" w:rsidRPr="00BB54DF">
        <w:rPr>
          <w:rFonts w:cs="Arial"/>
        </w:rPr>
        <w:t>,</w:t>
      </w:r>
      <w:r w:rsidR="00472E14" w:rsidRPr="00BB54DF">
        <w:rPr>
          <w:rFonts w:cs="Arial"/>
        </w:rPr>
        <w:t xml:space="preserve">482 </w:t>
      </w:r>
      <w:r w:rsidR="00E54C12" w:rsidRPr="00BB54DF">
        <w:rPr>
          <w:rFonts w:cs="Arial"/>
        </w:rPr>
        <w:t>events</w:t>
      </w:r>
      <w:r w:rsidRPr="00BB54DF">
        <w:rPr>
          <w:rFonts w:cs="Arial"/>
        </w:rPr>
        <w:t>,</w:t>
      </w:r>
      <w:r w:rsidR="00E54C12" w:rsidRPr="00BB54DF">
        <w:rPr>
          <w:rFonts w:cs="Arial"/>
        </w:rPr>
        <w:t xml:space="preserve"> with</w:t>
      </w:r>
      <w:r w:rsidR="007079BD" w:rsidRPr="00BB54DF">
        <w:rPr>
          <w:rFonts w:cs="Arial"/>
        </w:rPr>
        <w:t xml:space="preserve"> incidence</w:t>
      </w:r>
      <w:r w:rsidR="00031DD7" w:rsidRPr="00BB54DF">
        <w:rPr>
          <w:rFonts w:cs="Arial"/>
        </w:rPr>
        <w:t xml:space="preserve"> rates of </w:t>
      </w:r>
      <w:r w:rsidR="00472E14" w:rsidRPr="00BB54DF">
        <w:rPr>
          <w:rFonts w:cs="Arial"/>
        </w:rPr>
        <w:t>118</w:t>
      </w:r>
      <w:r w:rsidR="00EC47FC" w:rsidRPr="00BB54DF">
        <w:rPr>
          <w:rFonts w:cs="Arial"/>
        </w:rPr>
        <w:t>.</w:t>
      </w:r>
      <w:r w:rsidR="00472E14" w:rsidRPr="00BB54DF">
        <w:rPr>
          <w:rFonts w:cs="Arial"/>
        </w:rPr>
        <w:t>4</w:t>
      </w:r>
      <w:r w:rsidR="00031DD7" w:rsidRPr="00BB54DF">
        <w:rPr>
          <w:rFonts w:cs="Arial"/>
        </w:rPr>
        <w:t xml:space="preserve"> </w:t>
      </w:r>
      <w:r w:rsidR="00E507DF" w:rsidRPr="00BB54DF">
        <w:rPr>
          <w:rFonts w:cs="Arial"/>
        </w:rPr>
        <w:t xml:space="preserve">per 1,000 person-years in users </w:t>
      </w:r>
      <w:r w:rsidR="00031DD7" w:rsidRPr="00BB54DF">
        <w:rPr>
          <w:rFonts w:cs="Arial"/>
        </w:rPr>
        <w:t xml:space="preserve">and </w:t>
      </w:r>
      <w:r w:rsidR="00472E14" w:rsidRPr="00BB54DF">
        <w:rPr>
          <w:rFonts w:cs="Arial"/>
        </w:rPr>
        <w:t>100</w:t>
      </w:r>
      <w:r w:rsidR="00EC47FC" w:rsidRPr="00BB54DF">
        <w:rPr>
          <w:rFonts w:cs="Arial"/>
        </w:rPr>
        <w:t>.</w:t>
      </w:r>
      <w:r w:rsidR="00472E14" w:rsidRPr="00BB54DF">
        <w:rPr>
          <w:rFonts w:cs="Arial"/>
        </w:rPr>
        <w:t>0</w:t>
      </w:r>
      <w:r w:rsidR="00031DD7" w:rsidRPr="00BB54DF">
        <w:rPr>
          <w:rFonts w:cs="Arial"/>
        </w:rPr>
        <w:t xml:space="preserve"> </w:t>
      </w:r>
      <w:r w:rsidR="00E507DF" w:rsidRPr="00BB54DF">
        <w:rPr>
          <w:rFonts w:cs="Arial"/>
        </w:rPr>
        <w:t>in non-users.</w:t>
      </w:r>
      <w:r w:rsidR="00265112" w:rsidRPr="00BB54DF">
        <w:rPr>
          <w:rFonts w:cs="Arial"/>
        </w:rPr>
        <w:t xml:space="preserve"> </w:t>
      </w:r>
      <w:r w:rsidR="00E507DF" w:rsidRPr="00BB54DF">
        <w:rPr>
          <w:rFonts w:cs="Arial"/>
        </w:rPr>
        <w:t xml:space="preserve">The </w:t>
      </w:r>
      <w:r w:rsidR="00492D32" w:rsidRPr="00BB54DF">
        <w:rPr>
          <w:rFonts w:cs="Arial"/>
        </w:rPr>
        <w:t>number needed to harm</w:t>
      </w:r>
      <w:r w:rsidR="008E582F" w:rsidRPr="00BB54DF">
        <w:rPr>
          <w:rFonts w:cs="Arial"/>
        </w:rPr>
        <w:t xml:space="preserve"> </w:t>
      </w:r>
      <w:r w:rsidR="00E507DF" w:rsidRPr="00BB54DF">
        <w:rPr>
          <w:rFonts w:cs="Arial"/>
        </w:rPr>
        <w:t>was</w:t>
      </w:r>
      <w:r w:rsidR="008E582F" w:rsidRPr="00BB54DF">
        <w:rPr>
          <w:rFonts w:cs="Arial"/>
        </w:rPr>
        <w:t xml:space="preserve"> </w:t>
      </w:r>
      <w:r w:rsidR="00380B92" w:rsidRPr="00BB54DF">
        <w:rPr>
          <w:rFonts w:cs="Arial"/>
        </w:rPr>
        <w:t>29</w:t>
      </w:r>
      <w:r w:rsidR="00EC47FC" w:rsidRPr="00BB54DF">
        <w:rPr>
          <w:rFonts w:cs="Arial"/>
        </w:rPr>
        <w:t>.</w:t>
      </w:r>
      <w:r w:rsidR="00380B92" w:rsidRPr="00BB54DF">
        <w:rPr>
          <w:rFonts w:cs="Arial"/>
        </w:rPr>
        <w:t>4</w:t>
      </w:r>
      <w:r w:rsidR="008E582F" w:rsidRPr="00BB54DF">
        <w:rPr>
          <w:rFonts w:cs="Arial"/>
        </w:rPr>
        <w:t xml:space="preserve"> </w:t>
      </w:r>
      <w:r w:rsidR="00E507DF" w:rsidRPr="00BB54DF">
        <w:rPr>
          <w:rFonts w:cs="Arial"/>
        </w:rPr>
        <w:t>after</w:t>
      </w:r>
      <w:r w:rsidR="008E582F" w:rsidRPr="00BB54DF">
        <w:rPr>
          <w:rFonts w:cs="Arial"/>
        </w:rPr>
        <w:t xml:space="preserve"> 3 years and </w:t>
      </w:r>
      <w:r w:rsidR="00380B92" w:rsidRPr="00BB54DF">
        <w:rPr>
          <w:rFonts w:cs="Arial"/>
        </w:rPr>
        <w:t>28</w:t>
      </w:r>
      <w:r w:rsidR="00EC47FC" w:rsidRPr="00BB54DF">
        <w:rPr>
          <w:rFonts w:cs="Arial"/>
        </w:rPr>
        <w:t>.</w:t>
      </w:r>
      <w:r w:rsidR="00380B92" w:rsidRPr="00BB54DF">
        <w:rPr>
          <w:rFonts w:cs="Arial"/>
        </w:rPr>
        <w:t>6</w:t>
      </w:r>
      <w:r w:rsidR="008E582F" w:rsidRPr="00BB54DF">
        <w:rPr>
          <w:rFonts w:cs="Arial"/>
        </w:rPr>
        <w:t xml:space="preserve"> </w:t>
      </w:r>
      <w:r w:rsidR="00E507DF" w:rsidRPr="00BB54DF">
        <w:rPr>
          <w:rFonts w:cs="Arial"/>
        </w:rPr>
        <w:t>after</w:t>
      </w:r>
      <w:r w:rsidR="008E582F" w:rsidRPr="00BB54DF">
        <w:rPr>
          <w:rFonts w:cs="Arial"/>
        </w:rPr>
        <w:t xml:space="preserve"> 5 years</w:t>
      </w:r>
      <w:r w:rsidR="00593AA0" w:rsidRPr="00BB54DF">
        <w:rPr>
          <w:rFonts w:cs="Arial"/>
        </w:rPr>
        <w:t xml:space="preserve">. </w:t>
      </w:r>
    </w:p>
    <w:p w14:paraId="2E24F246" w14:textId="0DB516A2" w:rsidR="007079BD" w:rsidRPr="00BB54DF" w:rsidRDefault="00593AA0" w:rsidP="00E33A7D">
      <w:pPr>
        <w:spacing w:line="360" w:lineRule="auto"/>
        <w:jc w:val="both"/>
        <w:rPr>
          <w:rFonts w:cs="Arial"/>
        </w:rPr>
      </w:pPr>
      <w:r w:rsidRPr="00BB54DF">
        <w:rPr>
          <w:rFonts w:cs="Arial"/>
        </w:rPr>
        <w:t>Combining results from CPRD and SIDIAP gave a PS-matched cohort s</w:t>
      </w:r>
      <w:r w:rsidR="006C73A0" w:rsidRPr="00BB54DF">
        <w:rPr>
          <w:rFonts w:cs="Arial"/>
        </w:rPr>
        <w:t>ub-</w:t>
      </w:r>
      <w:r w:rsidRPr="00BB54DF">
        <w:rPr>
          <w:rFonts w:cs="Arial"/>
        </w:rPr>
        <w:t xml:space="preserve">HR </w:t>
      </w:r>
      <w:r w:rsidR="002C1797" w:rsidRPr="00BB54DF">
        <w:rPr>
          <w:rFonts w:cs="Arial"/>
        </w:rPr>
        <w:t>(</w:t>
      </w:r>
      <w:r w:rsidRPr="00BB54DF">
        <w:rPr>
          <w:rFonts w:cs="Arial"/>
        </w:rPr>
        <w:t>95% CI</w:t>
      </w:r>
      <w:r w:rsidR="002C1797" w:rsidRPr="00BB54DF">
        <w:rPr>
          <w:rFonts w:cs="Arial"/>
        </w:rPr>
        <w:t>)</w:t>
      </w:r>
      <w:r w:rsidR="006C73A0" w:rsidRPr="00BB54DF">
        <w:rPr>
          <w:rFonts w:cs="Arial"/>
        </w:rPr>
        <w:t xml:space="preserve"> of</w:t>
      </w:r>
      <w:r w:rsidRPr="00BB54DF">
        <w:rPr>
          <w:rFonts w:cs="Arial"/>
        </w:rPr>
        <w:t xml:space="preserve"> 1.14 </w:t>
      </w:r>
      <w:r w:rsidR="002C1797" w:rsidRPr="00BB54DF">
        <w:rPr>
          <w:rFonts w:cs="Arial"/>
        </w:rPr>
        <w:t>(</w:t>
      </w:r>
      <w:r w:rsidRPr="00BB54DF">
        <w:rPr>
          <w:rFonts w:cs="Arial"/>
        </w:rPr>
        <w:t>1.07, 1.23</w:t>
      </w:r>
      <w:r w:rsidR="002C1797" w:rsidRPr="00BB54DF">
        <w:rPr>
          <w:rFonts w:cs="Arial"/>
        </w:rPr>
        <w:t>)</w:t>
      </w:r>
      <w:r w:rsidRPr="00BB54DF">
        <w:rPr>
          <w:rFonts w:cs="Arial"/>
        </w:rPr>
        <w:t xml:space="preserve"> and </w:t>
      </w:r>
      <w:r w:rsidR="006C73A0" w:rsidRPr="00BB54DF">
        <w:rPr>
          <w:rFonts w:cs="Arial"/>
        </w:rPr>
        <w:t xml:space="preserve">a </w:t>
      </w:r>
      <w:r w:rsidRPr="00BB54DF">
        <w:rPr>
          <w:rFonts w:cs="Arial"/>
        </w:rPr>
        <w:t xml:space="preserve">whole cohort HR </w:t>
      </w:r>
      <w:r w:rsidR="006C73A0" w:rsidRPr="00BB54DF">
        <w:rPr>
          <w:rFonts w:cs="Arial"/>
        </w:rPr>
        <w:t xml:space="preserve">of </w:t>
      </w:r>
      <w:r w:rsidRPr="00BB54DF">
        <w:rPr>
          <w:rFonts w:cs="Arial"/>
        </w:rPr>
        <w:t xml:space="preserve">1.18 </w:t>
      </w:r>
      <w:r w:rsidR="002C1797" w:rsidRPr="00BB54DF">
        <w:rPr>
          <w:rFonts w:cs="Arial"/>
        </w:rPr>
        <w:t>(</w:t>
      </w:r>
      <w:r w:rsidRPr="00BB54DF">
        <w:rPr>
          <w:rFonts w:cs="Arial"/>
        </w:rPr>
        <w:t>1.11, 1.26</w:t>
      </w:r>
      <w:r w:rsidR="002C1797" w:rsidRPr="00BB54DF">
        <w:rPr>
          <w:rFonts w:cs="Arial"/>
        </w:rPr>
        <w:t>)</w:t>
      </w:r>
      <w:r w:rsidRPr="00BB54DF">
        <w:rPr>
          <w:rFonts w:cs="Arial"/>
        </w:rPr>
        <w:t xml:space="preserve"> (Table 2). </w:t>
      </w:r>
      <w:r w:rsidR="002C1797" w:rsidRPr="00BB54DF">
        <w:rPr>
          <w:rFonts w:cs="Arial"/>
        </w:rPr>
        <w:t>Supplement 4 gives the f</w:t>
      </w:r>
      <w:r w:rsidRPr="00BB54DF">
        <w:rPr>
          <w:rFonts w:cs="Arial"/>
        </w:rPr>
        <w:t xml:space="preserve">ull results of the multiple regression model for CPRD. </w:t>
      </w:r>
    </w:p>
    <w:p w14:paraId="6734142D" w14:textId="7EE2F73A" w:rsidR="00E929CD" w:rsidRPr="00BB54DF" w:rsidRDefault="00AE6E6F" w:rsidP="00E33A7D">
      <w:pPr>
        <w:spacing w:line="360" w:lineRule="auto"/>
        <w:jc w:val="both"/>
        <w:rPr>
          <w:rFonts w:cs="Arial"/>
        </w:rPr>
      </w:pPr>
      <w:r w:rsidRPr="00BB54DF">
        <w:rPr>
          <w:rFonts w:cs="Arial"/>
        </w:rPr>
        <w:t>In CPRD, s</w:t>
      </w:r>
      <w:r w:rsidR="00393970" w:rsidRPr="00BB54DF">
        <w:rPr>
          <w:rFonts w:cs="Arial"/>
        </w:rPr>
        <w:t>ignificant interactions were identified with history of fracture (p</w:t>
      </w:r>
      <w:r w:rsidR="006C73A0" w:rsidRPr="00BB54DF">
        <w:rPr>
          <w:rFonts w:cs="Arial"/>
        </w:rPr>
        <w:t xml:space="preserve"> </w:t>
      </w:r>
      <w:r w:rsidR="00393970" w:rsidRPr="00BB54DF">
        <w:rPr>
          <w:rFonts w:cs="Arial"/>
        </w:rPr>
        <w:t>=</w:t>
      </w:r>
      <w:r w:rsidR="006C73A0" w:rsidRPr="00BB54DF">
        <w:rPr>
          <w:rFonts w:cs="Arial"/>
        </w:rPr>
        <w:t xml:space="preserve"> </w:t>
      </w:r>
      <w:r w:rsidR="00393970" w:rsidRPr="00BB54DF">
        <w:rPr>
          <w:rFonts w:cs="Arial"/>
        </w:rPr>
        <w:t>0</w:t>
      </w:r>
      <w:r w:rsidR="00EC47FC" w:rsidRPr="00BB54DF">
        <w:rPr>
          <w:rFonts w:cs="Arial"/>
        </w:rPr>
        <w:t>.</w:t>
      </w:r>
      <w:r w:rsidR="00393970" w:rsidRPr="00BB54DF">
        <w:rPr>
          <w:rFonts w:cs="Arial"/>
        </w:rPr>
        <w:t>03) and gender (p</w:t>
      </w:r>
      <w:r w:rsidR="006C73A0" w:rsidRPr="00BB54DF">
        <w:rPr>
          <w:rFonts w:cs="Arial"/>
        </w:rPr>
        <w:t xml:space="preserve"> </w:t>
      </w:r>
      <w:r w:rsidR="00393970" w:rsidRPr="00BB54DF">
        <w:rPr>
          <w:rFonts w:cs="Arial"/>
        </w:rPr>
        <w:t>=</w:t>
      </w:r>
      <w:r w:rsidR="006C73A0" w:rsidRPr="00BB54DF">
        <w:rPr>
          <w:rFonts w:cs="Arial"/>
        </w:rPr>
        <w:t xml:space="preserve"> </w:t>
      </w:r>
      <w:r w:rsidR="00393970" w:rsidRPr="00BB54DF">
        <w:rPr>
          <w:rFonts w:cs="Arial"/>
        </w:rPr>
        <w:t>0</w:t>
      </w:r>
      <w:r w:rsidR="00EC47FC" w:rsidRPr="00BB54DF">
        <w:rPr>
          <w:rFonts w:cs="Arial"/>
        </w:rPr>
        <w:t>.</w:t>
      </w:r>
      <w:r w:rsidR="00393970" w:rsidRPr="00BB54DF">
        <w:rPr>
          <w:rFonts w:cs="Arial"/>
        </w:rPr>
        <w:t xml:space="preserve">04). Those with a history of fracture were more likely </w:t>
      </w:r>
      <w:r w:rsidR="00E54C12" w:rsidRPr="00BB54DF">
        <w:rPr>
          <w:rFonts w:cs="Arial"/>
        </w:rPr>
        <w:t>to experience stage worsening (</w:t>
      </w:r>
      <w:r w:rsidR="00E272C4" w:rsidRPr="00BB54DF">
        <w:rPr>
          <w:rFonts w:cs="Arial"/>
        </w:rPr>
        <w:t>s</w:t>
      </w:r>
      <w:r w:rsidR="006C73A0" w:rsidRPr="00BB54DF">
        <w:rPr>
          <w:rFonts w:cs="Arial"/>
        </w:rPr>
        <w:t>ub-</w:t>
      </w:r>
      <w:r w:rsidR="00E54C12" w:rsidRPr="00BB54DF">
        <w:rPr>
          <w:rFonts w:cs="Arial"/>
        </w:rPr>
        <w:t xml:space="preserve">HR </w:t>
      </w:r>
      <w:r w:rsidR="00E507DF" w:rsidRPr="00BB54DF">
        <w:rPr>
          <w:rFonts w:cs="Arial"/>
        </w:rPr>
        <w:t>[</w:t>
      </w:r>
      <w:r w:rsidR="00E54C12" w:rsidRPr="00BB54DF">
        <w:rPr>
          <w:rFonts w:cs="Arial"/>
        </w:rPr>
        <w:t>95% CI</w:t>
      </w:r>
      <w:r w:rsidR="00E507DF" w:rsidRPr="00BB54DF">
        <w:rPr>
          <w:rFonts w:cs="Arial"/>
        </w:rPr>
        <w:t>]</w:t>
      </w:r>
      <w:r w:rsidR="00E54C12" w:rsidRPr="00BB54DF">
        <w:rPr>
          <w:rFonts w:cs="Arial"/>
        </w:rPr>
        <w:t>: 1</w:t>
      </w:r>
      <w:r w:rsidR="00EC47FC" w:rsidRPr="00BB54DF">
        <w:rPr>
          <w:rFonts w:cs="Arial"/>
        </w:rPr>
        <w:t>.</w:t>
      </w:r>
      <w:r w:rsidR="00E54C12" w:rsidRPr="00BB54DF">
        <w:rPr>
          <w:rFonts w:cs="Arial"/>
        </w:rPr>
        <w:t>3</w:t>
      </w:r>
      <w:r w:rsidR="007022BC" w:rsidRPr="00BB54DF">
        <w:rPr>
          <w:rFonts w:cs="Arial"/>
        </w:rPr>
        <w:t>6</w:t>
      </w:r>
      <w:r w:rsidR="00E54C12" w:rsidRPr="00BB54DF">
        <w:rPr>
          <w:rFonts w:cs="Arial"/>
        </w:rPr>
        <w:t xml:space="preserve"> </w:t>
      </w:r>
      <w:r w:rsidR="00E507DF" w:rsidRPr="00BB54DF">
        <w:rPr>
          <w:rFonts w:cs="Arial"/>
        </w:rPr>
        <w:t>[</w:t>
      </w:r>
      <w:r w:rsidR="00E54C12" w:rsidRPr="00BB54DF">
        <w:rPr>
          <w:rFonts w:cs="Arial"/>
        </w:rPr>
        <w:t>1</w:t>
      </w:r>
      <w:r w:rsidR="00EC47FC" w:rsidRPr="00BB54DF">
        <w:rPr>
          <w:rFonts w:cs="Arial"/>
        </w:rPr>
        <w:t>.</w:t>
      </w:r>
      <w:r w:rsidR="00E54C12" w:rsidRPr="00BB54DF">
        <w:rPr>
          <w:rFonts w:cs="Arial"/>
        </w:rPr>
        <w:t>0</w:t>
      </w:r>
      <w:r w:rsidR="007022BC" w:rsidRPr="00BB54DF">
        <w:rPr>
          <w:rFonts w:cs="Arial"/>
        </w:rPr>
        <w:t>8</w:t>
      </w:r>
      <w:r w:rsidR="00E507DF" w:rsidRPr="00BB54DF">
        <w:rPr>
          <w:rFonts w:cs="Arial"/>
        </w:rPr>
        <w:t xml:space="preserve">, </w:t>
      </w:r>
      <w:r w:rsidR="00E54C12" w:rsidRPr="00BB54DF">
        <w:rPr>
          <w:rFonts w:cs="Arial"/>
        </w:rPr>
        <w:t>1</w:t>
      </w:r>
      <w:r w:rsidR="00EC47FC" w:rsidRPr="00BB54DF">
        <w:rPr>
          <w:rFonts w:cs="Arial"/>
        </w:rPr>
        <w:t>.</w:t>
      </w:r>
      <w:r w:rsidR="007022BC" w:rsidRPr="00BB54DF">
        <w:rPr>
          <w:rFonts w:cs="Arial"/>
        </w:rPr>
        <w:t>71</w:t>
      </w:r>
      <w:r w:rsidR="00E507DF" w:rsidRPr="00BB54DF">
        <w:rPr>
          <w:rFonts w:cs="Arial"/>
        </w:rPr>
        <w:t>]</w:t>
      </w:r>
      <w:r w:rsidR="00E54C12" w:rsidRPr="00BB54DF">
        <w:rPr>
          <w:rFonts w:cs="Arial"/>
        </w:rPr>
        <w:t>) than those without a history of fracture (1</w:t>
      </w:r>
      <w:r w:rsidR="00EC47FC" w:rsidRPr="00BB54DF">
        <w:rPr>
          <w:rFonts w:cs="Arial"/>
        </w:rPr>
        <w:t>.</w:t>
      </w:r>
      <w:r w:rsidR="00E54C12" w:rsidRPr="00BB54DF">
        <w:rPr>
          <w:rFonts w:cs="Arial"/>
        </w:rPr>
        <w:t xml:space="preserve">10 </w:t>
      </w:r>
      <w:r w:rsidR="00E507DF" w:rsidRPr="00BB54DF">
        <w:rPr>
          <w:rFonts w:cs="Arial"/>
        </w:rPr>
        <w:t>[</w:t>
      </w:r>
      <w:r w:rsidR="00E54C12" w:rsidRPr="00BB54DF">
        <w:rPr>
          <w:rFonts w:cs="Arial"/>
        </w:rPr>
        <w:t>0</w:t>
      </w:r>
      <w:r w:rsidR="00EC47FC" w:rsidRPr="00BB54DF">
        <w:rPr>
          <w:rFonts w:cs="Arial"/>
        </w:rPr>
        <w:t>.</w:t>
      </w:r>
      <w:r w:rsidR="00E54C12" w:rsidRPr="00BB54DF">
        <w:rPr>
          <w:rFonts w:cs="Arial"/>
        </w:rPr>
        <w:t>99</w:t>
      </w:r>
      <w:r w:rsidR="00E507DF" w:rsidRPr="00BB54DF">
        <w:rPr>
          <w:rFonts w:cs="Arial"/>
        </w:rPr>
        <w:t xml:space="preserve">, </w:t>
      </w:r>
      <w:r w:rsidR="00E54C12" w:rsidRPr="00BB54DF">
        <w:rPr>
          <w:rFonts w:cs="Arial"/>
        </w:rPr>
        <w:t>1</w:t>
      </w:r>
      <w:r w:rsidR="00EC47FC" w:rsidRPr="00BB54DF">
        <w:rPr>
          <w:rFonts w:cs="Arial"/>
        </w:rPr>
        <w:t>.</w:t>
      </w:r>
      <w:r w:rsidR="00E54C12" w:rsidRPr="00BB54DF">
        <w:rPr>
          <w:rFonts w:cs="Arial"/>
        </w:rPr>
        <w:t>22</w:t>
      </w:r>
      <w:r w:rsidR="00E507DF" w:rsidRPr="00BB54DF">
        <w:rPr>
          <w:rFonts w:cs="Arial"/>
        </w:rPr>
        <w:t>]</w:t>
      </w:r>
      <w:r w:rsidR="00E54C12" w:rsidRPr="00BB54DF">
        <w:rPr>
          <w:rFonts w:cs="Arial"/>
        </w:rPr>
        <w:t>)</w:t>
      </w:r>
      <w:r w:rsidR="007079BD" w:rsidRPr="00BB54DF">
        <w:rPr>
          <w:rFonts w:cs="Arial"/>
        </w:rPr>
        <w:t xml:space="preserve">, </w:t>
      </w:r>
      <w:r w:rsidR="00E929CD" w:rsidRPr="00BB54DF">
        <w:rPr>
          <w:rFonts w:cs="Arial"/>
        </w:rPr>
        <w:t xml:space="preserve">although the </w:t>
      </w:r>
      <w:r w:rsidR="007079BD" w:rsidRPr="00BB54DF">
        <w:rPr>
          <w:rFonts w:cs="Arial"/>
        </w:rPr>
        <w:t>CIs overlapped</w:t>
      </w:r>
      <w:r w:rsidR="00E54C12" w:rsidRPr="00BB54DF">
        <w:rPr>
          <w:rFonts w:cs="Arial"/>
        </w:rPr>
        <w:t xml:space="preserve">. Women were more likely to experience stage change </w:t>
      </w:r>
      <w:r w:rsidR="00FE4564" w:rsidRPr="00BB54DF">
        <w:rPr>
          <w:rFonts w:cs="Arial"/>
        </w:rPr>
        <w:t>(</w:t>
      </w:r>
      <w:r w:rsidR="00E929CD" w:rsidRPr="00BB54DF">
        <w:rPr>
          <w:rFonts w:cs="Arial"/>
        </w:rPr>
        <w:t>1</w:t>
      </w:r>
      <w:r w:rsidR="00EC47FC" w:rsidRPr="00BB54DF">
        <w:rPr>
          <w:rFonts w:cs="Arial"/>
        </w:rPr>
        <w:t>.</w:t>
      </w:r>
      <w:r w:rsidR="00E929CD" w:rsidRPr="00BB54DF">
        <w:rPr>
          <w:rFonts w:cs="Arial"/>
        </w:rPr>
        <w:t xml:space="preserve">24 </w:t>
      </w:r>
      <w:r w:rsidR="00E507DF" w:rsidRPr="00BB54DF">
        <w:rPr>
          <w:rFonts w:cs="Arial"/>
        </w:rPr>
        <w:t>[</w:t>
      </w:r>
      <w:r w:rsidR="00E929CD" w:rsidRPr="00BB54DF">
        <w:rPr>
          <w:rFonts w:cs="Arial"/>
        </w:rPr>
        <w:t>1</w:t>
      </w:r>
      <w:r w:rsidR="00EC47FC" w:rsidRPr="00BB54DF">
        <w:rPr>
          <w:rFonts w:cs="Arial"/>
        </w:rPr>
        <w:t>.</w:t>
      </w:r>
      <w:r w:rsidR="00E929CD" w:rsidRPr="00BB54DF">
        <w:rPr>
          <w:rFonts w:cs="Arial"/>
        </w:rPr>
        <w:t>11, 1</w:t>
      </w:r>
      <w:r w:rsidR="00EC47FC" w:rsidRPr="00BB54DF">
        <w:rPr>
          <w:rFonts w:cs="Arial"/>
        </w:rPr>
        <w:t>.</w:t>
      </w:r>
      <w:r w:rsidR="00E929CD" w:rsidRPr="00BB54DF">
        <w:rPr>
          <w:rFonts w:cs="Arial"/>
        </w:rPr>
        <w:t>38</w:t>
      </w:r>
      <w:r w:rsidR="00E507DF" w:rsidRPr="00BB54DF">
        <w:rPr>
          <w:rFonts w:cs="Arial"/>
        </w:rPr>
        <w:t>]</w:t>
      </w:r>
      <w:r w:rsidR="00E929CD" w:rsidRPr="00BB54DF">
        <w:rPr>
          <w:rFonts w:cs="Arial"/>
        </w:rPr>
        <w:t>)</w:t>
      </w:r>
      <w:r w:rsidR="00E54C12" w:rsidRPr="00BB54DF">
        <w:rPr>
          <w:rFonts w:cs="Arial"/>
        </w:rPr>
        <w:t xml:space="preserve"> than men </w:t>
      </w:r>
      <w:r w:rsidR="00FE4564" w:rsidRPr="00BB54DF">
        <w:rPr>
          <w:rFonts w:cs="Arial"/>
        </w:rPr>
        <w:t>(</w:t>
      </w:r>
      <w:r w:rsidR="00E54C12" w:rsidRPr="00BB54DF">
        <w:rPr>
          <w:rFonts w:cs="Arial"/>
        </w:rPr>
        <w:t>1</w:t>
      </w:r>
      <w:r w:rsidR="00EC47FC" w:rsidRPr="00BB54DF">
        <w:rPr>
          <w:rFonts w:cs="Arial"/>
        </w:rPr>
        <w:t>.</w:t>
      </w:r>
      <w:r w:rsidR="00E54C12" w:rsidRPr="00BB54DF">
        <w:rPr>
          <w:rFonts w:cs="Arial"/>
        </w:rPr>
        <w:t xml:space="preserve">00 </w:t>
      </w:r>
      <w:r w:rsidR="00E507DF" w:rsidRPr="00BB54DF">
        <w:rPr>
          <w:rFonts w:cs="Arial"/>
        </w:rPr>
        <w:t>[</w:t>
      </w:r>
      <w:r w:rsidR="00E54C12" w:rsidRPr="00BB54DF">
        <w:rPr>
          <w:rFonts w:cs="Arial"/>
        </w:rPr>
        <w:t>0</w:t>
      </w:r>
      <w:r w:rsidR="00EC47FC" w:rsidRPr="00BB54DF">
        <w:rPr>
          <w:rFonts w:cs="Arial"/>
        </w:rPr>
        <w:t>.</w:t>
      </w:r>
      <w:r w:rsidR="00E54C12" w:rsidRPr="00BB54DF">
        <w:rPr>
          <w:rFonts w:cs="Arial"/>
        </w:rPr>
        <w:t>83, 1</w:t>
      </w:r>
      <w:r w:rsidR="00EC47FC" w:rsidRPr="00BB54DF">
        <w:rPr>
          <w:rFonts w:cs="Arial"/>
        </w:rPr>
        <w:t>.</w:t>
      </w:r>
      <w:r w:rsidR="00E54C12" w:rsidRPr="00BB54DF">
        <w:rPr>
          <w:rFonts w:cs="Arial"/>
        </w:rPr>
        <w:t>21</w:t>
      </w:r>
      <w:r w:rsidR="00E507DF" w:rsidRPr="00BB54DF">
        <w:rPr>
          <w:rFonts w:cs="Arial"/>
        </w:rPr>
        <w:t>]</w:t>
      </w:r>
      <w:r w:rsidR="00E54C12" w:rsidRPr="00BB54DF">
        <w:rPr>
          <w:rFonts w:cs="Arial"/>
        </w:rPr>
        <w:t xml:space="preserve">). </w:t>
      </w:r>
    </w:p>
    <w:p w14:paraId="5A6F2A31" w14:textId="6E7B5909" w:rsidR="00031DD7" w:rsidRPr="00BB54DF" w:rsidRDefault="002C1797" w:rsidP="00E33A7D">
      <w:pPr>
        <w:spacing w:line="360" w:lineRule="auto"/>
        <w:jc w:val="both"/>
        <w:rPr>
          <w:rFonts w:cs="Arial"/>
        </w:rPr>
      </w:pPr>
      <w:r w:rsidRPr="00BB54DF">
        <w:rPr>
          <w:rFonts w:cs="Arial"/>
        </w:rPr>
        <w:t>T</w:t>
      </w:r>
      <w:r w:rsidR="00523E86" w:rsidRPr="00BB54DF">
        <w:rPr>
          <w:rFonts w:cs="Arial"/>
        </w:rPr>
        <w:t xml:space="preserve">hose in the highest </w:t>
      </w:r>
      <w:r w:rsidRPr="00BB54DF">
        <w:rPr>
          <w:rFonts w:cs="Arial"/>
        </w:rPr>
        <w:t xml:space="preserve">MPR quartile </w:t>
      </w:r>
      <w:r w:rsidR="00F178EF" w:rsidRPr="00BB54DF">
        <w:rPr>
          <w:rFonts w:cs="Arial"/>
        </w:rPr>
        <w:t xml:space="preserve">ratio </w:t>
      </w:r>
      <w:r w:rsidR="00523E86" w:rsidRPr="00BB54DF">
        <w:rPr>
          <w:rFonts w:cs="Arial"/>
        </w:rPr>
        <w:t xml:space="preserve">category were at highest risk of CKD stage worsening </w:t>
      </w:r>
      <w:r w:rsidR="00E929CD" w:rsidRPr="00BB54DF">
        <w:rPr>
          <w:rFonts w:cs="Arial"/>
        </w:rPr>
        <w:t xml:space="preserve">and </w:t>
      </w:r>
      <w:r w:rsidR="00523E86" w:rsidRPr="00BB54DF">
        <w:rPr>
          <w:rFonts w:cs="Arial"/>
        </w:rPr>
        <w:t xml:space="preserve">those with the lowest </w:t>
      </w:r>
      <w:r w:rsidR="00F178EF" w:rsidRPr="00BB54DF">
        <w:rPr>
          <w:rFonts w:cs="Arial"/>
        </w:rPr>
        <w:t xml:space="preserve">ratio </w:t>
      </w:r>
      <w:r w:rsidR="00523E86" w:rsidRPr="00BB54DF">
        <w:rPr>
          <w:rFonts w:cs="Arial"/>
        </w:rPr>
        <w:t>were at least risk</w:t>
      </w:r>
      <w:r w:rsidR="00E929CD" w:rsidRPr="00BB54DF">
        <w:rPr>
          <w:rFonts w:cs="Arial"/>
        </w:rPr>
        <w:t>,</w:t>
      </w:r>
      <w:r w:rsidR="00523E86" w:rsidRPr="00BB54DF">
        <w:rPr>
          <w:rFonts w:cs="Arial"/>
        </w:rPr>
        <w:t xml:space="preserve"> although </w:t>
      </w:r>
      <w:r w:rsidR="00E929CD" w:rsidRPr="00BB54DF">
        <w:rPr>
          <w:rFonts w:cs="Arial"/>
        </w:rPr>
        <w:t>the CIs</w:t>
      </w:r>
      <w:r w:rsidR="00523E86" w:rsidRPr="00BB54DF">
        <w:rPr>
          <w:rFonts w:cs="Arial"/>
        </w:rPr>
        <w:t xml:space="preserve"> overlapped</w:t>
      </w:r>
      <w:r w:rsidR="001A47F3" w:rsidRPr="00BB54DF">
        <w:rPr>
          <w:rFonts w:cs="Arial"/>
        </w:rPr>
        <w:t xml:space="preserve"> (</w:t>
      </w:r>
      <w:r w:rsidR="00E929CD" w:rsidRPr="00BB54DF">
        <w:rPr>
          <w:rFonts w:cs="Arial"/>
        </w:rPr>
        <w:t xml:space="preserve">Supplement </w:t>
      </w:r>
      <w:r w:rsidR="00901A7C" w:rsidRPr="00BB54DF">
        <w:rPr>
          <w:rFonts w:cs="Arial"/>
        </w:rPr>
        <w:t>5</w:t>
      </w:r>
      <w:r w:rsidR="001A47F3" w:rsidRPr="00BB54DF">
        <w:rPr>
          <w:rFonts w:cs="Arial"/>
        </w:rPr>
        <w:t>)</w:t>
      </w:r>
      <w:r w:rsidR="00523E86" w:rsidRPr="00BB54DF">
        <w:rPr>
          <w:rFonts w:cs="Arial"/>
        </w:rPr>
        <w:t xml:space="preserve">. </w:t>
      </w:r>
    </w:p>
    <w:p w14:paraId="1565EB93" w14:textId="1BB6918E" w:rsidR="00854EFD" w:rsidRPr="00BB54DF" w:rsidRDefault="003C7B66" w:rsidP="00854EFD">
      <w:pPr>
        <w:spacing w:line="360" w:lineRule="auto"/>
        <w:jc w:val="both"/>
        <w:rPr>
          <w:rFonts w:cs="Arial"/>
        </w:rPr>
      </w:pPr>
      <w:r w:rsidRPr="00BB54DF">
        <w:rPr>
          <w:rFonts w:cs="Arial"/>
        </w:rPr>
        <w:t>The array analysis</w:t>
      </w:r>
      <w:r w:rsidR="00E35086" w:rsidRPr="00BB54DF">
        <w:rPr>
          <w:rFonts w:cs="Arial"/>
        </w:rPr>
        <w:t xml:space="preserve"> (Figure</w:t>
      </w:r>
      <w:r w:rsidR="000A7D23" w:rsidRPr="00BB54DF">
        <w:rPr>
          <w:rFonts w:cs="Arial"/>
        </w:rPr>
        <w:t>s</w:t>
      </w:r>
      <w:r w:rsidR="00E35086" w:rsidRPr="00BB54DF">
        <w:rPr>
          <w:rFonts w:cs="Arial"/>
        </w:rPr>
        <w:t xml:space="preserve"> </w:t>
      </w:r>
      <w:r w:rsidR="00AE6E6F" w:rsidRPr="00BB54DF">
        <w:rPr>
          <w:rFonts w:cs="Arial"/>
        </w:rPr>
        <w:t>3</w:t>
      </w:r>
      <w:r w:rsidR="00E35086" w:rsidRPr="00BB54DF">
        <w:rPr>
          <w:rFonts w:cs="Arial"/>
        </w:rPr>
        <w:t>a</w:t>
      </w:r>
      <w:r w:rsidR="000A7D23" w:rsidRPr="00BB54DF">
        <w:rPr>
          <w:rFonts w:cs="Arial"/>
        </w:rPr>
        <w:t>-</w:t>
      </w:r>
      <w:r w:rsidR="00E35086" w:rsidRPr="00BB54DF">
        <w:rPr>
          <w:rFonts w:cs="Arial"/>
        </w:rPr>
        <w:t>b)</w:t>
      </w:r>
      <w:r w:rsidRPr="00BB54DF">
        <w:rPr>
          <w:rFonts w:cs="Arial"/>
        </w:rPr>
        <w:t xml:space="preserve"> </w:t>
      </w:r>
      <w:r w:rsidR="00854EFD" w:rsidRPr="00BB54DF">
        <w:rPr>
          <w:rFonts w:cs="Arial"/>
        </w:rPr>
        <w:t xml:space="preserve">showed that unmeasured confounding </w:t>
      </w:r>
      <w:r w:rsidR="00E929CD" w:rsidRPr="00BB54DF">
        <w:rPr>
          <w:rFonts w:cs="Arial"/>
        </w:rPr>
        <w:t>was</w:t>
      </w:r>
      <w:r w:rsidR="00854EFD" w:rsidRPr="00BB54DF">
        <w:rPr>
          <w:rFonts w:cs="Arial"/>
        </w:rPr>
        <w:t xml:space="preserve"> unlikely to negate the identified risk</w:t>
      </w:r>
      <w:r w:rsidR="00E35086" w:rsidRPr="00BB54DF">
        <w:rPr>
          <w:rFonts w:cs="Arial"/>
        </w:rPr>
        <w:t xml:space="preserve"> of HR</w:t>
      </w:r>
      <w:r w:rsidR="00E02084" w:rsidRPr="00BB54DF">
        <w:rPr>
          <w:rFonts w:cs="Arial"/>
        </w:rPr>
        <w:t xml:space="preserve"> </w:t>
      </w:r>
      <w:r w:rsidR="00E35086" w:rsidRPr="00BB54DF">
        <w:rPr>
          <w:rFonts w:cs="Arial"/>
        </w:rPr>
        <w:t>1</w:t>
      </w:r>
      <w:r w:rsidR="00EC47FC" w:rsidRPr="00BB54DF">
        <w:rPr>
          <w:rFonts w:cs="Arial"/>
        </w:rPr>
        <w:t>.</w:t>
      </w:r>
      <w:r w:rsidR="00E35086" w:rsidRPr="00BB54DF">
        <w:rPr>
          <w:rFonts w:cs="Arial"/>
        </w:rPr>
        <w:t>1</w:t>
      </w:r>
      <w:r w:rsidR="007469A6" w:rsidRPr="00BB54DF">
        <w:rPr>
          <w:rFonts w:cs="Arial"/>
        </w:rPr>
        <w:t>4</w:t>
      </w:r>
      <w:r w:rsidR="00F55F9F" w:rsidRPr="00BB54DF">
        <w:rPr>
          <w:rFonts w:cs="Arial"/>
        </w:rPr>
        <w:t xml:space="preserve"> </w:t>
      </w:r>
      <w:r w:rsidR="00F5425D" w:rsidRPr="00BB54DF">
        <w:rPr>
          <w:rFonts w:cs="Arial"/>
        </w:rPr>
        <w:t>(</w:t>
      </w:r>
      <w:r w:rsidR="00F83520" w:rsidRPr="00BB54DF">
        <w:rPr>
          <w:rFonts w:cs="Arial"/>
        </w:rPr>
        <w:t>1</w:t>
      </w:r>
      <w:r w:rsidR="00EC47FC" w:rsidRPr="00BB54DF">
        <w:rPr>
          <w:rFonts w:cs="Arial"/>
        </w:rPr>
        <w:t>.</w:t>
      </w:r>
      <w:r w:rsidR="00F83520" w:rsidRPr="00BB54DF">
        <w:rPr>
          <w:rFonts w:cs="Arial"/>
        </w:rPr>
        <w:t>0</w:t>
      </w:r>
      <w:r w:rsidR="007469A6" w:rsidRPr="00BB54DF">
        <w:rPr>
          <w:rFonts w:cs="Arial"/>
        </w:rPr>
        <w:t>4</w:t>
      </w:r>
      <w:r w:rsidR="00F83520" w:rsidRPr="00BB54DF">
        <w:rPr>
          <w:rFonts w:cs="Arial"/>
        </w:rPr>
        <w:t>, 1</w:t>
      </w:r>
      <w:r w:rsidR="00EC47FC" w:rsidRPr="00BB54DF">
        <w:rPr>
          <w:rFonts w:cs="Arial"/>
        </w:rPr>
        <w:t>.</w:t>
      </w:r>
      <w:r w:rsidR="00F83520" w:rsidRPr="00BB54DF">
        <w:rPr>
          <w:rFonts w:cs="Arial"/>
        </w:rPr>
        <w:t>2</w:t>
      </w:r>
      <w:r w:rsidR="007469A6" w:rsidRPr="00BB54DF">
        <w:rPr>
          <w:rFonts w:cs="Arial"/>
        </w:rPr>
        <w:t>6</w:t>
      </w:r>
      <w:r w:rsidR="00F5425D" w:rsidRPr="00BB54DF">
        <w:rPr>
          <w:rFonts w:cs="Arial"/>
        </w:rPr>
        <w:t>)</w:t>
      </w:r>
      <w:r w:rsidR="00E35086" w:rsidRPr="00BB54DF">
        <w:rPr>
          <w:rFonts w:cs="Arial"/>
        </w:rPr>
        <w:t xml:space="preserve">. </w:t>
      </w:r>
      <w:r w:rsidR="00854EFD" w:rsidRPr="00BB54DF">
        <w:rPr>
          <w:rFonts w:cs="Arial"/>
        </w:rPr>
        <w:t xml:space="preserve">For the risk identified to be negated, more than 50% of the </w:t>
      </w:r>
      <w:r w:rsidR="00E929CD" w:rsidRPr="00BB54DF">
        <w:rPr>
          <w:rFonts w:cs="Arial"/>
        </w:rPr>
        <w:t xml:space="preserve">bisphosphonate users </w:t>
      </w:r>
      <w:r w:rsidR="00854EFD" w:rsidRPr="00BB54DF">
        <w:rPr>
          <w:rFonts w:cs="Arial"/>
        </w:rPr>
        <w:t>need</w:t>
      </w:r>
      <w:r w:rsidR="00E507DF" w:rsidRPr="00BB54DF">
        <w:rPr>
          <w:rFonts w:cs="Arial"/>
        </w:rPr>
        <w:t>ed</w:t>
      </w:r>
      <w:r w:rsidR="00854EFD" w:rsidRPr="00BB54DF">
        <w:rPr>
          <w:rFonts w:cs="Arial"/>
        </w:rPr>
        <w:t xml:space="preserve"> to have the confounder, with a</w:t>
      </w:r>
      <w:r w:rsidR="005D2991" w:rsidRPr="00BB54DF">
        <w:rPr>
          <w:rFonts w:cs="Arial"/>
        </w:rPr>
        <w:t>n</w:t>
      </w:r>
      <w:r w:rsidR="00854EFD" w:rsidRPr="00BB54DF">
        <w:rPr>
          <w:rFonts w:cs="Arial"/>
        </w:rPr>
        <w:t xml:space="preserve"> </w:t>
      </w:r>
      <w:r w:rsidR="00FA20DE" w:rsidRPr="00BB54DF">
        <w:rPr>
          <w:rFonts w:cs="Arial"/>
        </w:rPr>
        <w:t>HR</w:t>
      </w:r>
      <w:r w:rsidR="00854EFD" w:rsidRPr="00BB54DF">
        <w:rPr>
          <w:rFonts w:cs="Arial"/>
        </w:rPr>
        <w:t xml:space="preserve"> of 3</w:t>
      </w:r>
      <w:r w:rsidR="00EC47FC" w:rsidRPr="00BB54DF">
        <w:rPr>
          <w:rFonts w:cs="Arial"/>
        </w:rPr>
        <w:t>.</w:t>
      </w:r>
      <w:r w:rsidR="00854EFD" w:rsidRPr="00BB54DF">
        <w:rPr>
          <w:rFonts w:cs="Arial"/>
        </w:rPr>
        <w:t>0 between the confounder and CKD stage worsening</w:t>
      </w:r>
      <w:r w:rsidR="00FA20DE" w:rsidRPr="00BB54DF">
        <w:rPr>
          <w:rFonts w:cs="Arial"/>
        </w:rPr>
        <w:t xml:space="preserve">. </w:t>
      </w:r>
      <w:r w:rsidR="00E929CD" w:rsidRPr="00BB54DF">
        <w:rPr>
          <w:rFonts w:cs="Arial"/>
        </w:rPr>
        <w:t>T</w:t>
      </w:r>
      <w:r w:rsidR="00854EFD" w:rsidRPr="00BB54DF">
        <w:rPr>
          <w:rFonts w:cs="Arial"/>
        </w:rPr>
        <w:t xml:space="preserve">he </w:t>
      </w:r>
      <w:r w:rsidR="00FA20DE" w:rsidRPr="00BB54DF">
        <w:rPr>
          <w:rFonts w:cs="Arial"/>
        </w:rPr>
        <w:t xml:space="preserve">presented </w:t>
      </w:r>
      <w:r w:rsidR="00854EFD" w:rsidRPr="00BB54DF">
        <w:rPr>
          <w:rFonts w:cs="Arial"/>
        </w:rPr>
        <w:t>result</w:t>
      </w:r>
      <w:r w:rsidR="00E507DF" w:rsidRPr="00BB54DF">
        <w:rPr>
          <w:rFonts w:cs="Arial"/>
        </w:rPr>
        <w:t>s</w:t>
      </w:r>
      <w:r w:rsidR="00854EFD" w:rsidRPr="00BB54DF">
        <w:rPr>
          <w:rFonts w:cs="Arial"/>
        </w:rPr>
        <w:t xml:space="preserve"> </w:t>
      </w:r>
      <w:r w:rsidR="00FA20DE" w:rsidRPr="00BB54DF">
        <w:rPr>
          <w:rFonts w:cs="Arial"/>
        </w:rPr>
        <w:t>would be</w:t>
      </w:r>
      <w:r w:rsidR="00854EFD" w:rsidRPr="00BB54DF">
        <w:rPr>
          <w:rFonts w:cs="Arial"/>
        </w:rPr>
        <w:t xml:space="preserve"> </w:t>
      </w:r>
      <w:r w:rsidR="005D2991" w:rsidRPr="00BB54DF">
        <w:rPr>
          <w:rFonts w:cs="Arial"/>
        </w:rPr>
        <w:t xml:space="preserve">more than </w:t>
      </w:r>
      <w:r w:rsidR="00854EFD" w:rsidRPr="00BB54DF">
        <w:rPr>
          <w:rFonts w:cs="Arial"/>
        </w:rPr>
        <w:t>25% biased</w:t>
      </w:r>
      <w:r w:rsidR="00FA20DE" w:rsidRPr="00BB54DF">
        <w:rPr>
          <w:rFonts w:cs="Arial"/>
        </w:rPr>
        <w:t xml:space="preserve">. </w:t>
      </w:r>
      <w:r w:rsidR="00E929CD" w:rsidRPr="00BB54DF">
        <w:rPr>
          <w:rFonts w:cs="Arial"/>
        </w:rPr>
        <w:t>T</w:t>
      </w:r>
      <w:r w:rsidR="00FA20DE" w:rsidRPr="00BB54DF">
        <w:rPr>
          <w:rFonts w:cs="Arial"/>
        </w:rPr>
        <w:t xml:space="preserve">he results would </w:t>
      </w:r>
      <w:r w:rsidR="00E929CD" w:rsidRPr="00BB54DF">
        <w:rPr>
          <w:rFonts w:cs="Arial"/>
        </w:rPr>
        <w:t xml:space="preserve">also </w:t>
      </w:r>
      <w:r w:rsidR="00FA20DE" w:rsidRPr="00BB54DF">
        <w:rPr>
          <w:rFonts w:cs="Arial"/>
        </w:rPr>
        <w:t xml:space="preserve">be negated if </w:t>
      </w:r>
      <w:r w:rsidR="00854EFD" w:rsidRPr="00BB54DF">
        <w:rPr>
          <w:rFonts w:cs="Arial"/>
        </w:rPr>
        <w:t>more than 80%</w:t>
      </w:r>
      <w:r w:rsidR="00FA20DE" w:rsidRPr="00BB54DF">
        <w:rPr>
          <w:rFonts w:cs="Arial"/>
        </w:rPr>
        <w:t xml:space="preserve"> of </w:t>
      </w:r>
      <w:r w:rsidR="00E929CD" w:rsidRPr="00BB54DF">
        <w:rPr>
          <w:rFonts w:cs="Arial"/>
        </w:rPr>
        <w:t xml:space="preserve">the participants </w:t>
      </w:r>
      <w:r w:rsidR="00FA20DE" w:rsidRPr="00BB54DF">
        <w:rPr>
          <w:rFonts w:cs="Arial"/>
        </w:rPr>
        <w:t xml:space="preserve">had </w:t>
      </w:r>
      <w:r w:rsidR="00854EFD" w:rsidRPr="00BB54DF">
        <w:rPr>
          <w:rFonts w:cs="Arial"/>
        </w:rPr>
        <w:t>the confound</w:t>
      </w:r>
      <w:r w:rsidR="00FA20DE" w:rsidRPr="00BB54DF">
        <w:rPr>
          <w:rFonts w:cs="Arial"/>
        </w:rPr>
        <w:t>er</w:t>
      </w:r>
      <w:r w:rsidR="00E507DF" w:rsidRPr="00BB54DF">
        <w:rPr>
          <w:rFonts w:cs="Arial"/>
        </w:rPr>
        <w:t>,</w:t>
      </w:r>
      <w:r w:rsidR="00854EFD" w:rsidRPr="00BB54DF">
        <w:rPr>
          <w:rFonts w:cs="Arial"/>
        </w:rPr>
        <w:t xml:space="preserve"> with an association</w:t>
      </w:r>
      <w:r w:rsidR="00FA20DE" w:rsidRPr="00BB54DF">
        <w:rPr>
          <w:rFonts w:cs="Arial"/>
        </w:rPr>
        <w:t xml:space="preserve"> (HR) of</w:t>
      </w:r>
      <w:r w:rsidR="00854EFD" w:rsidRPr="00BB54DF">
        <w:rPr>
          <w:rFonts w:cs="Arial"/>
        </w:rPr>
        <w:t xml:space="preserve"> 1</w:t>
      </w:r>
      <w:r w:rsidR="00EC47FC" w:rsidRPr="00BB54DF">
        <w:rPr>
          <w:rFonts w:cs="Arial"/>
        </w:rPr>
        <w:t>.</w:t>
      </w:r>
      <w:r w:rsidR="00854EFD" w:rsidRPr="00BB54DF">
        <w:rPr>
          <w:rFonts w:cs="Arial"/>
        </w:rPr>
        <w:t xml:space="preserve">75 </w:t>
      </w:r>
      <w:r w:rsidR="00AE6E6F" w:rsidRPr="00BB54DF">
        <w:rPr>
          <w:rFonts w:cs="Arial"/>
        </w:rPr>
        <w:t>(results 20% biased)</w:t>
      </w:r>
      <w:r w:rsidR="00E929CD" w:rsidRPr="00BB54DF">
        <w:rPr>
          <w:rFonts w:cs="Arial"/>
        </w:rPr>
        <w:t>.</w:t>
      </w:r>
      <w:r w:rsidR="00854EFD" w:rsidRPr="00BB54DF">
        <w:rPr>
          <w:rFonts w:cs="Arial"/>
        </w:rPr>
        <w:t xml:space="preserve"> </w:t>
      </w:r>
    </w:p>
    <w:p w14:paraId="1AABE621" w14:textId="54F97E37" w:rsidR="00901A7C" w:rsidRPr="00BB54DF" w:rsidRDefault="00854EFD" w:rsidP="00901A7C">
      <w:pPr>
        <w:rPr>
          <w:rFonts w:cs="Arial"/>
        </w:rPr>
      </w:pPr>
      <w:r w:rsidRPr="00BB54DF">
        <w:rPr>
          <w:rFonts w:cs="Arial"/>
        </w:rPr>
        <w:t xml:space="preserve">[Figure </w:t>
      </w:r>
      <w:r w:rsidR="00651FD2" w:rsidRPr="00BB54DF">
        <w:rPr>
          <w:rFonts w:cs="Arial"/>
        </w:rPr>
        <w:t>3</w:t>
      </w:r>
      <w:r w:rsidRPr="00BB54DF">
        <w:rPr>
          <w:rFonts w:cs="Arial"/>
        </w:rPr>
        <w:t>]</w:t>
      </w:r>
    </w:p>
    <w:p w14:paraId="026BE099" w14:textId="77777777" w:rsidR="002F0A8C" w:rsidRPr="00BB54DF" w:rsidRDefault="002F0A8C" w:rsidP="00901A7C">
      <w:pPr>
        <w:rPr>
          <w:rFonts w:ascii="Times New Roman" w:hAnsi="Times New Roman"/>
          <w:b/>
          <w:sz w:val="20"/>
          <w:szCs w:val="20"/>
        </w:rPr>
      </w:pPr>
    </w:p>
    <w:p w14:paraId="38E6989E" w14:textId="76F4B430" w:rsidR="00A1729B" w:rsidRPr="00BB54DF" w:rsidRDefault="00A1729B" w:rsidP="00605BDA">
      <w:pPr>
        <w:spacing w:line="360" w:lineRule="auto"/>
        <w:jc w:val="both"/>
        <w:outlineLvl w:val="0"/>
        <w:rPr>
          <w:rFonts w:cs="Arial"/>
          <w:u w:val="single"/>
        </w:rPr>
      </w:pPr>
      <w:r w:rsidRPr="00BB54DF">
        <w:rPr>
          <w:rFonts w:cs="Arial"/>
          <w:u w:val="single"/>
        </w:rPr>
        <w:t xml:space="preserve">Acute </w:t>
      </w:r>
      <w:r w:rsidR="00E929CD" w:rsidRPr="00BB54DF">
        <w:rPr>
          <w:rFonts w:cs="Arial"/>
          <w:u w:val="single"/>
        </w:rPr>
        <w:t>k</w:t>
      </w:r>
      <w:r w:rsidRPr="00BB54DF">
        <w:rPr>
          <w:rFonts w:cs="Arial"/>
          <w:u w:val="single"/>
        </w:rPr>
        <w:t xml:space="preserve">idney </w:t>
      </w:r>
      <w:r w:rsidR="00E929CD" w:rsidRPr="00BB54DF">
        <w:rPr>
          <w:rFonts w:cs="Arial"/>
          <w:u w:val="single"/>
        </w:rPr>
        <w:t>i</w:t>
      </w:r>
      <w:r w:rsidRPr="00BB54DF">
        <w:rPr>
          <w:rFonts w:cs="Arial"/>
          <w:u w:val="single"/>
        </w:rPr>
        <w:t xml:space="preserve">njury </w:t>
      </w:r>
    </w:p>
    <w:p w14:paraId="09798698" w14:textId="78481813" w:rsidR="00E929CD" w:rsidRPr="00BB54DF" w:rsidRDefault="00E929CD" w:rsidP="00593AA0">
      <w:pPr>
        <w:spacing w:line="360" w:lineRule="auto"/>
      </w:pPr>
      <w:r w:rsidRPr="00BB54DF">
        <w:t>T</w:t>
      </w:r>
      <w:r w:rsidR="00E54C12" w:rsidRPr="00BB54DF">
        <w:t xml:space="preserve">he </w:t>
      </w:r>
      <w:r w:rsidRPr="00BB54DF">
        <w:t>PS-</w:t>
      </w:r>
      <w:r w:rsidR="00E54C12" w:rsidRPr="00BB54DF">
        <w:t xml:space="preserve">matched </w:t>
      </w:r>
      <w:r w:rsidR="00A1729B" w:rsidRPr="00BB54DF">
        <w:t>CPRD and SIDIAP</w:t>
      </w:r>
      <w:r w:rsidRPr="00BB54DF">
        <w:t xml:space="preserve"> </w:t>
      </w:r>
      <w:r w:rsidR="00E507DF" w:rsidRPr="00BB54DF">
        <w:t xml:space="preserve">cohorts </w:t>
      </w:r>
      <w:r w:rsidRPr="00BB54DF">
        <w:t xml:space="preserve">contained 482 and 597 </w:t>
      </w:r>
      <w:r w:rsidR="00492D32" w:rsidRPr="00BB54DF">
        <w:t>acute kidney injury</w:t>
      </w:r>
      <w:r w:rsidRPr="00BB54DF">
        <w:t xml:space="preserve"> events, respectively</w:t>
      </w:r>
      <w:r w:rsidR="00A1729B" w:rsidRPr="00BB54DF">
        <w:t xml:space="preserve">. </w:t>
      </w:r>
      <w:r w:rsidRPr="00BB54DF">
        <w:t>T</w:t>
      </w:r>
      <w:r w:rsidR="00265112" w:rsidRPr="00BB54DF">
        <w:t>he</w:t>
      </w:r>
      <w:r w:rsidR="00E33A7D" w:rsidRPr="00BB54DF">
        <w:t xml:space="preserve">re </w:t>
      </w:r>
      <w:r w:rsidRPr="00BB54DF">
        <w:t>w</w:t>
      </w:r>
      <w:r w:rsidR="005D2991" w:rsidRPr="00BB54DF">
        <w:t>as</w:t>
      </w:r>
      <w:r w:rsidR="00E33A7D" w:rsidRPr="00BB54DF">
        <w:t xml:space="preserve"> no </w:t>
      </w:r>
      <w:r w:rsidR="00265112" w:rsidRPr="00BB54DF">
        <w:t xml:space="preserve">significant </w:t>
      </w:r>
      <w:r w:rsidR="00867936" w:rsidRPr="00BB54DF">
        <w:t>difference</w:t>
      </w:r>
      <w:r w:rsidR="00102A41" w:rsidRPr="00BB54DF">
        <w:t xml:space="preserve"> </w:t>
      </w:r>
      <w:r w:rsidR="00867936" w:rsidRPr="00BB54DF">
        <w:t>in</w:t>
      </w:r>
      <w:r w:rsidR="00265112" w:rsidRPr="00BB54DF">
        <w:t xml:space="preserve"> </w:t>
      </w:r>
      <w:r w:rsidR="00E33A7D" w:rsidRPr="00BB54DF">
        <w:t xml:space="preserve">the risk of </w:t>
      </w:r>
      <w:r w:rsidR="00265112" w:rsidRPr="00BB54DF">
        <w:t xml:space="preserve">developing </w:t>
      </w:r>
      <w:r w:rsidR="000A7D23" w:rsidRPr="00BB54DF">
        <w:t xml:space="preserve">an </w:t>
      </w:r>
      <w:r w:rsidR="00492D32" w:rsidRPr="00BB54DF">
        <w:t>acute kidney injury</w:t>
      </w:r>
      <w:r w:rsidR="00265112" w:rsidRPr="00BB54DF">
        <w:t xml:space="preserve"> </w:t>
      </w:r>
      <w:r w:rsidRPr="00BB54DF">
        <w:t>between bisphosphonate users and non</w:t>
      </w:r>
      <w:r w:rsidR="00102A41" w:rsidRPr="00BB54DF">
        <w:t>-users</w:t>
      </w:r>
      <w:r w:rsidR="005D2991" w:rsidRPr="00BB54DF">
        <w:t>,</w:t>
      </w:r>
      <w:r w:rsidRPr="00BB54DF">
        <w:t xml:space="preserve"> with </w:t>
      </w:r>
      <w:r w:rsidR="00593AA0" w:rsidRPr="00BB54DF">
        <w:t>a combined s</w:t>
      </w:r>
      <w:r w:rsidR="005D2991" w:rsidRPr="00BB54DF">
        <w:t>ub-</w:t>
      </w:r>
      <w:r w:rsidRPr="00BB54DF">
        <w:t>HR</w:t>
      </w:r>
      <w:r w:rsidR="00593AA0" w:rsidRPr="00BB54DF">
        <w:t xml:space="preserve"> </w:t>
      </w:r>
      <w:r w:rsidR="00F5425D" w:rsidRPr="00BB54DF">
        <w:t>(</w:t>
      </w:r>
      <w:r w:rsidRPr="00BB54DF">
        <w:t>95% C</w:t>
      </w:r>
      <w:r w:rsidR="00102A41" w:rsidRPr="00BB54DF">
        <w:t>I</w:t>
      </w:r>
      <w:r w:rsidR="00F5425D" w:rsidRPr="00BB54DF">
        <w:t>)</w:t>
      </w:r>
      <w:r w:rsidRPr="00BB54DF">
        <w:t xml:space="preserve"> of</w:t>
      </w:r>
      <w:r w:rsidR="00854EFD" w:rsidRPr="00BB54DF">
        <w:t xml:space="preserve"> </w:t>
      </w:r>
      <w:r w:rsidR="00835D2B" w:rsidRPr="00BB54DF">
        <w:t>0</w:t>
      </w:r>
      <w:r w:rsidR="00EC47FC" w:rsidRPr="00BB54DF">
        <w:t>.</w:t>
      </w:r>
      <w:r w:rsidR="00593AA0" w:rsidRPr="00BB54DF">
        <w:t xml:space="preserve">92 </w:t>
      </w:r>
      <w:r w:rsidR="00F5425D" w:rsidRPr="00BB54DF">
        <w:t>(</w:t>
      </w:r>
      <w:r w:rsidR="00835D2B" w:rsidRPr="00BB54DF">
        <w:t>0</w:t>
      </w:r>
      <w:r w:rsidR="00EC47FC" w:rsidRPr="00BB54DF">
        <w:t>.</w:t>
      </w:r>
      <w:r w:rsidR="00593AA0" w:rsidRPr="00BB54DF">
        <w:t>78</w:t>
      </w:r>
      <w:r w:rsidR="00B35178" w:rsidRPr="00BB54DF">
        <w:t>, 1</w:t>
      </w:r>
      <w:r w:rsidR="00EC47FC" w:rsidRPr="00BB54DF">
        <w:t>.</w:t>
      </w:r>
      <w:r w:rsidR="00835D2B" w:rsidRPr="00BB54DF">
        <w:t>0</w:t>
      </w:r>
      <w:r w:rsidR="00593AA0" w:rsidRPr="00BB54DF">
        <w:t>8</w:t>
      </w:r>
      <w:r w:rsidR="00F5425D" w:rsidRPr="00BB54DF">
        <w:t>)</w:t>
      </w:r>
      <w:r w:rsidR="00B35178" w:rsidRPr="00BB54DF">
        <w:t xml:space="preserve"> </w:t>
      </w:r>
      <w:r w:rsidR="00854EFD" w:rsidRPr="00BB54DF">
        <w:t>(Table 2)</w:t>
      </w:r>
      <w:r w:rsidR="00B35178" w:rsidRPr="00BB54DF">
        <w:t>.</w:t>
      </w:r>
    </w:p>
    <w:p w14:paraId="76C11808" w14:textId="7861D0C4" w:rsidR="00461922" w:rsidRPr="00BB54DF" w:rsidRDefault="00E929CD" w:rsidP="00270D51">
      <w:pPr>
        <w:spacing w:line="360" w:lineRule="auto"/>
        <w:jc w:val="both"/>
        <w:rPr>
          <w:rFonts w:cs="Arial"/>
        </w:rPr>
      </w:pPr>
      <w:r w:rsidRPr="00BB54DF">
        <w:rPr>
          <w:rFonts w:cs="Arial"/>
        </w:rPr>
        <w:t>N</w:t>
      </w:r>
      <w:r w:rsidR="00B35178" w:rsidRPr="00BB54DF">
        <w:rPr>
          <w:rFonts w:cs="Arial"/>
        </w:rPr>
        <w:t>o</w:t>
      </w:r>
      <w:r w:rsidR="00523E86" w:rsidRPr="00BB54DF">
        <w:rPr>
          <w:rFonts w:cs="Arial"/>
        </w:rPr>
        <w:t xml:space="preserve"> significant interaction</w:t>
      </w:r>
      <w:r w:rsidR="00B35178" w:rsidRPr="00BB54DF">
        <w:rPr>
          <w:rFonts w:cs="Arial"/>
        </w:rPr>
        <w:t>s were identified</w:t>
      </w:r>
      <w:r w:rsidRPr="00BB54DF">
        <w:rPr>
          <w:rFonts w:cs="Arial"/>
        </w:rPr>
        <w:t xml:space="preserve"> in sensitivity analyses</w:t>
      </w:r>
      <w:r w:rsidR="00B35178" w:rsidRPr="00BB54DF">
        <w:rPr>
          <w:rFonts w:cs="Arial"/>
        </w:rPr>
        <w:t>.</w:t>
      </w:r>
      <w:r w:rsidR="00523E86" w:rsidRPr="00BB54DF">
        <w:rPr>
          <w:rFonts w:cs="Arial"/>
        </w:rPr>
        <w:t xml:space="preserve"> </w:t>
      </w:r>
      <w:r w:rsidR="004A4570" w:rsidRPr="00BB54DF">
        <w:rPr>
          <w:rFonts w:cs="Arial"/>
        </w:rPr>
        <w:t>Less than 15</w:t>
      </w:r>
      <w:r w:rsidR="00806C09" w:rsidRPr="00BB54DF">
        <w:rPr>
          <w:rFonts w:cs="Arial"/>
        </w:rPr>
        <w:t xml:space="preserve">% of </w:t>
      </w:r>
      <w:r w:rsidR="00E507DF" w:rsidRPr="00BB54DF">
        <w:rPr>
          <w:rFonts w:cs="Arial"/>
        </w:rPr>
        <w:t xml:space="preserve">the </w:t>
      </w:r>
      <w:r w:rsidRPr="00BB54DF">
        <w:rPr>
          <w:rFonts w:cs="Arial"/>
        </w:rPr>
        <w:t>participants</w:t>
      </w:r>
      <w:r w:rsidR="00806C09" w:rsidRPr="00BB54DF">
        <w:rPr>
          <w:rFonts w:cs="Arial"/>
        </w:rPr>
        <w:t xml:space="preserve"> experience</w:t>
      </w:r>
      <w:r w:rsidR="008641FE" w:rsidRPr="00BB54DF">
        <w:rPr>
          <w:rFonts w:cs="Arial"/>
        </w:rPr>
        <w:t>d</w:t>
      </w:r>
      <w:r w:rsidR="00806C09" w:rsidRPr="00BB54DF">
        <w:rPr>
          <w:rFonts w:cs="Arial"/>
        </w:rPr>
        <w:t xml:space="preserve"> </w:t>
      </w:r>
      <w:r w:rsidRPr="00BB54DF">
        <w:rPr>
          <w:rFonts w:cs="Arial"/>
        </w:rPr>
        <w:t xml:space="preserve">an </w:t>
      </w:r>
      <w:r w:rsidR="00492D32" w:rsidRPr="00BB54DF">
        <w:rPr>
          <w:rFonts w:cs="Arial"/>
        </w:rPr>
        <w:t>acute kidney injury</w:t>
      </w:r>
      <w:r w:rsidR="00806C09" w:rsidRPr="00BB54DF">
        <w:rPr>
          <w:rFonts w:cs="Arial"/>
        </w:rPr>
        <w:t xml:space="preserve"> within 10 years (</w:t>
      </w:r>
      <w:r w:rsidR="007340D2" w:rsidRPr="00BB54DF">
        <w:rPr>
          <w:rFonts w:cs="Arial"/>
        </w:rPr>
        <w:t>Supplement 6</w:t>
      </w:r>
      <w:r w:rsidR="00806C09" w:rsidRPr="00BB54DF">
        <w:rPr>
          <w:rFonts w:cs="Arial"/>
        </w:rPr>
        <w:t>).</w:t>
      </w:r>
      <w:r w:rsidR="00270D51" w:rsidRPr="00BB54DF">
        <w:rPr>
          <w:rFonts w:cs="Arial"/>
        </w:rPr>
        <w:t xml:space="preserve"> </w:t>
      </w:r>
      <w:r w:rsidRPr="00BB54DF">
        <w:rPr>
          <w:rFonts w:cs="Arial"/>
        </w:rPr>
        <w:lastRenderedPageBreak/>
        <w:t>Participants</w:t>
      </w:r>
      <w:r w:rsidR="00617789" w:rsidRPr="00BB54DF">
        <w:rPr>
          <w:rFonts w:cs="Arial"/>
        </w:rPr>
        <w:t xml:space="preserve"> exposed to bisphosphonates</w:t>
      </w:r>
      <w:r w:rsidRPr="00BB54DF">
        <w:rPr>
          <w:rFonts w:cs="Arial"/>
        </w:rPr>
        <w:t xml:space="preserve"> </w:t>
      </w:r>
      <w:r w:rsidR="00270D51" w:rsidRPr="00BB54DF">
        <w:rPr>
          <w:rFonts w:cs="Arial"/>
        </w:rPr>
        <w:t>with a</w:t>
      </w:r>
      <w:r w:rsidRPr="00BB54DF">
        <w:rPr>
          <w:rFonts w:cs="Arial"/>
        </w:rPr>
        <w:t xml:space="preserve"> </w:t>
      </w:r>
      <w:r w:rsidR="00102A41" w:rsidRPr="00BB54DF">
        <w:rPr>
          <w:rFonts w:cs="Arial"/>
        </w:rPr>
        <w:t>MPR</w:t>
      </w:r>
      <w:r w:rsidR="00270D51" w:rsidRPr="00BB54DF">
        <w:rPr>
          <w:rFonts w:cs="Arial"/>
        </w:rPr>
        <w:t xml:space="preserve"> between 97% and 105</w:t>
      </w:r>
      <w:r w:rsidR="00EC47FC" w:rsidRPr="00BB54DF">
        <w:rPr>
          <w:rFonts w:cs="Arial"/>
        </w:rPr>
        <w:t>.</w:t>
      </w:r>
      <w:r w:rsidR="00270D51" w:rsidRPr="00BB54DF">
        <w:rPr>
          <w:rFonts w:cs="Arial"/>
        </w:rPr>
        <w:t xml:space="preserve">2% had a </w:t>
      </w:r>
      <w:r w:rsidR="00867936" w:rsidRPr="00BB54DF">
        <w:rPr>
          <w:rFonts w:cs="Arial"/>
        </w:rPr>
        <w:t>lower</w:t>
      </w:r>
      <w:r w:rsidR="00270D51" w:rsidRPr="00BB54DF">
        <w:rPr>
          <w:rFonts w:cs="Arial"/>
        </w:rPr>
        <w:t xml:space="preserve"> risk of </w:t>
      </w:r>
      <w:r w:rsidR="00492D32" w:rsidRPr="00BB54DF">
        <w:rPr>
          <w:rFonts w:cs="Arial"/>
        </w:rPr>
        <w:t>acute kidney injury</w:t>
      </w:r>
      <w:r w:rsidR="00270D51" w:rsidRPr="00BB54DF">
        <w:rPr>
          <w:rFonts w:cs="Arial"/>
        </w:rPr>
        <w:t xml:space="preserve"> </w:t>
      </w:r>
      <w:r w:rsidR="00867936" w:rsidRPr="00BB54DF">
        <w:rPr>
          <w:rFonts w:cs="Arial"/>
        </w:rPr>
        <w:t xml:space="preserve">than if </w:t>
      </w:r>
      <w:r w:rsidR="00617789" w:rsidRPr="00BB54DF">
        <w:rPr>
          <w:rFonts w:cs="Arial"/>
        </w:rPr>
        <w:t xml:space="preserve">matched </w:t>
      </w:r>
      <w:r w:rsidR="00867936" w:rsidRPr="00BB54DF">
        <w:rPr>
          <w:rFonts w:cs="Arial"/>
        </w:rPr>
        <w:t>unexposed</w:t>
      </w:r>
      <w:r w:rsidR="00617789" w:rsidRPr="00BB54DF">
        <w:rPr>
          <w:rFonts w:cs="Arial"/>
        </w:rPr>
        <w:t xml:space="preserve"> patients</w:t>
      </w:r>
      <w:r w:rsidR="00867936" w:rsidRPr="00BB54DF">
        <w:rPr>
          <w:rFonts w:cs="Arial"/>
        </w:rPr>
        <w:t xml:space="preserve"> </w:t>
      </w:r>
      <w:r w:rsidR="00357C99" w:rsidRPr="00BB54DF">
        <w:rPr>
          <w:rFonts w:cs="Arial"/>
        </w:rPr>
        <w:t>(</w:t>
      </w:r>
      <w:r w:rsidR="00270D51" w:rsidRPr="00BB54DF">
        <w:rPr>
          <w:rFonts w:cs="Arial"/>
        </w:rPr>
        <w:t xml:space="preserve">HR </w:t>
      </w:r>
      <w:r w:rsidR="008C644A" w:rsidRPr="00BB54DF">
        <w:rPr>
          <w:rFonts w:cs="Arial"/>
        </w:rPr>
        <w:t>[</w:t>
      </w:r>
      <w:r w:rsidR="00270D51" w:rsidRPr="00BB54DF">
        <w:rPr>
          <w:rFonts w:cs="Arial"/>
        </w:rPr>
        <w:t>95% CI</w:t>
      </w:r>
      <w:r w:rsidR="008C644A" w:rsidRPr="00BB54DF">
        <w:rPr>
          <w:rFonts w:cs="Arial"/>
        </w:rPr>
        <w:t>]</w:t>
      </w:r>
      <w:r w:rsidR="00270D51" w:rsidRPr="00BB54DF">
        <w:rPr>
          <w:rFonts w:cs="Arial"/>
        </w:rPr>
        <w:t>: 0</w:t>
      </w:r>
      <w:r w:rsidR="00EC47FC" w:rsidRPr="00BB54DF">
        <w:rPr>
          <w:rFonts w:cs="Arial"/>
        </w:rPr>
        <w:t>.</w:t>
      </w:r>
      <w:r w:rsidR="00270D51" w:rsidRPr="00BB54DF">
        <w:rPr>
          <w:rFonts w:cs="Arial"/>
        </w:rPr>
        <w:t xml:space="preserve">55 </w:t>
      </w:r>
      <w:r w:rsidR="008C644A" w:rsidRPr="00BB54DF">
        <w:rPr>
          <w:rFonts w:cs="Arial"/>
        </w:rPr>
        <w:t>[</w:t>
      </w:r>
      <w:r w:rsidR="00270D51" w:rsidRPr="00BB54DF">
        <w:rPr>
          <w:rFonts w:cs="Arial"/>
        </w:rPr>
        <w:t>0</w:t>
      </w:r>
      <w:r w:rsidR="00EC47FC" w:rsidRPr="00BB54DF">
        <w:rPr>
          <w:rFonts w:cs="Arial"/>
        </w:rPr>
        <w:t>.</w:t>
      </w:r>
      <w:r w:rsidR="00270D51" w:rsidRPr="00BB54DF">
        <w:rPr>
          <w:rFonts w:cs="Arial"/>
        </w:rPr>
        <w:t>32</w:t>
      </w:r>
      <w:r w:rsidR="008C644A" w:rsidRPr="00BB54DF">
        <w:rPr>
          <w:rFonts w:cs="Arial"/>
        </w:rPr>
        <w:t>,</w:t>
      </w:r>
      <w:r w:rsidR="00270D51" w:rsidRPr="00BB54DF">
        <w:rPr>
          <w:rFonts w:cs="Arial"/>
        </w:rPr>
        <w:t xml:space="preserve"> 0</w:t>
      </w:r>
      <w:r w:rsidR="00EC47FC" w:rsidRPr="00BB54DF">
        <w:rPr>
          <w:rFonts w:cs="Arial"/>
        </w:rPr>
        <w:t>.</w:t>
      </w:r>
      <w:r w:rsidR="00270D51" w:rsidRPr="00BB54DF">
        <w:rPr>
          <w:rFonts w:cs="Arial"/>
        </w:rPr>
        <w:t>9</w:t>
      </w:r>
      <w:r w:rsidR="00357C99" w:rsidRPr="00BB54DF">
        <w:rPr>
          <w:rFonts w:cs="Arial"/>
        </w:rPr>
        <w:t>4</w:t>
      </w:r>
      <w:r w:rsidR="008C644A" w:rsidRPr="00BB54DF">
        <w:rPr>
          <w:rFonts w:cs="Arial"/>
        </w:rPr>
        <w:t>]</w:t>
      </w:r>
      <w:r w:rsidR="00270D51" w:rsidRPr="00BB54DF">
        <w:rPr>
          <w:rFonts w:cs="Arial"/>
        </w:rPr>
        <w:t>)</w:t>
      </w:r>
      <w:r w:rsidR="005D2991" w:rsidRPr="00BB54DF">
        <w:rPr>
          <w:rFonts w:cs="Arial"/>
        </w:rPr>
        <w:t>.</w:t>
      </w:r>
      <w:r w:rsidR="00461922" w:rsidRPr="00BB54DF">
        <w:rPr>
          <w:rFonts w:cs="Arial"/>
        </w:rPr>
        <w:t xml:space="preserve"> </w:t>
      </w:r>
      <w:r w:rsidR="005D2991" w:rsidRPr="00BB54DF">
        <w:rPr>
          <w:rFonts w:cs="Arial"/>
        </w:rPr>
        <w:t>H</w:t>
      </w:r>
      <w:r w:rsidR="00461922" w:rsidRPr="00BB54DF">
        <w:rPr>
          <w:rFonts w:cs="Arial"/>
        </w:rPr>
        <w:t>owever</w:t>
      </w:r>
      <w:r w:rsidR="005D2991" w:rsidRPr="00BB54DF">
        <w:rPr>
          <w:rFonts w:cs="Arial"/>
        </w:rPr>
        <w:t>,</w:t>
      </w:r>
      <w:r w:rsidR="00461922" w:rsidRPr="00BB54DF">
        <w:rPr>
          <w:rFonts w:cs="Arial"/>
        </w:rPr>
        <w:t xml:space="preserve"> no dose</w:t>
      </w:r>
      <w:r w:rsidRPr="00BB54DF">
        <w:rPr>
          <w:rFonts w:cs="Arial"/>
        </w:rPr>
        <w:t>-</w:t>
      </w:r>
      <w:r w:rsidR="00461922" w:rsidRPr="00BB54DF">
        <w:rPr>
          <w:rFonts w:cs="Arial"/>
        </w:rPr>
        <w:t>response effect was found.</w:t>
      </w:r>
    </w:p>
    <w:p w14:paraId="35292A2A" w14:textId="77777777" w:rsidR="00A1729B" w:rsidRPr="00BB54DF" w:rsidRDefault="00897A9F" w:rsidP="00D656C2">
      <w:pPr>
        <w:spacing w:line="360" w:lineRule="auto"/>
        <w:jc w:val="both"/>
        <w:rPr>
          <w:rFonts w:cs="Arial"/>
          <w:u w:val="single"/>
        </w:rPr>
      </w:pPr>
      <w:r w:rsidRPr="00BB54DF">
        <w:rPr>
          <w:rFonts w:cs="Arial"/>
          <w:u w:val="single"/>
        </w:rPr>
        <w:t>Gastrointestinal events</w:t>
      </w:r>
    </w:p>
    <w:p w14:paraId="2BEE3577" w14:textId="46DC7667" w:rsidR="009014CF" w:rsidRPr="00BB54DF" w:rsidRDefault="009014CF" w:rsidP="00E33A7D">
      <w:pPr>
        <w:spacing w:line="360" w:lineRule="auto"/>
        <w:jc w:val="both"/>
        <w:rPr>
          <w:rFonts w:cs="Arial"/>
        </w:rPr>
      </w:pPr>
      <w:r w:rsidRPr="00BB54DF">
        <w:rPr>
          <w:rFonts w:cs="Arial"/>
        </w:rPr>
        <w:t>The r</w:t>
      </w:r>
      <w:r w:rsidR="005043B4" w:rsidRPr="00BB54DF">
        <w:rPr>
          <w:rFonts w:cs="Arial"/>
        </w:rPr>
        <w:t xml:space="preserve">ates of </w:t>
      </w:r>
      <w:r w:rsidR="00492D32" w:rsidRPr="00BB54DF">
        <w:rPr>
          <w:rFonts w:cs="Arial"/>
        </w:rPr>
        <w:t>gastrointestinal events</w:t>
      </w:r>
      <w:r w:rsidR="005043B4" w:rsidRPr="00BB54DF">
        <w:rPr>
          <w:rFonts w:cs="Arial"/>
        </w:rPr>
        <w:t xml:space="preserve"> were </w:t>
      </w:r>
      <w:r w:rsidR="00B35178" w:rsidRPr="00BB54DF">
        <w:rPr>
          <w:rFonts w:cs="Arial"/>
        </w:rPr>
        <w:t>5</w:t>
      </w:r>
      <w:r w:rsidR="00EC47FC" w:rsidRPr="00BB54DF">
        <w:rPr>
          <w:rFonts w:cs="Arial"/>
        </w:rPr>
        <w:t>.</w:t>
      </w:r>
      <w:r w:rsidR="00B35178" w:rsidRPr="00BB54DF">
        <w:rPr>
          <w:rFonts w:cs="Arial"/>
        </w:rPr>
        <w:t xml:space="preserve">5 </w:t>
      </w:r>
      <w:r w:rsidR="00F5425D" w:rsidRPr="00BB54DF">
        <w:rPr>
          <w:rFonts w:cs="Arial"/>
        </w:rPr>
        <w:t>(</w:t>
      </w:r>
      <w:r w:rsidR="00B35178" w:rsidRPr="00BB54DF">
        <w:rPr>
          <w:rFonts w:cs="Arial"/>
        </w:rPr>
        <w:t>4</w:t>
      </w:r>
      <w:r w:rsidR="00EC47FC" w:rsidRPr="00BB54DF">
        <w:rPr>
          <w:rFonts w:cs="Arial"/>
        </w:rPr>
        <w:t>.</w:t>
      </w:r>
      <w:r w:rsidR="00B35178" w:rsidRPr="00BB54DF">
        <w:rPr>
          <w:rFonts w:cs="Arial"/>
        </w:rPr>
        <w:t>0, 7</w:t>
      </w:r>
      <w:r w:rsidR="00EC47FC" w:rsidRPr="00BB54DF">
        <w:rPr>
          <w:rFonts w:cs="Arial"/>
        </w:rPr>
        <w:t>.</w:t>
      </w:r>
      <w:r w:rsidR="00B35178" w:rsidRPr="00BB54DF">
        <w:rPr>
          <w:rFonts w:cs="Arial"/>
        </w:rPr>
        <w:t>5</w:t>
      </w:r>
      <w:r w:rsidR="00F5425D" w:rsidRPr="00BB54DF">
        <w:rPr>
          <w:rFonts w:cs="Arial"/>
        </w:rPr>
        <w:t>)</w:t>
      </w:r>
      <w:r w:rsidRPr="00BB54DF">
        <w:rPr>
          <w:rFonts w:cs="Arial"/>
        </w:rPr>
        <w:t xml:space="preserve"> per 1,000 patient-years for users and</w:t>
      </w:r>
      <w:r w:rsidR="005043B4" w:rsidRPr="00BB54DF">
        <w:rPr>
          <w:rFonts w:cs="Arial"/>
        </w:rPr>
        <w:t xml:space="preserve"> </w:t>
      </w:r>
      <w:r w:rsidR="00B35178" w:rsidRPr="00BB54DF">
        <w:rPr>
          <w:rFonts w:cs="Arial"/>
        </w:rPr>
        <w:t>6</w:t>
      </w:r>
      <w:r w:rsidR="00EC47FC" w:rsidRPr="00BB54DF">
        <w:rPr>
          <w:rFonts w:cs="Arial"/>
        </w:rPr>
        <w:t>.</w:t>
      </w:r>
      <w:r w:rsidR="00B35178" w:rsidRPr="00BB54DF">
        <w:rPr>
          <w:rFonts w:cs="Arial"/>
        </w:rPr>
        <w:t xml:space="preserve">4 </w:t>
      </w:r>
      <w:r w:rsidR="00F5425D" w:rsidRPr="00BB54DF">
        <w:rPr>
          <w:rFonts w:cs="Arial"/>
        </w:rPr>
        <w:t>(</w:t>
      </w:r>
      <w:r w:rsidR="00B35178" w:rsidRPr="00BB54DF">
        <w:rPr>
          <w:rFonts w:cs="Arial"/>
        </w:rPr>
        <w:t>5</w:t>
      </w:r>
      <w:r w:rsidR="00EC47FC" w:rsidRPr="00BB54DF">
        <w:rPr>
          <w:rFonts w:cs="Arial"/>
        </w:rPr>
        <w:t>.</w:t>
      </w:r>
      <w:r w:rsidR="00B35178" w:rsidRPr="00BB54DF">
        <w:rPr>
          <w:rFonts w:cs="Arial"/>
        </w:rPr>
        <w:t>5, 7</w:t>
      </w:r>
      <w:r w:rsidR="00EC47FC" w:rsidRPr="00BB54DF">
        <w:rPr>
          <w:rFonts w:cs="Arial"/>
        </w:rPr>
        <w:t>.</w:t>
      </w:r>
      <w:r w:rsidR="00B35178" w:rsidRPr="00BB54DF">
        <w:rPr>
          <w:rFonts w:cs="Arial"/>
        </w:rPr>
        <w:t>4</w:t>
      </w:r>
      <w:r w:rsidR="00F5425D" w:rsidRPr="00BB54DF">
        <w:rPr>
          <w:rFonts w:cs="Arial"/>
        </w:rPr>
        <w:t>)</w:t>
      </w:r>
      <w:r w:rsidRPr="00BB54DF">
        <w:rPr>
          <w:rFonts w:cs="Arial"/>
        </w:rPr>
        <w:t xml:space="preserve"> for non-users in the CPRD </w:t>
      </w:r>
      <w:r w:rsidR="008C644A" w:rsidRPr="00BB54DF">
        <w:rPr>
          <w:rFonts w:cs="Arial"/>
        </w:rPr>
        <w:t>PS-</w:t>
      </w:r>
      <w:r w:rsidRPr="00BB54DF">
        <w:rPr>
          <w:rFonts w:cs="Arial"/>
        </w:rPr>
        <w:t>matched cohort and</w:t>
      </w:r>
      <w:r w:rsidR="005043B4" w:rsidRPr="00BB54DF">
        <w:rPr>
          <w:rFonts w:cs="Arial"/>
        </w:rPr>
        <w:t xml:space="preserve"> </w:t>
      </w:r>
      <w:r w:rsidR="00B35178" w:rsidRPr="00BB54DF">
        <w:rPr>
          <w:rFonts w:cs="Arial"/>
        </w:rPr>
        <w:t>1</w:t>
      </w:r>
      <w:r w:rsidR="00EC47FC" w:rsidRPr="00BB54DF">
        <w:rPr>
          <w:rFonts w:cs="Arial"/>
        </w:rPr>
        <w:t>.</w:t>
      </w:r>
      <w:r w:rsidR="00B35178" w:rsidRPr="00BB54DF">
        <w:rPr>
          <w:rFonts w:cs="Arial"/>
        </w:rPr>
        <w:t xml:space="preserve">9 </w:t>
      </w:r>
      <w:r w:rsidR="00F5425D" w:rsidRPr="00BB54DF">
        <w:rPr>
          <w:rFonts w:cs="Arial"/>
        </w:rPr>
        <w:t>(</w:t>
      </w:r>
      <w:r w:rsidR="00B35178" w:rsidRPr="00BB54DF">
        <w:rPr>
          <w:rFonts w:cs="Arial"/>
        </w:rPr>
        <w:t>0</w:t>
      </w:r>
      <w:r w:rsidR="00EC47FC" w:rsidRPr="00BB54DF">
        <w:rPr>
          <w:rFonts w:cs="Arial"/>
        </w:rPr>
        <w:t>.</w:t>
      </w:r>
      <w:r w:rsidR="00357C99" w:rsidRPr="00BB54DF">
        <w:rPr>
          <w:rFonts w:cs="Arial"/>
        </w:rPr>
        <w:t>9, 3</w:t>
      </w:r>
      <w:r w:rsidR="00EC47FC" w:rsidRPr="00BB54DF">
        <w:rPr>
          <w:rFonts w:cs="Arial"/>
        </w:rPr>
        <w:t>.</w:t>
      </w:r>
      <w:r w:rsidR="00357C99" w:rsidRPr="00BB54DF">
        <w:rPr>
          <w:rFonts w:cs="Arial"/>
        </w:rPr>
        <w:t>5</w:t>
      </w:r>
      <w:r w:rsidR="00F5425D" w:rsidRPr="00BB54DF">
        <w:rPr>
          <w:rFonts w:cs="Arial"/>
        </w:rPr>
        <w:t>)</w:t>
      </w:r>
      <w:r w:rsidR="005043B4" w:rsidRPr="00BB54DF">
        <w:rPr>
          <w:rFonts w:cs="Arial"/>
        </w:rPr>
        <w:t xml:space="preserve"> </w:t>
      </w:r>
      <w:r w:rsidRPr="00BB54DF">
        <w:rPr>
          <w:rFonts w:cs="Arial"/>
        </w:rPr>
        <w:t xml:space="preserve">for users </w:t>
      </w:r>
      <w:r w:rsidR="005043B4" w:rsidRPr="00BB54DF">
        <w:rPr>
          <w:rFonts w:cs="Arial"/>
        </w:rPr>
        <w:t xml:space="preserve">and </w:t>
      </w:r>
      <w:r w:rsidR="00270D51" w:rsidRPr="00BB54DF">
        <w:rPr>
          <w:rFonts w:cs="Arial"/>
        </w:rPr>
        <w:t>1</w:t>
      </w:r>
      <w:r w:rsidR="00EC47FC" w:rsidRPr="00BB54DF">
        <w:rPr>
          <w:rFonts w:cs="Arial"/>
        </w:rPr>
        <w:t>.</w:t>
      </w:r>
      <w:r w:rsidR="00270D51" w:rsidRPr="00BB54DF">
        <w:rPr>
          <w:rFonts w:cs="Arial"/>
        </w:rPr>
        <w:t xml:space="preserve">9 </w:t>
      </w:r>
      <w:r w:rsidR="00F5425D" w:rsidRPr="00BB54DF">
        <w:rPr>
          <w:rFonts w:cs="Arial"/>
        </w:rPr>
        <w:t>(</w:t>
      </w:r>
      <w:r w:rsidR="00270D51" w:rsidRPr="00BB54DF">
        <w:rPr>
          <w:rFonts w:cs="Arial"/>
        </w:rPr>
        <w:t>1</w:t>
      </w:r>
      <w:r w:rsidR="00EC47FC" w:rsidRPr="00BB54DF">
        <w:rPr>
          <w:rFonts w:cs="Arial"/>
        </w:rPr>
        <w:t>.</w:t>
      </w:r>
      <w:r w:rsidR="00270D51" w:rsidRPr="00BB54DF">
        <w:rPr>
          <w:rFonts w:cs="Arial"/>
        </w:rPr>
        <w:t>4, 2</w:t>
      </w:r>
      <w:r w:rsidR="00EC47FC" w:rsidRPr="00BB54DF">
        <w:rPr>
          <w:rFonts w:cs="Arial"/>
        </w:rPr>
        <w:t>.</w:t>
      </w:r>
      <w:r w:rsidR="00270D51" w:rsidRPr="00BB54DF">
        <w:rPr>
          <w:rFonts w:cs="Arial"/>
        </w:rPr>
        <w:t>5</w:t>
      </w:r>
      <w:r w:rsidR="00F5425D" w:rsidRPr="00BB54DF">
        <w:rPr>
          <w:rFonts w:cs="Arial"/>
        </w:rPr>
        <w:t>)</w:t>
      </w:r>
      <w:r w:rsidR="004A4570" w:rsidRPr="00BB54DF">
        <w:rPr>
          <w:rFonts w:cs="Arial"/>
        </w:rPr>
        <w:t xml:space="preserve"> </w:t>
      </w:r>
      <w:r w:rsidRPr="00BB54DF">
        <w:rPr>
          <w:rFonts w:cs="Arial"/>
        </w:rPr>
        <w:t xml:space="preserve">for non-users in the SIDIAP </w:t>
      </w:r>
      <w:r w:rsidR="008C644A" w:rsidRPr="00BB54DF">
        <w:rPr>
          <w:rFonts w:cs="Arial"/>
        </w:rPr>
        <w:t>PS-</w:t>
      </w:r>
      <w:r w:rsidRPr="00BB54DF">
        <w:rPr>
          <w:rFonts w:cs="Arial"/>
        </w:rPr>
        <w:t>matched cohort</w:t>
      </w:r>
      <w:r w:rsidR="005043B4" w:rsidRPr="00BB54DF">
        <w:rPr>
          <w:rFonts w:cs="Arial"/>
        </w:rPr>
        <w:t xml:space="preserve">. </w:t>
      </w:r>
      <w:r w:rsidR="00867936" w:rsidRPr="00BB54DF">
        <w:rPr>
          <w:rFonts w:cs="Arial"/>
        </w:rPr>
        <w:t>No difference was found between users and non-users in any of the cohorts</w:t>
      </w:r>
      <w:r w:rsidR="00270D51" w:rsidRPr="00BB54DF">
        <w:rPr>
          <w:rFonts w:cs="Arial"/>
        </w:rPr>
        <w:t xml:space="preserve"> </w:t>
      </w:r>
      <w:r w:rsidR="00AC16D9" w:rsidRPr="00BB54DF">
        <w:rPr>
          <w:rFonts w:cs="Arial"/>
        </w:rPr>
        <w:t>(</w:t>
      </w:r>
      <w:r w:rsidR="00270D51" w:rsidRPr="00BB54DF">
        <w:rPr>
          <w:rFonts w:cs="Arial"/>
        </w:rPr>
        <w:t>Table 2</w:t>
      </w:r>
      <w:r w:rsidR="00AC16D9" w:rsidRPr="00BB54DF">
        <w:rPr>
          <w:rFonts w:cs="Arial"/>
        </w:rPr>
        <w:t>)</w:t>
      </w:r>
      <w:r w:rsidR="00E33A7D" w:rsidRPr="00BB54DF">
        <w:rPr>
          <w:rFonts w:cs="Arial"/>
        </w:rPr>
        <w:t xml:space="preserve">. </w:t>
      </w:r>
    </w:p>
    <w:p w14:paraId="07434F6D" w14:textId="01CBAFB3" w:rsidR="00606B29" w:rsidRPr="00BB54DF" w:rsidRDefault="009014CF" w:rsidP="00E33A7D">
      <w:pPr>
        <w:spacing w:line="360" w:lineRule="auto"/>
        <w:jc w:val="both"/>
        <w:rPr>
          <w:rFonts w:cs="Arial"/>
        </w:rPr>
      </w:pPr>
      <w:r w:rsidRPr="00BB54DF">
        <w:rPr>
          <w:rFonts w:cs="Arial"/>
        </w:rPr>
        <w:t>N</w:t>
      </w:r>
      <w:r w:rsidR="00523E86" w:rsidRPr="00BB54DF">
        <w:rPr>
          <w:rFonts w:cs="Arial"/>
        </w:rPr>
        <w:t>o interactions were identified</w:t>
      </w:r>
      <w:r w:rsidRPr="00BB54DF">
        <w:rPr>
          <w:rFonts w:cs="Arial"/>
        </w:rPr>
        <w:t xml:space="preserve"> in sensitivity analyses</w:t>
      </w:r>
      <w:r w:rsidR="00523E86" w:rsidRPr="00BB54DF">
        <w:rPr>
          <w:rFonts w:cs="Arial"/>
        </w:rPr>
        <w:t xml:space="preserve">. </w:t>
      </w:r>
      <w:r w:rsidR="00806C09" w:rsidRPr="00BB54DF">
        <w:rPr>
          <w:rFonts w:cs="Arial"/>
        </w:rPr>
        <w:t xml:space="preserve">More than 95% of </w:t>
      </w:r>
      <w:r w:rsidRPr="00BB54DF">
        <w:rPr>
          <w:rFonts w:cs="Arial"/>
        </w:rPr>
        <w:t>participants</w:t>
      </w:r>
      <w:r w:rsidR="00806C09" w:rsidRPr="00BB54DF">
        <w:rPr>
          <w:rFonts w:cs="Arial"/>
        </w:rPr>
        <w:t xml:space="preserve"> did not experience </w:t>
      </w:r>
      <w:r w:rsidRPr="00BB54DF">
        <w:rPr>
          <w:rFonts w:cs="Arial"/>
        </w:rPr>
        <w:t xml:space="preserve">a </w:t>
      </w:r>
      <w:proofErr w:type="gramStart"/>
      <w:r w:rsidR="00492D32" w:rsidRPr="00BB54DF">
        <w:rPr>
          <w:rFonts w:cs="Arial"/>
        </w:rPr>
        <w:t>gastrointestinal events</w:t>
      </w:r>
      <w:proofErr w:type="gramEnd"/>
      <w:r w:rsidR="002273FD" w:rsidRPr="00BB54DF">
        <w:rPr>
          <w:rFonts w:cs="Arial"/>
        </w:rPr>
        <w:t xml:space="preserve"> </w:t>
      </w:r>
      <w:r w:rsidR="00806C09" w:rsidRPr="00BB54DF">
        <w:rPr>
          <w:rFonts w:cs="Arial"/>
        </w:rPr>
        <w:t>within 10 years (</w:t>
      </w:r>
      <w:r w:rsidR="007340D2" w:rsidRPr="00BB54DF">
        <w:rPr>
          <w:rFonts w:cs="Arial"/>
        </w:rPr>
        <w:t>Supplement 7</w:t>
      </w:r>
      <w:r w:rsidR="00806C09" w:rsidRPr="00BB54DF">
        <w:rPr>
          <w:rFonts w:cs="Arial"/>
        </w:rPr>
        <w:t>).</w:t>
      </w:r>
    </w:p>
    <w:p w14:paraId="3C4AB01F" w14:textId="77777777" w:rsidR="00897A9F" w:rsidRPr="00BB54DF" w:rsidRDefault="00897A9F" w:rsidP="00605BDA">
      <w:pPr>
        <w:spacing w:line="360" w:lineRule="auto"/>
        <w:jc w:val="both"/>
        <w:outlineLvl w:val="0"/>
        <w:rPr>
          <w:rFonts w:cs="Arial"/>
          <w:u w:val="single"/>
        </w:rPr>
      </w:pPr>
      <w:r w:rsidRPr="00BB54DF">
        <w:rPr>
          <w:rFonts w:cs="Arial"/>
          <w:u w:val="single"/>
        </w:rPr>
        <w:t>Hypocalcaemia</w:t>
      </w:r>
    </w:p>
    <w:p w14:paraId="3481F7AF" w14:textId="78F76A4E" w:rsidR="00AC16D9" w:rsidRPr="00BB54DF" w:rsidRDefault="00E33A7D" w:rsidP="00D656C2">
      <w:pPr>
        <w:spacing w:line="360" w:lineRule="auto"/>
        <w:jc w:val="both"/>
        <w:rPr>
          <w:rFonts w:cs="Arial"/>
          <w:b/>
          <w:u w:val="single"/>
        </w:rPr>
      </w:pPr>
      <w:r w:rsidRPr="00BB54DF">
        <w:rPr>
          <w:rFonts w:cs="Arial"/>
        </w:rPr>
        <w:t>H</w:t>
      </w:r>
      <w:r w:rsidR="00606B29" w:rsidRPr="00BB54DF">
        <w:rPr>
          <w:rFonts w:cs="Arial"/>
        </w:rPr>
        <w:t>ospitalisation for h</w:t>
      </w:r>
      <w:r w:rsidRPr="00BB54DF">
        <w:rPr>
          <w:rFonts w:cs="Arial"/>
        </w:rPr>
        <w:t xml:space="preserve">ypocalcaemia </w:t>
      </w:r>
      <w:r w:rsidR="00606B29" w:rsidRPr="00BB54DF">
        <w:rPr>
          <w:rFonts w:cs="Arial"/>
        </w:rPr>
        <w:t>was</w:t>
      </w:r>
      <w:r w:rsidRPr="00BB54DF">
        <w:rPr>
          <w:rFonts w:cs="Arial"/>
        </w:rPr>
        <w:t xml:space="preserve"> rare</w:t>
      </w:r>
      <w:r w:rsidR="009014CF" w:rsidRPr="00BB54DF">
        <w:rPr>
          <w:rFonts w:cs="Arial"/>
        </w:rPr>
        <w:t>,</w:t>
      </w:r>
      <w:r w:rsidRPr="00BB54DF">
        <w:rPr>
          <w:rFonts w:cs="Arial"/>
        </w:rPr>
        <w:t xml:space="preserve"> w</w:t>
      </w:r>
      <w:r w:rsidR="00F11DAD" w:rsidRPr="00BB54DF">
        <w:rPr>
          <w:rFonts w:cs="Arial"/>
        </w:rPr>
        <w:t xml:space="preserve">ith only </w:t>
      </w:r>
      <w:r w:rsidR="00270D51" w:rsidRPr="00BB54DF">
        <w:rPr>
          <w:rFonts w:cs="Arial"/>
        </w:rPr>
        <w:t>28</w:t>
      </w:r>
      <w:r w:rsidR="00F11DAD" w:rsidRPr="00BB54DF">
        <w:rPr>
          <w:rFonts w:cs="Arial"/>
        </w:rPr>
        <w:t xml:space="preserve"> events in</w:t>
      </w:r>
      <w:r w:rsidR="00270D51" w:rsidRPr="00BB54DF">
        <w:rPr>
          <w:rFonts w:cs="Arial"/>
        </w:rPr>
        <w:t xml:space="preserve"> the </w:t>
      </w:r>
      <w:r w:rsidR="009014CF" w:rsidRPr="00BB54DF">
        <w:rPr>
          <w:rFonts w:cs="Arial"/>
        </w:rPr>
        <w:t xml:space="preserve">CPRD </w:t>
      </w:r>
      <w:r w:rsidR="00270D51" w:rsidRPr="00BB54DF">
        <w:rPr>
          <w:rFonts w:cs="Arial"/>
        </w:rPr>
        <w:t>PS</w:t>
      </w:r>
      <w:r w:rsidR="009014CF" w:rsidRPr="00BB54DF">
        <w:rPr>
          <w:rFonts w:cs="Arial"/>
        </w:rPr>
        <w:t>-</w:t>
      </w:r>
      <w:r w:rsidR="00270D51" w:rsidRPr="00BB54DF">
        <w:rPr>
          <w:rFonts w:cs="Arial"/>
        </w:rPr>
        <w:t xml:space="preserve">matched cohort </w:t>
      </w:r>
      <w:r w:rsidR="00F11DAD" w:rsidRPr="00BB54DF">
        <w:rPr>
          <w:rFonts w:cs="Arial"/>
        </w:rPr>
        <w:t xml:space="preserve">and </w:t>
      </w:r>
      <w:r w:rsidR="009014CF" w:rsidRPr="00BB54DF">
        <w:rPr>
          <w:rFonts w:cs="Arial"/>
        </w:rPr>
        <w:t>7</w:t>
      </w:r>
      <w:r w:rsidRPr="00BB54DF">
        <w:rPr>
          <w:rFonts w:cs="Arial"/>
        </w:rPr>
        <w:t xml:space="preserve"> in </w:t>
      </w:r>
      <w:r w:rsidR="00AC16D9" w:rsidRPr="00BB54DF">
        <w:rPr>
          <w:rFonts w:cs="Arial"/>
        </w:rPr>
        <w:t xml:space="preserve">the </w:t>
      </w:r>
      <w:r w:rsidRPr="00BB54DF">
        <w:rPr>
          <w:rFonts w:cs="Arial"/>
        </w:rPr>
        <w:t>SIDIAP</w:t>
      </w:r>
      <w:r w:rsidR="009014CF" w:rsidRPr="00BB54DF">
        <w:rPr>
          <w:rFonts w:cs="Arial"/>
        </w:rPr>
        <w:t xml:space="preserve"> </w:t>
      </w:r>
      <w:r w:rsidR="00AC16D9" w:rsidRPr="00BB54DF">
        <w:rPr>
          <w:rFonts w:cs="Arial"/>
        </w:rPr>
        <w:t>PS-</w:t>
      </w:r>
      <w:r w:rsidR="009014CF" w:rsidRPr="00BB54DF">
        <w:rPr>
          <w:rFonts w:cs="Arial"/>
        </w:rPr>
        <w:t>matched cohort</w:t>
      </w:r>
      <w:r w:rsidRPr="00BB54DF">
        <w:rPr>
          <w:rFonts w:cs="Arial"/>
        </w:rPr>
        <w:t>. The</w:t>
      </w:r>
      <w:r w:rsidR="009314F5" w:rsidRPr="00BB54DF">
        <w:rPr>
          <w:rFonts w:cs="Arial"/>
        </w:rPr>
        <w:t xml:space="preserve">re was no </w:t>
      </w:r>
      <w:r w:rsidR="00617789" w:rsidRPr="00BB54DF">
        <w:rPr>
          <w:rFonts w:cs="Arial"/>
        </w:rPr>
        <w:t xml:space="preserve">difference in </w:t>
      </w:r>
      <w:r w:rsidR="009314F5" w:rsidRPr="00BB54DF">
        <w:rPr>
          <w:rFonts w:cs="Arial"/>
        </w:rPr>
        <w:t xml:space="preserve">risk </w:t>
      </w:r>
      <w:r w:rsidRPr="00BB54DF">
        <w:rPr>
          <w:rFonts w:cs="Arial"/>
        </w:rPr>
        <w:t>in CPRD</w:t>
      </w:r>
      <w:r w:rsidR="009314F5" w:rsidRPr="00BB54DF">
        <w:rPr>
          <w:rFonts w:cs="Arial"/>
        </w:rPr>
        <w:t>, with a</w:t>
      </w:r>
      <w:r w:rsidR="00867936" w:rsidRPr="00BB54DF">
        <w:rPr>
          <w:rFonts w:cs="Arial"/>
        </w:rPr>
        <w:t>n</w:t>
      </w:r>
      <w:r w:rsidR="009314F5" w:rsidRPr="00BB54DF">
        <w:rPr>
          <w:rFonts w:cs="Arial"/>
        </w:rPr>
        <w:t xml:space="preserve"> HR of</w:t>
      </w:r>
      <w:r w:rsidRPr="00BB54DF">
        <w:rPr>
          <w:rFonts w:cs="Arial"/>
        </w:rPr>
        <w:t xml:space="preserve"> 0</w:t>
      </w:r>
      <w:r w:rsidR="00EC47FC" w:rsidRPr="00BB54DF">
        <w:rPr>
          <w:rFonts w:cs="Arial"/>
        </w:rPr>
        <w:t>.</w:t>
      </w:r>
      <w:r w:rsidR="00270D51" w:rsidRPr="00BB54DF">
        <w:rPr>
          <w:rFonts w:cs="Arial"/>
        </w:rPr>
        <w:t>3</w:t>
      </w:r>
      <w:r w:rsidR="00835D2B" w:rsidRPr="00BB54DF">
        <w:rPr>
          <w:rFonts w:cs="Arial"/>
        </w:rPr>
        <w:t>4</w:t>
      </w:r>
      <w:r w:rsidRPr="00BB54DF">
        <w:rPr>
          <w:rFonts w:cs="Arial"/>
        </w:rPr>
        <w:t xml:space="preserve"> (0</w:t>
      </w:r>
      <w:r w:rsidR="00EC47FC" w:rsidRPr="00BB54DF">
        <w:rPr>
          <w:rFonts w:cs="Arial"/>
        </w:rPr>
        <w:t>.</w:t>
      </w:r>
      <w:r w:rsidR="00270D51" w:rsidRPr="00BB54DF">
        <w:rPr>
          <w:rFonts w:cs="Arial"/>
        </w:rPr>
        <w:t xml:space="preserve">08, </w:t>
      </w:r>
      <w:r w:rsidRPr="00BB54DF">
        <w:rPr>
          <w:rFonts w:cs="Arial"/>
        </w:rPr>
        <w:t>1</w:t>
      </w:r>
      <w:r w:rsidR="00EC47FC" w:rsidRPr="00BB54DF">
        <w:rPr>
          <w:rFonts w:cs="Arial"/>
        </w:rPr>
        <w:t>.</w:t>
      </w:r>
      <w:r w:rsidR="00270D51" w:rsidRPr="00BB54DF">
        <w:rPr>
          <w:rFonts w:cs="Arial"/>
        </w:rPr>
        <w:t>4</w:t>
      </w:r>
      <w:r w:rsidR="00835D2B" w:rsidRPr="00BB54DF">
        <w:rPr>
          <w:rFonts w:cs="Arial"/>
        </w:rPr>
        <w:t>3</w:t>
      </w:r>
      <w:r w:rsidRPr="00BB54DF">
        <w:rPr>
          <w:rFonts w:cs="Arial"/>
        </w:rPr>
        <w:t>)</w:t>
      </w:r>
      <w:r w:rsidR="00523E86" w:rsidRPr="00BB54DF">
        <w:rPr>
          <w:rFonts w:cs="Arial"/>
        </w:rPr>
        <w:t xml:space="preserve"> for the PS</w:t>
      </w:r>
      <w:r w:rsidR="009014CF" w:rsidRPr="00BB54DF">
        <w:rPr>
          <w:rFonts w:cs="Arial"/>
        </w:rPr>
        <w:t>-</w:t>
      </w:r>
      <w:r w:rsidR="00523E86" w:rsidRPr="00BB54DF">
        <w:rPr>
          <w:rFonts w:cs="Arial"/>
        </w:rPr>
        <w:t>matched cohort</w:t>
      </w:r>
      <w:r w:rsidRPr="00BB54DF">
        <w:rPr>
          <w:rFonts w:cs="Arial"/>
        </w:rPr>
        <w:t xml:space="preserve">. </w:t>
      </w:r>
      <w:r w:rsidR="00867936" w:rsidRPr="00BB54DF">
        <w:rPr>
          <w:rFonts w:cs="Arial"/>
        </w:rPr>
        <w:t>T</w:t>
      </w:r>
      <w:r w:rsidR="009014CF" w:rsidRPr="00BB54DF">
        <w:rPr>
          <w:rFonts w:cs="Arial"/>
        </w:rPr>
        <w:t xml:space="preserve">he HR </w:t>
      </w:r>
      <w:r w:rsidR="00102A41" w:rsidRPr="00BB54DF">
        <w:rPr>
          <w:rFonts w:cs="Arial"/>
        </w:rPr>
        <w:t>was</w:t>
      </w:r>
      <w:r w:rsidR="009014CF" w:rsidRPr="00BB54DF">
        <w:rPr>
          <w:rFonts w:cs="Arial"/>
        </w:rPr>
        <w:t xml:space="preserve"> not calculated</w:t>
      </w:r>
      <w:r w:rsidR="00867936" w:rsidRPr="00BB54DF">
        <w:rPr>
          <w:rFonts w:cs="Arial"/>
        </w:rPr>
        <w:t xml:space="preserve"> for the SIDIAP cohort due to the few events</w:t>
      </w:r>
      <w:r w:rsidRPr="00BB54DF">
        <w:rPr>
          <w:rFonts w:cs="Arial"/>
        </w:rPr>
        <w:t xml:space="preserve">. </w:t>
      </w:r>
      <w:r w:rsidR="00806C09" w:rsidRPr="00BB54DF">
        <w:rPr>
          <w:rFonts w:cs="Arial"/>
        </w:rPr>
        <w:t xml:space="preserve">More than 99% of </w:t>
      </w:r>
      <w:r w:rsidR="009014CF" w:rsidRPr="00BB54DF">
        <w:rPr>
          <w:rFonts w:cs="Arial"/>
        </w:rPr>
        <w:t>participants</w:t>
      </w:r>
      <w:r w:rsidR="00806C09" w:rsidRPr="00BB54DF">
        <w:rPr>
          <w:rFonts w:cs="Arial"/>
        </w:rPr>
        <w:t xml:space="preserve"> did not </w:t>
      </w:r>
      <w:r w:rsidR="00270D51" w:rsidRPr="00BB54DF">
        <w:rPr>
          <w:rFonts w:cs="Arial"/>
        </w:rPr>
        <w:t xml:space="preserve">experience </w:t>
      </w:r>
      <w:r w:rsidR="00E02084" w:rsidRPr="00BB54DF">
        <w:rPr>
          <w:rFonts w:cs="Arial"/>
        </w:rPr>
        <w:t>hypocalcaemia</w:t>
      </w:r>
      <w:r w:rsidR="00270D51" w:rsidRPr="00BB54DF">
        <w:rPr>
          <w:rFonts w:cs="Arial"/>
        </w:rPr>
        <w:t xml:space="preserve"> within 10 years </w:t>
      </w:r>
      <w:r w:rsidR="009014CF" w:rsidRPr="00BB54DF">
        <w:rPr>
          <w:rFonts w:cs="Arial"/>
        </w:rPr>
        <w:t>(data</w:t>
      </w:r>
      <w:r w:rsidR="00270D51" w:rsidRPr="00BB54DF">
        <w:rPr>
          <w:rFonts w:cs="Arial"/>
        </w:rPr>
        <w:t xml:space="preserve"> not shown</w:t>
      </w:r>
      <w:r w:rsidR="009014CF" w:rsidRPr="00BB54DF">
        <w:rPr>
          <w:rFonts w:cs="Arial"/>
        </w:rPr>
        <w:t>)</w:t>
      </w:r>
      <w:r w:rsidR="00617789" w:rsidRPr="00BB54DF">
        <w:rPr>
          <w:rFonts w:cs="Arial"/>
        </w:rPr>
        <w:t xml:space="preserve"> in both cohorts</w:t>
      </w:r>
      <w:r w:rsidR="00806C09" w:rsidRPr="00BB54DF">
        <w:rPr>
          <w:rFonts w:cs="Arial"/>
        </w:rPr>
        <w:t>.</w:t>
      </w:r>
      <w:r w:rsidR="00AC16D9" w:rsidRPr="00BB54DF">
        <w:rPr>
          <w:rFonts w:cs="Arial"/>
          <w:b/>
          <w:u w:val="single"/>
        </w:rPr>
        <w:br w:type="page"/>
      </w:r>
    </w:p>
    <w:p w14:paraId="54D084CD" w14:textId="2210DCDF" w:rsidR="00E364C9" w:rsidRPr="00BB54DF" w:rsidRDefault="001C7FF5" w:rsidP="00D656C2">
      <w:pPr>
        <w:rPr>
          <w:rFonts w:cs="Arial"/>
          <w:b/>
        </w:rPr>
      </w:pPr>
      <w:r w:rsidRPr="00BB54DF">
        <w:rPr>
          <w:rFonts w:cs="Arial"/>
          <w:b/>
        </w:rPr>
        <w:lastRenderedPageBreak/>
        <w:t>DISCUSSION</w:t>
      </w:r>
    </w:p>
    <w:p w14:paraId="5E837F1E" w14:textId="3BA0324C" w:rsidR="004371FF" w:rsidRPr="00BB54DF" w:rsidRDefault="00DF4CA3" w:rsidP="00605BDA">
      <w:pPr>
        <w:spacing w:line="360" w:lineRule="auto"/>
        <w:jc w:val="both"/>
        <w:outlineLvl w:val="0"/>
        <w:rPr>
          <w:rFonts w:cs="Arial"/>
          <w:b/>
        </w:rPr>
      </w:pPr>
      <w:r w:rsidRPr="00BB54DF">
        <w:rPr>
          <w:rFonts w:cs="Arial"/>
          <w:b/>
        </w:rPr>
        <w:t>Statement of principal findings</w:t>
      </w:r>
    </w:p>
    <w:p w14:paraId="63878DBA" w14:textId="5A3638B1" w:rsidR="009014CF" w:rsidRPr="00BB54DF" w:rsidRDefault="009014CF" w:rsidP="00E33A7D">
      <w:pPr>
        <w:spacing w:line="360" w:lineRule="auto"/>
        <w:jc w:val="both"/>
        <w:rPr>
          <w:rFonts w:cs="Arial"/>
        </w:rPr>
      </w:pPr>
      <w:r w:rsidRPr="00BB54DF">
        <w:rPr>
          <w:rFonts w:cs="Arial"/>
        </w:rPr>
        <w:t>We</w:t>
      </w:r>
      <w:r w:rsidR="00E55032" w:rsidRPr="00BB54DF">
        <w:rPr>
          <w:rFonts w:cs="Arial"/>
        </w:rPr>
        <w:t xml:space="preserve"> used routinely collected data from </w:t>
      </w:r>
      <w:r w:rsidR="009314F5" w:rsidRPr="00BB54DF">
        <w:rPr>
          <w:rFonts w:cs="Arial"/>
        </w:rPr>
        <w:t>primary-</w:t>
      </w:r>
      <w:r w:rsidR="002C2529" w:rsidRPr="00BB54DF">
        <w:rPr>
          <w:rFonts w:cs="Arial"/>
        </w:rPr>
        <w:t>care</w:t>
      </w:r>
      <w:r w:rsidR="00E55032" w:rsidRPr="00BB54DF">
        <w:rPr>
          <w:rFonts w:cs="Arial"/>
        </w:rPr>
        <w:t xml:space="preserve"> practices and hospitals </w:t>
      </w:r>
      <w:r w:rsidRPr="00BB54DF">
        <w:rPr>
          <w:rFonts w:cs="Arial"/>
        </w:rPr>
        <w:t>in</w:t>
      </w:r>
      <w:r w:rsidR="00E55032" w:rsidRPr="00BB54DF">
        <w:rPr>
          <w:rFonts w:cs="Arial"/>
        </w:rPr>
        <w:t xml:space="preserve"> </w:t>
      </w:r>
      <w:r w:rsidRPr="00BB54DF">
        <w:rPr>
          <w:rFonts w:cs="Arial"/>
        </w:rPr>
        <w:t xml:space="preserve">the </w:t>
      </w:r>
      <w:r w:rsidR="00E55032" w:rsidRPr="00BB54DF">
        <w:rPr>
          <w:rFonts w:cs="Arial"/>
        </w:rPr>
        <w:t xml:space="preserve">UK and Spain </w:t>
      </w:r>
      <w:r w:rsidR="00867936" w:rsidRPr="00BB54DF">
        <w:rPr>
          <w:rFonts w:cs="Arial"/>
        </w:rPr>
        <w:t>and</w:t>
      </w:r>
      <w:r w:rsidR="004A789C" w:rsidRPr="00BB54DF">
        <w:rPr>
          <w:rFonts w:cs="Arial"/>
        </w:rPr>
        <w:t xml:space="preserve"> linked renal registry </w:t>
      </w:r>
      <w:r w:rsidR="00CA0C11" w:rsidRPr="00BB54DF">
        <w:rPr>
          <w:rFonts w:cs="Arial"/>
        </w:rPr>
        <w:t xml:space="preserve">information </w:t>
      </w:r>
      <w:r w:rsidR="004A789C" w:rsidRPr="00BB54DF">
        <w:rPr>
          <w:rFonts w:cs="Arial"/>
        </w:rPr>
        <w:t xml:space="preserve">(Spain only) </w:t>
      </w:r>
      <w:r w:rsidR="00E55032" w:rsidRPr="00BB54DF">
        <w:rPr>
          <w:rFonts w:cs="Arial"/>
        </w:rPr>
        <w:t xml:space="preserve">to assess the safety of bisphosphonate use in patients with stage </w:t>
      </w:r>
      <w:r w:rsidR="008537EC" w:rsidRPr="00BB54DF">
        <w:rPr>
          <w:rFonts w:cs="Arial"/>
        </w:rPr>
        <w:t>3b</w:t>
      </w:r>
      <w:r w:rsidR="00AC0817" w:rsidRPr="00BB54DF">
        <w:rPr>
          <w:rFonts w:cs="Arial"/>
        </w:rPr>
        <w:t>-5</w:t>
      </w:r>
      <w:r w:rsidR="00E55032" w:rsidRPr="00BB54DF">
        <w:rPr>
          <w:rFonts w:cs="Arial"/>
        </w:rPr>
        <w:t xml:space="preserve"> </w:t>
      </w:r>
      <w:r w:rsidR="008537EC" w:rsidRPr="00BB54DF">
        <w:rPr>
          <w:rFonts w:cs="Arial"/>
        </w:rPr>
        <w:t>CKD</w:t>
      </w:r>
      <w:r w:rsidR="00E55032" w:rsidRPr="00BB54DF">
        <w:rPr>
          <w:rFonts w:cs="Arial"/>
        </w:rPr>
        <w:t xml:space="preserve">. </w:t>
      </w:r>
      <w:r w:rsidR="00F52FA9" w:rsidRPr="00BB54DF">
        <w:rPr>
          <w:rFonts w:cs="Arial"/>
        </w:rPr>
        <w:t>Our analys</w:t>
      </w:r>
      <w:r w:rsidR="00AA54D0" w:rsidRPr="00BB54DF">
        <w:rPr>
          <w:rFonts w:cs="Arial"/>
        </w:rPr>
        <w:t>e</w:t>
      </w:r>
      <w:r w:rsidR="00F52FA9" w:rsidRPr="00BB54DF">
        <w:rPr>
          <w:rFonts w:cs="Arial"/>
        </w:rPr>
        <w:t xml:space="preserve">s included </w:t>
      </w:r>
      <w:r w:rsidR="00271A6C" w:rsidRPr="00BB54DF">
        <w:rPr>
          <w:rFonts w:cs="Arial"/>
        </w:rPr>
        <w:t>nearly 4,0</w:t>
      </w:r>
      <w:r w:rsidR="00AA7396" w:rsidRPr="00BB54DF">
        <w:rPr>
          <w:rFonts w:cs="Arial"/>
        </w:rPr>
        <w:t xml:space="preserve">00 </w:t>
      </w:r>
      <w:r w:rsidR="00F52FA9" w:rsidRPr="00BB54DF">
        <w:rPr>
          <w:rFonts w:cs="Arial"/>
        </w:rPr>
        <w:t xml:space="preserve">bisphosphonate users with at least </w:t>
      </w:r>
      <w:r w:rsidR="008537EC" w:rsidRPr="00BB54DF">
        <w:rPr>
          <w:rFonts w:cs="Arial"/>
        </w:rPr>
        <w:t xml:space="preserve">two </w:t>
      </w:r>
      <w:r w:rsidRPr="00BB54DF">
        <w:rPr>
          <w:rFonts w:cs="Arial"/>
        </w:rPr>
        <w:t xml:space="preserve">measurements of </w:t>
      </w:r>
      <w:r w:rsidR="00F52FA9" w:rsidRPr="00BB54DF">
        <w:rPr>
          <w:rFonts w:cs="Arial"/>
        </w:rPr>
        <w:t xml:space="preserve">eGFR </w:t>
      </w:r>
      <w:r w:rsidR="002C2529" w:rsidRPr="00BB54DF">
        <w:rPr>
          <w:rFonts w:cs="Arial"/>
        </w:rPr>
        <w:t>under</w:t>
      </w:r>
      <w:r w:rsidR="00F52FA9" w:rsidRPr="00BB54DF">
        <w:rPr>
          <w:rFonts w:cs="Arial"/>
        </w:rPr>
        <w:t xml:space="preserve"> 45</w:t>
      </w:r>
      <w:r w:rsidR="005D2991" w:rsidRPr="00BB54DF">
        <w:rPr>
          <w:rFonts w:cs="Arial"/>
        </w:rPr>
        <w:t xml:space="preserve"> ml/min/1.73m</w:t>
      </w:r>
      <w:r w:rsidR="005D2991" w:rsidRPr="00BB54DF">
        <w:rPr>
          <w:rFonts w:cs="Arial"/>
          <w:vertAlign w:val="superscript"/>
        </w:rPr>
        <w:t>2</w:t>
      </w:r>
      <w:r w:rsidRPr="00BB54DF">
        <w:rPr>
          <w:rFonts w:cs="Arial"/>
        </w:rPr>
        <w:t>,</w:t>
      </w:r>
      <w:r w:rsidR="00F52FA9" w:rsidRPr="00BB54DF">
        <w:rPr>
          <w:rFonts w:cs="Arial"/>
        </w:rPr>
        <w:t xml:space="preserve"> </w:t>
      </w:r>
      <w:r w:rsidR="00523E86" w:rsidRPr="00BB54DF">
        <w:rPr>
          <w:rFonts w:cs="Arial"/>
        </w:rPr>
        <w:t>PS</w:t>
      </w:r>
      <w:r w:rsidRPr="00BB54DF">
        <w:rPr>
          <w:rFonts w:cs="Arial"/>
        </w:rPr>
        <w:t>-</w:t>
      </w:r>
      <w:r w:rsidR="00F52FA9" w:rsidRPr="00BB54DF">
        <w:rPr>
          <w:rFonts w:cs="Arial"/>
        </w:rPr>
        <w:t>matched to over</w:t>
      </w:r>
      <w:r w:rsidR="00AA7396" w:rsidRPr="00BB54DF">
        <w:rPr>
          <w:rFonts w:cs="Arial"/>
        </w:rPr>
        <w:t xml:space="preserve"> 15,000</w:t>
      </w:r>
      <w:r w:rsidR="00F52FA9" w:rsidRPr="00BB54DF">
        <w:rPr>
          <w:rFonts w:cs="Arial"/>
        </w:rPr>
        <w:t xml:space="preserve"> non-users</w:t>
      </w:r>
      <w:r w:rsidRPr="00BB54DF">
        <w:rPr>
          <w:rFonts w:cs="Arial"/>
        </w:rPr>
        <w:t xml:space="preserve">. </w:t>
      </w:r>
    </w:p>
    <w:p w14:paraId="0A4A8165" w14:textId="3DB01384" w:rsidR="009014CF" w:rsidRPr="00BB54DF" w:rsidRDefault="009014CF" w:rsidP="00E33A7D">
      <w:pPr>
        <w:spacing w:line="360" w:lineRule="auto"/>
        <w:jc w:val="both"/>
        <w:rPr>
          <w:rFonts w:cs="Arial"/>
        </w:rPr>
      </w:pPr>
      <w:r w:rsidRPr="00BB54DF">
        <w:rPr>
          <w:rFonts w:cs="Arial"/>
        </w:rPr>
        <w:t>B</w:t>
      </w:r>
      <w:r w:rsidR="005D2D37" w:rsidRPr="00BB54DF">
        <w:rPr>
          <w:rFonts w:cs="Arial"/>
        </w:rPr>
        <w:t xml:space="preserve">isphosphonate users </w:t>
      </w:r>
      <w:r w:rsidRPr="00BB54DF">
        <w:rPr>
          <w:rFonts w:cs="Arial"/>
        </w:rPr>
        <w:t>had a 1</w:t>
      </w:r>
      <w:r w:rsidR="00BA0479" w:rsidRPr="00BB54DF">
        <w:rPr>
          <w:rFonts w:cs="Arial"/>
        </w:rPr>
        <w:t>4</w:t>
      </w:r>
      <w:r w:rsidRPr="00BB54DF">
        <w:rPr>
          <w:rFonts w:cs="Arial"/>
        </w:rPr>
        <w:t xml:space="preserve">% higher risk of CKD stage progression (including dialysis and transplant) than </w:t>
      </w:r>
      <w:r w:rsidR="005D2D37" w:rsidRPr="00BB54DF">
        <w:rPr>
          <w:rFonts w:cs="Arial"/>
        </w:rPr>
        <w:t>non-users</w:t>
      </w:r>
      <w:r w:rsidR="005D2991" w:rsidRPr="00BB54DF">
        <w:rPr>
          <w:rFonts w:cs="Arial"/>
        </w:rPr>
        <w:t xml:space="preserve">. Stage progression was </w:t>
      </w:r>
      <w:r w:rsidR="008641FE" w:rsidRPr="00BB54DF">
        <w:rPr>
          <w:rFonts w:cs="Arial"/>
        </w:rPr>
        <w:t>a common event</w:t>
      </w:r>
      <w:r w:rsidR="005D2991" w:rsidRPr="00BB54DF">
        <w:rPr>
          <w:rFonts w:cs="Arial"/>
        </w:rPr>
        <w:t>,</w:t>
      </w:r>
      <w:r w:rsidR="008641FE" w:rsidRPr="00BB54DF">
        <w:rPr>
          <w:rFonts w:cs="Arial"/>
        </w:rPr>
        <w:t xml:space="preserve"> </w:t>
      </w:r>
      <w:r w:rsidR="005D2991" w:rsidRPr="00BB54DF">
        <w:rPr>
          <w:rFonts w:cs="Arial"/>
        </w:rPr>
        <w:t xml:space="preserve">experienced by </w:t>
      </w:r>
      <w:r w:rsidR="008641FE" w:rsidRPr="00BB54DF">
        <w:rPr>
          <w:rFonts w:cs="Arial"/>
        </w:rPr>
        <w:t>approximately 1 in 10</w:t>
      </w:r>
      <w:r w:rsidR="005D2991" w:rsidRPr="00BB54DF">
        <w:rPr>
          <w:rFonts w:cs="Arial"/>
        </w:rPr>
        <w:t xml:space="preserve"> patients</w:t>
      </w:r>
      <w:r w:rsidR="00271A6C" w:rsidRPr="00BB54DF">
        <w:rPr>
          <w:rFonts w:cs="Arial"/>
        </w:rPr>
        <w:t>.</w:t>
      </w:r>
      <w:r w:rsidR="005D2D37" w:rsidRPr="00BB54DF">
        <w:rPr>
          <w:rFonts w:cs="Arial"/>
        </w:rPr>
        <w:t xml:space="preserve"> </w:t>
      </w:r>
      <w:r w:rsidR="00C02726" w:rsidRPr="00BB54DF">
        <w:rPr>
          <w:rFonts w:cs="Arial"/>
        </w:rPr>
        <w:t>In CPRD</w:t>
      </w:r>
      <w:r w:rsidRPr="00BB54DF">
        <w:rPr>
          <w:rFonts w:cs="Arial"/>
        </w:rPr>
        <w:t>,</w:t>
      </w:r>
      <w:r w:rsidR="00C02726" w:rsidRPr="00BB54DF">
        <w:rPr>
          <w:rFonts w:cs="Arial"/>
        </w:rPr>
        <w:t xml:space="preserve"> the increased risk </w:t>
      </w:r>
      <w:r w:rsidR="000B15C2" w:rsidRPr="00BB54DF">
        <w:rPr>
          <w:rFonts w:cs="Arial"/>
        </w:rPr>
        <w:t>was equivalent to a number needed to harm of 20</w:t>
      </w:r>
      <w:r w:rsidR="005D2991" w:rsidRPr="00BB54DF">
        <w:rPr>
          <w:rFonts w:cs="Arial"/>
        </w:rPr>
        <w:t>:</w:t>
      </w:r>
      <w:r w:rsidR="000B15C2" w:rsidRPr="00BB54DF">
        <w:rPr>
          <w:rFonts w:cs="Arial"/>
        </w:rPr>
        <w:t xml:space="preserve"> </w:t>
      </w:r>
      <w:r w:rsidR="00C02726" w:rsidRPr="00BB54DF">
        <w:rPr>
          <w:rFonts w:cs="Arial"/>
        </w:rPr>
        <w:t xml:space="preserve">for every </w:t>
      </w:r>
      <w:r w:rsidR="00C41685" w:rsidRPr="00BB54DF">
        <w:rPr>
          <w:rFonts w:cs="Arial"/>
        </w:rPr>
        <w:t>20</w:t>
      </w:r>
      <w:r w:rsidR="00C02726" w:rsidRPr="00BB54DF">
        <w:rPr>
          <w:rFonts w:cs="Arial"/>
        </w:rPr>
        <w:t xml:space="preserve"> patients treated </w:t>
      </w:r>
      <w:r w:rsidR="00867936" w:rsidRPr="00BB54DF">
        <w:rPr>
          <w:rFonts w:cs="Arial"/>
        </w:rPr>
        <w:t xml:space="preserve">for </w:t>
      </w:r>
      <w:r w:rsidR="00AC16D9" w:rsidRPr="00BB54DF">
        <w:rPr>
          <w:rFonts w:cs="Arial"/>
        </w:rPr>
        <w:t>5</w:t>
      </w:r>
      <w:r w:rsidR="00867936" w:rsidRPr="00BB54DF">
        <w:rPr>
          <w:rFonts w:cs="Arial"/>
        </w:rPr>
        <w:t xml:space="preserve"> </w:t>
      </w:r>
      <w:r w:rsidR="00AC16D9" w:rsidRPr="00BB54DF">
        <w:rPr>
          <w:rFonts w:cs="Arial"/>
        </w:rPr>
        <w:t>year</w:t>
      </w:r>
      <w:r w:rsidR="00867936" w:rsidRPr="00BB54DF">
        <w:rPr>
          <w:rFonts w:cs="Arial"/>
        </w:rPr>
        <w:t>s</w:t>
      </w:r>
      <w:r w:rsidR="005D2991" w:rsidRPr="00BB54DF">
        <w:rPr>
          <w:rFonts w:cs="Arial"/>
        </w:rPr>
        <w:t>,</w:t>
      </w:r>
      <w:r w:rsidR="00AC16D9" w:rsidRPr="00BB54DF">
        <w:rPr>
          <w:rFonts w:cs="Arial"/>
        </w:rPr>
        <w:t xml:space="preserve"> </w:t>
      </w:r>
      <w:r w:rsidR="00867936" w:rsidRPr="00BB54DF">
        <w:rPr>
          <w:rFonts w:cs="Arial"/>
        </w:rPr>
        <w:t>1</w:t>
      </w:r>
      <w:r w:rsidR="00C02726" w:rsidRPr="00BB54DF">
        <w:rPr>
          <w:rFonts w:cs="Arial"/>
        </w:rPr>
        <w:t xml:space="preserve"> additional patient </w:t>
      </w:r>
      <w:r w:rsidR="002C2529" w:rsidRPr="00BB54DF">
        <w:rPr>
          <w:rFonts w:cs="Arial"/>
        </w:rPr>
        <w:t>would</w:t>
      </w:r>
      <w:r w:rsidR="00C02726" w:rsidRPr="00BB54DF">
        <w:rPr>
          <w:rFonts w:cs="Arial"/>
        </w:rPr>
        <w:t xml:space="preserve"> progress in CKD stage. </w:t>
      </w:r>
    </w:p>
    <w:p w14:paraId="00996013" w14:textId="415102E8" w:rsidR="00F003BB" w:rsidRPr="00BB54DF" w:rsidRDefault="00F003BB" w:rsidP="00E02084">
      <w:pPr>
        <w:spacing w:line="360" w:lineRule="auto"/>
        <w:jc w:val="both"/>
        <w:rPr>
          <w:rFonts w:cs="Arial"/>
        </w:rPr>
      </w:pPr>
      <w:r w:rsidRPr="00BB54DF">
        <w:rPr>
          <w:rFonts w:cs="Arial"/>
        </w:rPr>
        <w:t xml:space="preserve">Bisphosphonates, an analogue of pyrophosphate, have been shown, in vivo, not to affect the calcification of certain tissues including the kidney. </w:t>
      </w:r>
      <w:r w:rsidR="001D5467" w:rsidRPr="00BB54DF">
        <w:rPr>
          <w:rFonts w:cs="Arial"/>
        </w:rPr>
        <w:fldChar w:fldCharType="begin"/>
      </w:r>
      <w:r w:rsidR="001D5467" w:rsidRPr="00BB54DF">
        <w:rPr>
          <w:rFonts w:cs="Arial"/>
        </w:rPr>
        <w:instrText xml:space="preserve"> ADDIN EN.CITE &lt;EndNote&gt;&lt;Cite&gt;&lt;Author&gt;Fleisch&lt;/Author&gt;&lt;Year&gt;1968&lt;/Year&gt;&lt;RecNum&gt;69&lt;/RecNum&gt;&lt;DisplayText&gt;[27]&lt;/DisplayText&gt;&lt;record&gt;&lt;rec-number&gt;69&lt;/rec-number&gt;&lt;foreign-keys&gt;&lt;key app="EN" db-id="pwdswvde6sasexe5rx9p90509rsftz22fdv9" timestamp="1605546103"&gt;69&lt;/key&gt;&lt;/foreign-keys&gt;&lt;ref-type name="Journal Article"&gt;17&lt;/ref-type&gt;&lt;contributors&gt;&lt;authors&gt;&lt;author&gt;Fleisch, H.&lt;/author&gt;&lt;author&gt;Russell, R. G. G.&lt;/author&gt;&lt;author&gt;Bisaz, S.&lt;/author&gt;&lt;author&gt;Casey, P. A.&lt;/author&gt;&lt;author&gt;Mühlbauer, R. C.&lt;/author&gt;&lt;/authors&gt;&lt;/contributors&gt;&lt;titles&gt;&lt;title&gt;The influence of pyrophosphate analogues (diphosphonates) on the precipitation and dissolution of calcium phosphate in vitro and in vivo&lt;/title&gt;&lt;secondary-title&gt;Calcified Tissue Research&lt;/secondary-title&gt;&lt;/titles&gt;&lt;periodical&gt;&lt;full-title&gt;Calcified Tissue Research&lt;/full-title&gt;&lt;/periodical&gt;&lt;pages&gt;10-10&lt;/pages&gt;&lt;volume&gt;2&lt;/volume&gt;&lt;number&gt;1&lt;/number&gt;&lt;dates&gt;&lt;year&gt;1968&lt;/year&gt;&lt;pub-dates&gt;&lt;date&gt;1968/08/01&lt;/date&gt;&lt;/pub-dates&gt;&lt;/dates&gt;&lt;isbn&gt;1432-0827&lt;/isbn&gt;&lt;urls&gt;&lt;related-urls&gt;&lt;url&gt;https://doi.org/10.1007/BF02065192&lt;/url&gt;&lt;/related-urls&gt;&lt;/urls&gt;&lt;electronic-resource-num&gt;10.1007/BF02065192&lt;/electronic-resource-num&gt;&lt;/record&gt;&lt;/Cite&gt;&lt;/EndNote&gt;</w:instrText>
      </w:r>
      <w:r w:rsidR="001D5467" w:rsidRPr="00BB54DF">
        <w:rPr>
          <w:rFonts w:cs="Arial"/>
        </w:rPr>
        <w:fldChar w:fldCharType="separate"/>
      </w:r>
      <w:r w:rsidR="001D5467" w:rsidRPr="00BB54DF">
        <w:rPr>
          <w:rFonts w:cs="Arial"/>
          <w:noProof/>
        </w:rPr>
        <w:t>[27]</w:t>
      </w:r>
      <w:r w:rsidR="001D5467" w:rsidRPr="00BB54DF">
        <w:rPr>
          <w:rFonts w:cs="Arial"/>
        </w:rPr>
        <w:fldChar w:fldCharType="end"/>
      </w:r>
      <w:r w:rsidR="001D5467" w:rsidRPr="00BB54DF">
        <w:rPr>
          <w:rFonts w:cs="Arial"/>
        </w:rPr>
        <w:t xml:space="preserve"> </w:t>
      </w:r>
      <w:r w:rsidRPr="00BB54DF">
        <w:rPr>
          <w:rFonts w:cs="Arial"/>
        </w:rPr>
        <w:t>However, bisphosphonates are eliminated through the kidney</w:t>
      </w:r>
      <w:r w:rsidR="00B25F9F">
        <w:rPr>
          <w:rFonts w:cs="Arial"/>
        </w:rPr>
        <w:t xml:space="preserve"> </w:t>
      </w:r>
      <w:r w:rsidR="00B25F9F" w:rsidRPr="00B25F9F">
        <w:rPr>
          <w:rFonts w:cs="Arial"/>
          <w:highlight w:val="yellow"/>
        </w:rPr>
        <w:t>by b</w:t>
      </w:r>
      <w:r w:rsidR="00B25F9F" w:rsidRPr="00BB54DF">
        <w:rPr>
          <w:rFonts w:cs="Arial"/>
          <w:highlight w:val="yellow"/>
        </w:rPr>
        <w:t>oth passive glomerular filtration and active transportation in renal proximal tubular cells</w:t>
      </w:r>
      <w:r w:rsidRPr="00BB54DF">
        <w:rPr>
          <w:rFonts w:cs="Arial"/>
        </w:rPr>
        <w:t xml:space="preserve"> as explained by Miller </w:t>
      </w:r>
      <w:r w:rsidR="001D5467" w:rsidRPr="00BB54DF">
        <w:rPr>
          <w:rFonts w:cs="Arial"/>
        </w:rPr>
        <w:fldChar w:fldCharType="begin"/>
      </w:r>
      <w:r w:rsidR="001D5467" w:rsidRPr="00BB54DF">
        <w:rPr>
          <w:rFonts w:cs="Arial"/>
        </w:rPr>
        <w:instrText xml:space="preserve"> ADDIN EN.CITE &lt;EndNote&gt;&lt;Cite&gt;&lt;Author&gt;Miller&lt;/Author&gt;&lt;Year&gt;2011&lt;/Year&gt;&lt;RecNum&gt;66&lt;/RecNum&gt;&lt;DisplayText&gt;[28]&lt;/DisplayText&gt;&lt;record&gt;&lt;rec-number&gt;66&lt;/rec-number&gt;&lt;foreign-keys&gt;&lt;key app="EN" db-id="pwdswvde6sasexe5rx9p90509rsftz22fdv9" timestamp="1573487527"&gt;66&lt;/key&gt;&lt;/foreign-keys&gt;&lt;ref-type name="Journal Article"&gt;17&lt;/ref-type&gt;&lt;contributors&gt;&lt;authors&gt;&lt;author&gt;Miller, Paul D.&lt;/author&gt;&lt;/authors&gt;&lt;/contributors&gt;&lt;titles&gt;&lt;title&gt;The kidney and bisphosphonates&lt;/title&gt;&lt;secondary-title&gt;Bone&lt;/secondary-title&gt;&lt;/titles&gt;&lt;periodical&gt;&lt;full-title&gt;Bone&lt;/full-title&gt;&lt;/periodical&gt;&lt;pages&gt;77-81&lt;/pages&gt;&lt;volume&gt;49&lt;/volume&gt;&lt;number&gt;1&lt;/number&gt;&lt;keywords&gt;&lt;keyword&gt;Bisphosphonates&lt;/keyword&gt;&lt;keyword&gt;Kidney&lt;/keyword&gt;&lt;keyword&gt;Osteoporosis&lt;/keyword&gt;&lt;keyword&gt;Renal&lt;/keyword&gt;&lt;keyword&gt;Chronic kidney disease-mineral and bone disorder (CKD-MBD)&lt;/keyword&gt;&lt;/keywords&gt;&lt;dates&gt;&lt;year&gt;2011&lt;/year&gt;&lt;pub-dates&gt;&lt;date&gt;2011/07/01/&lt;/date&gt;&lt;/pub-dates&gt;&lt;/dates&gt;&lt;isbn&gt;8756-3282&lt;/isbn&gt;&lt;urls&gt;&lt;related-urls&gt;&lt;url&gt;http://www.sciencedirect.com/science/article/pii/S8756328210021381&lt;/url&gt;&lt;/related-urls&gt;&lt;/urls&gt;&lt;electronic-resource-num&gt;https://doi.org/10.1016/j.bone.2010.12.024&lt;/electronic-resource-num&gt;&lt;/record&gt;&lt;/Cite&gt;&lt;/EndNote&gt;</w:instrText>
      </w:r>
      <w:r w:rsidR="001D5467" w:rsidRPr="00BB54DF">
        <w:rPr>
          <w:rFonts w:cs="Arial"/>
        </w:rPr>
        <w:fldChar w:fldCharType="separate"/>
      </w:r>
      <w:r w:rsidR="001D5467" w:rsidRPr="00BB54DF">
        <w:rPr>
          <w:rFonts w:cs="Arial"/>
          <w:noProof/>
        </w:rPr>
        <w:t>[28]</w:t>
      </w:r>
      <w:r w:rsidR="001D5467" w:rsidRPr="00BB54DF">
        <w:rPr>
          <w:rFonts w:cs="Arial"/>
        </w:rPr>
        <w:fldChar w:fldCharType="end"/>
      </w:r>
      <w:r w:rsidRPr="00BB54DF">
        <w:rPr>
          <w:rFonts w:cs="Arial"/>
        </w:rPr>
        <w:t xml:space="preserve">. High doses given in animal models have shown a variety of adverse renal events. </w:t>
      </w:r>
      <w:r w:rsidR="00BB54DF" w:rsidRPr="00BB54DF">
        <w:rPr>
          <w:rFonts w:cs="Arial"/>
          <w:highlight w:val="yellow"/>
        </w:rPr>
        <w:t>However</w:t>
      </w:r>
      <w:r w:rsidRPr="00BB54DF">
        <w:rPr>
          <w:rFonts w:cs="Arial"/>
          <w:highlight w:val="yellow"/>
        </w:rPr>
        <w:t>,</w:t>
      </w:r>
      <w:r w:rsidRPr="00BB54DF">
        <w:rPr>
          <w:rFonts w:cs="Arial"/>
        </w:rPr>
        <w:t xml:space="preserve"> no bisphosphonate trial has identified an increased risk of CKD progression </w:t>
      </w:r>
      <w:r w:rsidR="001D5467" w:rsidRPr="00BB54DF">
        <w:rPr>
          <w:rFonts w:cs="Arial"/>
        </w:rPr>
        <w:fldChar w:fldCharType="begin"/>
      </w:r>
      <w:r w:rsidR="001D5467" w:rsidRPr="00BB54DF">
        <w:rPr>
          <w:rFonts w:cs="Arial"/>
        </w:rPr>
        <w:instrText xml:space="preserve"> ADDIN EN.CITE &lt;EndNote&gt;&lt;Cite&gt;&lt;Author&gt;Miller&lt;/Author&gt;&lt;Year&gt;2013&lt;/Year&gt;&lt;RecNum&gt;72&lt;/RecNum&gt;&lt;DisplayText&gt;[29]&lt;/DisplayText&gt;&lt;record&gt;&lt;rec-number&gt;72&lt;/rec-number&gt;&lt;foreign-keys&gt;&lt;key app="EN" db-id="pwdswvde6sasexe5rx9p90509rsftz22fdv9" timestamp="1605548390"&gt;72&lt;/key&gt;&lt;/foreign-keys&gt;&lt;ref-type name="Journal Article"&gt;17&lt;/ref-type&gt;&lt;contributors&gt;&lt;authors&gt;&lt;author&gt;Miller, Paul D&lt;/author&gt;&lt;author&gt;Jamal, Sophie A&lt;/author&gt;&lt;author&gt;Evenepoel, Pieter&lt;/author&gt;&lt;author&gt;Eastell, Richard&lt;/author&gt;&lt;author&gt;Boonen, Steven&lt;/author&gt;&lt;/authors&gt;&lt;/contributors&gt;&lt;titles&gt;&lt;title&gt;Renal safety in patients treated with bisphosphonates for osteoporosis: A review&lt;/title&gt;&lt;secondary-title&gt;Journal of Bone and Mineral Research&lt;/secondary-title&gt;&lt;/titles&gt;&lt;periodical&gt;&lt;full-title&gt;Journal of Bone and Mineral Research&lt;/full-title&gt;&lt;/periodical&gt;&lt;pages&gt;2049-2059&lt;/pages&gt;&lt;volume&gt;28&lt;/volume&gt;&lt;number&gt;10&lt;/number&gt;&lt;dates&gt;&lt;year&gt;2013&lt;/year&gt;&lt;/dates&gt;&lt;isbn&gt;0884-0431&lt;/isbn&gt;&lt;urls&gt;&lt;related-urls&gt;&lt;url&gt;https://asbmr.onlinelibrary.wiley.com/doi/abs/10.1002/jbmr.2058&lt;/url&gt;&lt;/related-urls&gt;&lt;/urls&gt;&lt;electronic-resource-num&gt;https://doi.org/10.1002/jbmr.2058&lt;/electronic-resource-num&gt;&lt;/record&gt;&lt;/Cite&gt;&lt;/EndNote&gt;</w:instrText>
      </w:r>
      <w:r w:rsidR="001D5467" w:rsidRPr="00BB54DF">
        <w:rPr>
          <w:rFonts w:cs="Arial"/>
        </w:rPr>
        <w:fldChar w:fldCharType="separate"/>
      </w:r>
      <w:r w:rsidR="001D5467" w:rsidRPr="00BB54DF">
        <w:rPr>
          <w:rFonts w:cs="Arial"/>
          <w:noProof/>
        </w:rPr>
        <w:t>[29]</w:t>
      </w:r>
      <w:r w:rsidR="001D5467" w:rsidRPr="00BB54DF">
        <w:rPr>
          <w:rFonts w:cs="Arial"/>
        </w:rPr>
        <w:fldChar w:fldCharType="end"/>
      </w:r>
      <w:r w:rsidRPr="00BB54DF">
        <w:rPr>
          <w:rFonts w:cs="Arial"/>
        </w:rPr>
        <w:t xml:space="preserve">, </w:t>
      </w:r>
      <w:r w:rsidR="00B25F9F" w:rsidRPr="00B25F9F">
        <w:rPr>
          <w:rFonts w:cs="Arial"/>
          <w:highlight w:val="yellow"/>
        </w:rPr>
        <w:t>although</w:t>
      </w:r>
      <w:r w:rsidRPr="00BB54DF">
        <w:rPr>
          <w:rFonts w:cs="Arial"/>
        </w:rPr>
        <w:t xml:space="preserve"> most trials were limited to patients with an eGFR &gt; 30. There is anecdotal evidence (case reports and case series) suggesting that bisphosphonates can cause various types of kidney injury </w:t>
      </w:r>
      <w:r w:rsidRPr="00BB54DF">
        <w:rPr>
          <w:rFonts w:cs="Arial"/>
        </w:rPr>
        <w:fldChar w:fldCharType="begin">
          <w:fldData xml:space="preserve">PEVuZE5vdGU+PENpdGU+PEF1dGhvcj5NYXJrb3dpdHo8L0F1dGhvcj48WWVhcj4yMDAxPC9ZZWFy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</w:fldData>
        </w:fldChar>
      </w:r>
      <w:r w:rsidR="001D5467" w:rsidRPr="00BB54DF">
        <w:rPr>
          <w:rFonts w:cs="Arial"/>
        </w:rPr>
        <w:instrText xml:space="preserve"> ADDIN EN.CITE </w:instrText>
      </w:r>
      <w:r w:rsidR="001D5467" w:rsidRPr="00BB54DF">
        <w:rPr>
          <w:rFonts w:cs="Arial"/>
        </w:rPr>
        <w:fldChar w:fldCharType="begin">
          <w:fldData xml:space="preserve">PEVuZE5vdGU+PENpdGU+PEF1dGhvcj5NYXJrb3dpdHo8L0F1dGhvcj48WWVhcj4yMDAxPC9ZZWFy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</w:fldData>
        </w:fldChar>
      </w:r>
      <w:r w:rsidR="001D5467" w:rsidRPr="00BB54DF">
        <w:rPr>
          <w:rFonts w:cs="Arial"/>
        </w:rPr>
        <w:instrText xml:space="preserve"> ADDIN EN.CITE.DATA </w:instrText>
      </w:r>
      <w:r w:rsidR="001D5467" w:rsidRPr="00BB54DF">
        <w:rPr>
          <w:rFonts w:cs="Arial"/>
        </w:rPr>
      </w:r>
      <w:r w:rsidR="001D5467" w:rsidRPr="00BB54DF">
        <w:rPr>
          <w:rFonts w:cs="Arial"/>
        </w:rPr>
        <w:fldChar w:fldCharType="end"/>
      </w:r>
      <w:r w:rsidRPr="00BB54DF">
        <w:rPr>
          <w:rFonts w:cs="Arial"/>
        </w:rPr>
      </w:r>
      <w:r w:rsidRPr="00BB54DF">
        <w:rPr>
          <w:rFonts w:cs="Arial"/>
        </w:rPr>
        <w:fldChar w:fldCharType="separate"/>
      </w:r>
      <w:r w:rsidR="001D5467" w:rsidRPr="00BB54DF">
        <w:rPr>
          <w:rFonts w:cs="Arial"/>
          <w:noProof/>
        </w:rPr>
        <w:t>[30, 31]</w:t>
      </w:r>
      <w:r w:rsidRPr="00BB54DF">
        <w:rPr>
          <w:rFonts w:cs="Arial"/>
        </w:rPr>
        <w:fldChar w:fldCharType="end"/>
      </w:r>
      <w:r w:rsidRPr="00BB54DF">
        <w:rPr>
          <w:rFonts w:cs="Arial"/>
        </w:rPr>
        <w:t xml:space="preserve">. Finally, because of the reduced ability of patients diagnosed with CKD to excrete bisphosphonates, </w:t>
      </w:r>
      <w:proofErr w:type="spellStart"/>
      <w:r w:rsidRPr="00BB54DF">
        <w:rPr>
          <w:rFonts w:cs="Arial"/>
        </w:rPr>
        <w:t>Torregrosa</w:t>
      </w:r>
      <w:proofErr w:type="spellEnd"/>
      <w:r w:rsidRPr="00BB54DF">
        <w:rPr>
          <w:rFonts w:cs="Arial"/>
        </w:rPr>
        <w:t xml:space="preserve"> et al </w:t>
      </w:r>
      <w:r w:rsidR="001D5467" w:rsidRPr="00BB54DF">
        <w:rPr>
          <w:rFonts w:cs="Arial"/>
        </w:rPr>
        <w:fldChar w:fldCharType="begin"/>
      </w:r>
      <w:r w:rsidR="001D5467" w:rsidRPr="00BB54DF">
        <w:rPr>
          <w:rFonts w:cs="Arial"/>
        </w:rPr>
        <w:instrText xml:space="preserve"> ADDIN EN.CITE &lt;EndNote&gt;&lt;Cite&gt;&lt;Author&gt;Torregrosa&lt;/Author&gt;&lt;Year&gt;2010&lt;/Year&gt;&lt;RecNum&gt;71&lt;/RecNum&gt;&lt;DisplayText&gt;[32]&lt;/DisplayText&gt;&lt;record&gt;&lt;rec-number&gt;71&lt;/rec-number&gt;&lt;foreign-keys&gt;&lt;key app="EN" db-id="pwdswvde6sasexe5rx9p90509rsftz22fdv9" timestamp="1605547748"&gt;71&lt;/key&gt;&lt;/foreign-keys&gt;&lt;ref-type name="Journal Article"&gt;17&lt;/ref-type&gt;&lt;contributors&gt;&lt;authors&gt;&lt;author&gt;Torregrosa, J. V.&lt;/author&gt;&lt;author&gt;Ramos, A. M.&lt;/author&gt;&lt;/authors&gt;&lt;/contributors&gt;&lt;auth-address&gt;Servicio de Nefrología y Trasplante Renal, Hospital Clinic Barcelona, Barcelona, Barcelona. vtorre@clinic.ub.es&lt;/auth-address&gt;&lt;titles&gt;&lt;title&gt;Use of bisphosphonates in chronic kidney disease&lt;/title&gt;&lt;secondary-title&gt;Nefrologia : publicacion oficial de la Sociedad Espanola Nefrologia&lt;/secondary-title&gt;&lt;alt-title&gt;Nefrologia&lt;/alt-title&gt;&lt;/titles&gt;&lt;periodical&gt;&lt;full-title&gt;Nefrologia : publicacion oficial de la Sociedad Espanola Nefrologia&lt;/full-title&gt;&lt;abbr-1&gt;Nefrologia&lt;/abbr-1&gt;&lt;/periodical&gt;&lt;alt-periodical&gt;&lt;full-title&gt;Nefrologia : publicacion oficial de la Sociedad Espanola Nefrologia&lt;/full-title&gt;&lt;abbr-1&gt;Nefrologia&lt;/abbr-1&gt;&lt;/alt-periodical&gt;&lt;pages&gt;288-296&lt;/pages&gt;&lt;volume&gt;30&lt;/volume&gt;&lt;number&gt;3&lt;/number&gt;&lt;dates&gt;&lt;year&gt;2010&lt;/year&gt;&lt;pub-dates&gt;&lt;date&gt;2010&lt;/date&gt;&lt;/pub-dates&gt;&lt;/dates&gt;&lt;isbn&gt;0211-6995&lt;/isbn&gt;&lt;accession-num&gt;20514097&lt;/accession-num&gt;&lt;urls&gt;&lt;related-urls&gt;&lt;url&gt;http://europepmc.org/abstract/MED/20514097&lt;/url&gt;&lt;url&gt;https://doi.org/10.3265/Nefrologia.pre2010.Apr.10320&lt;/url&gt;&lt;/related-urls&gt;&lt;/urls&gt;&lt;electronic-resource-num&gt;10.3265/nefrologia.pre2010.apr.10320&lt;/electronic-resource-num&gt;&lt;remote-database-name&gt;PubMed&lt;/remote-database-name&gt;&lt;language&gt;spa&lt;/language&gt;&lt;/record&gt;&lt;/Cite&gt;&lt;/EndNote&gt;</w:instrText>
      </w:r>
      <w:r w:rsidR="001D5467" w:rsidRPr="00BB54DF">
        <w:rPr>
          <w:rFonts w:cs="Arial"/>
        </w:rPr>
        <w:fldChar w:fldCharType="separate"/>
      </w:r>
      <w:r w:rsidR="001D5467" w:rsidRPr="00BB54DF">
        <w:rPr>
          <w:rFonts w:cs="Arial"/>
          <w:noProof/>
        </w:rPr>
        <w:t>[32]</w:t>
      </w:r>
      <w:r w:rsidR="001D5467" w:rsidRPr="00BB54DF">
        <w:rPr>
          <w:rFonts w:cs="Arial"/>
        </w:rPr>
        <w:fldChar w:fldCharType="end"/>
      </w:r>
      <w:r w:rsidR="001D5467" w:rsidRPr="00BB54DF">
        <w:rPr>
          <w:rFonts w:cs="Arial"/>
        </w:rPr>
        <w:t xml:space="preserve"> </w:t>
      </w:r>
      <w:r w:rsidRPr="00BB54DF">
        <w:rPr>
          <w:rFonts w:cs="Arial"/>
        </w:rPr>
        <w:t>have suggested that patients with CKD stage 4 or 5 should have their bisphosphonates reduced to 50% the dose to prevent renal toxicity which would speed up CKD progression.</w:t>
      </w:r>
    </w:p>
    <w:p w14:paraId="157491EB" w14:textId="6CD9DF04" w:rsidR="00E02084" w:rsidRPr="00BB54DF" w:rsidRDefault="00CC443F" w:rsidP="00E02084">
      <w:pPr>
        <w:spacing w:line="360" w:lineRule="auto"/>
        <w:jc w:val="both"/>
        <w:rPr>
          <w:rFonts w:cs="Arial"/>
        </w:rPr>
      </w:pPr>
      <w:r w:rsidRPr="00BB54DF">
        <w:rPr>
          <w:rFonts w:cs="Arial"/>
        </w:rPr>
        <w:t xml:space="preserve">It has previously been shown that CKD progression occurs later for women than men, potentially explaining the increased risk identified in the interaction analysis </w:t>
      </w:r>
      <w:r w:rsidR="005D2991" w:rsidRPr="00BB54DF">
        <w:rPr>
          <w:rFonts w:cs="Arial"/>
        </w:rPr>
        <w:t>for</w:t>
      </w:r>
      <w:r w:rsidRPr="00BB54DF">
        <w:rPr>
          <w:rFonts w:cs="Arial"/>
        </w:rPr>
        <w:t xml:space="preserve"> women but not men</w:t>
      </w:r>
      <w:r w:rsidR="005D662A" w:rsidRPr="00BB54DF">
        <w:rPr>
          <w:rFonts w:cs="Arial"/>
        </w:rPr>
        <w:fldChar w:fldCharType="begin">
          <w:fldData xml:space="preserve">PEVuZE5vdGU+PENpdGU+PEF1dGhvcj5Db2JvPC9BdXRob3I+PFllYXI+MjAxNjwvWWVhcj48UmVj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</w:fldData>
        </w:fldChar>
      </w:r>
      <w:r w:rsidR="001D5467" w:rsidRPr="00BB54DF">
        <w:rPr>
          <w:rFonts w:cs="Arial"/>
        </w:rPr>
        <w:instrText xml:space="preserve"> ADDIN EN.CITE </w:instrText>
      </w:r>
      <w:r w:rsidR="001D5467" w:rsidRPr="00BB54DF">
        <w:rPr>
          <w:rFonts w:cs="Arial"/>
        </w:rPr>
        <w:fldChar w:fldCharType="begin">
          <w:fldData xml:space="preserve">PEVuZE5vdGU+PENpdGU+PEF1dGhvcj5Db2JvPC9BdXRob3I+PFllYXI+MjAxNjwvWWVhcj48UmVj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</w:fldData>
        </w:fldChar>
      </w:r>
      <w:r w:rsidR="001D5467" w:rsidRPr="00BB54DF">
        <w:rPr>
          <w:rFonts w:cs="Arial"/>
        </w:rPr>
        <w:instrText xml:space="preserve"> ADDIN EN.CITE.DATA </w:instrText>
      </w:r>
      <w:r w:rsidR="001D5467" w:rsidRPr="00BB54DF">
        <w:rPr>
          <w:rFonts w:cs="Arial"/>
        </w:rPr>
      </w:r>
      <w:r w:rsidR="001D5467" w:rsidRPr="00BB54DF">
        <w:rPr>
          <w:rFonts w:cs="Arial"/>
        </w:rPr>
        <w:fldChar w:fldCharType="end"/>
      </w:r>
      <w:r w:rsidR="005D662A" w:rsidRPr="00BB54DF">
        <w:rPr>
          <w:rFonts w:cs="Arial"/>
        </w:rPr>
      </w:r>
      <w:r w:rsidR="005D662A" w:rsidRPr="00BB54DF">
        <w:rPr>
          <w:rFonts w:cs="Arial"/>
        </w:rPr>
        <w:fldChar w:fldCharType="separate"/>
      </w:r>
      <w:r w:rsidR="001D5467" w:rsidRPr="00BB54DF">
        <w:rPr>
          <w:rFonts w:cs="Arial"/>
          <w:noProof/>
        </w:rPr>
        <w:t>[33]</w:t>
      </w:r>
      <w:r w:rsidR="005D662A" w:rsidRPr="00BB54DF">
        <w:rPr>
          <w:rFonts w:cs="Arial"/>
        </w:rPr>
        <w:fldChar w:fldCharType="end"/>
      </w:r>
      <w:r w:rsidR="00F01A9E" w:rsidRPr="00BB54DF">
        <w:rPr>
          <w:rFonts w:cs="Arial"/>
        </w:rPr>
        <w:t>.</w:t>
      </w:r>
      <w:r w:rsidRPr="00BB54DF">
        <w:rPr>
          <w:rFonts w:cs="Arial"/>
        </w:rPr>
        <w:t xml:space="preserve"> </w:t>
      </w:r>
      <w:r w:rsidR="004D040F" w:rsidRPr="00BB54DF">
        <w:rPr>
          <w:rFonts w:cs="Arial"/>
        </w:rPr>
        <w:t>The differences identified in the interaction analysis with fra</w:t>
      </w:r>
      <w:r w:rsidR="0057473C" w:rsidRPr="00BB54DF">
        <w:rPr>
          <w:rFonts w:cs="Arial"/>
        </w:rPr>
        <w:t>cture are potentially an artefact of the data due to a lack of patients with a history of fracture as shown by the overlapping confidence intervals</w:t>
      </w:r>
      <w:r w:rsidR="004D040F" w:rsidRPr="00BB54DF">
        <w:rPr>
          <w:rFonts w:cs="Arial"/>
        </w:rPr>
        <w:t xml:space="preserve">. </w:t>
      </w:r>
      <w:r w:rsidR="00805250" w:rsidRPr="00BB54DF">
        <w:rPr>
          <w:rFonts w:cs="Arial"/>
        </w:rPr>
        <w:t>This interaction should be replicated</w:t>
      </w:r>
      <w:r w:rsidR="004D040F" w:rsidRPr="00BB54DF">
        <w:rPr>
          <w:rFonts w:cs="Arial"/>
        </w:rPr>
        <w:t xml:space="preserve">. </w:t>
      </w:r>
    </w:p>
    <w:p w14:paraId="12B2435B" w14:textId="22C2D1E8" w:rsidR="00E55032" w:rsidRPr="00BB54DF" w:rsidRDefault="00805250" w:rsidP="00E33A7D">
      <w:pPr>
        <w:spacing w:line="360" w:lineRule="auto"/>
        <w:jc w:val="both"/>
        <w:rPr>
          <w:rFonts w:cs="Arial"/>
        </w:rPr>
      </w:pPr>
      <w:r w:rsidRPr="00BB54DF">
        <w:rPr>
          <w:rFonts w:cs="Arial"/>
        </w:rPr>
        <w:lastRenderedPageBreak/>
        <w:t>A</w:t>
      </w:r>
      <w:r w:rsidR="003C46C6" w:rsidRPr="00BB54DF">
        <w:rPr>
          <w:rFonts w:cs="Arial"/>
        </w:rPr>
        <w:t xml:space="preserve"> dose</w:t>
      </w:r>
      <w:r w:rsidRPr="00BB54DF">
        <w:rPr>
          <w:rFonts w:cs="Arial"/>
        </w:rPr>
        <w:t>-</w:t>
      </w:r>
      <w:r w:rsidR="003C46C6" w:rsidRPr="00BB54DF">
        <w:rPr>
          <w:rFonts w:cs="Arial"/>
        </w:rPr>
        <w:t xml:space="preserve">response relationship was identified </w:t>
      </w:r>
      <w:r w:rsidR="00ED739B" w:rsidRPr="00BB54DF">
        <w:rPr>
          <w:rFonts w:cs="Arial"/>
        </w:rPr>
        <w:t xml:space="preserve">between bisphosphonate use and </w:t>
      </w:r>
      <w:r w:rsidR="003C46C6" w:rsidRPr="00BB54DF">
        <w:rPr>
          <w:rFonts w:cs="Arial"/>
        </w:rPr>
        <w:t>CKD progression</w:t>
      </w:r>
      <w:r w:rsidRPr="00BB54DF">
        <w:rPr>
          <w:rFonts w:cs="Arial"/>
        </w:rPr>
        <w:t xml:space="preserve"> in sensitivity analyses</w:t>
      </w:r>
      <w:r w:rsidR="003C46C6" w:rsidRPr="00BB54DF">
        <w:rPr>
          <w:rFonts w:cs="Arial"/>
        </w:rPr>
        <w:t xml:space="preserve">. </w:t>
      </w:r>
      <w:r w:rsidR="00EA2FDB" w:rsidRPr="00BB54DF">
        <w:rPr>
          <w:rFonts w:cs="Arial"/>
        </w:rPr>
        <w:t>T</w:t>
      </w:r>
      <w:r w:rsidR="007A5FA7" w:rsidRPr="00BB54DF">
        <w:rPr>
          <w:rFonts w:cs="Arial"/>
        </w:rPr>
        <w:t xml:space="preserve">he array analysis showed that the identified result </w:t>
      </w:r>
      <w:r w:rsidRPr="00BB54DF">
        <w:rPr>
          <w:rFonts w:cs="Arial"/>
        </w:rPr>
        <w:t xml:space="preserve">would only be </w:t>
      </w:r>
      <w:r w:rsidR="007A5FA7" w:rsidRPr="00BB54DF">
        <w:rPr>
          <w:rFonts w:cs="Arial"/>
        </w:rPr>
        <w:t>nullified</w:t>
      </w:r>
      <w:r w:rsidR="005E143F" w:rsidRPr="00BB54DF">
        <w:rPr>
          <w:rFonts w:cs="Arial"/>
        </w:rPr>
        <w:t xml:space="preserve"> </w:t>
      </w:r>
      <w:r w:rsidRPr="00BB54DF">
        <w:rPr>
          <w:rFonts w:cs="Arial"/>
        </w:rPr>
        <w:t>in extreme situations</w:t>
      </w:r>
      <w:r w:rsidR="005D662A" w:rsidRPr="00BB54DF">
        <w:rPr>
          <w:rFonts w:cs="Arial"/>
        </w:rPr>
        <w:fldChar w:fldCharType="begin"/>
      </w:r>
      <w:r w:rsidR="00CC773B" w:rsidRPr="00BB54DF">
        <w:rPr>
          <w:rFonts w:cs="Arial"/>
        </w:rPr>
        <w:instrText xml:space="preserve"> ADDIN EN.CITE &lt;EndNote&gt;&lt;Cite&gt;&lt;Author&gt;Schneeweiss&lt;/Author&gt;&lt;Year&gt;2006&lt;/Year&gt;&lt;RecNum&gt;55&lt;/RecNum&gt;&lt;DisplayText&gt;[22]&lt;/DisplayText&gt;&lt;record&gt;&lt;rec-number&gt;55&lt;/rec-number&gt;&lt;foreign-keys&gt;&lt;key app="EN" db-id="pwdswvde6sasexe5rx9p90509rsftz22fdv9" timestamp="0"&gt;55&lt;/key&gt;&lt;/foreign-keys&gt;&lt;ref-type name="Journal Article"&gt;17&lt;/ref-type&gt;&lt;contributors&gt;&lt;authors&gt;&lt;author&gt;Schneeweiss, S.&lt;/author&gt;&lt;/authors&gt;&lt;/contributors&gt;&lt;auth-address&gt;Division of Pharmacoepidemiology and Pharmacoeconomics, Department of Medicine, Brigham and Women&amp;apos;s Hospital and Harvard Medical School, Boston, MA 02120, USA. schneeweiss@post.harvard.edu&lt;/auth-address&gt;&lt;titles&gt;&lt;title&gt;Sensitivity analysis and external adjustment for unmeasured confounders in epidemiologic database studies of therapeutics&lt;/title&gt;&lt;secondary-title&gt;Pharmacoepidemiol Drug Saf&lt;/secondary-title&gt;&lt;alt-title&gt;Pharmacoepidemiology and drug safety&lt;/alt-title&gt;&lt;/titles&gt;&lt;pages&gt;291-303&lt;/pages&gt;&lt;volume&gt;15&lt;/volume&gt;&lt;number&gt;5&lt;/number&gt;&lt;edition&gt;2006/02/01&lt;/edition&gt;&lt;keywords&gt;&lt;keyword&gt;Anti-Inflammatory Agents, Non-Steroidal/adverse effects&lt;/keyword&gt;&lt;keyword&gt;Cyclooxygenase 2 Inhibitors/adverse effects&lt;/keyword&gt;&lt;keyword&gt;Databases as Topic&lt;/keyword&gt;&lt;keyword&gt;Humans&lt;/keyword&gt;&lt;keyword&gt;Pharmacoepidemiology/*statistics &amp;amp; numerical data&lt;/keyword&gt;&lt;keyword&gt;Risk&lt;/keyword&gt;&lt;keyword&gt;Sensitivity and Specificity&lt;/keyword&gt;&lt;/keywords&gt;&lt;dates&gt;&lt;year&gt;2006&lt;/year&gt;&lt;pub-dates&gt;&lt;date&gt;May&lt;/date&gt;&lt;/pub-dates&gt;&lt;/dates&gt;&lt;isbn&gt;1053-8569 (Print)&amp;#xD;1053-8569&lt;/isbn&gt;&lt;accession-num&gt;16447304&lt;/accession-num&gt;&lt;urls&gt;&lt;/urls&gt;&lt;electronic-resource-num&gt;10.1002/pds.1200&lt;/electronic-resource-num&gt;&lt;remote-database-provider&gt;NLM&lt;/remote-database-provider&gt;&lt;language&gt;eng&lt;/language&gt;&lt;/record&gt;&lt;/Cite&gt;&lt;/EndNote&gt;</w:instrText>
      </w:r>
      <w:r w:rsidR="005D662A" w:rsidRPr="00BB54DF">
        <w:rPr>
          <w:rFonts w:cs="Arial"/>
        </w:rPr>
        <w:fldChar w:fldCharType="separate"/>
      </w:r>
      <w:r w:rsidR="00CC773B" w:rsidRPr="00BB54DF">
        <w:rPr>
          <w:rFonts w:cs="Arial"/>
          <w:noProof/>
        </w:rPr>
        <w:t>[22]</w:t>
      </w:r>
      <w:r w:rsidR="005D662A" w:rsidRPr="00BB54DF">
        <w:rPr>
          <w:rFonts w:cs="Arial"/>
        </w:rPr>
        <w:fldChar w:fldCharType="end"/>
      </w:r>
      <w:r w:rsidR="00F01A9E" w:rsidRPr="00BB54DF">
        <w:rPr>
          <w:rFonts w:cs="Arial"/>
        </w:rPr>
        <w:t>.</w:t>
      </w:r>
      <w:r w:rsidRPr="00BB54DF">
        <w:rPr>
          <w:rFonts w:cs="Arial"/>
        </w:rPr>
        <w:t xml:space="preserve"> </w:t>
      </w:r>
    </w:p>
    <w:p w14:paraId="3C1C596E" w14:textId="1FADD960" w:rsidR="000B15C2" w:rsidRPr="00BB54DF" w:rsidRDefault="000B15C2" w:rsidP="00E33A7D">
      <w:pPr>
        <w:spacing w:line="360" w:lineRule="auto"/>
        <w:jc w:val="both"/>
        <w:rPr>
          <w:rFonts w:cs="Arial"/>
        </w:rPr>
      </w:pPr>
      <w:r w:rsidRPr="00BB54DF">
        <w:rPr>
          <w:rFonts w:cs="Arial"/>
        </w:rPr>
        <w:t xml:space="preserve">We found no association between bisphosphonate use and </w:t>
      </w:r>
      <w:r w:rsidR="00F178EF" w:rsidRPr="00BB54DF">
        <w:rPr>
          <w:rFonts w:cs="Arial"/>
        </w:rPr>
        <w:t xml:space="preserve">acute kidney injury, gastrointestinal events, </w:t>
      </w:r>
      <w:r w:rsidR="00F5425D" w:rsidRPr="00BB54DF">
        <w:rPr>
          <w:rFonts w:cs="Arial"/>
        </w:rPr>
        <w:t>or</w:t>
      </w:r>
      <w:r w:rsidRPr="00BB54DF">
        <w:rPr>
          <w:rFonts w:cs="Arial"/>
        </w:rPr>
        <w:t xml:space="preserve"> hypocalcaemia.</w:t>
      </w:r>
    </w:p>
    <w:p w14:paraId="72E673E6" w14:textId="5FCAA02F" w:rsidR="00DF4CA3" w:rsidRPr="00BB54DF" w:rsidRDefault="00C110CC" w:rsidP="00DF4CA3">
      <w:pPr>
        <w:spacing w:line="360" w:lineRule="auto"/>
        <w:jc w:val="both"/>
        <w:outlineLvl w:val="0"/>
        <w:rPr>
          <w:rFonts w:cs="Arial"/>
          <w:b/>
        </w:rPr>
      </w:pPr>
      <w:r w:rsidRPr="00BB54DF">
        <w:rPr>
          <w:rFonts w:cs="Arial"/>
          <w:b/>
        </w:rPr>
        <w:t>Limitations</w:t>
      </w:r>
    </w:p>
    <w:p w14:paraId="11EE3AB0" w14:textId="18C86B5C" w:rsidR="005D2991" w:rsidRPr="00BB54DF" w:rsidRDefault="000D5CB0" w:rsidP="00DF4CA3">
      <w:pPr>
        <w:spacing w:line="360" w:lineRule="auto"/>
        <w:jc w:val="both"/>
        <w:rPr>
          <w:rFonts w:cs="Arial"/>
        </w:rPr>
      </w:pPr>
      <w:r w:rsidRPr="00BB54DF">
        <w:rPr>
          <w:rFonts w:cs="Arial"/>
        </w:rPr>
        <w:t>This work</w:t>
      </w:r>
      <w:r w:rsidR="00DF4CA3" w:rsidRPr="00BB54DF">
        <w:rPr>
          <w:rFonts w:cs="Arial"/>
        </w:rPr>
        <w:t xml:space="preserve"> was undertaken using observational data</w:t>
      </w:r>
      <w:r w:rsidR="005D2991" w:rsidRPr="00BB54DF">
        <w:rPr>
          <w:rFonts w:cs="Arial"/>
        </w:rPr>
        <w:t>, whereas previous studies have used</w:t>
      </w:r>
      <w:r w:rsidR="005D435A" w:rsidRPr="00BB54DF">
        <w:rPr>
          <w:rFonts w:cs="Arial"/>
        </w:rPr>
        <w:t xml:space="preserve"> </w:t>
      </w:r>
      <w:r w:rsidR="005D2991" w:rsidRPr="00BB54DF">
        <w:rPr>
          <w:rFonts w:cs="Arial"/>
        </w:rPr>
        <w:t xml:space="preserve">data from </w:t>
      </w:r>
      <w:r w:rsidR="005D435A" w:rsidRPr="00BB54DF">
        <w:rPr>
          <w:rFonts w:cs="Arial"/>
        </w:rPr>
        <w:t>randomised control trials</w:t>
      </w:r>
      <w:r w:rsidR="005D2991" w:rsidRPr="00BB54DF">
        <w:rPr>
          <w:rFonts w:cs="Arial"/>
        </w:rPr>
        <w:t>.</w:t>
      </w:r>
      <w:r w:rsidR="005D435A" w:rsidRPr="00BB54DF">
        <w:rPr>
          <w:rFonts w:cs="Arial"/>
        </w:rPr>
        <w:t xml:space="preserve"> </w:t>
      </w:r>
      <w:r w:rsidR="005D2991" w:rsidRPr="00BB54DF">
        <w:rPr>
          <w:rFonts w:cs="Arial"/>
        </w:rPr>
        <w:t>H</w:t>
      </w:r>
      <w:r w:rsidR="005D435A" w:rsidRPr="00BB54DF">
        <w:rPr>
          <w:rFonts w:cs="Arial"/>
        </w:rPr>
        <w:t>owever</w:t>
      </w:r>
      <w:r w:rsidR="005D2991" w:rsidRPr="00BB54DF">
        <w:rPr>
          <w:rFonts w:cs="Arial"/>
        </w:rPr>
        <w:t>,</w:t>
      </w:r>
      <w:r w:rsidR="005D435A" w:rsidRPr="00BB54DF">
        <w:rPr>
          <w:rFonts w:cs="Arial"/>
        </w:rPr>
        <w:t xml:space="preserve"> the strengths of using </w:t>
      </w:r>
      <w:r w:rsidR="005D2991" w:rsidRPr="00BB54DF">
        <w:rPr>
          <w:rFonts w:cs="Arial"/>
        </w:rPr>
        <w:t xml:space="preserve">these different </w:t>
      </w:r>
      <w:r w:rsidR="005D435A" w:rsidRPr="00BB54DF">
        <w:rPr>
          <w:rFonts w:cs="Arial"/>
        </w:rPr>
        <w:t xml:space="preserve">data </w:t>
      </w:r>
      <w:r w:rsidR="005D2991" w:rsidRPr="00BB54DF">
        <w:rPr>
          <w:rFonts w:cs="Arial"/>
        </w:rPr>
        <w:t xml:space="preserve">sources </w:t>
      </w:r>
      <w:r w:rsidR="005D435A" w:rsidRPr="00BB54DF">
        <w:rPr>
          <w:rFonts w:cs="Arial"/>
        </w:rPr>
        <w:t>ha</w:t>
      </w:r>
      <w:r w:rsidR="00CA0C11" w:rsidRPr="00BB54DF">
        <w:rPr>
          <w:rFonts w:cs="Arial"/>
        </w:rPr>
        <w:t>ve</w:t>
      </w:r>
      <w:r w:rsidR="005D435A" w:rsidRPr="00BB54DF">
        <w:rPr>
          <w:rFonts w:cs="Arial"/>
        </w:rPr>
        <w:t xml:space="preserve"> previously </w:t>
      </w:r>
      <w:r w:rsidR="005D2991" w:rsidRPr="00BB54DF">
        <w:rPr>
          <w:rFonts w:cs="Arial"/>
        </w:rPr>
        <w:t xml:space="preserve">been </w:t>
      </w:r>
      <w:r w:rsidR="005D435A" w:rsidRPr="00BB54DF">
        <w:rPr>
          <w:rFonts w:cs="Arial"/>
        </w:rPr>
        <w:t>compared</w:t>
      </w:r>
      <w:r w:rsidR="00DF4CA3" w:rsidRPr="00BB54DF">
        <w:rPr>
          <w:rFonts w:cs="Arial"/>
        </w:rPr>
        <w:t>.</w:t>
      </w:r>
      <w:r w:rsidR="005D435A" w:rsidRPr="00BB54DF">
        <w:rPr>
          <w:rFonts w:cs="Arial"/>
        </w:rPr>
        <w:t xml:space="preserve"> </w:t>
      </w:r>
    </w:p>
    <w:p w14:paraId="0DF93EC3" w14:textId="43B924A6" w:rsidR="00DF4CA3" w:rsidRPr="00BB54DF" w:rsidRDefault="00DF4CA3" w:rsidP="00DF4CA3">
      <w:pPr>
        <w:spacing w:line="360" w:lineRule="auto"/>
        <w:jc w:val="both"/>
        <w:rPr>
          <w:rFonts w:cs="Arial"/>
        </w:rPr>
      </w:pPr>
      <w:r w:rsidRPr="00BB54DF">
        <w:rPr>
          <w:rFonts w:cs="Arial"/>
        </w:rPr>
        <w:t xml:space="preserve">Although differences between bisphosphonate users and non-users were minimised </w:t>
      </w:r>
      <w:r w:rsidR="005D2991" w:rsidRPr="00BB54DF">
        <w:rPr>
          <w:rFonts w:cs="Arial"/>
        </w:rPr>
        <w:t>with</w:t>
      </w:r>
      <w:r w:rsidRPr="00BB54DF">
        <w:rPr>
          <w:rFonts w:cs="Arial"/>
        </w:rPr>
        <w:t xml:space="preserve"> PS matching, differences may have remained. This is particularly true for unidentified confounders not included in the PS. </w:t>
      </w:r>
      <w:r w:rsidR="00CA0C11" w:rsidRPr="00BB54DF">
        <w:rPr>
          <w:rFonts w:cs="Arial"/>
        </w:rPr>
        <w:t>A</w:t>
      </w:r>
      <w:r w:rsidRPr="00BB54DF">
        <w:rPr>
          <w:rFonts w:cs="Arial"/>
        </w:rPr>
        <w:t xml:space="preserve">n array analysis of </w:t>
      </w:r>
      <w:r w:rsidR="00CA0C11" w:rsidRPr="00BB54DF">
        <w:rPr>
          <w:rFonts w:cs="Arial"/>
        </w:rPr>
        <w:t xml:space="preserve">hypothetical unmeasured confounders suggested the results would only be nullified </w:t>
      </w:r>
      <w:r w:rsidR="005D2991" w:rsidRPr="00BB54DF">
        <w:rPr>
          <w:rFonts w:cs="Arial"/>
        </w:rPr>
        <w:t>i</w:t>
      </w:r>
      <w:r w:rsidR="00ED739B" w:rsidRPr="00BB54DF">
        <w:rPr>
          <w:rFonts w:cs="Arial"/>
        </w:rPr>
        <w:t>f they were</w:t>
      </w:r>
      <w:r w:rsidR="005D2991" w:rsidRPr="00BB54DF">
        <w:rPr>
          <w:rFonts w:cs="Arial"/>
        </w:rPr>
        <w:t xml:space="preserve"> </w:t>
      </w:r>
      <w:r w:rsidR="00CA0C11" w:rsidRPr="00BB54DF">
        <w:rPr>
          <w:rFonts w:cs="Arial"/>
        </w:rPr>
        <w:t>biased</w:t>
      </w:r>
      <w:r w:rsidR="005D2991" w:rsidRPr="00BB54DF">
        <w:rPr>
          <w:rFonts w:cs="Arial"/>
        </w:rPr>
        <w:t xml:space="preserve"> more than 20%</w:t>
      </w:r>
      <w:r w:rsidR="00151505" w:rsidRPr="00BB54DF">
        <w:rPr>
          <w:rFonts w:cs="Arial"/>
        </w:rPr>
        <w:t xml:space="preserve"> which is unlikely</w:t>
      </w:r>
      <w:r w:rsidR="00CA0C11" w:rsidRPr="00BB54DF">
        <w:rPr>
          <w:rFonts w:cs="Arial"/>
        </w:rPr>
        <w:t>.</w:t>
      </w:r>
    </w:p>
    <w:p w14:paraId="2DE96A3A" w14:textId="3B13BF01" w:rsidR="00DF4CA3" w:rsidRPr="00BB54DF" w:rsidRDefault="00DF4CA3" w:rsidP="00DF4CA3">
      <w:pPr>
        <w:spacing w:line="360" w:lineRule="auto"/>
        <w:jc w:val="both"/>
        <w:rPr>
          <w:rFonts w:cs="Arial"/>
        </w:rPr>
      </w:pPr>
      <w:r w:rsidRPr="00BB54DF">
        <w:rPr>
          <w:rFonts w:cs="Arial"/>
        </w:rPr>
        <w:t xml:space="preserve">There was potential for </w:t>
      </w:r>
      <w:r w:rsidR="00ED739B" w:rsidRPr="00BB54DF">
        <w:rPr>
          <w:rFonts w:cs="Arial"/>
        </w:rPr>
        <w:t xml:space="preserve">exposure </w:t>
      </w:r>
      <w:r w:rsidRPr="00BB54DF">
        <w:rPr>
          <w:rFonts w:cs="Arial"/>
        </w:rPr>
        <w:t xml:space="preserve">misclassification. </w:t>
      </w:r>
      <w:r w:rsidR="005D2991" w:rsidRPr="00BB54DF">
        <w:rPr>
          <w:rFonts w:cs="Arial"/>
        </w:rPr>
        <w:t>Although</w:t>
      </w:r>
      <w:r w:rsidR="00CA0C11" w:rsidRPr="00BB54DF">
        <w:rPr>
          <w:rFonts w:cs="Arial"/>
        </w:rPr>
        <w:t xml:space="preserve"> we </w:t>
      </w:r>
      <w:r w:rsidR="00F5425D" w:rsidRPr="00BB54DF">
        <w:rPr>
          <w:rFonts w:cs="Arial"/>
        </w:rPr>
        <w:t>could</w:t>
      </w:r>
      <w:r w:rsidR="00CA0C11" w:rsidRPr="00BB54DF">
        <w:rPr>
          <w:rFonts w:cs="Arial"/>
        </w:rPr>
        <w:t xml:space="preserve"> confirm </w:t>
      </w:r>
      <w:r w:rsidR="005D2991" w:rsidRPr="00BB54DF">
        <w:rPr>
          <w:rFonts w:cs="Arial"/>
        </w:rPr>
        <w:t xml:space="preserve">whether </w:t>
      </w:r>
      <w:r w:rsidR="00CA0C11" w:rsidRPr="00BB54DF">
        <w:rPr>
          <w:rFonts w:cs="Arial"/>
        </w:rPr>
        <w:t xml:space="preserve">patients </w:t>
      </w:r>
      <w:r w:rsidR="00F5425D" w:rsidRPr="00BB54DF">
        <w:rPr>
          <w:rFonts w:cs="Arial"/>
        </w:rPr>
        <w:t>had</w:t>
      </w:r>
      <w:r w:rsidR="00CA0C11" w:rsidRPr="00BB54DF">
        <w:rPr>
          <w:rFonts w:cs="Arial"/>
        </w:rPr>
        <w:t xml:space="preserve"> been prescribed (</w:t>
      </w:r>
      <w:r w:rsidRPr="00BB54DF">
        <w:rPr>
          <w:rFonts w:cs="Arial"/>
        </w:rPr>
        <w:t>CPRD</w:t>
      </w:r>
      <w:r w:rsidR="00CA0C11" w:rsidRPr="00BB54DF">
        <w:rPr>
          <w:rFonts w:cs="Arial"/>
        </w:rPr>
        <w:t xml:space="preserve">) and dispensed (SIDIAP) bisphosphonates, we </w:t>
      </w:r>
      <w:r w:rsidR="00F5425D" w:rsidRPr="00BB54DF">
        <w:rPr>
          <w:rFonts w:cs="Arial"/>
        </w:rPr>
        <w:t xml:space="preserve">could </w:t>
      </w:r>
      <w:r w:rsidR="00CA0C11" w:rsidRPr="00BB54DF">
        <w:rPr>
          <w:rFonts w:cs="Arial"/>
        </w:rPr>
        <w:t xml:space="preserve">not </w:t>
      </w:r>
      <w:r w:rsidRPr="00BB54DF">
        <w:rPr>
          <w:rFonts w:cs="Arial"/>
        </w:rPr>
        <w:t xml:space="preserve">confirm whether </w:t>
      </w:r>
      <w:r w:rsidR="005D2991" w:rsidRPr="00BB54DF">
        <w:rPr>
          <w:rFonts w:cs="Arial"/>
        </w:rPr>
        <w:t xml:space="preserve">they </w:t>
      </w:r>
      <w:r w:rsidR="00F5425D" w:rsidRPr="00BB54DF">
        <w:rPr>
          <w:rFonts w:cs="Arial"/>
        </w:rPr>
        <w:t>had</w:t>
      </w:r>
      <w:r w:rsidR="005D2991" w:rsidRPr="00BB54DF">
        <w:rPr>
          <w:rFonts w:cs="Arial"/>
        </w:rPr>
        <w:t xml:space="preserve"> taken</w:t>
      </w:r>
      <w:r w:rsidRPr="00BB54DF">
        <w:rPr>
          <w:rFonts w:cs="Arial"/>
        </w:rPr>
        <w:t xml:space="preserve"> </w:t>
      </w:r>
      <w:r w:rsidR="005D2991" w:rsidRPr="00BB54DF">
        <w:rPr>
          <w:rFonts w:cs="Arial"/>
        </w:rPr>
        <w:t>those</w:t>
      </w:r>
      <w:r w:rsidRPr="00BB54DF">
        <w:rPr>
          <w:rFonts w:cs="Arial"/>
        </w:rPr>
        <w:t xml:space="preserve"> prescriptions. </w:t>
      </w:r>
    </w:p>
    <w:p w14:paraId="15812B18" w14:textId="6ACCDF50" w:rsidR="00651FD2" w:rsidRPr="00BB54DF" w:rsidRDefault="00651FD2" w:rsidP="00DF4CA3">
      <w:pPr>
        <w:spacing w:line="360" w:lineRule="auto"/>
        <w:jc w:val="both"/>
        <w:rPr>
          <w:rFonts w:cs="Arial"/>
        </w:rPr>
      </w:pPr>
      <w:r w:rsidRPr="00BB54DF">
        <w:rPr>
          <w:rFonts w:cs="Arial"/>
        </w:rPr>
        <w:t xml:space="preserve">There </w:t>
      </w:r>
      <w:r w:rsidR="00F5425D" w:rsidRPr="00BB54DF">
        <w:rPr>
          <w:rFonts w:cs="Arial"/>
        </w:rPr>
        <w:t>was</w:t>
      </w:r>
      <w:r w:rsidRPr="00BB54DF">
        <w:rPr>
          <w:rFonts w:cs="Arial"/>
        </w:rPr>
        <w:t xml:space="preserve"> potential for </w:t>
      </w:r>
      <w:r w:rsidR="0065201E" w:rsidRPr="00BB54DF">
        <w:rPr>
          <w:rFonts w:cs="Arial"/>
        </w:rPr>
        <w:t>confounding by indication</w:t>
      </w:r>
      <w:r w:rsidRPr="00BB54DF">
        <w:rPr>
          <w:rFonts w:cs="Arial"/>
        </w:rPr>
        <w:t xml:space="preserve"> in the eGFR stage change</w:t>
      </w:r>
      <w:r w:rsidR="00ED739B" w:rsidRPr="00BB54DF">
        <w:rPr>
          <w:rFonts w:cs="Arial"/>
        </w:rPr>
        <w:t xml:space="preserve"> outcome</w:t>
      </w:r>
      <w:r w:rsidR="009A6EFD" w:rsidRPr="00BB54DF">
        <w:rPr>
          <w:rFonts w:cs="Arial"/>
        </w:rPr>
        <w:t>,</w:t>
      </w:r>
      <w:r w:rsidRPr="00BB54DF">
        <w:rPr>
          <w:rFonts w:cs="Arial"/>
        </w:rPr>
        <w:t xml:space="preserve"> </w:t>
      </w:r>
      <w:r w:rsidR="009A6EFD" w:rsidRPr="00BB54DF">
        <w:rPr>
          <w:rFonts w:cs="Arial"/>
        </w:rPr>
        <w:t xml:space="preserve">as </w:t>
      </w:r>
      <w:r w:rsidRPr="00BB54DF">
        <w:rPr>
          <w:rFonts w:cs="Arial"/>
        </w:rPr>
        <w:t xml:space="preserve">patients with low eGFR </w:t>
      </w:r>
      <w:r w:rsidR="009A6EFD" w:rsidRPr="00BB54DF">
        <w:rPr>
          <w:rFonts w:cs="Arial"/>
        </w:rPr>
        <w:t xml:space="preserve">who were </w:t>
      </w:r>
      <w:r w:rsidRPr="00BB54DF">
        <w:rPr>
          <w:rFonts w:cs="Arial"/>
        </w:rPr>
        <w:t xml:space="preserve">on bisphosphonates </w:t>
      </w:r>
      <w:r w:rsidR="009A6EFD" w:rsidRPr="00BB54DF">
        <w:rPr>
          <w:rFonts w:cs="Arial"/>
        </w:rPr>
        <w:t xml:space="preserve">may </w:t>
      </w:r>
      <w:r w:rsidRPr="00BB54DF">
        <w:rPr>
          <w:rFonts w:cs="Arial"/>
        </w:rPr>
        <w:t xml:space="preserve">have </w:t>
      </w:r>
      <w:r w:rsidR="009A6EFD" w:rsidRPr="00BB54DF">
        <w:rPr>
          <w:rFonts w:cs="Arial"/>
        </w:rPr>
        <w:t xml:space="preserve">had </w:t>
      </w:r>
      <w:r w:rsidRPr="00BB54DF">
        <w:rPr>
          <w:rFonts w:cs="Arial"/>
        </w:rPr>
        <w:t xml:space="preserve">their eGFR measured more frequently. </w:t>
      </w:r>
    </w:p>
    <w:p w14:paraId="22B7091D" w14:textId="7E45ADBD" w:rsidR="0065201E" w:rsidRPr="00BB54DF" w:rsidRDefault="00CA0C11" w:rsidP="00DF4CA3">
      <w:pPr>
        <w:spacing w:line="360" w:lineRule="auto"/>
        <w:jc w:val="both"/>
        <w:rPr>
          <w:rFonts w:cs="Arial"/>
        </w:rPr>
      </w:pPr>
      <w:r w:rsidRPr="00BB54DF">
        <w:rPr>
          <w:rFonts w:cs="Arial"/>
        </w:rPr>
        <w:t xml:space="preserve">The reduced risk of </w:t>
      </w:r>
      <w:r w:rsidR="0065201E" w:rsidRPr="00BB54DF">
        <w:rPr>
          <w:rFonts w:cs="Arial"/>
        </w:rPr>
        <w:t xml:space="preserve">death </w:t>
      </w:r>
      <w:r w:rsidR="00ED739B" w:rsidRPr="00BB54DF">
        <w:rPr>
          <w:rFonts w:cs="Arial"/>
        </w:rPr>
        <w:t xml:space="preserve">found for bisphosphonate users </w:t>
      </w:r>
      <w:r w:rsidR="0065201E" w:rsidRPr="00BB54DF">
        <w:rPr>
          <w:rFonts w:cs="Arial"/>
        </w:rPr>
        <w:t>in CPRD suggest</w:t>
      </w:r>
      <w:r w:rsidR="00F5425D" w:rsidRPr="00BB54DF">
        <w:rPr>
          <w:rFonts w:cs="Arial"/>
        </w:rPr>
        <w:t>ed</w:t>
      </w:r>
      <w:r w:rsidR="0065201E" w:rsidRPr="00BB54DF">
        <w:rPr>
          <w:rFonts w:cs="Arial"/>
        </w:rPr>
        <w:t xml:space="preserve"> </w:t>
      </w:r>
      <w:r w:rsidR="00ED739B" w:rsidRPr="00BB54DF">
        <w:rPr>
          <w:rFonts w:cs="Arial"/>
        </w:rPr>
        <w:t xml:space="preserve">the existence of </w:t>
      </w:r>
      <w:r w:rsidR="0065201E" w:rsidRPr="00BB54DF">
        <w:rPr>
          <w:rFonts w:cs="Arial"/>
        </w:rPr>
        <w:t>residual unmeasured confounding. However,</w:t>
      </w:r>
      <w:r w:rsidR="009A6EFD" w:rsidRPr="00BB54DF">
        <w:rPr>
          <w:rFonts w:cs="Arial"/>
        </w:rPr>
        <w:t xml:space="preserve"> no effect on death was identified in SIDIAP</w:t>
      </w:r>
      <w:r w:rsidR="00ED739B" w:rsidRPr="00BB54DF">
        <w:rPr>
          <w:rFonts w:cs="Arial"/>
        </w:rPr>
        <w:t>,</w:t>
      </w:r>
      <w:r w:rsidR="009A6EFD" w:rsidRPr="00BB54DF">
        <w:rPr>
          <w:rFonts w:cs="Arial"/>
        </w:rPr>
        <w:t xml:space="preserve"> and </w:t>
      </w:r>
      <w:r w:rsidR="00EE600E" w:rsidRPr="00BB54DF">
        <w:rPr>
          <w:rFonts w:cs="Arial"/>
        </w:rPr>
        <w:t>multiple regression</w:t>
      </w:r>
      <w:r w:rsidR="00ED739B" w:rsidRPr="00BB54DF">
        <w:rPr>
          <w:rFonts w:cs="Arial"/>
        </w:rPr>
        <w:t>s</w:t>
      </w:r>
      <w:r w:rsidR="0065201E" w:rsidRPr="00BB54DF">
        <w:rPr>
          <w:rFonts w:cs="Arial"/>
        </w:rPr>
        <w:t xml:space="preserve"> </w:t>
      </w:r>
      <w:r w:rsidR="009A6EFD" w:rsidRPr="00BB54DF">
        <w:rPr>
          <w:rFonts w:cs="Arial"/>
        </w:rPr>
        <w:t xml:space="preserve">in the two databases </w:t>
      </w:r>
      <w:r w:rsidR="00ED739B" w:rsidRPr="00BB54DF">
        <w:rPr>
          <w:rFonts w:cs="Arial"/>
        </w:rPr>
        <w:t xml:space="preserve">gave </w:t>
      </w:r>
      <w:r w:rsidR="0065201E" w:rsidRPr="00BB54DF">
        <w:rPr>
          <w:rFonts w:cs="Arial"/>
        </w:rPr>
        <w:t>similar</w:t>
      </w:r>
      <w:r w:rsidR="00ED739B" w:rsidRPr="00BB54DF">
        <w:rPr>
          <w:rFonts w:cs="Arial"/>
        </w:rPr>
        <w:t xml:space="preserve"> results</w:t>
      </w:r>
      <w:r w:rsidR="009A6EFD" w:rsidRPr="00BB54DF">
        <w:rPr>
          <w:rFonts w:cs="Arial"/>
        </w:rPr>
        <w:t>.</w:t>
      </w:r>
      <w:r w:rsidR="0065201E" w:rsidRPr="00BB54DF">
        <w:rPr>
          <w:rFonts w:cs="Arial"/>
        </w:rPr>
        <w:t xml:space="preserve"> </w:t>
      </w:r>
      <w:r w:rsidR="009A6EFD" w:rsidRPr="00BB54DF">
        <w:rPr>
          <w:rFonts w:cs="Arial"/>
        </w:rPr>
        <w:t>I</w:t>
      </w:r>
      <w:r w:rsidR="0065201E" w:rsidRPr="00BB54DF">
        <w:rPr>
          <w:rFonts w:cs="Arial"/>
        </w:rPr>
        <w:t xml:space="preserve">t is </w:t>
      </w:r>
      <w:r w:rsidR="009A6EFD" w:rsidRPr="00BB54DF">
        <w:rPr>
          <w:rFonts w:cs="Arial"/>
        </w:rPr>
        <w:t xml:space="preserve">therefore </w:t>
      </w:r>
      <w:r w:rsidR="0065201E" w:rsidRPr="00BB54DF">
        <w:rPr>
          <w:rFonts w:cs="Arial"/>
        </w:rPr>
        <w:t xml:space="preserve">unlikely that </w:t>
      </w:r>
      <w:r w:rsidR="009A6EFD" w:rsidRPr="00BB54DF">
        <w:rPr>
          <w:rFonts w:cs="Arial"/>
        </w:rPr>
        <w:t xml:space="preserve">the reduced risk of death in CPRD </w:t>
      </w:r>
      <w:r w:rsidR="0065201E" w:rsidRPr="00BB54DF">
        <w:rPr>
          <w:rFonts w:cs="Arial"/>
        </w:rPr>
        <w:t xml:space="preserve">substantially affected </w:t>
      </w:r>
      <w:r w:rsidR="009A6EFD" w:rsidRPr="00BB54DF">
        <w:rPr>
          <w:rFonts w:cs="Arial"/>
        </w:rPr>
        <w:t xml:space="preserve">the </w:t>
      </w:r>
      <w:r w:rsidR="0065201E" w:rsidRPr="00BB54DF">
        <w:rPr>
          <w:rFonts w:cs="Arial"/>
        </w:rPr>
        <w:t xml:space="preserve">results after </w:t>
      </w:r>
      <w:r w:rsidR="009A6EFD" w:rsidRPr="00BB54DF">
        <w:rPr>
          <w:rFonts w:cs="Arial"/>
        </w:rPr>
        <w:t xml:space="preserve">the </w:t>
      </w:r>
      <w:r w:rsidR="0065201E" w:rsidRPr="00BB54DF">
        <w:rPr>
          <w:rFonts w:cs="Arial"/>
        </w:rPr>
        <w:t>cause</w:t>
      </w:r>
      <w:r w:rsidR="009A6EFD" w:rsidRPr="00BB54DF">
        <w:rPr>
          <w:rFonts w:cs="Arial"/>
        </w:rPr>
        <w:t>-</w:t>
      </w:r>
      <w:r w:rsidR="0065201E" w:rsidRPr="00BB54DF">
        <w:rPr>
          <w:rFonts w:cs="Arial"/>
        </w:rPr>
        <w:t>specific hazards were calculated.</w:t>
      </w:r>
      <w:r w:rsidR="00DE7105" w:rsidRPr="00BB54DF">
        <w:rPr>
          <w:rFonts w:cs="Arial"/>
        </w:rPr>
        <w:t xml:space="preserve"> Furthermore, other studies</w:t>
      </w:r>
      <w:r w:rsidR="00CC773B" w:rsidRPr="00BB54DF">
        <w:rPr>
          <w:rFonts w:cs="Arial"/>
        </w:rPr>
        <w:t xml:space="preserve"> </w:t>
      </w:r>
      <w:r w:rsidR="00CC773B" w:rsidRPr="00BB54DF">
        <w:rPr>
          <w:rFonts w:cs="Arial"/>
        </w:rPr>
        <w:fldChar w:fldCharType="begin"/>
      </w:r>
      <w:r w:rsidR="001D5467" w:rsidRPr="00BB54DF">
        <w:rPr>
          <w:rFonts w:cs="Arial"/>
        </w:rPr>
        <w:instrText xml:space="preserve"> ADDIN EN.CITE &lt;EndNote&gt;&lt;Cite&gt;&lt;Author&gt;Bliuc&lt;/Author&gt;&lt;Year&gt;2019&lt;/Year&gt;&lt;RecNum&gt;68&lt;/RecNum&gt;&lt;DisplayText&gt;[34]&lt;/DisplayText&gt;&lt;record&gt;&lt;rec-number&gt;68&lt;/rec-number&gt;&lt;foreign-keys&gt;&lt;key app="EN" db-id="pwdswvde6sasexe5rx9p90509rsftz22fdv9" timestamp="1598289509"&gt;68&lt;/key&gt;&lt;/foreign-keys&gt;&lt;ref-type name="Journal Article"&gt;17&lt;/ref-type&gt;&lt;contributors&gt;&lt;authors&gt;&lt;author&gt;Bliuc, Dana&lt;/author&gt;&lt;author&gt;Tran, Thach&lt;/author&gt;&lt;author&gt;van Geel, Tineke&lt;/author&gt;&lt;author&gt;Adachi, Jonathan D&lt;/author&gt;&lt;author&gt;Berger, Claudie&lt;/author&gt;&lt;author&gt;van den Bergh, Joop&lt;/author&gt;&lt;author&gt;Eisman, John A&lt;/author&gt;&lt;author&gt;Geusens, Piet&lt;/author&gt;&lt;author&gt;Goltzman, David&lt;/author&gt;&lt;author&gt;Hanley, David A&lt;/author&gt;&lt;author&gt;Josse, Robert&lt;/author&gt;&lt;author&gt;Kaiser, Stephanie&lt;/author&gt;&lt;author&gt;Kovacs, Christopher S&lt;/author&gt;&lt;author&gt;Langsetmo, Lisa&lt;/author&gt;&lt;author&gt;Prior, Jerilynn C&lt;/author&gt;&lt;author&gt;Nguyen, Tuan V&lt;/author&gt;&lt;author&gt;Center, Jacqueline R&lt;/author&gt;&lt;author&gt;for the CaMOS Research Group&lt;/author&gt;&lt;/authors&gt;&lt;/contributors&gt;&lt;titles&gt;&lt;title&gt;Reduced Bone Loss Is Associated With Reduced Mortality Risk in Subjects Exposed to Nitrogen Bisphosphonates: A Mediation Analysis&lt;/title&gt;&lt;secondary-title&gt;Journal of Bone and Mineral Research&lt;/secondary-title&gt;&lt;/titles&gt;&lt;periodical&gt;&lt;full-title&gt;Journal of Bone and Mineral Research&lt;/full-title&gt;&lt;/periodical&gt;&lt;pages&gt;2001-2011&lt;/pages&gt;&lt;volume&gt;34&lt;/volume&gt;&lt;number&gt;11&lt;/number&gt;&lt;dates&gt;&lt;year&gt;2019&lt;/year&gt;&lt;/dates&gt;&lt;isbn&gt;0884-0431&lt;/isbn&gt;&lt;urls&gt;&lt;related-urls&gt;&lt;url&gt;https://asbmr.onlinelibrary.wiley.com/doi/abs/10.1002/jbmr.3816&lt;/url&gt;&lt;/related-urls&gt;&lt;/urls&gt;&lt;electronic-resource-num&gt;10.1002/jbmr.3816&lt;/electronic-resource-num&gt;&lt;/record&gt;&lt;/Cite&gt;&lt;/EndNote&gt;</w:instrText>
      </w:r>
      <w:r w:rsidR="00CC773B" w:rsidRPr="00BB54DF">
        <w:rPr>
          <w:rFonts w:cs="Arial"/>
        </w:rPr>
        <w:fldChar w:fldCharType="separate"/>
      </w:r>
      <w:r w:rsidR="001D5467" w:rsidRPr="00BB54DF">
        <w:rPr>
          <w:rFonts w:cs="Arial"/>
          <w:noProof/>
        </w:rPr>
        <w:t>[34]</w:t>
      </w:r>
      <w:r w:rsidR="00CC773B" w:rsidRPr="00BB54DF">
        <w:rPr>
          <w:rFonts w:cs="Arial"/>
        </w:rPr>
        <w:fldChar w:fldCharType="end"/>
      </w:r>
      <w:r w:rsidR="00DE7105" w:rsidRPr="00BB54DF">
        <w:rPr>
          <w:rFonts w:cs="Arial"/>
        </w:rPr>
        <w:t xml:space="preserve"> have demonstrated a reduced risk of mortality</w:t>
      </w:r>
      <w:r w:rsidR="00805D12" w:rsidRPr="00BB54DF">
        <w:rPr>
          <w:rFonts w:cs="Arial"/>
        </w:rPr>
        <w:t xml:space="preserve"> i</w:t>
      </w:r>
      <w:r w:rsidR="00DE7105" w:rsidRPr="00BB54DF">
        <w:rPr>
          <w:rFonts w:cs="Arial"/>
        </w:rPr>
        <w:t xml:space="preserve">n bisphosphonate users compared to non-users in the general population, suggesting that any residual confounding will not significantly bias the results. </w:t>
      </w:r>
      <w:r w:rsidR="005503B9" w:rsidRPr="00BB54DF">
        <w:rPr>
          <w:rFonts w:cs="Arial"/>
        </w:rPr>
        <w:t>The differential risk of death between databases may be due to the propensity score matching itself. Reasons for this difference are beyond the scope of the study.</w:t>
      </w:r>
    </w:p>
    <w:p w14:paraId="6E9CED10" w14:textId="23A4D54B" w:rsidR="00DF4CA3" w:rsidRPr="00BB54DF" w:rsidRDefault="00DF4CA3" w:rsidP="00DF4CA3">
      <w:pPr>
        <w:spacing w:line="360" w:lineRule="auto"/>
        <w:jc w:val="both"/>
        <w:rPr>
          <w:rFonts w:cs="Arial"/>
        </w:rPr>
      </w:pPr>
      <w:r w:rsidRPr="00BB54DF">
        <w:rPr>
          <w:rFonts w:cs="Arial"/>
        </w:rPr>
        <w:lastRenderedPageBreak/>
        <w:t>There were no data available on injectable bisphosphonates</w:t>
      </w:r>
      <w:r w:rsidR="00ED739B" w:rsidRPr="00BB54DF">
        <w:rPr>
          <w:rFonts w:cs="Arial"/>
        </w:rPr>
        <w:t xml:space="preserve"> –</w:t>
      </w:r>
      <w:r w:rsidRPr="00BB54DF">
        <w:rPr>
          <w:rFonts w:cs="Arial"/>
        </w:rPr>
        <w:t xml:space="preserve"> which are administered in a hospital setting</w:t>
      </w:r>
      <w:r w:rsidR="00ED739B" w:rsidRPr="00BB54DF">
        <w:rPr>
          <w:rFonts w:cs="Arial"/>
        </w:rPr>
        <w:t xml:space="preserve"> –</w:t>
      </w:r>
      <w:r w:rsidR="009A6EFD" w:rsidRPr="00BB54DF">
        <w:rPr>
          <w:rFonts w:cs="Arial"/>
        </w:rPr>
        <w:t xml:space="preserve"> in the two datasets</w:t>
      </w:r>
      <w:r w:rsidRPr="00BB54DF">
        <w:rPr>
          <w:rFonts w:cs="Arial"/>
        </w:rPr>
        <w:t xml:space="preserve">. </w:t>
      </w:r>
      <w:r w:rsidR="009A6EFD" w:rsidRPr="00BB54DF">
        <w:rPr>
          <w:rFonts w:cs="Arial"/>
        </w:rPr>
        <w:t>O</w:t>
      </w:r>
      <w:r w:rsidRPr="00BB54DF">
        <w:rPr>
          <w:rFonts w:cs="Arial"/>
        </w:rPr>
        <w:t>ur results are only generalisable to oral bisphosphonates prescribed in primary care</w:t>
      </w:r>
      <w:r w:rsidR="009A6EFD" w:rsidRPr="00BB54DF">
        <w:rPr>
          <w:rFonts w:cs="Arial"/>
        </w:rPr>
        <w:t>, reflecting the individuals included in the two datasets</w:t>
      </w:r>
      <w:r w:rsidRPr="00BB54DF">
        <w:rPr>
          <w:rFonts w:cs="Arial"/>
        </w:rPr>
        <w:t>.</w:t>
      </w:r>
    </w:p>
    <w:p w14:paraId="51C22F31" w14:textId="5BC69016" w:rsidR="00A70A91" w:rsidRPr="00BB54DF" w:rsidRDefault="00DF4CA3" w:rsidP="00DF4CA3">
      <w:pPr>
        <w:spacing w:line="360" w:lineRule="auto"/>
        <w:jc w:val="both"/>
        <w:rPr>
          <w:rFonts w:cs="Arial"/>
        </w:rPr>
      </w:pPr>
      <w:r w:rsidRPr="00BB54DF">
        <w:rPr>
          <w:rFonts w:cs="Arial"/>
        </w:rPr>
        <w:t xml:space="preserve">The eGFR was calculated using the CKD-EPI formula when estimated eGFR was not available. These measurements have previously been criticised as they may not be accurate in certain patient subgroups. Other measurements for CKD stage, such as the Kidney Disease Improving Global Outcomes classification, </w:t>
      </w:r>
      <w:r w:rsidR="009A6EFD" w:rsidRPr="00BB54DF">
        <w:rPr>
          <w:rFonts w:cs="Arial"/>
        </w:rPr>
        <w:t xml:space="preserve">could not be used as they </w:t>
      </w:r>
      <w:r w:rsidRPr="00BB54DF">
        <w:rPr>
          <w:rFonts w:cs="Arial"/>
        </w:rPr>
        <w:t xml:space="preserve">rely on general practitioners to collect multiple tests during routine care. </w:t>
      </w:r>
      <w:bookmarkStart w:id="5" w:name="_Hlk56432021"/>
      <w:r w:rsidR="00F003BB" w:rsidRPr="00BB54DF">
        <w:rPr>
          <w:rFonts w:cs="Arial"/>
          <w:iCs/>
        </w:rPr>
        <w:t xml:space="preserve">Furthermore, unlike the FDA, the EMA bases their advice for the restricted use of bisphosphonates in patients with low kidney function on eGFR instead of creatinine clearance. This may mean there is an </w:t>
      </w:r>
      <w:proofErr w:type="gramStart"/>
      <w:r w:rsidR="00F003BB" w:rsidRPr="00BB54DF">
        <w:rPr>
          <w:rFonts w:cs="Arial"/>
          <w:iCs/>
        </w:rPr>
        <w:t>overestimation patients</w:t>
      </w:r>
      <w:proofErr w:type="gramEnd"/>
      <w:r w:rsidR="00F003BB" w:rsidRPr="00BB54DF">
        <w:rPr>
          <w:rFonts w:cs="Arial"/>
          <w:iCs/>
        </w:rPr>
        <w:t xml:space="preserve"> with an eGFR &lt;30 ml/min/1.73 m</w:t>
      </w:r>
      <w:r w:rsidR="00F003BB" w:rsidRPr="00BB54DF">
        <w:rPr>
          <w:rFonts w:cs="Arial"/>
          <w:iCs/>
          <w:vertAlign w:val="superscript"/>
        </w:rPr>
        <w:t>2</w:t>
      </w:r>
      <w:r w:rsidR="00F003BB" w:rsidRPr="00BB54DF">
        <w:rPr>
          <w:rFonts w:cs="Arial"/>
          <w:iCs/>
        </w:rPr>
        <w:t>.</w:t>
      </w:r>
      <w:r w:rsidR="00F003BB" w:rsidRPr="00BB54DF">
        <w:rPr>
          <w:iCs/>
        </w:rPr>
        <w:t xml:space="preserve"> </w:t>
      </w:r>
      <w:r w:rsidR="00F003BB" w:rsidRPr="00BB54DF">
        <w:rPr>
          <w:rFonts w:cs="Arial"/>
          <w:iCs/>
        </w:rPr>
        <w:t>However, we would expect the rate of difference in results to be equal between users and non-users</w:t>
      </w:r>
      <w:r w:rsidR="00F003BB" w:rsidRPr="00BB54DF">
        <w:rPr>
          <w:rFonts w:cs="Arial"/>
          <w:i/>
        </w:rPr>
        <w:t>.</w:t>
      </w:r>
    </w:p>
    <w:bookmarkEnd w:id="5"/>
    <w:p w14:paraId="5584C66B" w14:textId="4BB15D22" w:rsidR="006A7B2B" w:rsidRPr="00BB54DF" w:rsidRDefault="006A7B2B" w:rsidP="00DF4CA3">
      <w:pPr>
        <w:spacing w:line="360" w:lineRule="auto"/>
        <w:jc w:val="both"/>
        <w:rPr>
          <w:rFonts w:cs="Arial"/>
        </w:rPr>
      </w:pPr>
      <w:r w:rsidRPr="00BB54DF">
        <w:rPr>
          <w:rFonts w:cs="Arial"/>
        </w:rPr>
        <w:t xml:space="preserve">A high proportion of patients (approximately 75%) were female in our study meaning there may be questions about how meaningful results are for Men. This proportion is representative of osteoporosis patients (for which bisphosphonates are the first line treatment). Hence, we can say that these results are representative of a population of bisphosphonate users.  </w:t>
      </w:r>
    </w:p>
    <w:p w14:paraId="73E68413" w14:textId="243376FB" w:rsidR="006A7B2B" w:rsidRPr="00BB54DF" w:rsidRDefault="006A7B2B" w:rsidP="00DF4CA3">
      <w:pPr>
        <w:spacing w:line="360" w:lineRule="auto"/>
        <w:jc w:val="both"/>
        <w:rPr>
          <w:rFonts w:cs="Arial"/>
        </w:rPr>
      </w:pPr>
      <w:r w:rsidRPr="00BB54DF">
        <w:rPr>
          <w:rFonts w:cs="Arial"/>
        </w:rPr>
        <w:t xml:space="preserve">This analysis only investigated first change of eGFR stage instead of sustained eGFR stage change. However, when those with eGFR stage change were assessed for sustained change between calendar years, it was found that 75% of bisphosphonate users and 64% of non-users had sustained eGFR stage change, suggesting that bisphosphates </w:t>
      </w:r>
      <w:r w:rsidR="00872BC3" w:rsidRPr="00BB54DF">
        <w:rPr>
          <w:rFonts w:cs="Arial"/>
        </w:rPr>
        <w:t xml:space="preserve">are associated with </w:t>
      </w:r>
      <w:r w:rsidRPr="00BB54DF">
        <w:rPr>
          <w:rFonts w:cs="Arial"/>
        </w:rPr>
        <w:t>more permanent damage. Further research is needed into this area, but this remains outside the scope of the original aim of the study.</w:t>
      </w:r>
    </w:p>
    <w:p w14:paraId="39AD3827" w14:textId="51B9EDC2" w:rsidR="006A7B2B" w:rsidRPr="00BB54DF" w:rsidRDefault="006A7B2B" w:rsidP="00DF4CA3">
      <w:pPr>
        <w:spacing w:line="360" w:lineRule="auto"/>
        <w:jc w:val="both"/>
      </w:pPr>
      <w:r w:rsidRPr="00BB54DF">
        <w:t xml:space="preserve">Finally, an interaction between eGFR starting class and stage change was not undertaken. The reasons for this were two fold, first the opportunity for patients with CKD stage 3b and 4 to experience stage change is much higher than those in CKD stage 5 because patients with CKD stage 5 can only undergo dialysis and transplant to experience a stage change. Second, there were only 45 patients who started with </w:t>
      </w:r>
      <w:r w:rsidRPr="00BB54DF">
        <w:lastRenderedPageBreak/>
        <w:t>CKD stage 5, meaning this sensitivity analysis would be substantially underpowered and may lead to misleading results.</w:t>
      </w:r>
    </w:p>
    <w:p w14:paraId="5BCEB2C7" w14:textId="1F97AE81" w:rsidR="008D4FA3" w:rsidRPr="00BB54DF" w:rsidRDefault="005D435A" w:rsidP="00605BDA">
      <w:pPr>
        <w:spacing w:line="360" w:lineRule="auto"/>
        <w:jc w:val="both"/>
        <w:outlineLvl w:val="0"/>
        <w:rPr>
          <w:rFonts w:cs="Arial"/>
          <w:b/>
        </w:rPr>
      </w:pPr>
      <w:r w:rsidRPr="00BB54DF">
        <w:rPr>
          <w:rFonts w:cs="Arial"/>
          <w:b/>
        </w:rPr>
        <w:t>Meaning of this study</w:t>
      </w:r>
    </w:p>
    <w:p w14:paraId="23AD6964" w14:textId="7C6B5F20" w:rsidR="008D4FA3" w:rsidRPr="00BB54DF" w:rsidRDefault="00805250" w:rsidP="008D4FA3">
      <w:pPr>
        <w:spacing w:line="360" w:lineRule="auto"/>
        <w:jc w:val="both"/>
        <w:rPr>
          <w:rFonts w:cs="Arial"/>
        </w:rPr>
      </w:pPr>
      <w:r w:rsidRPr="00BB54DF">
        <w:rPr>
          <w:rFonts w:cs="Arial"/>
        </w:rPr>
        <w:t xml:space="preserve">As there is little </w:t>
      </w:r>
      <w:r w:rsidR="00C02726" w:rsidRPr="00BB54DF">
        <w:rPr>
          <w:rFonts w:cs="Arial"/>
        </w:rPr>
        <w:t xml:space="preserve">information </w:t>
      </w:r>
      <w:r w:rsidRPr="00BB54DF">
        <w:rPr>
          <w:rFonts w:cs="Arial"/>
        </w:rPr>
        <w:t xml:space="preserve">available on </w:t>
      </w:r>
      <w:r w:rsidR="00C02726" w:rsidRPr="00BB54DF">
        <w:rPr>
          <w:rFonts w:cs="Arial"/>
        </w:rPr>
        <w:t xml:space="preserve">the safety of bisphosphonates in </w:t>
      </w:r>
      <w:r w:rsidR="00163D71" w:rsidRPr="00BB54DF">
        <w:rPr>
          <w:rFonts w:cs="Arial"/>
        </w:rPr>
        <w:t xml:space="preserve">patients with moderate-to-severe </w:t>
      </w:r>
      <w:r w:rsidR="009A6EFD" w:rsidRPr="00BB54DF">
        <w:rPr>
          <w:rFonts w:cs="Arial"/>
        </w:rPr>
        <w:t>CKD</w:t>
      </w:r>
      <w:r w:rsidR="00C02726" w:rsidRPr="00BB54DF">
        <w:rPr>
          <w:rFonts w:cs="Arial"/>
        </w:rPr>
        <w:t xml:space="preserve">, </w:t>
      </w:r>
      <w:r w:rsidR="00163D71" w:rsidRPr="00BB54DF">
        <w:rPr>
          <w:rFonts w:cs="Arial"/>
        </w:rPr>
        <w:t xml:space="preserve">this study </w:t>
      </w:r>
      <w:r w:rsidR="009757E3" w:rsidRPr="00BB54DF">
        <w:rPr>
          <w:rFonts w:cs="Arial"/>
        </w:rPr>
        <w:t>makes a significant addition</w:t>
      </w:r>
      <w:r w:rsidR="00163D71" w:rsidRPr="00BB54DF">
        <w:rPr>
          <w:rFonts w:cs="Arial"/>
        </w:rPr>
        <w:t xml:space="preserve"> </w:t>
      </w:r>
      <w:r w:rsidR="009757E3" w:rsidRPr="00BB54DF">
        <w:rPr>
          <w:rFonts w:cs="Arial"/>
        </w:rPr>
        <w:t>to the body of knowledge</w:t>
      </w:r>
      <w:r w:rsidR="00353E61" w:rsidRPr="00BB54DF">
        <w:rPr>
          <w:rFonts w:cs="Arial"/>
        </w:rPr>
        <w:t>.</w:t>
      </w:r>
      <w:r w:rsidR="00FC082D" w:rsidRPr="00BB54DF">
        <w:rPr>
          <w:rFonts w:cs="Arial"/>
        </w:rPr>
        <w:t xml:space="preserve"> </w:t>
      </w:r>
      <w:r w:rsidR="002C2529" w:rsidRPr="00BB54DF">
        <w:rPr>
          <w:rFonts w:cs="Arial"/>
        </w:rPr>
        <w:t xml:space="preserve">Reassuringly, we found </w:t>
      </w:r>
      <w:r w:rsidR="002E0C2F" w:rsidRPr="00BB54DF">
        <w:rPr>
          <w:rFonts w:cs="Arial"/>
        </w:rPr>
        <w:t>no excess risk for acute kidney injury, gastrointestinal events</w:t>
      </w:r>
      <w:r w:rsidR="002C2529" w:rsidRPr="00BB54DF">
        <w:rPr>
          <w:rFonts w:cs="Arial"/>
        </w:rPr>
        <w:t>,</w:t>
      </w:r>
      <w:r w:rsidR="002E0C2F" w:rsidRPr="00BB54DF">
        <w:rPr>
          <w:rFonts w:cs="Arial"/>
        </w:rPr>
        <w:t xml:space="preserve"> </w:t>
      </w:r>
      <w:r w:rsidR="00ED739B" w:rsidRPr="00BB54DF">
        <w:rPr>
          <w:rFonts w:cs="Arial"/>
        </w:rPr>
        <w:t>or</w:t>
      </w:r>
      <w:r w:rsidR="002E0C2F" w:rsidRPr="00BB54DF">
        <w:rPr>
          <w:rFonts w:cs="Arial"/>
        </w:rPr>
        <w:t xml:space="preserve"> hypocalcaemia</w:t>
      </w:r>
      <w:r w:rsidR="00ED739B" w:rsidRPr="00BB54DF">
        <w:rPr>
          <w:rFonts w:cs="Arial"/>
        </w:rPr>
        <w:t xml:space="preserve"> with bisphosphonate use</w:t>
      </w:r>
      <w:r w:rsidRPr="00BB54DF">
        <w:rPr>
          <w:rFonts w:cs="Arial"/>
        </w:rPr>
        <w:t>.</w:t>
      </w:r>
      <w:r w:rsidR="002E0C2F" w:rsidRPr="00BB54DF">
        <w:rPr>
          <w:rFonts w:cs="Arial"/>
        </w:rPr>
        <w:t xml:space="preserve"> </w:t>
      </w:r>
      <w:r w:rsidRPr="00BB54DF">
        <w:rPr>
          <w:rFonts w:cs="Arial"/>
        </w:rPr>
        <w:t>H</w:t>
      </w:r>
      <w:r w:rsidR="002E0C2F" w:rsidRPr="00BB54DF">
        <w:rPr>
          <w:rFonts w:cs="Arial"/>
        </w:rPr>
        <w:t>owever</w:t>
      </w:r>
      <w:r w:rsidR="002C2529" w:rsidRPr="00BB54DF">
        <w:rPr>
          <w:rFonts w:cs="Arial"/>
        </w:rPr>
        <w:t>,</w:t>
      </w:r>
      <w:r w:rsidR="002E0C2F" w:rsidRPr="00BB54DF">
        <w:rPr>
          <w:rFonts w:cs="Arial"/>
        </w:rPr>
        <w:t xml:space="preserve"> the</w:t>
      </w:r>
      <w:r w:rsidR="002C2529" w:rsidRPr="00BB54DF">
        <w:rPr>
          <w:rFonts w:cs="Arial"/>
        </w:rPr>
        <w:t>se results</w:t>
      </w:r>
      <w:r w:rsidR="002E0C2F" w:rsidRPr="00BB54DF">
        <w:rPr>
          <w:rFonts w:cs="Arial"/>
        </w:rPr>
        <w:t xml:space="preserve"> must be </w:t>
      </w:r>
      <w:r w:rsidRPr="00BB54DF">
        <w:rPr>
          <w:rFonts w:cs="Arial"/>
        </w:rPr>
        <w:t xml:space="preserve">considered alongside </w:t>
      </w:r>
      <w:r w:rsidR="002E0C2F" w:rsidRPr="00BB54DF">
        <w:rPr>
          <w:rFonts w:cs="Arial"/>
        </w:rPr>
        <w:t>the excess risk identified</w:t>
      </w:r>
      <w:r w:rsidR="00AA7396" w:rsidRPr="00BB54DF">
        <w:rPr>
          <w:rFonts w:cs="Arial"/>
        </w:rPr>
        <w:t xml:space="preserve"> in CPRD</w:t>
      </w:r>
      <w:r w:rsidR="00271A6C" w:rsidRPr="00BB54DF">
        <w:rPr>
          <w:rFonts w:cs="Arial"/>
        </w:rPr>
        <w:t xml:space="preserve"> and</w:t>
      </w:r>
      <w:r w:rsidR="00637EFD" w:rsidRPr="00BB54DF">
        <w:rPr>
          <w:rFonts w:cs="Arial"/>
        </w:rPr>
        <w:t xml:space="preserve"> SIDIAP</w:t>
      </w:r>
      <w:r w:rsidR="002E0C2F" w:rsidRPr="00BB54DF">
        <w:rPr>
          <w:rFonts w:cs="Arial"/>
        </w:rPr>
        <w:t xml:space="preserve"> for CKD stage progression. The </w:t>
      </w:r>
      <w:r w:rsidR="00271A6C" w:rsidRPr="00BB54DF">
        <w:rPr>
          <w:rFonts w:cs="Arial"/>
        </w:rPr>
        <w:t xml:space="preserve">moderate </w:t>
      </w:r>
      <w:r w:rsidR="002E0C2F" w:rsidRPr="00BB54DF">
        <w:rPr>
          <w:rFonts w:cs="Arial"/>
        </w:rPr>
        <w:t>number</w:t>
      </w:r>
      <w:r w:rsidR="002C2529" w:rsidRPr="00BB54DF">
        <w:rPr>
          <w:rFonts w:cs="Arial"/>
        </w:rPr>
        <w:t xml:space="preserve"> </w:t>
      </w:r>
      <w:r w:rsidR="002E0C2F" w:rsidRPr="00BB54DF">
        <w:rPr>
          <w:rFonts w:cs="Arial"/>
        </w:rPr>
        <w:t>needed</w:t>
      </w:r>
      <w:r w:rsidR="002C2529" w:rsidRPr="00BB54DF">
        <w:rPr>
          <w:rFonts w:cs="Arial"/>
        </w:rPr>
        <w:t xml:space="preserve"> </w:t>
      </w:r>
      <w:r w:rsidR="002E0C2F" w:rsidRPr="00BB54DF">
        <w:rPr>
          <w:rFonts w:cs="Arial"/>
        </w:rPr>
        <w:t>to</w:t>
      </w:r>
      <w:r w:rsidR="002C2529" w:rsidRPr="00BB54DF">
        <w:rPr>
          <w:rFonts w:cs="Arial"/>
        </w:rPr>
        <w:t xml:space="preserve"> </w:t>
      </w:r>
      <w:r w:rsidR="002E0C2F" w:rsidRPr="00BB54DF">
        <w:rPr>
          <w:rFonts w:cs="Arial"/>
        </w:rPr>
        <w:t xml:space="preserve">harm </w:t>
      </w:r>
      <w:r w:rsidRPr="00BB54DF">
        <w:rPr>
          <w:rFonts w:cs="Arial"/>
        </w:rPr>
        <w:t xml:space="preserve">identified for </w:t>
      </w:r>
      <w:r w:rsidR="00637EFD" w:rsidRPr="00BB54DF">
        <w:rPr>
          <w:rFonts w:cs="Arial"/>
        </w:rPr>
        <w:t>CPRD</w:t>
      </w:r>
      <w:r w:rsidR="002E0C2F" w:rsidRPr="00BB54DF">
        <w:rPr>
          <w:rFonts w:cs="Arial"/>
        </w:rPr>
        <w:t xml:space="preserve"> suggest</w:t>
      </w:r>
      <w:r w:rsidRPr="00BB54DF">
        <w:rPr>
          <w:rFonts w:cs="Arial"/>
        </w:rPr>
        <w:t>s</w:t>
      </w:r>
      <w:r w:rsidR="002E0C2F" w:rsidRPr="00BB54DF">
        <w:rPr>
          <w:rFonts w:cs="Arial"/>
        </w:rPr>
        <w:t xml:space="preserve"> that bisphosphonates, which are currently contraindicated</w:t>
      </w:r>
      <w:r w:rsidR="006B4AD3" w:rsidRPr="00BB54DF">
        <w:rPr>
          <w:rFonts w:cs="Arial"/>
        </w:rPr>
        <w:t xml:space="preserve"> or used with caution</w:t>
      </w:r>
      <w:r w:rsidR="002E0C2F" w:rsidRPr="00BB54DF">
        <w:rPr>
          <w:rFonts w:cs="Arial"/>
        </w:rPr>
        <w:t xml:space="preserve"> in patients with an eGFR </w:t>
      </w:r>
      <w:r w:rsidRPr="00BB54DF">
        <w:rPr>
          <w:rFonts w:cs="Arial"/>
        </w:rPr>
        <w:t>under</w:t>
      </w:r>
      <w:r w:rsidR="002E0C2F" w:rsidRPr="00BB54DF">
        <w:rPr>
          <w:rFonts w:cs="Arial"/>
        </w:rPr>
        <w:t xml:space="preserve"> 30</w:t>
      </w:r>
      <w:r w:rsidR="009A6EFD" w:rsidRPr="00BB54DF">
        <w:rPr>
          <w:rFonts w:cs="Arial"/>
        </w:rPr>
        <w:t xml:space="preserve"> ml/min/1.73m</w:t>
      </w:r>
      <w:r w:rsidR="009A6EFD" w:rsidRPr="00BB54DF">
        <w:rPr>
          <w:rFonts w:cs="Arial"/>
          <w:vertAlign w:val="superscript"/>
        </w:rPr>
        <w:t>2</w:t>
      </w:r>
      <w:r w:rsidRPr="00BB54DF">
        <w:rPr>
          <w:rFonts w:cs="Arial"/>
        </w:rPr>
        <w:t>,</w:t>
      </w:r>
      <w:r w:rsidR="002E0C2F" w:rsidRPr="00BB54DF">
        <w:rPr>
          <w:rFonts w:cs="Arial"/>
        </w:rPr>
        <w:t xml:space="preserve"> should continue </w:t>
      </w:r>
      <w:r w:rsidR="009314F5" w:rsidRPr="00BB54DF">
        <w:rPr>
          <w:rFonts w:cs="Arial"/>
        </w:rPr>
        <w:t xml:space="preserve">to </w:t>
      </w:r>
      <w:r w:rsidR="00F16DE3" w:rsidRPr="00BB54DF">
        <w:rPr>
          <w:rFonts w:cs="Arial"/>
        </w:rPr>
        <w:t xml:space="preserve">be used with </w:t>
      </w:r>
      <w:r w:rsidR="00CA0C11" w:rsidRPr="00BB54DF">
        <w:rPr>
          <w:rFonts w:cs="Arial"/>
        </w:rPr>
        <w:t xml:space="preserve">caution </w:t>
      </w:r>
      <w:r w:rsidR="009A506F" w:rsidRPr="00BB54DF">
        <w:rPr>
          <w:rFonts w:cs="Arial"/>
        </w:rPr>
        <w:t>in this population</w:t>
      </w:r>
      <w:r w:rsidR="00271A6C" w:rsidRPr="00BB54DF">
        <w:rPr>
          <w:rFonts w:cs="Arial"/>
        </w:rPr>
        <w:t>.</w:t>
      </w:r>
    </w:p>
    <w:p w14:paraId="597CFE60" w14:textId="29161F71" w:rsidR="00636941" w:rsidRPr="00BB54DF" w:rsidRDefault="00FC082D" w:rsidP="00E33A7D">
      <w:pPr>
        <w:spacing w:line="360" w:lineRule="auto"/>
        <w:jc w:val="both"/>
        <w:rPr>
          <w:rFonts w:cs="Arial"/>
        </w:rPr>
      </w:pPr>
      <w:r w:rsidRPr="00BB54DF">
        <w:rPr>
          <w:rFonts w:cs="Arial"/>
        </w:rPr>
        <w:t xml:space="preserve">The results of this study support previous findings that bisphosphonate use </w:t>
      </w:r>
      <w:r w:rsidR="00872BC3" w:rsidRPr="00BB54DF">
        <w:rPr>
          <w:rFonts w:cs="Arial"/>
        </w:rPr>
        <w:t xml:space="preserve">is not related to </w:t>
      </w:r>
      <w:r w:rsidRPr="00BB54DF">
        <w:rPr>
          <w:rFonts w:cs="Arial"/>
        </w:rPr>
        <w:t>acute kidney injur</w:t>
      </w:r>
      <w:r w:rsidR="002C2529" w:rsidRPr="00BB54DF">
        <w:rPr>
          <w:rFonts w:cs="Arial"/>
        </w:rPr>
        <w:t>ies</w:t>
      </w:r>
      <w:r w:rsidR="00637EFD" w:rsidRPr="00BB54DF">
        <w:rPr>
          <w:rFonts w:cs="Arial"/>
        </w:rPr>
        <w:t>, gastrointestinal events</w:t>
      </w:r>
      <w:r w:rsidR="00805250" w:rsidRPr="00BB54DF">
        <w:rPr>
          <w:rFonts w:cs="Arial"/>
        </w:rPr>
        <w:t>,</w:t>
      </w:r>
      <w:r w:rsidRPr="00BB54DF">
        <w:rPr>
          <w:rFonts w:cs="Arial"/>
        </w:rPr>
        <w:t xml:space="preserve"> </w:t>
      </w:r>
      <w:r w:rsidR="002C2529" w:rsidRPr="00BB54DF">
        <w:rPr>
          <w:rFonts w:cs="Arial"/>
        </w:rPr>
        <w:t>or</w:t>
      </w:r>
      <w:r w:rsidRPr="00BB54DF">
        <w:rPr>
          <w:rFonts w:cs="Arial"/>
        </w:rPr>
        <w:t xml:space="preserve"> hypocalcaemia</w:t>
      </w:r>
      <w:r w:rsidR="00F003BB" w:rsidRPr="00BB54DF">
        <w:rPr>
          <w:rFonts w:cs="Arial"/>
        </w:rPr>
        <w:t xml:space="preserve"> </w:t>
      </w:r>
      <w:r w:rsidR="005D662A" w:rsidRPr="00BB54DF">
        <w:rPr>
          <w:rFonts w:cs="Arial"/>
        </w:rPr>
        <w:fldChar w:fldCharType="begin">
          <w:fldData xml:space="preserve">PEVuZE5vdGU+PENpdGU+PEF1dGhvcj5XaWxzb248L0F1dGhvcj48WWVhcj4yMDE3PC9ZZWFyPjxS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</w:fldData>
        </w:fldChar>
      </w:r>
      <w:r w:rsidR="00CC773B" w:rsidRPr="00BB54DF">
        <w:rPr>
          <w:rFonts w:cs="Arial"/>
        </w:rPr>
        <w:instrText xml:space="preserve"> ADDIN EN.CITE </w:instrText>
      </w:r>
      <w:r w:rsidR="00CC773B" w:rsidRPr="00BB54DF">
        <w:rPr>
          <w:rFonts w:cs="Arial"/>
        </w:rPr>
        <w:fldChar w:fldCharType="begin">
          <w:fldData xml:space="preserve">PEVuZE5vdGU+PENpdGU+PEF1dGhvcj5XaWxzb248L0F1dGhvcj48WWVhcj4yMDE3PC9ZZWFyPjxS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</w:fldData>
        </w:fldChar>
      </w:r>
      <w:r w:rsidR="00CC773B" w:rsidRPr="00BB54DF">
        <w:rPr>
          <w:rFonts w:cs="Arial"/>
        </w:rPr>
        <w:instrText xml:space="preserve"> ADDIN EN.CITE.DATA </w:instrText>
      </w:r>
      <w:r w:rsidR="00CC773B" w:rsidRPr="00BB54DF">
        <w:rPr>
          <w:rFonts w:cs="Arial"/>
        </w:rPr>
      </w:r>
      <w:r w:rsidR="00CC773B" w:rsidRPr="00BB54DF">
        <w:rPr>
          <w:rFonts w:cs="Arial"/>
        </w:rPr>
        <w:fldChar w:fldCharType="end"/>
      </w:r>
      <w:r w:rsidR="005D662A" w:rsidRPr="00BB54DF">
        <w:rPr>
          <w:rFonts w:cs="Arial"/>
        </w:rPr>
      </w:r>
      <w:r w:rsidR="005D662A" w:rsidRPr="00BB54DF">
        <w:rPr>
          <w:rFonts w:cs="Arial"/>
        </w:rPr>
        <w:fldChar w:fldCharType="separate"/>
      </w:r>
      <w:r w:rsidR="00CC773B" w:rsidRPr="00BB54DF">
        <w:rPr>
          <w:rFonts w:cs="Arial"/>
          <w:noProof/>
        </w:rPr>
        <w:t>[14]</w:t>
      </w:r>
      <w:r w:rsidR="005D662A" w:rsidRPr="00BB54DF">
        <w:rPr>
          <w:rFonts w:cs="Arial"/>
        </w:rPr>
        <w:fldChar w:fldCharType="end"/>
      </w:r>
      <w:r w:rsidR="00F01A9E" w:rsidRPr="00BB54DF">
        <w:rPr>
          <w:rFonts w:cs="Arial"/>
        </w:rPr>
        <w:t>.</w:t>
      </w:r>
      <w:r w:rsidR="00637EFD" w:rsidRPr="00BB54DF">
        <w:rPr>
          <w:rFonts w:cs="Arial"/>
        </w:rPr>
        <w:t xml:space="preserve"> </w:t>
      </w:r>
      <w:r w:rsidR="00805250" w:rsidRPr="00BB54DF">
        <w:rPr>
          <w:rFonts w:cs="Arial"/>
        </w:rPr>
        <w:t>As CKD</w:t>
      </w:r>
      <w:r w:rsidRPr="00BB54DF">
        <w:rPr>
          <w:rFonts w:cs="Arial"/>
        </w:rPr>
        <w:t xml:space="preserve"> progression due to bisphosphonate use </w:t>
      </w:r>
      <w:r w:rsidR="002C2529" w:rsidRPr="00BB54DF">
        <w:rPr>
          <w:rFonts w:cs="Arial"/>
        </w:rPr>
        <w:t xml:space="preserve">alone </w:t>
      </w:r>
      <w:r w:rsidR="00805250" w:rsidRPr="00BB54DF">
        <w:rPr>
          <w:rFonts w:cs="Arial"/>
        </w:rPr>
        <w:t>has not</w:t>
      </w:r>
      <w:r w:rsidRPr="00BB54DF">
        <w:rPr>
          <w:rFonts w:cs="Arial"/>
        </w:rPr>
        <w:t xml:space="preserve"> previously been researched</w:t>
      </w:r>
      <w:r w:rsidR="009A6EFD" w:rsidRPr="00BB54DF">
        <w:rPr>
          <w:rFonts w:cs="Arial"/>
        </w:rPr>
        <w:t>,</w:t>
      </w:r>
      <w:r w:rsidRPr="00BB54DF">
        <w:rPr>
          <w:rFonts w:cs="Arial"/>
        </w:rPr>
        <w:t xml:space="preserve"> comparison </w:t>
      </w:r>
      <w:r w:rsidR="00805250" w:rsidRPr="00BB54DF">
        <w:rPr>
          <w:rFonts w:cs="Arial"/>
        </w:rPr>
        <w:t>with</w:t>
      </w:r>
      <w:r w:rsidRPr="00BB54DF">
        <w:rPr>
          <w:rFonts w:cs="Arial"/>
        </w:rPr>
        <w:t xml:space="preserve"> prior studies is difficult</w:t>
      </w:r>
      <w:r w:rsidR="002E0C2F" w:rsidRPr="00BB54DF">
        <w:rPr>
          <w:rFonts w:cs="Arial"/>
        </w:rPr>
        <w:t xml:space="preserve">. </w:t>
      </w:r>
      <w:r w:rsidR="00FA41DA" w:rsidRPr="00BB54DF">
        <w:rPr>
          <w:rFonts w:cs="Arial"/>
        </w:rPr>
        <w:t xml:space="preserve">Both </w:t>
      </w:r>
      <w:r w:rsidR="00805250" w:rsidRPr="00BB54DF">
        <w:rPr>
          <w:rFonts w:cs="Arial"/>
        </w:rPr>
        <w:t xml:space="preserve">datasets are </w:t>
      </w:r>
      <w:r w:rsidR="00FA41DA" w:rsidRPr="00BB54DF">
        <w:rPr>
          <w:rFonts w:cs="Arial"/>
        </w:rPr>
        <w:t>f</w:t>
      </w:r>
      <w:r w:rsidR="00C41685" w:rsidRPr="00BB54DF">
        <w:rPr>
          <w:rFonts w:cs="Arial"/>
        </w:rPr>
        <w:t>r</w:t>
      </w:r>
      <w:r w:rsidR="00FA41DA" w:rsidRPr="00BB54DF">
        <w:rPr>
          <w:rFonts w:cs="Arial"/>
        </w:rPr>
        <w:t>om high</w:t>
      </w:r>
      <w:r w:rsidR="00805250" w:rsidRPr="00BB54DF">
        <w:rPr>
          <w:rFonts w:cs="Arial"/>
        </w:rPr>
        <w:t>-</w:t>
      </w:r>
      <w:r w:rsidR="00FA41DA" w:rsidRPr="00BB54DF">
        <w:rPr>
          <w:rFonts w:cs="Arial"/>
        </w:rPr>
        <w:t>income</w:t>
      </w:r>
      <w:r w:rsidR="00805250" w:rsidRPr="00BB54DF">
        <w:rPr>
          <w:rFonts w:cs="Arial"/>
        </w:rPr>
        <w:t xml:space="preserve">, </w:t>
      </w:r>
      <w:r w:rsidR="006A1E2C" w:rsidRPr="00BB54DF">
        <w:rPr>
          <w:rFonts w:cs="Arial"/>
        </w:rPr>
        <w:t xml:space="preserve">predominantly Caucasian </w:t>
      </w:r>
      <w:r w:rsidR="00805250" w:rsidRPr="00BB54DF">
        <w:rPr>
          <w:rFonts w:cs="Arial"/>
        </w:rPr>
        <w:t xml:space="preserve">settings. </w:t>
      </w:r>
    </w:p>
    <w:p w14:paraId="6C49D903" w14:textId="4E04CF82" w:rsidR="00F003BB" w:rsidRPr="00BB54DF" w:rsidRDefault="00F003BB" w:rsidP="00E33A7D">
      <w:pPr>
        <w:spacing w:line="360" w:lineRule="auto"/>
        <w:jc w:val="both"/>
        <w:rPr>
          <w:iCs/>
        </w:rPr>
      </w:pPr>
      <w:r w:rsidRPr="00BB54DF">
        <w:rPr>
          <w:iCs/>
        </w:rPr>
        <w:t xml:space="preserve">It is the suggestion of the authors that clinicians should carefully consider the risk-benefit of initiating bisphosphonate therapy in patients with an eGFR between 30 and 45. Once started, it would be advisable to monitor renal function and keep evaluating the potential trade off in light of clinical data. Clinicians should follow their local/regional guidelines as to which measure of eGFR they should use. A recent European consensus </w:t>
      </w:r>
      <w:r w:rsidRPr="00BB54DF">
        <w:rPr>
          <w:iCs/>
        </w:rPr>
        <w:fldChar w:fldCharType="begin">
          <w:fldData xml:space="preserve">PEVuZE5vdGU+PENpdGU+PEF1dGhvcj5FdmVuZXBvZWw8L0F1dGhvcj48WWVhcj4yMDIwPC9ZZWFy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</w:fldData>
        </w:fldChar>
      </w:r>
      <w:r w:rsidR="001D5467" w:rsidRPr="00BB54DF">
        <w:rPr>
          <w:iCs/>
        </w:rPr>
        <w:instrText xml:space="preserve"> ADDIN EN.CITE </w:instrText>
      </w:r>
      <w:r w:rsidR="001D5467" w:rsidRPr="00BB54DF">
        <w:rPr>
          <w:iCs/>
        </w:rPr>
        <w:fldChar w:fldCharType="begin">
          <w:fldData xml:space="preserve">PEVuZE5vdGU+PENpdGU+PEF1dGhvcj5FdmVuZXBvZWw8L0F1dGhvcj48WWVhcj4yMDIwPC9ZZWFy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</w:fldData>
        </w:fldChar>
      </w:r>
      <w:r w:rsidR="001D5467" w:rsidRPr="00BB54DF">
        <w:rPr>
          <w:iCs/>
        </w:rPr>
        <w:instrText xml:space="preserve"> ADDIN EN.CITE.DATA </w:instrText>
      </w:r>
      <w:r w:rsidR="001D5467" w:rsidRPr="00BB54DF">
        <w:rPr>
          <w:iCs/>
        </w:rPr>
      </w:r>
      <w:r w:rsidR="001D5467" w:rsidRPr="00BB54DF">
        <w:rPr>
          <w:iCs/>
        </w:rPr>
        <w:fldChar w:fldCharType="end"/>
      </w:r>
      <w:r w:rsidRPr="00BB54DF">
        <w:rPr>
          <w:iCs/>
        </w:rPr>
      </w:r>
      <w:r w:rsidRPr="00BB54DF">
        <w:rPr>
          <w:iCs/>
        </w:rPr>
        <w:fldChar w:fldCharType="separate"/>
      </w:r>
      <w:r w:rsidR="001D5467" w:rsidRPr="00BB54DF">
        <w:rPr>
          <w:iCs/>
          <w:noProof/>
        </w:rPr>
        <w:t>[35]</w:t>
      </w:r>
      <w:r w:rsidRPr="00BB54DF">
        <w:rPr>
          <w:iCs/>
        </w:rPr>
        <w:fldChar w:fldCharType="end"/>
      </w:r>
      <w:r w:rsidRPr="00BB54DF">
        <w:rPr>
          <w:iCs/>
        </w:rPr>
        <w:t xml:space="preserve"> on the diagnosis and management of osteoporosis in severe CKD provides useful guidance for clinical practice.</w:t>
      </w:r>
    </w:p>
    <w:p w14:paraId="051ABD31" w14:textId="68174C43" w:rsidR="00E505F0" w:rsidRPr="00BB54DF" w:rsidRDefault="00E505F0" w:rsidP="00E33A7D">
      <w:pPr>
        <w:spacing w:line="360" w:lineRule="auto"/>
        <w:jc w:val="both"/>
        <w:rPr>
          <w:rFonts w:cs="Arial"/>
          <w:b/>
        </w:rPr>
      </w:pPr>
      <w:r w:rsidRPr="00BB54DF">
        <w:rPr>
          <w:rFonts w:cs="Arial"/>
          <w:b/>
        </w:rPr>
        <w:t>Unanswered questions and future research</w:t>
      </w:r>
    </w:p>
    <w:p w14:paraId="4129EFA1" w14:textId="1334F69A" w:rsidR="00E505F0" w:rsidRPr="00BB54DF" w:rsidRDefault="005D435A" w:rsidP="00E33A7D">
      <w:pPr>
        <w:spacing w:line="360" w:lineRule="auto"/>
        <w:jc w:val="both"/>
        <w:rPr>
          <w:rFonts w:cs="Arial"/>
        </w:rPr>
      </w:pPr>
      <w:r w:rsidRPr="00BB54DF">
        <w:rPr>
          <w:rFonts w:cs="Arial"/>
        </w:rPr>
        <w:t>Whilst the results demonstrate</w:t>
      </w:r>
      <w:r w:rsidR="00ED739B" w:rsidRPr="00BB54DF">
        <w:rPr>
          <w:rFonts w:cs="Arial"/>
        </w:rPr>
        <w:t>d</w:t>
      </w:r>
      <w:r w:rsidRPr="00BB54DF">
        <w:rPr>
          <w:rFonts w:cs="Arial"/>
        </w:rPr>
        <w:t xml:space="preserve"> an increased risk of CKD stage change</w:t>
      </w:r>
      <w:r w:rsidR="00ED739B" w:rsidRPr="00BB54DF">
        <w:rPr>
          <w:rFonts w:cs="Arial"/>
        </w:rPr>
        <w:t xml:space="preserve"> with bisphosphonate use</w:t>
      </w:r>
      <w:r w:rsidRPr="00BB54DF">
        <w:rPr>
          <w:rFonts w:cs="Arial"/>
        </w:rPr>
        <w:t>, the mechanisms behind this decreasing eGFR are</w:t>
      </w:r>
      <w:r w:rsidR="00ED739B" w:rsidRPr="00BB54DF">
        <w:rPr>
          <w:rFonts w:cs="Arial"/>
        </w:rPr>
        <w:t xml:space="preserve"> unclear</w:t>
      </w:r>
      <w:r w:rsidRPr="00BB54DF">
        <w:rPr>
          <w:rFonts w:cs="Arial"/>
        </w:rPr>
        <w:t xml:space="preserve">. </w:t>
      </w:r>
      <w:r w:rsidR="00ED739B" w:rsidRPr="00BB54DF">
        <w:rPr>
          <w:rFonts w:cs="Arial"/>
        </w:rPr>
        <w:t xml:space="preserve">We </w:t>
      </w:r>
      <w:r w:rsidRPr="00BB54DF">
        <w:rPr>
          <w:rFonts w:cs="Arial"/>
        </w:rPr>
        <w:t>investigate</w:t>
      </w:r>
      <w:r w:rsidR="00ED739B" w:rsidRPr="00BB54DF">
        <w:rPr>
          <w:rFonts w:cs="Arial"/>
        </w:rPr>
        <w:t>d</w:t>
      </w:r>
      <w:r w:rsidRPr="00BB54DF">
        <w:rPr>
          <w:rFonts w:cs="Arial"/>
        </w:rPr>
        <w:t xml:space="preserve"> </w:t>
      </w:r>
      <w:r w:rsidR="009A6EFD" w:rsidRPr="00BB54DF">
        <w:rPr>
          <w:rFonts w:cs="Arial"/>
        </w:rPr>
        <w:t xml:space="preserve">a </w:t>
      </w:r>
      <w:r w:rsidRPr="00BB54DF">
        <w:rPr>
          <w:rFonts w:cs="Arial"/>
        </w:rPr>
        <w:t>first decrease in CKD stage</w:t>
      </w:r>
      <w:r w:rsidR="009A6EFD" w:rsidRPr="00BB54DF">
        <w:rPr>
          <w:rFonts w:cs="Arial"/>
        </w:rPr>
        <w:t>,</w:t>
      </w:r>
      <w:r w:rsidRPr="00BB54DF">
        <w:rPr>
          <w:rFonts w:cs="Arial"/>
        </w:rPr>
        <w:t xml:space="preserve"> rather than </w:t>
      </w:r>
      <w:r w:rsidR="008A354A" w:rsidRPr="00BB54DF">
        <w:rPr>
          <w:rFonts w:cs="Arial"/>
        </w:rPr>
        <w:t xml:space="preserve">changes in </w:t>
      </w:r>
      <w:r w:rsidR="009A6EFD" w:rsidRPr="00BB54DF">
        <w:rPr>
          <w:rFonts w:cs="Arial"/>
        </w:rPr>
        <w:t xml:space="preserve">the </w:t>
      </w:r>
      <w:r w:rsidRPr="00BB54DF">
        <w:rPr>
          <w:rFonts w:cs="Arial"/>
        </w:rPr>
        <w:t xml:space="preserve">eGFR </w:t>
      </w:r>
      <w:r w:rsidR="00ED739B" w:rsidRPr="00BB54DF">
        <w:rPr>
          <w:rFonts w:cs="Arial"/>
        </w:rPr>
        <w:t xml:space="preserve">trajectory </w:t>
      </w:r>
      <w:r w:rsidRPr="00BB54DF">
        <w:rPr>
          <w:rFonts w:cs="Arial"/>
        </w:rPr>
        <w:t xml:space="preserve">over time. </w:t>
      </w:r>
      <w:r w:rsidR="009A6EFD" w:rsidRPr="00BB54DF">
        <w:rPr>
          <w:rFonts w:cs="Arial"/>
        </w:rPr>
        <w:t xml:space="preserve">We identified </w:t>
      </w:r>
      <w:r w:rsidRPr="00BB54DF">
        <w:rPr>
          <w:rFonts w:cs="Arial"/>
        </w:rPr>
        <w:t xml:space="preserve">an increased risk of CKD stage change in patients with eGFR </w:t>
      </w:r>
      <w:r w:rsidR="009A6EFD" w:rsidRPr="00BB54DF">
        <w:rPr>
          <w:rFonts w:cs="Arial"/>
        </w:rPr>
        <w:t xml:space="preserve">under </w:t>
      </w:r>
      <w:r w:rsidRPr="00BB54DF">
        <w:rPr>
          <w:rFonts w:cs="Arial"/>
        </w:rPr>
        <w:t xml:space="preserve">45 </w:t>
      </w:r>
      <w:r w:rsidR="009A6EFD" w:rsidRPr="00BB54DF">
        <w:rPr>
          <w:rFonts w:cs="Arial"/>
        </w:rPr>
        <w:t>ml/min/1.73m</w:t>
      </w:r>
      <w:r w:rsidR="009A6EFD" w:rsidRPr="00BB54DF">
        <w:rPr>
          <w:rFonts w:cs="Arial"/>
          <w:vertAlign w:val="superscript"/>
        </w:rPr>
        <w:t>2</w:t>
      </w:r>
      <w:r w:rsidR="00C11379" w:rsidRPr="00BB54DF">
        <w:rPr>
          <w:rFonts w:cs="Arial"/>
        </w:rPr>
        <w:t xml:space="preserve"> who use bisphosphonates</w:t>
      </w:r>
      <w:r w:rsidR="009A6EFD" w:rsidRPr="00BB54DF">
        <w:rPr>
          <w:rFonts w:cs="Arial"/>
        </w:rPr>
        <w:t>.</w:t>
      </w:r>
      <w:r w:rsidR="009A6EFD" w:rsidRPr="00BB54DF">
        <w:rPr>
          <w:rFonts w:cs="Arial"/>
          <w:vertAlign w:val="superscript"/>
        </w:rPr>
        <w:t xml:space="preserve"> </w:t>
      </w:r>
      <w:r w:rsidR="009A6EFD" w:rsidRPr="00BB54DF">
        <w:rPr>
          <w:rFonts w:cs="Arial"/>
        </w:rPr>
        <w:t xml:space="preserve">We have not yet answered </w:t>
      </w:r>
      <w:r w:rsidRPr="00BB54DF">
        <w:rPr>
          <w:rFonts w:cs="Arial"/>
        </w:rPr>
        <w:t xml:space="preserve">the question “Do bisphosphonates increase the risk of CKD stage decreasing in patients with an eGFR between 45 and 60 </w:t>
      </w:r>
      <w:r w:rsidR="00C11379" w:rsidRPr="00BB54DF">
        <w:rPr>
          <w:rFonts w:cs="Arial"/>
        </w:rPr>
        <w:t>ml/min/1.73m</w:t>
      </w:r>
      <w:r w:rsidR="00C11379" w:rsidRPr="00BB54DF">
        <w:rPr>
          <w:rFonts w:cs="Arial"/>
          <w:vertAlign w:val="superscript"/>
        </w:rPr>
        <w:t>2</w:t>
      </w:r>
      <w:r w:rsidR="00C11379" w:rsidRPr="00BB54DF">
        <w:rPr>
          <w:rFonts w:cs="Arial"/>
        </w:rPr>
        <w:t xml:space="preserve"> </w:t>
      </w:r>
      <w:r w:rsidRPr="00BB54DF">
        <w:rPr>
          <w:rFonts w:cs="Arial"/>
        </w:rPr>
        <w:t>(CKD stage 3a)?”</w:t>
      </w:r>
    </w:p>
    <w:p w14:paraId="4F4EFF84" w14:textId="77777777" w:rsidR="004371FF" w:rsidRPr="00BB54DF" w:rsidRDefault="008D4FA3" w:rsidP="00605BDA">
      <w:pPr>
        <w:spacing w:line="360" w:lineRule="auto"/>
        <w:jc w:val="both"/>
        <w:outlineLvl w:val="0"/>
        <w:rPr>
          <w:rFonts w:cs="Arial"/>
          <w:b/>
        </w:rPr>
      </w:pPr>
      <w:r w:rsidRPr="00BB54DF">
        <w:rPr>
          <w:rFonts w:cs="Arial"/>
          <w:b/>
        </w:rPr>
        <w:lastRenderedPageBreak/>
        <w:t>Conclusion</w:t>
      </w:r>
    </w:p>
    <w:p w14:paraId="24AD3BBA" w14:textId="7E04BB79" w:rsidR="008D4FA3" w:rsidRPr="00BB54DF" w:rsidRDefault="002E0C2F" w:rsidP="00E33A7D">
      <w:pPr>
        <w:spacing w:line="360" w:lineRule="auto"/>
        <w:jc w:val="both"/>
        <w:rPr>
          <w:rFonts w:cs="Arial"/>
        </w:rPr>
      </w:pPr>
      <w:r w:rsidRPr="00BB54DF">
        <w:rPr>
          <w:rFonts w:cs="Arial"/>
        </w:rPr>
        <w:t xml:space="preserve">In a </w:t>
      </w:r>
      <w:r w:rsidR="00523E86" w:rsidRPr="00BB54DF">
        <w:rPr>
          <w:rFonts w:cs="Arial"/>
        </w:rPr>
        <w:t>PS</w:t>
      </w:r>
      <w:r w:rsidR="00492D32" w:rsidRPr="00BB54DF">
        <w:rPr>
          <w:rFonts w:cs="Arial"/>
        </w:rPr>
        <w:t>-</w:t>
      </w:r>
      <w:r w:rsidR="003C46C6" w:rsidRPr="00BB54DF">
        <w:rPr>
          <w:rFonts w:cs="Arial"/>
        </w:rPr>
        <w:t xml:space="preserve">matched </w:t>
      </w:r>
      <w:r w:rsidRPr="00BB54DF">
        <w:rPr>
          <w:rFonts w:cs="Arial"/>
        </w:rPr>
        <w:t xml:space="preserve">analysis of two electronic </w:t>
      </w:r>
      <w:r w:rsidR="003C46C6" w:rsidRPr="00BB54DF">
        <w:rPr>
          <w:rFonts w:cs="Arial"/>
        </w:rPr>
        <w:t>primary</w:t>
      </w:r>
      <w:r w:rsidR="009314F5" w:rsidRPr="00BB54DF">
        <w:rPr>
          <w:rFonts w:cs="Arial"/>
        </w:rPr>
        <w:t>-</w:t>
      </w:r>
      <w:r w:rsidR="003C46C6" w:rsidRPr="00BB54DF">
        <w:rPr>
          <w:rFonts w:cs="Arial"/>
        </w:rPr>
        <w:t>care datasets linked to hospital records</w:t>
      </w:r>
      <w:r w:rsidRPr="00BB54DF">
        <w:rPr>
          <w:rFonts w:cs="Arial"/>
        </w:rPr>
        <w:t xml:space="preserve">, </w:t>
      </w:r>
      <w:r w:rsidR="00271A6C" w:rsidRPr="00BB54DF">
        <w:rPr>
          <w:rFonts w:cs="Arial"/>
        </w:rPr>
        <w:t xml:space="preserve">an increased </w:t>
      </w:r>
      <w:r w:rsidR="003C46C6" w:rsidRPr="00BB54DF">
        <w:rPr>
          <w:rFonts w:cs="Arial"/>
        </w:rPr>
        <w:t xml:space="preserve">rate </w:t>
      </w:r>
      <w:r w:rsidR="00271A6C" w:rsidRPr="00BB54DF">
        <w:rPr>
          <w:rFonts w:cs="Arial"/>
        </w:rPr>
        <w:t>of</w:t>
      </w:r>
      <w:r w:rsidRPr="00BB54DF">
        <w:rPr>
          <w:rFonts w:cs="Arial"/>
        </w:rPr>
        <w:t xml:space="preserve"> CKD progress</w:t>
      </w:r>
      <w:r w:rsidR="00271A6C" w:rsidRPr="00BB54DF">
        <w:rPr>
          <w:rFonts w:cs="Arial"/>
        </w:rPr>
        <w:t xml:space="preserve">ion was identified for bisphosphonate users </w:t>
      </w:r>
      <w:r w:rsidRPr="00BB54DF">
        <w:rPr>
          <w:rFonts w:cs="Arial"/>
        </w:rPr>
        <w:t xml:space="preserve">with CKD stage </w:t>
      </w:r>
      <w:r w:rsidR="008537EC" w:rsidRPr="00BB54DF">
        <w:rPr>
          <w:rFonts w:cs="Arial"/>
        </w:rPr>
        <w:t>3b</w:t>
      </w:r>
      <w:r w:rsidR="00AC0817" w:rsidRPr="00BB54DF">
        <w:rPr>
          <w:rFonts w:cs="Arial"/>
        </w:rPr>
        <w:t>-5</w:t>
      </w:r>
      <w:r w:rsidR="0045261F" w:rsidRPr="00BB54DF">
        <w:rPr>
          <w:rFonts w:cs="Arial"/>
        </w:rPr>
        <w:t>, compared with non-users</w:t>
      </w:r>
      <w:r w:rsidRPr="00BB54DF">
        <w:rPr>
          <w:rFonts w:cs="Arial"/>
        </w:rPr>
        <w:t xml:space="preserve">. Bisphosphonate </w:t>
      </w:r>
      <w:r w:rsidR="00492D32" w:rsidRPr="00BB54DF">
        <w:rPr>
          <w:rFonts w:cs="Arial"/>
        </w:rPr>
        <w:t>use was</w:t>
      </w:r>
      <w:r w:rsidRPr="00BB54DF">
        <w:rPr>
          <w:rFonts w:cs="Arial"/>
        </w:rPr>
        <w:t xml:space="preserve"> not </w:t>
      </w:r>
      <w:r w:rsidR="00C11379" w:rsidRPr="00BB54DF">
        <w:rPr>
          <w:rFonts w:cs="Arial"/>
        </w:rPr>
        <w:t>associated with a higher</w:t>
      </w:r>
      <w:r w:rsidRPr="00BB54DF">
        <w:rPr>
          <w:rFonts w:cs="Arial"/>
        </w:rPr>
        <w:t xml:space="preserve"> rate of acute kidney injur</w:t>
      </w:r>
      <w:r w:rsidR="0045261F" w:rsidRPr="00BB54DF">
        <w:rPr>
          <w:rFonts w:cs="Arial"/>
        </w:rPr>
        <w:t>ies</w:t>
      </w:r>
      <w:r w:rsidRPr="00BB54DF">
        <w:rPr>
          <w:rFonts w:cs="Arial"/>
        </w:rPr>
        <w:t>, gastrointestinal events</w:t>
      </w:r>
      <w:r w:rsidR="00492D32" w:rsidRPr="00BB54DF">
        <w:rPr>
          <w:rFonts w:cs="Arial"/>
        </w:rPr>
        <w:t>,</w:t>
      </w:r>
      <w:r w:rsidRPr="00BB54DF">
        <w:rPr>
          <w:rFonts w:cs="Arial"/>
        </w:rPr>
        <w:t xml:space="preserve"> or </w:t>
      </w:r>
      <w:r w:rsidR="003C46C6" w:rsidRPr="00BB54DF">
        <w:rPr>
          <w:rFonts w:cs="Arial"/>
        </w:rPr>
        <w:t xml:space="preserve">hypocalcaemia. </w:t>
      </w:r>
    </w:p>
    <w:p w14:paraId="2644C58D" w14:textId="77777777" w:rsidR="00CA0C11" w:rsidRPr="00BB54DF" w:rsidRDefault="00CA0C11">
      <w:pPr>
        <w:spacing w:before="0" w:after="160" w:line="259" w:lineRule="auto"/>
        <w:rPr>
          <w:rFonts w:cs="Arial"/>
          <w:b/>
        </w:rPr>
      </w:pPr>
      <w:r w:rsidRPr="00BB54DF">
        <w:rPr>
          <w:rFonts w:cs="Arial"/>
          <w:b/>
        </w:rPr>
        <w:br w:type="page"/>
      </w:r>
    </w:p>
    <w:p w14:paraId="0CD090D3" w14:textId="6B152BF8" w:rsidR="00B37605" w:rsidRPr="00BB54DF" w:rsidRDefault="001C7FF5" w:rsidP="00E33A7D">
      <w:pPr>
        <w:spacing w:line="360" w:lineRule="auto"/>
        <w:jc w:val="both"/>
        <w:rPr>
          <w:rFonts w:cs="Arial"/>
          <w:b/>
        </w:rPr>
      </w:pPr>
      <w:r w:rsidRPr="00BB54DF">
        <w:rPr>
          <w:rFonts w:cs="Arial"/>
          <w:b/>
        </w:rPr>
        <w:lastRenderedPageBreak/>
        <w:t>ACKNOWLEDGEMENTS</w:t>
      </w:r>
    </w:p>
    <w:p w14:paraId="38509517" w14:textId="5E76E832" w:rsidR="00B37605" w:rsidRPr="00BB54DF" w:rsidRDefault="00985941" w:rsidP="00E33A7D">
      <w:pPr>
        <w:spacing w:line="360" w:lineRule="auto"/>
        <w:jc w:val="both"/>
        <w:rPr>
          <w:rFonts w:cs="Arial"/>
        </w:rPr>
      </w:pPr>
      <w:r w:rsidRPr="00BB54DF">
        <w:rPr>
          <w:rFonts w:eastAsiaTheme="minorEastAsia"/>
        </w:rPr>
        <w:t xml:space="preserve">This study was approved by the CPRD Independent Scientific Advisory Committee (protocol number 15_ 53R2A). The interpretation and conclusions contained in this study are those of the authors alone. </w:t>
      </w:r>
      <w:r w:rsidR="00B37605" w:rsidRPr="00BB54DF">
        <w:rPr>
          <w:rFonts w:cs="Arial"/>
        </w:rPr>
        <w:t xml:space="preserve">We acknowledge </w:t>
      </w:r>
      <w:r w:rsidRPr="00BB54DF">
        <w:rPr>
          <w:rFonts w:cs="Arial"/>
        </w:rPr>
        <w:t xml:space="preserve">two </w:t>
      </w:r>
      <w:r w:rsidRPr="00BB54DF">
        <w:rPr>
          <w:rFonts w:eastAsiaTheme="minorEastAsia"/>
        </w:rPr>
        <w:t>public and patient involvement</w:t>
      </w:r>
      <w:r w:rsidRPr="00BB54DF">
        <w:rPr>
          <w:rFonts w:cs="Arial"/>
        </w:rPr>
        <w:t xml:space="preserve"> repr</w:t>
      </w:r>
      <w:r w:rsidR="00AB1366" w:rsidRPr="00BB54DF">
        <w:rPr>
          <w:rFonts w:cs="Arial"/>
        </w:rPr>
        <w:t>esentatives</w:t>
      </w:r>
      <w:r w:rsidRPr="00BB54DF">
        <w:rPr>
          <w:rFonts w:cs="Arial"/>
        </w:rPr>
        <w:t xml:space="preserve"> (</w:t>
      </w:r>
      <w:r w:rsidR="00AB1366" w:rsidRPr="00BB54DF">
        <w:rPr>
          <w:rFonts w:cs="Arial"/>
        </w:rPr>
        <w:t>Denisse Abbott from the National Kidney Federation and Fizz Thompson from the National Osteoporosis Society</w:t>
      </w:r>
      <w:r w:rsidRPr="00BB54DF">
        <w:rPr>
          <w:rFonts w:cs="Arial"/>
        </w:rPr>
        <w:t xml:space="preserve">) and </w:t>
      </w:r>
      <w:r w:rsidR="00B37605" w:rsidRPr="00BB54DF">
        <w:rPr>
          <w:rFonts w:cs="Arial"/>
        </w:rPr>
        <w:t>English language editing by Dr Jennifer A. de Beyer of the Centre for Statistics in Medicine, University of Oxford.</w:t>
      </w:r>
    </w:p>
    <w:p w14:paraId="24649F1E" w14:textId="77777777" w:rsidR="00BF5C37" w:rsidRPr="00BB54DF" w:rsidRDefault="00BF5C37" w:rsidP="00BF5C37">
      <w:pPr>
        <w:spacing w:line="360" w:lineRule="auto"/>
        <w:jc w:val="both"/>
        <w:rPr>
          <w:rFonts w:cs="Arial"/>
          <w:b/>
          <w:lang w:val="en-US"/>
        </w:rPr>
      </w:pPr>
      <w:r w:rsidRPr="00BB54DF">
        <w:rPr>
          <w:rFonts w:cs="Arial"/>
          <w:b/>
          <w:lang w:val="en-US"/>
        </w:rPr>
        <w:t xml:space="preserve">Registrations: </w:t>
      </w:r>
    </w:p>
    <w:p w14:paraId="4339119F" w14:textId="77777777" w:rsidR="00BF5C37" w:rsidRPr="00BB54DF" w:rsidRDefault="00BF5C37" w:rsidP="00BF5C37">
      <w:pPr>
        <w:spacing w:line="360" w:lineRule="auto"/>
        <w:jc w:val="both"/>
        <w:rPr>
          <w:rFonts w:cs="Arial"/>
          <w:b/>
          <w:u w:val="single"/>
        </w:rPr>
      </w:pPr>
      <w:r w:rsidRPr="00BB54DF">
        <w:rPr>
          <w:rFonts w:cs="Arial"/>
        </w:rPr>
        <w:t>Scientific approval was obtained for use of CPRD (ISAC 15_153R2) and SIDIAP data (148). The study protocol was registered in the EU PAS Register for pharmaco-epidemiological studies [ref 10029].</w:t>
      </w:r>
    </w:p>
    <w:p w14:paraId="0293A0F5" w14:textId="4089615C" w:rsidR="005D662A" w:rsidRPr="00BB54DF" w:rsidRDefault="005D662A">
      <w:pPr>
        <w:spacing w:before="0" w:after="160" w:line="259" w:lineRule="auto"/>
        <w:rPr>
          <w:rFonts w:cs="Arial"/>
        </w:rPr>
      </w:pPr>
      <w:r w:rsidRPr="00BB54DF">
        <w:rPr>
          <w:rFonts w:cs="Arial"/>
        </w:rPr>
        <w:br w:type="page"/>
      </w:r>
    </w:p>
    <w:p w14:paraId="7168CCED" w14:textId="0DF68110" w:rsidR="00201B69" w:rsidRPr="00BB54DF" w:rsidRDefault="001C7FF5" w:rsidP="00E33A7D">
      <w:pPr>
        <w:spacing w:line="360" w:lineRule="auto"/>
        <w:jc w:val="both"/>
        <w:rPr>
          <w:rFonts w:cs="Arial"/>
          <w:b/>
        </w:rPr>
      </w:pPr>
      <w:r w:rsidRPr="00BB54DF">
        <w:rPr>
          <w:rFonts w:cs="Arial"/>
          <w:b/>
        </w:rPr>
        <w:lastRenderedPageBreak/>
        <w:t>REFERENCES</w:t>
      </w:r>
    </w:p>
    <w:p w14:paraId="759C7F87" w14:textId="77777777" w:rsidR="001D5467" w:rsidRPr="00BB54DF" w:rsidRDefault="00201B69" w:rsidP="001D5467">
      <w:pPr>
        <w:pStyle w:val="EndNoteBibliography"/>
        <w:spacing w:after="0"/>
        <w:ind w:left="720" w:hanging="720"/>
      </w:pPr>
      <w:r w:rsidRPr="00BB54DF">
        <w:fldChar w:fldCharType="begin"/>
      </w:r>
      <w:r w:rsidRPr="00BB54DF">
        <w:instrText xml:space="preserve"> ADDIN EN.REFLIST </w:instrText>
      </w:r>
      <w:r w:rsidRPr="00BB54DF">
        <w:fldChar w:fldCharType="separate"/>
      </w:r>
      <w:r w:rsidR="001D5467" w:rsidRPr="00BB54DF">
        <w:t>1.</w:t>
      </w:r>
      <w:r w:rsidR="001D5467" w:rsidRPr="00BB54DF">
        <w:tab/>
        <w:t xml:space="preserve">Kerr, M., </w:t>
      </w:r>
      <w:r w:rsidR="001D5467" w:rsidRPr="00BB54DF">
        <w:rPr>
          <w:i/>
        </w:rPr>
        <w:t>Chronic Kidney Diesease in England: The Human and Financial Cost</w:t>
      </w:r>
      <w:r w:rsidR="001D5467" w:rsidRPr="00BB54DF">
        <w:t>, N.H.S. England, Editor. 2017.</w:t>
      </w:r>
    </w:p>
    <w:p w14:paraId="074B5713" w14:textId="77777777" w:rsidR="001D5467" w:rsidRPr="00BB54DF" w:rsidRDefault="001D5467" w:rsidP="001D5467">
      <w:pPr>
        <w:pStyle w:val="EndNoteBibliography"/>
        <w:spacing w:after="0"/>
        <w:ind w:left="720" w:hanging="720"/>
      </w:pPr>
      <w:r w:rsidRPr="00BB54DF">
        <w:t>2.</w:t>
      </w:r>
      <w:r w:rsidRPr="00BB54DF">
        <w:tab/>
        <w:t xml:space="preserve">Otero, A., et al., </w:t>
      </w:r>
      <w:r w:rsidRPr="00BB54DF">
        <w:rPr>
          <w:i/>
        </w:rPr>
        <w:t>Prevalence of chronic renal disease in Spain: results of the EPIRCE study.</w:t>
      </w:r>
      <w:r w:rsidRPr="00BB54DF">
        <w:t xml:space="preserve"> Nefrologia, 2010. </w:t>
      </w:r>
      <w:r w:rsidRPr="00BB54DF">
        <w:rPr>
          <w:b/>
        </w:rPr>
        <w:t>30</w:t>
      </w:r>
      <w:r w:rsidRPr="00BB54DF">
        <w:t>(1): p. 78-86.</w:t>
      </w:r>
    </w:p>
    <w:p w14:paraId="19467EF3" w14:textId="77777777" w:rsidR="001D5467" w:rsidRPr="00BB54DF" w:rsidRDefault="001D5467" w:rsidP="001D5467">
      <w:pPr>
        <w:pStyle w:val="EndNoteBibliography"/>
        <w:spacing w:after="0"/>
        <w:ind w:left="720" w:hanging="720"/>
      </w:pPr>
      <w:r w:rsidRPr="00BB54DF">
        <w:t>3.</w:t>
      </w:r>
      <w:r w:rsidRPr="00BB54DF">
        <w:tab/>
        <w:t xml:space="preserve">Pan, B.-L. and S.-S. Loke, </w:t>
      </w:r>
      <w:r w:rsidRPr="00BB54DF">
        <w:rPr>
          <w:i/>
        </w:rPr>
        <w:t>Chronic kidney disease associated with decreased bone mineral density, uric acid and metabolic syndrome.</w:t>
      </w:r>
      <w:r w:rsidRPr="00BB54DF">
        <w:t xml:space="preserve"> PloS one, 2018. </w:t>
      </w:r>
      <w:r w:rsidRPr="00BB54DF">
        <w:rPr>
          <w:b/>
        </w:rPr>
        <w:t>13</w:t>
      </w:r>
      <w:r w:rsidRPr="00BB54DF">
        <w:t>(1): p. e0190985-e0190985.</w:t>
      </w:r>
    </w:p>
    <w:p w14:paraId="0465B856" w14:textId="77777777" w:rsidR="001D5467" w:rsidRPr="00BB54DF" w:rsidRDefault="001D5467" w:rsidP="001D5467">
      <w:pPr>
        <w:pStyle w:val="EndNoteBibliography"/>
        <w:spacing w:after="0"/>
        <w:ind w:left="720" w:hanging="720"/>
      </w:pPr>
      <w:r w:rsidRPr="00BB54DF">
        <w:t>4.</w:t>
      </w:r>
      <w:r w:rsidRPr="00BB54DF">
        <w:tab/>
        <w:t xml:space="preserve">Nickolas, T.L., D.J. McMahon, and E. Shane, </w:t>
      </w:r>
      <w:r w:rsidRPr="00BB54DF">
        <w:rPr>
          <w:i/>
        </w:rPr>
        <w:t>Relationship between moderate to severe kidney disease and hip fracture in the United States.</w:t>
      </w:r>
      <w:r w:rsidRPr="00BB54DF">
        <w:t xml:space="preserve"> J Am Soc Nephrol, 2006. </w:t>
      </w:r>
      <w:r w:rsidRPr="00BB54DF">
        <w:rPr>
          <w:b/>
        </w:rPr>
        <w:t>17</w:t>
      </w:r>
      <w:r w:rsidRPr="00BB54DF">
        <w:t>(11): p. 3223-32.</w:t>
      </w:r>
    </w:p>
    <w:p w14:paraId="13C0E247" w14:textId="77777777" w:rsidR="001D5467" w:rsidRPr="00BB54DF" w:rsidRDefault="001D5467" w:rsidP="001D5467">
      <w:pPr>
        <w:pStyle w:val="EndNoteBibliography"/>
        <w:spacing w:after="0"/>
        <w:ind w:left="720" w:hanging="720"/>
      </w:pPr>
      <w:r w:rsidRPr="00BB54DF">
        <w:t>5.</w:t>
      </w:r>
      <w:r w:rsidRPr="00BB54DF">
        <w:tab/>
        <w:t xml:space="preserve">Ensrud, K.E., et al., </w:t>
      </w:r>
      <w:r w:rsidRPr="00BB54DF">
        <w:rPr>
          <w:i/>
        </w:rPr>
        <w:t>Renal function and risk of hip and vertebral fractures in older women.</w:t>
      </w:r>
      <w:r w:rsidRPr="00BB54DF">
        <w:t xml:space="preserve"> Arch Intern Med, 2007. </w:t>
      </w:r>
      <w:r w:rsidRPr="00BB54DF">
        <w:rPr>
          <w:b/>
        </w:rPr>
        <w:t>167</w:t>
      </w:r>
      <w:r w:rsidRPr="00BB54DF">
        <w:t>(2): p. 133-9.</w:t>
      </w:r>
    </w:p>
    <w:p w14:paraId="467540C7" w14:textId="77777777" w:rsidR="001D5467" w:rsidRPr="00BB54DF" w:rsidRDefault="001D5467" w:rsidP="001D5467">
      <w:pPr>
        <w:pStyle w:val="EndNoteBibliography"/>
        <w:spacing w:after="0"/>
        <w:ind w:left="720" w:hanging="720"/>
      </w:pPr>
      <w:r w:rsidRPr="00BB54DF">
        <w:t>6.</w:t>
      </w:r>
      <w:r w:rsidRPr="00BB54DF">
        <w:tab/>
        <w:t xml:space="preserve">Dooley, A.C., N.S. Weiss, and B. Kestenbaum, </w:t>
      </w:r>
      <w:r w:rsidRPr="00BB54DF">
        <w:rPr>
          <w:i/>
        </w:rPr>
        <w:t>Increased risk of hip fracture among men with CKD.</w:t>
      </w:r>
      <w:r w:rsidRPr="00BB54DF">
        <w:t xml:space="preserve"> Am J Kidney Dis, 2008. </w:t>
      </w:r>
      <w:r w:rsidRPr="00BB54DF">
        <w:rPr>
          <w:b/>
        </w:rPr>
        <w:t>51</w:t>
      </w:r>
      <w:r w:rsidRPr="00BB54DF">
        <w:t>(1): p. 38-44.</w:t>
      </w:r>
    </w:p>
    <w:p w14:paraId="70A62ED1" w14:textId="77777777" w:rsidR="001D5467" w:rsidRPr="00BB54DF" w:rsidRDefault="001D5467" w:rsidP="001D5467">
      <w:pPr>
        <w:pStyle w:val="EndNoteBibliography"/>
        <w:spacing w:after="0"/>
        <w:ind w:left="720" w:hanging="720"/>
      </w:pPr>
      <w:r w:rsidRPr="00BB54DF">
        <w:t>7.</w:t>
      </w:r>
      <w:r w:rsidRPr="00BB54DF">
        <w:tab/>
        <w:t xml:space="preserve">Alem, A.M., et al., </w:t>
      </w:r>
      <w:r w:rsidRPr="00BB54DF">
        <w:rPr>
          <w:i/>
        </w:rPr>
        <w:t>Increased risk of hip fracture among patients with end-stage renal disease.</w:t>
      </w:r>
      <w:r w:rsidRPr="00BB54DF">
        <w:t xml:space="preserve"> Kidney Int, 2000. </w:t>
      </w:r>
      <w:r w:rsidRPr="00BB54DF">
        <w:rPr>
          <w:b/>
        </w:rPr>
        <w:t>58</w:t>
      </w:r>
      <w:r w:rsidRPr="00BB54DF">
        <w:t>(1): p. 396-9.</w:t>
      </w:r>
    </w:p>
    <w:p w14:paraId="51826F3C" w14:textId="77777777" w:rsidR="001D5467" w:rsidRPr="00BB54DF" w:rsidRDefault="001D5467" w:rsidP="001D5467">
      <w:pPr>
        <w:pStyle w:val="EndNoteBibliography"/>
        <w:spacing w:after="0"/>
        <w:ind w:left="720" w:hanging="720"/>
      </w:pPr>
      <w:r w:rsidRPr="00BB54DF">
        <w:t>8.</w:t>
      </w:r>
      <w:r w:rsidRPr="00BB54DF">
        <w:tab/>
        <w:t xml:space="preserve">National Institue for Heatlth and Care Excellence, </w:t>
      </w:r>
      <w:r w:rsidRPr="00BB54DF">
        <w:rPr>
          <w:i/>
        </w:rPr>
        <w:t>Raloxifene for the primary prevention of osteoporotic fragility fractures in postmenopausal women (TA160)</w:t>
      </w:r>
      <w:r w:rsidRPr="00BB54DF">
        <w:t>. 2008.</w:t>
      </w:r>
    </w:p>
    <w:p w14:paraId="56C2F2CB" w14:textId="77777777" w:rsidR="001D5467" w:rsidRPr="00BB54DF" w:rsidRDefault="001D5467" w:rsidP="001D5467">
      <w:pPr>
        <w:pStyle w:val="EndNoteBibliography"/>
        <w:spacing w:after="0"/>
        <w:ind w:left="720" w:hanging="720"/>
      </w:pPr>
      <w:r w:rsidRPr="00BB54DF">
        <w:t>9.</w:t>
      </w:r>
      <w:r w:rsidRPr="00BB54DF">
        <w:tab/>
        <w:t xml:space="preserve">National Institue for Heatlth and Care Excellence, </w:t>
      </w:r>
      <w:r w:rsidRPr="00BB54DF">
        <w:rPr>
          <w:i/>
        </w:rPr>
        <w:t>Raloxifene and teriparatide for the secondary prevention of osteoporotic fragility fractures in postmenopausal women (TA161)</w:t>
      </w:r>
      <w:r w:rsidRPr="00BB54DF">
        <w:t>. 2008.</w:t>
      </w:r>
    </w:p>
    <w:p w14:paraId="7FA8411A" w14:textId="77777777" w:rsidR="001D5467" w:rsidRPr="00BB54DF" w:rsidRDefault="001D5467" w:rsidP="001D5467">
      <w:pPr>
        <w:pStyle w:val="EndNoteBibliography"/>
        <w:spacing w:after="0"/>
        <w:ind w:left="720" w:hanging="720"/>
      </w:pPr>
      <w:r w:rsidRPr="00BB54DF">
        <w:t>10.</w:t>
      </w:r>
      <w:r w:rsidRPr="00BB54DF">
        <w:tab/>
        <w:t xml:space="preserve">National Institue for Heatlth and Care Excellence, </w:t>
      </w:r>
      <w:r w:rsidRPr="00BB54DF">
        <w:rPr>
          <w:i/>
        </w:rPr>
        <w:t>Chronic kidney disease in adults: assessment and management (CG182)</w:t>
      </w:r>
      <w:r w:rsidRPr="00BB54DF">
        <w:t>. 2014.</w:t>
      </w:r>
    </w:p>
    <w:p w14:paraId="5A32A370" w14:textId="77777777" w:rsidR="001D5467" w:rsidRPr="00BB54DF" w:rsidRDefault="001D5467" w:rsidP="001D5467">
      <w:pPr>
        <w:pStyle w:val="EndNoteBibliography"/>
        <w:spacing w:after="0"/>
        <w:ind w:left="720" w:hanging="720"/>
      </w:pPr>
      <w:r w:rsidRPr="00BB54DF">
        <w:t>11.</w:t>
      </w:r>
      <w:r w:rsidRPr="00BB54DF">
        <w:tab/>
      </w:r>
      <w:r w:rsidRPr="00BB54DF">
        <w:rPr>
          <w:i/>
        </w:rPr>
        <w:t>Summary of Product Characteristics - Bonviva</w:t>
      </w:r>
      <w:r w:rsidRPr="00BB54DF">
        <w:t>, Roche Products Limited, Editor. 2011.</w:t>
      </w:r>
    </w:p>
    <w:p w14:paraId="2FD855E0" w14:textId="77777777" w:rsidR="001D5467" w:rsidRPr="00BB54DF" w:rsidRDefault="001D5467" w:rsidP="001D5467">
      <w:pPr>
        <w:pStyle w:val="EndNoteBibliography"/>
        <w:spacing w:after="0"/>
        <w:ind w:left="720" w:hanging="720"/>
      </w:pPr>
      <w:r w:rsidRPr="00BB54DF">
        <w:t>12.</w:t>
      </w:r>
      <w:r w:rsidRPr="00BB54DF">
        <w:tab/>
      </w:r>
      <w:r w:rsidRPr="00BB54DF">
        <w:rPr>
          <w:i/>
        </w:rPr>
        <w:t>Summary of Product Characteristics - Actonel 30mg</w:t>
      </w:r>
      <w:r w:rsidRPr="00BB54DF">
        <w:t>, Warner Chilcott UK, Editor. 2011.</w:t>
      </w:r>
    </w:p>
    <w:p w14:paraId="0EFA27FA" w14:textId="77777777" w:rsidR="001D5467" w:rsidRPr="00BB54DF" w:rsidRDefault="001D5467" w:rsidP="001D5467">
      <w:pPr>
        <w:pStyle w:val="EndNoteBibliography"/>
        <w:spacing w:after="0"/>
        <w:ind w:left="720" w:hanging="720"/>
      </w:pPr>
      <w:r w:rsidRPr="00BB54DF">
        <w:t>13.</w:t>
      </w:r>
      <w:r w:rsidRPr="00BB54DF">
        <w:tab/>
      </w:r>
      <w:r w:rsidRPr="00BB54DF">
        <w:rPr>
          <w:i/>
        </w:rPr>
        <w:t>Summary of Product Characteristics - Fosamax Onces Weekly.</w:t>
      </w:r>
      <w:r w:rsidRPr="00BB54DF">
        <w:t>, Merck Sharp and Dohme, Editor. 2012.</w:t>
      </w:r>
    </w:p>
    <w:p w14:paraId="6CD76ACA" w14:textId="77777777" w:rsidR="001D5467" w:rsidRPr="00BB54DF" w:rsidRDefault="001D5467" w:rsidP="001D5467">
      <w:pPr>
        <w:pStyle w:val="EndNoteBibliography"/>
        <w:spacing w:after="0"/>
        <w:ind w:left="720" w:hanging="720"/>
      </w:pPr>
      <w:r w:rsidRPr="00BB54DF">
        <w:t>14.</w:t>
      </w:r>
      <w:r w:rsidRPr="00BB54DF">
        <w:tab/>
        <w:t xml:space="preserve">Wilson, L.M., et al., </w:t>
      </w:r>
      <w:r w:rsidRPr="00BB54DF">
        <w:rPr>
          <w:i/>
        </w:rPr>
        <w:t>Benefits and Harms of Osteoporosis Medications in Patients With Chronic Kidney Disease: A Systematic Review and Meta-analysis.</w:t>
      </w:r>
      <w:r w:rsidRPr="00BB54DF">
        <w:t xml:space="preserve"> Ann Intern Med, 2017. </w:t>
      </w:r>
      <w:r w:rsidRPr="00BB54DF">
        <w:rPr>
          <w:b/>
        </w:rPr>
        <w:t>166</w:t>
      </w:r>
      <w:r w:rsidRPr="00BB54DF">
        <w:t>(9): p. 649-658.</w:t>
      </w:r>
    </w:p>
    <w:p w14:paraId="47B458A1" w14:textId="77777777" w:rsidR="001D5467" w:rsidRPr="00BB54DF" w:rsidRDefault="001D5467" w:rsidP="001D5467">
      <w:pPr>
        <w:pStyle w:val="EndNoteBibliography"/>
        <w:spacing w:after="0"/>
        <w:ind w:left="720" w:hanging="720"/>
      </w:pPr>
      <w:r w:rsidRPr="00BB54DF">
        <w:t>15.</w:t>
      </w:r>
      <w:r w:rsidRPr="00BB54DF">
        <w:tab/>
      </w:r>
      <w:r w:rsidRPr="00BB54DF">
        <w:rPr>
          <w:i/>
        </w:rPr>
        <w:t>KDIGO 2017 Clinical Practice Guideline Update for the Diagnosis, Evaluation, Prevention, and Treatment of Chronic Kidney Disease-Mineral and Bone Disorder (CKD-MBD).</w:t>
      </w:r>
      <w:r w:rsidRPr="00BB54DF">
        <w:t xml:space="preserve"> Kidney Int Suppl (2011), 2017. </w:t>
      </w:r>
      <w:r w:rsidRPr="00BB54DF">
        <w:rPr>
          <w:b/>
        </w:rPr>
        <w:t>7</w:t>
      </w:r>
      <w:r w:rsidRPr="00BB54DF">
        <w:t>(1): p. 1-59.</w:t>
      </w:r>
    </w:p>
    <w:p w14:paraId="739E4959" w14:textId="77777777" w:rsidR="001D5467" w:rsidRPr="00BB54DF" w:rsidRDefault="001D5467" w:rsidP="001D5467">
      <w:pPr>
        <w:pStyle w:val="EndNoteBibliography"/>
        <w:spacing w:after="0"/>
        <w:ind w:left="720" w:hanging="720"/>
      </w:pPr>
      <w:r w:rsidRPr="00BB54DF">
        <w:t>16.</w:t>
      </w:r>
      <w:r w:rsidRPr="00BB54DF">
        <w:tab/>
        <w:t xml:space="preserve">Herrett, E., et al., </w:t>
      </w:r>
      <w:r w:rsidRPr="00BB54DF">
        <w:rPr>
          <w:i/>
        </w:rPr>
        <w:t>Data Resource Profile: Clinical Practice Research Datalink (CPRD).</w:t>
      </w:r>
      <w:r w:rsidRPr="00BB54DF">
        <w:t xml:space="preserve"> Int J Epidemiol, 2015. </w:t>
      </w:r>
      <w:r w:rsidRPr="00BB54DF">
        <w:rPr>
          <w:b/>
        </w:rPr>
        <w:t>44</w:t>
      </w:r>
      <w:r w:rsidRPr="00BB54DF">
        <w:t>(3): p. 827-36.</w:t>
      </w:r>
    </w:p>
    <w:p w14:paraId="74BD1E72" w14:textId="77777777" w:rsidR="001D5467" w:rsidRPr="00BB54DF" w:rsidRDefault="001D5467" w:rsidP="001D5467">
      <w:pPr>
        <w:pStyle w:val="EndNoteBibliography"/>
        <w:spacing w:after="0"/>
        <w:ind w:left="720" w:hanging="720"/>
      </w:pPr>
      <w:r w:rsidRPr="00BB54DF">
        <w:t>17.</w:t>
      </w:r>
      <w:r w:rsidRPr="00BB54DF">
        <w:tab/>
        <w:t xml:space="preserve">SIDIAP. </w:t>
      </w:r>
      <w:r w:rsidRPr="00BB54DF">
        <w:rPr>
          <w:i/>
        </w:rPr>
        <w:t>SIDIAP Information System for Research in Primary Care</w:t>
      </w:r>
      <w:r w:rsidRPr="00BB54DF">
        <w:t>. 2014  [cited 2019 23/08].</w:t>
      </w:r>
    </w:p>
    <w:p w14:paraId="52DBDB55" w14:textId="77777777" w:rsidR="001D5467" w:rsidRPr="00BB54DF" w:rsidRDefault="001D5467" w:rsidP="001D5467">
      <w:pPr>
        <w:pStyle w:val="EndNoteBibliography"/>
        <w:spacing w:after="0"/>
        <w:ind w:left="720" w:hanging="720"/>
      </w:pPr>
      <w:r w:rsidRPr="00BB54DF">
        <w:lastRenderedPageBreak/>
        <w:t>18.</w:t>
      </w:r>
      <w:r w:rsidRPr="00BB54DF">
        <w:tab/>
        <w:t xml:space="preserve">Herrett, E., et al., </w:t>
      </w:r>
      <w:r w:rsidRPr="00BB54DF">
        <w:rPr>
          <w:i/>
        </w:rPr>
        <w:t>Validation and validity of diagnoses in the General Practice Research Database: a systematic review.</w:t>
      </w:r>
      <w:r w:rsidRPr="00BB54DF">
        <w:t xml:space="preserve"> Br J Clin Pharmacol, 2010. </w:t>
      </w:r>
      <w:r w:rsidRPr="00BB54DF">
        <w:rPr>
          <w:b/>
        </w:rPr>
        <w:t>69</w:t>
      </w:r>
      <w:r w:rsidRPr="00BB54DF">
        <w:t>(1): p. 4-14.</w:t>
      </w:r>
    </w:p>
    <w:p w14:paraId="041714BE" w14:textId="77777777" w:rsidR="001D5467" w:rsidRPr="00BB54DF" w:rsidRDefault="001D5467" w:rsidP="001D5467">
      <w:pPr>
        <w:pStyle w:val="EndNoteBibliography"/>
        <w:spacing w:after="0"/>
        <w:ind w:left="720" w:hanging="720"/>
      </w:pPr>
      <w:r w:rsidRPr="00BB54DF">
        <w:t>19.</w:t>
      </w:r>
      <w:r w:rsidRPr="00BB54DF">
        <w:tab/>
        <w:t xml:space="preserve">Garcia-Gil Mdel, M., et al., </w:t>
      </w:r>
      <w:r w:rsidRPr="00BB54DF">
        <w:rPr>
          <w:i/>
        </w:rPr>
        <w:t>Construction and validation of a scoring system for the selection of high-quality data in a Spanish population primary care database (SIDIAP).</w:t>
      </w:r>
      <w:r w:rsidRPr="00BB54DF">
        <w:t xml:space="preserve"> Inform Prim Care, 2011. </w:t>
      </w:r>
      <w:r w:rsidRPr="00BB54DF">
        <w:rPr>
          <w:b/>
        </w:rPr>
        <w:t>19</w:t>
      </w:r>
      <w:r w:rsidRPr="00BB54DF">
        <w:t>(3): p. 135-45.</w:t>
      </w:r>
    </w:p>
    <w:p w14:paraId="2AFF2E22" w14:textId="77777777" w:rsidR="001D5467" w:rsidRPr="00BB54DF" w:rsidRDefault="001D5467" w:rsidP="001D5467">
      <w:pPr>
        <w:pStyle w:val="EndNoteBibliography"/>
        <w:spacing w:after="0"/>
        <w:ind w:left="720" w:hanging="720"/>
      </w:pPr>
      <w:r w:rsidRPr="00BB54DF">
        <w:t>20.</w:t>
      </w:r>
      <w:r w:rsidRPr="00BB54DF">
        <w:tab/>
        <w:t xml:space="preserve">Levey, A.S., et al., </w:t>
      </w:r>
      <w:r w:rsidRPr="00BB54DF">
        <w:rPr>
          <w:i/>
        </w:rPr>
        <w:t>A new equation to estimate glomerular filtration rate.</w:t>
      </w:r>
      <w:r w:rsidRPr="00BB54DF">
        <w:t xml:space="preserve"> Ann Intern Med, 2009. </w:t>
      </w:r>
      <w:r w:rsidRPr="00BB54DF">
        <w:rPr>
          <w:b/>
        </w:rPr>
        <w:t>150</w:t>
      </w:r>
      <w:r w:rsidRPr="00BB54DF">
        <w:t>(9): p. 604-12.</w:t>
      </w:r>
    </w:p>
    <w:p w14:paraId="107AB825" w14:textId="77777777" w:rsidR="001D5467" w:rsidRPr="00BB54DF" w:rsidRDefault="001D5467" w:rsidP="001D5467">
      <w:pPr>
        <w:pStyle w:val="EndNoteBibliography"/>
        <w:spacing w:after="0"/>
        <w:ind w:left="720" w:hanging="720"/>
      </w:pPr>
      <w:r w:rsidRPr="00BB54DF">
        <w:t>21.</w:t>
      </w:r>
      <w:r w:rsidRPr="00BB54DF">
        <w:tab/>
        <w:t xml:space="preserve">Hill, A.B., </w:t>
      </w:r>
      <w:r w:rsidRPr="00BB54DF">
        <w:rPr>
          <w:i/>
        </w:rPr>
        <w:t>THE ENVIRONMENT AND DISEASE: ASSOCIATION OR CAUSATION?</w:t>
      </w:r>
      <w:r w:rsidRPr="00BB54DF">
        <w:t xml:space="preserve"> Proc R Soc Med, 1965. </w:t>
      </w:r>
      <w:r w:rsidRPr="00BB54DF">
        <w:rPr>
          <w:b/>
        </w:rPr>
        <w:t>58</w:t>
      </w:r>
      <w:r w:rsidRPr="00BB54DF">
        <w:t>: p. 295-300.</w:t>
      </w:r>
    </w:p>
    <w:p w14:paraId="2336CA60" w14:textId="77777777" w:rsidR="001D5467" w:rsidRPr="00BB54DF" w:rsidRDefault="001D5467" w:rsidP="001D5467">
      <w:pPr>
        <w:pStyle w:val="EndNoteBibliography"/>
        <w:spacing w:after="0"/>
        <w:ind w:left="720" w:hanging="720"/>
      </w:pPr>
      <w:r w:rsidRPr="00BB54DF">
        <w:t>22.</w:t>
      </w:r>
      <w:r w:rsidRPr="00BB54DF">
        <w:tab/>
        <w:t xml:space="preserve">Schneeweiss, S., </w:t>
      </w:r>
      <w:r w:rsidRPr="00BB54DF">
        <w:rPr>
          <w:i/>
        </w:rPr>
        <w:t>Sensitivity analysis and external adjustment for unmeasured confounders in epidemiologic database studies of therapeutics.</w:t>
      </w:r>
      <w:r w:rsidRPr="00BB54DF">
        <w:t xml:space="preserve"> Pharmacoepidemiol Drug Saf, 2006. </w:t>
      </w:r>
      <w:r w:rsidRPr="00BB54DF">
        <w:rPr>
          <w:b/>
        </w:rPr>
        <w:t>15</w:t>
      </w:r>
      <w:r w:rsidRPr="00BB54DF">
        <w:t>(5): p. 291-303.</w:t>
      </w:r>
    </w:p>
    <w:p w14:paraId="39A3206B" w14:textId="77777777" w:rsidR="001D5467" w:rsidRPr="00BB54DF" w:rsidRDefault="001D5467" w:rsidP="001D5467">
      <w:pPr>
        <w:pStyle w:val="EndNoteBibliography"/>
        <w:spacing w:after="0"/>
        <w:ind w:left="720" w:hanging="720"/>
      </w:pPr>
      <w:r w:rsidRPr="00BB54DF">
        <w:t>23.</w:t>
      </w:r>
      <w:r w:rsidRPr="00BB54DF">
        <w:tab/>
        <w:t xml:space="preserve">van Buuren, S. and K. Groothuis-Oudshoorn, </w:t>
      </w:r>
      <w:r w:rsidRPr="00BB54DF">
        <w:rPr>
          <w:i/>
        </w:rPr>
        <w:t xml:space="preserve">mice: Multivariate Imputation by Chained Equations </w:t>
      </w:r>
      <w:r w:rsidRPr="00BB54DF">
        <w:t xml:space="preserve">R. Journal of Statistical Software, 2011. </w:t>
      </w:r>
      <w:r w:rsidRPr="00BB54DF">
        <w:rPr>
          <w:b/>
        </w:rPr>
        <w:t>45</w:t>
      </w:r>
      <w:r w:rsidRPr="00BB54DF">
        <w:t>(3): p. 1-67.</w:t>
      </w:r>
    </w:p>
    <w:p w14:paraId="4D25BA74" w14:textId="77777777" w:rsidR="001D5467" w:rsidRPr="00BB54DF" w:rsidRDefault="001D5467" w:rsidP="001D5467">
      <w:pPr>
        <w:pStyle w:val="EndNoteBibliography"/>
        <w:spacing w:after="0"/>
        <w:ind w:left="720" w:hanging="720"/>
      </w:pPr>
      <w:r w:rsidRPr="00BB54DF">
        <w:t>24.</w:t>
      </w:r>
      <w:r w:rsidRPr="00BB54DF">
        <w:tab/>
        <w:t xml:space="preserve">Daniel E. Ho, et al., </w:t>
      </w:r>
      <w:r w:rsidRPr="00BB54DF">
        <w:rPr>
          <w:i/>
        </w:rPr>
        <w:t>MatchIt: Nonparametric Preprocessing for Parametric Causal Inference.</w:t>
      </w:r>
      <w:r w:rsidRPr="00BB54DF">
        <w:t xml:space="preserve"> Journal of Statistical Software, 2011. </w:t>
      </w:r>
      <w:r w:rsidRPr="00BB54DF">
        <w:rPr>
          <w:b/>
        </w:rPr>
        <w:t>42</w:t>
      </w:r>
      <w:r w:rsidRPr="00BB54DF">
        <w:t>(8): p. 1-28.</w:t>
      </w:r>
    </w:p>
    <w:p w14:paraId="4F4CE18F" w14:textId="77777777" w:rsidR="001D5467" w:rsidRPr="00BB54DF" w:rsidRDefault="001D5467" w:rsidP="001D5467">
      <w:pPr>
        <w:pStyle w:val="EndNoteBibliography"/>
        <w:spacing w:after="0"/>
        <w:ind w:left="720" w:hanging="720"/>
      </w:pPr>
      <w:r w:rsidRPr="00BB54DF">
        <w:t>25.</w:t>
      </w:r>
      <w:r w:rsidRPr="00BB54DF">
        <w:tab/>
        <w:t xml:space="preserve">Therneau, T., </w:t>
      </w:r>
      <w:r w:rsidRPr="00BB54DF">
        <w:rPr>
          <w:i/>
        </w:rPr>
        <w:t>A Package for Survival Analysis in S</w:t>
      </w:r>
      <w:r w:rsidRPr="00BB54DF">
        <w:t>. 2015.</w:t>
      </w:r>
    </w:p>
    <w:p w14:paraId="753A61AB" w14:textId="77777777" w:rsidR="001D5467" w:rsidRPr="00BB54DF" w:rsidRDefault="001D5467" w:rsidP="001D5467">
      <w:pPr>
        <w:pStyle w:val="EndNoteBibliography"/>
        <w:spacing w:after="0"/>
        <w:ind w:left="720" w:hanging="720"/>
      </w:pPr>
      <w:r w:rsidRPr="00BB54DF">
        <w:t>26.</w:t>
      </w:r>
      <w:r w:rsidRPr="00BB54DF">
        <w:tab/>
        <w:t xml:space="preserve">Alboukadel Kassambara and Marcin Kosinski, </w:t>
      </w:r>
      <w:r w:rsidRPr="00BB54DF">
        <w:rPr>
          <w:i/>
        </w:rPr>
        <w:t>survminer: Drawing Survival Curves using 'ggplot2'</w:t>
      </w:r>
      <w:r w:rsidRPr="00BB54DF">
        <w:t>. 2018: R.</w:t>
      </w:r>
    </w:p>
    <w:p w14:paraId="76EB938F" w14:textId="77777777" w:rsidR="001D5467" w:rsidRPr="00BB54DF" w:rsidRDefault="001D5467" w:rsidP="001D5467">
      <w:pPr>
        <w:pStyle w:val="EndNoteBibliography"/>
        <w:spacing w:after="0"/>
        <w:ind w:left="720" w:hanging="720"/>
      </w:pPr>
      <w:r w:rsidRPr="00BB54DF">
        <w:t>27.</w:t>
      </w:r>
      <w:r w:rsidRPr="00BB54DF">
        <w:tab/>
        <w:t xml:space="preserve">Fleisch, H., et al., </w:t>
      </w:r>
      <w:r w:rsidRPr="00BB54DF">
        <w:rPr>
          <w:i/>
        </w:rPr>
        <w:t>The influence of pyrophosphate analogues (diphosphonates) on the precipitation and dissolution of calcium phosphate in vitro and in vivo.</w:t>
      </w:r>
      <w:r w:rsidRPr="00BB54DF">
        <w:t xml:space="preserve"> Calcified Tissue Research, 1968. </w:t>
      </w:r>
      <w:r w:rsidRPr="00BB54DF">
        <w:rPr>
          <w:b/>
        </w:rPr>
        <w:t>2</w:t>
      </w:r>
      <w:r w:rsidRPr="00BB54DF">
        <w:t>(1): p. 10-10.</w:t>
      </w:r>
    </w:p>
    <w:p w14:paraId="086C21AE" w14:textId="77777777" w:rsidR="001D5467" w:rsidRPr="00BB54DF" w:rsidRDefault="001D5467" w:rsidP="001D5467">
      <w:pPr>
        <w:pStyle w:val="EndNoteBibliography"/>
        <w:spacing w:after="0"/>
        <w:ind w:left="720" w:hanging="720"/>
      </w:pPr>
      <w:r w:rsidRPr="00BB54DF">
        <w:t>28.</w:t>
      </w:r>
      <w:r w:rsidRPr="00BB54DF">
        <w:tab/>
        <w:t xml:space="preserve">Miller, P.D., </w:t>
      </w:r>
      <w:r w:rsidRPr="00BB54DF">
        <w:rPr>
          <w:i/>
        </w:rPr>
        <w:t>The kidney and bisphosphonates.</w:t>
      </w:r>
      <w:r w:rsidRPr="00BB54DF">
        <w:t xml:space="preserve"> Bone, 2011. </w:t>
      </w:r>
      <w:r w:rsidRPr="00BB54DF">
        <w:rPr>
          <w:b/>
        </w:rPr>
        <w:t>49</w:t>
      </w:r>
      <w:r w:rsidRPr="00BB54DF">
        <w:t>(1): p. 77-81.</w:t>
      </w:r>
    </w:p>
    <w:p w14:paraId="18E543CD" w14:textId="77777777" w:rsidR="001D5467" w:rsidRPr="00BB54DF" w:rsidRDefault="001D5467" w:rsidP="001D5467">
      <w:pPr>
        <w:pStyle w:val="EndNoteBibliography"/>
        <w:spacing w:after="0"/>
        <w:ind w:left="720" w:hanging="720"/>
      </w:pPr>
      <w:r w:rsidRPr="00BB54DF">
        <w:t>29.</w:t>
      </w:r>
      <w:r w:rsidRPr="00BB54DF">
        <w:tab/>
        <w:t xml:space="preserve">Miller, P.D., et al., </w:t>
      </w:r>
      <w:r w:rsidRPr="00BB54DF">
        <w:rPr>
          <w:i/>
        </w:rPr>
        <w:t>Renal safety in patients treated with bisphosphonates for osteoporosis: A review.</w:t>
      </w:r>
      <w:r w:rsidRPr="00BB54DF">
        <w:t xml:space="preserve"> Journal of Bone and Mineral Research, 2013. </w:t>
      </w:r>
      <w:r w:rsidRPr="00BB54DF">
        <w:rPr>
          <w:b/>
        </w:rPr>
        <w:t>28</w:t>
      </w:r>
      <w:r w:rsidRPr="00BB54DF">
        <w:t>(10): p. 2049-2059.</w:t>
      </w:r>
    </w:p>
    <w:p w14:paraId="0FBE904C" w14:textId="77777777" w:rsidR="001D5467" w:rsidRPr="00BB54DF" w:rsidRDefault="001D5467" w:rsidP="001D5467">
      <w:pPr>
        <w:pStyle w:val="EndNoteBibliography"/>
        <w:spacing w:after="0"/>
        <w:ind w:left="720" w:hanging="720"/>
      </w:pPr>
      <w:r w:rsidRPr="00BB54DF">
        <w:t>30.</w:t>
      </w:r>
      <w:r w:rsidRPr="00BB54DF">
        <w:tab/>
        <w:t xml:space="preserve">Markowitz, G.S., et al., </w:t>
      </w:r>
      <w:r w:rsidRPr="00BB54DF">
        <w:rPr>
          <w:i/>
        </w:rPr>
        <w:t>Collapsing focal segmental glomerulosclerosis following treatment with high-dose pamidronate.</w:t>
      </w:r>
      <w:r w:rsidRPr="00BB54DF">
        <w:t xml:space="preserve"> J Am Soc Nephrol, 2001. </w:t>
      </w:r>
      <w:r w:rsidRPr="00BB54DF">
        <w:rPr>
          <w:b/>
        </w:rPr>
        <w:t>12</w:t>
      </w:r>
      <w:r w:rsidRPr="00BB54DF">
        <w:t>(6): p. 1164-72.</w:t>
      </w:r>
    </w:p>
    <w:p w14:paraId="03AAE2D9" w14:textId="77777777" w:rsidR="001D5467" w:rsidRPr="00BB54DF" w:rsidRDefault="001D5467" w:rsidP="001D5467">
      <w:pPr>
        <w:pStyle w:val="EndNoteBibliography"/>
        <w:spacing w:after="0"/>
        <w:ind w:left="720" w:hanging="720"/>
      </w:pPr>
      <w:r w:rsidRPr="00BB54DF">
        <w:t>31.</w:t>
      </w:r>
      <w:r w:rsidRPr="00BB54DF">
        <w:tab/>
        <w:t xml:space="preserve">Barri, Y.M., et al., </w:t>
      </w:r>
      <w:r w:rsidRPr="00BB54DF">
        <w:rPr>
          <w:i/>
        </w:rPr>
        <w:t>Podocyte injury associated glomerulopathies induced by pamidronate.</w:t>
      </w:r>
      <w:r w:rsidRPr="00BB54DF">
        <w:t xml:space="preserve"> Kidney International, 2004. </w:t>
      </w:r>
      <w:r w:rsidRPr="00BB54DF">
        <w:rPr>
          <w:b/>
        </w:rPr>
        <w:t>65</w:t>
      </w:r>
      <w:r w:rsidRPr="00BB54DF">
        <w:t>(2): p. 634-641.</w:t>
      </w:r>
    </w:p>
    <w:p w14:paraId="7D7A2D43" w14:textId="77777777" w:rsidR="001D5467" w:rsidRPr="00BB54DF" w:rsidRDefault="001D5467" w:rsidP="001D5467">
      <w:pPr>
        <w:pStyle w:val="EndNoteBibliography"/>
        <w:spacing w:after="0"/>
        <w:ind w:left="720" w:hanging="720"/>
      </w:pPr>
      <w:r w:rsidRPr="00BB54DF">
        <w:t>32.</w:t>
      </w:r>
      <w:r w:rsidRPr="00BB54DF">
        <w:tab/>
        <w:t xml:space="preserve">Torregrosa, J.V. and A.M. Ramos, </w:t>
      </w:r>
      <w:r w:rsidRPr="00BB54DF">
        <w:rPr>
          <w:i/>
        </w:rPr>
        <w:t>Use of bisphosphonates in chronic kidney disease.</w:t>
      </w:r>
      <w:r w:rsidRPr="00BB54DF">
        <w:t xml:space="preserve"> Nefrologia : publicacion oficial de la Sociedad Espanola Nefrologia, 2010. </w:t>
      </w:r>
      <w:r w:rsidRPr="00BB54DF">
        <w:rPr>
          <w:b/>
        </w:rPr>
        <w:t>30</w:t>
      </w:r>
      <w:r w:rsidRPr="00BB54DF">
        <w:t>(3): p. 288-296.</w:t>
      </w:r>
    </w:p>
    <w:p w14:paraId="2614C06C" w14:textId="77777777" w:rsidR="001D5467" w:rsidRPr="00BB54DF" w:rsidRDefault="001D5467" w:rsidP="001D5467">
      <w:pPr>
        <w:pStyle w:val="EndNoteBibliography"/>
        <w:spacing w:after="0"/>
        <w:ind w:left="720" w:hanging="720"/>
      </w:pPr>
      <w:r w:rsidRPr="00BB54DF">
        <w:t>33.</w:t>
      </w:r>
      <w:r w:rsidRPr="00BB54DF">
        <w:tab/>
        <w:t xml:space="preserve">Cobo, G., et al., </w:t>
      </w:r>
      <w:r w:rsidRPr="00BB54DF">
        <w:rPr>
          <w:i/>
        </w:rPr>
        <w:t>Sex and gender differences in chronic kidney disease: progression to end-stage renal disease and haemodialysis.</w:t>
      </w:r>
      <w:r w:rsidRPr="00BB54DF">
        <w:t xml:space="preserve"> Clin Sci (Lond), 2016. </w:t>
      </w:r>
      <w:r w:rsidRPr="00BB54DF">
        <w:rPr>
          <w:b/>
        </w:rPr>
        <w:t>130</w:t>
      </w:r>
      <w:r w:rsidRPr="00BB54DF">
        <w:t>(14): p. 1147-63.</w:t>
      </w:r>
    </w:p>
    <w:p w14:paraId="13D0FC04" w14:textId="77777777" w:rsidR="001D5467" w:rsidRPr="00BB54DF" w:rsidRDefault="001D5467" w:rsidP="001D5467">
      <w:pPr>
        <w:pStyle w:val="EndNoteBibliography"/>
        <w:spacing w:after="0"/>
        <w:ind w:left="720" w:hanging="720"/>
      </w:pPr>
      <w:r w:rsidRPr="00BB54DF">
        <w:t>34.</w:t>
      </w:r>
      <w:r w:rsidRPr="00BB54DF">
        <w:tab/>
        <w:t xml:space="preserve">Bliuc, D., et al., </w:t>
      </w:r>
      <w:r w:rsidRPr="00BB54DF">
        <w:rPr>
          <w:i/>
        </w:rPr>
        <w:t>Reduced Bone Loss Is Associated With Reduced Mortality Risk in Subjects Exposed to Nitrogen Bisphosphonates: A Mediation Analysis.</w:t>
      </w:r>
      <w:r w:rsidRPr="00BB54DF">
        <w:t xml:space="preserve"> Journal of Bone and Mineral Research, 2019. </w:t>
      </w:r>
      <w:r w:rsidRPr="00BB54DF">
        <w:rPr>
          <w:b/>
        </w:rPr>
        <w:t>34</w:t>
      </w:r>
      <w:r w:rsidRPr="00BB54DF">
        <w:t>(11): p. 2001-2011.</w:t>
      </w:r>
    </w:p>
    <w:p w14:paraId="16D041E2" w14:textId="77777777" w:rsidR="001D5467" w:rsidRPr="00BB54DF" w:rsidRDefault="001D5467" w:rsidP="001D5467">
      <w:pPr>
        <w:pStyle w:val="EndNoteBibliography"/>
        <w:ind w:left="720" w:hanging="720"/>
      </w:pPr>
      <w:r w:rsidRPr="00BB54DF">
        <w:lastRenderedPageBreak/>
        <w:t>35.</w:t>
      </w:r>
      <w:r w:rsidRPr="00BB54DF">
        <w:tab/>
        <w:t xml:space="preserve">Evenepoel, P., et al., </w:t>
      </w:r>
      <w:r w:rsidRPr="00BB54DF">
        <w:rPr>
          <w:i/>
        </w:rPr>
        <w:t>European Consensus Statement on the diagnosis and management of osteoporosis in chronic kidney disease stages G4-G5D.</w:t>
      </w:r>
      <w:r w:rsidRPr="00BB54DF">
        <w:t xml:space="preserve"> Nephrol Dial Transplant, 2020.</w:t>
      </w:r>
    </w:p>
    <w:p w14:paraId="37B18F46" w14:textId="491DC9B7" w:rsidR="00B164CF" w:rsidRPr="00BB54DF" w:rsidRDefault="00201B69" w:rsidP="00B164CF">
      <w:pPr>
        <w:spacing w:line="360" w:lineRule="auto"/>
        <w:jc w:val="both"/>
        <w:rPr>
          <w:rFonts w:cs="Arial"/>
        </w:rPr>
      </w:pPr>
      <w:r w:rsidRPr="00BB54DF">
        <w:rPr>
          <w:rFonts w:cs="Arial"/>
        </w:rPr>
        <w:fldChar w:fldCharType="end"/>
      </w:r>
    </w:p>
    <w:p w14:paraId="415D62BD" w14:textId="77777777" w:rsidR="00F25886" w:rsidRPr="00BB54DF" w:rsidRDefault="00F25886">
      <w:pPr>
        <w:spacing w:before="0" w:after="160" w:line="259" w:lineRule="auto"/>
        <w:rPr>
          <w:rFonts w:cs="Arial"/>
          <w:b/>
          <w:bCs/>
          <w:u w:val="single"/>
        </w:rPr>
      </w:pPr>
      <w:r w:rsidRPr="00BB54DF">
        <w:rPr>
          <w:rFonts w:cs="Arial"/>
          <w:b/>
          <w:bCs/>
          <w:u w:val="single"/>
        </w:rPr>
        <w:br w:type="page"/>
      </w:r>
    </w:p>
    <w:p w14:paraId="76243062" w14:textId="77777777" w:rsidR="00050AD4" w:rsidRPr="00BB54DF" w:rsidRDefault="00050AD4" w:rsidP="00050AD4">
      <w:pPr>
        <w:spacing w:line="360" w:lineRule="auto"/>
        <w:jc w:val="both"/>
        <w:rPr>
          <w:rFonts w:cs="Arial"/>
          <w:b/>
          <w:bCs/>
          <w:u w:val="single"/>
        </w:rPr>
      </w:pPr>
      <w:r w:rsidRPr="00BB54DF">
        <w:rPr>
          <w:rFonts w:cs="Arial"/>
          <w:b/>
          <w:bCs/>
          <w:u w:val="single"/>
        </w:rPr>
        <w:lastRenderedPageBreak/>
        <w:t>Figure titles and legends:</w:t>
      </w:r>
    </w:p>
    <w:p w14:paraId="65611AEE" w14:textId="77777777" w:rsidR="00050AD4" w:rsidRPr="00BB54DF" w:rsidRDefault="00050AD4" w:rsidP="00050AD4">
      <w:pPr>
        <w:spacing w:line="360" w:lineRule="auto"/>
        <w:jc w:val="both"/>
        <w:rPr>
          <w:rFonts w:cs="Arial"/>
          <w:b/>
          <w:bCs/>
        </w:rPr>
      </w:pPr>
      <w:r w:rsidRPr="00BB54DF">
        <w:rPr>
          <w:rFonts w:cs="Arial"/>
          <w:b/>
          <w:bCs/>
        </w:rPr>
        <w:t xml:space="preserve">Figure 1: </w:t>
      </w:r>
    </w:p>
    <w:p w14:paraId="59531C10" w14:textId="767AFD99" w:rsidR="00050AD4" w:rsidRPr="00BB54DF" w:rsidRDefault="00050AD4" w:rsidP="00050AD4">
      <w:pPr>
        <w:spacing w:line="360" w:lineRule="auto"/>
        <w:jc w:val="both"/>
        <w:rPr>
          <w:rFonts w:cs="Arial"/>
        </w:rPr>
      </w:pPr>
      <w:bookmarkStart w:id="6" w:name="_Hlk49186167"/>
      <w:r w:rsidRPr="00BB54DF">
        <w:rPr>
          <w:rFonts w:cs="Arial"/>
          <w:u w:val="single"/>
        </w:rPr>
        <w:t>Title:</w:t>
      </w:r>
      <w:r w:rsidRPr="00BB54DF">
        <w:rPr>
          <w:rFonts w:cs="Arial"/>
        </w:rPr>
        <w:t xml:space="preserve"> Flow diagrams for patient exclusions in CPRD (left) and SIDIAP (right)</w:t>
      </w:r>
      <w:r w:rsidR="006350BB" w:rsidRPr="00BB54DF">
        <w:rPr>
          <w:rFonts w:cs="Arial"/>
        </w:rPr>
        <w:t xml:space="preserve"> identifying when and why patients were excluded from each dataset</w:t>
      </w:r>
    </w:p>
    <w:p w14:paraId="64687876" w14:textId="77777777" w:rsidR="00050AD4" w:rsidRPr="00BB54DF" w:rsidRDefault="00050AD4" w:rsidP="00050AD4">
      <w:pPr>
        <w:spacing w:line="360" w:lineRule="auto"/>
        <w:jc w:val="both"/>
        <w:rPr>
          <w:rFonts w:cs="Arial"/>
        </w:rPr>
      </w:pPr>
      <w:r w:rsidRPr="00BB54DF">
        <w:rPr>
          <w:rFonts w:cs="Arial"/>
          <w:u w:val="single"/>
        </w:rPr>
        <w:t>Notes:</w:t>
      </w:r>
      <w:r w:rsidRPr="00BB54DF">
        <w:rPr>
          <w:rFonts w:cs="Arial"/>
        </w:rPr>
        <w:t xml:space="preserve"> *= patients contribute both unexposed and exposed time. See Supplement 1 for full explanation. eGFR = estimated glomerular filtration rate in ml/min/1.73m</w:t>
      </w:r>
      <w:r w:rsidRPr="00BB54DF">
        <w:rPr>
          <w:rFonts w:cs="Arial"/>
          <w:vertAlign w:val="superscript"/>
        </w:rPr>
        <w:t>2</w:t>
      </w:r>
      <w:r w:rsidRPr="00BB54DF">
        <w:rPr>
          <w:rFonts w:cs="Arial"/>
        </w:rPr>
        <w:t>, IMD = index of multiple deprivation</w:t>
      </w:r>
    </w:p>
    <w:bookmarkEnd w:id="6"/>
    <w:p w14:paraId="16E2413A" w14:textId="77777777" w:rsidR="00050AD4" w:rsidRPr="00BB54DF" w:rsidRDefault="00050AD4" w:rsidP="00050AD4">
      <w:pPr>
        <w:spacing w:line="360" w:lineRule="auto"/>
        <w:jc w:val="both"/>
        <w:rPr>
          <w:rFonts w:cs="Arial"/>
        </w:rPr>
      </w:pPr>
    </w:p>
    <w:p w14:paraId="00ED194D" w14:textId="77777777" w:rsidR="00050AD4" w:rsidRPr="00BB54DF" w:rsidRDefault="00050AD4" w:rsidP="00050AD4">
      <w:pPr>
        <w:spacing w:line="360" w:lineRule="auto"/>
        <w:jc w:val="both"/>
        <w:rPr>
          <w:rFonts w:cs="Arial"/>
          <w:b/>
          <w:bCs/>
        </w:rPr>
      </w:pPr>
      <w:r w:rsidRPr="00BB54DF">
        <w:rPr>
          <w:rFonts w:cs="Arial"/>
          <w:b/>
          <w:bCs/>
        </w:rPr>
        <w:t xml:space="preserve">Figure 2: </w:t>
      </w:r>
    </w:p>
    <w:p w14:paraId="22F06089" w14:textId="028C8092" w:rsidR="00050AD4" w:rsidRPr="00BB54DF" w:rsidRDefault="00050AD4" w:rsidP="00050AD4">
      <w:pPr>
        <w:spacing w:line="360" w:lineRule="auto"/>
        <w:jc w:val="both"/>
        <w:rPr>
          <w:rFonts w:cs="Arial"/>
        </w:rPr>
      </w:pPr>
      <w:bookmarkStart w:id="7" w:name="_Hlk49186206"/>
      <w:r w:rsidRPr="00BB54DF">
        <w:rPr>
          <w:rFonts w:cs="Arial"/>
          <w:u w:val="single"/>
        </w:rPr>
        <w:t>Title</w:t>
      </w:r>
      <w:r w:rsidRPr="00BB54DF">
        <w:rPr>
          <w:rFonts w:cs="Arial"/>
        </w:rPr>
        <w:t xml:space="preserve">: </w:t>
      </w:r>
      <w:bookmarkStart w:id="8" w:name="_Hlk34299539"/>
      <w:bookmarkStart w:id="9" w:name="_Hlk34300091"/>
      <w:r w:rsidRPr="00BB54DF">
        <w:rPr>
          <w:rFonts w:cs="Arial"/>
        </w:rPr>
        <w:t>Survival plots for stage change with renal replacement therapy showing the (a) cumulative incidence of the outcome in CPRD data, (b) cumulative incidence of competing risk (death) in CPRD data, (c) cumulative incidence of the outcome and competing risk in CPRD</w:t>
      </w:r>
      <w:bookmarkEnd w:id="8"/>
      <w:r w:rsidR="006350BB" w:rsidRPr="00BB54DF">
        <w:rPr>
          <w:rFonts w:cs="Arial"/>
        </w:rPr>
        <w:t>.</w:t>
      </w:r>
      <w:r w:rsidR="00DE7105" w:rsidRPr="00BB54DF">
        <w:rPr>
          <w:rFonts w:cs="Arial"/>
        </w:rPr>
        <w:t xml:space="preserve"> </w:t>
      </w:r>
    </w:p>
    <w:p w14:paraId="632D1EA1" w14:textId="75698822" w:rsidR="00DE7105" w:rsidRPr="00BB54DF" w:rsidRDefault="00DE7105" w:rsidP="00050AD4">
      <w:pPr>
        <w:spacing w:line="360" w:lineRule="auto"/>
        <w:jc w:val="both"/>
        <w:rPr>
          <w:rFonts w:cs="Arial"/>
        </w:rPr>
      </w:pPr>
      <w:r w:rsidRPr="00BB54DF">
        <w:rPr>
          <w:rFonts w:cs="Arial"/>
        </w:rPr>
        <w:t>Note: These figures are calculated as part of a competing risk model using Fine and Gray survival analysis</w:t>
      </w:r>
      <w:r w:rsidR="006A7B2B" w:rsidRPr="00BB54DF">
        <w:rPr>
          <w:rFonts w:cs="Arial"/>
        </w:rPr>
        <w:t>.</w:t>
      </w:r>
      <w:r w:rsidRPr="00BB54DF">
        <w:rPr>
          <w:rFonts w:cs="Arial"/>
        </w:rPr>
        <w:t xml:space="preserve"> </w:t>
      </w:r>
      <w:bookmarkEnd w:id="7"/>
    </w:p>
    <w:bookmarkEnd w:id="9"/>
    <w:p w14:paraId="7AB43F22" w14:textId="77777777" w:rsidR="00050AD4" w:rsidRPr="00BB54DF" w:rsidRDefault="00050AD4" w:rsidP="00050AD4">
      <w:pPr>
        <w:spacing w:line="360" w:lineRule="auto"/>
        <w:jc w:val="both"/>
        <w:rPr>
          <w:rFonts w:cs="Arial"/>
        </w:rPr>
      </w:pPr>
    </w:p>
    <w:p w14:paraId="6FE6FF1C" w14:textId="77777777" w:rsidR="00050AD4" w:rsidRPr="00BB54DF" w:rsidRDefault="00050AD4" w:rsidP="00050AD4">
      <w:pPr>
        <w:spacing w:line="360" w:lineRule="auto"/>
        <w:jc w:val="both"/>
        <w:rPr>
          <w:rFonts w:cs="Arial"/>
          <w:b/>
          <w:bCs/>
        </w:rPr>
      </w:pPr>
      <w:bookmarkStart w:id="10" w:name="_Hlk49186312"/>
      <w:r w:rsidRPr="00BB54DF">
        <w:rPr>
          <w:rFonts w:cs="Arial"/>
          <w:b/>
          <w:bCs/>
        </w:rPr>
        <w:t>Figure 3:</w:t>
      </w:r>
    </w:p>
    <w:p w14:paraId="4848C7A8" w14:textId="77777777" w:rsidR="006350BB" w:rsidRPr="00BB54DF" w:rsidRDefault="00050AD4" w:rsidP="00050AD4">
      <w:pPr>
        <w:spacing w:line="360" w:lineRule="auto"/>
        <w:jc w:val="both"/>
        <w:rPr>
          <w:rFonts w:cs="Arial"/>
        </w:rPr>
      </w:pPr>
      <w:r w:rsidRPr="00BB54DF">
        <w:rPr>
          <w:rFonts w:cs="Arial"/>
          <w:u w:val="single"/>
        </w:rPr>
        <w:t>Title</w:t>
      </w:r>
      <w:r w:rsidRPr="00BB54DF">
        <w:rPr>
          <w:rFonts w:cs="Arial"/>
        </w:rPr>
        <w:t>: Array of unmeasured confounding based on a HR of 1.14 and an unexposed incident of the outcome of 30%: a) adjusted hazard ratio (HR); b) percentage bias</w:t>
      </w:r>
      <w:r w:rsidR="006350BB" w:rsidRPr="00BB54DF">
        <w:rPr>
          <w:rFonts w:cs="Arial"/>
        </w:rPr>
        <w:t>.</w:t>
      </w:r>
    </w:p>
    <w:p w14:paraId="0BD5D23B" w14:textId="3CCB970C" w:rsidR="00050AD4" w:rsidRPr="00BB54DF" w:rsidRDefault="006350BB" w:rsidP="00050AD4">
      <w:pPr>
        <w:spacing w:line="360" w:lineRule="auto"/>
        <w:jc w:val="both"/>
        <w:rPr>
          <w:rFonts w:cs="Arial"/>
        </w:rPr>
      </w:pPr>
      <w:r w:rsidRPr="00BB54DF">
        <w:rPr>
          <w:rFonts w:cs="Arial"/>
        </w:rPr>
        <w:t xml:space="preserve">Note: In </w:t>
      </w:r>
      <w:r w:rsidR="00C07E3C" w:rsidRPr="00BB54DF">
        <w:rPr>
          <w:rFonts w:cs="Arial"/>
        </w:rPr>
        <w:t>figure</w:t>
      </w:r>
      <w:r w:rsidRPr="00BB54DF">
        <w:rPr>
          <w:rFonts w:cs="Arial"/>
        </w:rPr>
        <w:t xml:space="preserve"> a, darker grey regions show situations when the result would be nullified since </w:t>
      </w:r>
      <w:r w:rsidR="00C07E3C" w:rsidRPr="00BB54DF">
        <w:rPr>
          <w:rFonts w:cs="Arial"/>
        </w:rPr>
        <w:t xml:space="preserve">the combination of percentage of exposed patients with the confounder and high risk of association induce a large enough amount of bias to affect the results. In figure b, lighter grey regions suggest more bias and therefore are less likely to be realistic situations. The same position of figure a and b can be taken together to identify the amount of bias and corresponding effect to the HR. </w:t>
      </w:r>
    </w:p>
    <w:bookmarkEnd w:id="10"/>
    <w:p w14:paraId="7A5675B5" w14:textId="77777777" w:rsidR="00050AD4" w:rsidRPr="00BB54DF" w:rsidRDefault="00050AD4">
      <w:pPr>
        <w:spacing w:before="0" w:after="160" w:line="259" w:lineRule="auto"/>
        <w:rPr>
          <w:rFonts w:cs="Arial"/>
          <w:b/>
          <w:bCs/>
          <w:u w:val="single"/>
        </w:rPr>
      </w:pPr>
      <w:r w:rsidRPr="00BB54DF">
        <w:rPr>
          <w:rFonts w:cs="Arial"/>
          <w:b/>
          <w:bCs/>
          <w:u w:val="single"/>
        </w:rPr>
        <w:br w:type="page"/>
      </w:r>
    </w:p>
    <w:p w14:paraId="33611DFF" w14:textId="24EEDB0E" w:rsidR="0074644B" w:rsidRPr="00BB54DF" w:rsidRDefault="0074644B">
      <w:pPr>
        <w:spacing w:before="0" w:after="160" w:line="259" w:lineRule="auto"/>
        <w:rPr>
          <w:rFonts w:cs="Arial"/>
          <w:b/>
          <w:bCs/>
          <w:u w:val="single"/>
        </w:rPr>
      </w:pPr>
      <w:r w:rsidRPr="00BB54DF">
        <w:rPr>
          <w:rFonts w:cs="Arial"/>
          <w:b/>
          <w:bCs/>
          <w:u w:val="single"/>
        </w:rPr>
        <w:lastRenderedPageBreak/>
        <w:t xml:space="preserve">Tables: </w:t>
      </w:r>
    </w:p>
    <w:p w14:paraId="2FC89D00" w14:textId="306E1565" w:rsidR="0074644B" w:rsidRPr="00BB54DF" w:rsidRDefault="0074644B" w:rsidP="0074644B">
      <w:pPr>
        <w:rPr>
          <w:rFonts w:cs="Arial"/>
          <w:b/>
          <w:sz w:val="20"/>
        </w:rPr>
      </w:pPr>
      <w:r w:rsidRPr="00BB54DF">
        <w:rPr>
          <w:rFonts w:cs="Arial"/>
          <w:b/>
          <w:sz w:val="20"/>
        </w:rPr>
        <w:t>Table 1: Baseline characteristics</w:t>
      </w:r>
      <w:r w:rsidR="006350BB" w:rsidRPr="00BB54DF">
        <w:rPr>
          <w:rFonts w:cs="Arial"/>
          <w:b/>
          <w:sz w:val="20"/>
        </w:rPr>
        <w:t xml:space="preserve"> before and after matching for CPRD and SIDIAP</w:t>
      </w:r>
    </w:p>
    <w:p w14:paraId="3E3BC8EA" w14:textId="77777777" w:rsidR="0074644B" w:rsidRPr="00BB54DF" w:rsidRDefault="0074644B" w:rsidP="0074644B">
      <w:pPr>
        <w:rPr>
          <w:rFonts w:eastAsia="Calibri" w:hAnsi="Calibri"/>
          <w:color w:val="000000" w:themeColor="dark1"/>
          <w:kern w:val="24"/>
          <w:lang w:eastAsia="en-GB"/>
        </w:rPr>
      </w:pPr>
    </w:p>
    <w:tbl>
      <w:tblPr>
        <w:tblpPr w:leftFromText="181" w:rightFromText="181" w:vertAnchor="text" w:horzAnchor="margin" w:tblpY="1"/>
        <w:tblW w:w="5001" w:type="pct"/>
        <w:tblLayout w:type="fixed"/>
        <w:tblLook w:val="04A0" w:firstRow="1" w:lastRow="0" w:firstColumn="1" w:lastColumn="0" w:noHBand="0" w:noVBand="1"/>
      </w:tblPr>
      <w:tblGrid>
        <w:gridCol w:w="1425"/>
        <w:gridCol w:w="955"/>
        <w:gridCol w:w="955"/>
        <w:gridCol w:w="957"/>
        <w:gridCol w:w="957"/>
        <w:gridCol w:w="943"/>
        <w:gridCol w:w="9"/>
        <w:gridCol w:w="937"/>
        <w:gridCol w:w="16"/>
        <w:gridCol w:w="928"/>
        <w:gridCol w:w="23"/>
        <w:gridCol w:w="923"/>
      </w:tblGrid>
      <w:tr w:rsidR="0074644B" w:rsidRPr="00BB54DF" w14:paraId="0079EB8F" w14:textId="77777777" w:rsidTr="007340D2">
        <w:trPr>
          <w:trHeight w:val="227"/>
          <w:tblHeader/>
        </w:trPr>
        <w:tc>
          <w:tcPr>
            <w:tcW w:w="789" w:type="pct"/>
            <w:tcBorders>
              <w:top w:val="nil"/>
              <w:left w:val="nil"/>
              <w:bottom w:val="single" w:sz="4" w:space="0" w:color="auto"/>
              <w:right w:val="single" w:sz="4" w:space="0" w:color="auto"/>
            </w:tcBorders>
            <w:shd w:val="clear" w:color="auto" w:fill="auto"/>
            <w:noWrap/>
            <w:vAlign w:val="center"/>
          </w:tcPr>
          <w:p w14:paraId="16979087" w14:textId="77777777" w:rsidR="0074644B" w:rsidRPr="00BB54DF" w:rsidRDefault="0074644B" w:rsidP="007340D2">
            <w:pPr>
              <w:spacing w:after="0"/>
              <w:jc w:val="center"/>
              <w:rPr>
                <w:rFonts w:ascii="Times New Roman" w:hAnsi="Times New Roman"/>
                <w:b/>
                <w:sz w:val="16"/>
                <w:szCs w:val="16"/>
                <w:lang w:eastAsia="en-GB"/>
              </w:rPr>
            </w:pPr>
          </w:p>
        </w:tc>
        <w:tc>
          <w:tcPr>
            <w:tcW w:w="2118" w:type="pct"/>
            <w:gridSpan w:val="4"/>
            <w:tcBorders>
              <w:top w:val="nil"/>
              <w:left w:val="single" w:sz="4" w:space="0" w:color="auto"/>
              <w:bottom w:val="single" w:sz="4" w:space="0" w:color="auto"/>
              <w:right w:val="nil"/>
            </w:tcBorders>
            <w:shd w:val="clear" w:color="auto" w:fill="auto"/>
            <w:noWrap/>
            <w:vAlign w:val="center"/>
          </w:tcPr>
          <w:p w14:paraId="4F904483" w14:textId="77777777" w:rsidR="0074644B" w:rsidRPr="00BB54DF" w:rsidRDefault="0074644B" w:rsidP="007340D2">
            <w:pPr>
              <w:spacing w:after="0"/>
              <w:jc w:val="center"/>
              <w:rPr>
                <w:rFonts w:ascii="Times New Roman" w:hAnsi="Times New Roman"/>
                <w:b/>
                <w:sz w:val="16"/>
                <w:szCs w:val="16"/>
                <w:lang w:eastAsia="en-GB"/>
              </w:rPr>
            </w:pPr>
            <w:r w:rsidRPr="00BB54DF">
              <w:rPr>
                <w:rFonts w:ascii="Times New Roman" w:hAnsi="Times New Roman"/>
                <w:b/>
                <w:sz w:val="16"/>
                <w:szCs w:val="16"/>
                <w:lang w:eastAsia="en-GB"/>
              </w:rPr>
              <w:t>CPRD</w:t>
            </w:r>
          </w:p>
        </w:tc>
        <w:tc>
          <w:tcPr>
            <w:tcW w:w="2093" w:type="pct"/>
            <w:gridSpan w:val="7"/>
            <w:tcBorders>
              <w:top w:val="nil"/>
              <w:left w:val="single" w:sz="4" w:space="0" w:color="auto"/>
              <w:bottom w:val="single" w:sz="4" w:space="0" w:color="auto"/>
              <w:right w:val="nil"/>
            </w:tcBorders>
            <w:vAlign w:val="center"/>
          </w:tcPr>
          <w:p w14:paraId="6CA13BA4" w14:textId="77777777" w:rsidR="0074644B" w:rsidRPr="00BB54DF" w:rsidRDefault="0074644B" w:rsidP="007340D2">
            <w:pPr>
              <w:spacing w:after="0"/>
              <w:jc w:val="center"/>
              <w:rPr>
                <w:rFonts w:ascii="Times New Roman" w:hAnsi="Times New Roman"/>
                <w:b/>
                <w:sz w:val="16"/>
                <w:szCs w:val="16"/>
                <w:lang w:eastAsia="en-GB"/>
              </w:rPr>
            </w:pPr>
            <w:r w:rsidRPr="00BB54DF">
              <w:rPr>
                <w:rFonts w:ascii="Times New Roman" w:hAnsi="Times New Roman"/>
                <w:b/>
                <w:sz w:val="16"/>
                <w:szCs w:val="16"/>
                <w:lang w:eastAsia="en-GB"/>
              </w:rPr>
              <w:t>SIDIAP</w:t>
            </w:r>
          </w:p>
        </w:tc>
      </w:tr>
      <w:tr w:rsidR="0074644B" w:rsidRPr="00BB54DF" w14:paraId="6C56A87C" w14:textId="77777777" w:rsidTr="007340D2">
        <w:trPr>
          <w:trHeight w:val="227"/>
          <w:tblHeader/>
        </w:trPr>
        <w:tc>
          <w:tcPr>
            <w:tcW w:w="789" w:type="pct"/>
            <w:tcBorders>
              <w:top w:val="nil"/>
              <w:left w:val="nil"/>
              <w:bottom w:val="single" w:sz="4" w:space="0" w:color="auto"/>
              <w:right w:val="single" w:sz="4" w:space="0" w:color="auto"/>
            </w:tcBorders>
            <w:shd w:val="clear" w:color="auto" w:fill="auto"/>
            <w:noWrap/>
            <w:vAlign w:val="center"/>
          </w:tcPr>
          <w:p w14:paraId="604E6C7E" w14:textId="77777777" w:rsidR="0074644B" w:rsidRPr="00BB54DF" w:rsidRDefault="0074644B" w:rsidP="007340D2">
            <w:pPr>
              <w:spacing w:after="0"/>
              <w:jc w:val="center"/>
              <w:rPr>
                <w:rFonts w:ascii="Times New Roman" w:hAnsi="Times New Roman"/>
                <w:b/>
                <w:sz w:val="16"/>
                <w:szCs w:val="16"/>
                <w:lang w:eastAsia="en-GB"/>
              </w:rPr>
            </w:pPr>
          </w:p>
        </w:tc>
        <w:tc>
          <w:tcPr>
            <w:tcW w:w="1058" w:type="pct"/>
            <w:gridSpan w:val="2"/>
            <w:tcBorders>
              <w:top w:val="nil"/>
              <w:left w:val="single" w:sz="4" w:space="0" w:color="auto"/>
              <w:bottom w:val="single" w:sz="4" w:space="0" w:color="auto"/>
              <w:right w:val="nil"/>
            </w:tcBorders>
            <w:shd w:val="clear" w:color="auto" w:fill="auto"/>
            <w:noWrap/>
            <w:vAlign w:val="center"/>
          </w:tcPr>
          <w:p w14:paraId="3BA509AC" w14:textId="77777777" w:rsidR="0074644B" w:rsidRPr="00BB54DF" w:rsidRDefault="0074644B" w:rsidP="007340D2">
            <w:pPr>
              <w:spacing w:after="0"/>
              <w:jc w:val="center"/>
              <w:rPr>
                <w:rFonts w:ascii="Times New Roman" w:hAnsi="Times New Roman"/>
                <w:b/>
                <w:sz w:val="16"/>
                <w:szCs w:val="16"/>
                <w:lang w:eastAsia="en-GB"/>
              </w:rPr>
            </w:pPr>
            <w:r w:rsidRPr="00BB54DF">
              <w:rPr>
                <w:rFonts w:ascii="Times New Roman" w:hAnsi="Times New Roman"/>
                <w:b/>
                <w:sz w:val="16"/>
                <w:szCs w:val="16"/>
                <w:lang w:eastAsia="en-GB"/>
              </w:rPr>
              <w:t xml:space="preserve">Before matching, </w:t>
            </w:r>
          </w:p>
          <w:p w14:paraId="4570E001" w14:textId="77777777" w:rsidR="0074644B" w:rsidRPr="00BB54DF" w:rsidRDefault="0074644B" w:rsidP="007340D2">
            <w:pPr>
              <w:spacing w:after="0"/>
              <w:jc w:val="center"/>
              <w:rPr>
                <w:rFonts w:ascii="Times New Roman" w:hAnsi="Times New Roman"/>
                <w:b/>
                <w:sz w:val="16"/>
                <w:szCs w:val="16"/>
                <w:lang w:eastAsia="en-GB"/>
              </w:rPr>
            </w:pPr>
            <w:r w:rsidRPr="00BB54DF">
              <w:rPr>
                <w:rFonts w:ascii="Times New Roman" w:hAnsi="Times New Roman"/>
                <w:b/>
                <w:sz w:val="16"/>
                <w:szCs w:val="16"/>
                <w:lang w:eastAsia="en-GB"/>
              </w:rPr>
              <w:t>after imputation</w:t>
            </w:r>
          </w:p>
        </w:tc>
        <w:tc>
          <w:tcPr>
            <w:tcW w:w="1060" w:type="pct"/>
            <w:gridSpan w:val="2"/>
            <w:tcBorders>
              <w:top w:val="nil"/>
              <w:left w:val="nil"/>
              <w:bottom w:val="single" w:sz="4" w:space="0" w:color="auto"/>
              <w:right w:val="single" w:sz="4" w:space="0" w:color="auto"/>
            </w:tcBorders>
            <w:shd w:val="clear" w:color="auto" w:fill="auto"/>
            <w:vAlign w:val="center"/>
          </w:tcPr>
          <w:p w14:paraId="164E5C02" w14:textId="77777777" w:rsidR="0074644B" w:rsidRPr="00BB54DF" w:rsidRDefault="0074644B" w:rsidP="007340D2">
            <w:pPr>
              <w:spacing w:after="0"/>
              <w:jc w:val="center"/>
              <w:rPr>
                <w:rFonts w:ascii="Times New Roman" w:hAnsi="Times New Roman"/>
                <w:b/>
                <w:sz w:val="16"/>
                <w:szCs w:val="16"/>
                <w:lang w:eastAsia="en-GB"/>
              </w:rPr>
            </w:pPr>
            <w:r w:rsidRPr="00BB54DF">
              <w:rPr>
                <w:rFonts w:ascii="Times New Roman" w:hAnsi="Times New Roman"/>
                <w:b/>
                <w:sz w:val="16"/>
                <w:szCs w:val="16"/>
                <w:lang w:eastAsia="en-GB"/>
              </w:rPr>
              <w:t>After matching</w:t>
            </w:r>
          </w:p>
        </w:tc>
        <w:tc>
          <w:tcPr>
            <w:tcW w:w="1055" w:type="pct"/>
            <w:gridSpan w:val="4"/>
            <w:tcBorders>
              <w:top w:val="nil"/>
              <w:left w:val="single" w:sz="4" w:space="0" w:color="auto"/>
              <w:bottom w:val="single" w:sz="4" w:space="0" w:color="auto"/>
              <w:right w:val="nil"/>
            </w:tcBorders>
            <w:shd w:val="clear" w:color="auto" w:fill="auto"/>
            <w:vAlign w:val="center"/>
          </w:tcPr>
          <w:p w14:paraId="572C83CE" w14:textId="77777777" w:rsidR="0074644B" w:rsidRPr="00BB54DF" w:rsidRDefault="0074644B" w:rsidP="007340D2">
            <w:pPr>
              <w:spacing w:after="0"/>
              <w:jc w:val="center"/>
              <w:rPr>
                <w:rFonts w:ascii="Times New Roman" w:hAnsi="Times New Roman"/>
                <w:b/>
                <w:sz w:val="16"/>
                <w:szCs w:val="16"/>
                <w:lang w:eastAsia="en-GB"/>
              </w:rPr>
            </w:pPr>
            <w:r w:rsidRPr="00BB54DF">
              <w:rPr>
                <w:rFonts w:ascii="Times New Roman" w:hAnsi="Times New Roman"/>
                <w:b/>
                <w:sz w:val="16"/>
                <w:szCs w:val="16"/>
                <w:lang w:eastAsia="en-GB"/>
              </w:rPr>
              <w:t xml:space="preserve">Before matching, </w:t>
            </w:r>
          </w:p>
          <w:p w14:paraId="61C94FD3" w14:textId="77777777" w:rsidR="0074644B" w:rsidRPr="00BB54DF" w:rsidRDefault="0074644B" w:rsidP="007340D2">
            <w:pPr>
              <w:spacing w:after="0"/>
              <w:jc w:val="center"/>
              <w:rPr>
                <w:rFonts w:ascii="Times New Roman" w:hAnsi="Times New Roman"/>
                <w:b/>
                <w:sz w:val="16"/>
                <w:szCs w:val="16"/>
                <w:lang w:eastAsia="en-GB"/>
              </w:rPr>
            </w:pPr>
            <w:r w:rsidRPr="00BB54DF">
              <w:rPr>
                <w:rFonts w:ascii="Times New Roman" w:hAnsi="Times New Roman"/>
                <w:b/>
                <w:sz w:val="16"/>
                <w:szCs w:val="16"/>
                <w:lang w:eastAsia="en-GB"/>
              </w:rPr>
              <w:t>after imputation</w:t>
            </w:r>
          </w:p>
        </w:tc>
        <w:tc>
          <w:tcPr>
            <w:tcW w:w="1038" w:type="pct"/>
            <w:gridSpan w:val="3"/>
            <w:tcBorders>
              <w:top w:val="nil"/>
              <w:left w:val="nil"/>
              <w:bottom w:val="single" w:sz="4" w:space="0" w:color="auto"/>
              <w:right w:val="nil"/>
            </w:tcBorders>
            <w:shd w:val="clear" w:color="auto" w:fill="auto"/>
            <w:vAlign w:val="center"/>
          </w:tcPr>
          <w:p w14:paraId="03083144" w14:textId="77777777" w:rsidR="0074644B" w:rsidRPr="00BB54DF" w:rsidRDefault="0074644B" w:rsidP="007340D2">
            <w:pPr>
              <w:spacing w:after="0"/>
              <w:jc w:val="center"/>
              <w:rPr>
                <w:rFonts w:ascii="Times New Roman" w:hAnsi="Times New Roman"/>
                <w:b/>
                <w:sz w:val="16"/>
                <w:szCs w:val="16"/>
                <w:lang w:eastAsia="en-GB"/>
              </w:rPr>
            </w:pPr>
            <w:r w:rsidRPr="00BB54DF">
              <w:rPr>
                <w:rFonts w:ascii="Times New Roman" w:hAnsi="Times New Roman"/>
                <w:b/>
                <w:sz w:val="16"/>
                <w:szCs w:val="16"/>
                <w:lang w:eastAsia="en-GB"/>
              </w:rPr>
              <w:t>After matching</w:t>
            </w:r>
          </w:p>
        </w:tc>
      </w:tr>
      <w:tr w:rsidR="0074644B" w:rsidRPr="00BB54DF" w14:paraId="3830C5E0" w14:textId="77777777" w:rsidTr="007340D2">
        <w:trPr>
          <w:trHeight w:val="227"/>
          <w:tblHeader/>
        </w:trPr>
        <w:tc>
          <w:tcPr>
            <w:tcW w:w="789" w:type="pct"/>
            <w:tcBorders>
              <w:top w:val="nil"/>
              <w:left w:val="nil"/>
              <w:bottom w:val="single" w:sz="4" w:space="0" w:color="auto"/>
              <w:right w:val="single" w:sz="4" w:space="0" w:color="auto"/>
            </w:tcBorders>
            <w:shd w:val="clear" w:color="auto" w:fill="auto"/>
            <w:noWrap/>
            <w:vAlign w:val="center"/>
            <w:hideMark/>
          </w:tcPr>
          <w:p w14:paraId="538A9263" w14:textId="77777777" w:rsidR="0074644B" w:rsidRPr="00BB54DF" w:rsidRDefault="0074644B" w:rsidP="007340D2">
            <w:pPr>
              <w:spacing w:after="0"/>
              <w:jc w:val="center"/>
              <w:rPr>
                <w:rFonts w:ascii="Times New Roman" w:hAnsi="Times New Roman"/>
                <w:b/>
                <w:bCs/>
                <w:sz w:val="16"/>
                <w:szCs w:val="16"/>
                <w:lang w:eastAsia="en-GB"/>
              </w:rPr>
            </w:pPr>
            <w:r w:rsidRPr="00BB54DF">
              <w:rPr>
                <w:rFonts w:ascii="Times New Roman" w:hAnsi="Times New Roman"/>
                <w:b/>
                <w:bCs/>
                <w:sz w:val="16"/>
                <w:szCs w:val="16"/>
                <w:lang w:eastAsia="en-GB"/>
              </w:rPr>
              <w:t>Category</w:t>
            </w:r>
          </w:p>
        </w:tc>
        <w:tc>
          <w:tcPr>
            <w:tcW w:w="529" w:type="pct"/>
            <w:tcBorders>
              <w:top w:val="nil"/>
              <w:left w:val="single" w:sz="4" w:space="0" w:color="auto"/>
              <w:bottom w:val="single" w:sz="4" w:space="0" w:color="auto"/>
              <w:right w:val="nil"/>
            </w:tcBorders>
            <w:shd w:val="clear" w:color="auto" w:fill="auto"/>
            <w:noWrap/>
            <w:vAlign w:val="center"/>
            <w:hideMark/>
          </w:tcPr>
          <w:p w14:paraId="061EBBC2" w14:textId="77777777" w:rsidR="0074644B" w:rsidRPr="00BB54DF" w:rsidRDefault="0074644B" w:rsidP="007340D2">
            <w:pPr>
              <w:spacing w:after="0"/>
              <w:jc w:val="center"/>
              <w:rPr>
                <w:rFonts w:ascii="Times New Roman" w:hAnsi="Times New Roman"/>
                <w:b/>
                <w:sz w:val="16"/>
                <w:szCs w:val="16"/>
                <w:lang w:eastAsia="en-GB"/>
              </w:rPr>
            </w:pPr>
            <w:r w:rsidRPr="00BB54DF">
              <w:rPr>
                <w:rFonts w:ascii="Times New Roman" w:hAnsi="Times New Roman"/>
                <w:b/>
                <w:sz w:val="16"/>
                <w:szCs w:val="16"/>
                <w:lang w:eastAsia="en-GB"/>
              </w:rPr>
              <w:t>Non-BP</w:t>
            </w:r>
          </w:p>
        </w:tc>
        <w:tc>
          <w:tcPr>
            <w:tcW w:w="529" w:type="pct"/>
            <w:tcBorders>
              <w:top w:val="nil"/>
              <w:left w:val="nil"/>
              <w:bottom w:val="single" w:sz="4" w:space="0" w:color="auto"/>
              <w:right w:val="nil"/>
            </w:tcBorders>
            <w:shd w:val="clear" w:color="auto" w:fill="auto"/>
            <w:noWrap/>
            <w:vAlign w:val="center"/>
            <w:hideMark/>
          </w:tcPr>
          <w:p w14:paraId="6415A225" w14:textId="77777777" w:rsidR="0074644B" w:rsidRPr="00BB54DF" w:rsidRDefault="0074644B" w:rsidP="007340D2">
            <w:pPr>
              <w:spacing w:after="0"/>
              <w:jc w:val="center"/>
              <w:rPr>
                <w:rFonts w:ascii="Times New Roman" w:hAnsi="Times New Roman"/>
                <w:b/>
                <w:sz w:val="16"/>
                <w:szCs w:val="16"/>
                <w:lang w:eastAsia="en-GB"/>
              </w:rPr>
            </w:pPr>
            <w:r w:rsidRPr="00BB54DF">
              <w:rPr>
                <w:rFonts w:ascii="Times New Roman" w:hAnsi="Times New Roman"/>
                <w:b/>
                <w:sz w:val="16"/>
                <w:szCs w:val="16"/>
                <w:lang w:eastAsia="en-GB"/>
              </w:rPr>
              <w:t>BP</w:t>
            </w:r>
          </w:p>
        </w:tc>
        <w:tc>
          <w:tcPr>
            <w:tcW w:w="530" w:type="pct"/>
            <w:tcBorders>
              <w:top w:val="nil"/>
              <w:left w:val="nil"/>
              <w:bottom w:val="single" w:sz="4" w:space="0" w:color="auto"/>
              <w:right w:val="nil"/>
            </w:tcBorders>
            <w:shd w:val="clear" w:color="auto" w:fill="auto"/>
            <w:vAlign w:val="center"/>
          </w:tcPr>
          <w:p w14:paraId="2CFA46C6" w14:textId="77777777" w:rsidR="0074644B" w:rsidRPr="00BB54DF" w:rsidRDefault="0074644B" w:rsidP="007340D2">
            <w:pPr>
              <w:spacing w:after="0"/>
              <w:jc w:val="center"/>
              <w:rPr>
                <w:rFonts w:ascii="Times New Roman" w:hAnsi="Times New Roman"/>
                <w:b/>
                <w:sz w:val="16"/>
                <w:szCs w:val="16"/>
                <w:lang w:eastAsia="en-GB"/>
              </w:rPr>
            </w:pPr>
            <w:r w:rsidRPr="00BB54DF">
              <w:rPr>
                <w:rFonts w:ascii="Times New Roman" w:hAnsi="Times New Roman"/>
                <w:b/>
                <w:sz w:val="16"/>
                <w:szCs w:val="16"/>
                <w:lang w:eastAsia="en-GB"/>
              </w:rPr>
              <w:t>Non-BP</w:t>
            </w:r>
          </w:p>
        </w:tc>
        <w:tc>
          <w:tcPr>
            <w:tcW w:w="530" w:type="pct"/>
            <w:tcBorders>
              <w:top w:val="nil"/>
              <w:left w:val="nil"/>
              <w:bottom w:val="single" w:sz="4" w:space="0" w:color="auto"/>
              <w:right w:val="single" w:sz="4" w:space="0" w:color="auto"/>
            </w:tcBorders>
            <w:shd w:val="clear" w:color="auto" w:fill="auto"/>
            <w:vAlign w:val="center"/>
          </w:tcPr>
          <w:p w14:paraId="1879F1E6" w14:textId="77777777" w:rsidR="0074644B" w:rsidRPr="00BB54DF" w:rsidRDefault="0074644B" w:rsidP="007340D2">
            <w:pPr>
              <w:spacing w:after="0"/>
              <w:jc w:val="center"/>
              <w:rPr>
                <w:rFonts w:ascii="Times New Roman" w:hAnsi="Times New Roman"/>
                <w:b/>
                <w:sz w:val="16"/>
                <w:szCs w:val="16"/>
                <w:lang w:eastAsia="en-GB"/>
              </w:rPr>
            </w:pPr>
            <w:r w:rsidRPr="00BB54DF">
              <w:rPr>
                <w:rFonts w:ascii="Times New Roman" w:hAnsi="Times New Roman"/>
                <w:b/>
                <w:sz w:val="16"/>
                <w:szCs w:val="16"/>
                <w:lang w:eastAsia="en-GB"/>
              </w:rPr>
              <w:t>BP</w:t>
            </w:r>
          </w:p>
        </w:tc>
        <w:tc>
          <w:tcPr>
            <w:tcW w:w="527" w:type="pct"/>
            <w:gridSpan w:val="2"/>
            <w:tcBorders>
              <w:top w:val="nil"/>
              <w:left w:val="single" w:sz="4" w:space="0" w:color="auto"/>
              <w:bottom w:val="single" w:sz="4" w:space="0" w:color="auto"/>
              <w:right w:val="nil"/>
            </w:tcBorders>
            <w:shd w:val="clear" w:color="auto" w:fill="auto"/>
            <w:vAlign w:val="center"/>
          </w:tcPr>
          <w:p w14:paraId="1941C179" w14:textId="77777777" w:rsidR="0074644B" w:rsidRPr="00BB54DF" w:rsidRDefault="0074644B" w:rsidP="007340D2">
            <w:pPr>
              <w:spacing w:after="0"/>
              <w:jc w:val="center"/>
              <w:rPr>
                <w:rFonts w:ascii="Times New Roman" w:hAnsi="Times New Roman"/>
                <w:b/>
                <w:sz w:val="16"/>
                <w:szCs w:val="16"/>
                <w:lang w:eastAsia="en-GB"/>
              </w:rPr>
            </w:pPr>
            <w:r w:rsidRPr="00BB54DF">
              <w:rPr>
                <w:rFonts w:ascii="Times New Roman" w:hAnsi="Times New Roman"/>
                <w:b/>
                <w:sz w:val="16"/>
                <w:szCs w:val="16"/>
                <w:lang w:eastAsia="en-GB"/>
              </w:rPr>
              <w:t>Non-BP</w:t>
            </w:r>
          </w:p>
        </w:tc>
        <w:tc>
          <w:tcPr>
            <w:tcW w:w="528" w:type="pct"/>
            <w:gridSpan w:val="2"/>
            <w:tcBorders>
              <w:top w:val="nil"/>
              <w:left w:val="nil"/>
              <w:bottom w:val="single" w:sz="4" w:space="0" w:color="auto"/>
              <w:right w:val="nil"/>
            </w:tcBorders>
            <w:shd w:val="clear" w:color="auto" w:fill="auto"/>
            <w:vAlign w:val="center"/>
          </w:tcPr>
          <w:p w14:paraId="0AA80C49" w14:textId="77777777" w:rsidR="0074644B" w:rsidRPr="00BB54DF" w:rsidRDefault="0074644B" w:rsidP="007340D2">
            <w:pPr>
              <w:spacing w:after="0"/>
              <w:jc w:val="center"/>
              <w:rPr>
                <w:rFonts w:ascii="Times New Roman" w:hAnsi="Times New Roman"/>
                <w:b/>
                <w:sz w:val="16"/>
                <w:szCs w:val="16"/>
                <w:lang w:eastAsia="en-GB"/>
              </w:rPr>
            </w:pPr>
            <w:r w:rsidRPr="00BB54DF">
              <w:rPr>
                <w:rFonts w:ascii="Times New Roman" w:hAnsi="Times New Roman"/>
                <w:b/>
                <w:sz w:val="16"/>
                <w:szCs w:val="16"/>
                <w:lang w:eastAsia="en-GB"/>
              </w:rPr>
              <w:t>BP</w:t>
            </w:r>
          </w:p>
        </w:tc>
        <w:tc>
          <w:tcPr>
            <w:tcW w:w="527" w:type="pct"/>
            <w:gridSpan w:val="2"/>
            <w:tcBorders>
              <w:top w:val="nil"/>
              <w:left w:val="nil"/>
              <w:bottom w:val="single" w:sz="4" w:space="0" w:color="auto"/>
              <w:right w:val="nil"/>
            </w:tcBorders>
            <w:shd w:val="clear" w:color="auto" w:fill="auto"/>
            <w:vAlign w:val="center"/>
          </w:tcPr>
          <w:p w14:paraId="6BEC1160" w14:textId="77777777" w:rsidR="0074644B" w:rsidRPr="00BB54DF" w:rsidRDefault="0074644B" w:rsidP="007340D2">
            <w:pPr>
              <w:spacing w:after="0"/>
              <w:jc w:val="center"/>
              <w:rPr>
                <w:rFonts w:ascii="Times New Roman" w:hAnsi="Times New Roman"/>
                <w:b/>
                <w:sz w:val="16"/>
                <w:szCs w:val="16"/>
                <w:lang w:eastAsia="en-GB"/>
              </w:rPr>
            </w:pPr>
            <w:r w:rsidRPr="00BB54DF">
              <w:rPr>
                <w:rFonts w:ascii="Times New Roman" w:hAnsi="Times New Roman"/>
                <w:b/>
                <w:sz w:val="16"/>
                <w:szCs w:val="16"/>
                <w:lang w:eastAsia="en-GB"/>
              </w:rPr>
              <w:t>Non-BP</w:t>
            </w:r>
          </w:p>
        </w:tc>
        <w:tc>
          <w:tcPr>
            <w:tcW w:w="512" w:type="pct"/>
            <w:tcBorders>
              <w:top w:val="nil"/>
              <w:left w:val="nil"/>
              <w:bottom w:val="single" w:sz="4" w:space="0" w:color="auto"/>
              <w:right w:val="nil"/>
            </w:tcBorders>
            <w:shd w:val="clear" w:color="auto" w:fill="auto"/>
            <w:vAlign w:val="center"/>
          </w:tcPr>
          <w:p w14:paraId="5A638D4E" w14:textId="77777777" w:rsidR="0074644B" w:rsidRPr="00BB54DF" w:rsidRDefault="0074644B" w:rsidP="007340D2">
            <w:pPr>
              <w:spacing w:after="0"/>
              <w:jc w:val="center"/>
              <w:rPr>
                <w:rFonts w:ascii="Times New Roman" w:hAnsi="Times New Roman"/>
                <w:b/>
                <w:sz w:val="16"/>
                <w:szCs w:val="16"/>
                <w:lang w:eastAsia="en-GB"/>
              </w:rPr>
            </w:pPr>
            <w:r w:rsidRPr="00BB54DF">
              <w:rPr>
                <w:rFonts w:ascii="Times New Roman" w:hAnsi="Times New Roman"/>
                <w:b/>
                <w:sz w:val="16"/>
                <w:szCs w:val="16"/>
                <w:lang w:eastAsia="en-GB"/>
              </w:rPr>
              <w:t>BP</w:t>
            </w:r>
          </w:p>
        </w:tc>
      </w:tr>
      <w:tr w:rsidR="0074644B" w:rsidRPr="00BB54DF" w14:paraId="11D676D4" w14:textId="77777777" w:rsidTr="007340D2">
        <w:trPr>
          <w:trHeight w:val="227"/>
        </w:trPr>
        <w:tc>
          <w:tcPr>
            <w:tcW w:w="789" w:type="pct"/>
            <w:tcBorders>
              <w:top w:val="single" w:sz="4" w:space="0" w:color="auto"/>
              <w:left w:val="nil"/>
              <w:bottom w:val="nil"/>
              <w:right w:val="single" w:sz="4" w:space="0" w:color="auto"/>
            </w:tcBorders>
            <w:shd w:val="clear" w:color="auto" w:fill="auto"/>
            <w:noWrap/>
            <w:vAlign w:val="center"/>
            <w:hideMark/>
          </w:tcPr>
          <w:p w14:paraId="4223E25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Number</w:t>
            </w:r>
          </w:p>
        </w:tc>
        <w:tc>
          <w:tcPr>
            <w:tcW w:w="529" w:type="pct"/>
            <w:tcBorders>
              <w:top w:val="single" w:sz="4" w:space="0" w:color="auto"/>
              <w:left w:val="single" w:sz="4" w:space="0" w:color="auto"/>
              <w:bottom w:val="nil"/>
              <w:right w:val="nil"/>
            </w:tcBorders>
            <w:shd w:val="clear" w:color="auto" w:fill="auto"/>
            <w:noWrap/>
            <w:vAlign w:val="center"/>
          </w:tcPr>
          <w:p w14:paraId="75AFE84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53,986</w:t>
            </w:r>
          </w:p>
        </w:tc>
        <w:tc>
          <w:tcPr>
            <w:tcW w:w="529" w:type="pct"/>
            <w:tcBorders>
              <w:top w:val="single" w:sz="4" w:space="0" w:color="auto"/>
              <w:left w:val="nil"/>
              <w:bottom w:val="nil"/>
              <w:right w:val="nil"/>
            </w:tcBorders>
            <w:shd w:val="clear" w:color="auto" w:fill="auto"/>
            <w:noWrap/>
            <w:vAlign w:val="center"/>
          </w:tcPr>
          <w:p w14:paraId="786E7AC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2,613</w:t>
            </w:r>
          </w:p>
        </w:tc>
        <w:tc>
          <w:tcPr>
            <w:tcW w:w="530" w:type="pct"/>
            <w:tcBorders>
              <w:top w:val="single" w:sz="4" w:space="0" w:color="auto"/>
              <w:left w:val="nil"/>
              <w:bottom w:val="nil"/>
              <w:right w:val="nil"/>
            </w:tcBorders>
            <w:shd w:val="clear" w:color="auto" w:fill="auto"/>
            <w:vAlign w:val="center"/>
          </w:tcPr>
          <w:p w14:paraId="41690AB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8,931</w:t>
            </w:r>
          </w:p>
        </w:tc>
        <w:tc>
          <w:tcPr>
            <w:tcW w:w="530" w:type="pct"/>
            <w:tcBorders>
              <w:top w:val="single" w:sz="4" w:space="0" w:color="auto"/>
              <w:left w:val="nil"/>
              <w:bottom w:val="nil"/>
              <w:right w:val="single" w:sz="4" w:space="0" w:color="auto"/>
            </w:tcBorders>
            <w:shd w:val="clear" w:color="auto" w:fill="auto"/>
            <w:vAlign w:val="center"/>
          </w:tcPr>
          <w:p w14:paraId="75CD1A5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2,447</w:t>
            </w:r>
          </w:p>
        </w:tc>
        <w:tc>
          <w:tcPr>
            <w:tcW w:w="522" w:type="pct"/>
            <w:tcBorders>
              <w:left w:val="single" w:sz="4" w:space="0" w:color="auto"/>
              <w:right w:val="nil"/>
            </w:tcBorders>
            <w:shd w:val="clear" w:color="auto" w:fill="auto"/>
            <w:vAlign w:val="center"/>
          </w:tcPr>
          <w:p w14:paraId="58798D1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40,800</w:t>
            </w:r>
          </w:p>
        </w:tc>
        <w:tc>
          <w:tcPr>
            <w:tcW w:w="524" w:type="pct"/>
            <w:gridSpan w:val="2"/>
            <w:tcBorders>
              <w:left w:val="nil"/>
              <w:right w:val="nil"/>
            </w:tcBorders>
            <w:shd w:val="clear" w:color="auto" w:fill="auto"/>
            <w:vAlign w:val="center"/>
          </w:tcPr>
          <w:p w14:paraId="4A25CE5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1,408</w:t>
            </w:r>
          </w:p>
        </w:tc>
        <w:tc>
          <w:tcPr>
            <w:tcW w:w="523" w:type="pct"/>
            <w:gridSpan w:val="2"/>
            <w:tcBorders>
              <w:left w:val="nil"/>
              <w:right w:val="nil"/>
            </w:tcBorders>
            <w:shd w:val="clear" w:color="auto" w:fill="auto"/>
            <w:vAlign w:val="center"/>
          </w:tcPr>
          <w:p w14:paraId="276ADC6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6,547</w:t>
            </w:r>
          </w:p>
        </w:tc>
        <w:tc>
          <w:tcPr>
            <w:tcW w:w="524" w:type="pct"/>
            <w:gridSpan w:val="2"/>
            <w:tcBorders>
              <w:left w:val="nil"/>
              <w:right w:val="nil"/>
            </w:tcBorders>
            <w:shd w:val="clear" w:color="auto" w:fill="auto"/>
            <w:vAlign w:val="center"/>
          </w:tcPr>
          <w:p w14:paraId="4995C5E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1,399</w:t>
            </w:r>
          </w:p>
        </w:tc>
      </w:tr>
      <w:tr w:rsidR="0074644B" w:rsidRPr="00BB54DF" w14:paraId="49088F2B"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6B996E2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Age (mean, SD)</w:t>
            </w:r>
          </w:p>
        </w:tc>
        <w:tc>
          <w:tcPr>
            <w:tcW w:w="529" w:type="pct"/>
            <w:tcBorders>
              <w:top w:val="nil"/>
              <w:left w:val="single" w:sz="4" w:space="0" w:color="auto"/>
              <w:bottom w:val="nil"/>
              <w:right w:val="nil"/>
            </w:tcBorders>
            <w:shd w:val="clear" w:color="auto" w:fill="auto"/>
            <w:noWrap/>
            <w:vAlign w:val="center"/>
          </w:tcPr>
          <w:p w14:paraId="7824489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77.6 (9.8)</w:t>
            </w:r>
          </w:p>
        </w:tc>
        <w:tc>
          <w:tcPr>
            <w:tcW w:w="529" w:type="pct"/>
            <w:tcBorders>
              <w:top w:val="nil"/>
              <w:left w:val="nil"/>
              <w:bottom w:val="nil"/>
              <w:right w:val="nil"/>
            </w:tcBorders>
            <w:shd w:val="clear" w:color="auto" w:fill="auto"/>
            <w:noWrap/>
            <w:vAlign w:val="center"/>
          </w:tcPr>
          <w:p w14:paraId="2301316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80.6 (8.8)</w:t>
            </w:r>
          </w:p>
        </w:tc>
        <w:tc>
          <w:tcPr>
            <w:tcW w:w="530" w:type="pct"/>
            <w:tcBorders>
              <w:top w:val="nil"/>
              <w:left w:val="nil"/>
              <w:bottom w:val="nil"/>
              <w:right w:val="nil"/>
            </w:tcBorders>
            <w:shd w:val="clear" w:color="auto" w:fill="auto"/>
            <w:vAlign w:val="center"/>
          </w:tcPr>
          <w:p w14:paraId="7FD11BF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80.3 (9.1)</w:t>
            </w:r>
          </w:p>
        </w:tc>
        <w:tc>
          <w:tcPr>
            <w:tcW w:w="530" w:type="pct"/>
            <w:tcBorders>
              <w:top w:val="nil"/>
              <w:left w:val="nil"/>
              <w:bottom w:val="nil"/>
              <w:right w:val="single" w:sz="4" w:space="0" w:color="auto"/>
            </w:tcBorders>
            <w:shd w:val="clear" w:color="auto" w:fill="auto"/>
            <w:vAlign w:val="center"/>
          </w:tcPr>
          <w:p w14:paraId="142A29D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80.4 (8.8)</w:t>
            </w:r>
          </w:p>
        </w:tc>
        <w:tc>
          <w:tcPr>
            <w:tcW w:w="522" w:type="pct"/>
            <w:tcBorders>
              <w:left w:val="single" w:sz="4" w:space="0" w:color="auto"/>
              <w:right w:val="nil"/>
            </w:tcBorders>
            <w:shd w:val="clear" w:color="auto" w:fill="auto"/>
            <w:vAlign w:val="center"/>
          </w:tcPr>
          <w:p w14:paraId="3093308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78.9 (10.0)</w:t>
            </w:r>
          </w:p>
        </w:tc>
        <w:tc>
          <w:tcPr>
            <w:tcW w:w="524" w:type="pct"/>
            <w:gridSpan w:val="2"/>
            <w:tcBorders>
              <w:left w:val="nil"/>
              <w:right w:val="nil"/>
            </w:tcBorders>
            <w:shd w:val="clear" w:color="auto" w:fill="auto"/>
            <w:vAlign w:val="center"/>
          </w:tcPr>
          <w:p w14:paraId="19B9CA0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78.8 (7.7)</w:t>
            </w:r>
          </w:p>
        </w:tc>
        <w:tc>
          <w:tcPr>
            <w:tcW w:w="523" w:type="pct"/>
            <w:gridSpan w:val="2"/>
            <w:tcBorders>
              <w:left w:val="nil"/>
              <w:right w:val="nil"/>
            </w:tcBorders>
            <w:shd w:val="clear" w:color="auto" w:fill="auto"/>
            <w:vAlign w:val="center"/>
          </w:tcPr>
          <w:p w14:paraId="0788CC6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78.7 (10.0)</w:t>
            </w:r>
          </w:p>
        </w:tc>
        <w:tc>
          <w:tcPr>
            <w:tcW w:w="524" w:type="pct"/>
            <w:gridSpan w:val="2"/>
            <w:tcBorders>
              <w:left w:val="nil"/>
              <w:right w:val="nil"/>
            </w:tcBorders>
            <w:shd w:val="clear" w:color="auto" w:fill="auto"/>
            <w:vAlign w:val="center"/>
          </w:tcPr>
          <w:p w14:paraId="2616856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78.8 (7.7)</w:t>
            </w:r>
          </w:p>
        </w:tc>
      </w:tr>
      <w:tr w:rsidR="0074644B" w:rsidRPr="00BB54DF" w14:paraId="24596FBD"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68693AC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Gender (male) (n, %)</w:t>
            </w:r>
          </w:p>
        </w:tc>
        <w:tc>
          <w:tcPr>
            <w:tcW w:w="529" w:type="pct"/>
            <w:tcBorders>
              <w:top w:val="nil"/>
              <w:left w:val="single" w:sz="4" w:space="0" w:color="auto"/>
              <w:bottom w:val="nil"/>
              <w:right w:val="nil"/>
            </w:tcBorders>
            <w:shd w:val="clear" w:color="auto" w:fill="auto"/>
            <w:noWrap/>
            <w:vAlign w:val="center"/>
          </w:tcPr>
          <w:p w14:paraId="28012CE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23,280 (43.1)</w:t>
            </w:r>
          </w:p>
        </w:tc>
        <w:tc>
          <w:tcPr>
            <w:tcW w:w="529" w:type="pct"/>
            <w:tcBorders>
              <w:top w:val="nil"/>
              <w:left w:val="nil"/>
              <w:bottom w:val="nil"/>
              <w:right w:val="nil"/>
            </w:tcBorders>
            <w:shd w:val="clear" w:color="auto" w:fill="auto"/>
            <w:noWrap/>
            <w:vAlign w:val="center"/>
          </w:tcPr>
          <w:p w14:paraId="502370E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595 (22.8)</w:t>
            </w:r>
          </w:p>
        </w:tc>
        <w:tc>
          <w:tcPr>
            <w:tcW w:w="530" w:type="pct"/>
            <w:tcBorders>
              <w:top w:val="nil"/>
              <w:left w:val="nil"/>
              <w:bottom w:val="nil"/>
              <w:right w:val="nil"/>
            </w:tcBorders>
            <w:shd w:val="clear" w:color="auto" w:fill="auto"/>
            <w:vAlign w:val="center"/>
          </w:tcPr>
          <w:p w14:paraId="7AAE49F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2669 (29.9)</w:t>
            </w:r>
          </w:p>
        </w:tc>
        <w:tc>
          <w:tcPr>
            <w:tcW w:w="530" w:type="pct"/>
            <w:tcBorders>
              <w:top w:val="nil"/>
              <w:left w:val="nil"/>
              <w:bottom w:val="nil"/>
              <w:right w:val="single" w:sz="4" w:space="0" w:color="auto"/>
            </w:tcBorders>
            <w:shd w:val="clear" w:color="auto" w:fill="auto"/>
            <w:vAlign w:val="center"/>
          </w:tcPr>
          <w:p w14:paraId="0B588DF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584 (23.9)</w:t>
            </w:r>
          </w:p>
        </w:tc>
        <w:tc>
          <w:tcPr>
            <w:tcW w:w="522" w:type="pct"/>
            <w:tcBorders>
              <w:left w:val="single" w:sz="4" w:space="0" w:color="auto"/>
              <w:right w:val="nil"/>
            </w:tcBorders>
            <w:shd w:val="clear" w:color="auto" w:fill="auto"/>
            <w:vAlign w:val="center"/>
          </w:tcPr>
          <w:p w14:paraId="5F4AA1F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15,366 (37.7)</w:t>
            </w:r>
          </w:p>
        </w:tc>
        <w:tc>
          <w:tcPr>
            <w:tcW w:w="524" w:type="pct"/>
            <w:gridSpan w:val="2"/>
            <w:tcBorders>
              <w:left w:val="nil"/>
              <w:right w:val="nil"/>
            </w:tcBorders>
            <w:shd w:val="clear" w:color="auto" w:fill="auto"/>
            <w:vAlign w:val="center"/>
          </w:tcPr>
          <w:p w14:paraId="4D34F9F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314 (22.3)</w:t>
            </w:r>
          </w:p>
        </w:tc>
        <w:tc>
          <w:tcPr>
            <w:tcW w:w="523" w:type="pct"/>
            <w:gridSpan w:val="2"/>
            <w:tcBorders>
              <w:left w:val="nil"/>
              <w:right w:val="nil"/>
            </w:tcBorders>
            <w:shd w:val="clear" w:color="auto" w:fill="auto"/>
            <w:vAlign w:val="center"/>
          </w:tcPr>
          <w:p w14:paraId="046571A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1,609 (24.6)</w:t>
            </w:r>
          </w:p>
        </w:tc>
        <w:tc>
          <w:tcPr>
            <w:tcW w:w="524" w:type="pct"/>
            <w:gridSpan w:val="2"/>
            <w:tcBorders>
              <w:left w:val="nil"/>
              <w:right w:val="nil"/>
            </w:tcBorders>
            <w:shd w:val="clear" w:color="auto" w:fill="auto"/>
            <w:vAlign w:val="center"/>
          </w:tcPr>
          <w:p w14:paraId="42C540F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314 (22.4)</w:t>
            </w:r>
          </w:p>
        </w:tc>
      </w:tr>
      <w:tr w:rsidR="0074644B" w:rsidRPr="00BB54DF" w14:paraId="7B04639E"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162067C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Socio-economic deprivation (n, %)</w:t>
            </w:r>
          </w:p>
        </w:tc>
        <w:tc>
          <w:tcPr>
            <w:tcW w:w="529" w:type="pct"/>
            <w:tcBorders>
              <w:top w:val="nil"/>
              <w:left w:val="single" w:sz="4" w:space="0" w:color="auto"/>
              <w:bottom w:val="nil"/>
              <w:right w:val="nil"/>
            </w:tcBorders>
            <w:shd w:val="clear" w:color="auto" w:fill="auto"/>
            <w:noWrap/>
            <w:vAlign w:val="center"/>
          </w:tcPr>
          <w:p w14:paraId="7438EC2A" w14:textId="77777777" w:rsidR="0074644B" w:rsidRPr="00BB54DF" w:rsidRDefault="0074644B" w:rsidP="007340D2">
            <w:pPr>
              <w:spacing w:after="0"/>
              <w:jc w:val="center"/>
              <w:rPr>
                <w:rFonts w:ascii="Times New Roman" w:hAnsi="Times New Roman"/>
                <w:sz w:val="16"/>
                <w:szCs w:val="16"/>
                <w:lang w:eastAsia="en-GB"/>
              </w:rPr>
            </w:pPr>
          </w:p>
        </w:tc>
        <w:tc>
          <w:tcPr>
            <w:tcW w:w="529" w:type="pct"/>
            <w:tcBorders>
              <w:top w:val="nil"/>
              <w:left w:val="nil"/>
              <w:bottom w:val="nil"/>
              <w:right w:val="nil"/>
            </w:tcBorders>
            <w:shd w:val="clear" w:color="auto" w:fill="auto"/>
            <w:noWrap/>
            <w:vAlign w:val="center"/>
          </w:tcPr>
          <w:p w14:paraId="46C90909" w14:textId="77777777" w:rsidR="0074644B" w:rsidRPr="00BB54DF" w:rsidRDefault="0074644B" w:rsidP="007340D2">
            <w:pPr>
              <w:spacing w:after="0"/>
              <w:jc w:val="center"/>
              <w:rPr>
                <w:rFonts w:ascii="Times New Roman" w:hAnsi="Times New Roman"/>
                <w:sz w:val="16"/>
                <w:szCs w:val="16"/>
                <w:lang w:eastAsia="en-GB"/>
              </w:rPr>
            </w:pPr>
          </w:p>
        </w:tc>
        <w:tc>
          <w:tcPr>
            <w:tcW w:w="530" w:type="pct"/>
            <w:tcBorders>
              <w:top w:val="nil"/>
              <w:left w:val="nil"/>
              <w:bottom w:val="nil"/>
              <w:right w:val="nil"/>
            </w:tcBorders>
            <w:shd w:val="clear" w:color="auto" w:fill="auto"/>
            <w:vAlign w:val="center"/>
          </w:tcPr>
          <w:p w14:paraId="296C68D3" w14:textId="77777777" w:rsidR="0074644B" w:rsidRPr="00BB54DF" w:rsidRDefault="0074644B" w:rsidP="007340D2">
            <w:pPr>
              <w:spacing w:after="0"/>
              <w:jc w:val="center"/>
              <w:rPr>
                <w:rFonts w:ascii="Times New Roman" w:hAnsi="Times New Roman"/>
                <w:sz w:val="16"/>
                <w:szCs w:val="16"/>
                <w:lang w:eastAsia="en-GB"/>
              </w:rPr>
            </w:pPr>
          </w:p>
        </w:tc>
        <w:tc>
          <w:tcPr>
            <w:tcW w:w="530" w:type="pct"/>
            <w:tcBorders>
              <w:top w:val="nil"/>
              <w:left w:val="nil"/>
              <w:bottom w:val="nil"/>
              <w:right w:val="single" w:sz="4" w:space="0" w:color="auto"/>
            </w:tcBorders>
            <w:shd w:val="clear" w:color="auto" w:fill="auto"/>
          </w:tcPr>
          <w:p w14:paraId="3EFE363A" w14:textId="77777777" w:rsidR="0074644B" w:rsidRPr="00BB54DF" w:rsidRDefault="0074644B" w:rsidP="007340D2">
            <w:pPr>
              <w:spacing w:after="0"/>
              <w:jc w:val="center"/>
              <w:rPr>
                <w:rFonts w:ascii="Times New Roman" w:hAnsi="Times New Roman"/>
                <w:sz w:val="16"/>
                <w:szCs w:val="16"/>
                <w:lang w:eastAsia="en-GB"/>
              </w:rPr>
            </w:pPr>
          </w:p>
        </w:tc>
        <w:tc>
          <w:tcPr>
            <w:tcW w:w="522" w:type="pct"/>
            <w:tcBorders>
              <w:left w:val="single" w:sz="4" w:space="0" w:color="auto"/>
              <w:right w:val="nil"/>
            </w:tcBorders>
            <w:shd w:val="clear" w:color="auto" w:fill="auto"/>
            <w:vAlign w:val="center"/>
          </w:tcPr>
          <w:p w14:paraId="3973252A" w14:textId="77777777" w:rsidR="0074644B" w:rsidRPr="00BB54DF" w:rsidRDefault="0074644B" w:rsidP="007340D2">
            <w:pPr>
              <w:spacing w:after="0"/>
              <w:jc w:val="center"/>
              <w:rPr>
                <w:rFonts w:ascii="Times New Roman" w:hAnsi="Times New Roman"/>
                <w:sz w:val="16"/>
                <w:szCs w:val="16"/>
                <w:lang w:eastAsia="en-GB"/>
              </w:rPr>
            </w:pPr>
          </w:p>
        </w:tc>
        <w:tc>
          <w:tcPr>
            <w:tcW w:w="524" w:type="pct"/>
            <w:gridSpan w:val="2"/>
            <w:tcBorders>
              <w:left w:val="nil"/>
              <w:right w:val="nil"/>
            </w:tcBorders>
            <w:shd w:val="clear" w:color="auto" w:fill="auto"/>
            <w:vAlign w:val="center"/>
          </w:tcPr>
          <w:p w14:paraId="11658AC9" w14:textId="77777777" w:rsidR="0074644B" w:rsidRPr="00BB54DF" w:rsidRDefault="0074644B" w:rsidP="007340D2">
            <w:pPr>
              <w:spacing w:after="0"/>
              <w:jc w:val="center"/>
              <w:rPr>
                <w:rFonts w:ascii="Times New Roman" w:hAnsi="Times New Roman"/>
                <w:sz w:val="16"/>
                <w:szCs w:val="16"/>
                <w:lang w:eastAsia="en-GB"/>
              </w:rPr>
            </w:pPr>
          </w:p>
        </w:tc>
        <w:tc>
          <w:tcPr>
            <w:tcW w:w="523" w:type="pct"/>
            <w:gridSpan w:val="2"/>
            <w:tcBorders>
              <w:left w:val="nil"/>
              <w:right w:val="nil"/>
            </w:tcBorders>
            <w:shd w:val="clear" w:color="auto" w:fill="auto"/>
            <w:vAlign w:val="center"/>
          </w:tcPr>
          <w:p w14:paraId="7F8A0247" w14:textId="77777777" w:rsidR="0074644B" w:rsidRPr="00BB54DF" w:rsidRDefault="0074644B" w:rsidP="007340D2">
            <w:pPr>
              <w:spacing w:after="0"/>
              <w:jc w:val="center"/>
              <w:rPr>
                <w:rFonts w:ascii="Times New Roman" w:hAnsi="Times New Roman"/>
                <w:sz w:val="16"/>
                <w:szCs w:val="16"/>
                <w:lang w:eastAsia="en-GB"/>
              </w:rPr>
            </w:pPr>
          </w:p>
        </w:tc>
        <w:tc>
          <w:tcPr>
            <w:tcW w:w="524" w:type="pct"/>
            <w:gridSpan w:val="2"/>
            <w:tcBorders>
              <w:left w:val="nil"/>
              <w:right w:val="nil"/>
            </w:tcBorders>
            <w:shd w:val="clear" w:color="auto" w:fill="auto"/>
            <w:vAlign w:val="center"/>
          </w:tcPr>
          <w:p w14:paraId="6C866603" w14:textId="77777777" w:rsidR="0074644B" w:rsidRPr="00BB54DF" w:rsidRDefault="0074644B" w:rsidP="007340D2">
            <w:pPr>
              <w:spacing w:after="0"/>
              <w:jc w:val="center"/>
              <w:rPr>
                <w:rFonts w:ascii="Times New Roman" w:hAnsi="Times New Roman"/>
                <w:sz w:val="16"/>
                <w:szCs w:val="16"/>
                <w:lang w:eastAsia="en-GB"/>
              </w:rPr>
            </w:pPr>
          </w:p>
        </w:tc>
      </w:tr>
      <w:tr w:rsidR="0074644B" w:rsidRPr="00BB54DF" w14:paraId="5D993470"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726E9F3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1 - least deprived</w:t>
            </w:r>
          </w:p>
        </w:tc>
        <w:tc>
          <w:tcPr>
            <w:tcW w:w="529" w:type="pct"/>
            <w:tcBorders>
              <w:top w:val="nil"/>
              <w:left w:val="single" w:sz="4" w:space="0" w:color="auto"/>
              <w:bottom w:val="nil"/>
              <w:right w:val="nil"/>
            </w:tcBorders>
            <w:shd w:val="clear" w:color="auto" w:fill="auto"/>
            <w:noWrap/>
            <w:vAlign w:val="center"/>
          </w:tcPr>
          <w:p w14:paraId="18DE830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11,949 (22.1)</w:t>
            </w:r>
          </w:p>
        </w:tc>
        <w:tc>
          <w:tcPr>
            <w:tcW w:w="529" w:type="pct"/>
            <w:tcBorders>
              <w:top w:val="nil"/>
              <w:left w:val="nil"/>
              <w:bottom w:val="nil"/>
              <w:right w:val="nil"/>
            </w:tcBorders>
            <w:shd w:val="clear" w:color="auto" w:fill="auto"/>
            <w:noWrap/>
            <w:vAlign w:val="center"/>
          </w:tcPr>
          <w:p w14:paraId="2B54939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637 (24.4)</w:t>
            </w:r>
          </w:p>
        </w:tc>
        <w:tc>
          <w:tcPr>
            <w:tcW w:w="530" w:type="pct"/>
            <w:tcBorders>
              <w:top w:val="nil"/>
              <w:left w:val="nil"/>
              <w:bottom w:val="nil"/>
              <w:right w:val="nil"/>
            </w:tcBorders>
            <w:shd w:val="clear" w:color="auto" w:fill="auto"/>
            <w:vAlign w:val="center"/>
          </w:tcPr>
          <w:p w14:paraId="66AF7DC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2127 (23.8)</w:t>
            </w:r>
          </w:p>
        </w:tc>
        <w:tc>
          <w:tcPr>
            <w:tcW w:w="530" w:type="pct"/>
            <w:tcBorders>
              <w:top w:val="nil"/>
              <w:left w:val="nil"/>
              <w:bottom w:val="nil"/>
              <w:right w:val="single" w:sz="4" w:space="0" w:color="auto"/>
            </w:tcBorders>
            <w:shd w:val="clear" w:color="auto" w:fill="auto"/>
            <w:vAlign w:val="center"/>
          </w:tcPr>
          <w:p w14:paraId="7578CDF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587 (24.0)</w:t>
            </w:r>
          </w:p>
        </w:tc>
        <w:tc>
          <w:tcPr>
            <w:tcW w:w="522" w:type="pct"/>
            <w:tcBorders>
              <w:left w:val="single" w:sz="4" w:space="0" w:color="auto"/>
              <w:right w:val="nil"/>
            </w:tcBorders>
            <w:shd w:val="clear" w:color="auto" w:fill="auto"/>
            <w:vAlign w:val="center"/>
          </w:tcPr>
          <w:p w14:paraId="3681C5E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5,325 (13.1)</w:t>
            </w:r>
          </w:p>
        </w:tc>
        <w:tc>
          <w:tcPr>
            <w:tcW w:w="524" w:type="pct"/>
            <w:gridSpan w:val="2"/>
            <w:tcBorders>
              <w:left w:val="nil"/>
              <w:right w:val="nil"/>
            </w:tcBorders>
            <w:shd w:val="clear" w:color="auto" w:fill="auto"/>
            <w:vAlign w:val="center"/>
          </w:tcPr>
          <w:p w14:paraId="2B914A7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211 (15.0)</w:t>
            </w:r>
          </w:p>
        </w:tc>
        <w:tc>
          <w:tcPr>
            <w:tcW w:w="523" w:type="pct"/>
            <w:gridSpan w:val="2"/>
            <w:tcBorders>
              <w:left w:val="nil"/>
              <w:right w:val="nil"/>
            </w:tcBorders>
            <w:shd w:val="clear" w:color="auto" w:fill="auto"/>
            <w:vAlign w:val="center"/>
          </w:tcPr>
          <w:p w14:paraId="7FE194A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935 (14.3)</w:t>
            </w:r>
          </w:p>
        </w:tc>
        <w:tc>
          <w:tcPr>
            <w:tcW w:w="524" w:type="pct"/>
            <w:gridSpan w:val="2"/>
            <w:tcBorders>
              <w:left w:val="nil"/>
              <w:right w:val="nil"/>
            </w:tcBorders>
            <w:shd w:val="clear" w:color="auto" w:fill="auto"/>
            <w:vAlign w:val="center"/>
          </w:tcPr>
          <w:p w14:paraId="0C1004E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210 (15.0)</w:t>
            </w:r>
          </w:p>
        </w:tc>
      </w:tr>
      <w:tr w:rsidR="0074644B" w:rsidRPr="00BB54DF" w14:paraId="76713725"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597D85B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w:t>
            </w:r>
          </w:p>
        </w:tc>
        <w:tc>
          <w:tcPr>
            <w:tcW w:w="529" w:type="pct"/>
            <w:tcBorders>
              <w:top w:val="nil"/>
              <w:left w:val="single" w:sz="4" w:space="0" w:color="auto"/>
              <w:bottom w:val="nil"/>
              <w:right w:val="nil"/>
            </w:tcBorders>
            <w:shd w:val="clear" w:color="auto" w:fill="auto"/>
            <w:noWrap/>
            <w:vAlign w:val="center"/>
          </w:tcPr>
          <w:p w14:paraId="3F7F1C2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12,649 (23.4)</w:t>
            </w:r>
          </w:p>
        </w:tc>
        <w:tc>
          <w:tcPr>
            <w:tcW w:w="529" w:type="pct"/>
            <w:tcBorders>
              <w:top w:val="nil"/>
              <w:left w:val="nil"/>
              <w:bottom w:val="nil"/>
              <w:right w:val="nil"/>
            </w:tcBorders>
            <w:shd w:val="clear" w:color="auto" w:fill="auto"/>
            <w:noWrap/>
            <w:vAlign w:val="center"/>
          </w:tcPr>
          <w:p w14:paraId="0A674B1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620 (23.7)</w:t>
            </w:r>
          </w:p>
        </w:tc>
        <w:tc>
          <w:tcPr>
            <w:tcW w:w="530" w:type="pct"/>
            <w:tcBorders>
              <w:top w:val="nil"/>
              <w:left w:val="nil"/>
              <w:bottom w:val="nil"/>
              <w:right w:val="nil"/>
            </w:tcBorders>
            <w:shd w:val="clear" w:color="auto" w:fill="auto"/>
            <w:vAlign w:val="center"/>
          </w:tcPr>
          <w:p w14:paraId="37B7E20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2089 (23.4)</w:t>
            </w:r>
          </w:p>
        </w:tc>
        <w:tc>
          <w:tcPr>
            <w:tcW w:w="530" w:type="pct"/>
            <w:tcBorders>
              <w:top w:val="nil"/>
              <w:left w:val="nil"/>
              <w:bottom w:val="nil"/>
              <w:right w:val="single" w:sz="4" w:space="0" w:color="auto"/>
            </w:tcBorders>
            <w:shd w:val="clear" w:color="auto" w:fill="auto"/>
            <w:vAlign w:val="center"/>
          </w:tcPr>
          <w:p w14:paraId="246632D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585 (23.9)</w:t>
            </w:r>
          </w:p>
        </w:tc>
        <w:tc>
          <w:tcPr>
            <w:tcW w:w="522" w:type="pct"/>
            <w:tcBorders>
              <w:left w:val="single" w:sz="4" w:space="0" w:color="auto"/>
              <w:right w:val="nil"/>
            </w:tcBorders>
            <w:shd w:val="clear" w:color="auto" w:fill="auto"/>
            <w:vAlign w:val="center"/>
          </w:tcPr>
          <w:p w14:paraId="7FB9C40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5,318 (13.0)</w:t>
            </w:r>
          </w:p>
        </w:tc>
        <w:tc>
          <w:tcPr>
            <w:tcW w:w="524" w:type="pct"/>
            <w:gridSpan w:val="2"/>
            <w:tcBorders>
              <w:left w:val="nil"/>
              <w:right w:val="nil"/>
            </w:tcBorders>
            <w:shd w:val="clear" w:color="auto" w:fill="auto"/>
            <w:vAlign w:val="center"/>
          </w:tcPr>
          <w:p w14:paraId="14A199B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194 (13.8)</w:t>
            </w:r>
          </w:p>
        </w:tc>
        <w:tc>
          <w:tcPr>
            <w:tcW w:w="523" w:type="pct"/>
            <w:gridSpan w:val="2"/>
            <w:tcBorders>
              <w:left w:val="nil"/>
              <w:right w:val="nil"/>
            </w:tcBorders>
            <w:shd w:val="clear" w:color="auto" w:fill="auto"/>
            <w:vAlign w:val="center"/>
          </w:tcPr>
          <w:p w14:paraId="1693717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944 (14.4)</w:t>
            </w:r>
          </w:p>
        </w:tc>
        <w:tc>
          <w:tcPr>
            <w:tcW w:w="524" w:type="pct"/>
            <w:gridSpan w:val="2"/>
            <w:tcBorders>
              <w:left w:val="nil"/>
              <w:right w:val="nil"/>
            </w:tcBorders>
            <w:shd w:val="clear" w:color="auto" w:fill="auto"/>
            <w:vAlign w:val="center"/>
          </w:tcPr>
          <w:p w14:paraId="3175274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193 (13.8)</w:t>
            </w:r>
          </w:p>
        </w:tc>
      </w:tr>
      <w:tr w:rsidR="0074644B" w:rsidRPr="00BB54DF" w14:paraId="604A0967"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705D6A8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w:t>
            </w:r>
          </w:p>
        </w:tc>
        <w:tc>
          <w:tcPr>
            <w:tcW w:w="529" w:type="pct"/>
            <w:tcBorders>
              <w:top w:val="nil"/>
              <w:left w:val="single" w:sz="4" w:space="0" w:color="auto"/>
              <w:bottom w:val="nil"/>
              <w:right w:val="nil"/>
            </w:tcBorders>
            <w:shd w:val="clear" w:color="auto" w:fill="auto"/>
            <w:noWrap/>
            <w:vAlign w:val="center"/>
          </w:tcPr>
          <w:p w14:paraId="4ACD4A1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11,539 (21.4)</w:t>
            </w:r>
          </w:p>
        </w:tc>
        <w:tc>
          <w:tcPr>
            <w:tcW w:w="529" w:type="pct"/>
            <w:tcBorders>
              <w:top w:val="nil"/>
              <w:left w:val="nil"/>
              <w:bottom w:val="nil"/>
              <w:right w:val="nil"/>
            </w:tcBorders>
            <w:shd w:val="clear" w:color="auto" w:fill="auto"/>
            <w:noWrap/>
            <w:vAlign w:val="center"/>
          </w:tcPr>
          <w:p w14:paraId="40A0F88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550 (21.0)</w:t>
            </w:r>
          </w:p>
        </w:tc>
        <w:tc>
          <w:tcPr>
            <w:tcW w:w="530" w:type="pct"/>
            <w:tcBorders>
              <w:top w:val="nil"/>
              <w:left w:val="nil"/>
              <w:bottom w:val="nil"/>
              <w:right w:val="nil"/>
            </w:tcBorders>
            <w:shd w:val="clear" w:color="auto" w:fill="auto"/>
            <w:vAlign w:val="center"/>
          </w:tcPr>
          <w:p w14:paraId="7A6A28A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1881 (21.1)</w:t>
            </w:r>
          </w:p>
        </w:tc>
        <w:tc>
          <w:tcPr>
            <w:tcW w:w="530" w:type="pct"/>
            <w:tcBorders>
              <w:top w:val="nil"/>
              <w:left w:val="nil"/>
              <w:bottom w:val="nil"/>
              <w:right w:val="single" w:sz="4" w:space="0" w:color="auto"/>
            </w:tcBorders>
            <w:shd w:val="clear" w:color="auto" w:fill="auto"/>
            <w:vAlign w:val="center"/>
          </w:tcPr>
          <w:p w14:paraId="55A68CE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517 (21.1)</w:t>
            </w:r>
          </w:p>
        </w:tc>
        <w:tc>
          <w:tcPr>
            <w:tcW w:w="522" w:type="pct"/>
            <w:tcBorders>
              <w:left w:val="single" w:sz="4" w:space="0" w:color="auto"/>
              <w:right w:val="nil"/>
            </w:tcBorders>
            <w:shd w:val="clear" w:color="auto" w:fill="auto"/>
            <w:vAlign w:val="center"/>
          </w:tcPr>
          <w:p w14:paraId="7179161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5,342 (13.1)</w:t>
            </w:r>
          </w:p>
        </w:tc>
        <w:tc>
          <w:tcPr>
            <w:tcW w:w="524" w:type="pct"/>
            <w:gridSpan w:val="2"/>
            <w:tcBorders>
              <w:left w:val="nil"/>
              <w:right w:val="nil"/>
            </w:tcBorders>
            <w:shd w:val="clear" w:color="auto" w:fill="auto"/>
            <w:vAlign w:val="center"/>
          </w:tcPr>
          <w:p w14:paraId="4D527BA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170 (12.1)</w:t>
            </w:r>
          </w:p>
        </w:tc>
        <w:tc>
          <w:tcPr>
            <w:tcW w:w="523" w:type="pct"/>
            <w:gridSpan w:val="2"/>
            <w:tcBorders>
              <w:left w:val="nil"/>
              <w:right w:val="nil"/>
            </w:tcBorders>
            <w:shd w:val="clear" w:color="auto" w:fill="auto"/>
            <w:vAlign w:val="center"/>
          </w:tcPr>
          <w:p w14:paraId="705F829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816 (12.5)</w:t>
            </w:r>
          </w:p>
        </w:tc>
        <w:tc>
          <w:tcPr>
            <w:tcW w:w="524" w:type="pct"/>
            <w:gridSpan w:val="2"/>
            <w:tcBorders>
              <w:left w:val="nil"/>
              <w:right w:val="nil"/>
            </w:tcBorders>
            <w:shd w:val="clear" w:color="auto" w:fill="auto"/>
            <w:vAlign w:val="center"/>
          </w:tcPr>
          <w:p w14:paraId="1B211C5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169 (12.1)</w:t>
            </w:r>
          </w:p>
        </w:tc>
      </w:tr>
      <w:tr w:rsidR="0074644B" w:rsidRPr="00BB54DF" w14:paraId="331692F4"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1357AAA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w:t>
            </w:r>
          </w:p>
        </w:tc>
        <w:tc>
          <w:tcPr>
            <w:tcW w:w="529" w:type="pct"/>
            <w:tcBorders>
              <w:top w:val="nil"/>
              <w:left w:val="single" w:sz="4" w:space="0" w:color="auto"/>
              <w:bottom w:val="nil"/>
              <w:right w:val="nil"/>
            </w:tcBorders>
            <w:shd w:val="clear" w:color="auto" w:fill="auto"/>
            <w:noWrap/>
            <w:vAlign w:val="center"/>
          </w:tcPr>
          <w:p w14:paraId="253ABAA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10,771 (20.0)</w:t>
            </w:r>
          </w:p>
        </w:tc>
        <w:tc>
          <w:tcPr>
            <w:tcW w:w="529" w:type="pct"/>
            <w:tcBorders>
              <w:top w:val="nil"/>
              <w:left w:val="nil"/>
              <w:bottom w:val="nil"/>
              <w:right w:val="nil"/>
            </w:tcBorders>
            <w:shd w:val="clear" w:color="auto" w:fill="auto"/>
            <w:noWrap/>
            <w:vAlign w:val="center"/>
          </w:tcPr>
          <w:p w14:paraId="5916BD4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480 (18.4)</w:t>
            </w:r>
          </w:p>
        </w:tc>
        <w:tc>
          <w:tcPr>
            <w:tcW w:w="530" w:type="pct"/>
            <w:tcBorders>
              <w:top w:val="nil"/>
              <w:left w:val="nil"/>
              <w:bottom w:val="nil"/>
              <w:right w:val="nil"/>
            </w:tcBorders>
            <w:shd w:val="clear" w:color="auto" w:fill="auto"/>
            <w:vAlign w:val="center"/>
          </w:tcPr>
          <w:p w14:paraId="58674FB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1654 (18.5)</w:t>
            </w:r>
          </w:p>
        </w:tc>
        <w:tc>
          <w:tcPr>
            <w:tcW w:w="530" w:type="pct"/>
            <w:tcBorders>
              <w:top w:val="nil"/>
              <w:left w:val="nil"/>
              <w:bottom w:val="nil"/>
              <w:right w:val="single" w:sz="4" w:space="0" w:color="auto"/>
            </w:tcBorders>
            <w:shd w:val="clear" w:color="auto" w:fill="auto"/>
            <w:vAlign w:val="center"/>
          </w:tcPr>
          <w:p w14:paraId="0E6AD96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452 (18.5)</w:t>
            </w:r>
          </w:p>
        </w:tc>
        <w:tc>
          <w:tcPr>
            <w:tcW w:w="522" w:type="pct"/>
            <w:tcBorders>
              <w:left w:val="single" w:sz="4" w:space="0" w:color="auto"/>
              <w:right w:val="nil"/>
            </w:tcBorders>
            <w:shd w:val="clear" w:color="auto" w:fill="auto"/>
            <w:vAlign w:val="center"/>
          </w:tcPr>
          <w:p w14:paraId="34242DA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4,967 (12.2)</w:t>
            </w:r>
          </w:p>
        </w:tc>
        <w:tc>
          <w:tcPr>
            <w:tcW w:w="524" w:type="pct"/>
            <w:gridSpan w:val="2"/>
            <w:tcBorders>
              <w:left w:val="nil"/>
              <w:right w:val="nil"/>
            </w:tcBorders>
            <w:shd w:val="clear" w:color="auto" w:fill="auto"/>
            <w:vAlign w:val="center"/>
          </w:tcPr>
          <w:p w14:paraId="6AF8073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161 (11.4)</w:t>
            </w:r>
          </w:p>
        </w:tc>
        <w:tc>
          <w:tcPr>
            <w:tcW w:w="523" w:type="pct"/>
            <w:gridSpan w:val="2"/>
            <w:tcBorders>
              <w:left w:val="nil"/>
              <w:right w:val="nil"/>
            </w:tcBorders>
            <w:shd w:val="clear" w:color="auto" w:fill="auto"/>
            <w:vAlign w:val="center"/>
          </w:tcPr>
          <w:p w14:paraId="483A38A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734 (11.2)</w:t>
            </w:r>
          </w:p>
        </w:tc>
        <w:tc>
          <w:tcPr>
            <w:tcW w:w="524" w:type="pct"/>
            <w:gridSpan w:val="2"/>
            <w:tcBorders>
              <w:left w:val="nil"/>
              <w:right w:val="nil"/>
            </w:tcBorders>
            <w:shd w:val="clear" w:color="auto" w:fill="auto"/>
            <w:vAlign w:val="center"/>
          </w:tcPr>
          <w:p w14:paraId="7C9D216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161 (11.5)</w:t>
            </w:r>
          </w:p>
        </w:tc>
      </w:tr>
      <w:tr w:rsidR="0074644B" w:rsidRPr="00BB54DF" w14:paraId="26CC5B3D"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0410794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5 - most deprived</w:t>
            </w:r>
          </w:p>
        </w:tc>
        <w:tc>
          <w:tcPr>
            <w:tcW w:w="529" w:type="pct"/>
            <w:tcBorders>
              <w:top w:val="nil"/>
              <w:left w:val="single" w:sz="4" w:space="0" w:color="auto"/>
              <w:bottom w:val="nil"/>
              <w:right w:val="nil"/>
            </w:tcBorders>
            <w:shd w:val="clear" w:color="auto" w:fill="auto"/>
            <w:noWrap/>
            <w:vAlign w:val="center"/>
          </w:tcPr>
          <w:p w14:paraId="07095C1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7,078 (13.1)</w:t>
            </w:r>
          </w:p>
        </w:tc>
        <w:tc>
          <w:tcPr>
            <w:tcW w:w="529" w:type="pct"/>
            <w:tcBorders>
              <w:top w:val="nil"/>
              <w:left w:val="nil"/>
              <w:bottom w:val="nil"/>
              <w:right w:val="nil"/>
            </w:tcBorders>
            <w:shd w:val="clear" w:color="auto" w:fill="auto"/>
            <w:noWrap/>
            <w:vAlign w:val="center"/>
          </w:tcPr>
          <w:p w14:paraId="0D1E497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326 (12.5)</w:t>
            </w:r>
          </w:p>
        </w:tc>
        <w:tc>
          <w:tcPr>
            <w:tcW w:w="530" w:type="pct"/>
            <w:tcBorders>
              <w:top w:val="nil"/>
              <w:left w:val="nil"/>
              <w:bottom w:val="nil"/>
              <w:right w:val="nil"/>
            </w:tcBorders>
            <w:shd w:val="clear" w:color="auto" w:fill="auto"/>
            <w:vAlign w:val="center"/>
          </w:tcPr>
          <w:p w14:paraId="5DF4A6F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1180 (13.2)</w:t>
            </w:r>
          </w:p>
        </w:tc>
        <w:tc>
          <w:tcPr>
            <w:tcW w:w="530" w:type="pct"/>
            <w:tcBorders>
              <w:top w:val="nil"/>
              <w:left w:val="nil"/>
              <w:bottom w:val="nil"/>
              <w:right w:val="single" w:sz="4" w:space="0" w:color="auto"/>
            </w:tcBorders>
            <w:shd w:val="clear" w:color="auto" w:fill="auto"/>
            <w:vAlign w:val="center"/>
          </w:tcPr>
          <w:p w14:paraId="0DB6BBB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306 (12.5)</w:t>
            </w:r>
          </w:p>
        </w:tc>
        <w:tc>
          <w:tcPr>
            <w:tcW w:w="522" w:type="pct"/>
            <w:tcBorders>
              <w:left w:val="single" w:sz="4" w:space="0" w:color="auto"/>
              <w:right w:val="nil"/>
            </w:tcBorders>
            <w:shd w:val="clear" w:color="auto" w:fill="auto"/>
            <w:vAlign w:val="center"/>
          </w:tcPr>
          <w:p w14:paraId="364CD8E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4,789 (11.7)</w:t>
            </w:r>
          </w:p>
        </w:tc>
        <w:tc>
          <w:tcPr>
            <w:tcW w:w="524" w:type="pct"/>
            <w:gridSpan w:val="2"/>
            <w:tcBorders>
              <w:left w:val="nil"/>
              <w:right w:val="nil"/>
            </w:tcBorders>
            <w:shd w:val="clear" w:color="auto" w:fill="auto"/>
            <w:vAlign w:val="center"/>
          </w:tcPr>
          <w:p w14:paraId="3D29622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181 (12.9)</w:t>
            </w:r>
          </w:p>
        </w:tc>
        <w:tc>
          <w:tcPr>
            <w:tcW w:w="523" w:type="pct"/>
            <w:gridSpan w:val="2"/>
            <w:tcBorders>
              <w:left w:val="nil"/>
              <w:right w:val="nil"/>
            </w:tcBorders>
            <w:shd w:val="clear" w:color="auto" w:fill="auto"/>
            <w:vAlign w:val="center"/>
          </w:tcPr>
          <w:p w14:paraId="77A6EB9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792 (12.1)</w:t>
            </w:r>
          </w:p>
        </w:tc>
        <w:tc>
          <w:tcPr>
            <w:tcW w:w="524" w:type="pct"/>
            <w:gridSpan w:val="2"/>
            <w:tcBorders>
              <w:left w:val="nil"/>
              <w:right w:val="nil"/>
            </w:tcBorders>
            <w:shd w:val="clear" w:color="auto" w:fill="auto"/>
            <w:vAlign w:val="center"/>
          </w:tcPr>
          <w:p w14:paraId="59A840D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178 (12.7)</w:t>
            </w:r>
          </w:p>
        </w:tc>
      </w:tr>
      <w:tr w:rsidR="0074644B" w:rsidRPr="00BB54DF" w14:paraId="5C81F5F7" w14:textId="77777777" w:rsidTr="007340D2">
        <w:trPr>
          <w:trHeight w:val="227"/>
        </w:trPr>
        <w:tc>
          <w:tcPr>
            <w:tcW w:w="789" w:type="pct"/>
            <w:tcBorders>
              <w:top w:val="nil"/>
              <w:left w:val="nil"/>
              <w:bottom w:val="nil"/>
              <w:right w:val="single" w:sz="4" w:space="0" w:color="auto"/>
            </w:tcBorders>
            <w:shd w:val="clear" w:color="auto" w:fill="auto"/>
            <w:noWrap/>
            <w:vAlign w:val="center"/>
          </w:tcPr>
          <w:p w14:paraId="08D4F28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Urban (deprivation level undefined)</w:t>
            </w:r>
          </w:p>
        </w:tc>
        <w:tc>
          <w:tcPr>
            <w:tcW w:w="529" w:type="pct"/>
            <w:tcBorders>
              <w:top w:val="nil"/>
              <w:left w:val="single" w:sz="4" w:space="0" w:color="auto"/>
              <w:bottom w:val="nil"/>
              <w:right w:val="nil"/>
            </w:tcBorders>
            <w:shd w:val="clear" w:color="auto" w:fill="auto"/>
            <w:noWrap/>
            <w:vAlign w:val="center"/>
          </w:tcPr>
          <w:p w14:paraId="6C69D852"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9" w:type="pct"/>
            <w:tcBorders>
              <w:top w:val="nil"/>
              <w:left w:val="nil"/>
              <w:bottom w:val="nil"/>
              <w:right w:val="nil"/>
            </w:tcBorders>
            <w:shd w:val="clear" w:color="auto" w:fill="auto"/>
            <w:noWrap/>
            <w:vAlign w:val="center"/>
          </w:tcPr>
          <w:p w14:paraId="339CBE79"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30" w:type="pct"/>
            <w:tcBorders>
              <w:top w:val="nil"/>
              <w:left w:val="nil"/>
              <w:bottom w:val="nil"/>
              <w:right w:val="nil"/>
            </w:tcBorders>
            <w:shd w:val="clear" w:color="auto" w:fill="auto"/>
            <w:vAlign w:val="center"/>
          </w:tcPr>
          <w:p w14:paraId="1F43E50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N/A</w:t>
            </w:r>
          </w:p>
        </w:tc>
        <w:tc>
          <w:tcPr>
            <w:tcW w:w="530" w:type="pct"/>
            <w:tcBorders>
              <w:top w:val="nil"/>
              <w:left w:val="nil"/>
              <w:bottom w:val="nil"/>
              <w:right w:val="single" w:sz="4" w:space="0" w:color="auto"/>
            </w:tcBorders>
            <w:shd w:val="clear" w:color="auto" w:fill="auto"/>
            <w:vAlign w:val="center"/>
          </w:tcPr>
          <w:p w14:paraId="0AB5F27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N/A</w:t>
            </w:r>
          </w:p>
        </w:tc>
        <w:tc>
          <w:tcPr>
            <w:tcW w:w="522" w:type="pct"/>
            <w:tcBorders>
              <w:left w:val="single" w:sz="4" w:space="0" w:color="auto"/>
              <w:right w:val="nil"/>
            </w:tcBorders>
            <w:shd w:val="clear" w:color="auto" w:fill="auto"/>
            <w:vAlign w:val="center"/>
          </w:tcPr>
          <w:p w14:paraId="0122BC0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4,879 (12.0)</w:t>
            </w:r>
          </w:p>
        </w:tc>
        <w:tc>
          <w:tcPr>
            <w:tcW w:w="524" w:type="pct"/>
            <w:gridSpan w:val="2"/>
            <w:tcBorders>
              <w:left w:val="nil"/>
              <w:right w:val="nil"/>
            </w:tcBorders>
            <w:shd w:val="clear" w:color="auto" w:fill="auto"/>
            <w:vAlign w:val="center"/>
          </w:tcPr>
          <w:p w14:paraId="2C9456B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201 (14,3)</w:t>
            </w:r>
          </w:p>
        </w:tc>
        <w:tc>
          <w:tcPr>
            <w:tcW w:w="523" w:type="pct"/>
            <w:gridSpan w:val="2"/>
            <w:tcBorders>
              <w:left w:val="nil"/>
              <w:right w:val="nil"/>
            </w:tcBorders>
            <w:shd w:val="clear" w:color="auto" w:fill="auto"/>
            <w:vAlign w:val="center"/>
          </w:tcPr>
          <w:p w14:paraId="51CFCC8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934 (14.3)</w:t>
            </w:r>
          </w:p>
        </w:tc>
        <w:tc>
          <w:tcPr>
            <w:tcW w:w="524" w:type="pct"/>
            <w:gridSpan w:val="2"/>
            <w:tcBorders>
              <w:left w:val="nil"/>
              <w:right w:val="nil"/>
            </w:tcBorders>
            <w:shd w:val="clear" w:color="auto" w:fill="auto"/>
            <w:vAlign w:val="center"/>
          </w:tcPr>
          <w:p w14:paraId="2BE71E4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200 (14.3)</w:t>
            </w:r>
          </w:p>
        </w:tc>
      </w:tr>
      <w:tr w:rsidR="0074644B" w:rsidRPr="00BB54DF" w14:paraId="3398CAE9" w14:textId="77777777" w:rsidTr="007340D2">
        <w:trPr>
          <w:trHeight w:val="227"/>
        </w:trPr>
        <w:tc>
          <w:tcPr>
            <w:tcW w:w="789" w:type="pct"/>
            <w:tcBorders>
              <w:top w:val="nil"/>
              <w:left w:val="nil"/>
              <w:bottom w:val="nil"/>
              <w:right w:val="single" w:sz="4" w:space="0" w:color="auto"/>
            </w:tcBorders>
            <w:shd w:val="clear" w:color="auto" w:fill="auto"/>
            <w:noWrap/>
            <w:vAlign w:val="center"/>
          </w:tcPr>
          <w:p w14:paraId="00C5F2F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Rural</w:t>
            </w:r>
          </w:p>
        </w:tc>
        <w:tc>
          <w:tcPr>
            <w:tcW w:w="529" w:type="pct"/>
            <w:tcBorders>
              <w:top w:val="nil"/>
              <w:left w:val="single" w:sz="4" w:space="0" w:color="auto"/>
              <w:bottom w:val="nil"/>
              <w:right w:val="nil"/>
            </w:tcBorders>
            <w:shd w:val="clear" w:color="auto" w:fill="auto"/>
            <w:noWrap/>
            <w:vAlign w:val="center"/>
          </w:tcPr>
          <w:p w14:paraId="45063589" w14:textId="77777777" w:rsidR="0074644B" w:rsidRPr="00BB54DF" w:rsidRDefault="0074644B" w:rsidP="007340D2">
            <w:pPr>
              <w:spacing w:after="0"/>
              <w:jc w:val="center"/>
              <w:rPr>
                <w:rFonts w:ascii="Times New Roman" w:hAnsi="Times New Roman"/>
                <w:sz w:val="16"/>
                <w:szCs w:val="16"/>
              </w:rPr>
            </w:pPr>
          </w:p>
        </w:tc>
        <w:tc>
          <w:tcPr>
            <w:tcW w:w="529" w:type="pct"/>
            <w:tcBorders>
              <w:top w:val="nil"/>
              <w:left w:val="nil"/>
              <w:bottom w:val="nil"/>
              <w:right w:val="nil"/>
            </w:tcBorders>
            <w:shd w:val="clear" w:color="auto" w:fill="auto"/>
            <w:noWrap/>
            <w:vAlign w:val="center"/>
          </w:tcPr>
          <w:p w14:paraId="1A4099C5" w14:textId="77777777" w:rsidR="0074644B" w:rsidRPr="00BB54DF" w:rsidRDefault="0074644B" w:rsidP="007340D2">
            <w:pPr>
              <w:spacing w:after="0"/>
              <w:jc w:val="center"/>
              <w:rPr>
                <w:rFonts w:ascii="Times New Roman" w:hAnsi="Times New Roman"/>
                <w:sz w:val="16"/>
                <w:szCs w:val="16"/>
              </w:rPr>
            </w:pPr>
          </w:p>
        </w:tc>
        <w:tc>
          <w:tcPr>
            <w:tcW w:w="530" w:type="pct"/>
            <w:tcBorders>
              <w:top w:val="nil"/>
              <w:left w:val="nil"/>
              <w:bottom w:val="nil"/>
              <w:right w:val="nil"/>
            </w:tcBorders>
            <w:shd w:val="clear" w:color="auto" w:fill="auto"/>
            <w:vAlign w:val="center"/>
          </w:tcPr>
          <w:p w14:paraId="3B57E712" w14:textId="77777777" w:rsidR="0074644B" w:rsidRPr="00BB54DF" w:rsidRDefault="0074644B" w:rsidP="007340D2">
            <w:pPr>
              <w:spacing w:after="0"/>
              <w:jc w:val="center"/>
              <w:rPr>
                <w:rFonts w:ascii="Times New Roman" w:hAnsi="Times New Roman"/>
                <w:sz w:val="16"/>
                <w:szCs w:val="16"/>
                <w:lang w:eastAsia="en-GB"/>
              </w:rPr>
            </w:pPr>
          </w:p>
        </w:tc>
        <w:tc>
          <w:tcPr>
            <w:tcW w:w="530" w:type="pct"/>
            <w:tcBorders>
              <w:top w:val="nil"/>
              <w:left w:val="nil"/>
              <w:bottom w:val="nil"/>
              <w:right w:val="single" w:sz="4" w:space="0" w:color="auto"/>
            </w:tcBorders>
            <w:shd w:val="clear" w:color="auto" w:fill="auto"/>
            <w:vAlign w:val="center"/>
          </w:tcPr>
          <w:p w14:paraId="36486279" w14:textId="77777777" w:rsidR="0074644B" w:rsidRPr="00BB54DF" w:rsidRDefault="0074644B" w:rsidP="007340D2">
            <w:pPr>
              <w:spacing w:after="0"/>
              <w:jc w:val="center"/>
              <w:rPr>
                <w:rFonts w:ascii="Times New Roman" w:hAnsi="Times New Roman"/>
                <w:sz w:val="16"/>
                <w:szCs w:val="16"/>
                <w:lang w:eastAsia="en-GB"/>
              </w:rPr>
            </w:pPr>
          </w:p>
        </w:tc>
        <w:tc>
          <w:tcPr>
            <w:tcW w:w="522" w:type="pct"/>
            <w:tcBorders>
              <w:left w:val="single" w:sz="4" w:space="0" w:color="auto"/>
              <w:right w:val="nil"/>
            </w:tcBorders>
            <w:shd w:val="clear" w:color="auto" w:fill="auto"/>
            <w:vAlign w:val="center"/>
          </w:tcPr>
          <w:p w14:paraId="11F699F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10,180 (25.0)</w:t>
            </w:r>
          </w:p>
        </w:tc>
        <w:tc>
          <w:tcPr>
            <w:tcW w:w="524" w:type="pct"/>
            <w:gridSpan w:val="2"/>
            <w:tcBorders>
              <w:left w:val="nil"/>
              <w:right w:val="nil"/>
            </w:tcBorders>
            <w:shd w:val="clear" w:color="auto" w:fill="auto"/>
            <w:vAlign w:val="center"/>
          </w:tcPr>
          <w:p w14:paraId="3C7E7D8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290 (20.6)</w:t>
            </w:r>
          </w:p>
        </w:tc>
        <w:tc>
          <w:tcPr>
            <w:tcW w:w="523" w:type="pct"/>
            <w:gridSpan w:val="2"/>
            <w:tcBorders>
              <w:left w:val="nil"/>
              <w:right w:val="nil"/>
            </w:tcBorders>
            <w:shd w:val="clear" w:color="auto" w:fill="auto"/>
            <w:vAlign w:val="center"/>
          </w:tcPr>
          <w:p w14:paraId="5BA2EFE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1392 (21.3)</w:t>
            </w:r>
          </w:p>
        </w:tc>
        <w:tc>
          <w:tcPr>
            <w:tcW w:w="524" w:type="pct"/>
            <w:gridSpan w:val="2"/>
            <w:tcBorders>
              <w:left w:val="nil"/>
              <w:right w:val="nil"/>
            </w:tcBorders>
            <w:shd w:val="clear" w:color="auto" w:fill="auto"/>
            <w:vAlign w:val="center"/>
          </w:tcPr>
          <w:p w14:paraId="14DB13F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288 (20.6)</w:t>
            </w:r>
          </w:p>
        </w:tc>
      </w:tr>
      <w:tr w:rsidR="0074644B" w:rsidRPr="00BB54DF" w14:paraId="58A90841"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07AD15A1" w14:textId="77777777" w:rsidR="0074644B" w:rsidRPr="00BB54DF" w:rsidRDefault="0074644B" w:rsidP="007340D2">
            <w:pPr>
              <w:spacing w:after="0"/>
              <w:jc w:val="center"/>
              <w:rPr>
                <w:rFonts w:ascii="Times New Roman" w:hAnsi="Times New Roman"/>
                <w:sz w:val="16"/>
                <w:szCs w:val="16"/>
                <w:vertAlign w:val="superscript"/>
                <w:lang w:eastAsia="en-GB"/>
              </w:rPr>
            </w:pPr>
            <w:r w:rsidRPr="00BB54DF">
              <w:rPr>
                <w:rFonts w:ascii="Times New Roman" w:hAnsi="Times New Roman"/>
                <w:sz w:val="16"/>
                <w:szCs w:val="16"/>
                <w:lang w:eastAsia="en-GB"/>
              </w:rPr>
              <w:t xml:space="preserve">BMI (mean, </w:t>
            </w:r>
            <w:proofErr w:type="gramStart"/>
            <w:r w:rsidRPr="00BB54DF">
              <w:rPr>
                <w:rFonts w:ascii="Times New Roman" w:hAnsi="Times New Roman"/>
                <w:sz w:val="16"/>
                <w:szCs w:val="16"/>
                <w:lang w:eastAsia="en-GB"/>
              </w:rPr>
              <w:t>SD)</w:t>
            </w:r>
            <w:r w:rsidRPr="00BB54DF">
              <w:rPr>
                <w:rFonts w:ascii="Times New Roman" w:hAnsi="Times New Roman"/>
                <w:sz w:val="16"/>
                <w:szCs w:val="16"/>
                <w:vertAlign w:val="superscript"/>
                <w:lang w:eastAsia="en-GB"/>
              </w:rPr>
              <w:t>a</w:t>
            </w:r>
            <w:proofErr w:type="gramEnd"/>
          </w:p>
        </w:tc>
        <w:tc>
          <w:tcPr>
            <w:tcW w:w="529" w:type="pct"/>
            <w:tcBorders>
              <w:top w:val="nil"/>
              <w:left w:val="single" w:sz="4" w:space="0" w:color="auto"/>
              <w:bottom w:val="nil"/>
              <w:right w:val="nil"/>
            </w:tcBorders>
            <w:shd w:val="clear" w:color="auto" w:fill="auto"/>
            <w:noWrap/>
            <w:vAlign w:val="center"/>
          </w:tcPr>
          <w:p w14:paraId="162371D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27.6 (5.5)</w:t>
            </w:r>
          </w:p>
        </w:tc>
        <w:tc>
          <w:tcPr>
            <w:tcW w:w="529" w:type="pct"/>
            <w:tcBorders>
              <w:top w:val="nil"/>
              <w:left w:val="nil"/>
              <w:bottom w:val="nil"/>
              <w:right w:val="nil"/>
            </w:tcBorders>
            <w:shd w:val="clear" w:color="auto" w:fill="auto"/>
            <w:noWrap/>
            <w:vAlign w:val="center"/>
          </w:tcPr>
          <w:p w14:paraId="68D23ED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26.7 (5.2)</w:t>
            </w:r>
          </w:p>
        </w:tc>
        <w:tc>
          <w:tcPr>
            <w:tcW w:w="530" w:type="pct"/>
            <w:tcBorders>
              <w:top w:val="nil"/>
              <w:left w:val="nil"/>
              <w:bottom w:val="nil"/>
              <w:right w:val="nil"/>
            </w:tcBorders>
            <w:shd w:val="clear" w:color="auto" w:fill="auto"/>
            <w:vAlign w:val="center"/>
          </w:tcPr>
          <w:p w14:paraId="64C15E6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26.9 (5.4)</w:t>
            </w:r>
          </w:p>
        </w:tc>
        <w:tc>
          <w:tcPr>
            <w:tcW w:w="530" w:type="pct"/>
            <w:tcBorders>
              <w:top w:val="nil"/>
              <w:left w:val="nil"/>
              <w:bottom w:val="nil"/>
              <w:right w:val="single" w:sz="4" w:space="0" w:color="auto"/>
            </w:tcBorders>
            <w:shd w:val="clear" w:color="auto" w:fill="auto"/>
            <w:vAlign w:val="center"/>
          </w:tcPr>
          <w:p w14:paraId="694F53E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26.8 (5.3)</w:t>
            </w:r>
          </w:p>
        </w:tc>
        <w:tc>
          <w:tcPr>
            <w:tcW w:w="522" w:type="pct"/>
            <w:tcBorders>
              <w:left w:val="single" w:sz="4" w:space="0" w:color="auto"/>
              <w:right w:val="nil"/>
            </w:tcBorders>
            <w:shd w:val="clear" w:color="auto" w:fill="auto"/>
            <w:vAlign w:val="center"/>
          </w:tcPr>
          <w:p w14:paraId="2352D7D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29.1 (5.2)</w:t>
            </w:r>
          </w:p>
        </w:tc>
        <w:tc>
          <w:tcPr>
            <w:tcW w:w="524" w:type="pct"/>
            <w:gridSpan w:val="2"/>
            <w:tcBorders>
              <w:left w:val="nil"/>
              <w:right w:val="nil"/>
            </w:tcBorders>
            <w:shd w:val="clear" w:color="auto" w:fill="auto"/>
            <w:vAlign w:val="center"/>
          </w:tcPr>
          <w:p w14:paraId="3C2FA79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29.1 (5.1)</w:t>
            </w:r>
          </w:p>
        </w:tc>
        <w:tc>
          <w:tcPr>
            <w:tcW w:w="523" w:type="pct"/>
            <w:gridSpan w:val="2"/>
            <w:tcBorders>
              <w:left w:val="nil"/>
              <w:right w:val="nil"/>
            </w:tcBorders>
            <w:shd w:val="clear" w:color="auto" w:fill="auto"/>
            <w:vAlign w:val="center"/>
          </w:tcPr>
          <w:p w14:paraId="0B3D9DE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29.1 (5.4)</w:t>
            </w:r>
          </w:p>
        </w:tc>
        <w:tc>
          <w:tcPr>
            <w:tcW w:w="524" w:type="pct"/>
            <w:gridSpan w:val="2"/>
            <w:tcBorders>
              <w:left w:val="nil"/>
              <w:right w:val="nil"/>
            </w:tcBorders>
            <w:shd w:val="clear" w:color="auto" w:fill="auto"/>
            <w:vAlign w:val="center"/>
          </w:tcPr>
          <w:p w14:paraId="55DE9FE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29.1 (5.1)</w:t>
            </w:r>
          </w:p>
        </w:tc>
      </w:tr>
      <w:tr w:rsidR="0074644B" w:rsidRPr="00BB54DF" w14:paraId="38D23445" w14:textId="77777777" w:rsidTr="007340D2">
        <w:trPr>
          <w:trHeight w:val="66"/>
        </w:trPr>
        <w:tc>
          <w:tcPr>
            <w:tcW w:w="789" w:type="pct"/>
            <w:tcBorders>
              <w:top w:val="nil"/>
              <w:left w:val="nil"/>
              <w:bottom w:val="nil"/>
              <w:right w:val="single" w:sz="4" w:space="0" w:color="auto"/>
            </w:tcBorders>
            <w:shd w:val="clear" w:color="auto" w:fill="auto"/>
            <w:noWrap/>
            <w:vAlign w:val="center"/>
            <w:hideMark/>
          </w:tcPr>
          <w:p w14:paraId="67AE8D50" w14:textId="77777777" w:rsidR="0074644B" w:rsidRPr="00BB54DF" w:rsidRDefault="0074644B" w:rsidP="007340D2">
            <w:pPr>
              <w:spacing w:after="0"/>
              <w:jc w:val="center"/>
              <w:rPr>
                <w:rFonts w:ascii="Times New Roman" w:hAnsi="Times New Roman"/>
                <w:sz w:val="16"/>
                <w:szCs w:val="16"/>
                <w:vertAlign w:val="superscript"/>
                <w:lang w:eastAsia="en-GB"/>
              </w:rPr>
            </w:pPr>
            <w:r w:rsidRPr="00BB54DF">
              <w:rPr>
                <w:rFonts w:ascii="Times New Roman" w:hAnsi="Times New Roman"/>
                <w:sz w:val="16"/>
                <w:szCs w:val="16"/>
                <w:lang w:eastAsia="en-GB"/>
              </w:rPr>
              <w:t xml:space="preserve">Smoking category (n, </w:t>
            </w:r>
            <w:proofErr w:type="gramStart"/>
            <w:r w:rsidRPr="00BB54DF">
              <w:rPr>
                <w:rFonts w:ascii="Times New Roman" w:hAnsi="Times New Roman"/>
                <w:sz w:val="16"/>
                <w:szCs w:val="16"/>
                <w:lang w:eastAsia="en-GB"/>
              </w:rPr>
              <w:t>%)</w:t>
            </w:r>
            <w:r w:rsidRPr="00BB54DF">
              <w:rPr>
                <w:rFonts w:ascii="Times New Roman" w:hAnsi="Times New Roman"/>
                <w:sz w:val="16"/>
                <w:szCs w:val="16"/>
                <w:vertAlign w:val="superscript"/>
                <w:lang w:eastAsia="en-GB"/>
              </w:rPr>
              <w:t>b</w:t>
            </w:r>
            <w:proofErr w:type="gramEnd"/>
          </w:p>
        </w:tc>
        <w:tc>
          <w:tcPr>
            <w:tcW w:w="529" w:type="pct"/>
            <w:tcBorders>
              <w:top w:val="nil"/>
              <w:left w:val="single" w:sz="4" w:space="0" w:color="auto"/>
              <w:bottom w:val="nil"/>
              <w:right w:val="nil"/>
            </w:tcBorders>
            <w:shd w:val="clear" w:color="auto" w:fill="auto"/>
            <w:noWrap/>
            <w:vAlign w:val="center"/>
          </w:tcPr>
          <w:p w14:paraId="2E701EE3" w14:textId="77777777" w:rsidR="0074644B" w:rsidRPr="00BB54DF" w:rsidRDefault="0074644B" w:rsidP="007340D2">
            <w:pPr>
              <w:spacing w:after="0"/>
              <w:jc w:val="center"/>
              <w:rPr>
                <w:rFonts w:ascii="Times New Roman" w:hAnsi="Times New Roman"/>
                <w:sz w:val="16"/>
                <w:szCs w:val="16"/>
                <w:lang w:eastAsia="en-GB"/>
              </w:rPr>
            </w:pPr>
          </w:p>
        </w:tc>
        <w:tc>
          <w:tcPr>
            <w:tcW w:w="529" w:type="pct"/>
            <w:tcBorders>
              <w:top w:val="nil"/>
              <w:left w:val="nil"/>
              <w:bottom w:val="nil"/>
              <w:right w:val="nil"/>
            </w:tcBorders>
            <w:shd w:val="clear" w:color="auto" w:fill="auto"/>
            <w:noWrap/>
            <w:vAlign w:val="center"/>
          </w:tcPr>
          <w:p w14:paraId="1E5DC8BA" w14:textId="77777777" w:rsidR="0074644B" w:rsidRPr="00BB54DF" w:rsidRDefault="0074644B" w:rsidP="007340D2">
            <w:pPr>
              <w:spacing w:after="0"/>
              <w:jc w:val="center"/>
              <w:rPr>
                <w:rFonts w:ascii="Times New Roman" w:hAnsi="Times New Roman"/>
                <w:sz w:val="16"/>
                <w:szCs w:val="16"/>
                <w:lang w:eastAsia="en-GB"/>
              </w:rPr>
            </w:pPr>
          </w:p>
        </w:tc>
        <w:tc>
          <w:tcPr>
            <w:tcW w:w="530" w:type="pct"/>
            <w:tcBorders>
              <w:top w:val="nil"/>
              <w:left w:val="nil"/>
              <w:bottom w:val="nil"/>
              <w:right w:val="nil"/>
            </w:tcBorders>
            <w:shd w:val="clear" w:color="auto" w:fill="auto"/>
            <w:vAlign w:val="center"/>
          </w:tcPr>
          <w:p w14:paraId="0EEA4E62" w14:textId="77777777" w:rsidR="0074644B" w:rsidRPr="00BB54DF" w:rsidRDefault="0074644B" w:rsidP="007340D2">
            <w:pPr>
              <w:spacing w:after="0"/>
              <w:jc w:val="center"/>
              <w:rPr>
                <w:rFonts w:ascii="Times New Roman" w:hAnsi="Times New Roman"/>
                <w:sz w:val="16"/>
                <w:szCs w:val="16"/>
                <w:lang w:eastAsia="en-GB"/>
              </w:rPr>
            </w:pPr>
          </w:p>
        </w:tc>
        <w:tc>
          <w:tcPr>
            <w:tcW w:w="530" w:type="pct"/>
            <w:tcBorders>
              <w:top w:val="nil"/>
              <w:left w:val="nil"/>
              <w:bottom w:val="nil"/>
              <w:right w:val="single" w:sz="4" w:space="0" w:color="auto"/>
            </w:tcBorders>
            <w:shd w:val="clear" w:color="auto" w:fill="auto"/>
          </w:tcPr>
          <w:p w14:paraId="4DCDABAA" w14:textId="77777777" w:rsidR="0074644B" w:rsidRPr="00BB54DF" w:rsidRDefault="0074644B" w:rsidP="007340D2">
            <w:pPr>
              <w:spacing w:after="0"/>
              <w:jc w:val="center"/>
              <w:rPr>
                <w:rFonts w:ascii="Times New Roman" w:hAnsi="Times New Roman"/>
                <w:sz w:val="16"/>
                <w:szCs w:val="16"/>
                <w:lang w:eastAsia="en-GB"/>
              </w:rPr>
            </w:pPr>
          </w:p>
        </w:tc>
        <w:tc>
          <w:tcPr>
            <w:tcW w:w="522" w:type="pct"/>
            <w:tcBorders>
              <w:left w:val="single" w:sz="4" w:space="0" w:color="auto"/>
              <w:right w:val="nil"/>
            </w:tcBorders>
            <w:shd w:val="clear" w:color="auto" w:fill="auto"/>
            <w:vAlign w:val="center"/>
          </w:tcPr>
          <w:p w14:paraId="663F7D16" w14:textId="77777777" w:rsidR="0074644B" w:rsidRPr="00BB54DF" w:rsidRDefault="0074644B" w:rsidP="007340D2">
            <w:pPr>
              <w:spacing w:after="0"/>
              <w:jc w:val="center"/>
              <w:rPr>
                <w:rFonts w:ascii="Times New Roman" w:hAnsi="Times New Roman"/>
                <w:sz w:val="16"/>
                <w:szCs w:val="16"/>
                <w:lang w:eastAsia="en-GB"/>
              </w:rPr>
            </w:pPr>
          </w:p>
        </w:tc>
        <w:tc>
          <w:tcPr>
            <w:tcW w:w="524" w:type="pct"/>
            <w:gridSpan w:val="2"/>
            <w:tcBorders>
              <w:left w:val="nil"/>
              <w:right w:val="nil"/>
            </w:tcBorders>
            <w:shd w:val="clear" w:color="auto" w:fill="auto"/>
            <w:vAlign w:val="center"/>
          </w:tcPr>
          <w:p w14:paraId="2CAE9726" w14:textId="77777777" w:rsidR="0074644B" w:rsidRPr="00BB54DF" w:rsidRDefault="0074644B" w:rsidP="007340D2">
            <w:pPr>
              <w:spacing w:after="0"/>
              <w:jc w:val="center"/>
              <w:rPr>
                <w:rFonts w:ascii="Times New Roman" w:hAnsi="Times New Roman"/>
                <w:sz w:val="16"/>
                <w:szCs w:val="16"/>
                <w:lang w:eastAsia="en-GB"/>
              </w:rPr>
            </w:pPr>
          </w:p>
        </w:tc>
        <w:tc>
          <w:tcPr>
            <w:tcW w:w="523" w:type="pct"/>
            <w:gridSpan w:val="2"/>
            <w:tcBorders>
              <w:left w:val="nil"/>
              <w:right w:val="nil"/>
            </w:tcBorders>
            <w:shd w:val="clear" w:color="auto" w:fill="auto"/>
            <w:vAlign w:val="center"/>
          </w:tcPr>
          <w:p w14:paraId="40E964B2" w14:textId="77777777" w:rsidR="0074644B" w:rsidRPr="00BB54DF" w:rsidRDefault="0074644B" w:rsidP="007340D2">
            <w:pPr>
              <w:spacing w:after="0"/>
              <w:jc w:val="center"/>
              <w:rPr>
                <w:rFonts w:ascii="Times New Roman" w:hAnsi="Times New Roman"/>
                <w:sz w:val="16"/>
                <w:szCs w:val="16"/>
                <w:lang w:eastAsia="en-GB"/>
              </w:rPr>
            </w:pPr>
          </w:p>
        </w:tc>
        <w:tc>
          <w:tcPr>
            <w:tcW w:w="524" w:type="pct"/>
            <w:gridSpan w:val="2"/>
            <w:tcBorders>
              <w:left w:val="nil"/>
              <w:right w:val="nil"/>
            </w:tcBorders>
            <w:shd w:val="clear" w:color="auto" w:fill="auto"/>
            <w:vAlign w:val="center"/>
          </w:tcPr>
          <w:p w14:paraId="54C8DCFA" w14:textId="77777777" w:rsidR="0074644B" w:rsidRPr="00BB54DF" w:rsidRDefault="0074644B" w:rsidP="007340D2">
            <w:pPr>
              <w:spacing w:after="0"/>
              <w:jc w:val="center"/>
              <w:rPr>
                <w:rFonts w:ascii="Times New Roman" w:hAnsi="Times New Roman"/>
                <w:sz w:val="16"/>
                <w:szCs w:val="16"/>
                <w:lang w:eastAsia="en-GB"/>
              </w:rPr>
            </w:pPr>
          </w:p>
        </w:tc>
      </w:tr>
      <w:tr w:rsidR="0074644B" w:rsidRPr="00BB54DF" w14:paraId="2D7AF36A"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732BFF8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No</w:t>
            </w:r>
          </w:p>
        </w:tc>
        <w:tc>
          <w:tcPr>
            <w:tcW w:w="529" w:type="pct"/>
            <w:tcBorders>
              <w:top w:val="nil"/>
              <w:left w:val="single" w:sz="4" w:space="0" w:color="auto"/>
              <w:bottom w:val="nil"/>
              <w:right w:val="nil"/>
            </w:tcBorders>
            <w:shd w:val="clear" w:color="auto" w:fill="auto"/>
            <w:noWrap/>
            <w:vAlign w:val="center"/>
          </w:tcPr>
          <w:p w14:paraId="79F79EC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28,093 (52.0)</w:t>
            </w:r>
          </w:p>
        </w:tc>
        <w:tc>
          <w:tcPr>
            <w:tcW w:w="529" w:type="pct"/>
            <w:tcBorders>
              <w:top w:val="nil"/>
              <w:left w:val="nil"/>
              <w:bottom w:val="nil"/>
              <w:right w:val="nil"/>
            </w:tcBorders>
            <w:shd w:val="clear" w:color="auto" w:fill="auto"/>
            <w:noWrap/>
            <w:vAlign w:val="center"/>
          </w:tcPr>
          <w:p w14:paraId="2B945C4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1,423 (54.5)</w:t>
            </w:r>
          </w:p>
        </w:tc>
        <w:tc>
          <w:tcPr>
            <w:tcW w:w="530" w:type="pct"/>
            <w:tcBorders>
              <w:top w:val="nil"/>
              <w:left w:val="nil"/>
              <w:bottom w:val="nil"/>
              <w:right w:val="nil"/>
            </w:tcBorders>
            <w:shd w:val="clear" w:color="auto" w:fill="auto"/>
            <w:vAlign w:val="center"/>
          </w:tcPr>
          <w:p w14:paraId="75A47A4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4784 (53.6)</w:t>
            </w:r>
          </w:p>
        </w:tc>
        <w:tc>
          <w:tcPr>
            <w:tcW w:w="530" w:type="pct"/>
            <w:tcBorders>
              <w:top w:val="nil"/>
              <w:left w:val="nil"/>
              <w:bottom w:val="nil"/>
              <w:right w:val="single" w:sz="4" w:space="0" w:color="auto"/>
            </w:tcBorders>
            <w:shd w:val="clear" w:color="auto" w:fill="auto"/>
            <w:vAlign w:val="center"/>
          </w:tcPr>
          <w:p w14:paraId="41F43DB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1329 (54.3)</w:t>
            </w:r>
          </w:p>
        </w:tc>
        <w:tc>
          <w:tcPr>
            <w:tcW w:w="522" w:type="pct"/>
            <w:tcBorders>
              <w:left w:val="single" w:sz="4" w:space="0" w:color="auto"/>
              <w:right w:val="nil"/>
            </w:tcBorders>
            <w:shd w:val="clear" w:color="auto" w:fill="auto"/>
            <w:vAlign w:val="center"/>
          </w:tcPr>
          <w:p w14:paraId="51EFED8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30,904 (75.7)</w:t>
            </w:r>
          </w:p>
        </w:tc>
        <w:tc>
          <w:tcPr>
            <w:tcW w:w="524" w:type="pct"/>
            <w:gridSpan w:val="2"/>
            <w:tcBorders>
              <w:left w:val="nil"/>
              <w:right w:val="nil"/>
            </w:tcBorders>
            <w:shd w:val="clear" w:color="auto" w:fill="auto"/>
            <w:vAlign w:val="center"/>
          </w:tcPr>
          <w:p w14:paraId="7C78CE7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1,159 (82.3)</w:t>
            </w:r>
          </w:p>
        </w:tc>
        <w:tc>
          <w:tcPr>
            <w:tcW w:w="523" w:type="pct"/>
            <w:gridSpan w:val="2"/>
            <w:tcBorders>
              <w:left w:val="nil"/>
              <w:right w:val="nil"/>
            </w:tcBorders>
            <w:shd w:val="clear" w:color="auto" w:fill="auto"/>
            <w:vAlign w:val="center"/>
          </w:tcPr>
          <w:p w14:paraId="419513A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5,324 (81.3)</w:t>
            </w:r>
          </w:p>
        </w:tc>
        <w:tc>
          <w:tcPr>
            <w:tcW w:w="524" w:type="pct"/>
            <w:gridSpan w:val="2"/>
            <w:tcBorders>
              <w:left w:val="nil"/>
              <w:right w:val="nil"/>
            </w:tcBorders>
            <w:shd w:val="clear" w:color="auto" w:fill="auto"/>
            <w:vAlign w:val="center"/>
          </w:tcPr>
          <w:p w14:paraId="0F1ED91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1,150 (82.2)</w:t>
            </w:r>
          </w:p>
        </w:tc>
      </w:tr>
      <w:tr w:rsidR="0074644B" w:rsidRPr="00BB54DF" w14:paraId="43DDAFBF"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60D8FBD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Ex</w:t>
            </w:r>
          </w:p>
        </w:tc>
        <w:tc>
          <w:tcPr>
            <w:tcW w:w="529" w:type="pct"/>
            <w:tcBorders>
              <w:top w:val="nil"/>
              <w:left w:val="single" w:sz="4" w:space="0" w:color="auto"/>
              <w:bottom w:val="nil"/>
              <w:right w:val="nil"/>
            </w:tcBorders>
            <w:shd w:val="clear" w:color="auto" w:fill="auto"/>
            <w:noWrap/>
            <w:vAlign w:val="center"/>
          </w:tcPr>
          <w:p w14:paraId="7F42CBE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19,910 (36.9)</w:t>
            </w:r>
          </w:p>
        </w:tc>
        <w:tc>
          <w:tcPr>
            <w:tcW w:w="529" w:type="pct"/>
            <w:tcBorders>
              <w:top w:val="nil"/>
              <w:left w:val="nil"/>
              <w:bottom w:val="nil"/>
              <w:right w:val="nil"/>
            </w:tcBorders>
            <w:shd w:val="clear" w:color="auto" w:fill="auto"/>
            <w:noWrap/>
            <w:vAlign w:val="center"/>
          </w:tcPr>
          <w:p w14:paraId="409685B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966 (37.0)</w:t>
            </w:r>
          </w:p>
        </w:tc>
        <w:tc>
          <w:tcPr>
            <w:tcW w:w="530" w:type="pct"/>
            <w:tcBorders>
              <w:top w:val="nil"/>
              <w:left w:val="nil"/>
              <w:bottom w:val="nil"/>
              <w:right w:val="nil"/>
            </w:tcBorders>
            <w:shd w:val="clear" w:color="auto" w:fill="auto"/>
            <w:vAlign w:val="center"/>
          </w:tcPr>
          <w:p w14:paraId="6993802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3295 (36.9)</w:t>
            </w:r>
          </w:p>
        </w:tc>
        <w:tc>
          <w:tcPr>
            <w:tcW w:w="530" w:type="pct"/>
            <w:tcBorders>
              <w:top w:val="nil"/>
              <w:left w:val="nil"/>
              <w:bottom w:val="nil"/>
              <w:right w:val="single" w:sz="4" w:space="0" w:color="auto"/>
            </w:tcBorders>
            <w:shd w:val="clear" w:color="auto" w:fill="auto"/>
            <w:vAlign w:val="center"/>
          </w:tcPr>
          <w:p w14:paraId="5AA7985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906 (37.0)</w:t>
            </w:r>
          </w:p>
        </w:tc>
        <w:tc>
          <w:tcPr>
            <w:tcW w:w="522" w:type="pct"/>
            <w:tcBorders>
              <w:left w:val="single" w:sz="4" w:space="0" w:color="auto"/>
              <w:right w:val="nil"/>
            </w:tcBorders>
            <w:shd w:val="clear" w:color="auto" w:fill="auto"/>
            <w:vAlign w:val="center"/>
          </w:tcPr>
          <w:p w14:paraId="6A8BB1A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6,515 (16.0)</w:t>
            </w:r>
          </w:p>
        </w:tc>
        <w:tc>
          <w:tcPr>
            <w:tcW w:w="524" w:type="pct"/>
            <w:gridSpan w:val="2"/>
            <w:tcBorders>
              <w:left w:val="nil"/>
              <w:right w:val="nil"/>
            </w:tcBorders>
            <w:shd w:val="clear" w:color="auto" w:fill="auto"/>
            <w:vAlign w:val="center"/>
          </w:tcPr>
          <w:p w14:paraId="0C2AECB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158 (11.2)</w:t>
            </w:r>
          </w:p>
        </w:tc>
        <w:tc>
          <w:tcPr>
            <w:tcW w:w="523" w:type="pct"/>
            <w:gridSpan w:val="2"/>
            <w:tcBorders>
              <w:left w:val="nil"/>
              <w:right w:val="nil"/>
            </w:tcBorders>
            <w:shd w:val="clear" w:color="auto" w:fill="auto"/>
            <w:vAlign w:val="center"/>
          </w:tcPr>
          <w:p w14:paraId="65C735C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776 (11.9)</w:t>
            </w:r>
          </w:p>
        </w:tc>
        <w:tc>
          <w:tcPr>
            <w:tcW w:w="524" w:type="pct"/>
            <w:gridSpan w:val="2"/>
            <w:tcBorders>
              <w:left w:val="nil"/>
              <w:right w:val="nil"/>
            </w:tcBorders>
            <w:shd w:val="clear" w:color="auto" w:fill="auto"/>
            <w:vAlign w:val="center"/>
          </w:tcPr>
          <w:p w14:paraId="2666768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158 (11.3)</w:t>
            </w:r>
          </w:p>
        </w:tc>
      </w:tr>
      <w:tr w:rsidR="0074644B" w:rsidRPr="00BB54DF" w14:paraId="70B0EA2D"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2AAC0DA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Yes</w:t>
            </w:r>
          </w:p>
        </w:tc>
        <w:tc>
          <w:tcPr>
            <w:tcW w:w="529" w:type="pct"/>
            <w:tcBorders>
              <w:top w:val="nil"/>
              <w:left w:val="single" w:sz="4" w:space="0" w:color="auto"/>
              <w:bottom w:val="nil"/>
              <w:right w:val="nil"/>
            </w:tcBorders>
            <w:shd w:val="clear" w:color="auto" w:fill="auto"/>
            <w:noWrap/>
            <w:vAlign w:val="center"/>
          </w:tcPr>
          <w:p w14:paraId="25947C4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5,983 (11.1)</w:t>
            </w:r>
          </w:p>
        </w:tc>
        <w:tc>
          <w:tcPr>
            <w:tcW w:w="529" w:type="pct"/>
            <w:tcBorders>
              <w:top w:val="nil"/>
              <w:left w:val="nil"/>
              <w:bottom w:val="nil"/>
              <w:right w:val="nil"/>
            </w:tcBorders>
            <w:shd w:val="clear" w:color="auto" w:fill="auto"/>
            <w:noWrap/>
            <w:vAlign w:val="center"/>
          </w:tcPr>
          <w:p w14:paraId="4C70D45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224 (8.6)</w:t>
            </w:r>
          </w:p>
        </w:tc>
        <w:tc>
          <w:tcPr>
            <w:tcW w:w="530" w:type="pct"/>
            <w:tcBorders>
              <w:top w:val="nil"/>
              <w:left w:val="nil"/>
              <w:bottom w:val="nil"/>
              <w:right w:val="nil"/>
            </w:tcBorders>
            <w:shd w:val="clear" w:color="auto" w:fill="auto"/>
            <w:vAlign w:val="center"/>
          </w:tcPr>
          <w:p w14:paraId="1F8EBC9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852 (9.5)</w:t>
            </w:r>
          </w:p>
        </w:tc>
        <w:tc>
          <w:tcPr>
            <w:tcW w:w="530" w:type="pct"/>
            <w:tcBorders>
              <w:top w:val="nil"/>
              <w:left w:val="nil"/>
              <w:bottom w:val="nil"/>
              <w:right w:val="single" w:sz="4" w:space="0" w:color="auto"/>
            </w:tcBorders>
            <w:shd w:val="clear" w:color="auto" w:fill="auto"/>
            <w:vAlign w:val="center"/>
          </w:tcPr>
          <w:p w14:paraId="41E59C0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212 (8.7)</w:t>
            </w:r>
          </w:p>
        </w:tc>
        <w:tc>
          <w:tcPr>
            <w:tcW w:w="522" w:type="pct"/>
            <w:tcBorders>
              <w:left w:val="single" w:sz="4" w:space="0" w:color="auto"/>
              <w:right w:val="nil"/>
            </w:tcBorders>
            <w:shd w:val="clear" w:color="auto" w:fill="auto"/>
            <w:vAlign w:val="center"/>
          </w:tcPr>
          <w:p w14:paraId="20A0D5E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3,381 (8.3)</w:t>
            </w:r>
          </w:p>
        </w:tc>
        <w:tc>
          <w:tcPr>
            <w:tcW w:w="524" w:type="pct"/>
            <w:gridSpan w:val="2"/>
            <w:tcBorders>
              <w:left w:val="nil"/>
              <w:right w:val="nil"/>
            </w:tcBorders>
            <w:shd w:val="clear" w:color="auto" w:fill="auto"/>
            <w:vAlign w:val="center"/>
          </w:tcPr>
          <w:p w14:paraId="553B9CD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91 (6.5)</w:t>
            </w:r>
          </w:p>
        </w:tc>
        <w:tc>
          <w:tcPr>
            <w:tcW w:w="523" w:type="pct"/>
            <w:gridSpan w:val="2"/>
            <w:tcBorders>
              <w:left w:val="nil"/>
              <w:right w:val="nil"/>
            </w:tcBorders>
            <w:shd w:val="clear" w:color="auto" w:fill="auto"/>
            <w:vAlign w:val="center"/>
          </w:tcPr>
          <w:p w14:paraId="6AFCE9B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447 (6.8)</w:t>
            </w:r>
          </w:p>
        </w:tc>
        <w:tc>
          <w:tcPr>
            <w:tcW w:w="524" w:type="pct"/>
            <w:gridSpan w:val="2"/>
            <w:tcBorders>
              <w:left w:val="nil"/>
              <w:right w:val="nil"/>
            </w:tcBorders>
            <w:shd w:val="clear" w:color="auto" w:fill="auto"/>
            <w:vAlign w:val="center"/>
          </w:tcPr>
          <w:p w14:paraId="039E731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91 (6.5)</w:t>
            </w:r>
          </w:p>
        </w:tc>
      </w:tr>
      <w:tr w:rsidR="0074644B" w:rsidRPr="00BB54DF" w14:paraId="733C1777"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4E14B77C" w14:textId="77777777" w:rsidR="0074644B" w:rsidRPr="00BB54DF" w:rsidRDefault="0074644B" w:rsidP="007340D2">
            <w:pPr>
              <w:spacing w:after="0"/>
              <w:jc w:val="center"/>
              <w:rPr>
                <w:rFonts w:ascii="Times New Roman" w:hAnsi="Times New Roman"/>
                <w:sz w:val="16"/>
                <w:szCs w:val="16"/>
                <w:vertAlign w:val="superscript"/>
                <w:lang w:eastAsia="en-GB"/>
              </w:rPr>
            </w:pPr>
            <w:r w:rsidRPr="00BB54DF">
              <w:rPr>
                <w:rFonts w:ascii="Times New Roman" w:hAnsi="Times New Roman"/>
                <w:sz w:val="16"/>
                <w:szCs w:val="16"/>
                <w:lang w:eastAsia="en-GB"/>
              </w:rPr>
              <w:t xml:space="preserve">Drinking category (n, </w:t>
            </w:r>
            <w:proofErr w:type="gramStart"/>
            <w:r w:rsidRPr="00BB54DF">
              <w:rPr>
                <w:rFonts w:ascii="Times New Roman" w:hAnsi="Times New Roman"/>
                <w:sz w:val="16"/>
                <w:szCs w:val="16"/>
                <w:lang w:eastAsia="en-GB"/>
              </w:rPr>
              <w:t>%)</w:t>
            </w:r>
            <w:r w:rsidRPr="00BB54DF">
              <w:rPr>
                <w:rFonts w:ascii="Times New Roman" w:hAnsi="Times New Roman"/>
                <w:sz w:val="16"/>
                <w:szCs w:val="16"/>
                <w:vertAlign w:val="superscript"/>
                <w:lang w:eastAsia="en-GB"/>
              </w:rPr>
              <w:t>c</w:t>
            </w:r>
            <w:proofErr w:type="gramEnd"/>
          </w:p>
        </w:tc>
        <w:tc>
          <w:tcPr>
            <w:tcW w:w="529" w:type="pct"/>
            <w:tcBorders>
              <w:top w:val="nil"/>
              <w:left w:val="single" w:sz="4" w:space="0" w:color="auto"/>
              <w:bottom w:val="nil"/>
              <w:right w:val="nil"/>
            </w:tcBorders>
            <w:shd w:val="clear" w:color="auto" w:fill="auto"/>
            <w:noWrap/>
            <w:vAlign w:val="center"/>
          </w:tcPr>
          <w:p w14:paraId="0BCFE2B2" w14:textId="77777777" w:rsidR="0074644B" w:rsidRPr="00BB54DF" w:rsidRDefault="0074644B" w:rsidP="007340D2">
            <w:pPr>
              <w:spacing w:after="0"/>
              <w:jc w:val="center"/>
              <w:rPr>
                <w:rFonts w:ascii="Times New Roman" w:hAnsi="Times New Roman"/>
                <w:sz w:val="16"/>
                <w:szCs w:val="16"/>
                <w:lang w:eastAsia="en-GB"/>
              </w:rPr>
            </w:pPr>
          </w:p>
        </w:tc>
        <w:tc>
          <w:tcPr>
            <w:tcW w:w="529" w:type="pct"/>
            <w:tcBorders>
              <w:top w:val="nil"/>
              <w:left w:val="nil"/>
              <w:bottom w:val="nil"/>
              <w:right w:val="nil"/>
            </w:tcBorders>
            <w:shd w:val="clear" w:color="auto" w:fill="auto"/>
            <w:noWrap/>
            <w:vAlign w:val="center"/>
          </w:tcPr>
          <w:p w14:paraId="4138878D" w14:textId="77777777" w:rsidR="0074644B" w:rsidRPr="00BB54DF" w:rsidRDefault="0074644B" w:rsidP="007340D2">
            <w:pPr>
              <w:spacing w:after="0"/>
              <w:jc w:val="center"/>
              <w:rPr>
                <w:rFonts w:ascii="Times New Roman" w:hAnsi="Times New Roman"/>
                <w:sz w:val="16"/>
                <w:szCs w:val="16"/>
                <w:lang w:eastAsia="en-GB"/>
              </w:rPr>
            </w:pPr>
          </w:p>
        </w:tc>
        <w:tc>
          <w:tcPr>
            <w:tcW w:w="530" w:type="pct"/>
            <w:tcBorders>
              <w:top w:val="nil"/>
              <w:left w:val="nil"/>
              <w:bottom w:val="nil"/>
              <w:right w:val="nil"/>
            </w:tcBorders>
            <w:shd w:val="clear" w:color="auto" w:fill="auto"/>
            <w:vAlign w:val="center"/>
          </w:tcPr>
          <w:p w14:paraId="30B5119A" w14:textId="77777777" w:rsidR="0074644B" w:rsidRPr="00BB54DF" w:rsidRDefault="0074644B" w:rsidP="007340D2">
            <w:pPr>
              <w:spacing w:after="0"/>
              <w:jc w:val="center"/>
              <w:rPr>
                <w:rFonts w:ascii="Times New Roman" w:hAnsi="Times New Roman"/>
                <w:sz w:val="16"/>
                <w:szCs w:val="16"/>
                <w:lang w:eastAsia="en-GB"/>
              </w:rPr>
            </w:pPr>
          </w:p>
        </w:tc>
        <w:tc>
          <w:tcPr>
            <w:tcW w:w="530" w:type="pct"/>
            <w:tcBorders>
              <w:top w:val="nil"/>
              <w:left w:val="nil"/>
              <w:bottom w:val="nil"/>
              <w:right w:val="single" w:sz="4" w:space="0" w:color="auto"/>
            </w:tcBorders>
            <w:shd w:val="clear" w:color="auto" w:fill="auto"/>
          </w:tcPr>
          <w:p w14:paraId="2D711192" w14:textId="77777777" w:rsidR="0074644B" w:rsidRPr="00BB54DF" w:rsidRDefault="0074644B" w:rsidP="007340D2">
            <w:pPr>
              <w:spacing w:after="0"/>
              <w:jc w:val="center"/>
              <w:rPr>
                <w:rFonts w:ascii="Times New Roman" w:hAnsi="Times New Roman"/>
                <w:sz w:val="16"/>
                <w:szCs w:val="16"/>
                <w:lang w:eastAsia="en-GB"/>
              </w:rPr>
            </w:pPr>
          </w:p>
        </w:tc>
        <w:tc>
          <w:tcPr>
            <w:tcW w:w="522" w:type="pct"/>
            <w:tcBorders>
              <w:left w:val="single" w:sz="4" w:space="0" w:color="auto"/>
              <w:right w:val="nil"/>
            </w:tcBorders>
            <w:shd w:val="clear" w:color="auto" w:fill="auto"/>
            <w:vAlign w:val="center"/>
          </w:tcPr>
          <w:p w14:paraId="65BBD299" w14:textId="77777777" w:rsidR="0074644B" w:rsidRPr="00BB54DF" w:rsidRDefault="0074644B" w:rsidP="007340D2">
            <w:pPr>
              <w:spacing w:after="0"/>
              <w:jc w:val="center"/>
              <w:rPr>
                <w:rFonts w:ascii="Times New Roman" w:hAnsi="Times New Roman"/>
                <w:sz w:val="16"/>
                <w:szCs w:val="16"/>
                <w:lang w:eastAsia="en-GB"/>
              </w:rPr>
            </w:pPr>
          </w:p>
        </w:tc>
        <w:tc>
          <w:tcPr>
            <w:tcW w:w="524" w:type="pct"/>
            <w:gridSpan w:val="2"/>
            <w:tcBorders>
              <w:left w:val="nil"/>
              <w:right w:val="nil"/>
            </w:tcBorders>
            <w:shd w:val="clear" w:color="auto" w:fill="auto"/>
            <w:vAlign w:val="center"/>
          </w:tcPr>
          <w:p w14:paraId="718B1923" w14:textId="77777777" w:rsidR="0074644B" w:rsidRPr="00BB54DF" w:rsidRDefault="0074644B" w:rsidP="007340D2">
            <w:pPr>
              <w:spacing w:after="0"/>
              <w:jc w:val="center"/>
              <w:rPr>
                <w:rFonts w:ascii="Times New Roman" w:hAnsi="Times New Roman"/>
                <w:sz w:val="16"/>
                <w:szCs w:val="16"/>
                <w:lang w:eastAsia="en-GB"/>
              </w:rPr>
            </w:pPr>
          </w:p>
        </w:tc>
        <w:tc>
          <w:tcPr>
            <w:tcW w:w="523" w:type="pct"/>
            <w:gridSpan w:val="2"/>
            <w:tcBorders>
              <w:left w:val="nil"/>
              <w:right w:val="nil"/>
            </w:tcBorders>
            <w:shd w:val="clear" w:color="auto" w:fill="auto"/>
            <w:vAlign w:val="center"/>
          </w:tcPr>
          <w:p w14:paraId="00504097" w14:textId="77777777" w:rsidR="0074644B" w:rsidRPr="00BB54DF" w:rsidRDefault="0074644B" w:rsidP="007340D2">
            <w:pPr>
              <w:spacing w:after="0"/>
              <w:jc w:val="center"/>
              <w:rPr>
                <w:rFonts w:ascii="Times New Roman" w:hAnsi="Times New Roman"/>
                <w:sz w:val="16"/>
                <w:szCs w:val="16"/>
                <w:lang w:eastAsia="en-GB"/>
              </w:rPr>
            </w:pPr>
          </w:p>
        </w:tc>
        <w:tc>
          <w:tcPr>
            <w:tcW w:w="524" w:type="pct"/>
            <w:gridSpan w:val="2"/>
            <w:tcBorders>
              <w:left w:val="nil"/>
              <w:right w:val="nil"/>
            </w:tcBorders>
            <w:shd w:val="clear" w:color="auto" w:fill="auto"/>
            <w:vAlign w:val="center"/>
          </w:tcPr>
          <w:p w14:paraId="21CA917C" w14:textId="77777777" w:rsidR="0074644B" w:rsidRPr="00BB54DF" w:rsidRDefault="0074644B" w:rsidP="007340D2">
            <w:pPr>
              <w:spacing w:after="0"/>
              <w:jc w:val="center"/>
              <w:rPr>
                <w:rFonts w:ascii="Times New Roman" w:hAnsi="Times New Roman"/>
                <w:sz w:val="16"/>
                <w:szCs w:val="16"/>
                <w:lang w:eastAsia="en-GB"/>
              </w:rPr>
            </w:pPr>
          </w:p>
        </w:tc>
      </w:tr>
      <w:tr w:rsidR="0074644B" w:rsidRPr="00BB54DF" w14:paraId="76EED199"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635D1B2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No</w:t>
            </w:r>
          </w:p>
        </w:tc>
        <w:tc>
          <w:tcPr>
            <w:tcW w:w="529" w:type="pct"/>
            <w:tcBorders>
              <w:top w:val="nil"/>
              <w:left w:val="single" w:sz="4" w:space="0" w:color="auto"/>
              <w:bottom w:val="nil"/>
              <w:right w:val="nil"/>
            </w:tcBorders>
            <w:shd w:val="clear" w:color="auto" w:fill="auto"/>
            <w:noWrap/>
            <w:vAlign w:val="center"/>
          </w:tcPr>
          <w:p w14:paraId="05E788C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14,621 (27.1)</w:t>
            </w:r>
          </w:p>
        </w:tc>
        <w:tc>
          <w:tcPr>
            <w:tcW w:w="529" w:type="pct"/>
            <w:tcBorders>
              <w:top w:val="nil"/>
              <w:left w:val="nil"/>
              <w:bottom w:val="nil"/>
              <w:right w:val="nil"/>
            </w:tcBorders>
            <w:shd w:val="clear" w:color="auto" w:fill="auto"/>
            <w:noWrap/>
            <w:vAlign w:val="center"/>
          </w:tcPr>
          <w:p w14:paraId="1E77EDF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781 (29.9)</w:t>
            </w:r>
          </w:p>
        </w:tc>
        <w:tc>
          <w:tcPr>
            <w:tcW w:w="530" w:type="pct"/>
            <w:tcBorders>
              <w:top w:val="nil"/>
              <w:left w:val="nil"/>
              <w:bottom w:val="nil"/>
              <w:right w:val="nil"/>
            </w:tcBorders>
            <w:shd w:val="clear" w:color="auto" w:fill="auto"/>
            <w:vAlign w:val="center"/>
          </w:tcPr>
          <w:p w14:paraId="79F0561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2663 (29.8)</w:t>
            </w:r>
          </w:p>
        </w:tc>
        <w:tc>
          <w:tcPr>
            <w:tcW w:w="530" w:type="pct"/>
            <w:tcBorders>
              <w:top w:val="nil"/>
              <w:left w:val="nil"/>
              <w:bottom w:val="nil"/>
              <w:right w:val="single" w:sz="4" w:space="0" w:color="auto"/>
            </w:tcBorders>
            <w:shd w:val="clear" w:color="auto" w:fill="auto"/>
            <w:vAlign w:val="center"/>
          </w:tcPr>
          <w:p w14:paraId="1422E5B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734 (30.0)</w:t>
            </w:r>
          </w:p>
        </w:tc>
        <w:tc>
          <w:tcPr>
            <w:tcW w:w="522" w:type="pct"/>
            <w:tcBorders>
              <w:left w:val="single" w:sz="4" w:space="0" w:color="auto"/>
              <w:right w:val="nil"/>
            </w:tcBorders>
            <w:shd w:val="clear" w:color="auto" w:fill="auto"/>
            <w:vAlign w:val="center"/>
          </w:tcPr>
          <w:p w14:paraId="19D3EDB5"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4" w:type="pct"/>
            <w:gridSpan w:val="2"/>
            <w:tcBorders>
              <w:left w:val="nil"/>
              <w:right w:val="nil"/>
            </w:tcBorders>
            <w:shd w:val="clear" w:color="auto" w:fill="auto"/>
            <w:vAlign w:val="center"/>
          </w:tcPr>
          <w:p w14:paraId="72530A20"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3" w:type="pct"/>
            <w:gridSpan w:val="2"/>
            <w:tcBorders>
              <w:left w:val="nil"/>
              <w:right w:val="nil"/>
            </w:tcBorders>
            <w:shd w:val="clear" w:color="auto" w:fill="auto"/>
            <w:vAlign w:val="center"/>
          </w:tcPr>
          <w:p w14:paraId="76B85180"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4" w:type="pct"/>
            <w:gridSpan w:val="2"/>
            <w:tcBorders>
              <w:left w:val="nil"/>
              <w:right w:val="nil"/>
            </w:tcBorders>
            <w:shd w:val="clear" w:color="auto" w:fill="auto"/>
            <w:vAlign w:val="center"/>
          </w:tcPr>
          <w:p w14:paraId="181BA0A6"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r>
      <w:tr w:rsidR="0074644B" w:rsidRPr="00BB54DF" w14:paraId="57EFC09F"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42EBDDD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Ex</w:t>
            </w:r>
          </w:p>
        </w:tc>
        <w:tc>
          <w:tcPr>
            <w:tcW w:w="529" w:type="pct"/>
            <w:tcBorders>
              <w:top w:val="nil"/>
              <w:left w:val="single" w:sz="4" w:space="0" w:color="auto"/>
              <w:bottom w:val="nil"/>
              <w:right w:val="nil"/>
            </w:tcBorders>
            <w:shd w:val="clear" w:color="auto" w:fill="auto"/>
            <w:noWrap/>
            <w:vAlign w:val="center"/>
          </w:tcPr>
          <w:p w14:paraId="6DAAFD6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2,117 (3.9)</w:t>
            </w:r>
          </w:p>
        </w:tc>
        <w:tc>
          <w:tcPr>
            <w:tcW w:w="529" w:type="pct"/>
            <w:tcBorders>
              <w:top w:val="nil"/>
              <w:left w:val="nil"/>
              <w:bottom w:val="nil"/>
              <w:right w:val="nil"/>
            </w:tcBorders>
            <w:shd w:val="clear" w:color="auto" w:fill="auto"/>
            <w:noWrap/>
            <w:vAlign w:val="center"/>
          </w:tcPr>
          <w:p w14:paraId="53C7AF3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126 (4.8)</w:t>
            </w:r>
          </w:p>
        </w:tc>
        <w:tc>
          <w:tcPr>
            <w:tcW w:w="530" w:type="pct"/>
            <w:tcBorders>
              <w:top w:val="nil"/>
              <w:left w:val="nil"/>
              <w:bottom w:val="nil"/>
              <w:right w:val="nil"/>
            </w:tcBorders>
            <w:shd w:val="clear" w:color="auto" w:fill="auto"/>
            <w:vAlign w:val="center"/>
          </w:tcPr>
          <w:p w14:paraId="2E9961F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400 (4.5)</w:t>
            </w:r>
          </w:p>
        </w:tc>
        <w:tc>
          <w:tcPr>
            <w:tcW w:w="530" w:type="pct"/>
            <w:tcBorders>
              <w:top w:val="nil"/>
              <w:left w:val="nil"/>
              <w:bottom w:val="nil"/>
              <w:right w:val="single" w:sz="4" w:space="0" w:color="auto"/>
            </w:tcBorders>
            <w:shd w:val="clear" w:color="auto" w:fill="auto"/>
            <w:vAlign w:val="center"/>
          </w:tcPr>
          <w:p w14:paraId="4D5109A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118 (4.8)</w:t>
            </w:r>
          </w:p>
        </w:tc>
        <w:tc>
          <w:tcPr>
            <w:tcW w:w="522" w:type="pct"/>
            <w:tcBorders>
              <w:left w:val="single" w:sz="4" w:space="0" w:color="auto"/>
              <w:right w:val="nil"/>
            </w:tcBorders>
            <w:shd w:val="clear" w:color="auto" w:fill="auto"/>
            <w:vAlign w:val="center"/>
          </w:tcPr>
          <w:p w14:paraId="38ECA808"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4" w:type="pct"/>
            <w:gridSpan w:val="2"/>
            <w:tcBorders>
              <w:left w:val="nil"/>
              <w:right w:val="nil"/>
            </w:tcBorders>
            <w:shd w:val="clear" w:color="auto" w:fill="auto"/>
            <w:vAlign w:val="center"/>
          </w:tcPr>
          <w:p w14:paraId="69F71C9C"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3" w:type="pct"/>
            <w:gridSpan w:val="2"/>
            <w:tcBorders>
              <w:left w:val="nil"/>
              <w:right w:val="nil"/>
            </w:tcBorders>
            <w:shd w:val="clear" w:color="auto" w:fill="auto"/>
            <w:vAlign w:val="center"/>
          </w:tcPr>
          <w:p w14:paraId="4811877B"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4" w:type="pct"/>
            <w:gridSpan w:val="2"/>
            <w:tcBorders>
              <w:left w:val="nil"/>
              <w:right w:val="nil"/>
            </w:tcBorders>
            <w:shd w:val="clear" w:color="auto" w:fill="auto"/>
            <w:vAlign w:val="center"/>
          </w:tcPr>
          <w:p w14:paraId="6387485B"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r>
      <w:tr w:rsidR="0074644B" w:rsidRPr="00BB54DF" w14:paraId="623AE371"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23BD6D6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Yes</w:t>
            </w:r>
          </w:p>
        </w:tc>
        <w:tc>
          <w:tcPr>
            <w:tcW w:w="529" w:type="pct"/>
            <w:tcBorders>
              <w:top w:val="nil"/>
              <w:left w:val="single" w:sz="4" w:space="0" w:color="auto"/>
              <w:bottom w:val="nil"/>
              <w:right w:val="nil"/>
            </w:tcBorders>
            <w:shd w:val="clear" w:color="auto" w:fill="auto"/>
            <w:noWrap/>
            <w:vAlign w:val="center"/>
          </w:tcPr>
          <w:p w14:paraId="3519DF0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37,248 (69.0)</w:t>
            </w:r>
          </w:p>
        </w:tc>
        <w:tc>
          <w:tcPr>
            <w:tcW w:w="529" w:type="pct"/>
            <w:tcBorders>
              <w:top w:val="nil"/>
              <w:left w:val="nil"/>
              <w:bottom w:val="nil"/>
              <w:right w:val="nil"/>
            </w:tcBorders>
            <w:shd w:val="clear" w:color="auto" w:fill="auto"/>
            <w:noWrap/>
            <w:vAlign w:val="center"/>
          </w:tcPr>
          <w:p w14:paraId="3C8D0F1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1706 (65.3)</w:t>
            </w:r>
          </w:p>
        </w:tc>
        <w:tc>
          <w:tcPr>
            <w:tcW w:w="530" w:type="pct"/>
            <w:tcBorders>
              <w:top w:val="nil"/>
              <w:left w:val="nil"/>
              <w:bottom w:val="nil"/>
              <w:right w:val="nil"/>
            </w:tcBorders>
            <w:shd w:val="clear" w:color="auto" w:fill="auto"/>
            <w:vAlign w:val="center"/>
          </w:tcPr>
          <w:p w14:paraId="0A89BF0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5868 (65.7)</w:t>
            </w:r>
          </w:p>
        </w:tc>
        <w:tc>
          <w:tcPr>
            <w:tcW w:w="530" w:type="pct"/>
            <w:tcBorders>
              <w:top w:val="nil"/>
              <w:left w:val="nil"/>
              <w:bottom w:val="nil"/>
              <w:right w:val="single" w:sz="4" w:space="0" w:color="auto"/>
            </w:tcBorders>
            <w:shd w:val="clear" w:color="auto" w:fill="auto"/>
            <w:vAlign w:val="center"/>
          </w:tcPr>
          <w:p w14:paraId="6171395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1595 (65.2)</w:t>
            </w:r>
          </w:p>
        </w:tc>
        <w:tc>
          <w:tcPr>
            <w:tcW w:w="522" w:type="pct"/>
            <w:tcBorders>
              <w:left w:val="single" w:sz="4" w:space="0" w:color="auto"/>
              <w:right w:val="nil"/>
            </w:tcBorders>
            <w:shd w:val="clear" w:color="auto" w:fill="auto"/>
            <w:vAlign w:val="center"/>
          </w:tcPr>
          <w:p w14:paraId="4FB0BBDB"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4" w:type="pct"/>
            <w:gridSpan w:val="2"/>
            <w:tcBorders>
              <w:left w:val="nil"/>
              <w:right w:val="nil"/>
            </w:tcBorders>
            <w:shd w:val="clear" w:color="auto" w:fill="auto"/>
            <w:vAlign w:val="center"/>
          </w:tcPr>
          <w:p w14:paraId="4A239BD2"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3" w:type="pct"/>
            <w:gridSpan w:val="2"/>
            <w:tcBorders>
              <w:left w:val="nil"/>
              <w:right w:val="nil"/>
            </w:tcBorders>
            <w:shd w:val="clear" w:color="auto" w:fill="auto"/>
            <w:vAlign w:val="center"/>
          </w:tcPr>
          <w:p w14:paraId="531DAA45"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4" w:type="pct"/>
            <w:gridSpan w:val="2"/>
            <w:tcBorders>
              <w:left w:val="nil"/>
              <w:right w:val="nil"/>
            </w:tcBorders>
            <w:shd w:val="clear" w:color="auto" w:fill="auto"/>
            <w:vAlign w:val="center"/>
          </w:tcPr>
          <w:p w14:paraId="3419F0E2"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r>
      <w:tr w:rsidR="0074644B" w:rsidRPr="00BB54DF" w14:paraId="2E09F65F"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083461F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eGFR category (ml/min/1.73 m</w:t>
            </w:r>
            <w:r w:rsidRPr="00BB54DF">
              <w:rPr>
                <w:rFonts w:ascii="Times New Roman" w:hAnsi="Times New Roman"/>
                <w:sz w:val="16"/>
                <w:szCs w:val="16"/>
                <w:vertAlign w:val="superscript"/>
                <w:lang w:eastAsia="en-GB"/>
              </w:rPr>
              <w:t>2</w:t>
            </w:r>
            <w:r w:rsidRPr="00BB54DF">
              <w:rPr>
                <w:rFonts w:ascii="Times New Roman" w:hAnsi="Times New Roman"/>
                <w:sz w:val="16"/>
                <w:szCs w:val="16"/>
                <w:lang w:eastAsia="en-GB"/>
              </w:rPr>
              <w:t>) (n, %)</w:t>
            </w:r>
          </w:p>
        </w:tc>
        <w:tc>
          <w:tcPr>
            <w:tcW w:w="529" w:type="pct"/>
            <w:tcBorders>
              <w:top w:val="nil"/>
              <w:left w:val="single" w:sz="4" w:space="0" w:color="auto"/>
              <w:bottom w:val="nil"/>
              <w:right w:val="nil"/>
            </w:tcBorders>
            <w:shd w:val="clear" w:color="auto" w:fill="auto"/>
            <w:noWrap/>
            <w:vAlign w:val="center"/>
          </w:tcPr>
          <w:p w14:paraId="5C9FC4A8" w14:textId="77777777" w:rsidR="0074644B" w:rsidRPr="00BB54DF" w:rsidRDefault="0074644B" w:rsidP="007340D2">
            <w:pPr>
              <w:spacing w:after="0"/>
              <w:jc w:val="center"/>
              <w:rPr>
                <w:rFonts w:ascii="Times New Roman" w:hAnsi="Times New Roman"/>
                <w:sz w:val="16"/>
                <w:szCs w:val="16"/>
                <w:lang w:eastAsia="en-GB"/>
              </w:rPr>
            </w:pPr>
          </w:p>
        </w:tc>
        <w:tc>
          <w:tcPr>
            <w:tcW w:w="529" w:type="pct"/>
            <w:tcBorders>
              <w:top w:val="nil"/>
              <w:left w:val="nil"/>
              <w:bottom w:val="nil"/>
              <w:right w:val="nil"/>
            </w:tcBorders>
            <w:shd w:val="clear" w:color="auto" w:fill="auto"/>
            <w:noWrap/>
            <w:vAlign w:val="center"/>
          </w:tcPr>
          <w:p w14:paraId="78483F23" w14:textId="77777777" w:rsidR="0074644B" w:rsidRPr="00BB54DF" w:rsidRDefault="0074644B" w:rsidP="007340D2">
            <w:pPr>
              <w:spacing w:after="0"/>
              <w:jc w:val="center"/>
              <w:rPr>
                <w:rFonts w:ascii="Times New Roman" w:hAnsi="Times New Roman"/>
                <w:sz w:val="16"/>
                <w:szCs w:val="16"/>
                <w:lang w:eastAsia="en-GB"/>
              </w:rPr>
            </w:pPr>
          </w:p>
        </w:tc>
        <w:tc>
          <w:tcPr>
            <w:tcW w:w="530" w:type="pct"/>
            <w:tcBorders>
              <w:top w:val="nil"/>
              <w:left w:val="nil"/>
              <w:bottom w:val="nil"/>
              <w:right w:val="nil"/>
            </w:tcBorders>
            <w:shd w:val="clear" w:color="auto" w:fill="auto"/>
            <w:vAlign w:val="center"/>
          </w:tcPr>
          <w:p w14:paraId="06AB2751" w14:textId="77777777" w:rsidR="0074644B" w:rsidRPr="00BB54DF" w:rsidRDefault="0074644B" w:rsidP="007340D2">
            <w:pPr>
              <w:spacing w:after="0"/>
              <w:jc w:val="center"/>
              <w:rPr>
                <w:rFonts w:ascii="Times New Roman" w:hAnsi="Times New Roman"/>
                <w:sz w:val="16"/>
                <w:szCs w:val="16"/>
                <w:lang w:eastAsia="en-GB"/>
              </w:rPr>
            </w:pPr>
          </w:p>
        </w:tc>
        <w:tc>
          <w:tcPr>
            <w:tcW w:w="530" w:type="pct"/>
            <w:tcBorders>
              <w:top w:val="nil"/>
              <w:left w:val="nil"/>
              <w:bottom w:val="nil"/>
              <w:right w:val="single" w:sz="4" w:space="0" w:color="auto"/>
            </w:tcBorders>
            <w:shd w:val="clear" w:color="auto" w:fill="auto"/>
          </w:tcPr>
          <w:p w14:paraId="6F0FFCCE" w14:textId="77777777" w:rsidR="0074644B" w:rsidRPr="00BB54DF" w:rsidRDefault="0074644B" w:rsidP="007340D2">
            <w:pPr>
              <w:spacing w:after="0"/>
              <w:jc w:val="center"/>
              <w:rPr>
                <w:rFonts w:ascii="Times New Roman" w:hAnsi="Times New Roman"/>
                <w:sz w:val="16"/>
                <w:szCs w:val="16"/>
                <w:lang w:eastAsia="en-GB"/>
              </w:rPr>
            </w:pPr>
          </w:p>
        </w:tc>
        <w:tc>
          <w:tcPr>
            <w:tcW w:w="522" w:type="pct"/>
            <w:tcBorders>
              <w:left w:val="single" w:sz="4" w:space="0" w:color="auto"/>
              <w:right w:val="nil"/>
            </w:tcBorders>
            <w:shd w:val="clear" w:color="auto" w:fill="auto"/>
            <w:vAlign w:val="center"/>
          </w:tcPr>
          <w:p w14:paraId="53625562" w14:textId="77777777" w:rsidR="0074644B" w:rsidRPr="00BB54DF" w:rsidRDefault="0074644B" w:rsidP="007340D2">
            <w:pPr>
              <w:spacing w:after="0"/>
              <w:jc w:val="center"/>
              <w:rPr>
                <w:rFonts w:ascii="Times New Roman" w:hAnsi="Times New Roman"/>
                <w:sz w:val="16"/>
                <w:szCs w:val="16"/>
                <w:lang w:eastAsia="en-GB"/>
              </w:rPr>
            </w:pPr>
          </w:p>
        </w:tc>
        <w:tc>
          <w:tcPr>
            <w:tcW w:w="524" w:type="pct"/>
            <w:gridSpan w:val="2"/>
            <w:tcBorders>
              <w:left w:val="nil"/>
              <w:right w:val="nil"/>
            </w:tcBorders>
            <w:shd w:val="clear" w:color="auto" w:fill="auto"/>
            <w:vAlign w:val="center"/>
          </w:tcPr>
          <w:p w14:paraId="7E7275D4" w14:textId="77777777" w:rsidR="0074644B" w:rsidRPr="00BB54DF" w:rsidRDefault="0074644B" w:rsidP="007340D2">
            <w:pPr>
              <w:spacing w:after="0"/>
              <w:jc w:val="center"/>
              <w:rPr>
                <w:rFonts w:ascii="Times New Roman" w:hAnsi="Times New Roman"/>
                <w:sz w:val="16"/>
                <w:szCs w:val="16"/>
                <w:lang w:eastAsia="en-GB"/>
              </w:rPr>
            </w:pPr>
          </w:p>
        </w:tc>
        <w:tc>
          <w:tcPr>
            <w:tcW w:w="523" w:type="pct"/>
            <w:gridSpan w:val="2"/>
            <w:tcBorders>
              <w:left w:val="nil"/>
              <w:right w:val="nil"/>
            </w:tcBorders>
            <w:shd w:val="clear" w:color="auto" w:fill="auto"/>
            <w:vAlign w:val="center"/>
          </w:tcPr>
          <w:p w14:paraId="081F2F12" w14:textId="77777777" w:rsidR="0074644B" w:rsidRPr="00BB54DF" w:rsidRDefault="0074644B" w:rsidP="007340D2">
            <w:pPr>
              <w:spacing w:after="0"/>
              <w:jc w:val="center"/>
              <w:rPr>
                <w:rFonts w:ascii="Times New Roman" w:hAnsi="Times New Roman"/>
                <w:sz w:val="16"/>
                <w:szCs w:val="16"/>
                <w:lang w:eastAsia="en-GB"/>
              </w:rPr>
            </w:pPr>
          </w:p>
        </w:tc>
        <w:tc>
          <w:tcPr>
            <w:tcW w:w="524" w:type="pct"/>
            <w:gridSpan w:val="2"/>
            <w:tcBorders>
              <w:left w:val="nil"/>
              <w:right w:val="nil"/>
            </w:tcBorders>
            <w:shd w:val="clear" w:color="auto" w:fill="auto"/>
            <w:vAlign w:val="center"/>
          </w:tcPr>
          <w:p w14:paraId="2F5D6C21" w14:textId="77777777" w:rsidR="0074644B" w:rsidRPr="00BB54DF" w:rsidRDefault="0074644B" w:rsidP="007340D2">
            <w:pPr>
              <w:spacing w:after="0"/>
              <w:jc w:val="center"/>
              <w:rPr>
                <w:rFonts w:ascii="Times New Roman" w:hAnsi="Times New Roman"/>
                <w:sz w:val="16"/>
                <w:szCs w:val="16"/>
                <w:lang w:eastAsia="en-GB"/>
              </w:rPr>
            </w:pPr>
          </w:p>
        </w:tc>
      </w:tr>
      <w:tr w:rsidR="0074644B" w:rsidRPr="00BB54DF" w14:paraId="5C77D151"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4F3D5FD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0 - 4.9</w:t>
            </w:r>
          </w:p>
        </w:tc>
        <w:tc>
          <w:tcPr>
            <w:tcW w:w="529" w:type="pct"/>
            <w:tcBorders>
              <w:top w:val="nil"/>
              <w:left w:val="single" w:sz="4" w:space="0" w:color="auto"/>
              <w:bottom w:val="nil"/>
              <w:right w:val="nil"/>
            </w:tcBorders>
            <w:shd w:val="clear" w:color="auto" w:fill="auto"/>
            <w:noWrap/>
            <w:vAlign w:val="center"/>
          </w:tcPr>
          <w:p w14:paraId="0091D5C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67 (0.1)</w:t>
            </w:r>
          </w:p>
        </w:tc>
        <w:tc>
          <w:tcPr>
            <w:tcW w:w="529" w:type="pct"/>
            <w:tcBorders>
              <w:top w:val="nil"/>
              <w:left w:val="nil"/>
              <w:bottom w:val="nil"/>
              <w:right w:val="nil"/>
            </w:tcBorders>
            <w:shd w:val="clear" w:color="auto" w:fill="auto"/>
            <w:noWrap/>
            <w:vAlign w:val="center"/>
          </w:tcPr>
          <w:p w14:paraId="75C4037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 (0.0)</w:t>
            </w:r>
          </w:p>
        </w:tc>
        <w:tc>
          <w:tcPr>
            <w:tcW w:w="530" w:type="pct"/>
            <w:tcBorders>
              <w:top w:val="nil"/>
              <w:left w:val="nil"/>
              <w:bottom w:val="nil"/>
              <w:right w:val="nil"/>
            </w:tcBorders>
            <w:shd w:val="clear" w:color="auto" w:fill="auto"/>
            <w:vAlign w:val="center"/>
          </w:tcPr>
          <w:p w14:paraId="7BC6F9C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 (0.1)</w:t>
            </w:r>
          </w:p>
        </w:tc>
        <w:tc>
          <w:tcPr>
            <w:tcW w:w="530" w:type="pct"/>
            <w:tcBorders>
              <w:top w:val="nil"/>
              <w:left w:val="nil"/>
              <w:bottom w:val="nil"/>
              <w:right w:val="single" w:sz="4" w:space="0" w:color="auto"/>
            </w:tcBorders>
            <w:shd w:val="clear" w:color="auto" w:fill="auto"/>
            <w:vAlign w:val="center"/>
          </w:tcPr>
          <w:p w14:paraId="1B6A0A9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 (0.0)</w:t>
            </w:r>
          </w:p>
        </w:tc>
        <w:tc>
          <w:tcPr>
            <w:tcW w:w="522" w:type="pct"/>
            <w:tcBorders>
              <w:left w:val="single" w:sz="4" w:space="0" w:color="auto"/>
              <w:right w:val="nil"/>
            </w:tcBorders>
            <w:shd w:val="clear" w:color="auto" w:fill="auto"/>
            <w:vAlign w:val="center"/>
          </w:tcPr>
          <w:p w14:paraId="4E25D41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74 (0.2)</w:t>
            </w:r>
          </w:p>
        </w:tc>
        <w:tc>
          <w:tcPr>
            <w:tcW w:w="524" w:type="pct"/>
            <w:gridSpan w:val="2"/>
            <w:tcBorders>
              <w:left w:val="nil"/>
              <w:right w:val="nil"/>
            </w:tcBorders>
            <w:shd w:val="clear" w:color="auto" w:fill="auto"/>
            <w:vAlign w:val="center"/>
          </w:tcPr>
          <w:p w14:paraId="1C476DC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 (0.1)</w:t>
            </w:r>
          </w:p>
        </w:tc>
        <w:tc>
          <w:tcPr>
            <w:tcW w:w="523" w:type="pct"/>
            <w:gridSpan w:val="2"/>
            <w:tcBorders>
              <w:left w:val="nil"/>
              <w:right w:val="nil"/>
            </w:tcBorders>
            <w:shd w:val="clear" w:color="auto" w:fill="auto"/>
            <w:vAlign w:val="center"/>
          </w:tcPr>
          <w:p w14:paraId="7B4A12F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8 (0.1)</w:t>
            </w:r>
          </w:p>
        </w:tc>
        <w:tc>
          <w:tcPr>
            <w:tcW w:w="524" w:type="pct"/>
            <w:gridSpan w:val="2"/>
            <w:tcBorders>
              <w:left w:val="nil"/>
              <w:right w:val="nil"/>
            </w:tcBorders>
            <w:shd w:val="clear" w:color="auto" w:fill="auto"/>
            <w:vAlign w:val="center"/>
          </w:tcPr>
          <w:p w14:paraId="63C6CB7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 (0.1)</w:t>
            </w:r>
          </w:p>
        </w:tc>
      </w:tr>
      <w:tr w:rsidR="0074644B" w:rsidRPr="00BB54DF" w14:paraId="46A7DA4B"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7BA608C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5 - 9.9</w:t>
            </w:r>
          </w:p>
        </w:tc>
        <w:tc>
          <w:tcPr>
            <w:tcW w:w="529" w:type="pct"/>
            <w:tcBorders>
              <w:top w:val="nil"/>
              <w:left w:val="single" w:sz="4" w:space="0" w:color="auto"/>
              <w:bottom w:val="nil"/>
              <w:right w:val="nil"/>
            </w:tcBorders>
            <w:shd w:val="clear" w:color="auto" w:fill="auto"/>
            <w:noWrap/>
            <w:vAlign w:val="center"/>
          </w:tcPr>
          <w:p w14:paraId="2BAAEFB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362 (0.7)</w:t>
            </w:r>
          </w:p>
        </w:tc>
        <w:tc>
          <w:tcPr>
            <w:tcW w:w="529" w:type="pct"/>
            <w:tcBorders>
              <w:top w:val="nil"/>
              <w:left w:val="nil"/>
              <w:bottom w:val="nil"/>
              <w:right w:val="nil"/>
            </w:tcBorders>
            <w:shd w:val="clear" w:color="auto" w:fill="auto"/>
            <w:noWrap/>
            <w:vAlign w:val="center"/>
          </w:tcPr>
          <w:p w14:paraId="57BC09D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16 (0.6)</w:t>
            </w:r>
          </w:p>
        </w:tc>
        <w:tc>
          <w:tcPr>
            <w:tcW w:w="530" w:type="pct"/>
            <w:tcBorders>
              <w:top w:val="nil"/>
              <w:left w:val="nil"/>
              <w:bottom w:val="nil"/>
              <w:right w:val="nil"/>
            </w:tcBorders>
            <w:shd w:val="clear" w:color="auto" w:fill="auto"/>
            <w:vAlign w:val="center"/>
          </w:tcPr>
          <w:p w14:paraId="63D2515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60 (0.7)</w:t>
            </w:r>
          </w:p>
        </w:tc>
        <w:tc>
          <w:tcPr>
            <w:tcW w:w="530" w:type="pct"/>
            <w:tcBorders>
              <w:top w:val="nil"/>
              <w:left w:val="nil"/>
              <w:bottom w:val="nil"/>
              <w:right w:val="single" w:sz="4" w:space="0" w:color="auto"/>
            </w:tcBorders>
            <w:shd w:val="clear" w:color="auto" w:fill="auto"/>
            <w:vAlign w:val="center"/>
          </w:tcPr>
          <w:p w14:paraId="1686BD4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16 (0.7)</w:t>
            </w:r>
          </w:p>
        </w:tc>
        <w:tc>
          <w:tcPr>
            <w:tcW w:w="522" w:type="pct"/>
            <w:tcBorders>
              <w:left w:val="single" w:sz="4" w:space="0" w:color="auto"/>
              <w:right w:val="nil"/>
            </w:tcBorders>
            <w:shd w:val="clear" w:color="auto" w:fill="auto"/>
            <w:vAlign w:val="center"/>
          </w:tcPr>
          <w:p w14:paraId="4A18751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388 (1.0)</w:t>
            </w:r>
          </w:p>
        </w:tc>
        <w:tc>
          <w:tcPr>
            <w:tcW w:w="524" w:type="pct"/>
            <w:gridSpan w:val="2"/>
            <w:tcBorders>
              <w:left w:val="nil"/>
              <w:right w:val="nil"/>
            </w:tcBorders>
            <w:shd w:val="clear" w:color="auto" w:fill="auto"/>
            <w:vAlign w:val="center"/>
          </w:tcPr>
          <w:p w14:paraId="27507F1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7 (0.5)</w:t>
            </w:r>
          </w:p>
        </w:tc>
        <w:tc>
          <w:tcPr>
            <w:tcW w:w="523" w:type="pct"/>
            <w:gridSpan w:val="2"/>
            <w:tcBorders>
              <w:left w:val="nil"/>
              <w:right w:val="nil"/>
            </w:tcBorders>
            <w:shd w:val="clear" w:color="auto" w:fill="auto"/>
            <w:vAlign w:val="center"/>
          </w:tcPr>
          <w:p w14:paraId="56298F9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51 (0.8)</w:t>
            </w:r>
          </w:p>
        </w:tc>
        <w:tc>
          <w:tcPr>
            <w:tcW w:w="524" w:type="pct"/>
            <w:gridSpan w:val="2"/>
            <w:tcBorders>
              <w:left w:val="nil"/>
              <w:right w:val="nil"/>
            </w:tcBorders>
            <w:shd w:val="clear" w:color="auto" w:fill="auto"/>
            <w:vAlign w:val="center"/>
          </w:tcPr>
          <w:p w14:paraId="1376911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7 (0.5)</w:t>
            </w:r>
          </w:p>
        </w:tc>
      </w:tr>
      <w:tr w:rsidR="0074644B" w:rsidRPr="00BB54DF" w14:paraId="1D29B1D5"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306E540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10 - 14.9</w:t>
            </w:r>
          </w:p>
        </w:tc>
        <w:tc>
          <w:tcPr>
            <w:tcW w:w="529" w:type="pct"/>
            <w:tcBorders>
              <w:top w:val="nil"/>
              <w:left w:val="single" w:sz="4" w:space="0" w:color="auto"/>
              <w:bottom w:val="nil"/>
              <w:right w:val="nil"/>
            </w:tcBorders>
            <w:shd w:val="clear" w:color="auto" w:fill="auto"/>
            <w:noWrap/>
            <w:vAlign w:val="center"/>
          </w:tcPr>
          <w:p w14:paraId="139A4FC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616 (1.1)</w:t>
            </w:r>
          </w:p>
        </w:tc>
        <w:tc>
          <w:tcPr>
            <w:tcW w:w="529" w:type="pct"/>
            <w:tcBorders>
              <w:top w:val="nil"/>
              <w:left w:val="nil"/>
              <w:bottom w:val="nil"/>
              <w:right w:val="nil"/>
            </w:tcBorders>
            <w:shd w:val="clear" w:color="auto" w:fill="auto"/>
            <w:noWrap/>
            <w:vAlign w:val="center"/>
          </w:tcPr>
          <w:p w14:paraId="21F3913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29 (1.1)</w:t>
            </w:r>
          </w:p>
        </w:tc>
        <w:tc>
          <w:tcPr>
            <w:tcW w:w="530" w:type="pct"/>
            <w:tcBorders>
              <w:top w:val="nil"/>
              <w:left w:val="nil"/>
              <w:bottom w:val="nil"/>
              <w:right w:val="nil"/>
            </w:tcBorders>
            <w:shd w:val="clear" w:color="auto" w:fill="auto"/>
            <w:vAlign w:val="center"/>
          </w:tcPr>
          <w:p w14:paraId="181596A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116 (1.3)</w:t>
            </w:r>
          </w:p>
        </w:tc>
        <w:tc>
          <w:tcPr>
            <w:tcW w:w="530" w:type="pct"/>
            <w:tcBorders>
              <w:top w:val="nil"/>
              <w:left w:val="nil"/>
              <w:bottom w:val="nil"/>
              <w:right w:val="single" w:sz="4" w:space="0" w:color="auto"/>
            </w:tcBorders>
            <w:shd w:val="clear" w:color="auto" w:fill="auto"/>
            <w:vAlign w:val="center"/>
          </w:tcPr>
          <w:p w14:paraId="0F40A78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29 (1.2)</w:t>
            </w:r>
          </w:p>
        </w:tc>
        <w:tc>
          <w:tcPr>
            <w:tcW w:w="522" w:type="pct"/>
            <w:tcBorders>
              <w:left w:val="single" w:sz="4" w:space="0" w:color="auto"/>
              <w:right w:val="nil"/>
            </w:tcBorders>
            <w:shd w:val="clear" w:color="auto" w:fill="auto"/>
            <w:vAlign w:val="center"/>
          </w:tcPr>
          <w:p w14:paraId="3E67EEB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785 (1.9)</w:t>
            </w:r>
          </w:p>
        </w:tc>
        <w:tc>
          <w:tcPr>
            <w:tcW w:w="524" w:type="pct"/>
            <w:gridSpan w:val="2"/>
            <w:tcBorders>
              <w:left w:val="nil"/>
              <w:right w:val="nil"/>
            </w:tcBorders>
            <w:shd w:val="clear" w:color="auto" w:fill="auto"/>
            <w:vAlign w:val="center"/>
          </w:tcPr>
          <w:p w14:paraId="343DA1F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15 (1.1)</w:t>
            </w:r>
          </w:p>
        </w:tc>
        <w:tc>
          <w:tcPr>
            <w:tcW w:w="523" w:type="pct"/>
            <w:gridSpan w:val="2"/>
            <w:tcBorders>
              <w:left w:val="nil"/>
              <w:right w:val="nil"/>
            </w:tcBorders>
            <w:shd w:val="clear" w:color="auto" w:fill="auto"/>
            <w:vAlign w:val="center"/>
          </w:tcPr>
          <w:p w14:paraId="3B7A94F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114 (1.7)</w:t>
            </w:r>
          </w:p>
        </w:tc>
        <w:tc>
          <w:tcPr>
            <w:tcW w:w="524" w:type="pct"/>
            <w:gridSpan w:val="2"/>
            <w:tcBorders>
              <w:left w:val="nil"/>
              <w:right w:val="nil"/>
            </w:tcBorders>
            <w:shd w:val="clear" w:color="auto" w:fill="auto"/>
            <w:vAlign w:val="center"/>
          </w:tcPr>
          <w:p w14:paraId="68B259B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15 (1.1)</w:t>
            </w:r>
          </w:p>
        </w:tc>
      </w:tr>
      <w:tr w:rsidR="0074644B" w:rsidRPr="00BB54DF" w14:paraId="60F5294C"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6397E9C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15 - 19.9</w:t>
            </w:r>
          </w:p>
        </w:tc>
        <w:tc>
          <w:tcPr>
            <w:tcW w:w="529" w:type="pct"/>
            <w:tcBorders>
              <w:top w:val="nil"/>
              <w:left w:val="single" w:sz="4" w:space="0" w:color="auto"/>
              <w:bottom w:val="nil"/>
              <w:right w:val="nil"/>
            </w:tcBorders>
            <w:shd w:val="clear" w:color="auto" w:fill="auto"/>
            <w:noWrap/>
            <w:vAlign w:val="center"/>
          </w:tcPr>
          <w:p w14:paraId="55EF85D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1,278 (2.4)</w:t>
            </w:r>
          </w:p>
        </w:tc>
        <w:tc>
          <w:tcPr>
            <w:tcW w:w="529" w:type="pct"/>
            <w:tcBorders>
              <w:top w:val="nil"/>
              <w:left w:val="nil"/>
              <w:bottom w:val="nil"/>
              <w:right w:val="nil"/>
            </w:tcBorders>
            <w:shd w:val="clear" w:color="auto" w:fill="auto"/>
            <w:noWrap/>
            <w:vAlign w:val="center"/>
          </w:tcPr>
          <w:p w14:paraId="60EED5E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81 (3.1)</w:t>
            </w:r>
          </w:p>
        </w:tc>
        <w:tc>
          <w:tcPr>
            <w:tcW w:w="530" w:type="pct"/>
            <w:tcBorders>
              <w:top w:val="nil"/>
              <w:left w:val="nil"/>
              <w:bottom w:val="nil"/>
              <w:right w:val="nil"/>
            </w:tcBorders>
            <w:shd w:val="clear" w:color="auto" w:fill="auto"/>
            <w:vAlign w:val="center"/>
          </w:tcPr>
          <w:p w14:paraId="4590293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263 (2.9)</w:t>
            </w:r>
          </w:p>
        </w:tc>
        <w:tc>
          <w:tcPr>
            <w:tcW w:w="530" w:type="pct"/>
            <w:tcBorders>
              <w:top w:val="nil"/>
              <w:left w:val="nil"/>
              <w:bottom w:val="nil"/>
              <w:right w:val="single" w:sz="4" w:space="0" w:color="auto"/>
            </w:tcBorders>
            <w:shd w:val="clear" w:color="auto" w:fill="auto"/>
            <w:vAlign w:val="center"/>
          </w:tcPr>
          <w:p w14:paraId="46896B2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73 (3.0)</w:t>
            </w:r>
          </w:p>
        </w:tc>
        <w:tc>
          <w:tcPr>
            <w:tcW w:w="522" w:type="pct"/>
            <w:tcBorders>
              <w:left w:val="single" w:sz="4" w:space="0" w:color="auto"/>
              <w:right w:val="nil"/>
            </w:tcBorders>
            <w:shd w:val="clear" w:color="auto" w:fill="auto"/>
            <w:vAlign w:val="center"/>
          </w:tcPr>
          <w:p w14:paraId="20E0D15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1,568 (3.8)</w:t>
            </w:r>
          </w:p>
        </w:tc>
        <w:tc>
          <w:tcPr>
            <w:tcW w:w="524" w:type="pct"/>
            <w:gridSpan w:val="2"/>
            <w:tcBorders>
              <w:left w:val="nil"/>
              <w:right w:val="nil"/>
            </w:tcBorders>
            <w:shd w:val="clear" w:color="auto" w:fill="auto"/>
            <w:vAlign w:val="center"/>
          </w:tcPr>
          <w:p w14:paraId="6BCCFC4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37 (2.6)</w:t>
            </w:r>
          </w:p>
        </w:tc>
        <w:tc>
          <w:tcPr>
            <w:tcW w:w="523" w:type="pct"/>
            <w:gridSpan w:val="2"/>
            <w:tcBorders>
              <w:left w:val="nil"/>
              <w:right w:val="nil"/>
            </w:tcBorders>
            <w:shd w:val="clear" w:color="auto" w:fill="auto"/>
            <w:vAlign w:val="center"/>
          </w:tcPr>
          <w:p w14:paraId="31F8318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207 (3.2)</w:t>
            </w:r>
          </w:p>
        </w:tc>
        <w:tc>
          <w:tcPr>
            <w:tcW w:w="524" w:type="pct"/>
            <w:gridSpan w:val="2"/>
            <w:tcBorders>
              <w:left w:val="nil"/>
              <w:right w:val="nil"/>
            </w:tcBorders>
            <w:shd w:val="clear" w:color="auto" w:fill="auto"/>
            <w:vAlign w:val="center"/>
          </w:tcPr>
          <w:p w14:paraId="1990BED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37 (2.6)</w:t>
            </w:r>
          </w:p>
        </w:tc>
      </w:tr>
      <w:tr w:rsidR="0074644B" w:rsidRPr="00BB54DF" w14:paraId="40C84DE7"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383E2C7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20 - 24.9</w:t>
            </w:r>
          </w:p>
        </w:tc>
        <w:tc>
          <w:tcPr>
            <w:tcW w:w="529" w:type="pct"/>
            <w:tcBorders>
              <w:top w:val="nil"/>
              <w:left w:val="single" w:sz="4" w:space="0" w:color="auto"/>
              <w:bottom w:val="nil"/>
              <w:right w:val="nil"/>
            </w:tcBorders>
            <w:shd w:val="clear" w:color="auto" w:fill="auto"/>
            <w:noWrap/>
            <w:vAlign w:val="center"/>
          </w:tcPr>
          <w:p w14:paraId="443D961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2,541 (4.7)</w:t>
            </w:r>
          </w:p>
        </w:tc>
        <w:tc>
          <w:tcPr>
            <w:tcW w:w="529" w:type="pct"/>
            <w:tcBorders>
              <w:top w:val="nil"/>
              <w:left w:val="nil"/>
              <w:bottom w:val="nil"/>
              <w:right w:val="nil"/>
            </w:tcBorders>
            <w:shd w:val="clear" w:color="auto" w:fill="auto"/>
            <w:noWrap/>
            <w:vAlign w:val="center"/>
          </w:tcPr>
          <w:p w14:paraId="09B4ED8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164 (6.3)</w:t>
            </w:r>
          </w:p>
        </w:tc>
        <w:tc>
          <w:tcPr>
            <w:tcW w:w="530" w:type="pct"/>
            <w:tcBorders>
              <w:top w:val="nil"/>
              <w:left w:val="nil"/>
              <w:bottom w:val="nil"/>
              <w:right w:val="nil"/>
            </w:tcBorders>
            <w:shd w:val="clear" w:color="auto" w:fill="auto"/>
            <w:vAlign w:val="center"/>
          </w:tcPr>
          <w:p w14:paraId="7D08BB0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537 (6.0)</w:t>
            </w:r>
          </w:p>
        </w:tc>
        <w:tc>
          <w:tcPr>
            <w:tcW w:w="530" w:type="pct"/>
            <w:tcBorders>
              <w:top w:val="nil"/>
              <w:left w:val="nil"/>
              <w:bottom w:val="nil"/>
              <w:right w:val="single" w:sz="4" w:space="0" w:color="auto"/>
            </w:tcBorders>
            <w:shd w:val="clear" w:color="auto" w:fill="auto"/>
            <w:vAlign w:val="center"/>
          </w:tcPr>
          <w:p w14:paraId="52FB6F0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149 (6.1)</w:t>
            </w:r>
          </w:p>
        </w:tc>
        <w:tc>
          <w:tcPr>
            <w:tcW w:w="522" w:type="pct"/>
            <w:tcBorders>
              <w:left w:val="single" w:sz="4" w:space="0" w:color="auto"/>
              <w:right w:val="nil"/>
            </w:tcBorders>
            <w:shd w:val="clear" w:color="auto" w:fill="auto"/>
            <w:vAlign w:val="center"/>
          </w:tcPr>
          <w:p w14:paraId="12DF530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2,814 (6.9)</w:t>
            </w:r>
          </w:p>
        </w:tc>
        <w:tc>
          <w:tcPr>
            <w:tcW w:w="524" w:type="pct"/>
            <w:gridSpan w:val="2"/>
            <w:tcBorders>
              <w:left w:val="nil"/>
              <w:right w:val="nil"/>
            </w:tcBorders>
            <w:shd w:val="clear" w:color="auto" w:fill="auto"/>
            <w:vAlign w:val="center"/>
          </w:tcPr>
          <w:p w14:paraId="1C804A0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99 (7.0)</w:t>
            </w:r>
          </w:p>
        </w:tc>
        <w:tc>
          <w:tcPr>
            <w:tcW w:w="523" w:type="pct"/>
            <w:gridSpan w:val="2"/>
            <w:tcBorders>
              <w:left w:val="nil"/>
              <w:right w:val="nil"/>
            </w:tcBorders>
            <w:shd w:val="clear" w:color="auto" w:fill="auto"/>
            <w:vAlign w:val="center"/>
          </w:tcPr>
          <w:p w14:paraId="00A56B6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425 (6.5)</w:t>
            </w:r>
          </w:p>
        </w:tc>
        <w:tc>
          <w:tcPr>
            <w:tcW w:w="524" w:type="pct"/>
            <w:gridSpan w:val="2"/>
            <w:tcBorders>
              <w:left w:val="nil"/>
              <w:right w:val="nil"/>
            </w:tcBorders>
            <w:shd w:val="clear" w:color="auto" w:fill="auto"/>
            <w:vAlign w:val="center"/>
          </w:tcPr>
          <w:p w14:paraId="65170FD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98 (7.0)</w:t>
            </w:r>
          </w:p>
        </w:tc>
      </w:tr>
      <w:tr w:rsidR="0074644B" w:rsidRPr="00BB54DF" w14:paraId="644B0EAC"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5F617A3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lastRenderedPageBreak/>
              <w:t>25 - 29.9</w:t>
            </w:r>
          </w:p>
        </w:tc>
        <w:tc>
          <w:tcPr>
            <w:tcW w:w="529" w:type="pct"/>
            <w:tcBorders>
              <w:top w:val="nil"/>
              <w:left w:val="single" w:sz="4" w:space="0" w:color="auto"/>
              <w:bottom w:val="nil"/>
              <w:right w:val="nil"/>
            </w:tcBorders>
            <w:shd w:val="clear" w:color="auto" w:fill="auto"/>
            <w:noWrap/>
            <w:vAlign w:val="center"/>
          </w:tcPr>
          <w:p w14:paraId="3999C3D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4,665 (8.6)</w:t>
            </w:r>
          </w:p>
        </w:tc>
        <w:tc>
          <w:tcPr>
            <w:tcW w:w="529" w:type="pct"/>
            <w:tcBorders>
              <w:top w:val="nil"/>
              <w:left w:val="nil"/>
              <w:bottom w:val="nil"/>
              <w:right w:val="nil"/>
            </w:tcBorders>
            <w:shd w:val="clear" w:color="auto" w:fill="auto"/>
            <w:noWrap/>
            <w:vAlign w:val="center"/>
          </w:tcPr>
          <w:p w14:paraId="5AFB6D6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327 (12.5)</w:t>
            </w:r>
          </w:p>
        </w:tc>
        <w:tc>
          <w:tcPr>
            <w:tcW w:w="530" w:type="pct"/>
            <w:tcBorders>
              <w:top w:val="nil"/>
              <w:left w:val="nil"/>
              <w:bottom w:val="nil"/>
              <w:right w:val="nil"/>
            </w:tcBorders>
            <w:shd w:val="clear" w:color="auto" w:fill="auto"/>
            <w:vAlign w:val="center"/>
          </w:tcPr>
          <w:p w14:paraId="7AA178E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996 (11.2)</w:t>
            </w:r>
          </w:p>
        </w:tc>
        <w:tc>
          <w:tcPr>
            <w:tcW w:w="530" w:type="pct"/>
            <w:tcBorders>
              <w:top w:val="nil"/>
              <w:left w:val="nil"/>
              <w:bottom w:val="nil"/>
              <w:right w:val="single" w:sz="4" w:space="0" w:color="auto"/>
            </w:tcBorders>
            <w:shd w:val="clear" w:color="auto" w:fill="auto"/>
            <w:vAlign w:val="center"/>
          </w:tcPr>
          <w:p w14:paraId="1FA96B9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299 (12.2)</w:t>
            </w:r>
          </w:p>
        </w:tc>
        <w:tc>
          <w:tcPr>
            <w:tcW w:w="522" w:type="pct"/>
            <w:tcBorders>
              <w:left w:val="single" w:sz="4" w:space="0" w:color="auto"/>
              <w:right w:val="nil"/>
            </w:tcBorders>
            <w:shd w:val="clear" w:color="auto" w:fill="auto"/>
            <w:vAlign w:val="center"/>
          </w:tcPr>
          <w:p w14:paraId="4190BEE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4,983 (12.2)</w:t>
            </w:r>
          </w:p>
        </w:tc>
        <w:tc>
          <w:tcPr>
            <w:tcW w:w="524" w:type="pct"/>
            <w:gridSpan w:val="2"/>
            <w:tcBorders>
              <w:left w:val="nil"/>
              <w:right w:val="nil"/>
            </w:tcBorders>
            <w:shd w:val="clear" w:color="auto" w:fill="auto"/>
            <w:vAlign w:val="center"/>
          </w:tcPr>
          <w:p w14:paraId="68F81E8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172 (12.2)</w:t>
            </w:r>
          </w:p>
        </w:tc>
        <w:tc>
          <w:tcPr>
            <w:tcW w:w="523" w:type="pct"/>
            <w:gridSpan w:val="2"/>
            <w:tcBorders>
              <w:left w:val="nil"/>
              <w:right w:val="nil"/>
            </w:tcBorders>
            <w:shd w:val="clear" w:color="auto" w:fill="auto"/>
            <w:vAlign w:val="center"/>
          </w:tcPr>
          <w:p w14:paraId="11B7D18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759 (11.6)</w:t>
            </w:r>
          </w:p>
        </w:tc>
        <w:tc>
          <w:tcPr>
            <w:tcW w:w="524" w:type="pct"/>
            <w:gridSpan w:val="2"/>
            <w:tcBorders>
              <w:left w:val="nil"/>
              <w:right w:val="nil"/>
            </w:tcBorders>
            <w:shd w:val="clear" w:color="auto" w:fill="auto"/>
            <w:vAlign w:val="center"/>
          </w:tcPr>
          <w:p w14:paraId="53EDC92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172 (12.3)</w:t>
            </w:r>
          </w:p>
        </w:tc>
      </w:tr>
      <w:tr w:rsidR="0074644B" w:rsidRPr="00BB54DF" w14:paraId="2ADC20D9"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2E7EC21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30 - 34.9</w:t>
            </w:r>
          </w:p>
        </w:tc>
        <w:tc>
          <w:tcPr>
            <w:tcW w:w="529" w:type="pct"/>
            <w:tcBorders>
              <w:top w:val="nil"/>
              <w:left w:val="single" w:sz="4" w:space="0" w:color="auto"/>
              <w:bottom w:val="nil"/>
              <w:right w:val="nil"/>
            </w:tcBorders>
            <w:shd w:val="clear" w:color="auto" w:fill="auto"/>
            <w:noWrap/>
            <w:vAlign w:val="center"/>
          </w:tcPr>
          <w:p w14:paraId="4FE8AB8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8,417 (15.6)</w:t>
            </w:r>
          </w:p>
        </w:tc>
        <w:tc>
          <w:tcPr>
            <w:tcW w:w="529" w:type="pct"/>
            <w:tcBorders>
              <w:top w:val="nil"/>
              <w:left w:val="nil"/>
              <w:bottom w:val="nil"/>
              <w:right w:val="nil"/>
            </w:tcBorders>
            <w:shd w:val="clear" w:color="auto" w:fill="auto"/>
            <w:noWrap/>
            <w:vAlign w:val="center"/>
          </w:tcPr>
          <w:p w14:paraId="2C08EBE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542 (20.7)</w:t>
            </w:r>
          </w:p>
        </w:tc>
        <w:tc>
          <w:tcPr>
            <w:tcW w:w="530" w:type="pct"/>
            <w:tcBorders>
              <w:top w:val="nil"/>
              <w:left w:val="nil"/>
              <w:bottom w:val="nil"/>
              <w:right w:val="nil"/>
            </w:tcBorders>
            <w:shd w:val="clear" w:color="auto" w:fill="auto"/>
            <w:vAlign w:val="center"/>
          </w:tcPr>
          <w:p w14:paraId="6D4DD30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1709 (19.1)</w:t>
            </w:r>
          </w:p>
        </w:tc>
        <w:tc>
          <w:tcPr>
            <w:tcW w:w="530" w:type="pct"/>
            <w:tcBorders>
              <w:top w:val="nil"/>
              <w:left w:val="nil"/>
              <w:bottom w:val="nil"/>
              <w:right w:val="single" w:sz="4" w:space="0" w:color="auto"/>
            </w:tcBorders>
            <w:shd w:val="clear" w:color="auto" w:fill="auto"/>
            <w:vAlign w:val="center"/>
          </w:tcPr>
          <w:p w14:paraId="5DA6A26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498 (20.4)</w:t>
            </w:r>
          </w:p>
        </w:tc>
        <w:tc>
          <w:tcPr>
            <w:tcW w:w="522" w:type="pct"/>
            <w:tcBorders>
              <w:left w:val="single" w:sz="4" w:space="0" w:color="auto"/>
              <w:right w:val="nil"/>
            </w:tcBorders>
            <w:shd w:val="clear" w:color="auto" w:fill="auto"/>
            <w:vAlign w:val="center"/>
          </w:tcPr>
          <w:p w14:paraId="5CB0BC2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7,741 (19.0)</w:t>
            </w:r>
          </w:p>
        </w:tc>
        <w:tc>
          <w:tcPr>
            <w:tcW w:w="524" w:type="pct"/>
            <w:gridSpan w:val="2"/>
            <w:tcBorders>
              <w:left w:val="nil"/>
              <w:right w:val="nil"/>
            </w:tcBorders>
            <w:shd w:val="clear" w:color="auto" w:fill="auto"/>
            <w:vAlign w:val="center"/>
          </w:tcPr>
          <w:p w14:paraId="032F1E9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272 (19.3)</w:t>
            </w:r>
          </w:p>
        </w:tc>
        <w:tc>
          <w:tcPr>
            <w:tcW w:w="523" w:type="pct"/>
            <w:gridSpan w:val="2"/>
            <w:tcBorders>
              <w:left w:val="nil"/>
              <w:right w:val="nil"/>
            </w:tcBorders>
            <w:shd w:val="clear" w:color="auto" w:fill="auto"/>
            <w:vAlign w:val="center"/>
          </w:tcPr>
          <w:p w14:paraId="41B5CC2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1,126 (17.2)</w:t>
            </w:r>
          </w:p>
        </w:tc>
        <w:tc>
          <w:tcPr>
            <w:tcW w:w="524" w:type="pct"/>
            <w:gridSpan w:val="2"/>
            <w:tcBorders>
              <w:left w:val="nil"/>
              <w:right w:val="nil"/>
            </w:tcBorders>
            <w:shd w:val="clear" w:color="auto" w:fill="auto"/>
            <w:vAlign w:val="center"/>
          </w:tcPr>
          <w:p w14:paraId="766564E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269 (19.2)</w:t>
            </w:r>
          </w:p>
        </w:tc>
      </w:tr>
      <w:tr w:rsidR="0074644B" w:rsidRPr="00BB54DF" w14:paraId="35A064B8"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59E4EA4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35 - 39.9</w:t>
            </w:r>
          </w:p>
        </w:tc>
        <w:tc>
          <w:tcPr>
            <w:tcW w:w="529" w:type="pct"/>
            <w:tcBorders>
              <w:top w:val="nil"/>
              <w:left w:val="single" w:sz="4" w:space="0" w:color="auto"/>
              <w:bottom w:val="nil"/>
              <w:right w:val="nil"/>
            </w:tcBorders>
            <w:shd w:val="clear" w:color="auto" w:fill="auto"/>
            <w:noWrap/>
            <w:vAlign w:val="center"/>
          </w:tcPr>
          <w:p w14:paraId="3DFD015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14,415 (26.7)</w:t>
            </w:r>
          </w:p>
        </w:tc>
        <w:tc>
          <w:tcPr>
            <w:tcW w:w="529" w:type="pct"/>
            <w:tcBorders>
              <w:top w:val="nil"/>
              <w:left w:val="nil"/>
              <w:bottom w:val="nil"/>
              <w:right w:val="nil"/>
            </w:tcBorders>
            <w:shd w:val="clear" w:color="auto" w:fill="auto"/>
            <w:noWrap/>
            <w:vAlign w:val="center"/>
          </w:tcPr>
          <w:p w14:paraId="2E28FBA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704 (26.9)</w:t>
            </w:r>
          </w:p>
        </w:tc>
        <w:tc>
          <w:tcPr>
            <w:tcW w:w="530" w:type="pct"/>
            <w:tcBorders>
              <w:top w:val="nil"/>
              <w:left w:val="nil"/>
              <w:bottom w:val="nil"/>
              <w:right w:val="nil"/>
            </w:tcBorders>
            <w:shd w:val="clear" w:color="auto" w:fill="auto"/>
            <w:vAlign w:val="center"/>
          </w:tcPr>
          <w:p w14:paraId="754B5DC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2378 (26.6)</w:t>
            </w:r>
          </w:p>
        </w:tc>
        <w:tc>
          <w:tcPr>
            <w:tcW w:w="530" w:type="pct"/>
            <w:tcBorders>
              <w:top w:val="nil"/>
              <w:left w:val="nil"/>
              <w:bottom w:val="nil"/>
              <w:right w:val="single" w:sz="4" w:space="0" w:color="auto"/>
            </w:tcBorders>
            <w:shd w:val="clear" w:color="auto" w:fill="auto"/>
            <w:vAlign w:val="center"/>
          </w:tcPr>
          <w:p w14:paraId="675A98C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657 (26.8)</w:t>
            </w:r>
          </w:p>
        </w:tc>
        <w:tc>
          <w:tcPr>
            <w:tcW w:w="522" w:type="pct"/>
            <w:tcBorders>
              <w:left w:val="single" w:sz="4" w:space="0" w:color="auto"/>
              <w:right w:val="nil"/>
            </w:tcBorders>
            <w:shd w:val="clear" w:color="auto" w:fill="auto"/>
            <w:vAlign w:val="center"/>
          </w:tcPr>
          <w:p w14:paraId="19A2F3C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10,830 (26.5)</w:t>
            </w:r>
          </w:p>
        </w:tc>
        <w:tc>
          <w:tcPr>
            <w:tcW w:w="524" w:type="pct"/>
            <w:gridSpan w:val="2"/>
            <w:tcBorders>
              <w:left w:val="nil"/>
              <w:right w:val="nil"/>
            </w:tcBorders>
            <w:shd w:val="clear" w:color="auto" w:fill="auto"/>
            <w:vAlign w:val="center"/>
          </w:tcPr>
          <w:p w14:paraId="1B6E5CE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399 (28.3)</w:t>
            </w:r>
          </w:p>
        </w:tc>
        <w:tc>
          <w:tcPr>
            <w:tcW w:w="523" w:type="pct"/>
            <w:gridSpan w:val="2"/>
            <w:tcBorders>
              <w:left w:val="nil"/>
              <w:right w:val="nil"/>
            </w:tcBorders>
            <w:shd w:val="clear" w:color="auto" w:fill="auto"/>
            <w:vAlign w:val="center"/>
          </w:tcPr>
          <w:p w14:paraId="73EED45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1,807 (27.6)</w:t>
            </w:r>
          </w:p>
        </w:tc>
        <w:tc>
          <w:tcPr>
            <w:tcW w:w="524" w:type="pct"/>
            <w:gridSpan w:val="2"/>
            <w:tcBorders>
              <w:left w:val="nil"/>
              <w:right w:val="nil"/>
            </w:tcBorders>
            <w:shd w:val="clear" w:color="auto" w:fill="auto"/>
            <w:vAlign w:val="center"/>
          </w:tcPr>
          <w:p w14:paraId="2C5435C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397 (28.4)</w:t>
            </w:r>
          </w:p>
        </w:tc>
      </w:tr>
      <w:tr w:rsidR="0074644B" w:rsidRPr="00BB54DF" w14:paraId="5335B32E"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6544B49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40 - 44.9</w:t>
            </w:r>
          </w:p>
        </w:tc>
        <w:tc>
          <w:tcPr>
            <w:tcW w:w="529" w:type="pct"/>
            <w:tcBorders>
              <w:top w:val="nil"/>
              <w:left w:val="single" w:sz="4" w:space="0" w:color="auto"/>
              <w:bottom w:val="nil"/>
              <w:right w:val="nil"/>
            </w:tcBorders>
            <w:shd w:val="clear" w:color="auto" w:fill="auto"/>
            <w:noWrap/>
            <w:vAlign w:val="center"/>
          </w:tcPr>
          <w:p w14:paraId="17D2001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21,625 (40.1)</w:t>
            </w:r>
          </w:p>
        </w:tc>
        <w:tc>
          <w:tcPr>
            <w:tcW w:w="529" w:type="pct"/>
            <w:tcBorders>
              <w:top w:val="nil"/>
              <w:left w:val="nil"/>
              <w:bottom w:val="nil"/>
              <w:right w:val="nil"/>
            </w:tcBorders>
            <w:shd w:val="clear" w:color="auto" w:fill="auto"/>
            <w:noWrap/>
            <w:vAlign w:val="center"/>
          </w:tcPr>
          <w:p w14:paraId="6E5970E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749 (28.7)</w:t>
            </w:r>
          </w:p>
        </w:tc>
        <w:tc>
          <w:tcPr>
            <w:tcW w:w="530" w:type="pct"/>
            <w:tcBorders>
              <w:top w:val="nil"/>
              <w:left w:val="nil"/>
              <w:bottom w:val="nil"/>
              <w:right w:val="nil"/>
            </w:tcBorders>
            <w:shd w:val="clear" w:color="auto" w:fill="auto"/>
            <w:vAlign w:val="center"/>
          </w:tcPr>
          <w:p w14:paraId="784C465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2867 (32.1)</w:t>
            </w:r>
          </w:p>
        </w:tc>
        <w:tc>
          <w:tcPr>
            <w:tcW w:w="530" w:type="pct"/>
            <w:tcBorders>
              <w:top w:val="nil"/>
              <w:left w:val="nil"/>
              <w:bottom w:val="nil"/>
              <w:right w:val="single" w:sz="4" w:space="0" w:color="auto"/>
            </w:tcBorders>
            <w:shd w:val="clear" w:color="auto" w:fill="auto"/>
            <w:vAlign w:val="center"/>
          </w:tcPr>
          <w:p w14:paraId="2134943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725 (29.6)</w:t>
            </w:r>
          </w:p>
        </w:tc>
        <w:tc>
          <w:tcPr>
            <w:tcW w:w="522" w:type="pct"/>
            <w:tcBorders>
              <w:left w:val="single" w:sz="4" w:space="0" w:color="auto"/>
              <w:right w:val="nil"/>
            </w:tcBorders>
            <w:shd w:val="clear" w:color="auto" w:fill="auto"/>
            <w:vAlign w:val="center"/>
          </w:tcPr>
          <w:p w14:paraId="7927A70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11,617 (28.5)</w:t>
            </w:r>
          </w:p>
        </w:tc>
        <w:tc>
          <w:tcPr>
            <w:tcW w:w="524" w:type="pct"/>
            <w:gridSpan w:val="2"/>
            <w:tcBorders>
              <w:left w:val="nil"/>
              <w:right w:val="nil"/>
            </w:tcBorders>
            <w:shd w:val="clear" w:color="auto" w:fill="auto"/>
            <w:vAlign w:val="center"/>
          </w:tcPr>
          <w:p w14:paraId="013F7A3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406 (28.8)</w:t>
            </w:r>
          </w:p>
        </w:tc>
        <w:tc>
          <w:tcPr>
            <w:tcW w:w="523" w:type="pct"/>
            <w:gridSpan w:val="2"/>
            <w:tcBorders>
              <w:left w:val="nil"/>
              <w:right w:val="nil"/>
            </w:tcBorders>
            <w:shd w:val="clear" w:color="auto" w:fill="auto"/>
            <w:vAlign w:val="center"/>
          </w:tcPr>
          <w:p w14:paraId="7B40F66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2,050 (31.3)</w:t>
            </w:r>
          </w:p>
        </w:tc>
        <w:tc>
          <w:tcPr>
            <w:tcW w:w="524" w:type="pct"/>
            <w:gridSpan w:val="2"/>
            <w:tcBorders>
              <w:left w:val="nil"/>
              <w:right w:val="nil"/>
            </w:tcBorders>
            <w:shd w:val="clear" w:color="auto" w:fill="auto"/>
            <w:vAlign w:val="center"/>
          </w:tcPr>
          <w:p w14:paraId="0638FC5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403 (28.8)</w:t>
            </w:r>
          </w:p>
        </w:tc>
      </w:tr>
      <w:tr w:rsidR="0074644B" w:rsidRPr="00BB54DF" w14:paraId="50A5D46C"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4E27C52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Number of hospital visits (n, %)</w:t>
            </w:r>
          </w:p>
        </w:tc>
        <w:tc>
          <w:tcPr>
            <w:tcW w:w="529" w:type="pct"/>
            <w:tcBorders>
              <w:top w:val="nil"/>
              <w:left w:val="single" w:sz="4" w:space="0" w:color="auto"/>
              <w:bottom w:val="nil"/>
              <w:right w:val="nil"/>
            </w:tcBorders>
            <w:shd w:val="clear" w:color="auto" w:fill="auto"/>
            <w:noWrap/>
            <w:vAlign w:val="center"/>
          </w:tcPr>
          <w:p w14:paraId="66C4248A" w14:textId="77777777" w:rsidR="0074644B" w:rsidRPr="00BB54DF" w:rsidRDefault="0074644B" w:rsidP="007340D2">
            <w:pPr>
              <w:spacing w:after="0"/>
              <w:jc w:val="center"/>
              <w:rPr>
                <w:rFonts w:ascii="Times New Roman" w:hAnsi="Times New Roman"/>
                <w:sz w:val="16"/>
                <w:szCs w:val="16"/>
                <w:lang w:eastAsia="en-GB"/>
              </w:rPr>
            </w:pPr>
          </w:p>
        </w:tc>
        <w:tc>
          <w:tcPr>
            <w:tcW w:w="529" w:type="pct"/>
            <w:tcBorders>
              <w:top w:val="nil"/>
              <w:left w:val="nil"/>
              <w:bottom w:val="nil"/>
              <w:right w:val="nil"/>
            </w:tcBorders>
            <w:shd w:val="clear" w:color="auto" w:fill="auto"/>
            <w:noWrap/>
            <w:vAlign w:val="center"/>
          </w:tcPr>
          <w:p w14:paraId="0DBAB022" w14:textId="77777777" w:rsidR="0074644B" w:rsidRPr="00BB54DF" w:rsidRDefault="0074644B" w:rsidP="007340D2">
            <w:pPr>
              <w:spacing w:after="0"/>
              <w:jc w:val="center"/>
              <w:rPr>
                <w:rFonts w:ascii="Times New Roman" w:hAnsi="Times New Roman"/>
                <w:sz w:val="16"/>
                <w:szCs w:val="16"/>
                <w:lang w:eastAsia="en-GB"/>
              </w:rPr>
            </w:pPr>
          </w:p>
        </w:tc>
        <w:tc>
          <w:tcPr>
            <w:tcW w:w="530" w:type="pct"/>
            <w:tcBorders>
              <w:top w:val="nil"/>
              <w:left w:val="nil"/>
              <w:bottom w:val="nil"/>
              <w:right w:val="nil"/>
            </w:tcBorders>
            <w:shd w:val="clear" w:color="auto" w:fill="auto"/>
            <w:vAlign w:val="center"/>
          </w:tcPr>
          <w:p w14:paraId="4E03AE57" w14:textId="77777777" w:rsidR="0074644B" w:rsidRPr="00BB54DF" w:rsidRDefault="0074644B" w:rsidP="007340D2">
            <w:pPr>
              <w:spacing w:after="0"/>
              <w:jc w:val="center"/>
              <w:rPr>
                <w:rFonts w:ascii="Times New Roman" w:hAnsi="Times New Roman"/>
                <w:sz w:val="16"/>
                <w:szCs w:val="16"/>
                <w:lang w:eastAsia="en-GB"/>
              </w:rPr>
            </w:pPr>
          </w:p>
        </w:tc>
        <w:tc>
          <w:tcPr>
            <w:tcW w:w="530" w:type="pct"/>
            <w:tcBorders>
              <w:top w:val="nil"/>
              <w:left w:val="nil"/>
              <w:bottom w:val="nil"/>
              <w:right w:val="single" w:sz="4" w:space="0" w:color="auto"/>
            </w:tcBorders>
            <w:shd w:val="clear" w:color="auto" w:fill="auto"/>
          </w:tcPr>
          <w:p w14:paraId="7E441CF6" w14:textId="77777777" w:rsidR="0074644B" w:rsidRPr="00BB54DF" w:rsidRDefault="0074644B" w:rsidP="007340D2">
            <w:pPr>
              <w:spacing w:after="0"/>
              <w:jc w:val="center"/>
              <w:rPr>
                <w:rFonts w:ascii="Times New Roman" w:hAnsi="Times New Roman"/>
                <w:sz w:val="16"/>
                <w:szCs w:val="16"/>
                <w:lang w:eastAsia="en-GB"/>
              </w:rPr>
            </w:pPr>
          </w:p>
        </w:tc>
        <w:tc>
          <w:tcPr>
            <w:tcW w:w="522" w:type="pct"/>
            <w:tcBorders>
              <w:left w:val="single" w:sz="4" w:space="0" w:color="auto"/>
              <w:right w:val="nil"/>
            </w:tcBorders>
            <w:shd w:val="clear" w:color="auto" w:fill="auto"/>
            <w:vAlign w:val="center"/>
          </w:tcPr>
          <w:p w14:paraId="16181603" w14:textId="77777777" w:rsidR="0074644B" w:rsidRPr="00BB54DF" w:rsidRDefault="0074644B" w:rsidP="007340D2">
            <w:pPr>
              <w:spacing w:after="0"/>
              <w:jc w:val="center"/>
              <w:rPr>
                <w:rFonts w:ascii="Times New Roman" w:hAnsi="Times New Roman"/>
                <w:sz w:val="16"/>
                <w:szCs w:val="16"/>
                <w:lang w:eastAsia="en-GB"/>
              </w:rPr>
            </w:pPr>
          </w:p>
        </w:tc>
        <w:tc>
          <w:tcPr>
            <w:tcW w:w="524" w:type="pct"/>
            <w:gridSpan w:val="2"/>
            <w:tcBorders>
              <w:left w:val="nil"/>
              <w:right w:val="nil"/>
            </w:tcBorders>
            <w:shd w:val="clear" w:color="auto" w:fill="auto"/>
            <w:vAlign w:val="center"/>
          </w:tcPr>
          <w:p w14:paraId="35112252" w14:textId="77777777" w:rsidR="0074644B" w:rsidRPr="00BB54DF" w:rsidRDefault="0074644B" w:rsidP="007340D2">
            <w:pPr>
              <w:spacing w:after="0"/>
              <w:jc w:val="center"/>
              <w:rPr>
                <w:rFonts w:ascii="Times New Roman" w:hAnsi="Times New Roman"/>
                <w:sz w:val="16"/>
                <w:szCs w:val="16"/>
                <w:lang w:eastAsia="en-GB"/>
              </w:rPr>
            </w:pPr>
          </w:p>
        </w:tc>
        <w:tc>
          <w:tcPr>
            <w:tcW w:w="523" w:type="pct"/>
            <w:gridSpan w:val="2"/>
            <w:tcBorders>
              <w:left w:val="nil"/>
              <w:right w:val="nil"/>
            </w:tcBorders>
            <w:shd w:val="clear" w:color="auto" w:fill="auto"/>
            <w:vAlign w:val="center"/>
          </w:tcPr>
          <w:p w14:paraId="6D5E643A" w14:textId="77777777" w:rsidR="0074644B" w:rsidRPr="00BB54DF" w:rsidRDefault="0074644B" w:rsidP="007340D2">
            <w:pPr>
              <w:spacing w:after="0"/>
              <w:jc w:val="center"/>
              <w:rPr>
                <w:rFonts w:ascii="Times New Roman" w:hAnsi="Times New Roman"/>
                <w:sz w:val="16"/>
                <w:szCs w:val="16"/>
                <w:lang w:eastAsia="en-GB"/>
              </w:rPr>
            </w:pPr>
          </w:p>
        </w:tc>
        <w:tc>
          <w:tcPr>
            <w:tcW w:w="524" w:type="pct"/>
            <w:gridSpan w:val="2"/>
            <w:tcBorders>
              <w:left w:val="nil"/>
              <w:right w:val="nil"/>
            </w:tcBorders>
            <w:shd w:val="clear" w:color="auto" w:fill="auto"/>
            <w:vAlign w:val="center"/>
          </w:tcPr>
          <w:p w14:paraId="5937E700" w14:textId="77777777" w:rsidR="0074644B" w:rsidRPr="00BB54DF" w:rsidRDefault="0074644B" w:rsidP="007340D2">
            <w:pPr>
              <w:spacing w:after="0"/>
              <w:jc w:val="center"/>
              <w:rPr>
                <w:rFonts w:ascii="Times New Roman" w:hAnsi="Times New Roman"/>
                <w:sz w:val="16"/>
                <w:szCs w:val="16"/>
                <w:lang w:eastAsia="en-GB"/>
              </w:rPr>
            </w:pPr>
          </w:p>
        </w:tc>
      </w:tr>
      <w:tr w:rsidR="0074644B" w:rsidRPr="00BB54DF" w14:paraId="3825BD80"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04D322E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0</w:t>
            </w:r>
          </w:p>
        </w:tc>
        <w:tc>
          <w:tcPr>
            <w:tcW w:w="529" w:type="pct"/>
            <w:tcBorders>
              <w:top w:val="nil"/>
              <w:left w:val="single" w:sz="4" w:space="0" w:color="auto"/>
              <w:bottom w:val="nil"/>
              <w:right w:val="nil"/>
            </w:tcBorders>
            <w:shd w:val="clear" w:color="auto" w:fill="auto"/>
            <w:noWrap/>
            <w:vAlign w:val="center"/>
          </w:tcPr>
          <w:p w14:paraId="32EDDDF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33,367 (61.8)</w:t>
            </w:r>
          </w:p>
        </w:tc>
        <w:tc>
          <w:tcPr>
            <w:tcW w:w="529" w:type="pct"/>
            <w:tcBorders>
              <w:top w:val="nil"/>
              <w:left w:val="nil"/>
              <w:bottom w:val="nil"/>
              <w:right w:val="nil"/>
            </w:tcBorders>
            <w:shd w:val="clear" w:color="auto" w:fill="auto"/>
            <w:noWrap/>
            <w:vAlign w:val="center"/>
          </w:tcPr>
          <w:p w14:paraId="6A6835F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1,022 (39.1)</w:t>
            </w:r>
          </w:p>
        </w:tc>
        <w:tc>
          <w:tcPr>
            <w:tcW w:w="530" w:type="pct"/>
            <w:tcBorders>
              <w:top w:val="nil"/>
              <w:left w:val="nil"/>
              <w:bottom w:val="nil"/>
              <w:right w:val="nil"/>
            </w:tcBorders>
            <w:shd w:val="clear" w:color="auto" w:fill="auto"/>
            <w:vAlign w:val="center"/>
          </w:tcPr>
          <w:p w14:paraId="3AEB7FF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4066 (45.5)</w:t>
            </w:r>
          </w:p>
        </w:tc>
        <w:tc>
          <w:tcPr>
            <w:tcW w:w="530" w:type="pct"/>
            <w:tcBorders>
              <w:top w:val="nil"/>
              <w:left w:val="nil"/>
              <w:bottom w:val="nil"/>
              <w:right w:val="single" w:sz="4" w:space="0" w:color="auto"/>
            </w:tcBorders>
            <w:shd w:val="clear" w:color="auto" w:fill="auto"/>
            <w:vAlign w:val="center"/>
          </w:tcPr>
          <w:p w14:paraId="7799709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988 (40.4)</w:t>
            </w:r>
          </w:p>
        </w:tc>
        <w:tc>
          <w:tcPr>
            <w:tcW w:w="522" w:type="pct"/>
            <w:tcBorders>
              <w:left w:val="single" w:sz="4" w:space="0" w:color="auto"/>
              <w:right w:val="nil"/>
            </w:tcBorders>
            <w:shd w:val="clear" w:color="auto" w:fill="auto"/>
            <w:vAlign w:val="center"/>
          </w:tcPr>
          <w:p w14:paraId="5481115E"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4" w:type="pct"/>
            <w:gridSpan w:val="2"/>
            <w:tcBorders>
              <w:left w:val="nil"/>
              <w:right w:val="nil"/>
            </w:tcBorders>
            <w:shd w:val="clear" w:color="auto" w:fill="auto"/>
            <w:vAlign w:val="center"/>
          </w:tcPr>
          <w:p w14:paraId="76842C1F"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3" w:type="pct"/>
            <w:gridSpan w:val="2"/>
            <w:tcBorders>
              <w:left w:val="nil"/>
              <w:right w:val="nil"/>
            </w:tcBorders>
            <w:shd w:val="clear" w:color="auto" w:fill="auto"/>
            <w:vAlign w:val="center"/>
          </w:tcPr>
          <w:p w14:paraId="479D8D75"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4" w:type="pct"/>
            <w:gridSpan w:val="2"/>
            <w:tcBorders>
              <w:left w:val="nil"/>
              <w:right w:val="nil"/>
            </w:tcBorders>
            <w:shd w:val="clear" w:color="auto" w:fill="auto"/>
            <w:vAlign w:val="center"/>
          </w:tcPr>
          <w:p w14:paraId="0248A670"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r>
      <w:tr w:rsidR="0074644B" w:rsidRPr="00BB54DF" w14:paraId="287AE5F6"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1AE3B4C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w:t>
            </w:r>
          </w:p>
        </w:tc>
        <w:tc>
          <w:tcPr>
            <w:tcW w:w="529" w:type="pct"/>
            <w:tcBorders>
              <w:top w:val="nil"/>
              <w:left w:val="single" w:sz="4" w:space="0" w:color="auto"/>
              <w:bottom w:val="nil"/>
              <w:right w:val="nil"/>
            </w:tcBorders>
            <w:shd w:val="clear" w:color="auto" w:fill="auto"/>
            <w:noWrap/>
            <w:vAlign w:val="center"/>
          </w:tcPr>
          <w:p w14:paraId="2C9B795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10,968 (20.3)</w:t>
            </w:r>
          </w:p>
        </w:tc>
        <w:tc>
          <w:tcPr>
            <w:tcW w:w="529" w:type="pct"/>
            <w:tcBorders>
              <w:top w:val="nil"/>
              <w:left w:val="nil"/>
              <w:bottom w:val="nil"/>
              <w:right w:val="nil"/>
            </w:tcBorders>
            <w:shd w:val="clear" w:color="auto" w:fill="auto"/>
            <w:noWrap/>
            <w:vAlign w:val="center"/>
          </w:tcPr>
          <w:p w14:paraId="638A847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737 (28.2)</w:t>
            </w:r>
          </w:p>
        </w:tc>
        <w:tc>
          <w:tcPr>
            <w:tcW w:w="530" w:type="pct"/>
            <w:tcBorders>
              <w:top w:val="nil"/>
              <w:left w:val="nil"/>
              <w:bottom w:val="nil"/>
              <w:right w:val="nil"/>
            </w:tcBorders>
            <w:shd w:val="clear" w:color="auto" w:fill="auto"/>
            <w:vAlign w:val="center"/>
          </w:tcPr>
          <w:p w14:paraId="5408100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2368 (26.5)</w:t>
            </w:r>
          </w:p>
        </w:tc>
        <w:tc>
          <w:tcPr>
            <w:tcW w:w="530" w:type="pct"/>
            <w:tcBorders>
              <w:top w:val="nil"/>
              <w:left w:val="nil"/>
              <w:bottom w:val="nil"/>
              <w:right w:val="single" w:sz="4" w:space="0" w:color="auto"/>
            </w:tcBorders>
            <w:shd w:val="clear" w:color="auto" w:fill="auto"/>
            <w:vAlign w:val="center"/>
          </w:tcPr>
          <w:p w14:paraId="545CF8F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683 (27.9)</w:t>
            </w:r>
          </w:p>
        </w:tc>
        <w:tc>
          <w:tcPr>
            <w:tcW w:w="522" w:type="pct"/>
            <w:tcBorders>
              <w:left w:val="single" w:sz="4" w:space="0" w:color="auto"/>
              <w:right w:val="nil"/>
            </w:tcBorders>
            <w:shd w:val="clear" w:color="auto" w:fill="auto"/>
            <w:vAlign w:val="center"/>
          </w:tcPr>
          <w:p w14:paraId="0DC75287"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4" w:type="pct"/>
            <w:gridSpan w:val="2"/>
            <w:tcBorders>
              <w:left w:val="nil"/>
              <w:right w:val="nil"/>
            </w:tcBorders>
            <w:shd w:val="clear" w:color="auto" w:fill="auto"/>
            <w:vAlign w:val="center"/>
          </w:tcPr>
          <w:p w14:paraId="32B5CD20"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3" w:type="pct"/>
            <w:gridSpan w:val="2"/>
            <w:tcBorders>
              <w:left w:val="nil"/>
              <w:right w:val="nil"/>
            </w:tcBorders>
            <w:shd w:val="clear" w:color="auto" w:fill="auto"/>
            <w:vAlign w:val="center"/>
          </w:tcPr>
          <w:p w14:paraId="038B146D"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4" w:type="pct"/>
            <w:gridSpan w:val="2"/>
            <w:tcBorders>
              <w:left w:val="nil"/>
              <w:right w:val="nil"/>
            </w:tcBorders>
            <w:shd w:val="clear" w:color="auto" w:fill="auto"/>
            <w:vAlign w:val="center"/>
          </w:tcPr>
          <w:p w14:paraId="099B5E3C"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r>
      <w:tr w:rsidR="0074644B" w:rsidRPr="00BB54DF" w14:paraId="703D2DC0"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0DD4D0C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w:t>
            </w:r>
          </w:p>
        </w:tc>
        <w:tc>
          <w:tcPr>
            <w:tcW w:w="529" w:type="pct"/>
            <w:tcBorders>
              <w:top w:val="nil"/>
              <w:left w:val="single" w:sz="4" w:space="0" w:color="auto"/>
              <w:bottom w:val="nil"/>
              <w:right w:val="nil"/>
            </w:tcBorders>
            <w:shd w:val="clear" w:color="auto" w:fill="auto"/>
            <w:noWrap/>
            <w:vAlign w:val="center"/>
          </w:tcPr>
          <w:p w14:paraId="3859536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4,971 (9.2)</w:t>
            </w:r>
          </w:p>
        </w:tc>
        <w:tc>
          <w:tcPr>
            <w:tcW w:w="529" w:type="pct"/>
            <w:tcBorders>
              <w:top w:val="nil"/>
              <w:left w:val="nil"/>
              <w:bottom w:val="nil"/>
              <w:right w:val="nil"/>
            </w:tcBorders>
            <w:shd w:val="clear" w:color="auto" w:fill="auto"/>
            <w:noWrap/>
            <w:vAlign w:val="center"/>
          </w:tcPr>
          <w:p w14:paraId="55E187B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399 (15.3)</w:t>
            </w:r>
          </w:p>
        </w:tc>
        <w:tc>
          <w:tcPr>
            <w:tcW w:w="530" w:type="pct"/>
            <w:tcBorders>
              <w:top w:val="nil"/>
              <w:left w:val="nil"/>
              <w:bottom w:val="nil"/>
              <w:right w:val="nil"/>
            </w:tcBorders>
            <w:shd w:val="clear" w:color="auto" w:fill="auto"/>
            <w:vAlign w:val="center"/>
          </w:tcPr>
          <w:p w14:paraId="48201D2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1170 (13.1)</w:t>
            </w:r>
          </w:p>
        </w:tc>
        <w:tc>
          <w:tcPr>
            <w:tcW w:w="530" w:type="pct"/>
            <w:tcBorders>
              <w:top w:val="nil"/>
              <w:left w:val="nil"/>
              <w:bottom w:val="nil"/>
              <w:right w:val="single" w:sz="4" w:space="0" w:color="auto"/>
            </w:tcBorders>
            <w:shd w:val="clear" w:color="auto" w:fill="auto"/>
            <w:vAlign w:val="center"/>
          </w:tcPr>
          <w:p w14:paraId="130BE27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367 (15.0)</w:t>
            </w:r>
          </w:p>
        </w:tc>
        <w:tc>
          <w:tcPr>
            <w:tcW w:w="522" w:type="pct"/>
            <w:tcBorders>
              <w:left w:val="single" w:sz="4" w:space="0" w:color="auto"/>
              <w:right w:val="nil"/>
            </w:tcBorders>
            <w:shd w:val="clear" w:color="auto" w:fill="auto"/>
            <w:vAlign w:val="center"/>
          </w:tcPr>
          <w:p w14:paraId="49FC0C5B"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4" w:type="pct"/>
            <w:gridSpan w:val="2"/>
            <w:tcBorders>
              <w:left w:val="nil"/>
              <w:right w:val="nil"/>
            </w:tcBorders>
            <w:shd w:val="clear" w:color="auto" w:fill="auto"/>
            <w:vAlign w:val="center"/>
          </w:tcPr>
          <w:p w14:paraId="6572D513"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3" w:type="pct"/>
            <w:gridSpan w:val="2"/>
            <w:tcBorders>
              <w:left w:val="nil"/>
              <w:right w:val="nil"/>
            </w:tcBorders>
            <w:shd w:val="clear" w:color="auto" w:fill="auto"/>
            <w:vAlign w:val="center"/>
          </w:tcPr>
          <w:p w14:paraId="016527D4"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4" w:type="pct"/>
            <w:gridSpan w:val="2"/>
            <w:tcBorders>
              <w:left w:val="nil"/>
              <w:right w:val="nil"/>
            </w:tcBorders>
            <w:shd w:val="clear" w:color="auto" w:fill="auto"/>
            <w:vAlign w:val="center"/>
          </w:tcPr>
          <w:p w14:paraId="20B58F0A"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r>
      <w:tr w:rsidR="0074644B" w:rsidRPr="00BB54DF" w14:paraId="5C4FB78E"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7611102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 – 5</w:t>
            </w:r>
          </w:p>
        </w:tc>
        <w:tc>
          <w:tcPr>
            <w:tcW w:w="529" w:type="pct"/>
            <w:tcBorders>
              <w:top w:val="nil"/>
              <w:left w:val="single" w:sz="4" w:space="0" w:color="auto"/>
              <w:bottom w:val="nil"/>
              <w:right w:val="nil"/>
            </w:tcBorders>
            <w:shd w:val="clear" w:color="auto" w:fill="auto"/>
            <w:noWrap/>
            <w:vAlign w:val="center"/>
          </w:tcPr>
          <w:p w14:paraId="07A591E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3,876 (7.2)</w:t>
            </w:r>
          </w:p>
        </w:tc>
        <w:tc>
          <w:tcPr>
            <w:tcW w:w="529" w:type="pct"/>
            <w:tcBorders>
              <w:top w:val="nil"/>
              <w:left w:val="nil"/>
              <w:bottom w:val="nil"/>
              <w:right w:val="nil"/>
            </w:tcBorders>
            <w:shd w:val="clear" w:color="auto" w:fill="auto"/>
            <w:noWrap/>
            <w:vAlign w:val="center"/>
          </w:tcPr>
          <w:p w14:paraId="75DABD0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371 (14.2)</w:t>
            </w:r>
          </w:p>
        </w:tc>
        <w:tc>
          <w:tcPr>
            <w:tcW w:w="530" w:type="pct"/>
            <w:tcBorders>
              <w:top w:val="nil"/>
              <w:left w:val="nil"/>
              <w:bottom w:val="nil"/>
              <w:right w:val="nil"/>
            </w:tcBorders>
            <w:shd w:val="clear" w:color="auto" w:fill="auto"/>
            <w:vAlign w:val="center"/>
          </w:tcPr>
          <w:p w14:paraId="6393AB2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1078 (12.1)</w:t>
            </w:r>
          </w:p>
        </w:tc>
        <w:tc>
          <w:tcPr>
            <w:tcW w:w="530" w:type="pct"/>
            <w:tcBorders>
              <w:top w:val="nil"/>
              <w:left w:val="nil"/>
              <w:bottom w:val="nil"/>
              <w:right w:val="single" w:sz="4" w:space="0" w:color="auto"/>
            </w:tcBorders>
            <w:shd w:val="clear" w:color="auto" w:fill="auto"/>
            <w:vAlign w:val="center"/>
          </w:tcPr>
          <w:p w14:paraId="33192AA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340 (13.9)</w:t>
            </w:r>
          </w:p>
        </w:tc>
        <w:tc>
          <w:tcPr>
            <w:tcW w:w="522" w:type="pct"/>
            <w:tcBorders>
              <w:left w:val="single" w:sz="4" w:space="0" w:color="auto"/>
              <w:right w:val="nil"/>
            </w:tcBorders>
            <w:shd w:val="clear" w:color="auto" w:fill="auto"/>
            <w:vAlign w:val="center"/>
          </w:tcPr>
          <w:p w14:paraId="6786AA80"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4" w:type="pct"/>
            <w:gridSpan w:val="2"/>
            <w:tcBorders>
              <w:left w:val="nil"/>
              <w:right w:val="nil"/>
            </w:tcBorders>
            <w:shd w:val="clear" w:color="auto" w:fill="auto"/>
            <w:vAlign w:val="center"/>
          </w:tcPr>
          <w:p w14:paraId="3447DC2C"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3" w:type="pct"/>
            <w:gridSpan w:val="2"/>
            <w:tcBorders>
              <w:left w:val="nil"/>
              <w:right w:val="nil"/>
            </w:tcBorders>
            <w:shd w:val="clear" w:color="auto" w:fill="auto"/>
            <w:vAlign w:val="center"/>
          </w:tcPr>
          <w:p w14:paraId="43D65E7F"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4" w:type="pct"/>
            <w:gridSpan w:val="2"/>
            <w:tcBorders>
              <w:left w:val="nil"/>
              <w:right w:val="nil"/>
            </w:tcBorders>
            <w:shd w:val="clear" w:color="auto" w:fill="auto"/>
            <w:vAlign w:val="center"/>
          </w:tcPr>
          <w:p w14:paraId="11F4182A"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r>
      <w:tr w:rsidR="0074644B" w:rsidRPr="00BB54DF" w14:paraId="75B174B7"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7941BA8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6+</w:t>
            </w:r>
          </w:p>
        </w:tc>
        <w:tc>
          <w:tcPr>
            <w:tcW w:w="529" w:type="pct"/>
            <w:tcBorders>
              <w:top w:val="nil"/>
              <w:left w:val="single" w:sz="4" w:space="0" w:color="auto"/>
              <w:bottom w:val="nil"/>
              <w:right w:val="nil"/>
            </w:tcBorders>
            <w:shd w:val="clear" w:color="auto" w:fill="auto"/>
            <w:noWrap/>
            <w:vAlign w:val="center"/>
          </w:tcPr>
          <w:p w14:paraId="699E5F4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804 (1.5)</w:t>
            </w:r>
          </w:p>
        </w:tc>
        <w:tc>
          <w:tcPr>
            <w:tcW w:w="529" w:type="pct"/>
            <w:tcBorders>
              <w:top w:val="nil"/>
              <w:left w:val="nil"/>
              <w:bottom w:val="nil"/>
              <w:right w:val="nil"/>
            </w:tcBorders>
            <w:shd w:val="clear" w:color="auto" w:fill="auto"/>
            <w:noWrap/>
            <w:vAlign w:val="center"/>
          </w:tcPr>
          <w:p w14:paraId="7BBA1F8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84 (3.2)</w:t>
            </w:r>
          </w:p>
        </w:tc>
        <w:tc>
          <w:tcPr>
            <w:tcW w:w="530" w:type="pct"/>
            <w:tcBorders>
              <w:top w:val="nil"/>
              <w:left w:val="nil"/>
              <w:bottom w:val="nil"/>
              <w:right w:val="nil"/>
            </w:tcBorders>
            <w:shd w:val="clear" w:color="auto" w:fill="auto"/>
            <w:vAlign w:val="center"/>
          </w:tcPr>
          <w:p w14:paraId="2E57633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249 (2.8)</w:t>
            </w:r>
          </w:p>
        </w:tc>
        <w:tc>
          <w:tcPr>
            <w:tcW w:w="530" w:type="pct"/>
            <w:tcBorders>
              <w:top w:val="nil"/>
              <w:left w:val="nil"/>
              <w:bottom w:val="nil"/>
              <w:right w:val="single" w:sz="4" w:space="0" w:color="auto"/>
            </w:tcBorders>
            <w:shd w:val="clear" w:color="auto" w:fill="auto"/>
            <w:vAlign w:val="center"/>
          </w:tcPr>
          <w:p w14:paraId="6987112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69 (2.8)</w:t>
            </w:r>
          </w:p>
        </w:tc>
        <w:tc>
          <w:tcPr>
            <w:tcW w:w="522" w:type="pct"/>
            <w:tcBorders>
              <w:left w:val="single" w:sz="4" w:space="0" w:color="auto"/>
              <w:right w:val="nil"/>
            </w:tcBorders>
            <w:shd w:val="clear" w:color="auto" w:fill="auto"/>
            <w:vAlign w:val="center"/>
          </w:tcPr>
          <w:p w14:paraId="7DAAA20B"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4" w:type="pct"/>
            <w:gridSpan w:val="2"/>
            <w:tcBorders>
              <w:left w:val="nil"/>
              <w:right w:val="nil"/>
            </w:tcBorders>
            <w:shd w:val="clear" w:color="auto" w:fill="auto"/>
            <w:vAlign w:val="center"/>
          </w:tcPr>
          <w:p w14:paraId="161770C4"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3" w:type="pct"/>
            <w:gridSpan w:val="2"/>
            <w:tcBorders>
              <w:left w:val="nil"/>
              <w:right w:val="nil"/>
            </w:tcBorders>
            <w:shd w:val="clear" w:color="auto" w:fill="auto"/>
            <w:vAlign w:val="center"/>
          </w:tcPr>
          <w:p w14:paraId="1C4DD0EB"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c>
          <w:tcPr>
            <w:tcW w:w="524" w:type="pct"/>
            <w:gridSpan w:val="2"/>
            <w:tcBorders>
              <w:left w:val="nil"/>
              <w:right w:val="nil"/>
            </w:tcBorders>
            <w:shd w:val="clear" w:color="auto" w:fill="auto"/>
            <w:vAlign w:val="center"/>
          </w:tcPr>
          <w:p w14:paraId="7054864F"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NA</w:t>
            </w:r>
          </w:p>
        </w:tc>
      </w:tr>
      <w:tr w:rsidR="0074644B" w:rsidRPr="00BB54DF" w14:paraId="4CD12BD6"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33D77F9A" w14:textId="77777777" w:rsidR="0074644B" w:rsidRPr="00BB54DF" w:rsidRDefault="0074644B" w:rsidP="007340D2">
            <w:pPr>
              <w:spacing w:after="0"/>
              <w:jc w:val="center"/>
              <w:rPr>
                <w:rFonts w:ascii="Times New Roman" w:hAnsi="Times New Roman"/>
                <w:sz w:val="16"/>
                <w:szCs w:val="16"/>
                <w:lang w:eastAsia="en-GB"/>
              </w:rPr>
            </w:pPr>
            <w:proofErr w:type="spellStart"/>
            <w:r w:rsidRPr="00BB54DF">
              <w:rPr>
                <w:rFonts w:ascii="Times New Roman" w:hAnsi="Times New Roman"/>
                <w:sz w:val="16"/>
                <w:szCs w:val="16"/>
                <w:lang w:eastAsia="en-GB"/>
              </w:rPr>
              <w:t>Charlson</w:t>
            </w:r>
            <w:proofErr w:type="spellEnd"/>
            <w:r w:rsidRPr="00BB54DF">
              <w:rPr>
                <w:rFonts w:ascii="Times New Roman" w:hAnsi="Times New Roman"/>
                <w:sz w:val="16"/>
                <w:szCs w:val="16"/>
                <w:lang w:eastAsia="en-GB"/>
              </w:rPr>
              <w:t xml:space="preserve"> score (n, %)</w:t>
            </w:r>
          </w:p>
        </w:tc>
        <w:tc>
          <w:tcPr>
            <w:tcW w:w="529" w:type="pct"/>
            <w:tcBorders>
              <w:top w:val="nil"/>
              <w:left w:val="single" w:sz="4" w:space="0" w:color="auto"/>
              <w:bottom w:val="nil"/>
              <w:right w:val="nil"/>
            </w:tcBorders>
            <w:shd w:val="clear" w:color="auto" w:fill="auto"/>
            <w:noWrap/>
            <w:vAlign w:val="center"/>
          </w:tcPr>
          <w:p w14:paraId="6D46F8CE" w14:textId="77777777" w:rsidR="0074644B" w:rsidRPr="00BB54DF" w:rsidRDefault="0074644B" w:rsidP="007340D2">
            <w:pPr>
              <w:spacing w:after="0"/>
              <w:jc w:val="center"/>
              <w:rPr>
                <w:rFonts w:ascii="Times New Roman" w:hAnsi="Times New Roman"/>
                <w:sz w:val="16"/>
                <w:szCs w:val="16"/>
                <w:lang w:eastAsia="en-GB"/>
              </w:rPr>
            </w:pPr>
          </w:p>
        </w:tc>
        <w:tc>
          <w:tcPr>
            <w:tcW w:w="529" w:type="pct"/>
            <w:tcBorders>
              <w:top w:val="nil"/>
              <w:left w:val="nil"/>
              <w:bottom w:val="nil"/>
              <w:right w:val="nil"/>
            </w:tcBorders>
            <w:shd w:val="clear" w:color="auto" w:fill="auto"/>
            <w:noWrap/>
            <w:vAlign w:val="center"/>
          </w:tcPr>
          <w:p w14:paraId="56C3EA13" w14:textId="77777777" w:rsidR="0074644B" w:rsidRPr="00BB54DF" w:rsidRDefault="0074644B" w:rsidP="007340D2">
            <w:pPr>
              <w:spacing w:after="0"/>
              <w:jc w:val="center"/>
              <w:rPr>
                <w:rFonts w:ascii="Times New Roman" w:hAnsi="Times New Roman"/>
                <w:sz w:val="16"/>
                <w:szCs w:val="16"/>
                <w:lang w:eastAsia="en-GB"/>
              </w:rPr>
            </w:pPr>
          </w:p>
        </w:tc>
        <w:tc>
          <w:tcPr>
            <w:tcW w:w="530" w:type="pct"/>
            <w:tcBorders>
              <w:top w:val="nil"/>
              <w:left w:val="nil"/>
              <w:bottom w:val="nil"/>
              <w:right w:val="nil"/>
            </w:tcBorders>
            <w:shd w:val="clear" w:color="auto" w:fill="auto"/>
            <w:vAlign w:val="center"/>
          </w:tcPr>
          <w:p w14:paraId="34F7C2D4" w14:textId="77777777" w:rsidR="0074644B" w:rsidRPr="00BB54DF" w:rsidRDefault="0074644B" w:rsidP="007340D2">
            <w:pPr>
              <w:spacing w:after="0"/>
              <w:jc w:val="center"/>
              <w:rPr>
                <w:rFonts w:ascii="Times New Roman" w:hAnsi="Times New Roman"/>
                <w:sz w:val="16"/>
                <w:szCs w:val="16"/>
                <w:lang w:eastAsia="en-GB"/>
              </w:rPr>
            </w:pPr>
          </w:p>
        </w:tc>
        <w:tc>
          <w:tcPr>
            <w:tcW w:w="530" w:type="pct"/>
            <w:tcBorders>
              <w:top w:val="nil"/>
              <w:left w:val="nil"/>
              <w:bottom w:val="nil"/>
              <w:right w:val="single" w:sz="4" w:space="0" w:color="auto"/>
            </w:tcBorders>
            <w:shd w:val="clear" w:color="auto" w:fill="auto"/>
          </w:tcPr>
          <w:p w14:paraId="1FFA1662" w14:textId="77777777" w:rsidR="0074644B" w:rsidRPr="00BB54DF" w:rsidRDefault="0074644B" w:rsidP="007340D2">
            <w:pPr>
              <w:spacing w:after="0"/>
              <w:jc w:val="center"/>
              <w:rPr>
                <w:rFonts w:ascii="Times New Roman" w:hAnsi="Times New Roman"/>
                <w:sz w:val="16"/>
                <w:szCs w:val="16"/>
                <w:lang w:eastAsia="en-GB"/>
              </w:rPr>
            </w:pPr>
          </w:p>
        </w:tc>
        <w:tc>
          <w:tcPr>
            <w:tcW w:w="522" w:type="pct"/>
            <w:tcBorders>
              <w:left w:val="single" w:sz="4" w:space="0" w:color="auto"/>
              <w:right w:val="nil"/>
            </w:tcBorders>
            <w:shd w:val="clear" w:color="auto" w:fill="auto"/>
            <w:vAlign w:val="center"/>
          </w:tcPr>
          <w:p w14:paraId="58397F7F" w14:textId="77777777" w:rsidR="0074644B" w:rsidRPr="00BB54DF" w:rsidRDefault="0074644B" w:rsidP="007340D2">
            <w:pPr>
              <w:spacing w:after="0"/>
              <w:jc w:val="center"/>
              <w:rPr>
                <w:rFonts w:ascii="Times New Roman" w:hAnsi="Times New Roman"/>
                <w:sz w:val="16"/>
                <w:szCs w:val="16"/>
                <w:lang w:eastAsia="en-GB"/>
              </w:rPr>
            </w:pPr>
          </w:p>
        </w:tc>
        <w:tc>
          <w:tcPr>
            <w:tcW w:w="524" w:type="pct"/>
            <w:gridSpan w:val="2"/>
            <w:tcBorders>
              <w:left w:val="nil"/>
              <w:right w:val="nil"/>
            </w:tcBorders>
            <w:shd w:val="clear" w:color="auto" w:fill="auto"/>
            <w:vAlign w:val="center"/>
          </w:tcPr>
          <w:p w14:paraId="30DD196F" w14:textId="77777777" w:rsidR="0074644B" w:rsidRPr="00BB54DF" w:rsidRDefault="0074644B" w:rsidP="007340D2">
            <w:pPr>
              <w:spacing w:after="0"/>
              <w:jc w:val="center"/>
              <w:rPr>
                <w:rFonts w:ascii="Times New Roman" w:hAnsi="Times New Roman"/>
                <w:sz w:val="16"/>
                <w:szCs w:val="16"/>
                <w:lang w:eastAsia="en-GB"/>
              </w:rPr>
            </w:pPr>
          </w:p>
        </w:tc>
        <w:tc>
          <w:tcPr>
            <w:tcW w:w="523" w:type="pct"/>
            <w:gridSpan w:val="2"/>
            <w:tcBorders>
              <w:left w:val="nil"/>
              <w:right w:val="nil"/>
            </w:tcBorders>
            <w:shd w:val="clear" w:color="auto" w:fill="auto"/>
            <w:vAlign w:val="center"/>
          </w:tcPr>
          <w:p w14:paraId="2D257930" w14:textId="77777777" w:rsidR="0074644B" w:rsidRPr="00BB54DF" w:rsidRDefault="0074644B" w:rsidP="007340D2">
            <w:pPr>
              <w:spacing w:after="0"/>
              <w:jc w:val="center"/>
              <w:rPr>
                <w:rFonts w:ascii="Times New Roman" w:hAnsi="Times New Roman"/>
                <w:sz w:val="16"/>
                <w:szCs w:val="16"/>
                <w:lang w:eastAsia="en-GB"/>
              </w:rPr>
            </w:pPr>
          </w:p>
        </w:tc>
        <w:tc>
          <w:tcPr>
            <w:tcW w:w="524" w:type="pct"/>
            <w:gridSpan w:val="2"/>
            <w:tcBorders>
              <w:left w:val="nil"/>
              <w:right w:val="nil"/>
            </w:tcBorders>
            <w:shd w:val="clear" w:color="auto" w:fill="auto"/>
            <w:vAlign w:val="center"/>
          </w:tcPr>
          <w:p w14:paraId="11A6F351" w14:textId="77777777" w:rsidR="0074644B" w:rsidRPr="00BB54DF" w:rsidRDefault="0074644B" w:rsidP="007340D2">
            <w:pPr>
              <w:spacing w:after="0"/>
              <w:jc w:val="center"/>
              <w:rPr>
                <w:rFonts w:ascii="Times New Roman" w:hAnsi="Times New Roman"/>
                <w:sz w:val="16"/>
                <w:szCs w:val="16"/>
                <w:lang w:eastAsia="en-GB"/>
              </w:rPr>
            </w:pPr>
          </w:p>
        </w:tc>
      </w:tr>
      <w:tr w:rsidR="0074644B" w:rsidRPr="00BB54DF" w14:paraId="316AFF09"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0F8BA08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0</w:t>
            </w:r>
          </w:p>
        </w:tc>
        <w:tc>
          <w:tcPr>
            <w:tcW w:w="529" w:type="pct"/>
            <w:tcBorders>
              <w:top w:val="nil"/>
              <w:left w:val="single" w:sz="4" w:space="0" w:color="auto"/>
              <w:bottom w:val="nil"/>
              <w:right w:val="nil"/>
            </w:tcBorders>
            <w:shd w:val="clear" w:color="auto" w:fill="auto"/>
            <w:noWrap/>
            <w:vAlign w:val="center"/>
          </w:tcPr>
          <w:p w14:paraId="7A9A81E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30,485 (56.5)</w:t>
            </w:r>
          </w:p>
        </w:tc>
        <w:tc>
          <w:tcPr>
            <w:tcW w:w="529" w:type="pct"/>
            <w:tcBorders>
              <w:top w:val="nil"/>
              <w:left w:val="nil"/>
              <w:bottom w:val="nil"/>
              <w:right w:val="nil"/>
            </w:tcBorders>
            <w:shd w:val="clear" w:color="auto" w:fill="auto"/>
            <w:noWrap/>
            <w:vAlign w:val="center"/>
          </w:tcPr>
          <w:p w14:paraId="14768ED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682 (26.1)</w:t>
            </w:r>
          </w:p>
        </w:tc>
        <w:tc>
          <w:tcPr>
            <w:tcW w:w="530" w:type="pct"/>
            <w:tcBorders>
              <w:top w:val="nil"/>
              <w:left w:val="nil"/>
              <w:bottom w:val="nil"/>
              <w:right w:val="nil"/>
            </w:tcBorders>
            <w:shd w:val="clear" w:color="auto" w:fill="auto"/>
            <w:vAlign w:val="center"/>
          </w:tcPr>
          <w:p w14:paraId="2352241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3107 (34.8)</w:t>
            </w:r>
          </w:p>
        </w:tc>
        <w:tc>
          <w:tcPr>
            <w:tcW w:w="530" w:type="pct"/>
            <w:tcBorders>
              <w:top w:val="nil"/>
              <w:left w:val="nil"/>
              <w:bottom w:val="nil"/>
              <w:right w:val="single" w:sz="4" w:space="0" w:color="auto"/>
            </w:tcBorders>
            <w:shd w:val="clear" w:color="auto" w:fill="auto"/>
            <w:vAlign w:val="center"/>
          </w:tcPr>
          <w:p w14:paraId="213EA43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671 (27.4)</w:t>
            </w:r>
          </w:p>
        </w:tc>
        <w:tc>
          <w:tcPr>
            <w:tcW w:w="522" w:type="pct"/>
            <w:tcBorders>
              <w:left w:val="single" w:sz="4" w:space="0" w:color="auto"/>
              <w:right w:val="nil"/>
            </w:tcBorders>
            <w:shd w:val="clear" w:color="auto" w:fill="auto"/>
            <w:vAlign w:val="center"/>
          </w:tcPr>
          <w:p w14:paraId="7B2E145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7,392 (18.1)</w:t>
            </w:r>
          </w:p>
        </w:tc>
        <w:tc>
          <w:tcPr>
            <w:tcW w:w="524" w:type="pct"/>
            <w:gridSpan w:val="2"/>
            <w:tcBorders>
              <w:left w:val="nil"/>
              <w:right w:val="nil"/>
            </w:tcBorders>
            <w:shd w:val="clear" w:color="auto" w:fill="auto"/>
            <w:vAlign w:val="center"/>
          </w:tcPr>
          <w:p w14:paraId="31CE2E7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313 (22.2)</w:t>
            </w:r>
          </w:p>
        </w:tc>
        <w:tc>
          <w:tcPr>
            <w:tcW w:w="523" w:type="pct"/>
            <w:gridSpan w:val="2"/>
            <w:tcBorders>
              <w:left w:val="nil"/>
              <w:right w:val="nil"/>
            </w:tcBorders>
            <w:shd w:val="clear" w:color="auto" w:fill="auto"/>
            <w:vAlign w:val="center"/>
          </w:tcPr>
          <w:p w14:paraId="4DD91FD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1,339 (20.5)</w:t>
            </w:r>
          </w:p>
        </w:tc>
        <w:tc>
          <w:tcPr>
            <w:tcW w:w="524" w:type="pct"/>
            <w:gridSpan w:val="2"/>
            <w:tcBorders>
              <w:left w:val="nil"/>
              <w:right w:val="nil"/>
            </w:tcBorders>
            <w:shd w:val="clear" w:color="auto" w:fill="auto"/>
            <w:vAlign w:val="center"/>
          </w:tcPr>
          <w:p w14:paraId="1DA72CB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308 (22.0)</w:t>
            </w:r>
          </w:p>
        </w:tc>
      </w:tr>
      <w:tr w:rsidR="0074644B" w:rsidRPr="00BB54DF" w14:paraId="3936C9E1"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70C6C99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w:t>
            </w:r>
          </w:p>
        </w:tc>
        <w:tc>
          <w:tcPr>
            <w:tcW w:w="529" w:type="pct"/>
            <w:tcBorders>
              <w:top w:val="nil"/>
              <w:left w:val="single" w:sz="4" w:space="0" w:color="auto"/>
              <w:bottom w:val="nil"/>
              <w:right w:val="nil"/>
            </w:tcBorders>
            <w:shd w:val="clear" w:color="auto" w:fill="auto"/>
            <w:noWrap/>
            <w:vAlign w:val="center"/>
          </w:tcPr>
          <w:p w14:paraId="1530B77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7,723 (14.3)</w:t>
            </w:r>
          </w:p>
        </w:tc>
        <w:tc>
          <w:tcPr>
            <w:tcW w:w="529" w:type="pct"/>
            <w:tcBorders>
              <w:top w:val="nil"/>
              <w:left w:val="nil"/>
              <w:bottom w:val="nil"/>
              <w:right w:val="nil"/>
            </w:tcBorders>
            <w:shd w:val="clear" w:color="auto" w:fill="auto"/>
            <w:noWrap/>
            <w:vAlign w:val="center"/>
          </w:tcPr>
          <w:p w14:paraId="08FA413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364 (13.9)</w:t>
            </w:r>
          </w:p>
        </w:tc>
        <w:tc>
          <w:tcPr>
            <w:tcW w:w="530" w:type="pct"/>
            <w:tcBorders>
              <w:top w:val="nil"/>
              <w:left w:val="nil"/>
              <w:bottom w:val="nil"/>
              <w:right w:val="nil"/>
            </w:tcBorders>
            <w:shd w:val="clear" w:color="auto" w:fill="auto"/>
            <w:vAlign w:val="center"/>
          </w:tcPr>
          <w:p w14:paraId="03A3D82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1366 (15.3)</w:t>
            </w:r>
          </w:p>
        </w:tc>
        <w:tc>
          <w:tcPr>
            <w:tcW w:w="530" w:type="pct"/>
            <w:tcBorders>
              <w:top w:val="nil"/>
              <w:left w:val="nil"/>
              <w:bottom w:val="nil"/>
              <w:right w:val="single" w:sz="4" w:space="0" w:color="auto"/>
            </w:tcBorders>
            <w:shd w:val="clear" w:color="auto" w:fill="auto"/>
            <w:vAlign w:val="center"/>
          </w:tcPr>
          <w:p w14:paraId="3FA84AD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350 (14.3)</w:t>
            </w:r>
          </w:p>
        </w:tc>
        <w:tc>
          <w:tcPr>
            <w:tcW w:w="522" w:type="pct"/>
            <w:tcBorders>
              <w:left w:val="single" w:sz="4" w:space="0" w:color="auto"/>
              <w:right w:val="nil"/>
            </w:tcBorders>
            <w:shd w:val="clear" w:color="auto" w:fill="auto"/>
            <w:vAlign w:val="center"/>
          </w:tcPr>
          <w:p w14:paraId="364B67C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7,605 (18.6)</w:t>
            </w:r>
          </w:p>
        </w:tc>
        <w:tc>
          <w:tcPr>
            <w:tcW w:w="524" w:type="pct"/>
            <w:gridSpan w:val="2"/>
            <w:tcBorders>
              <w:left w:val="nil"/>
              <w:right w:val="nil"/>
            </w:tcBorders>
            <w:shd w:val="clear" w:color="auto" w:fill="auto"/>
            <w:vAlign w:val="center"/>
          </w:tcPr>
          <w:p w14:paraId="05D82E8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297 (21.1)</w:t>
            </w:r>
          </w:p>
        </w:tc>
        <w:tc>
          <w:tcPr>
            <w:tcW w:w="523" w:type="pct"/>
            <w:gridSpan w:val="2"/>
            <w:tcBorders>
              <w:left w:val="nil"/>
              <w:right w:val="nil"/>
            </w:tcBorders>
            <w:shd w:val="clear" w:color="auto" w:fill="auto"/>
            <w:vAlign w:val="center"/>
          </w:tcPr>
          <w:p w14:paraId="517ED67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1,330 (20.3)</w:t>
            </w:r>
          </w:p>
        </w:tc>
        <w:tc>
          <w:tcPr>
            <w:tcW w:w="524" w:type="pct"/>
            <w:gridSpan w:val="2"/>
            <w:tcBorders>
              <w:left w:val="nil"/>
              <w:right w:val="nil"/>
            </w:tcBorders>
            <w:shd w:val="clear" w:color="auto" w:fill="auto"/>
            <w:vAlign w:val="center"/>
          </w:tcPr>
          <w:p w14:paraId="09F5E3F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293 (20.9)</w:t>
            </w:r>
          </w:p>
        </w:tc>
      </w:tr>
      <w:tr w:rsidR="0074644B" w:rsidRPr="00BB54DF" w14:paraId="7E070259"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05EB861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w:t>
            </w:r>
          </w:p>
        </w:tc>
        <w:tc>
          <w:tcPr>
            <w:tcW w:w="529" w:type="pct"/>
            <w:tcBorders>
              <w:top w:val="nil"/>
              <w:left w:val="single" w:sz="4" w:space="0" w:color="auto"/>
              <w:bottom w:val="nil"/>
              <w:right w:val="nil"/>
            </w:tcBorders>
            <w:shd w:val="clear" w:color="auto" w:fill="auto"/>
            <w:noWrap/>
            <w:vAlign w:val="center"/>
          </w:tcPr>
          <w:p w14:paraId="378419E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7,719 (14.3)</w:t>
            </w:r>
          </w:p>
        </w:tc>
        <w:tc>
          <w:tcPr>
            <w:tcW w:w="529" w:type="pct"/>
            <w:tcBorders>
              <w:top w:val="nil"/>
              <w:left w:val="nil"/>
              <w:bottom w:val="nil"/>
              <w:right w:val="nil"/>
            </w:tcBorders>
            <w:shd w:val="clear" w:color="auto" w:fill="auto"/>
            <w:noWrap/>
            <w:vAlign w:val="center"/>
          </w:tcPr>
          <w:p w14:paraId="61E20B2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604 (23.1)</w:t>
            </w:r>
          </w:p>
        </w:tc>
        <w:tc>
          <w:tcPr>
            <w:tcW w:w="530" w:type="pct"/>
            <w:tcBorders>
              <w:top w:val="nil"/>
              <w:left w:val="nil"/>
              <w:bottom w:val="nil"/>
              <w:right w:val="nil"/>
            </w:tcBorders>
            <w:shd w:val="clear" w:color="auto" w:fill="auto"/>
            <w:vAlign w:val="center"/>
          </w:tcPr>
          <w:p w14:paraId="37D1DFE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1905 (21.3)</w:t>
            </w:r>
          </w:p>
        </w:tc>
        <w:tc>
          <w:tcPr>
            <w:tcW w:w="530" w:type="pct"/>
            <w:tcBorders>
              <w:top w:val="nil"/>
              <w:left w:val="nil"/>
              <w:bottom w:val="nil"/>
              <w:right w:val="single" w:sz="4" w:space="0" w:color="auto"/>
            </w:tcBorders>
            <w:shd w:val="clear" w:color="auto" w:fill="auto"/>
            <w:vAlign w:val="center"/>
          </w:tcPr>
          <w:p w14:paraId="0986B45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565 (23.1)</w:t>
            </w:r>
          </w:p>
        </w:tc>
        <w:tc>
          <w:tcPr>
            <w:tcW w:w="522" w:type="pct"/>
            <w:tcBorders>
              <w:left w:val="single" w:sz="4" w:space="0" w:color="auto"/>
              <w:right w:val="nil"/>
            </w:tcBorders>
            <w:shd w:val="clear" w:color="auto" w:fill="auto"/>
            <w:vAlign w:val="center"/>
          </w:tcPr>
          <w:p w14:paraId="0FC18C9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9,604 (23.5)</w:t>
            </w:r>
          </w:p>
        </w:tc>
        <w:tc>
          <w:tcPr>
            <w:tcW w:w="524" w:type="pct"/>
            <w:gridSpan w:val="2"/>
            <w:tcBorders>
              <w:left w:val="nil"/>
              <w:right w:val="nil"/>
            </w:tcBorders>
            <w:shd w:val="clear" w:color="auto" w:fill="auto"/>
            <w:vAlign w:val="center"/>
          </w:tcPr>
          <w:p w14:paraId="0F3BDAB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318 (22.6)</w:t>
            </w:r>
          </w:p>
        </w:tc>
        <w:tc>
          <w:tcPr>
            <w:tcW w:w="523" w:type="pct"/>
            <w:gridSpan w:val="2"/>
            <w:tcBorders>
              <w:left w:val="nil"/>
              <w:right w:val="nil"/>
            </w:tcBorders>
            <w:shd w:val="clear" w:color="auto" w:fill="auto"/>
            <w:vAlign w:val="center"/>
          </w:tcPr>
          <w:p w14:paraId="0642987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1,501 (22.9)</w:t>
            </w:r>
          </w:p>
        </w:tc>
        <w:tc>
          <w:tcPr>
            <w:tcW w:w="524" w:type="pct"/>
            <w:gridSpan w:val="2"/>
            <w:tcBorders>
              <w:left w:val="nil"/>
              <w:right w:val="nil"/>
            </w:tcBorders>
            <w:shd w:val="clear" w:color="auto" w:fill="auto"/>
            <w:vAlign w:val="center"/>
          </w:tcPr>
          <w:p w14:paraId="43DFDBF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318 (22.7)</w:t>
            </w:r>
          </w:p>
        </w:tc>
      </w:tr>
      <w:tr w:rsidR="0074644B" w:rsidRPr="00BB54DF" w14:paraId="76EC372A"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6DF20C3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 – 5</w:t>
            </w:r>
          </w:p>
        </w:tc>
        <w:tc>
          <w:tcPr>
            <w:tcW w:w="529" w:type="pct"/>
            <w:tcBorders>
              <w:top w:val="nil"/>
              <w:left w:val="single" w:sz="4" w:space="0" w:color="auto"/>
              <w:bottom w:val="nil"/>
              <w:right w:val="nil"/>
            </w:tcBorders>
            <w:shd w:val="clear" w:color="auto" w:fill="auto"/>
            <w:noWrap/>
            <w:vAlign w:val="center"/>
          </w:tcPr>
          <w:p w14:paraId="79CA710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6,468 (12.0)</w:t>
            </w:r>
          </w:p>
        </w:tc>
        <w:tc>
          <w:tcPr>
            <w:tcW w:w="529" w:type="pct"/>
            <w:tcBorders>
              <w:top w:val="nil"/>
              <w:left w:val="nil"/>
              <w:bottom w:val="nil"/>
              <w:right w:val="nil"/>
            </w:tcBorders>
            <w:shd w:val="clear" w:color="auto" w:fill="auto"/>
            <w:noWrap/>
            <w:vAlign w:val="center"/>
          </w:tcPr>
          <w:p w14:paraId="665E8FB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746 (28.5)</w:t>
            </w:r>
          </w:p>
        </w:tc>
        <w:tc>
          <w:tcPr>
            <w:tcW w:w="530" w:type="pct"/>
            <w:tcBorders>
              <w:top w:val="nil"/>
              <w:left w:val="nil"/>
              <w:bottom w:val="nil"/>
              <w:right w:val="nil"/>
            </w:tcBorders>
            <w:shd w:val="clear" w:color="auto" w:fill="auto"/>
            <w:vAlign w:val="center"/>
          </w:tcPr>
          <w:p w14:paraId="54BCB45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2001 (22.4)</w:t>
            </w:r>
          </w:p>
        </w:tc>
        <w:tc>
          <w:tcPr>
            <w:tcW w:w="530" w:type="pct"/>
            <w:tcBorders>
              <w:top w:val="nil"/>
              <w:left w:val="nil"/>
              <w:bottom w:val="nil"/>
              <w:right w:val="single" w:sz="4" w:space="0" w:color="auto"/>
            </w:tcBorders>
            <w:shd w:val="clear" w:color="auto" w:fill="auto"/>
            <w:vAlign w:val="center"/>
          </w:tcPr>
          <w:p w14:paraId="665FBC1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666 (27.2)</w:t>
            </w:r>
          </w:p>
        </w:tc>
        <w:tc>
          <w:tcPr>
            <w:tcW w:w="522" w:type="pct"/>
            <w:tcBorders>
              <w:left w:val="single" w:sz="4" w:space="0" w:color="auto"/>
              <w:right w:val="nil"/>
            </w:tcBorders>
            <w:shd w:val="clear" w:color="auto" w:fill="auto"/>
            <w:vAlign w:val="center"/>
          </w:tcPr>
          <w:p w14:paraId="01C048B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14,375 (35.2)</w:t>
            </w:r>
          </w:p>
        </w:tc>
        <w:tc>
          <w:tcPr>
            <w:tcW w:w="524" w:type="pct"/>
            <w:gridSpan w:val="2"/>
            <w:tcBorders>
              <w:left w:val="nil"/>
              <w:right w:val="nil"/>
            </w:tcBorders>
            <w:shd w:val="clear" w:color="auto" w:fill="auto"/>
            <w:vAlign w:val="center"/>
          </w:tcPr>
          <w:p w14:paraId="48B2D72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450 (32.0)</w:t>
            </w:r>
          </w:p>
        </w:tc>
        <w:tc>
          <w:tcPr>
            <w:tcW w:w="523" w:type="pct"/>
            <w:gridSpan w:val="2"/>
            <w:tcBorders>
              <w:left w:val="nil"/>
              <w:right w:val="nil"/>
            </w:tcBorders>
            <w:shd w:val="clear" w:color="auto" w:fill="auto"/>
            <w:vAlign w:val="center"/>
          </w:tcPr>
          <w:p w14:paraId="0FF47C8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2,212 (33.8)</w:t>
            </w:r>
          </w:p>
        </w:tc>
        <w:tc>
          <w:tcPr>
            <w:tcW w:w="524" w:type="pct"/>
            <w:gridSpan w:val="2"/>
            <w:tcBorders>
              <w:left w:val="nil"/>
              <w:right w:val="nil"/>
            </w:tcBorders>
            <w:shd w:val="clear" w:color="auto" w:fill="auto"/>
            <w:vAlign w:val="center"/>
          </w:tcPr>
          <w:p w14:paraId="315A794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450 (32.2)</w:t>
            </w:r>
          </w:p>
        </w:tc>
      </w:tr>
      <w:tr w:rsidR="0074644B" w:rsidRPr="00BB54DF" w14:paraId="0715352D"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5F0D4F4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6+</w:t>
            </w:r>
          </w:p>
        </w:tc>
        <w:tc>
          <w:tcPr>
            <w:tcW w:w="529" w:type="pct"/>
            <w:tcBorders>
              <w:top w:val="nil"/>
              <w:left w:val="single" w:sz="4" w:space="0" w:color="auto"/>
              <w:bottom w:val="nil"/>
              <w:right w:val="nil"/>
            </w:tcBorders>
            <w:shd w:val="clear" w:color="auto" w:fill="auto"/>
            <w:noWrap/>
            <w:vAlign w:val="center"/>
          </w:tcPr>
          <w:p w14:paraId="1CA81F5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1,591 (2.9)</w:t>
            </w:r>
          </w:p>
        </w:tc>
        <w:tc>
          <w:tcPr>
            <w:tcW w:w="529" w:type="pct"/>
            <w:tcBorders>
              <w:top w:val="nil"/>
              <w:left w:val="nil"/>
              <w:bottom w:val="nil"/>
              <w:right w:val="nil"/>
            </w:tcBorders>
            <w:shd w:val="clear" w:color="auto" w:fill="auto"/>
            <w:noWrap/>
            <w:vAlign w:val="center"/>
          </w:tcPr>
          <w:p w14:paraId="78C7AC7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217 (8.3)</w:t>
            </w:r>
          </w:p>
        </w:tc>
        <w:tc>
          <w:tcPr>
            <w:tcW w:w="530" w:type="pct"/>
            <w:tcBorders>
              <w:top w:val="nil"/>
              <w:left w:val="nil"/>
              <w:bottom w:val="nil"/>
              <w:right w:val="nil"/>
            </w:tcBorders>
            <w:shd w:val="clear" w:color="auto" w:fill="auto"/>
            <w:vAlign w:val="center"/>
          </w:tcPr>
          <w:p w14:paraId="1F312DB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552 (6.2)</w:t>
            </w:r>
          </w:p>
        </w:tc>
        <w:tc>
          <w:tcPr>
            <w:tcW w:w="530" w:type="pct"/>
            <w:tcBorders>
              <w:top w:val="nil"/>
              <w:left w:val="nil"/>
              <w:bottom w:val="nil"/>
              <w:right w:val="single" w:sz="4" w:space="0" w:color="auto"/>
            </w:tcBorders>
            <w:shd w:val="clear" w:color="auto" w:fill="auto"/>
            <w:vAlign w:val="center"/>
          </w:tcPr>
          <w:p w14:paraId="3CB3E4D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195 (8.0)</w:t>
            </w:r>
          </w:p>
        </w:tc>
        <w:tc>
          <w:tcPr>
            <w:tcW w:w="522" w:type="pct"/>
            <w:tcBorders>
              <w:left w:val="single" w:sz="4" w:space="0" w:color="auto"/>
              <w:right w:val="nil"/>
            </w:tcBorders>
            <w:shd w:val="clear" w:color="auto" w:fill="auto"/>
            <w:vAlign w:val="center"/>
          </w:tcPr>
          <w:p w14:paraId="5C5F667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1,824 (4.5)</w:t>
            </w:r>
          </w:p>
        </w:tc>
        <w:tc>
          <w:tcPr>
            <w:tcW w:w="524" w:type="pct"/>
            <w:gridSpan w:val="2"/>
            <w:tcBorders>
              <w:left w:val="nil"/>
              <w:right w:val="nil"/>
            </w:tcBorders>
            <w:shd w:val="clear" w:color="auto" w:fill="auto"/>
            <w:vAlign w:val="center"/>
          </w:tcPr>
          <w:p w14:paraId="52EA08C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30 (2.13)</w:t>
            </w:r>
          </w:p>
        </w:tc>
        <w:tc>
          <w:tcPr>
            <w:tcW w:w="523" w:type="pct"/>
            <w:gridSpan w:val="2"/>
            <w:tcBorders>
              <w:left w:val="nil"/>
              <w:right w:val="nil"/>
            </w:tcBorders>
            <w:shd w:val="clear" w:color="auto" w:fill="auto"/>
            <w:vAlign w:val="center"/>
          </w:tcPr>
          <w:p w14:paraId="7760245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165 (2.5)</w:t>
            </w:r>
          </w:p>
        </w:tc>
        <w:tc>
          <w:tcPr>
            <w:tcW w:w="524" w:type="pct"/>
            <w:gridSpan w:val="2"/>
            <w:tcBorders>
              <w:left w:val="nil"/>
              <w:right w:val="nil"/>
            </w:tcBorders>
            <w:shd w:val="clear" w:color="auto" w:fill="auto"/>
            <w:vAlign w:val="center"/>
          </w:tcPr>
          <w:p w14:paraId="3E60151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30 (2.1)</w:t>
            </w:r>
          </w:p>
        </w:tc>
      </w:tr>
      <w:tr w:rsidR="0074644B" w:rsidRPr="00BB54DF" w14:paraId="13DA2343"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53A5A67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Rheumatoid arthritis (n, %)</w:t>
            </w:r>
          </w:p>
        </w:tc>
        <w:tc>
          <w:tcPr>
            <w:tcW w:w="529" w:type="pct"/>
            <w:tcBorders>
              <w:top w:val="nil"/>
              <w:left w:val="single" w:sz="4" w:space="0" w:color="auto"/>
              <w:bottom w:val="nil"/>
              <w:right w:val="nil"/>
            </w:tcBorders>
            <w:shd w:val="clear" w:color="auto" w:fill="auto"/>
            <w:noWrap/>
            <w:vAlign w:val="center"/>
          </w:tcPr>
          <w:p w14:paraId="14EFCFA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532 (1.0)</w:t>
            </w:r>
          </w:p>
        </w:tc>
        <w:tc>
          <w:tcPr>
            <w:tcW w:w="529" w:type="pct"/>
            <w:tcBorders>
              <w:top w:val="nil"/>
              <w:left w:val="nil"/>
              <w:bottom w:val="nil"/>
              <w:right w:val="nil"/>
            </w:tcBorders>
            <w:shd w:val="clear" w:color="auto" w:fill="auto"/>
            <w:noWrap/>
            <w:vAlign w:val="center"/>
          </w:tcPr>
          <w:p w14:paraId="4EFE7B9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148 (5.7)</w:t>
            </w:r>
          </w:p>
        </w:tc>
        <w:tc>
          <w:tcPr>
            <w:tcW w:w="530" w:type="pct"/>
            <w:tcBorders>
              <w:top w:val="nil"/>
              <w:left w:val="nil"/>
              <w:bottom w:val="nil"/>
              <w:right w:val="nil"/>
            </w:tcBorders>
            <w:shd w:val="clear" w:color="auto" w:fill="auto"/>
            <w:vAlign w:val="center"/>
          </w:tcPr>
          <w:p w14:paraId="13D7E04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171 (1.9)</w:t>
            </w:r>
          </w:p>
        </w:tc>
        <w:tc>
          <w:tcPr>
            <w:tcW w:w="530" w:type="pct"/>
            <w:tcBorders>
              <w:top w:val="nil"/>
              <w:left w:val="nil"/>
              <w:bottom w:val="nil"/>
              <w:right w:val="single" w:sz="4" w:space="0" w:color="auto"/>
            </w:tcBorders>
            <w:shd w:val="clear" w:color="auto" w:fill="auto"/>
            <w:vAlign w:val="center"/>
          </w:tcPr>
          <w:p w14:paraId="5BC3621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136 (5.6)</w:t>
            </w:r>
          </w:p>
        </w:tc>
        <w:tc>
          <w:tcPr>
            <w:tcW w:w="522" w:type="pct"/>
            <w:tcBorders>
              <w:left w:val="single" w:sz="4" w:space="0" w:color="auto"/>
              <w:right w:val="nil"/>
            </w:tcBorders>
            <w:shd w:val="clear" w:color="auto" w:fill="auto"/>
            <w:vAlign w:val="center"/>
          </w:tcPr>
          <w:p w14:paraId="719656C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478 (1.2)</w:t>
            </w:r>
          </w:p>
        </w:tc>
        <w:tc>
          <w:tcPr>
            <w:tcW w:w="524" w:type="pct"/>
            <w:gridSpan w:val="2"/>
            <w:tcBorders>
              <w:left w:val="nil"/>
              <w:right w:val="nil"/>
            </w:tcBorders>
            <w:shd w:val="clear" w:color="auto" w:fill="auto"/>
            <w:vAlign w:val="center"/>
          </w:tcPr>
          <w:p w14:paraId="2F8C155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49 (3.48)</w:t>
            </w:r>
          </w:p>
        </w:tc>
        <w:tc>
          <w:tcPr>
            <w:tcW w:w="523" w:type="pct"/>
            <w:gridSpan w:val="2"/>
            <w:tcBorders>
              <w:left w:val="nil"/>
              <w:right w:val="nil"/>
            </w:tcBorders>
            <w:shd w:val="clear" w:color="auto" w:fill="auto"/>
            <w:vAlign w:val="center"/>
          </w:tcPr>
          <w:p w14:paraId="2C1C816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206 (3.2)</w:t>
            </w:r>
          </w:p>
        </w:tc>
        <w:tc>
          <w:tcPr>
            <w:tcW w:w="524" w:type="pct"/>
            <w:gridSpan w:val="2"/>
            <w:tcBorders>
              <w:left w:val="nil"/>
              <w:right w:val="nil"/>
            </w:tcBorders>
            <w:shd w:val="clear" w:color="auto" w:fill="auto"/>
            <w:vAlign w:val="center"/>
          </w:tcPr>
          <w:p w14:paraId="5C9D267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49 (3.5)</w:t>
            </w:r>
          </w:p>
        </w:tc>
      </w:tr>
      <w:tr w:rsidR="0074644B" w:rsidRPr="00BB54DF" w14:paraId="3620D4D8"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32878E5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Varices (n, %)</w:t>
            </w:r>
          </w:p>
        </w:tc>
        <w:tc>
          <w:tcPr>
            <w:tcW w:w="529" w:type="pct"/>
            <w:tcBorders>
              <w:top w:val="nil"/>
              <w:left w:val="single" w:sz="4" w:space="0" w:color="auto"/>
              <w:bottom w:val="nil"/>
              <w:right w:val="nil"/>
            </w:tcBorders>
            <w:shd w:val="clear" w:color="auto" w:fill="auto"/>
            <w:noWrap/>
            <w:vAlign w:val="center"/>
          </w:tcPr>
          <w:p w14:paraId="156D7B8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3,323 (6.2)</w:t>
            </w:r>
          </w:p>
        </w:tc>
        <w:tc>
          <w:tcPr>
            <w:tcW w:w="529" w:type="pct"/>
            <w:tcBorders>
              <w:top w:val="nil"/>
              <w:left w:val="nil"/>
              <w:bottom w:val="nil"/>
              <w:right w:val="nil"/>
            </w:tcBorders>
            <w:shd w:val="clear" w:color="auto" w:fill="auto"/>
            <w:noWrap/>
            <w:vAlign w:val="center"/>
          </w:tcPr>
          <w:p w14:paraId="24279EB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316 (12.1)</w:t>
            </w:r>
          </w:p>
        </w:tc>
        <w:tc>
          <w:tcPr>
            <w:tcW w:w="530" w:type="pct"/>
            <w:tcBorders>
              <w:top w:val="nil"/>
              <w:left w:val="nil"/>
              <w:bottom w:val="nil"/>
              <w:right w:val="nil"/>
            </w:tcBorders>
            <w:shd w:val="clear" w:color="auto" w:fill="auto"/>
            <w:vAlign w:val="center"/>
          </w:tcPr>
          <w:p w14:paraId="1EFFA0D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886 (9.9)</w:t>
            </w:r>
          </w:p>
        </w:tc>
        <w:tc>
          <w:tcPr>
            <w:tcW w:w="530" w:type="pct"/>
            <w:tcBorders>
              <w:top w:val="nil"/>
              <w:left w:val="nil"/>
              <w:bottom w:val="nil"/>
              <w:right w:val="single" w:sz="4" w:space="0" w:color="auto"/>
            </w:tcBorders>
            <w:shd w:val="clear" w:color="auto" w:fill="auto"/>
            <w:vAlign w:val="center"/>
          </w:tcPr>
          <w:p w14:paraId="4FC9A52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281 (11.5)</w:t>
            </w:r>
          </w:p>
        </w:tc>
        <w:tc>
          <w:tcPr>
            <w:tcW w:w="522" w:type="pct"/>
            <w:tcBorders>
              <w:left w:val="single" w:sz="4" w:space="0" w:color="auto"/>
              <w:right w:val="nil"/>
            </w:tcBorders>
            <w:shd w:val="clear" w:color="auto" w:fill="auto"/>
            <w:vAlign w:val="center"/>
          </w:tcPr>
          <w:p w14:paraId="05D1B59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4,674 (11.5)</w:t>
            </w:r>
          </w:p>
        </w:tc>
        <w:tc>
          <w:tcPr>
            <w:tcW w:w="524" w:type="pct"/>
            <w:gridSpan w:val="2"/>
            <w:tcBorders>
              <w:left w:val="nil"/>
              <w:right w:val="nil"/>
            </w:tcBorders>
            <w:shd w:val="clear" w:color="auto" w:fill="auto"/>
            <w:vAlign w:val="center"/>
          </w:tcPr>
          <w:p w14:paraId="5930355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206 (14.6)</w:t>
            </w:r>
          </w:p>
        </w:tc>
        <w:tc>
          <w:tcPr>
            <w:tcW w:w="523" w:type="pct"/>
            <w:gridSpan w:val="2"/>
            <w:tcBorders>
              <w:left w:val="nil"/>
              <w:right w:val="nil"/>
            </w:tcBorders>
            <w:shd w:val="clear" w:color="auto" w:fill="auto"/>
            <w:vAlign w:val="center"/>
          </w:tcPr>
          <w:p w14:paraId="297A985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933 (14.3)</w:t>
            </w:r>
          </w:p>
        </w:tc>
        <w:tc>
          <w:tcPr>
            <w:tcW w:w="524" w:type="pct"/>
            <w:gridSpan w:val="2"/>
            <w:tcBorders>
              <w:left w:val="nil"/>
              <w:right w:val="nil"/>
            </w:tcBorders>
            <w:shd w:val="clear" w:color="auto" w:fill="auto"/>
            <w:vAlign w:val="center"/>
          </w:tcPr>
          <w:p w14:paraId="5F32ACE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204 (14.6)</w:t>
            </w:r>
          </w:p>
        </w:tc>
      </w:tr>
      <w:tr w:rsidR="0074644B" w:rsidRPr="00BB54DF" w14:paraId="4AAC42B0" w14:textId="77777777" w:rsidTr="007340D2">
        <w:trPr>
          <w:trHeight w:val="227"/>
        </w:trPr>
        <w:tc>
          <w:tcPr>
            <w:tcW w:w="789" w:type="pct"/>
            <w:tcBorders>
              <w:top w:val="nil"/>
              <w:left w:val="nil"/>
              <w:bottom w:val="nil"/>
              <w:right w:val="single" w:sz="4" w:space="0" w:color="auto"/>
            </w:tcBorders>
            <w:shd w:val="clear" w:color="auto" w:fill="auto"/>
            <w:noWrap/>
            <w:vAlign w:val="center"/>
          </w:tcPr>
          <w:p w14:paraId="249226A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DVT (n, %)</w:t>
            </w:r>
          </w:p>
        </w:tc>
        <w:tc>
          <w:tcPr>
            <w:tcW w:w="529" w:type="pct"/>
            <w:tcBorders>
              <w:top w:val="nil"/>
              <w:left w:val="single" w:sz="4" w:space="0" w:color="auto"/>
              <w:bottom w:val="nil"/>
              <w:right w:val="nil"/>
            </w:tcBorders>
            <w:shd w:val="clear" w:color="auto" w:fill="auto"/>
            <w:noWrap/>
            <w:vAlign w:val="center"/>
          </w:tcPr>
          <w:p w14:paraId="15E1B9C0"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1,895 (3.5)</w:t>
            </w:r>
          </w:p>
        </w:tc>
        <w:tc>
          <w:tcPr>
            <w:tcW w:w="529" w:type="pct"/>
            <w:tcBorders>
              <w:top w:val="nil"/>
              <w:left w:val="nil"/>
              <w:bottom w:val="nil"/>
              <w:right w:val="nil"/>
            </w:tcBorders>
            <w:shd w:val="clear" w:color="auto" w:fill="auto"/>
            <w:noWrap/>
            <w:vAlign w:val="center"/>
          </w:tcPr>
          <w:p w14:paraId="0F9FAF81"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113 (4.3)</w:t>
            </w:r>
          </w:p>
        </w:tc>
        <w:tc>
          <w:tcPr>
            <w:tcW w:w="530" w:type="pct"/>
            <w:tcBorders>
              <w:top w:val="nil"/>
              <w:left w:val="nil"/>
              <w:bottom w:val="nil"/>
              <w:right w:val="nil"/>
            </w:tcBorders>
            <w:shd w:val="clear" w:color="auto" w:fill="auto"/>
            <w:vAlign w:val="center"/>
          </w:tcPr>
          <w:p w14:paraId="7C1C968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388 (4.3)</w:t>
            </w:r>
          </w:p>
        </w:tc>
        <w:tc>
          <w:tcPr>
            <w:tcW w:w="530" w:type="pct"/>
            <w:tcBorders>
              <w:top w:val="nil"/>
              <w:left w:val="nil"/>
              <w:bottom w:val="nil"/>
              <w:right w:val="single" w:sz="4" w:space="0" w:color="auto"/>
            </w:tcBorders>
            <w:shd w:val="clear" w:color="auto" w:fill="auto"/>
            <w:vAlign w:val="center"/>
          </w:tcPr>
          <w:p w14:paraId="6FC8328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108 (4.4)</w:t>
            </w:r>
          </w:p>
        </w:tc>
        <w:tc>
          <w:tcPr>
            <w:tcW w:w="522" w:type="pct"/>
            <w:tcBorders>
              <w:left w:val="single" w:sz="4" w:space="0" w:color="auto"/>
              <w:right w:val="nil"/>
            </w:tcBorders>
            <w:shd w:val="clear" w:color="auto" w:fill="auto"/>
            <w:vAlign w:val="center"/>
          </w:tcPr>
          <w:p w14:paraId="6E48465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 (0.0)</w:t>
            </w:r>
          </w:p>
        </w:tc>
        <w:tc>
          <w:tcPr>
            <w:tcW w:w="524" w:type="pct"/>
            <w:gridSpan w:val="2"/>
            <w:tcBorders>
              <w:left w:val="nil"/>
              <w:right w:val="nil"/>
            </w:tcBorders>
            <w:shd w:val="clear" w:color="auto" w:fill="auto"/>
            <w:vAlign w:val="center"/>
          </w:tcPr>
          <w:p w14:paraId="65BEEF2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0 (0.0)</w:t>
            </w:r>
          </w:p>
        </w:tc>
        <w:tc>
          <w:tcPr>
            <w:tcW w:w="523" w:type="pct"/>
            <w:gridSpan w:val="2"/>
            <w:tcBorders>
              <w:left w:val="nil"/>
              <w:right w:val="nil"/>
            </w:tcBorders>
            <w:shd w:val="clear" w:color="auto" w:fill="auto"/>
            <w:vAlign w:val="center"/>
          </w:tcPr>
          <w:p w14:paraId="68E8FDD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0 (0.0)</w:t>
            </w:r>
          </w:p>
        </w:tc>
        <w:tc>
          <w:tcPr>
            <w:tcW w:w="524" w:type="pct"/>
            <w:gridSpan w:val="2"/>
            <w:tcBorders>
              <w:left w:val="nil"/>
              <w:right w:val="nil"/>
            </w:tcBorders>
            <w:shd w:val="clear" w:color="auto" w:fill="auto"/>
            <w:vAlign w:val="center"/>
          </w:tcPr>
          <w:p w14:paraId="4D5ED8B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0 (0.0)</w:t>
            </w:r>
          </w:p>
        </w:tc>
      </w:tr>
      <w:tr w:rsidR="0074644B" w:rsidRPr="00BB54DF" w14:paraId="6065B295"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4D8736D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Type 2 diabetes (n, %)</w:t>
            </w:r>
          </w:p>
        </w:tc>
        <w:tc>
          <w:tcPr>
            <w:tcW w:w="529" w:type="pct"/>
            <w:tcBorders>
              <w:top w:val="nil"/>
              <w:left w:val="single" w:sz="4" w:space="0" w:color="auto"/>
              <w:bottom w:val="nil"/>
              <w:right w:val="nil"/>
            </w:tcBorders>
            <w:shd w:val="clear" w:color="auto" w:fill="auto"/>
            <w:noWrap/>
            <w:vAlign w:val="center"/>
          </w:tcPr>
          <w:p w14:paraId="575005A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6,172 (11.4)</w:t>
            </w:r>
          </w:p>
        </w:tc>
        <w:tc>
          <w:tcPr>
            <w:tcW w:w="529" w:type="pct"/>
            <w:tcBorders>
              <w:top w:val="nil"/>
              <w:left w:val="nil"/>
              <w:bottom w:val="nil"/>
              <w:right w:val="nil"/>
            </w:tcBorders>
            <w:shd w:val="clear" w:color="auto" w:fill="auto"/>
            <w:noWrap/>
            <w:vAlign w:val="center"/>
          </w:tcPr>
          <w:p w14:paraId="33F614A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404 (15.5)</w:t>
            </w:r>
          </w:p>
        </w:tc>
        <w:tc>
          <w:tcPr>
            <w:tcW w:w="530" w:type="pct"/>
            <w:tcBorders>
              <w:top w:val="nil"/>
              <w:left w:val="nil"/>
              <w:bottom w:val="nil"/>
              <w:right w:val="nil"/>
            </w:tcBorders>
            <w:shd w:val="clear" w:color="auto" w:fill="auto"/>
            <w:vAlign w:val="center"/>
          </w:tcPr>
          <w:p w14:paraId="02828EC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1304 (14.6)</w:t>
            </w:r>
          </w:p>
        </w:tc>
        <w:tc>
          <w:tcPr>
            <w:tcW w:w="530" w:type="pct"/>
            <w:tcBorders>
              <w:top w:val="nil"/>
              <w:left w:val="nil"/>
              <w:bottom w:val="nil"/>
              <w:right w:val="single" w:sz="4" w:space="0" w:color="auto"/>
            </w:tcBorders>
            <w:shd w:val="clear" w:color="auto" w:fill="auto"/>
            <w:vAlign w:val="center"/>
          </w:tcPr>
          <w:p w14:paraId="65AD234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371 (15.2)</w:t>
            </w:r>
          </w:p>
        </w:tc>
        <w:tc>
          <w:tcPr>
            <w:tcW w:w="522" w:type="pct"/>
            <w:tcBorders>
              <w:left w:val="single" w:sz="4" w:space="0" w:color="auto"/>
              <w:right w:val="nil"/>
            </w:tcBorders>
            <w:shd w:val="clear" w:color="auto" w:fill="auto"/>
            <w:vAlign w:val="center"/>
          </w:tcPr>
          <w:p w14:paraId="3E2FBF6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14,524 (35.6)</w:t>
            </w:r>
          </w:p>
        </w:tc>
        <w:tc>
          <w:tcPr>
            <w:tcW w:w="524" w:type="pct"/>
            <w:gridSpan w:val="2"/>
            <w:tcBorders>
              <w:left w:val="nil"/>
              <w:right w:val="nil"/>
            </w:tcBorders>
            <w:shd w:val="clear" w:color="auto" w:fill="auto"/>
            <w:vAlign w:val="center"/>
          </w:tcPr>
          <w:p w14:paraId="48CEA40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473 (33.6)</w:t>
            </w:r>
          </w:p>
        </w:tc>
        <w:tc>
          <w:tcPr>
            <w:tcW w:w="523" w:type="pct"/>
            <w:gridSpan w:val="2"/>
            <w:tcBorders>
              <w:left w:val="nil"/>
              <w:right w:val="nil"/>
            </w:tcBorders>
            <w:shd w:val="clear" w:color="auto" w:fill="auto"/>
            <w:vAlign w:val="center"/>
          </w:tcPr>
          <w:p w14:paraId="3A76FFE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2,202 (33.6)</w:t>
            </w:r>
          </w:p>
        </w:tc>
        <w:tc>
          <w:tcPr>
            <w:tcW w:w="524" w:type="pct"/>
            <w:gridSpan w:val="2"/>
            <w:tcBorders>
              <w:left w:val="nil"/>
              <w:right w:val="nil"/>
            </w:tcBorders>
            <w:shd w:val="clear" w:color="auto" w:fill="auto"/>
            <w:vAlign w:val="center"/>
          </w:tcPr>
          <w:p w14:paraId="024306B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470 (33.6)</w:t>
            </w:r>
          </w:p>
        </w:tc>
      </w:tr>
      <w:tr w:rsidR="0074644B" w:rsidRPr="00BB54DF" w14:paraId="21D5996A"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3880F3F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Dementia (n, %)</w:t>
            </w:r>
          </w:p>
        </w:tc>
        <w:tc>
          <w:tcPr>
            <w:tcW w:w="529" w:type="pct"/>
            <w:tcBorders>
              <w:top w:val="nil"/>
              <w:left w:val="single" w:sz="4" w:space="0" w:color="auto"/>
              <w:bottom w:val="nil"/>
              <w:right w:val="nil"/>
            </w:tcBorders>
            <w:shd w:val="clear" w:color="auto" w:fill="auto"/>
            <w:noWrap/>
            <w:vAlign w:val="center"/>
          </w:tcPr>
          <w:p w14:paraId="461D3D6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944 (1.7)</w:t>
            </w:r>
          </w:p>
        </w:tc>
        <w:tc>
          <w:tcPr>
            <w:tcW w:w="529" w:type="pct"/>
            <w:tcBorders>
              <w:top w:val="nil"/>
              <w:left w:val="nil"/>
              <w:bottom w:val="nil"/>
              <w:right w:val="nil"/>
            </w:tcBorders>
            <w:shd w:val="clear" w:color="auto" w:fill="auto"/>
            <w:noWrap/>
            <w:vAlign w:val="center"/>
          </w:tcPr>
          <w:p w14:paraId="6AC961F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79 (3.0)</w:t>
            </w:r>
          </w:p>
        </w:tc>
        <w:tc>
          <w:tcPr>
            <w:tcW w:w="530" w:type="pct"/>
            <w:tcBorders>
              <w:top w:val="nil"/>
              <w:left w:val="nil"/>
              <w:bottom w:val="nil"/>
              <w:right w:val="nil"/>
            </w:tcBorders>
            <w:shd w:val="clear" w:color="auto" w:fill="auto"/>
            <w:vAlign w:val="center"/>
          </w:tcPr>
          <w:p w14:paraId="4AC15BB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263 (2.9)</w:t>
            </w:r>
          </w:p>
        </w:tc>
        <w:tc>
          <w:tcPr>
            <w:tcW w:w="530" w:type="pct"/>
            <w:tcBorders>
              <w:top w:val="nil"/>
              <w:left w:val="nil"/>
              <w:bottom w:val="nil"/>
              <w:right w:val="single" w:sz="4" w:space="0" w:color="auto"/>
            </w:tcBorders>
            <w:shd w:val="clear" w:color="auto" w:fill="auto"/>
            <w:vAlign w:val="center"/>
          </w:tcPr>
          <w:p w14:paraId="76E83A7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74 (3.0)</w:t>
            </w:r>
          </w:p>
        </w:tc>
        <w:tc>
          <w:tcPr>
            <w:tcW w:w="522" w:type="pct"/>
            <w:tcBorders>
              <w:left w:val="single" w:sz="4" w:space="0" w:color="auto"/>
              <w:right w:val="nil"/>
            </w:tcBorders>
            <w:shd w:val="clear" w:color="auto" w:fill="auto"/>
            <w:vAlign w:val="center"/>
          </w:tcPr>
          <w:p w14:paraId="4618EAC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2,968 (7.27)</w:t>
            </w:r>
          </w:p>
        </w:tc>
        <w:tc>
          <w:tcPr>
            <w:tcW w:w="524" w:type="pct"/>
            <w:gridSpan w:val="2"/>
            <w:tcBorders>
              <w:left w:val="nil"/>
              <w:right w:val="nil"/>
            </w:tcBorders>
            <w:shd w:val="clear" w:color="auto" w:fill="auto"/>
            <w:vAlign w:val="center"/>
          </w:tcPr>
          <w:p w14:paraId="44F2FF6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97 (6.9)</w:t>
            </w:r>
          </w:p>
        </w:tc>
        <w:tc>
          <w:tcPr>
            <w:tcW w:w="523" w:type="pct"/>
            <w:gridSpan w:val="2"/>
            <w:tcBorders>
              <w:left w:val="nil"/>
              <w:right w:val="nil"/>
            </w:tcBorders>
            <w:shd w:val="clear" w:color="auto" w:fill="auto"/>
            <w:vAlign w:val="center"/>
          </w:tcPr>
          <w:p w14:paraId="393CCD9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472 (7.2)</w:t>
            </w:r>
          </w:p>
        </w:tc>
        <w:tc>
          <w:tcPr>
            <w:tcW w:w="524" w:type="pct"/>
            <w:gridSpan w:val="2"/>
            <w:tcBorders>
              <w:left w:val="nil"/>
              <w:right w:val="nil"/>
            </w:tcBorders>
            <w:shd w:val="clear" w:color="auto" w:fill="auto"/>
            <w:vAlign w:val="center"/>
          </w:tcPr>
          <w:p w14:paraId="6CA8C68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97 (6.9)</w:t>
            </w:r>
          </w:p>
        </w:tc>
      </w:tr>
      <w:tr w:rsidR="0074644B" w:rsidRPr="00BB54DF" w14:paraId="5B84543D"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1A6B45F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CKD (n, %)</w:t>
            </w:r>
          </w:p>
        </w:tc>
        <w:tc>
          <w:tcPr>
            <w:tcW w:w="529" w:type="pct"/>
            <w:tcBorders>
              <w:top w:val="nil"/>
              <w:left w:val="single" w:sz="4" w:space="0" w:color="auto"/>
              <w:bottom w:val="nil"/>
              <w:right w:val="nil"/>
            </w:tcBorders>
            <w:shd w:val="clear" w:color="auto" w:fill="auto"/>
            <w:noWrap/>
            <w:vAlign w:val="center"/>
          </w:tcPr>
          <w:p w14:paraId="2067A8A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8,245 (15.3)</w:t>
            </w:r>
          </w:p>
        </w:tc>
        <w:tc>
          <w:tcPr>
            <w:tcW w:w="529" w:type="pct"/>
            <w:tcBorders>
              <w:top w:val="nil"/>
              <w:left w:val="nil"/>
              <w:bottom w:val="nil"/>
              <w:right w:val="nil"/>
            </w:tcBorders>
            <w:shd w:val="clear" w:color="auto" w:fill="auto"/>
            <w:noWrap/>
            <w:vAlign w:val="center"/>
          </w:tcPr>
          <w:p w14:paraId="43BE415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1,381 (52.9)</w:t>
            </w:r>
          </w:p>
        </w:tc>
        <w:tc>
          <w:tcPr>
            <w:tcW w:w="530" w:type="pct"/>
            <w:tcBorders>
              <w:top w:val="nil"/>
              <w:left w:val="nil"/>
              <w:bottom w:val="nil"/>
              <w:right w:val="nil"/>
            </w:tcBorders>
            <w:shd w:val="clear" w:color="auto" w:fill="auto"/>
            <w:vAlign w:val="center"/>
          </w:tcPr>
          <w:p w14:paraId="74DEBB8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3479 (39.0)</w:t>
            </w:r>
          </w:p>
        </w:tc>
        <w:tc>
          <w:tcPr>
            <w:tcW w:w="530" w:type="pct"/>
            <w:tcBorders>
              <w:top w:val="nil"/>
              <w:left w:val="nil"/>
              <w:bottom w:val="nil"/>
              <w:right w:val="single" w:sz="4" w:space="0" w:color="auto"/>
            </w:tcBorders>
            <w:shd w:val="clear" w:color="auto" w:fill="auto"/>
            <w:vAlign w:val="center"/>
          </w:tcPr>
          <w:p w14:paraId="1FCCA74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1225 (50.1)</w:t>
            </w:r>
          </w:p>
        </w:tc>
        <w:tc>
          <w:tcPr>
            <w:tcW w:w="522" w:type="pct"/>
            <w:tcBorders>
              <w:left w:val="single" w:sz="4" w:space="0" w:color="auto"/>
              <w:right w:val="nil"/>
            </w:tcBorders>
            <w:shd w:val="clear" w:color="auto" w:fill="auto"/>
            <w:vAlign w:val="center"/>
          </w:tcPr>
          <w:p w14:paraId="0939E6B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17,649 (43.3)</w:t>
            </w:r>
          </w:p>
        </w:tc>
        <w:tc>
          <w:tcPr>
            <w:tcW w:w="524" w:type="pct"/>
            <w:gridSpan w:val="2"/>
            <w:tcBorders>
              <w:left w:val="nil"/>
              <w:right w:val="nil"/>
            </w:tcBorders>
            <w:shd w:val="clear" w:color="auto" w:fill="auto"/>
            <w:vAlign w:val="center"/>
          </w:tcPr>
          <w:p w14:paraId="0D54125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810 (57.5)</w:t>
            </w:r>
          </w:p>
        </w:tc>
        <w:tc>
          <w:tcPr>
            <w:tcW w:w="523" w:type="pct"/>
            <w:gridSpan w:val="2"/>
            <w:tcBorders>
              <w:left w:val="nil"/>
              <w:right w:val="nil"/>
            </w:tcBorders>
            <w:shd w:val="clear" w:color="auto" w:fill="auto"/>
            <w:vAlign w:val="center"/>
          </w:tcPr>
          <w:p w14:paraId="6D500E4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3,568 (54.5)</w:t>
            </w:r>
          </w:p>
        </w:tc>
        <w:tc>
          <w:tcPr>
            <w:tcW w:w="524" w:type="pct"/>
            <w:gridSpan w:val="2"/>
            <w:tcBorders>
              <w:left w:val="nil"/>
              <w:right w:val="nil"/>
            </w:tcBorders>
            <w:shd w:val="clear" w:color="auto" w:fill="auto"/>
            <w:vAlign w:val="center"/>
          </w:tcPr>
          <w:p w14:paraId="3340E45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801 (57.3)</w:t>
            </w:r>
          </w:p>
        </w:tc>
      </w:tr>
      <w:tr w:rsidR="0074644B" w:rsidRPr="00BB54DF" w14:paraId="2F04AB53"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7EA08D4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Cerebral vascular disease (n, %)</w:t>
            </w:r>
          </w:p>
        </w:tc>
        <w:tc>
          <w:tcPr>
            <w:tcW w:w="529" w:type="pct"/>
            <w:tcBorders>
              <w:top w:val="nil"/>
              <w:left w:val="single" w:sz="4" w:space="0" w:color="auto"/>
              <w:bottom w:val="nil"/>
              <w:right w:val="nil"/>
            </w:tcBorders>
            <w:shd w:val="clear" w:color="auto" w:fill="auto"/>
            <w:noWrap/>
            <w:vAlign w:val="center"/>
          </w:tcPr>
          <w:p w14:paraId="705A182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4,193 (7.8)</w:t>
            </w:r>
          </w:p>
        </w:tc>
        <w:tc>
          <w:tcPr>
            <w:tcW w:w="529" w:type="pct"/>
            <w:tcBorders>
              <w:top w:val="nil"/>
              <w:left w:val="nil"/>
              <w:bottom w:val="nil"/>
              <w:right w:val="nil"/>
            </w:tcBorders>
            <w:shd w:val="clear" w:color="auto" w:fill="auto"/>
            <w:noWrap/>
            <w:vAlign w:val="center"/>
          </w:tcPr>
          <w:p w14:paraId="4B5D147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320 (12.2)</w:t>
            </w:r>
          </w:p>
        </w:tc>
        <w:tc>
          <w:tcPr>
            <w:tcW w:w="530" w:type="pct"/>
            <w:tcBorders>
              <w:top w:val="nil"/>
              <w:left w:val="nil"/>
              <w:bottom w:val="nil"/>
              <w:right w:val="nil"/>
            </w:tcBorders>
            <w:shd w:val="clear" w:color="auto" w:fill="auto"/>
            <w:vAlign w:val="center"/>
          </w:tcPr>
          <w:p w14:paraId="4CE5F42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976 (10.9)</w:t>
            </w:r>
          </w:p>
        </w:tc>
        <w:tc>
          <w:tcPr>
            <w:tcW w:w="530" w:type="pct"/>
            <w:tcBorders>
              <w:top w:val="nil"/>
              <w:left w:val="nil"/>
              <w:bottom w:val="nil"/>
              <w:right w:val="single" w:sz="4" w:space="0" w:color="auto"/>
            </w:tcBorders>
            <w:shd w:val="clear" w:color="auto" w:fill="auto"/>
            <w:vAlign w:val="center"/>
          </w:tcPr>
          <w:p w14:paraId="2CD4C32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299 (12.2)</w:t>
            </w:r>
          </w:p>
        </w:tc>
        <w:tc>
          <w:tcPr>
            <w:tcW w:w="522" w:type="pct"/>
            <w:tcBorders>
              <w:left w:val="single" w:sz="4" w:space="0" w:color="auto"/>
              <w:right w:val="nil"/>
            </w:tcBorders>
            <w:shd w:val="clear" w:color="auto" w:fill="auto"/>
            <w:vAlign w:val="center"/>
          </w:tcPr>
          <w:p w14:paraId="79507FF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5,890 (14.4)</w:t>
            </w:r>
          </w:p>
        </w:tc>
        <w:tc>
          <w:tcPr>
            <w:tcW w:w="524" w:type="pct"/>
            <w:gridSpan w:val="2"/>
            <w:tcBorders>
              <w:left w:val="nil"/>
              <w:right w:val="nil"/>
            </w:tcBorders>
            <w:shd w:val="clear" w:color="auto" w:fill="auto"/>
            <w:vAlign w:val="center"/>
          </w:tcPr>
          <w:p w14:paraId="204A392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196 (13.9)</w:t>
            </w:r>
          </w:p>
        </w:tc>
        <w:tc>
          <w:tcPr>
            <w:tcW w:w="523" w:type="pct"/>
            <w:gridSpan w:val="2"/>
            <w:tcBorders>
              <w:left w:val="nil"/>
              <w:right w:val="nil"/>
            </w:tcBorders>
            <w:shd w:val="clear" w:color="auto" w:fill="auto"/>
            <w:vAlign w:val="center"/>
          </w:tcPr>
          <w:p w14:paraId="5A7EF13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9,20 (14.1)</w:t>
            </w:r>
          </w:p>
        </w:tc>
        <w:tc>
          <w:tcPr>
            <w:tcW w:w="524" w:type="pct"/>
            <w:gridSpan w:val="2"/>
            <w:tcBorders>
              <w:left w:val="nil"/>
              <w:right w:val="nil"/>
            </w:tcBorders>
            <w:shd w:val="clear" w:color="auto" w:fill="auto"/>
            <w:vAlign w:val="center"/>
          </w:tcPr>
          <w:p w14:paraId="52F8D4B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192 (13.7)</w:t>
            </w:r>
          </w:p>
        </w:tc>
      </w:tr>
      <w:tr w:rsidR="0074644B" w:rsidRPr="00BB54DF" w14:paraId="7DBCE561" w14:textId="77777777" w:rsidTr="007340D2">
        <w:trPr>
          <w:trHeight w:val="227"/>
        </w:trPr>
        <w:tc>
          <w:tcPr>
            <w:tcW w:w="789" w:type="pct"/>
            <w:tcBorders>
              <w:top w:val="nil"/>
              <w:left w:val="nil"/>
              <w:bottom w:val="nil"/>
              <w:right w:val="single" w:sz="4" w:space="0" w:color="auto"/>
            </w:tcBorders>
            <w:shd w:val="clear" w:color="auto" w:fill="auto"/>
            <w:noWrap/>
            <w:vAlign w:val="center"/>
          </w:tcPr>
          <w:p w14:paraId="612D4FE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Peripheral vascular disease (n, %)</w:t>
            </w:r>
          </w:p>
        </w:tc>
        <w:tc>
          <w:tcPr>
            <w:tcW w:w="529" w:type="pct"/>
            <w:tcBorders>
              <w:top w:val="nil"/>
              <w:left w:val="single" w:sz="4" w:space="0" w:color="auto"/>
              <w:bottom w:val="nil"/>
              <w:right w:val="nil"/>
            </w:tcBorders>
            <w:shd w:val="clear" w:color="auto" w:fill="auto"/>
            <w:noWrap/>
            <w:vAlign w:val="center"/>
          </w:tcPr>
          <w:p w14:paraId="225EB54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1246 (2.3)</w:t>
            </w:r>
          </w:p>
        </w:tc>
        <w:tc>
          <w:tcPr>
            <w:tcW w:w="529" w:type="pct"/>
            <w:tcBorders>
              <w:top w:val="nil"/>
              <w:left w:val="nil"/>
              <w:bottom w:val="nil"/>
              <w:right w:val="nil"/>
            </w:tcBorders>
            <w:shd w:val="clear" w:color="auto" w:fill="auto"/>
            <w:noWrap/>
            <w:vAlign w:val="center"/>
          </w:tcPr>
          <w:p w14:paraId="265CF0E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88 (3.4)</w:t>
            </w:r>
          </w:p>
        </w:tc>
        <w:tc>
          <w:tcPr>
            <w:tcW w:w="530" w:type="pct"/>
            <w:tcBorders>
              <w:top w:val="nil"/>
              <w:left w:val="nil"/>
              <w:bottom w:val="nil"/>
              <w:right w:val="nil"/>
            </w:tcBorders>
            <w:shd w:val="clear" w:color="auto" w:fill="auto"/>
            <w:vAlign w:val="center"/>
          </w:tcPr>
          <w:p w14:paraId="5693C4A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266 (3.0)</w:t>
            </w:r>
          </w:p>
        </w:tc>
        <w:tc>
          <w:tcPr>
            <w:tcW w:w="530" w:type="pct"/>
            <w:tcBorders>
              <w:top w:val="nil"/>
              <w:left w:val="nil"/>
              <w:bottom w:val="nil"/>
              <w:right w:val="single" w:sz="4" w:space="0" w:color="auto"/>
            </w:tcBorders>
            <w:shd w:val="clear" w:color="auto" w:fill="auto"/>
            <w:vAlign w:val="center"/>
          </w:tcPr>
          <w:p w14:paraId="7DEB637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80 (3.3)</w:t>
            </w:r>
          </w:p>
        </w:tc>
        <w:tc>
          <w:tcPr>
            <w:tcW w:w="522" w:type="pct"/>
            <w:tcBorders>
              <w:left w:val="single" w:sz="4" w:space="0" w:color="auto"/>
              <w:right w:val="nil"/>
            </w:tcBorders>
            <w:shd w:val="clear" w:color="auto" w:fill="auto"/>
            <w:vAlign w:val="center"/>
          </w:tcPr>
          <w:p w14:paraId="4A53227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2,848 (6.98)</w:t>
            </w:r>
          </w:p>
        </w:tc>
        <w:tc>
          <w:tcPr>
            <w:tcW w:w="524" w:type="pct"/>
            <w:gridSpan w:val="2"/>
            <w:tcBorders>
              <w:left w:val="nil"/>
              <w:right w:val="nil"/>
            </w:tcBorders>
            <w:shd w:val="clear" w:color="auto" w:fill="auto"/>
            <w:vAlign w:val="center"/>
          </w:tcPr>
          <w:p w14:paraId="725F356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89 (6.3)</w:t>
            </w:r>
          </w:p>
        </w:tc>
        <w:tc>
          <w:tcPr>
            <w:tcW w:w="523" w:type="pct"/>
            <w:gridSpan w:val="2"/>
            <w:tcBorders>
              <w:left w:val="nil"/>
              <w:right w:val="nil"/>
            </w:tcBorders>
            <w:shd w:val="clear" w:color="auto" w:fill="auto"/>
            <w:vAlign w:val="center"/>
          </w:tcPr>
          <w:p w14:paraId="498FC2DF" w14:textId="77777777" w:rsidR="0074644B" w:rsidRPr="00BB54DF" w:rsidRDefault="0074644B" w:rsidP="007340D2">
            <w:pPr>
              <w:spacing w:after="0"/>
              <w:jc w:val="center"/>
              <w:rPr>
                <w:rFonts w:ascii="Times New Roman" w:hAnsi="Times New Roman"/>
                <w:sz w:val="16"/>
                <w:szCs w:val="16"/>
                <w:lang w:eastAsia="en-GB"/>
              </w:rPr>
            </w:pPr>
          </w:p>
        </w:tc>
        <w:tc>
          <w:tcPr>
            <w:tcW w:w="524" w:type="pct"/>
            <w:gridSpan w:val="2"/>
            <w:tcBorders>
              <w:left w:val="nil"/>
              <w:right w:val="nil"/>
            </w:tcBorders>
            <w:shd w:val="clear" w:color="auto" w:fill="auto"/>
            <w:vAlign w:val="center"/>
          </w:tcPr>
          <w:p w14:paraId="2B33CFF0" w14:textId="77777777" w:rsidR="0074644B" w:rsidRPr="00BB54DF" w:rsidRDefault="0074644B" w:rsidP="007340D2">
            <w:pPr>
              <w:spacing w:after="0"/>
              <w:jc w:val="center"/>
              <w:rPr>
                <w:rFonts w:ascii="Times New Roman" w:hAnsi="Times New Roman"/>
                <w:sz w:val="16"/>
                <w:szCs w:val="16"/>
                <w:lang w:eastAsia="en-GB"/>
              </w:rPr>
            </w:pPr>
          </w:p>
        </w:tc>
      </w:tr>
      <w:tr w:rsidR="0074644B" w:rsidRPr="00BB54DF" w14:paraId="39C49932" w14:textId="77777777" w:rsidTr="007340D2">
        <w:trPr>
          <w:trHeight w:val="227"/>
        </w:trPr>
        <w:tc>
          <w:tcPr>
            <w:tcW w:w="789" w:type="pct"/>
            <w:tcBorders>
              <w:top w:val="nil"/>
              <w:left w:val="nil"/>
              <w:bottom w:val="nil"/>
              <w:right w:val="single" w:sz="4" w:space="0" w:color="auto"/>
            </w:tcBorders>
            <w:shd w:val="clear" w:color="auto" w:fill="auto"/>
            <w:noWrap/>
            <w:vAlign w:val="center"/>
          </w:tcPr>
          <w:p w14:paraId="52B8A71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Hypertension (n, %)</w:t>
            </w:r>
          </w:p>
        </w:tc>
        <w:tc>
          <w:tcPr>
            <w:tcW w:w="529" w:type="pct"/>
            <w:tcBorders>
              <w:top w:val="nil"/>
              <w:left w:val="single" w:sz="4" w:space="0" w:color="auto"/>
              <w:bottom w:val="nil"/>
              <w:right w:val="nil"/>
            </w:tcBorders>
            <w:shd w:val="clear" w:color="auto" w:fill="auto"/>
            <w:noWrap/>
            <w:vAlign w:val="center"/>
          </w:tcPr>
          <w:p w14:paraId="10EFB42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23,630 (43.8)</w:t>
            </w:r>
          </w:p>
        </w:tc>
        <w:tc>
          <w:tcPr>
            <w:tcW w:w="529" w:type="pct"/>
            <w:tcBorders>
              <w:top w:val="nil"/>
              <w:left w:val="nil"/>
              <w:bottom w:val="nil"/>
              <w:right w:val="nil"/>
            </w:tcBorders>
            <w:shd w:val="clear" w:color="auto" w:fill="auto"/>
            <w:noWrap/>
            <w:vAlign w:val="center"/>
          </w:tcPr>
          <w:p w14:paraId="56DF84A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1,518 (58.1)</w:t>
            </w:r>
          </w:p>
        </w:tc>
        <w:tc>
          <w:tcPr>
            <w:tcW w:w="530" w:type="pct"/>
            <w:tcBorders>
              <w:top w:val="nil"/>
              <w:left w:val="nil"/>
              <w:bottom w:val="nil"/>
              <w:right w:val="nil"/>
            </w:tcBorders>
            <w:shd w:val="clear" w:color="auto" w:fill="auto"/>
            <w:vAlign w:val="center"/>
          </w:tcPr>
          <w:p w14:paraId="57F1BD6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4628 (51.8)</w:t>
            </w:r>
          </w:p>
        </w:tc>
        <w:tc>
          <w:tcPr>
            <w:tcW w:w="530" w:type="pct"/>
            <w:tcBorders>
              <w:top w:val="nil"/>
              <w:left w:val="nil"/>
              <w:bottom w:val="nil"/>
              <w:right w:val="single" w:sz="4" w:space="0" w:color="auto"/>
            </w:tcBorders>
            <w:shd w:val="clear" w:color="auto" w:fill="auto"/>
            <w:vAlign w:val="center"/>
          </w:tcPr>
          <w:p w14:paraId="6FFB3EF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1391 (56.8)</w:t>
            </w:r>
          </w:p>
        </w:tc>
        <w:tc>
          <w:tcPr>
            <w:tcW w:w="522" w:type="pct"/>
            <w:tcBorders>
              <w:left w:val="single" w:sz="4" w:space="0" w:color="auto"/>
              <w:right w:val="nil"/>
            </w:tcBorders>
            <w:shd w:val="clear" w:color="auto" w:fill="auto"/>
            <w:vAlign w:val="center"/>
          </w:tcPr>
          <w:p w14:paraId="14AAF52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33,622 (82.4)</w:t>
            </w:r>
          </w:p>
        </w:tc>
        <w:tc>
          <w:tcPr>
            <w:tcW w:w="524" w:type="pct"/>
            <w:gridSpan w:val="2"/>
            <w:tcBorders>
              <w:left w:val="nil"/>
              <w:right w:val="nil"/>
            </w:tcBorders>
            <w:shd w:val="clear" w:color="auto" w:fill="auto"/>
            <w:vAlign w:val="center"/>
          </w:tcPr>
          <w:p w14:paraId="7D8AA86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1,182 (83.9)</w:t>
            </w:r>
          </w:p>
        </w:tc>
        <w:tc>
          <w:tcPr>
            <w:tcW w:w="523" w:type="pct"/>
            <w:gridSpan w:val="2"/>
            <w:tcBorders>
              <w:left w:val="nil"/>
              <w:right w:val="nil"/>
            </w:tcBorders>
            <w:shd w:val="clear" w:color="auto" w:fill="auto"/>
            <w:vAlign w:val="center"/>
          </w:tcPr>
          <w:p w14:paraId="4B6BB18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5,495 (83.9)</w:t>
            </w:r>
          </w:p>
        </w:tc>
        <w:tc>
          <w:tcPr>
            <w:tcW w:w="524" w:type="pct"/>
            <w:gridSpan w:val="2"/>
            <w:tcBorders>
              <w:left w:val="nil"/>
              <w:right w:val="nil"/>
            </w:tcBorders>
            <w:shd w:val="clear" w:color="auto" w:fill="auto"/>
            <w:vAlign w:val="center"/>
          </w:tcPr>
          <w:p w14:paraId="7D86DC7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1176 (84.1)</w:t>
            </w:r>
          </w:p>
        </w:tc>
      </w:tr>
      <w:tr w:rsidR="0074644B" w:rsidRPr="00BB54DF" w14:paraId="154F5B77"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4635F69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 xml:space="preserve"> Hyperlipidaemia (n, %)</w:t>
            </w:r>
          </w:p>
        </w:tc>
        <w:tc>
          <w:tcPr>
            <w:tcW w:w="529" w:type="pct"/>
            <w:tcBorders>
              <w:top w:val="nil"/>
              <w:left w:val="single" w:sz="4" w:space="0" w:color="auto"/>
              <w:bottom w:val="nil"/>
              <w:right w:val="nil"/>
            </w:tcBorders>
            <w:shd w:val="clear" w:color="auto" w:fill="auto"/>
            <w:noWrap/>
            <w:vAlign w:val="center"/>
          </w:tcPr>
          <w:p w14:paraId="1F42007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5,788 (10.7)</w:t>
            </w:r>
          </w:p>
        </w:tc>
        <w:tc>
          <w:tcPr>
            <w:tcW w:w="529" w:type="pct"/>
            <w:tcBorders>
              <w:top w:val="nil"/>
              <w:left w:val="nil"/>
              <w:bottom w:val="nil"/>
              <w:right w:val="nil"/>
            </w:tcBorders>
            <w:shd w:val="clear" w:color="auto" w:fill="auto"/>
            <w:noWrap/>
            <w:vAlign w:val="center"/>
          </w:tcPr>
          <w:p w14:paraId="421951A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459 (17.6)</w:t>
            </w:r>
          </w:p>
        </w:tc>
        <w:tc>
          <w:tcPr>
            <w:tcW w:w="530" w:type="pct"/>
            <w:tcBorders>
              <w:top w:val="nil"/>
              <w:left w:val="nil"/>
              <w:bottom w:val="nil"/>
              <w:right w:val="nil"/>
            </w:tcBorders>
            <w:shd w:val="clear" w:color="auto" w:fill="auto"/>
            <w:vAlign w:val="center"/>
          </w:tcPr>
          <w:p w14:paraId="605EBE9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1289 (14.4)</w:t>
            </w:r>
          </w:p>
        </w:tc>
        <w:tc>
          <w:tcPr>
            <w:tcW w:w="530" w:type="pct"/>
            <w:tcBorders>
              <w:top w:val="nil"/>
              <w:left w:val="nil"/>
              <w:bottom w:val="nil"/>
              <w:right w:val="single" w:sz="4" w:space="0" w:color="auto"/>
            </w:tcBorders>
            <w:shd w:val="clear" w:color="auto" w:fill="auto"/>
            <w:vAlign w:val="center"/>
          </w:tcPr>
          <w:p w14:paraId="2DC1E2BF"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415 (17.0)</w:t>
            </w:r>
          </w:p>
        </w:tc>
        <w:tc>
          <w:tcPr>
            <w:tcW w:w="522" w:type="pct"/>
            <w:tcBorders>
              <w:left w:val="single" w:sz="4" w:space="0" w:color="auto"/>
              <w:right w:val="nil"/>
            </w:tcBorders>
            <w:shd w:val="clear" w:color="auto" w:fill="auto"/>
            <w:vAlign w:val="center"/>
          </w:tcPr>
          <w:p w14:paraId="02248EF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17,206 (42.2)</w:t>
            </w:r>
          </w:p>
        </w:tc>
        <w:tc>
          <w:tcPr>
            <w:tcW w:w="524" w:type="pct"/>
            <w:gridSpan w:val="2"/>
            <w:tcBorders>
              <w:left w:val="nil"/>
              <w:right w:val="nil"/>
            </w:tcBorders>
            <w:shd w:val="clear" w:color="auto" w:fill="auto"/>
            <w:vAlign w:val="center"/>
          </w:tcPr>
          <w:p w14:paraId="4F8D111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660 (46.9)</w:t>
            </w:r>
          </w:p>
        </w:tc>
        <w:tc>
          <w:tcPr>
            <w:tcW w:w="523" w:type="pct"/>
            <w:gridSpan w:val="2"/>
            <w:tcBorders>
              <w:left w:val="nil"/>
              <w:right w:val="nil"/>
            </w:tcBorders>
            <w:shd w:val="clear" w:color="auto" w:fill="auto"/>
            <w:vAlign w:val="center"/>
          </w:tcPr>
          <w:p w14:paraId="71D663A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2,934 (44.8)</w:t>
            </w:r>
          </w:p>
        </w:tc>
        <w:tc>
          <w:tcPr>
            <w:tcW w:w="524" w:type="pct"/>
            <w:gridSpan w:val="2"/>
            <w:tcBorders>
              <w:left w:val="nil"/>
              <w:right w:val="nil"/>
            </w:tcBorders>
            <w:shd w:val="clear" w:color="auto" w:fill="auto"/>
            <w:vAlign w:val="center"/>
          </w:tcPr>
          <w:p w14:paraId="48B9A72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657 (47.0)</w:t>
            </w:r>
          </w:p>
        </w:tc>
      </w:tr>
      <w:tr w:rsidR="0074644B" w:rsidRPr="00BB54DF" w14:paraId="70CF526B"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2074B03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Liver disease (n, %)</w:t>
            </w:r>
          </w:p>
        </w:tc>
        <w:tc>
          <w:tcPr>
            <w:tcW w:w="529" w:type="pct"/>
            <w:tcBorders>
              <w:top w:val="nil"/>
              <w:left w:val="single" w:sz="4" w:space="0" w:color="auto"/>
              <w:bottom w:val="nil"/>
              <w:right w:val="nil"/>
            </w:tcBorders>
            <w:shd w:val="clear" w:color="auto" w:fill="auto"/>
            <w:noWrap/>
            <w:vAlign w:val="center"/>
          </w:tcPr>
          <w:p w14:paraId="3798C223"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224 (0.4)</w:t>
            </w:r>
          </w:p>
        </w:tc>
        <w:tc>
          <w:tcPr>
            <w:tcW w:w="529" w:type="pct"/>
            <w:tcBorders>
              <w:top w:val="nil"/>
              <w:left w:val="nil"/>
              <w:bottom w:val="nil"/>
              <w:right w:val="nil"/>
            </w:tcBorders>
            <w:shd w:val="clear" w:color="auto" w:fill="auto"/>
            <w:noWrap/>
            <w:vAlign w:val="center"/>
          </w:tcPr>
          <w:p w14:paraId="7A5C8D3B"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32 (1.2)</w:t>
            </w:r>
          </w:p>
        </w:tc>
        <w:tc>
          <w:tcPr>
            <w:tcW w:w="530" w:type="pct"/>
            <w:tcBorders>
              <w:top w:val="nil"/>
              <w:left w:val="nil"/>
              <w:bottom w:val="nil"/>
              <w:right w:val="nil"/>
            </w:tcBorders>
            <w:shd w:val="clear" w:color="auto" w:fill="auto"/>
            <w:vAlign w:val="center"/>
          </w:tcPr>
          <w:p w14:paraId="4BA30C71"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73 (0.8)</w:t>
            </w:r>
          </w:p>
        </w:tc>
        <w:tc>
          <w:tcPr>
            <w:tcW w:w="530" w:type="pct"/>
            <w:tcBorders>
              <w:top w:val="nil"/>
              <w:left w:val="nil"/>
              <w:bottom w:val="nil"/>
              <w:right w:val="single" w:sz="4" w:space="0" w:color="auto"/>
            </w:tcBorders>
            <w:shd w:val="clear" w:color="auto" w:fill="auto"/>
            <w:vAlign w:val="center"/>
          </w:tcPr>
          <w:p w14:paraId="49211634"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28 (1.1)</w:t>
            </w:r>
          </w:p>
        </w:tc>
        <w:tc>
          <w:tcPr>
            <w:tcW w:w="522" w:type="pct"/>
            <w:tcBorders>
              <w:left w:val="single" w:sz="4" w:space="0" w:color="auto"/>
              <w:right w:val="nil"/>
            </w:tcBorders>
            <w:shd w:val="clear" w:color="auto" w:fill="auto"/>
            <w:vAlign w:val="center"/>
          </w:tcPr>
          <w:p w14:paraId="155DA9D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1,528 (3.75)</w:t>
            </w:r>
          </w:p>
        </w:tc>
        <w:tc>
          <w:tcPr>
            <w:tcW w:w="524" w:type="pct"/>
            <w:gridSpan w:val="2"/>
            <w:tcBorders>
              <w:left w:val="nil"/>
              <w:right w:val="nil"/>
            </w:tcBorders>
            <w:shd w:val="clear" w:color="auto" w:fill="auto"/>
            <w:vAlign w:val="center"/>
          </w:tcPr>
          <w:p w14:paraId="4549C55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62 (4.4)</w:t>
            </w:r>
          </w:p>
        </w:tc>
        <w:tc>
          <w:tcPr>
            <w:tcW w:w="523" w:type="pct"/>
            <w:gridSpan w:val="2"/>
            <w:tcBorders>
              <w:left w:val="nil"/>
              <w:right w:val="nil"/>
            </w:tcBorders>
            <w:shd w:val="clear" w:color="auto" w:fill="auto"/>
            <w:vAlign w:val="center"/>
          </w:tcPr>
          <w:p w14:paraId="3A23AC5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277 (4.2)</w:t>
            </w:r>
          </w:p>
        </w:tc>
        <w:tc>
          <w:tcPr>
            <w:tcW w:w="524" w:type="pct"/>
            <w:gridSpan w:val="2"/>
            <w:tcBorders>
              <w:left w:val="nil"/>
              <w:right w:val="nil"/>
            </w:tcBorders>
            <w:shd w:val="clear" w:color="auto" w:fill="auto"/>
            <w:vAlign w:val="center"/>
          </w:tcPr>
          <w:p w14:paraId="0596448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61 (4.4)</w:t>
            </w:r>
          </w:p>
        </w:tc>
      </w:tr>
      <w:tr w:rsidR="0074644B" w:rsidRPr="00BB54DF" w14:paraId="31FB6CC5" w14:textId="77777777" w:rsidTr="007340D2">
        <w:trPr>
          <w:trHeight w:val="227"/>
        </w:trPr>
        <w:tc>
          <w:tcPr>
            <w:tcW w:w="789" w:type="pct"/>
            <w:tcBorders>
              <w:top w:val="nil"/>
              <w:left w:val="nil"/>
              <w:bottom w:val="nil"/>
              <w:right w:val="single" w:sz="4" w:space="0" w:color="auto"/>
            </w:tcBorders>
            <w:shd w:val="clear" w:color="auto" w:fill="auto"/>
            <w:noWrap/>
            <w:vAlign w:val="center"/>
          </w:tcPr>
          <w:p w14:paraId="5C99C43C" w14:textId="77777777" w:rsidR="0074644B" w:rsidRPr="00BB54DF" w:rsidRDefault="0074644B" w:rsidP="007340D2">
            <w:pPr>
              <w:spacing w:after="0"/>
              <w:rPr>
                <w:rFonts w:ascii="Times New Roman" w:hAnsi="Times New Roman"/>
                <w:sz w:val="16"/>
                <w:szCs w:val="16"/>
                <w:lang w:eastAsia="en-GB"/>
              </w:rPr>
            </w:pPr>
            <w:r w:rsidRPr="00BB54DF">
              <w:rPr>
                <w:rFonts w:ascii="Times New Roman" w:hAnsi="Times New Roman"/>
                <w:sz w:val="16"/>
                <w:szCs w:val="16"/>
                <w:lang w:eastAsia="en-GB"/>
              </w:rPr>
              <w:t>Peptic ulcer (n, %)</w:t>
            </w:r>
          </w:p>
        </w:tc>
        <w:tc>
          <w:tcPr>
            <w:tcW w:w="529" w:type="pct"/>
            <w:tcBorders>
              <w:top w:val="nil"/>
              <w:left w:val="single" w:sz="4" w:space="0" w:color="auto"/>
              <w:bottom w:val="nil"/>
              <w:right w:val="nil"/>
            </w:tcBorders>
            <w:shd w:val="clear" w:color="auto" w:fill="auto"/>
            <w:noWrap/>
            <w:vAlign w:val="center"/>
          </w:tcPr>
          <w:p w14:paraId="120A2B42"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816 (1.5)</w:t>
            </w:r>
          </w:p>
        </w:tc>
        <w:tc>
          <w:tcPr>
            <w:tcW w:w="529" w:type="pct"/>
            <w:tcBorders>
              <w:top w:val="nil"/>
              <w:left w:val="nil"/>
              <w:bottom w:val="nil"/>
              <w:right w:val="nil"/>
            </w:tcBorders>
            <w:shd w:val="clear" w:color="auto" w:fill="auto"/>
            <w:noWrap/>
            <w:vAlign w:val="center"/>
          </w:tcPr>
          <w:p w14:paraId="2B2A4750"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65 (2.5)</w:t>
            </w:r>
          </w:p>
        </w:tc>
        <w:tc>
          <w:tcPr>
            <w:tcW w:w="530" w:type="pct"/>
            <w:tcBorders>
              <w:top w:val="nil"/>
              <w:left w:val="nil"/>
              <w:bottom w:val="nil"/>
              <w:right w:val="nil"/>
            </w:tcBorders>
            <w:shd w:val="clear" w:color="auto" w:fill="auto"/>
            <w:vAlign w:val="center"/>
          </w:tcPr>
          <w:p w14:paraId="0FFE94B8"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187 (2.1)</w:t>
            </w:r>
          </w:p>
        </w:tc>
        <w:tc>
          <w:tcPr>
            <w:tcW w:w="530" w:type="pct"/>
            <w:tcBorders>
              <w:top w:val="nil"/>
              <w:left w:val="nil"/>
              <w:bottom w:val="nil"/>
              <w:right w:val="single" w:sz="4" w:space="0" w:color="auto"/>
            </w:tcBorders>
            <w:shd w:val="clear" w:color="auto" w:fill="auto"/>
            <w:vAlign w:val="center"/>
          </w:tcPr>
          <w:p w14:paraId="349C035A"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58 (2.4)</w:t>
            </w:r>
          </w:p>
        </w:tc>
        <w:tc>
          <w:tcPr>
            <w:tcW w:w="522" w:type="pct"/>
            <w:tcBorders>
              <w:left w:val="single" w:sz="4" w:space="0" w:color="auto"/>
              <w:right w:val="nil"/>
            </w:tcBorders>
            <w:shd w:val="clear" w:color="auto" w:fill="auto"/>
            <w:vAlign w:val="center"/>
          </w:tcPr>
          <w:p w14:paraId="6039697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1,620 (3.97)</w:t>
            </w:r>
          </w:p>
        </w:tc>
        <w:tc>
          <w:tcPr>
            <w:tcW w:w="524" w:type="pct"/>
            <w:gridSpan w:val="2"/>
            <w:tcBorders>
              <w:left w:val="nil"/>
              <w:right w:val="nil"/>
            </w:tcBorders>
            <w:shd w:val="clear" w:color="auto" w:fill="auto"/>
            <w:vAlign w:val="center"/>
          </w:tcPr>
          <w:p w14:paraId="1590B96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63 (4.5)</w:t>
            </w:r>
          </w:p>
        </w:tc>
        <w:tc>
          <w:tcPr>
            <w:tcW w:w="523" w:type="pct"/>
            <w:gridSpan w:val="2"/>
            <w:tcBorders>
              <w:left w:val="nil"/>
              <w:right w:val="nil"/>
            </w:tcBorders>
            <w:shd w:val="clear" w:color="auto" w:fill="auto"/>
            <w:vAlign w:val="center"/>
          </w:tcPr>
          <w:p w14:paraId="6C265C5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186 (2.8)</w:t>
            </w:r>
          </w:p>
        </w:tc>
        <w:tc>
          <w:tcPr>
            <w:tcW w:w="524" w:type="pct"/>
            <w:gridSpan w:val="2"/>
            <w:tcBorders>
              <w:left w:val="nil"/>
              <w:right w:val="nil"/>
            </w:tcBorders>
            <w:shd w:val="clear" w:color="auto" w:fill="auto"/>
            <w:vAlign w:val="center"/>
          </w:tcPr>
          <w:p w14:paraId="16B17C5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63 (4.5)</w:t>
            </w:r>
          </w:p>
        </w:tc>
      </w:tr>
      <w:tr w:rsidR="0074644B" w:rsidRPr="00BB54DF" w14:paraId="2C1CD6D6" w14:textId="77777777" w:rsidTr="007340D2">
        <w:trPr>
          <w:trHeight w:val="227"/>
        </w:trPr>
        <w:tc>
          <w:tcPr>
            <w:tcW w:w="789" w:type="pct"/>
            <w:tcBorders>
              <w:top w:val="nil"/>
              <w:left w:val="nil"/>
              <w:bottom w:val="nil"/>
              <w:right w:val="single" w:sz="4" w:space="0" w:color="auto"/>
            </w:tcBorders>
            <w:shd w:val="clear" w:color="auto" w:fill="auto"/>
            <w:noWrap/>
            <w:vAlign w:val="center"/>
          </w:tcPr>
          <w:p w14:paraId="15889BA2" w14:textId="77777777" w:rsidR="0074644B" w:rsidRPr="00BB54DF" w:rsidRDefault="0074644B" w:rsidP="007340D2">
            <w:pPr>
              <w:spacing w:after="0"/>
              <w:jc w:val="center"/>
              <w:rPr>
                <w:rFonts w:ascii="Times New Roman" w:hAnsi="Times New Roman"/>
                <w:sz w:val="16"/>
                <w:szCs w:val="16"/>
                <w:lang w:eastAsia="en-GB"/>
              </w:rPr>
            </w:pPr>
            <w:proofErr w:type="spellStart"/>
            <w:r w:rsidRPr="00BB54DF">
              <w:rPr>
                <w:rFonts w:ascii="Times New Roman" w:hAnsi="Times New Roman"/>
                <w:sz w:val="16"/>
                <w:szCs w:val="16"/>
                <w:lang w:eastAsia="en-GB"/>
              </w:rPr>
              <w:lastRenderedPageBreak/>
              <w:t>Osteomalacia</w:t>
            </w:r>
            <w:proofErr w:type="spellEnd"/>
            <w:r w:rsidRPr="00BB54DF">
              <w:rPr>
                <w:rFonts w:ascii="Times New Roman" w:hAnsi="Times New Roman"/>
                <w:sz w:val="16"/>
                <w:szCs w:val="16"/>
                <w:lang w:eastAsia="en-GB"/>
              </w:rPr>
              <w:t xml:space="preserve"> / rickets (n, %)</w:t>
            </w:r>
          </w:p>
        </w:tc>
        <w:tc>
          <w:tcPr>
            <w:tcW w:w="529" w:type="pct"/>
            <w:tcBorders>
              <w:top w:val="nil"/>
              <w:left w:val="single" w:sz="4" w:space="0" w:color="auto"/>
              <w:bottom w:val="nil"/>
              <w:right w:val="nil"/>
            </w:tcBorders>
            <w:shd w:val="clear" w:color="auto" w:fill="auto"/>
            <w:noWrap/>
            <w:vAlign w:val="center"/>
          </w:tcPr>
          <w:p w14:paraId="34C75611"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15 (0.0)</w:t>
            </w:r>
          </w:p>
        </w:tc>
        <w:tc>
          <w:tcPr>
            <w:tcW w:w="529" w:type="pct"/>
            <w:tcBorders>
              <w:top w:val="nil"/>
              <w:left w:val="nil"/>
              <w:bottom w:val="nil"/>
              <w:right w:val="nil"/>
            </w:tcBorders>
            <w:shd w:val="clear" w:color="auto" w:fill="auto"/>
            <w:noWrap/>
            <w:vAlign w:val="center"/>
          </w:tcPr>
          <w:p w14:paraId="5E3D9733"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2 (0.1)</w:t>
            </w:r>
          </w:p>
        </w:tc>
        <w:tc>
          <w:tcPr>
            <w:tcW w:w="530" w:type="pct"/>
            <w:tcBorders>
              <w:top w:val="nil"/>
              <w:left w:val="nil"/>
              <w:bottom w:val="nil"/>
              <w:right w:val="nil"/>
            </w:tcBorders>
            <w:shd w:val="clear" w:color="auto" w:fill="auto"/>
            <w:vAlign w:val="center"/>
          </w:tcPr>
          <w:p w14:paraId="7BDE753D"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5 (0.1)</w:t>
            </w:r>
          </w:p>
        </w:tc>
        <w:tc>
          <w:tcPr>
            <w:tcW w:w="530" w:type="pct"/>
            <w:tcBorders>
              <w:top w:val="nil"/>
              <w:left w:val="nil"/>
              <w:bottom w:val="nil"/>
              <w:right w:val="single" w:sz="4" w:space="0" w:color="auto"/>
            </w:tcBorders>
            <w:shd w:val="clear" w:color="auto" w:fill="auto"/>
            <w:vAlign w:val="center"/>
          </w:tcPr>
          <w:p w14:paraId="20448CB7"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2 (0.1)</w:t>
            </w:r>
          </w:p>
        </w:tc>
        <w:tc>
          <w:tcPr>
            <w:tcW w:w="522" w:type="pct"/>
            <w:tcBorders>
              <w:left w:val="single" w:sz="4" w:space="0" w:color="auto"/>
              <w:right w:val="nil"/>
            </w:tcBorders>
            <w:shd w:val="clear" w:color="auto" w:fill="auto"/>
            <w:vAlign w:val="center"/>
          </w:tcPr>
          <w:p w14:paraId="00D6FD2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NA</w:t>
            </w:r>
          </w:p>
        </w:tc>
        <w:tc>
          <w:tcPr>
            <w:tcW w:w="524" w:type="pct"/>
            <w:gridSpan w:val="2"/>
            <w:tcBorders>
              <w:left w:val="nil"/>
              <w:right w:val="nil"/>
            </w:tcBorders>
            <w:shd w:val="clear" w:color="auto" w:fill="auto"/>
            <w:vAlign w:val="center"/>
          </w:tcPr>
          <w:p w14:paraId="52BAB59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NA</w:t>
            </w:r>
          </w:p>
        </w:tc>
        <w:tc>
          <w:tcPr>
            <w:tcW w:w="523" w:type="pct"/>
            <w:gridSpan w:val="2"/>
            <w:tcBorders>
              <w:left w:val="nil"/>
              <w:right w:val="nil"/>
            </w:tcBorders>
            <w:shd w:val="clear" w:color="auto" w:fill="auto"/>
            <w:vAlign w:val="center"/>
          </w:tcPr>
          <w:p w14:paraId="5FD5DF7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NA</w:t>
            </w:r>
          </w:p>
        </w:tc>
        <w:tc>
          <w:tcPr>
            <w:tcW w:w="524" w:type="pct"/>
            <w:gridSpan w:val="2"/>
            <w:tcBorders>
              <w:left w:val="nil"/>
              <w:right w:val="nil"/>
            </w:tcBorders>
            <w:shd w:val="clear" w:color="auto" w:fill="auto"/>
            <w:vAlign w:val="center"/>
          </w:tcPr>
          <w:p w14:paraId="2AEB9E1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NA</w:t>
            </w:r>
          </w:p>
        </w:tc>
      </w:tr>
      <w:tr w:rsidR="0074644B" w:rsidRPr="00BB54DF" w14:paraId="1E52DB6D" w14:textId="77777777" w:rsidTr="007340D2">
        <w:trPr>
          <w:trHeight w:val="227"/>
        </w:trPr>
        <w:tc>
          <w:tcPr>
            <w:tcW w:w="789" w:type="pct"/>
            <w:tcBorders>
              <w:top w:val="nil"/>
              <w:left w:val="nil"/>
              <w:bottom w:val="nil"/>
              <w:right w:val="single" w:sz="4" w:space="0" w:color="auto"/>
            </w:tcBorders>
            <w:shd w:val="clear" w:color="auto" w:fill="auto"/>
            <w:noWrap/>
            <w:vAlign w:val="center"/>
          </w:tcPr>
          <w:p w14:paraId="696A9A9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Cancer (n, %)</w:t>
            </w:r>
          </w:p>
        </w:tc>
        <w:tc>
          <w:tcPr>
            <w:tcW w:w="529" w:type="pct"/>
            <w:tcBorders>
              <w:top w:val="nil"/>
              <w:left w:val="single" w:sz="4" w:space="0" w:color="auto"/>
              <w:bottom w:val="nil"/>
              <w:right w:val="nil"/>
            </w:tcBorders>
            <w:shd w:val="clear" w:color="auto" w:fill="auto"/>
            <w:noWrap/>
            <w:vAlign w:val="center"/>
          </w:tcPr>
          <w:p w14:paraId="39B9A4AB"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5,415 (10.0)</w:t>
            </w:r>
          </w:p>
        </w:tc>
        <w:tc>
          <w:tcPr>
            <w:tcW w:w="529" w:type="pct"/>
            <w:tcBorders>
              <w:top w:val="nil"/>
              <w:left w:val="nil"/>
              <w:bottom w:val="nil"/>
              <w:right w:val="nil"/>
            </w:tcBorders>
            <w:shd w:val="clear" w:color="auto" w:fill="auto"/>
            <w:noWrap/>
            <w:vAlign w:val="center"/>
          </w:tcPr>
          <w:p w14:paraId="21EEF9BB"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454 (17.4)</w:t>
            </w:r>
          </w:p>
        </w:tc>
        <w:tc>
          <w:tcPr>
            <w:tcW w:w="530" w:type="pct"/>
            <w:tcBorders>
              <w:top w:val="nil"/>
              <w:left w:val="nil"/>
              <w:bottom w:val="nil"/>
              <w:right w:val="nil"/>
            </w:tcBorders>
            <w:shd w:val="clear" w:color="auto" w:fill="auto"/>
            <w:vAlign w:val="center"/>
          </w:tcPr>
          <w:p w14:paraId="67EF4AF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1374 (15.4)</w:t>
            </w:r>
          </w:p>
        </w:tc>
        <w:tc>
          <w:tcPr>
            <w:tcW w:w="530" w:type="pct"/>
            <w:tcBorders>
              <w:top w:val="nil"/>
              <w:left w:val="nil"/>
              <w:bottom w:val="nil"/>
              <w:right w:val="single" w:sz="4" w:space="0" w:color="auto"/>
            </w:tcBorders>
            <w:shd w:val="clear" w:color="auto" w:fill="auto"/>
            <w:vAlign w:val="center"/>
          </w:tcPr>
          <w:p w14:paraId="621B728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416 (17.0)</w:t>
            </w:r>
          </w:p>
        </w:tc>
        <w:tc>
          <w:tcPr>
            <w:tcW w:w="522" w:type="pct"/>
            <w:tcBorders>
              <w:left w:val="single" w:sz="4" w:space="0" w:color="auto"/>
              <w:right w:val="nil"/>
            </w:tcBorders>
            <w:shd w:val="clear" w:color="auto" w:fill="auto"/>
            <w:vAlign w:val="center"/>
          </w:tcPr>
          <w:p w14:paraId="52061AA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5,790 (14.2)</w:t>
            </w:r>
          </w:p>
        </w:tc>
        <w:tc>
          <w:tcPr>
            <w:tcW w:w="524" w:type="pct"/>
            <w:gridSpan w:val="2"/>
            <w:tcBorders>
              <w:left w:val="nil"/>
              <w:right w:val="nil"/>
            </w:tcBorders>
            <w:shd w:val="clear" w:color="auto" w:fill="auto"/>
            <w:vAlign w:val="center"/>
          </w:tcPr>
          <w:p w14:paraId="4F3988E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212 (15.1)</w:t>
            </w:r>
          </w:p>
        </w:tc>
        <w:tc>
          <w:tcPr>
            <w:tcW w:w="523" w:type="pct"/>
            <w:gridSpan w:val="2"/>
            <w:tcBorders>
              <w:left w:val="nil"/>
              <w:right w:val="nil"/>
            </w:tcBorders>
            <w:shd w:val="clear" w:color="auto" w:fill="auto"/>
            <w:vAlign w:val="center"/>
          </w:tcPr>
          <w:p w14:paraId="6D45F90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956 (14.6)</w:t>
            </w:r>
          </w:p>
        </w:tc>
        <w:tc>
          <w:tcPr>
            <w:tcW w:w="524" w:type="pct"/>
            <w:gridSpan w:val="2"/>
            <w:tcBorders>
              <w:left w:val="nil"/>
              <w:right w:val="nil"/>
            </w:tcBorders>
            <w:shd w:val="clear" w:color="auto" w:fill="auto"/>
            <w:vAlign w:val="center"/>
          </w:tcPr>
          <w:p w14:paraId="306E9B9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209 (14.9)</w:t>
            </w:r>
          </w:p>
        </w:tc>
      </w:tr>
      <w:tr w:rsidR="0074644B" w:rsidRPr="00BB54DF" w14:paraId="517EF903"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6BB89E9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Hip fracture (n, %)</w:t>
            </w:r>
          </w:p>
        </w:tc>
        <w:tc>
          <w:tcPr>
            <w:tcW w:w="529" w:type="pct"/>
            <w:tcBorders>
              <w:top w:val="nil"/>
              <w:left w:val="single" w:sz="4" w:space="0" w:color="auto"/>
              <w:bottom w:val="nil"/>
              <w:right w:val="nil"/>
            </w:tcBorders>
            <w:shd w:val="clear" w:color="auto" w:fill="auto"/>
            <w:noWrap/>
            <w:vAlign w:val="center"/>
          </w:tcPr>
          <w:p w14:paraId="24A8F75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440 (0.8)</w:t>
            </w:r>
          </w:p>
        </w:tc>
        <w:tc>
          <w:tcPr>
            <w:tcW w:w="529" w:type="pct"/>
            <w:tcBorders>
              <w:top w:val="nil"/>
              <w:left w:val="nil"/>
              <w:bottom w:val="nil"/>
              <w:right w:val="nil"/>
            </w:tcBorders>
            <w:shd w:val="clear" w:color="auto" w:fill="auto"/>
            <w:noWrap/>
            <w:vAlign w:val="center"/>
          </w:tcPr>
          <w:p w14:paraId="0124F75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33 (1.3)</w:t>
            </w:r>
          </w:p>
        </w:tc>
        <w:tc>
          <w:tcPr>
            <w:tcW w:w="530" w:type="pct"/>
            <w:tcBorders>
              <w:top w:val="nil"/>
              <w:left w:val="nil"/>
              <w:bottom w:val="nil"/>
              <w:right w:val="nil"/>
            </w:tcBorders>
            <w:shd w:val="clear" w:color="auto" w:fill="auto"/>
            <w:vAlign w:val="center"/>
          </w:tcPr>
          <w:p w14:paraId="02322D7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125 (1.4)</w:t>
            </w:r>
          </w:p>
        </w:tc>
        <w:tc>
          <w:tcPr>
            <w:tcW w:w="530" w:type="pct"/>
            <w:tcBorders>
              <w:top w:val="nil"/>
              <w:left w:val="nil"/>
              <w:bottom w:val="nil"/>
              <w:right w:val="single" w:sz="4" w:space="0" w:color="auto"/>
            </w:tcBorders>
            <w:shd w:val="clear" w:color="auto" w:fill="auto"/>
            <w:vAlign w:val="center"/>
          </w:tcPr>
          <w:p w14:paraId="5A07B63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32 (1.3)</w:t>
            </w:r>
          </w:p>
        </w:tc>
        <w:tc>
          <w:tcPr>
            <w:tcW w:w="522" w:type="pct"/>
            <w:tcBorders>
              <w:left w:val="single" w:sz="4" w:space="0" w:color="auto"/>
              <w:right w:val="nil"/>
            </w:tcBorders>
            <w:shd w:val="clear" w:color="auto" w:fill="auto"/>
            <w:vAlign w:val="center"/>
          </w:tcPr>
          <w:p w14:paraId="74E5CB2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1,175 (2.9)</w:t>
            </w:r>
          </w:p>
        </w:tc>
        <w:tc>
          <w:tcPr>
            <w:tcW w:w="524" w:type="pct"/>
            <w:gridSpan w:val="2"/>
            <w:tcBorders>
              <w:left w:val="nil"/>
              <w:right w:val="nil"/>
            </w:tcBorders>
            <w:shd w:val="clear" w:color="auto" w:fill="auto"/>
            <w:vAlign w:val="center"/>
          </w:tcPr>
          <w:p w14:paraId="2EAF9C1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97 (6.9)</w:t>
            </w:r>
          </w:p>
        </w:tc>
        <w:tc>
          <w:tcPr>
            <w:tcW w:w="523" w:type="pct"/>
            <w:gridSpan w:val="2"/>
            <w:tcBorders>
              <w:left w:val="nil"/>
              <w:right w:val="nil"/>
            </w:tcBorders>
            <w:shd w:val="clear" w:color="auto" w:fill="auto"/>
            <w:vAlign w:val="center"/>
          </w:tcPr>
          <w:p w14:paraId="2204013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406 (6.2)</w:t>
            </w:r>
          </w:p>
        </w:tc>
        <w:tc>
          <w:tcPr>
            <w:tcW w:w="524" w:type="pct"/>
            <w:gridSpan w:val="2"/>
            <w:tcBorders>
              <w:left w:val="nil"/>
              <w:right w:val="nil"/>
            </w:tcBorders>
            <w:shd w:val="clear" w:color="auto" w:fill="auto"/>
            <w:vAlign w:val="center"/>
          </w:tcPr>
          <w:p w14:paraId="0EAE585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93 (6.7)</w:t>
            </w:r>
          </w:p>
        </w:tc>
      </w:tr>
      <w:tr w:rsidR="0074644B" w:rsidRPr="00BB54DF" w14:paraId="0D79A5D2"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0F23BCE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Non-hip fracture (n, %)</w:t>
            </w:r>
          </w:p>
        </w:tc>
        <w:tc>
          <w:tcPr>
            <w:tcW w:w="529" w:type="pct"/>
            <w:tcBorders>
              <w:top w:val="nil"/>
              <w:left w:val="single" w:sz="4" w:space="0" w:color="auto"/>
              <w:bottom w:val="nil"/>
              <w:right w:val="nil"/>
            </w:tcBorders>
            <w:shd w:val="clear" w:color="auto" w:fill="auto"/>
            <w:noWrap/>
            <w:vAlign w:val="center"/>
          </w:tcPr>
          <w:p w14:paraId="691301C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2,088 (3.9)</w:t>
            </w:r>
          </w:p>
        </w:tc>
        <w:tc>
          <w:tcPr>
            <w:tcW w:w="529" w:type="pct"/>
            <w:tcBorders>
              <w:top w:val="nil"/>
              <w:left w:val="nil"/>
              <w:bottom w:val="nil"/>
              <w:right w:val="nil"/>
            </w:tcBorders>
            <w:shd w:val="clear" w:color="auto" w:fill="auto"/>
            <w:noWrap/>
            <w:vAlign w:val="center"/>
          </w:tcPr>
          <w:p w14:paraId="1938D01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577 (22.1)</w:t>
            </w:r>
          </w:p>
        </w:tc>
        <w:tc>
          <w:tcPr>
            <w:tcW w:w="530" w:type="pct"/>
            <w:tcBorders>
              <w:top w:val="nil"/>
              <w:left w:val="nil"/>
              <w:bottom w:val="nil"/>
              <w:right w:val="nil"/>
            </w:tcBorders>
            <w:shd w:val="clear" w:color="auto" w:fill="auto"/>
            <w:vAlign w:val="center"/>
          </w:tcPr>
          <w:p w14:paraId="3392F7A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1070 (12.0)</w:t>
            </w:r>
          </w:p>
        </w:tc>
        <w:tc>
          <w:tcPr>
            <w:tcW w:w="530" w:type="pct"/>
            <w:tcBorders>
              <w:top w:val="nil"/>
              <w:left w:val="nil"/>
              <w:bottom w:val="nil"/>
              <w:right w:val="single" w:sz="4" w:space="0" w:color="auto"/>
            </w:tcBorders>
            <w:shd w:val="clear" w:color="auto" w:fill="auto"/>
            <w:vAlign w:val="center"/>
          </w:tcPr>
          <w:p w14:paraId="2834064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482 (19.7)</w:t>
            </w:r>
          </w:p>
        </w:tc>
        <w:tc>
          <w:tcPr>
            <w:tcW w:w="522" w:type="pct"/>
            <w:tcBorders>
              <w:left w:val="single" w:sz="4" w:space="0" w:color="auto"/>
              <w:right w:val="nil"/>
            </w:tcBorders>
            <w:shd w:val="clear" w:color="auto" w:fill="auto"/>
            <w:vAlign w:val="center"/>
          </w:tcPr>
          <w:p w14:paraId="6EE1C39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2,981 (7.3)</w:t>
            </w:r>
          </w:p>
        </w:tc>
        <w:tc>
          <w:tcPr>
            <w:tcW w:w="524" w:type="pct"/>
            <w:gridSpan w:val="2"/>
            <w:tcBorders>
              <w:left w:val="nil"/>
              <w:right w:val="nil"/>
            </w:tcBorders>
            <w:shd w:val="clear" w:color="auto" w:fill="auto"/>
            <w:vAlign w:val="center"/>
          </w:tcPr>
          <w:p w14:paraId="661A0E2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264 (18.8)</w:t>
            </w:r>
          </w:p>
        </w:tc>
        <w:tc>
          <w:tcPr>
            <w:tcW w:w="523" w:type="pct"/>
            <w:gridSpan w:val="2"/>
            <w:tcBorders>
              <w:left w:val="nil"/>
              <w:right w:val="nil"/>
            </w:tcBorders>
            <w:shd w:val="clear" w:color="auto" w:fill="auto"/>
            <w:vAlign w:val="center"/>
          </w:tcPr>
          <w:p w14:paraId="109D463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1,102 (16.8)</w:t>
            </w:r>
          </w:p>
        </w:tc>
        <w:tc>
          <w:tcPr>
            <w:tcW w:w="524" w:type="pct"/>
            <w:gridSpan w:val="2"/>
            <w:tcBorders>
              <w:left w:val="nil"/>
              <w:right w:val="nil"/>
            </w:tcBorders>
            <w:shd w:val="clear" w:color="auto" w:fill="auto"/>
            <w:vAlign w:val="center"/>
          </w:tcPr>
          <w:p w14:paraId="7C9C266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257 (18.4)</w:t>
            </w:r>
          </w:p>
        </w:tc>
      </w:tr>
      <w:tr w:rsidR="0074644B" w:rsidRPr="00BB54DF" w14:paraId="1329E416"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0EDB148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Number of prescriptions (n, %)</w:t>
            </w:r>
          </w:p>
        </w:tc>
        <w:tc>
          <w:tcPr>
            <w:tcW w:w="529" w:type="pct"/>
            <w:tcBorders>
              <w:top w:val="nil"/>
              <w:left w:val="single" w:sz="4" w:space="0" w:color="auto"/>
              <w:bottom w:val="nil"/>
              <w:right w:val="nil"/>
            </w:tcBorders>
            <w:shd w:val="clear" w:color="auto" w:fill="auto"/>
            <w:noWrap/>
            <w:vAlign w:val="center"/>
          </w:tcPr>
          <w:p w14:paraId="05AF2B1B" w14:textId="77777777" w:rsidR="0074644B" w:rsidRPr="00BB54DF" w:rsidRDefault="0074644B" w:rsidP="007340D2">
            <w:pPr>
              <w:spacing w:after="0"/>
              <w:jc w:val="center"/>
              <w:rPr>
                <w:rFonts w:ascii="Times New Roman" w:hAnsi="Times New Roman"/>
                <w:sz w:val="16"/>
                <w:szCs w:val="16"/>
                <w:lang w:eastAsia="en-GB"/>
              </w:rPr>
            </w:pPr>
          </w:p>
        </w:tc>
        <w:tc>
          <w:tcPr>
            <w:tcW w:w="529" w:type="pct"/>
            <w:tcBorders>
              <w:top w:val="nil"/>
              <w:left w:val="nil"/>
              <w:bottom w:val="nil"/>
              <w:right w:val="nil"/>
            </w:tcBorders>
            <w:shd w:val="clear" w:color="auto" w:fill="auto"/>
            <w:noWrap/>
            <w:vAlign w:val="center"/>
          </w:tcPr>
          <w:p w14:paraId="2C1556CB" w14:textId="77777777" w:rsidR="0074644B" w:rsidRPr="00BB54DF" w:rsidRDefault="0074644B" w:rsidP="007340D2">
            <w:pPr>
              <w:spacing w:after="0"/>
              <w:jc w:val="center"/>
              <w:rPr>
                <w:rFonts w:ascii="Times New Roman" w:hAnsi="Times New Roman"/>
                <w:sz w:val="16"/>
                <w:szCs w:val="16"/>
                <w:lang w:eastAsia="en-GB"/>
              </w:rPr>
            </w:pPr>
          </w:p>
        </w:tc>
        <w:tc>
          <w:tcPr>
            <w:tcW w:w="530" w:type="pct"/>
            <w:tcBorders>
              <w:top w:val="nil"/>
              <w:left w:val="nil"/>
              <w:bottom w:val="nil"/>
              <w:right w:val="nil"/>
            </w:tcBorders>
            <w:shd w:val="clear" w:color="auto" w:fill="auto"/>
            <w:vAlign w:val="center"/>
          </w:tcPr>
          <w:p w14:paraId="49AF7520" w14:textId="77777777" w:rsidR="0074644B" w:rsidRPr="00BB54DF" w:rsidRDefault="0074644B" w:rsidP="007340D2">
            <w:pPr>
              <w:spacing w:after="0"/>
              <w:jc w:val="center"/>
              <w:rPr>
                <w:rFonts w:ascii="Times New Roman" w:hAnsi="Times New Roman"/>
                <w:sz w:val="16"/>
                <w:szCs w:val="16"/>
                <w:lang w:eastAsia="en-GB"/>
              </w:rPr>
            </w:pPr>
          </w:p>
        </w:tc>
        <w:tc>
          <w:tcPr>
            <w:tcW w:w="530" w:type="pct"/>
            <w:tcBorders>
              <w:top w:val="nil"/>
              <w:left w:val="nil"/>
              <w:bottom w:val="nil"/>
              <w:right w:val="single" w:sz="4" w:space="0" w:color="auto"/>
            </w:tcBorders>
            <w:shd w:val="clear" w:color="auto" w:fill="auto"/>
          </w:tcPr>
          <w:p w14:paraId="6B2D1C1F" w14:textId="77777777" w:rsidR="0074644B" w:rsidRPr="00BB54DF" w:rsidRDefault="0074644B" w:rsidP="007340D2">
            <w:pPr>
              <w:spacing w:after="0"/>
              <w:jc w:val="center"/>
              <w:rPr>
                <w:rFonts w:ascii="Times New Roman" w:hAnsi="Times New Roman"/>
                <w:sz w:val="16"/>
                <w:szCs w:val="16"/>
                <w:lang w:eastAsia="en-GB"/>
              </w:rPr>
            </w:pPr>
          </w:p>
        </w:tc>
        <w:tc>
          <w:tcPr>
            <w:tcW w:w="522" w:type="pct"/>
            <w:tcBorders>
              <w:left w:val="single" w:sz="4" w:space="0" w:color="auto"/>
              <w:right w:val="nil"/>
            </w:tcBorders>
            <w:shd w:val="clear" w:color="auto" w:fill="auto"/>
            <w:vAlign w:val="center"/>
          </w:tcPr>
          <w:p w14:paraId="3C9CC6C0" w14:textId="77777777" w:rsidR="0074644B" w:rsidRPr="00BB54DF" w:rsidRDefault="0074644B" w:rsidP="007340D2">
            <w:pPr>
              <w:spacing w:after="0"/>
              <w:jc w:val="center"/>
              <w:rPr>
                <w:rFonts w:ascii="Times New Roman" w:hAnsi="Times New Roman"/>
                <w:sz w:val="16"/>
                <w:szCs w:val="16"/>
                <w:lang w:eastAsia="en-GB"/>
              </w:rPr>
            </w:pPr>
          </w:p>
        </w:tc>
        <w:tc>
          <w:tcPr>
            <w:tcW w:w="524" w:type="pct"/>
            <w:gridSpan w:val="2"/>
            <w:tcBorders>
              <w:left w:val="nil"/>
              <w:right w:val="nil"/>
            </w:tcBorders>
            <w:shd w:val="clear" w:color="auto" w:fill="auto"/>
            <w:vAlign w:val="center"/>
          </w:tcPr>
          <w:p w14:paraId="65818665" w14:textId="77777777" w:rsidR="0074644B" w:rsidRPr="00BB54DF" w:rsidRDefault="0074644B" w:rsidP="007340D2">
            <w:pPr>
              <w:spacing w:after="0"/>
              <w:jc w:val="center"/>
              <w:rPr>
                <w:rFonts w:ascii="Times New Roman" w:hAnsi="Times New Roman"/>
                <w:sz w:val="16"/>
                <w:szCs w:val="16"/>
                <w:lang w:eastAsia="en-GB"/>
              </w:rPr>
            </w:pPr>
          </w:p>
        </w:tc>
        <w:tc>
          <w:tcPr>
            <w:tcW w:w="523" w:type="pct"/>
            <w:gridSpan w:val="2"/>
            <w:tcBorders>
              <w:left w:val="nil"/>
              <w:right w:val="nil"/>
            </w:tcBorders>
            <w:shd w:val="clear" w:color="auto" w:fill="auto"/>
            <w:vAlign w:val="center"/>
          </w:tcPr>
          <w:p w14:paraId="350DB7F2" w14:textId="77777777" w:rsidR="0074644B" w:rsidRPr="00BB54DF" w:rsidRDefault="0074644B" w:rsidP="007340D2">
            <w:pPr>
              <w:spacing w:after="0"/>
              <w:jc w:val="center"/>
              <w:rPr>
                <w:rFonts w:ascii="Times New Roman" w:hAnsi="Times New Roman"/>
                <w:sz w:val="16"/>
                <w:szCs w:val="16"/>
                <w:lang w:eastAsia="en-GB"/>
              </w:rPr>
            </w:pPr>
          </w:p>
        </w:tc>
        <w:tc>
          <w:tcPr>
            <w:tcW w:w="524" w:type="pct"/>
            <w:gridSpan w:val="2"/>
            <w:tcBorders>
              <w:left w:val="nil"/>
              <w:right w:val="nil"/>
            </w:tcBorders>
            <w:shd w:val="clear" w:color="auto" w:fill="auto"/>
            <w:vAlign w:val="center"/>
          </w:tcPr>
          <w:p w14:paraId="6A567DED" w14:textId="77777777" w:rsidR="0074644B" w:rsidRPr="00BB54DF" w:rsidRDefault="0074644B" w:rsidP="007340D2">
            <w:pPr>
              <w:spacing w:after="0"/>
              <w:jc w:val="center"/>
              <w:rPr>
                <w:rFonts w:ascii="Times New Roman" w:hAnsi="Times New Roman"/>
                <w:sz w:val="16"/>
                <w:szCs w:val="16"/>
                <w:lang w:eastAsia="en-GB"/>
              </w:rPr>
            </w:pPr>
          </w:p>
        </w:tc>
      </w:tr>
      <w:tr w:rsidR="0074644B" w:rsidRPr="00BB54DF" w14:paraId="2A0F1A3D"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491FE48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0</w:t>
            </w:r>
          </w:p>
        </w:tc>
        <w:tc>
          <w:tcPr>
            <w:tcW w:w="529" w:type="pct"/>
            <w:tcBorders>
              <w:top w:val="nil"/>
              <w:left w:val="single" w:sz="4" w:space="0" w:color="auto"/>
              <w:bottom w:val="nil"/>
              <w:right w:val="nil"/>
            </w:tcBorders>
            <w:shd w:val="clear" w:color="auto" w:fill="auto"/>
            <w:noWrap/>
            <w:vAlign w:val="center"/>
          </w:tcPr>
          <w:p w14:paraId="678FD6C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1,527 (2.9)</w:t>
            </w:r>
          </w:p>
        </w:tc>
        <w:tc>
          <w:tcPr>
            <w:tcW w:w="529" w:type="pct"/>
            <w:tcBorders>
              <w:top w:val="nil"/>
              <w:left w:val="nil"/>
              <w:bottom w:val="nil"/>
              <w:right w:val="nil"/>
            </w:tcBorders>
            <w:shd w:val="clear" w:color="auto" w:fill="auto"/>
            <w:noWrap/>
            <w:vAlign w:val="center"/>
          </w:tcPr>
          <w:p w14:paraId="142F7D2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 (0.2)</w:t>
            </w:r>
          </w:p>
        </w:tc>
        <w:tc>
          <w:tcPr>
            <w:tcW w:w="530" w:type="pct"/>
            <w:tcBorders>
              <w:top w:val="nil"/>
              <w:left w:val="nil"/>
              <w:bottom w:val="nil"/>
              <w:right w:val="nil"/>
            </w:tcBorders>
            <w:shd w:val="clear" w:color="auto" w:fill="auto"/>
            <w:vAlign w:val="center"/>
          </w:tcPr>
          <w:p w14:paraId="7CE18B2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72 (0.9)</w:t>
            </w:r>
          </w:p>
        </w:tc>
        <w:tc>
          <w:tcPr>
            <w:tcW w:w="530" w:type="pct"/>
            <w:tcBorders>
              <w:top w:val="nil"/>
              <w:left w:val="nil"/>
              <w:bottom w:val="nil"/>
              <w:right w:val="single" w:sz="4" w:space="0" w:color="auto"/>
            </w:tcBorders>
            <w:shd w:val="clear" w:color="auto" w:fill="auto"/>
            <w:vAlign w:val="center"/>
          </w:tcPr>
          <w:p w14:paraId="73A50BC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 (0.2)</w:t>
            </w:r>
          </w:p>
        </w:tc>
        <w:tc>
          <w:tcPr>
            <w:tcW w:w="522" w:type="pct"/>
            <w:tcBorders>
              <w:left w:val="single" w:sz="4" w:space="0" w:color="auto"/>
              <w:right w:val="nil"/>
            </w:tcBorders>
            <w:shd w:val="clear" w:color="auto" w:fill="auto"/>
            <w:vAlign w:val="center"/>
          </w:tcPr>
          <w:p w14:paraId="1DC271D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501 (5.2)</w:t>
            </w:r>
          </w:p>
        </w:tc>
        <w:tc>
          <w:tcPr>
            <w:tcW w:w="524" w:type="pct"/>
            <w:gridSpan w:val="2"/>
            <w:tcBorders>
              <w:left w:val="nil"/>
              <w:right w:val="nil"/>
            </w:tcBorders>
            <w:shd w:val="clear" w:color="auto" w:fill="auto"/>
            <w:vAlign w:val="center"/>
          </w:tcPr>
          <w:p w14:paraId="4796322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0 (0.0)</w:t>
            </w:r>
          </w:p>
        </w:tc>
        <w:tc>
          <w:tcPr>
            <w:tcW w:w="523" w:type="pct"/>
            <w:gridSpan w:val="2"/>
            <w:tcBorders>
              <w:left w:val="nil"/>
              <w:right w:val="nil"/>
            </w:tcBorders>
            <w:shd w:val="clear" w:color="auto" w:fill="auto"/>
            <w:vAlign w:val="center"/>
          </w:tcPr>
          <w:p w14:paraId="680DDA7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45 (0.7)</w:t>
            </w:r>
          </w:p>
        </w:tc>
        <w:tc>
          <w:tcPr>
            <w:tcW w:w="524" w:type="pct"/>
            <w:gridSpan w:val="2"/>
            <w:tcBorders>
              <w:left w:val="nil"/>
              <w:right w:val="nil"/>
            </w:tcBorders>
            <w:shd w:val="clear" w:color="auto" w:fill="auto"/>
            <w:vAlign w:val="center"/>
          </w:tcPr>
          <w:p w14:paraId="768366E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0 (0.0)</w:t>
            </w:r>
          </w:p>
        </w:tc>
      </w:tr>
      <w:tr w:rsidR="0074644B" w:rsidRPr="00BB54DF" w14:paraId="35546198"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206E4EB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 – 3</w:t>
            </w:r>
          </w:p>
        </w:tc>
        <w:tc>
          <w:tcPr>
            <w:tcW w:w="529" w:type="pct"/>
            <w:tcBorders>
              <w:top w:val="nil"/>
              <w:left w:val="single" w:sz="4" w:space="0" w:color="auto"/>
              <w:bottom w:val="nil"/>
              <w:right w:val="nil"/>
            </w:tcBorders>
            <w:shd w:val="clear" w:color="auto" w:fill="auto"/>
            <w:noWrap/>
            <w:vAlign w:val="center"/>
          </w:tcPr>
          <w:p w14:paraId="42CF3B1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6,880 (13.3)</w:t>
            </w:r>
          </w:p>
        </w:tc>
        <w:tc>
          <w:tcPr>
            <w:tcW w:w="529" w:type="pct"/>
            <w:tcBorders>
              <w:top w:val="nil"/>
              <w:left w:val="nil"/>
              <w:bottom w:val="nil"/>
              <w:right w:val="nil"/>
            </w:tcBorders>
            <w:shd w:val="clear" w:color="auto" w:fill="auto"/>
            <w:noWrap/>
            <w:vAlign w:val="center"/>
          </w:tcPr>
          <w:p w14:paraId="231AD56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61 (2.5)</w:t>
            </w:r>
          </w:p>
        </w:tc>
        <w:tc>
          <w:tcPr>
            <w:tcW w:w="530" w:type="pct"/>
            <w:tcBorders>
              <w:top w:val="nil"/>
              <w:left w:val="nil"/>
              <w:bottom w:val="nil"/>
              <w:right w:val="nil"/>
            </w:tcBorders>
            <w:shd w:val="clear" w:color="auto" w:fill="auto"/>
            <w:vAlign w:val="center"/>
          </w:tcPr>
          <w:p w14:paraId="577A519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360 (4.3)</w:t>
            </w:r>
          </w:p>
        </w:tc>
        <w:tc>
          <w:tcPr>
            <w:tcW w:w="530" w:type="pct"/>
            <w:tcBorders>
              <w:top w:val="nil"/>
              <w:left w:val="nil"/>
              <w:bottom w:val="nil"/>
              <w:right w:val="single" w:sz="4" w:space="0" w:color="auto"/>
            </w:tcBorders>
            <w:shd w:val="clear" w:color="auto" w:fill="auto"/>
            <w:vAlign w:val="center"/>
          </w:tcPr>
          <w:p w14:paraId="0A9836D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61 (2.7)</w:t>
            </w:r>
          </w:p>
        </w:tc>
        <w:tc>
          <w:tcPr>
            <w:tcW w:w="522" w:type="pct"/>
            <w:tcBorders>
              <w:left w:val="single" w:sz="4" w:space="0" w:color="auto"/>
              <w:right w:val="nil"/>
            </w:tcBorders>
            <w:shd w:val="clear" w:color="auto" w:fill="auto"/>
            <w:vAlign w:val="center"/>
          </w:tcPr>
          <w:p w14:paraId="0C7D9A8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1,869 (4.6)</w:t>
            </w:r>
          </w:p>
        </w:tc>
        <w:tc>
          <w:tcPr>
            <w:tcW w:w="524" w:type="pct"/>
            <w:gridSpan w:val="2"/>
            <w:tcBorders>
              <w:left w:val="nil"/>
              <w:right w:val="nil"/>
            </w:tcBorders>
            <w:shd w:val="clear" w:color="auto" w:fill="auto"/>
            <w:vAlign w:val="center"/>
          </w:tcPr>
          <w:p w14:paraId="499EB3A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10 (0.7)</w:t>
            </w:r>
          </w:p>
        </w:tc>
        <w:tc>
          <w:tcPr>
            <w:tcW w:w="523" w:type="pct"/>
            <w:gridSpan w:val="2"/>
            <w:tcBorders>
              <w:left w:val="nil"/>
              <w:right w:val="nil"/>
            </w:tcBorders>
            <w:shd w:val="clear" w:color="auto" w:fill="auto"/>
            <w:vAlign w:val="center"/>
          </w:tcPr>
          <w:p w14:paraId="685F738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208 (3.2)</w:t>
            </w:r>
          </w:p>
        </w:tc>
        <w:tc>
          <w:tcPr>
            <w:tcW w:w="524" w:type="pct"/>
            <w:gridSpan w:val="2"/>
            <w:tcBorders>
              <w:left w:val="nil"/>
              <w:right w:val="nil"/>
            </w:tcBorders>
            <w:shd w:val="clear" w:color="auto" w:fill="auto"/>
            <w:vAlign w:val="center"/>
          </w:tcPr>
          <w:p w14:paraId="30E0A63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10 (0.7)</w:t>
            </w:r>
          </w:p>
        </w:tc>
      </w:tr>
      <w:tr w:rsidR="0074644B" w:rsidRPr="00BB54DF" w14:paraId="2C0E6C03"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0130DC1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 – 6</w:t>
            </w:r>
          </w:p>
        </w:tc>
        <w:tc>
          <w:tcPr>
            <w:tcW w:w="529" w:type="pct"/>
            <w:tcBorders>
              <w:top w:val="nil"/>
              <w:left w:val="single" w:sz="4" w:space="0" w:color="auto"/>
              <w:bottom w:val="nil"/>
              <w:right w:val="nil"/>
            </w:tcBorders>
            <w:shd w:val="clear" w:color="auto" w:fill="auto"/>
            <w:noWrap/>
            <w:vAlign w:val="center"/>
          </w:tcPr>
          <w:p w14:paraId="4A78FA7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12,453 (24.0)</w:t>
            </w:r>
          </w:p>
        </w:tc>
        <w:tc>
          <w:tcPr>
            <w:tcW w:w="529" w:type="pct"/>
            <w:tcBorders>
              <w:top w:val="nil"/>
              <w:left w:val="nil"/>
              <w:bottom w:val="nil"/>
              <w:right w:val="nil"/>
            </w:tcBorders>
            <w:shd w:val="clear" w:color="auto" w:fill="auto"/>
            <w:noWrap/>
            <w:vAlign w:val="center"/>
          </w:tcPr>
          <w:p w14:paraId="1E2E387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230 (9.4)</w:t>
            </w:r>
          </w:p>
        </w:tc>
        <w:tc>
          <w:tcPr>
            <w:tcW w:w="530" w:type="pct"/>
            <w:tcBorders>
              <w:top w:val="nil"/>
              <w:left w:val="nil"/>
              <w:bottom w:val="nil"/>
              <w:right w:val="nil"/>
            </w:tcBorders>
            <w:shd w:val="clear" w:color="auto" w:fill="auto"/>
            <w:vAlign w:val="center"/>
          </w:tcPr>
          <w:p w14:paraId="6E3A301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1104 (13.3)</w:t>
            </w:r>
          </w:p>
        </w:tc>
        <w:tc>
          <w:tcPr>
            <w:tcW w:w="530" w:type="pct"/>
            <w:tcBorders>
              <w:top w:val="nil"/>
              <w:left w:val="nil"/>
              <w:bottom w:val="nil"/>
              <w:right w:val="single" w:sz="4" w:space="0" w:color="auto"/>
            </w:tcBorders>
            <w:shd w:val="clear" w:color="auto" w:fill="auto"/>
            <w:vAlign w:val="center"/>
          </w:tcPr>
          <w:p w14:paraId="49538E9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226 (9.9)</w:t>
            </w:r>
          </w:p>
        </w:tc>
        <w:tc>
          <w:tcPr>
            <w:tcW w:w="522" w:type="pct"/>
            <w:tcBorders>
              <w:left w:val="single" w:sz="4" w:space="0" w:color="auto"/>
              <w:right w:val="nil"/>
            </w:tcBorders>
            <w:shd w:val="clear" w:color="auto" w:fill="auto"/>
            <w:vAlign w:val="center"/>
          </w:tcPr>
          <w:p w14:paraId="25910AB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8,252 (20.2)</w:t>
            </w:r>
          </w:p>
        </w:tc>
        <w:tc>
          <w:tcPr>
            <w:tcW w:w="524" w:type="pct"/>
            <w:gridSpan w:val="2"/>
            <w:tcBorders>
              <w:left w:val="nil"/>
              <w:right w:val="nil"/>
            </w:tcBorders>
            <w:shd w:val="clear" w:color="auto" w:fill="auto"/>
            <w:vAlign w:val="center"/>
          </w:tcPr>
          <w:p w14:paraId="4856127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102 (7.2)</w:t>
            </w:r>
          </w:p>
        </w:tc>
        <w:tc>
          <w:tcPr>
            <w:tcW w:w="523" w:type="pct"/>
            <w:gridSpan w:val="2"/>
            <w:tcBorders>
              <w:left w:val="nil"/>
              <w:right w:val="nil"/>
            </w:tcBorders>
            <w:shd w:val="clear" w:color="auto" w:fill="auto"/>
            <w:vAlign w:val="center"/>
          </w:tcPr>
          <w:p w14:paraId="290F00E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1,049 (16.0)</w:t>
            </w:r>
          </w:p>
        </w:tc>
        <w:tc>
          <w:tcPr>
            <w:tcW w:w="524" w:type="pct"/>
            <w:gridSpan w:val="2"/>
            <w:tcBorders>
              <w:left w:val="nil"/>
              <w:right w:val="nil"/>
            </w:tcBorders>
            <w:shd w:val="clear" w:color="auto" w:fill="auto"/>
            <w:vAlign w:val="center"/>
          </w:tcPr>
          <w:p w14:paraId="3FA15A3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102 (7.3)</w:t>
            </w:r>
          </w:p>
        </w:tc>
      </w:tr>
      <w:tr w:rsidR="0074644B" w:rsidRPr="00BB54DF" w14:paraId="446ADB09"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405270E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7 – 9</w:t>
            </w:r>
          </w:p>
        </w:tc>
        <w:tc>
          <w:tcPr>
            <w:tcW w:w="529" w:type="pct"/>
            <w:tcBorders>
              <w:top w:val="nil"/>
              <w:left w:val="single" w:sz="4" w:space="0" w:color="auto"/>
              <w:bottom w:val="nil"/>
              <w:right w:val="nil"/>
            </w:tcBorders>
            <w:shd w:val="clear" w:color="auto" w:fill="auto"/>
            <w:noWrap/>
            <w:vAlign w:val="center"/>
          </w:tcPr>
          <w:p w14:paraId="35C12DA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12,408 (23.9)</w:t>
            </w:r>
          </w:p>
        </w:tc>
        <w:tc>
          <w:tcPr>
            <w:tcW w:w="529" w:type="pct"/>
            <w:tcBorders>
              <w:top w:val="nil"/>
              <w:left w:val="nil"/>
              <w:bottom w:val="nil"/>
              <w:right w:val="nil"/>
            </w:tcBorders>
            <w:shd w:val="clear" w:color="auto" w:fill="auto"/>
            <w:noWrap/>
            <w:vAlign w:val="center"/>
          </w:tcPr>
          <w:p w14:paraId="4F00FED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468 (19.2)</w:t>
            </w:r>
          </w:p>
        </w:tc>
        <w:tc>
          <w:tcPr>
            <w:tcW w:w="530" w:type="pct"/>
            <w:tcBorders>
              <w:top w:val="nil"/>
              <w:left w:val="nil"/>
              <w:bottom w:val="nil"/>
              <w:right w:val="nil"/>
            </w:tcBorders>
            <w:shd w:val="clear" w:color="auto" w:fill="auto"/>
            <w:vAlign w:val="center"/>
          </w:tcPr>
          <w:p w14:paraId="743D472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1763 (21.2)</w:t>
            </w:r>
          </w:p>
        </w:tc>
        <w:tc>
          <w:tcPr>
            <w:tcW w:w="530" w:type="pct"/>
            <w:tcBorders>
              <w:top w:val="nil"/>
              <w:left w:val="nil"/>
              <w:bottom w:val="nil"/>
              <w:right w:val="single" w:sz="4" w:space="0" w:color="auto"/>
            </w:tcBorders>
            <w:shd w:val="clear" w:color="auto" w:fill="auto"/>
            <w:vAlign w:val="center"/>
          </w:tcPr>
          <w:p w14:paraId="6DDFCD8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451 (19.7)</w:t>
            </w:r>
          </w:p>
        </w:tc>
        <w:tc>
          <w:tcPr>
            <w:tcW w:w="522" w:type="pct"/>
            <w:tcBorders>
              <w:left w:val="single" w:sz="4" w:space="0" w:color="auto"/>
              <w:right w:val="nil"/>
            </w:tcBorders>
            <w:shd w:val="clear" w:color="auto" w:fill="auto"/>
            <w:vAlign w:val="center"/>
          </w:tcPr>
          <w:p w14:paraId="3DDD9C8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13,982 (34.3)</w:t>
            </w:r>
          </w:p>
        </w:tc>
        <w:tc>
          <w:tcPr>
            <w:tcW w:w="524" w:type="pct"/>
            <w:gridSpan w:val="2"/>
            <w:tcBorders>
              <w:left w:val="nil"/>
              <w:right w:val="nil"/>
            </w:tcBorders>
            <w:shd w:val="clear" w:color="auto" w:fill="auto"/>
            <w:vAlign w:val="center"/>
          </w:tcPr>
          <w:p w14:paraId="79CA95B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336 (23.9)</w:t>
            </w:r>
          </w:p>
        </w:tc>
        <w:tc>
          <w:tcPr>
            <w:tcW w:w="523" w:type="pct"/>
            <w:gridSpan w:val="2"/>
            <w:tcBorders>
              <w:left w:val="nil"/>
              <w:right w:val="nil"/>
            </w:tcBorders>
            <w:shd w:val="clear" w:color="auto" w:fill="auto"/>
            <w:vAlign w:val="center"/>
          </w:tcPr>
          <w:p w14:paraId="6BDEBA4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2,165 (33.1)</w:t>
            </w:r>
          </w:p>
        </w:tc>
        <w:tc>
          <w:tcPr>
            <w:tcW w:w="524" w:type="pct"/>
            <w:gridSpan w:val="2"/>
            <w:tcBorders>
              <w:left w:val="nil"/>
              <w:right w:val="nil"/>
            </w:tcBorders>
            <w:shd w:val="clear" w:color="auto" w:fill="auto"/>
            <w:vAlign w:val="center"/>
          </w:tcPr>
          <w:p w14:paraId="5A9C977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336 (24.0)</w:t>
            </w:r>
          </w:p>
        </w:tc>
      </w:tr>
      <w:tr w:rsidR="0074644B" w:rsidRPr="00BB54DF" w14:paraId="283E2414"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5261D45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10 – 12</w:t>
            </w:r>
          </w:p>
        </w:tc>
        <w:tc>
          <w:tcPr>
            <w:tcW w:w="529" w:type="pct"/>
            <w:tcBorders>
              <w:top w:val="nil"/>
              <w:left w:val="single" w:sz="4" w:space="0" w:color="auto"/>
              <w:bottom w:val="nil"/>
              <w:right w:val="nil"/>
            </w:tcBorders>
            <w:shd w:val="clear" w:color="auto" w:fill="auto"/>
            <w:noWrap/>
            <w:vAlign w:val="center"/>
          </w:tcPr>
          <w:p w14:paraId="0E1AFE6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9,019 (17.4)</w:t>
            </w:r>
          </w:p>
        </w:tc>
        <w:tc>
          <w:tcPr>
            <w:tcW w:w="529" w:type="pct"/>
            <w:tcBorders>
              <w:top w:val="nil"/>
              <w:left w:val="nil"/>
              <w:bottom w:val="nil"/>
              <w:right w:val="nil"/>
            </w:tcBorders>
            <w:shd w:val="clear" w:color="auto" w:fill="auto"/>
            <w:noWrap/>
            <w:vAlign w:val="center"/>
          </w:tcPr>
          <w:p w14:paraId="3C9F244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548 (22.5)</w:t>
            </w:r>
          </w:p>
        </w:tc>
        <w:tc>
          <w:tcPr>
            <w:tcW w:w="530" w:type="pct"/>
            <w:tcBorders>
              <w:top w:val="nil"/>
              <w:left w:val="nil"/>
              <w:bottom w:val="nil"/>
              <w:right w:val="nil"/>
            </w:tcBorders>
            <w:shd w:val="clear" w:color="auto" w:fill="auto"/>
            <w:vAlign w:val="center"/>
          </w:tcPr>
          <w:p w14:paraId="4040076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1906 (22.9)</w:t>
            </w:r>
          </w:p>
        </w:tc>
        <w:tc>
          <w:tcPr>
            <w:tcW w:w="530" w:type="pct"/>
            <w:tcBorders>
              <w:top w:val="nil"/>
              <w:left w:val="nil"/>
              <w:bottom w:val="nil"/>
              <w:right w:val="single" w:sz="4" w:space="0" w:color="auto"/>
            </w:tcBorders>
            <w:shd w:val="clear" w:color="auto" w:fill="auto"/>
            <w:vAlign w:val="center"/>
          </w:tcPr>
          <w:p w14:paraId="73697A3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519 (22.7)</w:t>
            </w:r>
          </w:p>
        </w:tc>
        <w:tc>
          <w:tcPr>
            <w:tcW w:w="522" w:type="pct"/>
            <w:tcBorders>
              <w:left w:val="single" w:sz="4" w:space="0" w:color="auto"/>
              <w:right w:val="nil"/>
            </w:tcBorders>
            <w:shd w:val="clear" w:color="auto" w:fill="auto"/>
            <w:vAlign w:val="center"/>
          </w:tcPr>
          <w:p w14:paraId="3082BB3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11,025 (27.0)</w:t>
            </w:r>
          </w:p>
        </w:tc>
        <w:tc>
          <w:tcPr>
            <w:tcW w:w="524" w:type="pct"/>
            <w:gridSpan w:val="2"/>
            <w:tcBorders>
              <w:left w:val="nil"/>
              <w:right w:val="nil"/>
            </w:tcBorders>
            <w:shd w:val="clear" w:color="auto" w:fill="auto"/>
            <w:vAlign w:val="center"/>
          </w:tcPr>
          <w:p w14:paraId="2254229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486 (34.5)</w:t>
            </w:r>
          </w:p>
        </w:tc>
        <w:tc>
          <w:tcPr>
            <w:tcW w:w="523" w:type="pct"/>
            <w:gridSpan w:val="2"/>
            <w:tcBorders>
              <w:left w:val="nil"/>
              <w:right w:val="nil"/>
            </w:tcBorders>
            <w:shd w:val="clear" w:color="auto" w:fill="auto"/>
            <w:vAlign w:val="center"/>
          </w:tcPr>
          <w:p w14:paraId="10BFC1E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1,894 (28.9)</w:t>
            </w:r>
          </w:p>
        </w:tc>
        <w:tc>
          <w:tcPr>
            <w:tcW w:w="524" w:type="pct"/>
            <w:gridSpan w:val="2"/>
            <w:tcBorders>
              <w:left w:val="nil"/>
              <w:right w:val="nil"/>
            </w:tcBorders>
            <w:shd w:val="clear" w:color="auto" w:fill="auto"/>
            <w:vAlign w:val="center"/>
          </w:tcPr>
          <w:p w14:paraId="277E02C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481 (34.4)</w:t>
            </w:r>
          </w:p>
        </w:tc>
      </w:tr>
      <w:tr w:rsidR="0074644B" w:rsidRPr="00BB54DF" w14:paraId="33B13D3E"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72FAD02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13+</w:t>
            </w:r>
          </w:p>
        </w:tc>
        <w:tc>
          <w:tcPr>
            <w:tcW w:w="529" w:type="pct"/>
            <w:tcBorders>
              <w:top w:val="nil"/>
              <w:left w:val="single" w:sz="4" w:space="0" w:color="auto"/>
              <w:bottom w:val="nil"/>
              <w:right w:val="nil"/>
            </w:tcBorders>
            <w:shd w:val="clear" w:color="auto" w:fill="auto"/>
            <w:noWrap/>
            <w:vAlign w:val="center"/>
          </w:tcPr>
          <w:p w14:paraId="1B11686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9,524 (18.4)</w:t>
            </w:r>
          </w:p>
        </w:tc>
        <w:tc>
          <w:tcPr>
            <w:tcW w:w="529" w:type="pct"/>
            <w:tcBorders>
              <w:top w:val="nil"/>
              <w:left w:val="nil"/>
              <w:bottom w:val="nil"/>
              <w:right w:val="nil"/>
            </w:tcBorders>
            <w:shd w:val="clear" w:color="auto" w:fill="auto"/>
            <w:noWrap/>
            <w:vAlign w:val="center"/>
          </w:tcPr>
          <w:p w14:paraId="05DEFC4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1,129 (46.3)</w:t>
            </w:r>
          </w:p>
        </w:tc>
        <w:tc>
          <w:tcPr>
            <w:tcW w:w="530" w:type="pct"/>
            <w:tcBorders>
              <w:top w:val="nil"/>
              <w:left w:val="nil"/>
              <w:bottom w:val="nil"/>
              <w:right w:val="nil"/>
            </w:tcBorders>
            <w:shd w:val="clear" w:color="auto" w:fill="auto"/>
            <w:vAlign w:val="center"/>
          </w:tcPr>
          <w:p w14:paraId="568106DC"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3125 (37.5)</w:t>
            </w:r>
          </w:p>
        </w:tc>
        <w:tc>
          <w:tcPr>
            <w:tcW w:w="530" w:type="pct"/>
            <w:tcBorders>
              <w:top w:val="nil"/>
              <w:left w:val="nil"/>
              <w:bottom w:val="nil"/>
              <w:right w:val="single" w:sz="4" w:space="0" w:color="auto"/>
            </w:tcBorders>
            <w:shd w:val="clear" w:color="auto" w:fill="auto"/>
            <w:vAlign w:val="center"/>
          </w:tcPr>
          <w:p w14:paraId="2EF1024F"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1026 (44.9)</w:t>
            </w:r>
          </w:p>
        </w:tc>
        <w:tc>
          <w:tcPr>
            <w:tcW w:w="522" w:type="pct"/>
            <w:tcBorders>
              <w:left w:val="single" w:sz="4" w:space="0" w:color="auto"/>
              <w:right w:val="nil"/>
            </w:tcBorders>
            <w:shd w:val="clear" w:color="auto" w:fill="auto"/>
            <w:vAlign w:val="center"/>
          </w:tcPr>
          <w:p w14:paraId="6EF2691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5,171 (12.7)</w:t>
            </w:r>
          </w:p>
        </w:tc>
        <w:tc>
          <w:tcPr>
            <w:tcW w:w="524" w:type="pct"/>
            <w:gridSpan w:val="2"/>
            <w:tcBorders>
              <w:left w:val="nil"/>
              <w:right w:val="nil"/>
            </w:tcBorders>
            <w:shd w:val="clear" w:color="auto" w:fill="auto"/>
            <w:vAlign w:val="center"/>
          </w:tcPr>
          <w:p w14:paraId="64B7644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474 (33.7)</w:t>
            </w:r>
          </w:p>
        </w:tc>
        <w:tc>
          <w:tcPr>
            <w:tcW w:w="523" w:type="pct"/>
            <w:gridSpan w:val="2"/>
            <w:tcBorders>
              <w:left w:val="nil"/>
              <w:right w:val="nil"/>
            </w:tcBorders>
            <w:shd w:val="clear" w:color="auto" w:fill="auto"/>
            <w:vAlign w:val="center"/>
          </w:tcPr>
          <w:p w14:paraId="6A8E396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1,186 (18.1)</w:t>
            </w:r>
          </w:p>
        </w:tc>
        <w:tc>
          <w:tcPr>
            <w:tcW w:w="524" w:type="pct"/>
            <w:gridSpan w:val="2"/>
            <w:tcBorders>
              <w:left w:val="nil"/>
              <w:right w:val="nil"/>
            </w:tcBorders>
            <w:shd w:val="clear" w:color="auto" w:fill="auto"/>
            <w:vAlign w:val="center"/>
          </w:tcPr>
          <w:p w14:paraId="6D3C0C5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470 (33.6)</w:t>
            </w:r>
          </w:p>
        </w:tc>
      </w:tr>
      <w:tr w:rsidR="0074644B" w:rsidRPr="00BB54DF" w14:paraId="635437E7"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318747D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Hormone replacement therapy (n, %)</w:t>
            </w:r>
          </w:p>
        </w:tc>
        <w:tc>
          <w:tcPr>
            <w:tcW w:w="529" w:type="pct"/>
            <w:tcBorders>
              <w:top w:val="nil"/>
              <w:left w:val="single" w:sz="4" w:space="0" w:color="auto"/>
              <w:bottom w:val="nil"/>
              <w:right w:val="nil"/>
            </w:tcBorders>
            <w:shd w:val="clear" w:color="auto" w:fill="auto"/>
            <w:noWrap/>
            <w:vAlign w:val="center"/>
          </w:tcPr>
          <w:p w14:paraId="2DDB040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2979 (5.5)</w:t>
            </w:r>
          </w:p>
        </w:tc>
        <w:tc>
          <w:tcPr>
            <w:tcW w:w="529" w:type="pct"/>
            <w:tcBorders>
              <w:top w:val="nil"/>
              <w:left w:val="nil"/>
              <w:bottom w:val="nil"/>
              <w:right w:val="nil"/>
            </w:tcBorders>
            <w:shd w:val="clear" w:color="auto" w:fill="auto"/>
            <w:noWrap/>
            <w:vAlign w:val="center"/>
          </w:tcPr>
          <w:p w14:paraId="463657F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244 (9.3)</w:t>
            </w:r>
          </w:p>
        </w:tc>
        <w:tc>
          <w:tcPr>
            <w:tcW w:w="530" w:type="pct"/>
            <w:tcBorders>
              <w:top w:val="nil"/>
              <w:left w:val="nil"/>
              <w:bottom w:val="nil"/>
              <w:right w:val="nil"/>
            </w:tcBorders>
            <w:shd w:val="clear" w:color="auto" w:fill="auto"/>
            <w:vAlign w:val="center"/>
          </w:tcPr>
          <w:p w14:paraId="2DDA376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714 (8.0)</w:t>
            </w:r>
          </w:p>
        </w:tc>
        <w:tc>
          <w:tcPr>
            <w:tcW w:w="530" w:type="pct"/>
            <w:tcBorders>
              <w:top w:val="nil"/>
              <w:left w:val="nil"/>
              <w:bottom w:val="nil"/>
              <w:right w:val="single" w:sz="4" w:space="0" w:color="auto"/>
            </w:tcBorders>
            <w:shd w:val="clear" w:color="auto" w:fill="auto"/>
            <w:vAlign w:val="center"/>
          </w:tcPr>
          <w:p w14:paraId="278CA15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228 (9.3)</w:t>
            </w:r>
          </w:p>
        </w:tc>
        <w:tc>
          <w:tcPr>
            <w:tcW w:w="522" w:type="pct"/>
            <w:tcBorders>
              <w:left w:val="single" w:sz="4" w:space="0" w:color="auto"/>
              <w:right w:val="nil"/>
            </w:tcBorders>
            <w:shd w:val="clear" w:color="auto" w:fill="auto"/>
            <w:vAlign w:val="center"/>
          </w:tcPr>
          <w:p w14:paraId="5915890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857 (2.1)</w:t>
            </w:r>
          </w:p>
        </w:tc>
        <w:tc>
          <w:tcPr>
            <w:tcW w:w="524" w:type="pct"/>
            <w:gridSpan w:val="2"/>
            <w:tcBorders>
              <w:left w:val="nil"/>
              <w:right w:val="nil"/>
            </w:tcBorders>
            <w:shd w:val="clear" w:color="auto" w:fill="auto"/>
            <w:vAlign w:val="center"/>
          </w:tcPr>
          <w:p w14:paraId="2A369AE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53 (3.8)</w:t>
            </w:r>
          </w:p>
        </w:tc>
        <w:tc>
          <w:tcPr>
            <w:tcW w:w="523" w:type="pct"/>
            <w:gridSpan w:val="2"/>
            <w:tcBorders>
              <w:left w:val="nil"/>
              <w:right w:val="nil"/>
            </w:tcBorders>
            <w:shd w:val="clear" w:color="auto" w:fill="auto"/>
            <w:vAlign w:val="center"/>
          </w:tcPr>
          <w:p w14:paraId="0BE13CB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257 (3.7)</w:t>
            </w:r>
          </w:p>
        </w:tc>
        <w:tc>
          <w:tcPr>
            <w:tcW w:w="524" w:type="pct"/>
            <w:gridSpan w:val="2"/>
            <w:tcBorders>
              <w:left w:val="nil"/>
              <w:right w:val="nil"/>
            </w:tcBorders>
            <w:shd w:val="clear" w:color="auto" w:fill="auto"/>
            <w:vAlign w:val="center"/>
          </w:tcPr>
          <w:p w14:paraId="5AE376D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51 (3.9)</w:t>
            </w:r>
          </w:p>
        </w:tc>
      </w:tr>
      <w:tr w:rsidR="0074644B" w:rsidRPr="00BB54DF" w14:paraId="060736FB"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30F1928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Contraceptive (n, %)</w:t>
            </w:r>
          </w:p>
        </w:tc>
        <w:tc>
          <w:tcPr>
            <w:tcW w:w="529" w:type="pct"/>
            <w:tcBorders>
              <w:top w:val="nil"/>
              <w:left w:val="single" w:sz="4" w:space="0" w:color="auto"/>
              <w:bottom w:val="nil"/>
              <w:right w:val="nil"/>
            </w:tcBorders>
            <w:shd w:val="clear" w:color="auto" w:fill="auto"/>
            <w:noWrap/>
            <w:vAlign w:val="center"/>
          </w:tcPr>
          <w:p w14:paraId="3E8F175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38 (0.1)</w:t>
            </w:r>
          </w:p>
        </w:tc>
        <w:tc>
          <w:tcPr>
            <w:tcW w:w="529" w:type="pct"/>
            <w:tcBorders>
              <w:top w:val="nil"/>
              <w:left w:val="nil"/>
              <w:bottom w:val="nil"/>
              <w:right w:val="nil"/>
            </w:tcBorders>
            <w:shd w:val="clear" w:color="auto" w:fill="auto"/>
            <w:noWrap/>
            <w:vAlign w:val="center"/>
          </w:tcPr>
          <w:p w14:paraId="127E42D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 (0.0)</w:t>
            </w:r>
          </w:p>
        </w:tc>
        <w:tc>
          <w:tcPr>
            <w:tcW w:w="530" w:type="pct"/>
            <w:tcBorders>
              <w:top w:val="nil"/>
              <w:left w:val="nil"/>
              <w:bottom w:val="nil"/>
              <w:right w:val="nil"/>
            </w:tcBorders>
            <w:shd w:val="clear" w:color="auto" w:fill="auto"/>
            <w:vAlign w:val="center"/>
          </w:tcPr>
          <w:p w14:paraId="10D6DF5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 (0.1)</w:t>
            </w:r>
          </w:p>
        </w:tc>
        <w:tc>
          <w:tcPr>
            <w:tcW w:w="530" w:type="pct"/>
            <w:tcBorders>
              <w:top w:val="nil"/>
              <w:left w:val="nil"/>
              <w:bottom w:val="nil"/>
              <w:right w:val="single" w:sz="4" w:space="0" w:color="auto"/>
            </w:tcBorders>
            <w:shd w:val="clear" w:color="auto" w:fill="auto"/>
            <w:vAlign w:val="center"/>
          </w:tcPr>
          <w:p w14:paraId="1E43C18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 (0.0)</w:t>
            </w:r>
          </w:p>
        </w:tc>
        <w:tc>
          <w:tcPr>
            <w:tcW w:w="522" w:type="pct"/>
            <w:tcBorders>
              <w:left w:val="single" w:sz="4" w:space="0" w:color="auto"/>
              <w:right w:val="nil"/>
            </w:tcBorders>
            <w:shd w:val="clear" w:color="auto" w:fill="auto"/>
            <w:vAlign w:val="center"/>
          </w:tcPr>
          <w:p w14:paraId="28647AF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7 (0.0)</w:t>
            </w:r>
          </w:p>
        </w:tc>
        <w:tc>
          <w:tcPr>
            <w:tcW w:w="524" w:type="pct"/>
            <w:gridSpan w:val="2"/>
            <w:tcBorders>
              <w:left w:val="nil"/>
              <w:right w:val="nil"/>
            </w:tcBorders>
            <w:shd w:val="clear" w:color="auto" w:fill="auto"/>
            <w:vAlign w:val="center"/>
          </w:tcPr>
          <w:p w14:paraId="31CD1EA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 (0.1)</w:t>
            </w:r>
          </w:p>
        </w:tc>
        <w:tc>
          <w:tcPr>
            <w:tcW w:w="523" w:type="pct"/>
            <w:gridSpan w:val="2"/>
            <w:tcBorders>
              <w:left w:val="nil"/>
              <w:right w:val="nil"/>
            </w:tcBorders>
            <w:shd w:val="clear" w:color="auto" w:fill="auto"/>
            <w:vAlign w:val="center"/>
          </w:tcPr>
          <w:p w14:paraId="251EDCB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 (0.1)</w:t>
            </w:r>
          </w:p>
        </w:tc>
        <w:tc>
          <w:tcPr>
            <w:tcW w:w="524" w:type="pct"/>
            <w:gridSpan w:val="2"/>
            <w:tcBorders>
              <w:left w:val="nil"/>
              <w:right w:val="nil"/>
            </w:tcBorders>
            <w:shd w:val="clear" w:color="auto" w:fill="auto"/>
            <w:vAlign w:val="center"/>
          </w:tcPr>
          <w:p w14:paraId="2C063AB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 (0.1)</w:t>
            </w:r>
          </w:p>
        </w:tc>
      </w:tr>
      <w:tr w:rsidR="0074644B" w:rsidRPr="00BB54DF" w14:paraId="3C5FFAE8"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5DD4ED0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Calcium supplements (n, %)</w:t>
            </w:r>
          </w:p>
        </w:tc>
        <w:tc>
          <w:tcPr>
            <w:tcW w:w="529" w:type="pct"/>
            <w:tcBorders>
              <w:top w:val="nil"/>
              <w:left w:val="single" w:sz="4" w:space="0" w:color="auto"/>
              <w:bottom w:val="nil"/>
              <w:right w:val="nil"/>
            </w:tcBorders>
            <w:shd w:val="clear" w:color="auto" w:fill="auto"/>
            <w:noWrap/>
            <w:vAlign w:val="center"/>
          </w:tcPr>
          <w:p w14:paraId="4C955DE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3,996 (7.4)</w:t>
            </w:r>
          </w:p>
        </w:tc>
        <w:tc>
          <w:tcPr>
            <w:tcW w:w="529" w:type="pct"/>
            <w:tcBorders>
              <w:top w:val="nil"/>
              <w:left w:val="nil"/>
              <w:bottom w:val="nil"/>
              <w:right w:val="nil"/>
            </w:tcBorders>
            <w:shd w:val="clear" w:color="auto" w:fill="auto"/>
            <w:noWrap/>
            <w:vAlign w:val="center"/>
          </w:tcPr>
          <w:p w14:paraId="19409AF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782 (29.9)</w:t>
            </w:r>
          </w:p>
        </w:tc>
        <w:tc>
          <w:tcPr>
            <w:tcW w:w="530" w:type="pct"/>
            <w:tcBorders>
              <w:top w:val="nil"/>
              <w:left w:val="nil"/>
              <w:bottom w:val="nil"/>
              <w:right w:val="nil"/>
            </w:tcBorders>
            <w:shd w:val="clear" w:color="auto" w:fill="auto"/>
            <w:vAlign w:val="center"/>
          </w:tcPr>
          <w:p w14:paraId="5E86087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1818 (20.4)</w:t>
            </w:r>
          </w:p>
        </w:tc>
        <w:tc>
          <w:tcPr>
            <w:tcW w:w="530" w:type="pct"/>
            <w:tcBorders>
              <w:top w:val="nil"/>
              <w:left w:val="nil"/>
              <w:bottom w:val="nil"/>
              <w:right w:val="single" w:sz="4" w:space="0" w:color="auto"/>
            </w:tcBorders>
            <w:shd w:val="clear" w:color="auto" w:fill="auto"/>
            <w:vAlign w:val="center"/>
          </w:tcPr>
          <w:p w14:paraId="56FEA38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680 (27.8)</w:t>
            </w:r>
          </w:p>
        </w:tc>
        <w:tc>
          <w:tcPr>
            <w:tcW w:w="522" w:type="pct"/>
            <w:tcBorders>
              <w:left w:val="single" w:sz="4" w:space="0" w:color="auto"/>
              <w:right w:val="nil"/>
            </w:tcBorders>
            <w:shd w:val="clear" w:color="auto" w:fill="auto"/>
            <w:vAlign w:val="center"/>
          </w:tcPr>
          <w:p w14:paraId="01D5438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485 (1.2)</w:t>
            </w:r>
          </w:p>
        </w:tc>
        <w:tc>
          <w:tcPr>
            <w:tcW w:w="524" w:type="pct"/>
            <w:gridSpan w:val="2"/>
            <w:tcBorders>
              <w:left w:val="nil"/>
              <w:right w:val="nil"/>
            </w:tcBorders>
            <w:shd w:val="clear" w:color="auto" w:fill="auto"/>
            <w:vAlign w:val="center"/>
          </w:tcPr>
          <w:p w14:paraId="6D8C235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25 (1.8)</w:t>
            </w:r>
          </w:p>
        </w:tc>
        <w:tc>
          <w:tcPr>
            <w:tcW w:w="523" w:type="pct"/>
            <w:gridSpan w:val="2"/>
            <w:tcBorders>
              <w:left w:val="nil"/>
              <w:right w:val="nil"/>
            </w:tcBorders>
            <w:shd w:val="clear" w:color="auto" w:fill="auto"/>
            <w:vAlign w:val="center"/>
          </w:tcPr>
          <w:p w14:paraId="34350BF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95 (1.4)</w:t>
            </w:r>
          </w:p>
        </w:tc>
        <w:tc>
          <w:tcPr>
            <w:tcW w:w="524" w:type="pct"/>
            <w:gridSpan w:val="2"/>
            <w:tcBorders>
              <w:left w:val="nil"/>
              <w:right w:val="nil"/>
            </w:tcBorders>
            <w:shd w:val="clear" w:color="auto" w:fill="auto"/>
            <w:vAlign w:val="center"/>
          </w:tcPr>
          <w:p w14:paraId="7218CC3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24 (1.7)</w:t>
            </w:r>
          </w:p>
        </w:tc>
      </w:tr>
      <w:tr w:rsidR="0074644B" w:rsidRPr="00BB54DF" w14:paraId="3C7EAB4A"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4929595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Bisphosphonate use more than 1 year before index date (n, %)</w:t>
            </w:r>
          </w:p>
        </w:tc>
        <w:tc>
          <w:tcPr>
            <w:tcW w:w="529" w:type="pct"/>
            <w:tcBorders>
              <w:top w:val="nil"/>
              <w:left w:val="single" w:sz="4" w:space="0" w:color="auto"/>
              <w:bottom w:val="nil"/>
              <w:right w:val="nil"/>
            </w:tcBorders>
            <w:shd w:val="clear" w:color="auto" w:fill="auto"/>
            <w:noWrap/>
            <w:vAlign w:val="center"/>
          </w:tcPr>
          <w:p w14:paraId="52554E3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996 (1.8)</w:t>
            </w:r>
          </w:p>
        </w:tc>
        <w:tc>
          <w:tcPr>
            <w:tcW w:w="529" w:type="pct"/>
            <w:tcBorders>
              <w:top w:val="nil"/>
              <w:left w:val="nil"/>
              <w:bottom w:val="nil"/>
              <w:right w:val="nil"/>
            </w:tcBorders>
            <w:shd w:val="clear" w:color="auto" w:fill="auto"/>
            <w:noWrap/>
            <w:vAlign w:val="center"/>
          </w:tcPr>
          <w:p w14:paraId="2DA7B97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136 (5.2)</w:t>
            </w:r>
          </w:p>
        </w:tc>
        <w:tc>
          <w:tcPr>
            <w:tcW w:w="530" w:type="pct"/>
            <w:tcBorders>
              <w:top w:val="nil"/>
              <w:left w:val="nil"/>
              <w:bottom w:val="nil"/>
              <w:right w:val="nil"/>
            </w:tcBorders>
            <w:shd w:val="clear" w:color="auto" w:fill="auto"/>
            <w:vAlign w:val="center"/>
          </w:tcPr>
          <w:p w14:paraId="1682669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486 (5.4)</w:t>
            </w:r>
          </w:p>
        </w:tc>
        <w:tc>
          <w:tcPr>
            <w:tcW w:w="530" w:type="pct"/>
            <w:tcBorders>
              <w:top w:val="nil"/>
              <w:left w:val="nil"/>
              <w:bottom w:val="nil"/>
              <w:right w:val="single" w:sz="4" w:space="0" w:color="auto"/>
            </w:tcBorders>
            <w:shd w:val="clear" w:color="auto" w:fill="auto"/>
            <w:vAlign w:val="center"/>
          </w:tcPr>
          <w:p w14:paraId="23A590D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122 (5.0)</w:t>
            </w:r>
          </w:p>
        </w:tc>
        <w:tc>
          <w:tcPr>
            <w:tcW w:w="522" w:type="pct"/>
            <w:tcBorders>
              <w:left w:val="single" w:sz="4" w:space="0" w:color="auto"/>
              <w:right w:val="nil"/>
            </w:tcBorders>
            <w:shd w:val="clear" w:color="auto" w:fill="auto"/>
            <w:vAlign w:val="center"/>
          </w:tcPr>
          <w:p w14:paraId="21B2122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1,831 (4.5)</w:t>
            </w:r>
          </w:p>
        </w:tc>
        <w:tc>
          <w:tcPr>
            <w:tcW w:w="524" w:type="pct"/>
            <w:gridSpan w:val="2"/>
            <w:tcBorders>
              <w:left w:val="nil"/>
              <w:right w:val="nil"/>
            </w:tcBorders>
            <w:shd w:val="clear" w:color="auto" w:fill="auto"/>
            <w:vAlign w:val="center"/>
          </w:tcPr>
          <w:p w14:paraId="476EFC5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99 (7.0)</w:t>
            </w:r>
          </w:p>
        </w:tc>
        <w:tc>
          <w:tcPr>
            <w:tcW w:w="523" w:type="pct"/>
            <w:gridSpan w:val="2"/>
            <w:tcBorders>
              <w:left w:val="nil"/>
              <w:right w:val="nil"/>
            </w:tcBorders>
            <w:shd w:val="clear" w:color="auto" w:fill="auto"/>
            <w:vAlign w:val="center"/>
          </w:tcPr>
          <w:p w14:paraId="07D2985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450 (6.9)</w:t>
            </w:r>
          </w:p>
        </w:tc>
        <w:tc>
          <w:tcPr>
            <w:tcW w:w="524" w:type="pct"/>
            <w:gridSpan w:val="2"/>
            <w:tcBorders>
              <w:left w:val="nil"/>
              <w:right w:val="nil"/>
            </w:tcBorders>
            <w:shd w:val="clear" w:color="auto" w:fill="auto"/>
            <w:vAlign w:val="center"/>
          </w:tcPr>
          <w:p w14:paraId="352A8D6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98 (7.0)</w:t>
            </w:r>
          </w:p>
        </w:tc>
      </w:tr>
      <w:tr w:rsidR="0074644B" w:rsidRPr="00BB54DF" w14:paraId="684FDF49"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627E02A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Steroids (n, %)</w:t>
            </w:r>
          </w:p>
        </w:tc>
        <w:tc>
          <w:tcPr>
            <w:tcW w:w="529" w:type="pct"/>
            <w:tcBorders>
              <w:top w:val="nil"/>
              <w:left w:val="single" w:sz="4" w:space="0" w:color="auto"/>
              <w:bottom w:val="nil"/>
              <w:right w:val="nil"/>
            </w:tcBorders>
            <w:shd w:val="clear" w:color="auto" w:fill="auto"/>
            <w:noWrap/>
            <w:vAlign w:val="center"/>
          </w:tcPr>
          <w:p w14:paraId="1739D46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9,194 (17.0)</w:t>
            </w:r>
          </w:p>
        </w:tc>
        <w:tc>
          <w:tcPr>
            <w:tcW w:w="529" w:type="pct"/>
            <w:tcBorders>
              <w:top w:val="nil"/>
              <w:left w:val="nil"/>
              <w:bottom w:val="nil"/>
              <w:right w:val="nil"/>
            </w:tcBorders>
            <w:shd w:val="clear" w:color="auto" w:fill="auto"/>
            <w:noWrap/>
            <w:vAlign w:val="center"/>
          </w:tcPr>
          <w:p w14:paraId="2095812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1,311 (50.2)</w:t>
            </w:r>
          </w:p>
        </w:tc>
        <w:tc>
          <w:tcPr>
            <w:tcW w:w="530" w:type="pct"/>
            <w:tcBorders>
              <w:top w:val="nil"/>
              <w:left w:val="nil"/>
              <w:bottom w:val="nil"/>
              <w:right w:val="nil"/>
            </w:tcBorders>
            <w:shd w:val="clear" w:color="auto" w:fill="auto"/>
            <w:vAlign w:val="center"/>
          </w:tcPr>
          <w:p w14:paraId="22888EE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3509 (39.3)</w:t>
            </w:r>
          </w:p>
        </w:tc>
        <w:tc>
          <w:tcPr>
            <w:tcW w:w="530" w:type="pct"/>
            <w:tcBorders>
              <w:top w:val="nil"/>
              <w:left w:val="nil"/>
              <w:bottom w:val="nil"/>
              <w:right w:val="single" w:sz="4" w:space="0" w:color="auto"/>
            </w:tcBorders>
            <w:shd w:val="clear" w:color="auto" w:fill="auto"/>
            <w:vAlign w:val="center"/>
          </w:tcPr>
          <w:p w14:paraId="6BE0318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1179 (48.2)</w:t>
            </w:r>
          </w:p>
        </w:tc>
        <w:tc>
          <w:tcPr>
            <w:tcW w:w="522" w:type="pct"/>
            <w:tcBorders>
              <w:left w:val="single" w:sz="4" w:space="0" w:color="auto"/>
              <w:right w:val="nil"/>
            </w:tcBorders>
            <w:shd w:val="clear" w:color="auto" w:fill="auto"/>
            <w:vAlign w:val="center"/>
          </w:tcPr>
          <w:p w14:paraId="12D8E58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3,996 (9.8)</w:t>
            </w:r>
          </w:p>
        </w:tc>
        <w:tc>
          <w:tcPr>
            <w:tcW w:w="524" w:type="pct"/>
            <w:gridSpan w:val="2"/>
            <w:tcBorders>
              <w:left w:val="nil"/>
              <w:right w:val="nil"/>
            </w:tcBorders>
            <w:shd w:val="clear" w:color="auto" w:fill="auto"/>
            <w:vAlign w:val="center"/>
          </w:tcPr>
          <w:p w14:paraId="25EB467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301 (21.4)</w:t>
            </w:r>
          </w:p>
        </w:tc>
        <w:tc>
          <w:tcPr>
            <w:tcW w:w="523" w:type="pct"/>
            <w:gridSpan w:val="2"/>
            <w:tcBorders>
              <w:left w:val="nil"/>
              <w:right w:val="nil"/>
            </w:tcBorders>
            <w:shd w:val="clear" w:color="auto" w:fill="auto"/>
            <w:vAlign w:val="center"/>
          </w:tcPr>
          <w:p w14:paraId="4DFA05F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1,263 (19.3)</w:t>
            </w:r>
          </w:p>
        </w:tc>
        <w:tc>
          <w:tcPr>
            <w:tcW w:w="524" w:type="pct"/>
            <w:gridSpan w:val="2"/>
            <w:tcBorders>
              <w:left w:val="nil"/>
              <w:right w:val="nil"/>
            </w:tcBorders>
            <w:shd w:val="clear" w:color="auto" w:fill="auto"/>
            <w:vAlign w:val="center"/>
          </w:tcPr>
          <w:p w14:paraId="0BC38EF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296 (21.2)</w:t>
            </w:r>
          </w:p>
        </w:tc>
      </w:tr>
      <w:tr w:rsidR="0074644B" w:rsidRPr="00BB54DF" w14:paraId="7CADD90B"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5B35D9A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Anticoagulants (n, %)</w:t>
            </w:r>
          </w:p>
        </w:tc>
        <w:tc>
          <w:tcPr>
            <w:tcW w:w="529" w:type="pct"/>
            <w:tcBorders>
              <w:top w:val="nil"/>
              <w:left w:val="single" w:sz="4" w:space="0" w:color="auto"/>
              <w:bottom w:val="nil"/>
              <w:right w:val="nil"/>
            </w:tcBorders>
            <w:shd w:val="clear" w:color="auto" w:fill="auto"/>
            <w:noWrap/>
            <w:vAlign w:val="center"/>
          </w:tcPr>
          <w:p w14:paraId="3BEB7EE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7,078 (13.1)</w:t>
            </w:r>
          </w:p>
        </w:tc>
        <w:tc>
          <w:tcPr>
            <w:tcW w:w="529" w:type="pct"/>
            <w:tcBorders>
              <w:top w:val="nil"/>
              <w:left w:val="nil"/>
              <w:bottom w:val="nil"/>
              <w:right w:val="nil"/>
            </w:tcBorders>
            <w:shd w:val="clear" w:color="auto" w:fill="auto"/>
            <w:noWrap/>
            <w:vAlign w:val="center"/>
          </w:tcPr>
          <w:p w14:paraId="546F8C2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486 (18.6)</w:t>
            </w:r>
          </w:p>
        </w:tc>
        <w:tc>
          <w:tcPr>
            <w:tcW w:w="530" w:type="pct"/>
            <w:tcBorders>
              <w:top w:val="nil"/>
              <w:left w:val="nil"/>
              <w:bottom w:val="nil"/>
              <w:right w:val="nil"/>
            </w:tcBorders>
            <w:shd w:val="clear" w:color="auto" w:fill="auto"/>
            <w:vAlign w:val="center"/>
          </w:tcPr>
          <w:p w14:paraId="56617FA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1567 (17.5)</w:t>
            </w:r>
          </w:p>
        </w:tc>
        <w:tc>
          <w:tcPr>
            <w:tcW w:w="530" w:type="pct"/>
            <w:tcBorders>
              <w:top w:val="nil"/>
              <w:left w:val="nil"/>
              <w:bottom w:val="nil"/>
              <w:right w:val="single" w:sz="4" w:space="0" w:color="auto"/>
            </w:tcBorders>
            <w:shd w:val="clear" w:color="auto" w:fill="auto"/>
            <w:vAlign w:val="center"/>
          </w:tcPr>
          <w:p w14:paraId="756AF35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455 (18.6)</w:t>
            </w:r>
          </w:p>
        </w:tc>
        <w:tc>
          <w:tcPr>
            <w:tcW w:w="522" w:type="pct"/>
            <w:tcBorders>
              <w:left w:val="single" w:sz="4" w:space="0" w:color="auto"/>
              <w:right w:val="nil"/>
            </w:tcBorders>
            <w:shd w:val="clear" w:color="auto" w:fill="auto"/>
            <w:vAlign w:val="center"/>
          </w:tcPr>
          <w:p w14:paraId="23057FD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22,876 (56.1)</w:t>
            </w:r>
          </w:p>
        </w:tc>
        <w:tc>
          <w:tcPr>
            <w:tcW w:w="524" w:type="pct"/>
            <w:gridSpan w:val="2"/>
            <w:tcBorders>
              <w:left w:val="nil"/>
              <w:right w:val="nil"/>
            </w:tcBorders>
            <w:shd w:val="clear" w:color="auto" w:fill="auto"/>
            <w:vAlign w:val="center"/>
          </w:tcPr>
          <w:p w14:paraId="2505EFB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832 (59.1)</w:t>
            </w:r>
          </w:p>
        </w:tc>
        <w:tc>
          <w:tcPr>
            <w:tcW w:w="523" w:type="pct"/>
            <w:gridSpan w:val="2"/>
            <w:tcBorders>
              <w:left w:val="nil"/>
              <w:right w:val="nil"/>
            </w:tcBorders>
            <w:shd w:val="clear" w:color="auto" w:fill="auto"/>
            <w:vAlign w:val="center"/>
          </w:tcPr>
          <w:p w14:paraId="6FC9F11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3,818 (58.3)</w:t>
            </w:r>
          </w:p>
        </w:tc>
        <w:tc>
          <w:tcPr>
            <w:tcW w:w="524" w:type="pct"/>
            <w:gridSpan w:val="2"/>
            <w:tcBorders>
              <w:left w:val="nil"/>
              <w:right w:val="nil"/>
            </w:tcBorders>
            <w:shd w:val="clear" w:color="auto" w:fill="auto"/>
            <w:vAlign w:val="center"/>
          </w:tcPr>
          <w:p w14:paraId="313295E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824 (58.9)</w:t>
            </w:r>
          </w:p>
        </w:tc>
      </w:tr>
      <w:tr w:rsidR="0074644B" w:rsidRPr="00BB54DF" w14:paraId="11F6A705"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346C6D3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Heparin (n, %)</w:t>
            </w:r>
          </w:p>
        </w:tc>
        <w:tc>
          <w:tcPr>
            <w:tcW w:w="529" w:type="pct"/>
            <w:tcBorders>
              <w:top w:val="nil"/>
              <w:left w:val="single" w:sz="4" w:space="0" w:color="auto"/>
              <w:bottom w:val="nil"/>
              <w:right w:val="nil"/>
            </w:tcBorders>
            <w:shd w:val="clear" w:color="auto" w:fill="auto"/>
            <w:noWrap/>
            <w:vAlign w:val="center"/>
          </w:tcPr>
          <w:p w14:paraId="3EA59D6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432 (0.8)</w:t>
            </w:r>
          </w:p>
        </w:tc>
        <w:tc>
          <w:tcPr>
            <w:tcW w:w="529" w:type="pct"/>
            <w:tcBorders>
              <w:top w:val="nil"/>
              <w:left w:val="nil"/>
              <w:bottom w:val="nil"/>
              <w:right w:val="nil"/>
            </w:tcBorders>
            <w:shd w:val="clear" w:color="auto" w:fill="auto"/>
            <w:noWrap/>
            <w:vAlign w:val="center"/>
          </w:tcPr>
          <w:p w14:paraId="7293955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61 (2.3)</w:t>
            </w:r>
          </w:p>
        </w:tc>
        <w:tc>
          <w:tcPr>
            <w:tcW w:w="530" w:type="pct"/>
            <w:tcBorders>
              <w:top w:val="nil"/>
              <w:left w:val="nil"/>
              <w:bottom w:val="nil"/>
              <w:right w:val="nil"/>
            </w:tcBorders>
            <w:shd w:val="clear" w:color="auto" w:fill="auto"/>
            <w:vAlign w:val="center"/>
          </w:tcPr>
          <w:p w14:paraId="22D5E5A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160 (1.8)</w:t>
            </w:r>
          </w:p>
        </w:tc>
        <w:tc>
          <w:tcPr>
            <w:tcW w:w="530" w:type="pct"/>
            <w:tcBorders>
              <w:top w:val="nil"/>
              <w:left w:val="nil"/>
              <w:bottom w:val="nil"/>
              <w:right w:val="single" w:sz="4" w:space="0" w:color="auto"/>
            </w:tcBorders>
            <w:shd w:val="clear" w:color="auto" w:fill="auto"/>
            <w:vAlign w:val="center"/>
          </w:tcPr>
          <w:p w14:paraId="02D9166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51 (2.1)</w:t>
            </w:r>
          </w:p>
        </w:tc>
        <w:tc>
          <w:tcPr>
            <w:tcW w:w="522" w:type="pct"/>
            <w:tcBorders>
              <w:left w:val="single" w:sz="4" w:space="0" w:color="auto"/>
              <w:right w:val="nil"/>
            </w:tcBorders>
            <w:shd w:val="clear" w:color="auto" w:fill="auto"/>
            <w:vAlign w:val="center"/>
          </w:tcPr>
          <w:p w14:paraId="5D3D779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2,224 (5.5)</w:t>
            </w:r>
          </w:p>
        </w:tc>
        <w:tc>
          <w:tcPr>
            <w:tcW w:w="524" w:type="pct"/>
            <w:gridSpan w:val="2"/>
            <w:tcBorders>
              <w:left w:val="nil"/>
              <w:right w:val="nil"/>
            </w:tcBorders>
            <w:shd w:val="clear" w:color="auto" w:fill="auto"/>
            <w:vAlign w:val="center"/>
          </w:tcPr>
          <w:p w14:paraId="1A218D3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119 (8.5)</w:t>
            </w:r>
          </w:p>
        </w:tc>
        <w:tc>
          <w:tcPr>
            <w:tcW w:w="523" w:type="pct"/>
            <w:gridSpan w:val="2"/>
            <w:tcBorders>
              <w:left w:val="nil"/>
              <w:right w:val="nil"/>
            </w:tcBorders>
            <w:shd w:val="clear" w:color="auto" w:fill="auto"/>
            <w:vAlign w:val="center"/>
          </w:tcPr>
          <w:p w14:paraId="14341C2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521 (8.0)</w:t>
            </w:r>
          </w:p>
        </w:tc>
        <w:tc>
          <w:tcPr>
            <w:tcW w:w="524" w:type="pct"/>
            <w:gridSpan w:val="2"/>
            <w:tcBorders>
              <w:left w:val="nil"/>
              <w:right w:val="nil"/>
            </w:tcBorders>
            <w:shd w:val="clear" w:color="auto" w:fill="auto"/>
            <w:vAlign w:val="center"/>
          </w:tcPr>
          <w:p w14:paraId="2E29BAF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116 (8.3)</w:t>
            </w:r>
          </w:p>
        </w:tc>
      </w:tr>
      <w:tr w:rsidR="0074644B" w:rsidRPr="00BB54DF" w14:paraId="13BBEC44"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3E72260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Aromatase inhibitors (n, %)</w:t>
            </w:r>
          </w:p>
        </w:tc>
        <w:tc>
          <w:tcPr>
            <w:tcW w:w="529" w:type="pct"/>
            <w:tcBorders>
              <w:top w:val="nil"/>
              <w:left w:val="single" w:sz="4" w:space="0" w:color="auto"/>
              <w:bottom w:val="nil"/>
              <w:right w:val="nil"/>
            </w:tcBorders>
            <w:shd w:val="clear" w:color="auto" w:fill="auto"/>
            <w:noWrap/>
            <w:vAlign w:val="center"/>
          </w:tcPr>
          <w:p w14:paraId="3C29079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265 (0.5)</w:t>
            </w:r>
          </w:p>
        </w:tc>
        <w:tc>
          <w:tcPr>
            <w:tcW w:w="529" w:type="pct"/>
            <w:tcBorders>
              <w:top w:val="nil"/>
              <w:left w:val="nil"/>
              <w:bottom w:val="nil"/>
              <w:right w:val="nil"/>
            </w:tcBorders>
            <w:shd w:val="clear" w:color="auto" w:fill="auto"/>
            <w:noWrap/>
            <w:vAlign w:val="center"/>
          </w:tcPr>
          <w:p w14:paraId="0D154F8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58 (2.2)</w:t>
            </w:r>
          </w:p>
        </w:tc>
        <w:tc>
          <w:tcPr>
            <w:tcW w:w="530" w:type="pct"/>
            <w:tcBorders>
              <w:top w:val="nil"/>
              <w:left w:val="nil"/>
              <w:bottom w:val="nil"/>
              <w:right w:val="nil"/>
            </w:tcBorders>
            <w:shd w:val="clear" w:color="auto" w:fill="auto"/>
            <w:vAlign w:val="center"/>
          </w:tcPr>
          <w:p w14:paraId="0597AFF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122 (1.4)</w:t>
            </w:r>
          </w:p>
        </w:tc>
        <w:tc>
          <w:tcPr>
            <w:tcW w:w="530" w:type="pct"/>
            <w:tcBorders>
              <w:top w:val="nil"/>
              <w:left w:val="nil"/>
              <w:bottom w:val="nil"/>
              <w:right w:val="single" w:sz="4" w:space="0" w:color="auto"/>
            </w:tcBorders>
            <w:shd w:val="clear" w:color="auto" w:fill="auto"/>
            <w:vAlign w:val="center"/>
          </w:tcPr>
          <w:p w14:paraId="2745DDF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45 (1.8)</w:t>
            </w:r>
          </w:p>
        </w:tc>
        <w:tc>
          <w:tcPr>
            <w:tcW w:w="522" w:type="pct"/>
            <w:tcBorders>
              <w:left w:val="single" w:sz="4" w:space="0" w:color="auto"/>
              <w:right w:val="nil"/>
            </w:tcBorders>
            <w:shd w:val="clear" w:color="auto" w:fill="auto"/>
            <w:vAlign w:val="center"/>
          </w:tcPr>
          <w:p w14:paraId="3E5FFFC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330 (0.8)</w:t>
            </w:r>
          </w:p>
        </w:tc>
        <w:tc>
          <w:tcPr>
            <w:tcW w:w="524" w:type="pct"/>
            <w:gridSpan w:val="2"/>
            <w:tcBorders>
              <w:left w:val="nil"/>
              <w:right w:val="nil"/>
            </w:tcBorders>
            <w:shd w:val="clear" w:color="auto" w:fill="auto"/>
            <w:vAlign w:val="center"/>
          </w:tcPr>
          <w:p w14:paraId="03E53D7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20 (1.4)</w:t>
            </w:r>
          </w:p>
        </w:tc>
        <w:tc>
          <w:tcPr>
            <w:tcW w:w="523" w:type="pct"/>
            <w:gridSpan w:val="2"/>
            <w:tcBorders>
              <w:left w:val="nil"/>
              <w:right w:val="nil"/>
            </w:tcBorders>
            <w:shd w:val="clear" w:color="auto" w:fill="auto"/>
            <w:vAlign w:val="center"/>
          </w:tcPr>
          <w:p w14:paraId="0C7461A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91 (1.4)</w:t>
            </w:r>
          </w:p>
        </w:tc>
        <w:tc>
          <w:tcPr>
            <w:tcW w:w="524" w:type="pct"/>
            <w:gridSpan w:val="2"/>
            <w:tcBorders>
              <w:left w:val="nil"/>
              <w:right w:val="nil"/>
            </w:tcBorders>
            <w:shd w:val="clear" w:color="auto" w:fill="auto"/>
            <w:vAlign w:val="center"/>
          </w:tcPr>
          <w:p w14:paraId="67D28EC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19 (1.4)</w:t>
            </w:r>
          </w:p>
        </w:tc>
      </w:tr>
      <w:tr w:rsidR="0074644B" w:rsidRPr="00BB54DF" w14:paraId="3DF43FBE"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2B63B83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Non-steroidal anti-inflammatories (n, %)</w:t>
            </w:r>
          </w:p>
        </w:tc>
        <w:tc>
          <w:tcPr>
            <w:tcW w:w="529" w:type="pct"/>
            <w:tcBorders>
              <w:top w:val="nil"/>
              <w:left w:val="single" w:sz="4" w:space="0" w:color="auto"/>
              <w:bottom w:val="nil"/>
              <w:right w:val="nil"/>
            </w:tcBorders>
            <w:shd w:val="clear" w:color="auto" w:fill="auto"/>
            <w:noWrap/>
            <w:vAlign w:val="center"/>
          </w:tcPr>
          <w:p w14:paraId="2B9F8CD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30,095 (55.7)</w:t>
            </w:r>
          </w:p>
        </w:tc>
        <w:tc>
          <w:tcPr>
            <w:tcW w:w="529" w:type="pct"/>
            <w:tcBorders>
              <w:top w:val="nil"/>
              <w:left w:val="nil"/>
              <w:bottom w:val="nil"/>
              <w:right w:val="nil"/>
            </w:tcBorders>
            <w:shd w:val="clear" w:color="auto" w:fill="auto"/>
            <w:noWrap/>
            <w:vAlign w:val="center"/>
          </w:tcPr>
          <w:p w14:paraId="22EC0DE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1,873 (71.7)</w:t>
            </w:r>
          </w:p>
        </w:tc>
        <w:tc>
          <w:tcPr>
            <w:tcW w:w="530" w:type="pct"/>
            <w:tcBorders>
              <w:top w:val="nil"/>
              <w:left w:val="nil"/>
              <w:bottom w:val="nil"/>
              <w:right w:val="nil"/>
            </w:tcBorders>
            <w:shd w:val="clear" w:color="auto" w:fill="auto"/>
            <w:vAlign w:val="center"/>
          </w:tcPr>
          <w:p w14:paraId="54DDDD9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5862 (65.6)</w:t>
            </w:r>
          </w:p>
        </w:tc>
        <w:tc>
          <w:tcPr>
            <w:tcW w:w="530" w:type="pct"/>
            <w:tcBorders>
              <w:top w:val="nil"/>
              <w:left w:val="nil"/>
              <w:bottom w:val="nil"/>
              <w:right w:val="single" w:sz="4" w:space="0" w:color="auto"/>
            </w:tcBorders>
            <w:shd w:val="clear" w:color="auto" w:fill="auto"/>
            <w:vAlign w:val="center"/>
          </w:tcPr>
          <w:p w14:paraId="5E8AA3B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1737 (71.0)</w:t>
            </w:r>
          </w:p>
        </w:tc>
        <w:tc>
          <w:tcPr>
            <w:tcW w:w="522" w:type="pct"/>
            <w:tcBorders>
              <w:left w:val="single" w:sz="4" w:space="0" w:color="auto"/>
              <w:right w:val="nil"/>
            </w:tcBorders>
            <w:shd w:val="clear" w:color="auto" w:fill="auto"/>
            <w:vAlign w:val="center"/>
          </w:tcPr>
          <w:p w14:paraId="07B6EC9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15,187 (37.2)</w:t>
            </w:r>
          </w:p>
        </w:tc>
        <w:tc>
          <w:tcPr>
            <w:tcW w:w="524" w:type="pct"/>
            <w:gridSpan w:val="2"/>
            <w:tcBorders>
              <w:left w:val="nil"/>
              <w:right w:val="nil"/>
            </w:tcBorders>
            <w:shd w:val="clear" w:color="auto" w:fill="auto"/>
            <w:vAlign w:val="center"/>
          </w:tcPr>
          <w:p w14:paraId="0F9DFE5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714 (50.7)</w:t>
            </w:r>
          </w:p>
        </w:tc>
        <w:tc>
          <w:tcPr>
            <w:tcW w:w="523" w:type="pct"/>
            <w:gridSpan w:val="2"/>
            <w:tcBorders>
              <w:left w:val="nil"/>
              <w:right w:val="nil"/>
            </w:tcBorders>
            <w:shd w:val="clear" w:color="auto" w:fill="auto"/>
            <w:vAlign w:val="center"/>
          </w:tcPr>
          <w:p w14:paraId="3B32577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3,116 (47.6)</w:t>
            </w:r>
          </w:p>
        </w:tc>
        <w:tc>
          <w:tcPr>
            <w:tcW w:w="524" w:type="pct"/>
            <w:gridSpan w:val="2"/>
            <w:tcBorders>
              <w:left w:val="nil"/>
              <w:right w:val="nil"/>
            </w:tcBorders>
            <w:shd w:val="clear" w:color="auto" w:fill="auto"/>
            <w:vAlign w:val="center"/>
          </w:tcPr>
          <w:p w14:paraId="1553767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707 (50.5)</w:t>
            </w:r>
          </w:p>
        </w:tc>
      </w:tr>
      <w:tr w:rsidR="0074644B" w:rsidRPr="00BB54DF" w14:paraId="49F0B1CA"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5E3E42A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Proton pump inhibitors (n, %)</w:t>
            </w:r>
          </w:p>
        </w:tc>
        <w:tc>
          <w:tcPr>
            <w:tcW w:w="529" w:type="pct"/>
            <w:tcBorders>
              <w:top w:val="nil"/>
              <w:left w:val="single" w:sz="4" w:space="0" w:color="auto"/>
              <w:bottom w:val="nil"/>
              <w:right w:val="nil"/>
            </w:tcBorders>
            <w:shd w:val="clear" w:color="auto" w:fill="auto"/>
            <w:noWrap/>
            <w:vAlign w:val="center"/>
          </w:tcPr>
          <w:p w14:paraId="1590BAD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19,596 (36.3)</w:t>
            </w:r>
          </w:p>
        </w:tc>
        <w:tc>
          <w:tcPr>
            <w:tcW w:w="529" w:type="pct"/>
            <w:tcBorders>
              <w:top w:val="nil"/>
              <w:left w:val="nil"/>
              <w:bottom w:val="nil"/>
              <w:right w:val="nil"/>
            </w:tcBorders>
            <w:shd w:val="clear" w:color="auto" w:fill="auto"/>
            <w:noWrap/>
            <w:vAlign w:val="center"/>
          </w:tcPr>
          <w:p w14:paraId="6C5CBBB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1,593 (61.0)</w:t>
            </w:r>
          </w:p>
        </w:tc>
        <w:tc>
          <w:tcPr>
            <w:tcW w:w="530" w:type="pct"/>
            <w:tcBorders>
              <w:top w:val="nil"/>
              <w:left w:val="nil"/>
              <w:bottom w:val="nil"/>
              <w:right w:val="nil"/>
            </w:tcBorders>
            <w:shd w:val="clear" w:color="auto" w:fill="auto"/>
            <w:vAlign w:val="center"/>
          </w:tcPr>
          <w:p w14:paraId="3C99839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4795 (53.7)</w:t>
            </w:r>
          </w:p>
        </w:tc>
        <w:tc>
          <w:tcPr>
            <w:tcW w:w="530" w:type="pct"/>
            <w:tcBorders>
              <w:top w:val="nil"/>
              <w:left w:val="nil"/>
              <w:bottom w:val="nil"/>
              <w:right w:val="single" w:sz="4" w:space="0" w:color="auto"/>
            </w:tcBorders>
            <w:shd w:val="clear" w:color="auto" w:fill="auto"/>
            <w:vAlign w:val="center"/>
          </w:tcPr>
          <w:p w14:paraId="685A0F4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1465 (59.9)</w:t>
            </w:r>
          </w:p>
        </w:tc>
        <w:tc>
          <w:tcPr>
            <w:tcW w:w="522" w:type="pct"/>
            <w:tcBorders>
              <w:left w:val="single" w:sz="4" w:space="0" w:color="auto"/>
              <w:right w:val="nil"/>
            </w:tcBorders>
            <w:shd w:val="clear" w:color="auto" w:fill="auto"/>
            <w:vAlign w:val="center"/>
          </w:tcPr>
          <w:p w14:paraId="6209AF7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26,547 (65.1)</w:t>
            </w:r>
          </w:p>
        </w:tc>
        <w:tc>
          <w:tcPr>
            <w:tcW w:w="524" w:type="pct"/>
            <w:gridSpan w:val="2"/>
            <w:tcBorders>
              <w:left w:val="nil"/>
              <w:right w:val="nil"/>
            </w:tcBorders>
            <w:shd w:val="clear" w:color="auto" w:fill="auto"/>
            <w:vAlign w:val="center"/>
          </w:tcPr>
          <w:p w14:paraId="289D9F2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1,114 (79.1)</w:t>
            </w:r>
          </w:p>
        </w:tc>
        <w:tc>
          <w:tcPr>
            <w:tcW w:w="523" w:type="pct"/>
            <w:gridSpan w:val="2"/>
            <w:tcBorders>
              <w:left w:val="nil"/>
              <w:right w:val="nil"/>
            </w:tcBorders>
            <w:shd w:val="clear" w:color="auto" w:fill="auto"/>
            <w:vAlign w:val="center"/>
          </w:tcPr>
          <w:p w14:paraId="41EE9D9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5,018 (76.6)</w:t>
            </w:r>
          </w:p>
        </w:tc>
        <w:tc>
          <w:tcPr>
            <w:tcW w:w="524" w:type="pct"/>
            <w:gridSpan w:val="2"/>
            <w:tcBorders>
              <w:left w:val="nil"/>
              <w:right w:val="nil"/>
            </w:tcBorders>
            <w:shd w:val="clear" w:color="auto" w:fill="auto"/>
            <w:vAlign w:val="center"/>
          </w:tcPr>
          <w:p w14:paraId="7A20733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1,105 (79.0)</w:t>
            </w:r>
          </w:p>
        </w:tc>
      </w:tr>
      <w:tr w:rsidR="0074644B" w:rsidRPr="00BB54DF" w14:paraId="7ECBA94D"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31E15DD6" w14:textId="77777777" w:rsidR="0074644B" w:rsidRPr="00BB54DF" w:rsidRDefault="0074644B" w:rsidP="007340D2">
            <w:pPr>
              <w:spacing w:after="0"/>
              <w:jc w:val="center"/>
              <w:rPr>
                <w:rFonts w:ascii="Times New Roman" w:hAnsi="Times New Roman"/>
                <w:sz w:val="16"/>
                <w:szCs w:val="16"/>
                <w:lang w:eastAsia="en-GB"/>
              </w:rPr>
            </w:pPr>
            <w:proofErr w:type="spellStart"/>
            <w:r w:rsidRPr="00BB54DF">
              <w:rPr>
                <w:rFonts w:ascii="Times New Roman" w:hAnsi="Times New Roman"/>
                <w:sz w:val="16"/>
                <w:szCs w:val="16"/>
                <w:lang w:eastAsia="en-GB"/>
              </w:rPr>
              <w:t>Anxiols</w:t>
            </w:r>
            <w:proofErr w:type="spellEnd"/>
            <w:r w:rsidRPr="00BB54DF">
              <w:rPr>
                <w:rFonts w:ascii="Times New Roman" w:hAnsi="Times New Roman"/>
                <w:sz w:val="16"/>
                <w:szCs w:val="16"/>
                <w:lang w:eastAsia="en-GB"/>
              </w:rPr>
              <w:t xml:space="preserve"> / sedatives / hypnotics (n, %)</w:t>
            </w:r>
          </w:p>
        </w:tc>
        <w:tc>
          <w:tcPr>
            <w:tcW w:w="529" w:type="pct"/>
            <w:tcBorders>
              <w:top w:val="nil"/>
              <w:left w:val="single" w:sz="4" w:space="0" w:color="auto"/>
              <w:bottom w:val="nil"/>
              <w:right w:val="nil"/>
            </w:tcBorders>
            <w:shd w:val="clear" w:color="auto" w:fill="auto"/>
            <w:noWrap/>
            <w:vAlign w:val="center"/>
          </w:tcPr>
          <w:p w14:paraId="2DD9B13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10,488 (19.4)</w:t>
            </w:r>
          </w:p>
        </w:tc>
        <w:tc>
          <w:tcPr>
            <w:tcW w:w="529" w:type="pct"/>
            <w:tcBorders>
              <w:top w:val="nil"/>
              <w:left w:val="nil"/>
              <w:bottom w:val="nil"/>
              <w:right w:val="nil"/>
            </w:tcBorders>
            <w:shd w:val="clear" w:color="auto" w:fill="auto"/>
            <w:noWrap/>
            <w:vAlign w:val="center"/>
          </w:tcPr>
          <w:p w14:paraId="13702FA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726 (27.8)</w:t>
            </w:r>
          </w:p>
        </w:tc>
        <w:tc>
          <w:tcPr>
            <w:tcW w:w="530" w:type="pct"/>
            <w:tcBorders>
              <w:top w:val="nil"/>
              <w:left w:val="nil"/>
              <w:bottom w:val="nil"/>
              <w:right w:val="nil"/>
            </w:tcBorders>
            <w:shd w:val="clear" w:color="auto" w:fill="auto"/>
            <w:vAlign w:val="center"/>
          </w:tcPr>
          <w:p w14:paraId="51DFB9C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2429 (27.2)</w:t>
            </w:r>
          </w:p>
        </w:tc>
        <w:tc>
          <w:tcPr>
            <w:tcW w:w="530" w:type="pct"/>
            <w:tcBorders>
              <w:top w:val="nil"/>
              <w:left w:val="nil"/>
              <w:bottom w:val="nil"/>
              <w:right w:val="single" w:sz="4" w:space="0" w:color="auto"/>
            </w:tcBorders>
            <w:shd w:val="clear" w:color="auto" w:fill="auto"/>
            <w:vAlign w:val="center"/>
          </w:tcPr>
          <w:p w14:paraId="0EE7116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668 (27.3)</w:t>
            </w:r>
          </w:p>
        </w:tc>
        <w:tc>
          <w:tcPr>
            <w:tcW w:w="522" w:type="pct"/>
            <w:tcBorders>
              <w:left w:val="single" w:sz="4" w:space="0" w:color="auto"/>
              <w:right w:val="nil"/>
            </w:tcBorders>
            <w:shd w:val="clear" w:color="auto" w:fill="auto"/>
            <w:vAlign w:val="center"/>
          </w:tcPr>
          <w:p w14:paraId="5192D3B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NA</w:t>
            </w:r>
          </w:p>
        </w:tc>
        <w:tc>
          <w:tcPr>
            <w:tcW w:w="524" w:type="pct"/>
            <w:gridSpan w:val="2"/>
            <w:tcBorders>
              <w:left w:val="nil"/>
              <w:right w:val="nil"/>
            </w:tcBorders>
            <w:shd w:val="clear" w:color="auto" w:fill="auto"/>
            <w:vAlign w:val="center"/>
          </w:tcPr>
          <w:p w14:paraId="08D1CC2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NA</w:t>
            </w:r>
          </w:p>
        </w:tc>
        <w:tc>
          <w:tcPr>
            <w:tcW w:w="523" w:type="pct"/>
            <w:gridSpan w:val="2"/>
            <w:tcBorders>
              <w:left w:val="nil"/>
              <w:right w:val="nil"/>
            </w:tcBorders>
            <w:shd w:val="clear" w:color="auto" w:fill="auto"/>
            <w:vAlign w:val="center"/>
          </w:tcPr>
          <w:p w14:paraId="7391F3D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NA</w:t>
            </w:r>
          </w:p>
        </w:tc>
        <w:tc>
          <w:tcPr>
            <w:tcW w:w="524" w:type="pct"/>
            <w:gridSpan w:val="2"/>
            <w:tcBorders>
              <w:left w:val="nil"/>
              <w:right w:val="nil"/>
            </w:tcBorders>
            <w:shd w:val="clear" w:color="auto" w:fill="auto"/>
            <w:vAlign w:val="center"/>
          </w:tcPr>
          <w:p w14:paraId="4144931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NA</w:t>
            </w:r>
          </w:p>
        </w:tc>
      </w:tr>
      <w:tr w:rsidR="0074644B" w:rsidRPr="00BB54DF" w14:paraId="57382721"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662AE7E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Antidepressants (n, %)</w:t>
            </w:r>
          </w:p>
        </w:tc>
        <w:tc>
          <w:tcPr>
            <w:tcW w:w="529" w:type="pct"/>
            <w:tcBorders>
              <w:top w:val="nil"/>
              <w:left w:val="single" w:sz="4" w:space="0" w:color="auto"/>
              <w:bottom w:val="nil"/>
              <w:right w:val="nil"/>
            </w:tcBorders>
            <w:shd w:val="clear" w:color="auto" w:fill="auto"/>
            <w:noWrap/>
            <w:vAlign w:val="center"/>
          </w:tcPr>
          <w:p w14:paraId="170F8FB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14,578 (27.0)</w:t>
            </w:r>
          </w:p>
        </w:tc>
        <w:tc>
          <w:tcPr>
            <w:tcW w:w="529" w:type="pct"/>
            <w:tcBorders>
              <w:top w:val="nil"/>
              <w:left w:val="nil"/>
              <w:bottom w:val="nil"/>
              <w:right w:val="nil"/>
            </w:tcBorders>
            <w:shd w:val="clear" w:color="auto" w:fill="auto"/>
            <w:noWrap/>
            <w:vAlign w:val="center"/>
          </w:tcPr>
          <w:p w14:paraId="4B09308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1,118 (42.8)</w:t>
            </w:r>
          </w:p>
        </w:tc>
        <w:tc>
          <w:tcPr>
            <w:tcW w:w="530" w:type="pct"/>
            <w:tcBorders>
              <w:top w:val="nil"/>
              <w:left w:val="nil"/>
              <w:bottom w:val="nil"/>
              <w:right w:val="nil"/>
            </w:tcBorders>
            <w:shd w:val="clear" w:color="auto" w:fill="auto"/>
            <w:vAlign w:val="center"/>
          </w:tcPr>
          <w:p w14:paraId="3A987F9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3386 (37.9)</w:t>
            </w:r>
          </w:p>
        </w:tc>
        <w:tc>
          <w:tcPr>
            <w:tcW w:w="530" w:type="pct"/>
            <w:tcBorders>
              <w:top w:val="nil"/>
              <w:left w:val="nil"/>
              <w:bottom w:val="nil"/>
              <w:right w:val="single" w:sz="4" w:space="0" w:color="auto"/>
            </w:tcBorders>
            <w:shd w:val="clear" w:color="auto" w:fill="auto"/>
            <w:vAlign w:val="center"/>
          </w:tcPr>
          <w:p w14:paraId="0763B30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1032 (42.2)</w:t>
            </w:r>
          </w:p>
        </w:tc>
        <w:tc>
          <w:tcPr>
            <w:tcW w:w="522" w:type="pct"/>
            <w:tcBorders>
              <w:left w:val="single" w:sz="4" w:space="0" w:color="auto"/>
              <w:right w:val="nil"/>
            </w:tcBorders>
            <w:shd w:val="clear" w:color="auto" w:fill="auto"/>
            <w:vAlign w:val="center"/>
          </w:tcPr>
          <w:p w14:paraId="16D8C27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7,268 (17.8)</w:t>
            </w:r>
          </w:p>
        </w:tc>
        <w:tc>
          <w:tcPr>
            <w:tcW w:w="524" w:type="pct"/>
            <w:gridSpan w:val="2"/>
            <w:tcBorders>
              <w:left w:val="nil"/>
              <w:right w:val="nil"/>
            </w:tcBorders>
            <w:shd w:val="clear" w:color="auto" w:fill="auto"/>
            <w:vAlign w:val="center"/>
          </w:tcPr>
          <w:p w14:paraId="14A9AA7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349 (24.8)</w:t>
            </w:r>
          </w:p>
        </w:tc>
        <w:tc>
          <w:tcPr>
            <w:tcW w:w="523" w:type="pct"/>
            <w:gridSpan w:val="2"/>
            <w:tcBorders>
              <w:left w:val="nil"/>
              <w:right w:val="nil"/>
            </w:tcBorders>
            <w:shd w:val="clear" w:color="auto" w:fill="auto"/>
            <w:vAlign w:val="center"/>
          </w:tcPr>
          <w:p w14:paraId="4BFDA9D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1,530 (23.4)</w:t>
            </w:r>
          </w:p>
        </w:tc>
        <w:tc>
          <w:tcPr>
            <w:tcW w:w="524" w:type="pct"/>
            <w:gridSpan w:val="2"/>
            <w:tcBorders>
              <w:left w:val="nil"/>
              <w:right w:val="nil"/>
            </w:tcBorders>
            <w:shd w:val="clear" w:color="auto" w:fill="auto"/>
            <w:vAlign w:val="center"/>
          </w:tcPr>
          <w:p w14:paraId="5D6A6F2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346 (24.7)</w:t>
            </w:r>
          </w:p>
        </w:tc>
      </w:tr>
      <w:tr w:rsidR="0074644B" w:rsidRPr="00BB54DF" w14:paraId="2F13C6A4"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2041FAA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Statins (n, %)</w:t>
            </w:r>
          </w:p>
        </w:tc>
        <w:tc>
          <w:tcPr>
            <w:tcW w:w="529" w:type="pct"/>
            <w:tcBorders>
              <w:top w:val="nil"/>
              <w:left w:val="single" w:sz="4" w:space="0" w:color="auto"/>
              <w:bottom w:val="nil"/>
              <w:right w:val="nil"/>
            </w:tcBorders>
            <w:shd w:val="clear" w:color="auto" w:fill="auto"/>
            <w:noWrap/>
            <w:vAlign w:val="center"/>
          </w:tcPr>
          <w:p w14:paraId="1E398E1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21,548 (39.9)</w:t>
            </w:r>
          </w:p>
        </w:tc>
        <w:tc>
          <w:tcPr>
            <w:tcW w:w="529" w:type="pct"/>
            <w:tcBorders>
              <w:top w:val="nil"/>
              <w:left w:val="nil"/>
              <w:bottom w:val="nil"/>
              <w:right w:val="nil"/>
            </w:tcBorders>
            <w:shd w:val="clear" w:color="auto" w:fill="auto"/>
            <w:noWrap/>
            <w:vAlign w:val="center"/>
          </w:tcPr>
          <w:p w14:paraId="210CF5C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1,402 (53.7)</w:t>
            </w:r>
          </w:p>
        </w:tc>
        <w:tc>
          <w:tcPr>
            <w:tcW w:w="530" w:type="pct"/>
            <w:tcBorders>
              <w:top w:val="nil"/>
              <w:left w:val="nil"/>
              <w:bottom w:val="nil"/>
              <w:right w:val="nil"/>
            </w:tcBorders>
            <w:shd w:val="clear" w:color="auto" w:fill="auto"/>
            <w:vAlign w:val="center"/>
          </w:tcPr>
          <w:p w14:paraId="093CA81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4368 (48.9)</w:t>
            </w:r>
          </w:p>
        </w:tc>
        <w:tc>
          <w:tcPr>
            <w:tcW w:w="530" w:type="pct"/>
            <w:tcBorders>
              <w:top w:val="nil"/>
              <w:left w:val="nil"/>
              <w:bottom w:val="nil"/>
              <w:right w:val="single" w:sz="4" w:space="0" w:color="auto"/>
            </w:tcBorders>
            <w:shd w:val="clear" w:color="auto" w:fill="auto"/>
            <w:vAlign w:val="center"/>
          </w:tcPr>
          <w:p w14:paraId="7709059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1293 (52.8)</w:t>
            </w:r>
          </w:p>
        </w:tc>
        <w:tc>
          <w:tcPr>
            <w:tcW w:w="522" w:type="pct"/>
            <w:tcBorders>
              <w:left w:val="single" w:sz="4" w:space="0" w:color="auto"/>
              <w:bottom w:val="nil"/>
              <w:right w:val="nil"/>
            </w:tcBorders>
            <w:shd w:val="clear" w:color="auto" w:fill="auto"/>
            <w:vAlign w:val="center"/>
          </w:tcPr>
          <w:p w14:paraId="30287B8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17,835 (43.7)</w:t>
            </w:r>
          </w:p>
        </w:tc>
        <w:tc>
          <w:tcPr>
            <w:tcW w:w="524" w:type="pct"/>
            <w:gridSpan w:val="2"/>
            <w:tcBorders>
              <w:left w:val="nil"/>
              <w:bottom w:val="nil"/>
              <w:right w:val="nil"/>
            </w:tcBorders>
            <w:shd w:val="clear" w:color="auto" w:fill="auto"/>
            <w:vAlign w:val="center"/>
          </w:tcPr>
          <w:p w14:paraId="1C16AAE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644 (45.7)</w:t>
            </w:r>
          </w:p>
        </w:tc>
        <w:tc>
          <w:tcPr>
            <w:tcW w:w="523" w:type="pct"/>
            <w:gridSpan w:val="2"/>
            <w:tcBorders>
              <w:left w:val="nil"/>
              <w:right w:val="nil"/>
            </w:tcBorders>
            <w:shd w:val="clear" w:color="auto" w:fill="auto"/>
            <w:vAlign w:val="center"/>
          </w:tcPr>
          <w:p w14:paraId="2CA72BB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2,949 (45.0)</w:t>
            </w:r>
          </w:p>
        </w:tc>
        <w:tc>
          <w:tcPr>
            <w:tcW w:w="524" w:type="pct"/>
            <w:gridSpan w:val="2"/>
            <w:tcBorders>
              <w:left w:val="nil"/>
              <w:right w:val="nil"/>
            </w:tcBorders>
            <w:shd w:val="clear" w:color="auto" w:fill="auto"/>
            <w:vAlign w:val="center"/>
          </w:tcPr>
          <w:p w14:paraId="2446115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642 (45.9)</w:t>
            </w:r>
          </w:p>
        </w:tc>
      </w:tr>
      <w:tr w:rsidR="0074644B" w:rsidRPr="00BB54DF" w14:paraId="2498C88C"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24B8567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Calcium channel blockers (n, %)</w:t>
            </w:r>
          </w:p>
        </w:tc>
        <w:tc>
          <w:tcPr>
            <w:tcW w:w="529" w:type="pct"/>
            <w:tcBorders>
              <w:top w:val="nil"/>
              <w:left w:val="single" w:sz="4" w:space="0" w:color="auto"/>
              <w:bottom w:val="nil"/>
              <w:right w:val="nil"/>
            </w:tcBorders>
            <w:shd w:val="clear" w:color="auto" w:fill="auto"/>
            <w:noWrap/>
            <w:vAlign w:val="center"/>
          </w:tcPr>
          <w:p w14:paraId="4EDA321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23,668 (43.8)</w:t>
            </w:r>
          </w:p>
        </w:tc>
        <w:tc>
          <w:tcPr>
            <w:tcW w:w="529" w:type="pct"/>
            <w:tcBorders>
              <w:top w:val="nil"/>
              <w:left w:val="nil"/>
              <w:bottom w:val="nil"/>
              <w:right w:val="nil"/>
            </w:tcBorders>
            <w:shd w:val="clear" w:color="auto" w:fill="auto"/>
            <w:noWrap/>
            <w:vAlign w:val="center"/>
          </w:tcPr>
          <w:p w14:paraId="23C0061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1,507 (57.7)</w:t>
            </w:r>
          </w:p>
        </w:tc>
        <w:tc>
          <w:tcPr>
            <w:tcW w:w="530" w:type="pct"/>
            <w:tcBorders>
              <w:top w:val="nil"/>
              <w:left w:val="nil"/>
              <w:bottom w:val="nil"/>
              <w:right w:val="nil"/>
            </w:tcBorders>
            <w:shd w:val="clear" w:color="auto" w:fill="auto"/>
            <w:vAlign w:val="center"/>
          </w:tcPr>
          <w:p w14:paraId="18B6EF4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4683 (52.4)</w:t>
            </w:r>
          </w:p>
        </w:tc>
        <w:tc>
          <w:tcPr>
            <w:tcW w:w="530" w:type="pct"/>
            <w:tcBorders>
              <w:top w:val="nil"/>
              <w:left w:val="nil"/>
              <w:bottom w:val="nil"/>
              <w:right w:val="single" w:sz="4" w:space="0" w:color="auto"/>
            </w:tcBorders>
            <w:shd w:val="clear" w:color="auto" w:fill="auto"/>
            <w:vAlign w:val="center"/>
          </w:tcPr>
          <w:p w14:paraId="3D0777B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1392 (56.9)</w:t>
            </w:r>
          </w:p>
        </w:tc>
        <w:tc>
          <w:tcPr>
            <w:tcW w:w="522" w:type="pct"/>
            <w:tcBorders>
              <w:left w:val="single" w:sz="4" w:space="0" w:color="auto"/>
              <w:right w:val="nil"/>
            </w:tcBorders>
            <w:shd w:val="clear" w:color="auto" w:fill="auto"/>
            <w:vAlign w:val="center"/>
          </w:tcPr>
          <w:p w14:paraId="6287EB3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370 (0.9)</w:t>
            </w:r>
          </w:p>
        </w:tc>
        <w:tc>
          <w:tcPr>
            <w:tcW w:w="524" w:type="pct"/>
            <w:gridSpan w:val="2"/>
            <w:tcBorders>
              <w:left w:val="nil"/>
              <w:right w:val="nil"/>
            </w:tcBorders>
            <w:shd w:val="clear" w:color="auto" w:fill="auto"/>
            <w:vAlign w:val="center"/>
          </w:tcPr>
          <w:p w14:paraId="13585B8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6 (0.4)</w:t>
            </w:r>
          </w:p>
        </w:tc>
        <w:tc>
          <w:tcPr>
            <w:tcW w:w="523" w:type="pct"/>
            <w:gridSpan w:val="2"/>
            <w:tcBorders>
              <w:left w:val="nil"/>
              <w:right w:val="nil"/>
            </w:tcBorders>
            <w:shd w:val="clear" w:color="auto" w:fill="auto"/>
            <w:vAlign w:val="center"/>
          </w:tcPr>
          <w:p w14:paraId="3FBB1D4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32 (0.5)</w:t>
            </w:r>
          </w:p>
        </w:tc>
        <w:tc>
          <w:tcPr>
            <w:tcW w:w="524" w:type="pct"/>
            <w:gridSpan w:val="2"/>
            <w:tcBorders>
              <w:left w:val="nil"/>
              <w:right w:val="nil"/>
            </w:tcBorders>
            <w:shd w:val="clear" w:color="auto" w:fill="auto"/>
            <w:vAlign w:val="center"/>
          </w:tcPr>
          <w:p w14:paraId="085E4C1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6 (0.4)</w:t>
            </w:r>
          </w:p>
        </w:tc>
      </w:tr>
      <w:tr w:rsidR="0074644B" w:rsidRPr="00BB54DF" w14:paraId="6DD9A6D3"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1452685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ACE inhibitors (n, %)</w:t>
            </w:r>
          </w:p>
        </w:tc>
        <w:tc>
          <w:tcPr>
            <w:tcW w:w="529" w:type="pct"/>
            <w:tcBorders>
              <w:top w:val="nil"/>
              <w:left w:val="single" w:sz="4" w:space="0" w:color="auto"/>
              <w:bottom w:val="nil"/>
              <w:right w:val="nil"/>
            </w:tcBorders>
            <w:shd w:val="clear" w:color="auto" w:fill="auto"/>
            <w:noWrap/>
            <w:vAlign w:val="center"/>
          </w:tcPr>
          <w:p w14:paraId="3878D3E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32,246 (59.7)</w:t>
            </w:r>
          </w:p>
        </w:tc>
        <w:tc>
          <w:tcPr>
            <w:tcW w:w="529" w:type="pct"/>
            <w:tcBorders>
              <w:top w:val="nil"/>
              <w:left w:val="nil"/>
              <w:bottom w:val="nil"/>
              <w:right w:val="nil"/>
            </w:tcBorders>
            <w:shd w:val="clear" w:color="auto" w:fill="auto"/>
            <w:noWrap/>
            <w:vAlign w:val="center"/>
          </w:tcPr>
          <w:p w14:paraId="0E651A2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1,907 (73.0)</w:t>
            </w:r>
          </w:p>
        </w:tc>
        <w:tc>
          <w:tcPr>
            <w:tcW w:w="530" w:type="pct"/>
            <w:tcBorders>
              <w:top w:val="nil"/>
              <w:left w:val="nil"/>
              <w:bottom w:val="nil"/>
              <w:right w:val="nil"/>
            </w:tcBorders>
            <w:shd w:val="clear" w:color="auto" w:fill="auto"/>
            <w:vAlign w:val="center"/>
          </w:tcPr>
          <w:p w14:paraId="57A94BF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6142 (68.8)</w:t>
            </w:r>
          </w:p>
        </w:tc>
        <w:tc>
          <w:tcPr>
            <w:tcW w:w="530" w:type="pct"/>
            <w:tcBorders>
              <w:top w:val="nil"/>
              <w:left w:val="nil"/>
              <w:bottom w:val="nil"/>
              <w:right w:val="single" w:sz="4" w:space="0" w:color="auto"/>
            </w:tcBorders>
            <w:shd w:val="clear" w:color="auto" w:fill="auto"/>
            <w:vAlign w:val="center"/>
          </w:tcPr>
          <w:p w14:paraId="14D34D7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1773 (72.5)</w:t>
            </w:r>
          </w:p>
        </w:tc>
        <w:tc>
          <w:tcPr>
            <w:tcW w:w="522" w:type="pct"/>
            <w:tcBorders>
              <w:left w:val="single" w:sz="4" w:space="0" w:color="auto"/>
              <w:right w:val="nil"/>
            </w:tcBorders>
            <w:shd w:val="clear" w:color="auto" w:fill="auto"/>
            <w:vAlign w:val="center"/>
          </w:tcPr>
          <w:p w14:paraId="094FC42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18774 (46.0)</w:t>
            </w:r>
          </w:p>
        </w:tc>
        <w:tc>
          <w:tcPr>
            <w:tcW w:w="524" w:type="pct"/>
            <w:gridSpan w:val="2"/>
            <w:tcBorders>
              <w:left w:val="nil"/>
              <w:right w:val="nil"/>
            </w:tcBorders>
            <w:shd w:val="clear" w:color="auto" w:fill="auto"/>
            <w:vAlign w:val="center"/>
          </w:tcPr>
          <w:p w14:paraId="54257BB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572 (40.6)</w:t>
            </w:r>
          </w:p>
        </w:tc>
        <w:tc>
          <w:tcPr>
            <w:tcW w:w="523" w:type="pct"/>
            <w:gridSpan w:val="2"/>
            <w:vMerge w:val="restart"/>
            <w:tcBorders>
              <w:left w:val="nil"/>
              <w:right w:val="nil"/>
            </w:tcBorders>
            <w:shd w:val="clear" w:color="auto" w:fill="auto"/>
            <w:vAlign w:val="center"/>
          </w:tcPr>
          <w:p w14:paraId="3D07EA0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2,714 (41.5)</w:t>
            </w:r>
          </w:p>
          <w:p w14:paraId="73A90FF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lastRenderedPageBreak/>
              <w:t>720 (11.0)</w:t>
            </w:r>
          </w:p>
        </w:tc>
        <w:tc>
          <w:tcPr>
            <w:tcW w:w="524" w:type="pct"/>
            <w:gridSpan w:val="2"/>
            <w:vMerge w:val="restart"/>
            <w:tcBorders>
              <w:left w:val="nil"/>
              <w:right w:val="nil"/>
            </w:tcBorders>
            <w:shd w:val="clear" w:color="auto" w:fill="auto"/>
            <w:vAlign w:val="center"/>
          </w:tcPr>
          <w:p w14:paraId="37D73EC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lastRenderedPageBreak/>
              <w:t>568 (40.6)</w:t>
            </w:r>
          </w:p>
          <w:p w14:paraId="578FC7BC" w14:textId="77777777" w:rsidR="0074644B" w:rsidRPr="00BB54DF" w:rsidRDefault="0074644B" w:rsidP="007340D2">
            <w:pPr>
              <w:spacing w:after="0"/>
              <w:jc w:val="center"/>
              <w:rPr>
                <w:rFonts w:ascii="Times New Roman" w:hAnsi="Times New Roman"/>
                <w:sz w:val="16"/>
                <w:szCs w:val="16"/>
                <w:lang w:eastAsia="en-GB"/>
              </w:rPr>
            </w:pPr>
          </w:p>
          <w:p w14:paraId="41EE4BA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163 (11.7)</w:t>
            </w:r>
          </w:p>
        </w:tc>
      </w:tr>
      <w:tr w:rsidR="0074644B" w:rsidRPr="00BB54DF" w14:paraId="7B6DC927"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51E1E656"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lastRenderedPageBreak/>
              <w:t>Antiepileptics (n, %)</w:t>
            </w:r>
          </w:p>
        </w:tc>
        <w:tc>
          <w:tcPr>
            <w:tcW w:w="529" w:type="pct"/>
            <w:tcBorders>
              <w:top w:val="nil"/>
              <w:left w:val="single" w:sz="4" w:space="0" w:color="auto"/>
              <w:bottom w:val="nil"/>
              <w:right w:val="nil"/>
            </w:tcBorders>
            <w:shd w:val="clear" w:color="auto" w:fill="auto"/>
            <w:noWrap/>
            <w:vAlign w:val="center"/>
          </w:tcPr>
          <w:p w14:paraId="624E4A7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2,251 (4.2)</w:t>
            </w:r>
          </w:p>
        </w:tc>
        <w:tc>
          <w:tcPr>
            <w:tcW w:w="529" w:type="pct"/>
            <w:tcBorders>
              <w:top w:val="nil"/>
              <w:left w:val="nil"/>
              <w:bottom w:val="nil"/>
              <w:right w:val="nil"/>
            </w:tcBorders>
            <w:shd w:val="clear" w:color="auto" w:fill="auto"/>
            <w:noWrap/>
            <w:vAlign w:val="center"/>
          </w:tcPr>
          <w:p w14:paraId="708C375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207 (7.9)</w:t>
            </w:r>
          </w:p>
        </w:tc>
        <w:tc>
          <w:tcPr>
            <w:tcW w:w="530" w:type="pct"/>
            <w:tcBorders>
              <w:top w:val="nil"/>
              <w:left w:val="nil"/>
              <w:bottom w:val="nil"/>
              <w:right w:val="nil"/>
            </w:tcBorders>
            <w:shd w:val="clear" w:color="auto" w:fill="auto"/>
            <w:vAlign w:val="center"/>
          </w:tcPr>
          <w:p w14:paraId="4E33B23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631 (7.1)</w:t>
            </w:r>
          </w:p>
        </w:tc>
        <w:tc>
          <w:tcPr>
            <w:tcW w:w="530" w:type="pct"/>
            <w:tcBorders>
              <w:top w:val="nil"/>
              <w:left w:val="nil"/>
              <w:bottom w:val="nil"/>
              <w:right w:val="single" w:sz="4" w:space="0" w:color="auto"/>
            </w:tcBorders>
            <w:shd w:val="clear" w:color="auto" w:fill="auto"/>
            <w:vAlign w:val="center"/>
          </w:tcPr>
          <w:p w14:paraId="3049997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192 (7.8)</w:t>
            </w:r>
          </w:p>
        </w:tc>
        <w:tc>
          <w:tcPr>
            <w:tcW w:w="522" w:type="pct"/>
            <w:tcBorders>
              <w:left w:val="single" w:sz="4" w:space="0" w:color="auto"/>
              <w:right w:val="nil"/>
            </w:tcBorders>
            <w:shd w:val="clear" w:color="auto" w:fill="auto"/>
            <w:vAlign w:val="center"/>
          </w:tcPr>
          <w:p w14:paraId="129132C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3,466 (8.50)</w:t>
            </w:r>
          </w:p>
        </w:tc>
        <w:tc>
          <w:tcPr>
            <w:tcW w:w="524" w:type="pct"/>
            <w:gridSpan w:val="2"/>
            <w:tcBorders>
              <w:left w:val="nil"/>
              <w:right w:val="nil"/>
            </w:tcBorders>
            <w:shd w:val="clear" w:color="auto" w:fill="auto"/>
            <w:vAlign w:val="center"/>
          </w:tcPr>
          <w:p w14:paraId="6755361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166 (11.8)</w:t>
            </w:r>
          </w:p>
        </w:tc>
        <w:tc>
          <w:tcPr>
            <w:tcW w:w="523" w:type="pct"/>
            <w:gridSpan w:val="2"/>
            <w:vMerge/>
            <w:tcBorders>
              <w:left w:val="nil"/>
              <w:right w:val="nil"/>
            </w:tcBorders>
            <w:shd w:val="clear" w:color="auto" w:fill="auto"/>
            <w:vAlign w:val="center"/>
          </w:tcPr>
          <w:p w14:paraId="4B08BC43" w14:textId="77777777" w:rsidR="0074644B" w:rsidRPr="00BB54DF" w:rsidRDefault="0074644B" w:rsidP="007340D2">
            <w:pPr>
              <w:spacing w:after="0"/>
              <w:jc w:val="center"/>
              <w:rPr>
                <w:rFonts w:ascii="Times New Roman" w:hAnsi="Times New Roman"/>
                <w:sz w:val="16"/>
                <w:szCs w:val="16"/>
                <w:lang w:eastAsia="en-GB"/>
              </w:rPr>
            </w:pPr>
          </w:p>
        </w:tc>
        <w:tc>
          <w:tcPr>
            <w:tcW w:w="524" w:type="pct"/>
            <w:gridSpan w:val="2"/>
            <w:vMerge/>
            <w:tcBorders>
              <w:left w:val="nil"/>
              <w:right w:val="nil"/>
            </w:tcBorders>
            <w:shd w:val="clear" w:color="auto" w:fill="auto"/>
            <w:vAlign w:val="center"/>
          </w:tcPr>
          <w:p w14:paraId="292B411D" w14:textId="77777777" w:rsidR="0074644B" w:rsidRPr="00BB54DF" w:rsidRDefault="0074644B" w:rsidP="007340D2">
            <w:pPr>
              <w:spacing w:after="0"/>
              <w:jc w:val="center"/>
              <w:rPr>
                <w:rFonts w:ascii="Times New Roman" w:hAnsi="Times New Roman"/>
                <w:sz w:val="16"/>
                <w:szCs w:val="16"/>
                <w:lang w:eastAsia="en-GB"/>
              </w:rPr>
            </w:pPr>
          </w:p>
        </w:tc>
      </w:tr>
      <w:tr w:rsidR="0074644B" w:rsidRPr="00BB54DF" w14:paraId="5C3C8380" w14:textId="77777777" w:rsidTr="007340D2">
        <w:trPr>
          <w:trHeight w:val="227"/>
        </w:trPr>
        <w:tc>
          <w:tcPr>
            <w:tcW w:w="789" w:type="pct"/>
            <w:tcBorders>
              <w:top w:val="nil"/>
              <w:left w:val="nil"/>
              <w:bottom w:val="nil"/>
              <w:right w:val="single" w:sz="4" w:space="0" w:color="auto"/>
            </w:tcBorders>
            <w:shd w:val="clear" w:color="auto" w:fill="auto"/>
            <w:noWrap/>
            <w:vAlign w:val="center"/>
            <w:hideMark/>
          </w:tcPr>
          <w:p w14:paraId="3DCAD24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Diuretics (n, %)</w:t>
            </w:r>
          </w:p>
        </w:tc>
        <w:tc>
          <w:tcPr>
            <w:tcW w:w="529" w:type="pct"/>
            <w:tcBorders>
              <w:top w:val="nil"/>
              <w:left w:val="single" w:sz="4" w:space="0" w:color="auto"/>
              <w:bottom w:val="nil"/>
              <w:right w:val="nil"/>
            </w:tcBorders>
            <w:shd w:val="clear" w:color="auto" w:fill="auto"/>
            <w:noWrap/>
            <w:vAlign w:val="center"/>
          </w:tcPr>
          <w:p w14:paraId="28F1EA6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38,403 (71.1)</w:t>
            </w:r>
          </w:p>
        </w:tc>
        <w:tc>
          <w:tcPr>
            <w:tcW w:w="529" w:type="pct"/>
            <w:tcBorders>
              <w:top w:val="nil"/>
              <w:left w:val="nil"/>
              <w:bottom w:val="nil"/>
              <w:right w:val="nil"/>
            </w:tcBorders>
            <w:shd w:val="clear" w:color="auto" w:fill="auto"/>
            <w:noWrap/>
            <w:vAlign w:val="center"/>
          </w:tcPr>
          <w:p w14:paraId="63BA278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2,164 (82.8)</w:t>
            </w:r>
          </w:p>
        </w:tc>
        <w:tc>
          <w:tcPr>
            <w:tcW w:w="530" w:type="pct"/>
            <w:tcBorders>
              <w:top w:val="nil"/>
              <w:left w:val="nil"/>
              <w:bottom w:val="nil"/>
              <w:right w:val="nil"/>
            </w:tcBorders>
            <w:shd w:val="clear" w:color="auto" w:fill="auto"/>
            <w:vAlign w:val="center"/>
          </w:tcPr>
          <w:p w14:paraId="778AD25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7139 (79.9)</w:t>
            </w:r>
          </w:p>
        </w:tc>
        <w:tc>
          <w:tcPr>
            <w:tcW w:w="530" w:type="pct"/>
            <w:tcBorders>
              <w:top w:val="nil"/>
              <w:left w:val="nil"/>
              <w:bottom w:val="nil"/>
              <w:right w:val="single" w:sz="4" w:space="0" w:color="auto"/>
            </w:tcBorders>
            <w:shd w:val="clear" w:color="auto" w:fill="auto"/>
            <w:vAlign w:val="center"/>
          </w:tcPr>
          <w:p w14:paraId="23B40FD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2023 (82.7)</w:t>
            </w:r>
          </w:p>
        </w:tc>
        <w:tc>
          <w:tcPr>
            <w:tcW w:w="522" w:type="pct"/>
            <w:tcBorders>
              <w:left w:val="single" w:sz="4" w:space="0" w:color="auto"/>
              <w:right w:val="nil"/>
            </w:tcBorders>
            <w:shd w:val="clear" w:color="auto" w:fill="auto"/>
            <w:vAlign w:val="center"/>
          </w:tcPr>
          <w:p w14:paraId="4DD0D32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NA</w:t>
            </w:r>
          </w:p>
        </w:tc>
        <w:tc>
          <w:tcPr>
            <w:tcW w:w="524" w:type="pct"/>
            <w:gridSpan w:val="2"/>
            <w:tcBorders>
              <w:left w:val="nil"/>
              <w:right w:val="nil"/>
            </w:tcBorders>
            <w:shd w:val="clear" w:color="auto" w:fill="auto"/>
            <w:vAlign w:val="center"/>
          </w:tcPr>
          <w:p w14:paraId="5F420291"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NA</w:t>
            </w:r>
          </w:p>
        </w:tc>
        <w:tc>
          <w:tcPr>
            <w:tcW w:w="523" w:type="pct"/>
            <w:gridSpan w:val="2"/>
            <w:tcBorders>
              <w:left w:val="nil"/>
              <w:right w:val="nil"/>
            </w:tcBorders>
            <w:shd w:val="clear" w:color="auto" w:fill="auto"/>
            <w:vAlign w:val="center"/>
          </w:tcPr>
          <w:p w14:paraId="02696EBD"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NA</w:t>
            </w:r>
          </w:p>
        </w:tc>
        <w:tc>
          <w:tcPr>
            <w:tcW w:w="524" w:type="pct"/>
            <w:gridSpan w:val="2"/>
            <w:tcBorders>
              <w:left w:val="nil"/>
              <w:right w:val="nil"/>
            </w:tcBorders>
            <w:shd w:val="clear" w:color="auto" w:fill="auto"/>
            <w:vAlign w:val="center"/>
          </w:tcPr>
          <w:p w14:paraId="21C9F80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NA</w:t>
            </w:r>
          </w:p>
        </w:tc>
      </w:tr>
      <w:tr w:rsidR="0074644B" w:rsidRPr="00BB54DF" w14:paraId="0EF2AAEA" w14:textId="77777777" w:rsidTr="007340D2">
        <w:trPr>
          <w:trHeight w:val="227"/>
        </w:trPr>
        <w:tc>
          <w:tcPr>
            <w:tcW w:w="789" w:type="pct"/>
            <w:tcBorders>
              <w:top w:val="nil"/>
              <w:left w:val="nil"/>
              <w:right w:val="single" w:sz="4" w:space="0" w:color="auto"/>
            </w:tcBorders>
            <w:shd w:val="clear" w:color="auto" w:fill="auto"/>
            <w:noWrap/>
            <w:vAlign w:val="center"/>
            <w:hideMark/>
          </w:tcPr>
          <w:p w14:paraId="188DB26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Beta blockers (n, %)</w:t>
            </w:r>
          </w:p>
        </w:tc>
        <w:tc>
          <w:tcPr>
            <w:tcW w:w="529" w:type="pct"/>
            <w:tcBorders>
              <w:top w:val="nil"/>
              <w:left w:val="single" w:sz="4" w:space="0" w:color="auto"/>
              <w:right w:val="nil"/>
            </w:tcBorders>
            <w:shd w:val="clear" w:color="auto" w:fill="auto"/>
            <w:noWrap/>
            <w:vAlign w:val="center"/>
          </w:tcPr>
          <w:p w14:paraId="0F00BD6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25,175 (46.6)</w:t>
            </w:r>
          </w:p>
        </w:tc>
        <w:tc>
          <w:tcPr>
            <w:tcW w:w="529" w:type="pct"/>
            <w:tcBorders>
              <w:top w:val="nil"/>
              <w:left w:val="nil"/>
              <w:right w:val="nil"/>
            </w:tcBorders>
            <w:shd w:val="clear" w:color="auto" w:fill="auto"/>
            <w:noWrap/>
            <w:vAlign w:val="center"/>
          </w:tcPr>
          <w:p w14:paraId="2A6FF36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rPr>
              <w:t>1,395 (53.4)</w:t>
            </w:r>
          </w:p>
        </w:tc>
        <w:tc>
          <w:tcPr>
            <w:tcW w:w="530" w:type="pct"/>
            <w:tcBorders>
              <w:top w:val="nil"/>
              <w:left w:val="nil"/>
              <w:right w:val="nil"/>
            </w:tcBorders>
            <w:shd w:val="clear" w:color="auto" w:fill="auto"/>
            <w:vAlign w:val="center"/>
          </w:tcPr>
          <w:p w14:paraId="23D9E3CE"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4461 (49.9)</w:t>
            </w:r>
          </w:p>
        </w:tc>
        <w:tc>
          <w:tcPr>
            <w:tcW w:w="530" w:type="pct"/>
            <w:tcBorders>
              <w:top w:val="nil"/>
              <w:left w:val="nil"/>
              <w:right w:val="single" w:sz="4" w:space="0" w:color="auto"/>
            </w:tcBorders>
            <w:shd w:val="clear" w:color="auto" w:fill="auto"/>
            <w:vAlign w:val="center"/>
          </w:tcPr>
          <w:p w14:paraId="79051572"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1302 (53.2)</w:t>
            </w:r>
          </w:p>
        </w:tc>
        <w:tc>
          <w:tcPr>
            <w:tcW w:w="522" w:type="pct"/>
            <w:tcBorders>
              <w:left w:val="single" w:sz="4" w:space="0" w:color="auto"/>
              <w:right w:val="nil"/>
            </w:tcBorders>
            <w:shd w:val="clear" w:color="auto" w:fill="auto"/>
            <w:vAlign w:val="center"/>
          </w:tcPr>
          <w:p w14:paraId="5314BEC8"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10,625 (26.0)</w:t>
            </w:r>
          </w:p>
        </w:tc>
        <w:tc>
          <w:tcPr>
            <w:tcW w:w="524" w:type="pct"/>
            <w:gridSpan w:val="2"/>
            <w:tcBorders>
              <w:left w:val="nil"/>
              <w:right w:val="nil"/>
            </w:tcBorders>
            <w:shd w:val="clear" w:color="auto" w:fill="auto"/>
            <w:vAlign w:val="center"/>
          </w:tcPr>
          <w:p w14:paraId="5DE7EEF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379 (26.9)</w:t>
            </w:r>
          </w:p>
        </w:tc>
        <w:tc>
          <w:tcPr>
            <w:tcW w:w="523" w:type="pct"/>
            <w:gridSpan w:val="2"/>
            <w:tcBorders>
              <w:left w:val="nil"/>
              <w:right w:val="nil"/>
            </w:tcBorders>
            <w:shd w:val="clear" w:color="auto" w:fill="auto"/>
            <w:vAlign w:val="center"/>
          </w:tcPr>
          <w:p w14:paraId="25C7AB0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1,782 (27.2)</w:t>
            </w:r>
          </w:p>
        </w:tc>
        <w:tc>
          <w:tcPr>
            <w:tcW w:w="524" w:type="pct"/>
            <w:gridSpan w:val="2"/>
            <w:tcBorders>
              <w:left w:val="nil"/>
              <w:right w:val="nil"/>
            </w:tcBorders>
            <w:shd w:val="clear" w:color="auto" w:fill="auto"/>
            <w:vAlign w:val="center"/>
          </w:tcPr>
          <w:p w14:paraId="77F862C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375 (26.8)</w:t>
            </w:r>
          </w:p>
        </w:tc>
      </w:tr>
      <w:tr w:rsidR="0074644B" w:rsidRPr="00BB54DF" w14:paraId="5D8AF60A" w14:textId="77777777" w:rsidTr="007340D2">
        <w:trPr>
          <w:trHeight w:val="227"/>
        </w:trPr>
        <w:tc>
          <w:tcPr>
            <w:tcW w:w="789" w:type="pct"/>
            <w:tcBorders>
              <w:top w:val="nil"/>
              <w:left w:val="nil"/>
              <w:right w:val="single" w:sz="4" w:space="0" w:color="auto"/>
            </w:tcBorders>
            <w:shd w:val="clear" w:color="auto" w:fill="auto"/>
            <w:noWrap/>
            <w:vAlign w:val="center"/>
          </w:tcPr>
          <w:p w14:paraId="0E938A1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Digoxin (n, %)</w:t>
            </w:r>
          </w:p>
        </w:tc>
        <w:tc>
          <w:tcPr>
            <w:tcW w:w="529" w:type="pct"/>
            <w:tcBorders>
              <w:top w:val="nil"/>
              <w:left w:val="single" w:sz="4" w:space="0" w:color="auto"/>
              <w:right w:val="nil"/>
            </w:tcBorders>
            <w:shd w:val="clear" w:color="auto" w:fill="auto"/>
            <w:noWrap/>
            <w:vAlign w:val="center"/>
          </w:tcPr>
          <w:p w14:paraId="4D250E83"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5,839 (10.8)</w:t>
            </w:r>
          </w:p>
        </w:tc>
        <w:tc>
          <w:tcPr>
            <w:tcW w:w="529" w:type="pct"/>
            <w:tcBorders>
              <w:top w:val="nil"/>
              <w:left w:val="nil"/>
              <w:right w:val="nil"/>
            </w:tcBorders>
            <w:shd w:val="clear" w:color="auto" w:fill="auto"/>
            <w:noWrap/>
            <w:vAlign w:val="center"/>
          </w:tcPr>
          <w:p w14:paraId="21AA8AFD"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319 (12.2)</w:t>
            </w:r>
          </w:p>
        </w:tc>
        <w:tc>
          <w:tcPr>
            <w:tcW w:w="530" w:type="pct"/>
            <w:tcBorders>
              <w:top w:val="nil"/>
              <w:left w:val="nil"/>
              <w:right w:val="nil"/>
            </w:tcBorders>
            <w:shd w:val="clear" w:color="auto" w:fill="auto"/>
            <w:vAlign w:val="center"/>
          </w:tcPr>
          <w:p w14:paraId="26A2C5C2"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1152 (12.9)</w:t>
            </w:r>
          </w:p>
        </w:tc>
        <w:tc>
          <w:tcPr>
            <w:tcW w:w="530" w:type="pct"/>
            <w:tcBorders>
              <w:top w:val="nil"/>
              <w:left w:val="nil"/>
              <w:right w:val="single" w:sz="4" w:space="0" w:color="auto"/>
            </w:tcBorders>
            <w:shd w:val="clear" w:color="auto" w:fill="auto"/>
            <w:vAlign w:val="center"/>
          </w:tcPr>
          <w:p w14:paraId="4D895FA5"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310 (12.7)</w:t>
            </w:r>
          </w:p>
        </w:tc>
        <w:tc>
          <w:tcPr>
            <w:tcW w:w="522" w:type="pct"/>
            <w:tcBorders>
              <w:left w:val="single" w:sz="4" w:space="0" w:color="auto"/>
              <w:right w:val="nil"/>
            </w:tcBorders>
            <w:shd w:val="clear" w:color="auto" w:fill="auto"/>
            <w:vAlign w:val="center"/>
          </w:tcPr>
          <w:p w14:paraId="2A271150"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2,946 (7.2)</w:t>
            </w:r>
          </w:p>
        </w:tc>
        <w:tc>
          <w:tcPr>
            <w:tcW w:w="524" w:type="pct"/>
            <w:gridSpan w:val="2"/>
            <w:tcBorders>
              <w:left w:val="nil"/>
              <w:right w:val="nil"/>
            </w:tcBorders>
            <w:shd w:val="clear" w:color="auto" w:fill="auto"/>
            <w:vAlign w:val="center"/>
          </w:tcPr>
          <w:p w14:paraId="37CFF1C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99 (7.0)</w:t>
            </w:r>
          </w:p>
        </w:tc>
        <w:tc>
          <w:tcPr>
            <w:tcW w:w="523" w:type="pct"/>
            <w:gridSpan w:val="2"/>
            <w:tcBorders>
              <w:left w:val="nil"/>
              <w:right w:val="nil"/>
            </w:tcBorders>
            <w:shd w:val="clear" w:color="auto" w:fill="auto"/>
            <w:vAlign w:val="center"/>
          </w:tcPr>
          <w:p w14:paraId="3F7AE5E3"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476 (7.3)</w:t>
            </w:r>
          </w:p>
        </w:tc>
        <w:tc>
          <w:tcPr>
            <w:tcW w:w="524" w:type="pct"/>
            <w:gridSpan w:val="2"/>
            <w:tcBorders>
              <w:left w:val="nil"/>
              <w:right w:val="nil"/>
            </w:tcBorders>
            <w:shd w:val="clear" w:color="auto" w:fill="auto"/>
            <w:vAlign w:val="center"/>
          </w:tcPr>
          <w:p w14:paraId="68D20EB4"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97 (7.0)</w:t>
            </w:r>
          </w:p>
        </w:tc>
      </w:tr>
      <w:tr w:rsidR="0074644B" w:rsidRPr="00BB54DF" w14:paraId="6D546929" w14:textId="77777777" w:rsidTr="007340D2">
        <w:trPr>
          <w:trHeight w:val="227"/>
        </w:trPr>
        <w:tc>
          <w:tcPr>
            <w:tcW w:w="789" w:type="pct"/>
            <w:tcBorders>
              <w:top w:val="nil"/>
              <w:left w:val="nil"/>
              <w:right w:val="single" w:sz="4" w:space="0" w:color="auto"/>
            </w:tcBorders>
            <w:shd w:val="clear" w:color="auto" w:fill="auto"/>
            <w:noWrap/>
            <w:vAlign w:val="center"/>
          </w:tcPr>
          <w:p w14:paraId="370DD7FE"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Antihypertensives (n, %)</w:t>
            </w:r>
          </w:p>
        </w:tc>
        <w:tc>
          <w:tcPr>
            <w:tcW w:w="529" w:type="pct"/>
            <w:tcBorders>
              <w:top w:val="nil"/>
              <w:left w:val="single" w:sz="4" w:space="0" w:color="auto"/>
              <w:right w:val="nil"/>
            </w:tcBorders>
            <w:shd w:val="clear" w:color="auto" w:fill="auto"/>
            <w:noWrap/>
            <w:vAlign w:val="center"/>
          </w:tcPr>
          <w:p w14:paraId="2923F681"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8,608 (15.9)</w:t>
            </w:r>
          </w:p>
        </w:tc>
        <w:tc>
          <w:tcPr>
            <w:tcW w:w="529" w:type="pct"/>
            <w:tcBorders>
              <w:top w:val="nil"/>
              <w:left w:val="nil"/>
              <w:right w:val="nil"/>
            </w:tcBorders>
            <w:shd w:val="clear" w:color="auto" w:fill="auto"/>
            <w:noWrap/>
            <w:vAlign w:val="center"/>
          </w:tcPr>
          <w:p w14:paraId="63B4746C"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588 (22.5)</w:t>
            </w:r>
          </w:p>
        </w:tc>
        <w:tc>
          <w:tcPr>
            <w:tcW w:w="530" w:type="pct"/>
            <w:tcBorders>
              <w:top w:val="nil"/>
              <w:left w:val="nil"/>
              <w:right w:val="nil"/>
            </w:tcBorders>
            <w:shd w:val="clear" w:color="auto" w:fill="auto"/>
            <w:vAlign w:val="center"/>
          </w:tcPr>
          <w:p w14:paraId="1CE350F7"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1770 (19.8)</w:t>
            </w:r>
          </w:p>
        </w:tc>
        <w:tc>
          <w:tcPr>
            <w:tcW w:w="530" w:type="pct"/>
            <w:tcBorders>
              <w:top w:val="nil"/>
              <w:left w:val="nil"/>
              <w:right w:val="single" w:sz="4" w:space="0" w:color="auto"/>
            </w:tcBorders>
            <w:shd w:val="clear" w:color="auto" w:fill="auto"/>
            <w:vAlign w:val="center"/>
          </w:tcPr>
          <w:p w14:paraId="57A5E5A0"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548 (22.4)</w:t>
            </w:r>
          </w:p>
        </w:tc>
        <w:tc>
          <w:tcPr>
            <w:tcW w:w="522" w:type="pct"/>
            <w:tcBorders>
              <w:left w:val="single" w:sz="4" w:space="0" w:color="auto"/>
              <w:right w:val="nil"/>
            </w:tcBorders>
            <w:shd w:val="clear" w:color="auto" w:fill="auto"/>
            <w:vAlign w:val="center"/>
          </w:tcPr>
          <w:p w14:paraId="1267196C"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NA</w:t>
            </w:r>
          </w:p>
        </w:tc>
        <w:tc>
          <w:tcPr>
            <w:tcW w:w="524" w:type="pct"/>
            <w:gridSpan w:val="2"/>
            <w:tcBorders>
              <w:left w:val="nil"/>
              <w:right w:val="nil"/>
            </w:tcBorders>
            <w:shd w:val="clear" w:color="auto" w:fill="auto"/>
            <w:vAlign w:val="center"/>
          </w:tcPr>
          <w:p w14:paraId="1847061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NA</w:t>
            </w:r>
          </w:p>
        </w:tc>
        <w:tc>
          <w:tcPr>
            <w:tcW w:w="523" w:type="pct"/>
            <w:gridSpan w:val="2"/>
            <w:tcBorders>
              <w:left w:val="nil"/>
              <w:right w:val="nil"/>
            </w:tcBorders>
            <w:shd w:val="clear" w:color="auto" w:fill="auto"/>
            <w:vAlign w:val="center"/>
          </w:tcPr>
          <w:p w14:paraId="77C1B9F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NA</w:t>
            </w:r>
          </w:p>
        </w:tc>
        <w:tc>
          <w:tcPr>
            <w:tcW w:w="524" w:type="pct"/>
            <w:gridSpan w:val="2"/>
            <w:tcBorders>
              <w:left w:val="nil"/>
              <w:right w:val="nil"/>
            </w:tcBorders>
            <w:shd w:val="clear" w:color="auto" w:fill="auto"/>
            <w:vAlign w:val="center"/>
          </w:tcPr>
          <w:p w14:paraId="5E07D3C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NA</w:t>
            </w:r>
          </w:p>
        </w:tc>
      </w:tr>
      <w:tr w:rsidR="0074644B" w:rsidRPr="00BB54DF" w14:paraId="4AD7B55E" w14:textId="77777777" w:rsidTr="007340D2">
        <w:trPr>
          <w:trHeight w:val="227"/>
        </w:trPr>
        <w:tc>
          <w:tcPr>
            <w:tcW w:w="789" w:type="pct"/>
            <w:tcBorders>
              <w:top w:val="nil"/>
              <w:left w:val="nil"/>
              <w:right w:val="single" w:sz="4" w:space="0" w:color="auto"/>
            </w:tcBorders>
            <w:shd w:val="clear" w:color="auto" w:fill="auto"/>
            <w:noWrap/>
            <w:vAlign w:val="center"/>
          </w:tcPr>
          <w:p w14:paraId="5A532B00" w14:textId="77777777" w:rsidR="0074644B" w:rsidRPr="00BB54DF" w:rsidRDefault="0074644B" w:rsidP="007340D2">
            <w:pPr>
              <w:spacing w:after="0"/>
              <w:jc w:val="center"/>
              <w:rPr>
                <w:rFonts w:ascii="Times New Roman" w:hAnsi="Times New Roman"/>
                <w:sz w:val="16"/>
                <w:szCs w:val="16"/>
                <w:lang w:eastAsia="en-GB"/>
              </w:rPr>
            </w:pPr>
            <w:proofErr w:type="spellStart"/>
            <w:r w:rsidRPr="00BB54DF">
              <w:rPr>
                <w:rFonts w:ascii="Times New Roman" w:hAnsi="Times New Roman"/>
                <w:sz w:val="16"/>
                <w:szCs w:val="16"/>
                <w:lang w:eastAsia="en-GB"/>
              </w:rPr>
              <w:t>Antiarrythmics</w:t>
            </w:r>
            <w:proofErr w:type="spellEnd"/>
            <w:r w:rsidRPr="00BB54DF">
              <w:rPr>
                <w:rFonts w:ascii="Times New Roman" w:hAnsi="Times New Roman"/>
                <w:sz w:val="16"/>
                <w:szCs w:val="16"/>
                <w:lang w:eastAsia="en-GB"/>
              </w:rPr>
              <w:t xml:space="preserve"> (n, %)</w:t>
            </w:r>
          </w:p>
        </w:tc>
        <w:tc>
          <w:tcPr>
            <w:tcW w:w="529" w:type="pct"/>
            <w:tcBorders>
              <w:top w:val="nil"/>
              <w:left w:val="single" w:sz="4" w:space="0" w:color="auto"/>
              <w:right w:val="nil"/>
            </w:tcBorders>
            <w:shd w:val="clear" w:color="auto" w:fill="auto"/>
            <w:noWrap/>
            <w:vAlign w:val="center"/>
          </w:tcPr>
          <w:p w14:paraId="43A5886D"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7,010 (13.0)</w:t>
            </w:r>
          </w:p>
        </w:tc>
        <w:tc>
          <w:tcPr>
            <w:tcW w:w="529" w:type="pct"/>
            <w:tcBorders>
              <w:top w:val="nil"/>
              <w:left w:val="nil"/>
              <w:right w:val="nil"/>
            </w:tcBorders>
            <w:shd w:val="clear" w:color="auto" w:fill="auto"/>
            <w:noWrap/>
            <w:vAlign w:val="center"/>
          </w:tcPr>
          <w:p w14:paraId="406F86E1"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447 (17.1)</w:t>
            </w:r>
          </w:p>
        </w:tc>
        <w:tc>
          <w:tcPr>
            <w:tcW w:w="530" w:type="pct"/>
            <w:tcBorders>
              <w:top w:val="nil"/>
              <w:left w:val="nil"/>
              <w:right w:val="nil"/>
            </w:tcBorders>
            <w:shd w:val="clear" w:color="auto" w:fill="auto"/>
            <w:vAlign w:val="center"/>
          </w:tcPr>
          <w:p w14:paraId="119631F2"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1418 (15.9)</w:t>
            </w:r>
          </w:p>
        </w:tc>
        <w:tc>
          <w:tcPr>
            <w:tcW w:w="530" w:type="pct"/>
            <w:tcBorders>
              <w:top w:val="nil"/>
              <w:left w:val="nil"/>
              <w:right w:val="single" w:sz="4" w:space="0" w:color="auto"/>
            </w:tcBorders>
            <w:shd w:val="clear" w:color="auto" w:fill="auto"/>
            <w:vAlign w:val="center"/>
          </w:tcPr>
          <w:p w14:paraId="4A06B9F9"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417 (17.0)</w:t>
            </w:r>
          </w:p>
        </w:tc>
        <w:tc>
          <w:tcPr>
            <w:tcW w:w="522" w:type="pct"/>
            <w:tcBorders>
              <w:left w:val="single" w:sz="4" w:space="0" w:color="auto"/>
              <w:right w:val="nil"/>
            </w:tcBorders>
            <w:shd w:val="clear" w:color="auto" w:fill="auto"/>
            <w:vAlign w:val="center"/>
          </w:tcPr>
          <w:p w14:paraId="7F1973F9"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2,386 (5.9)</w:t>
            </w:r>
          </w:p>
        </w:tc>
        <w:tc>
          <w:tcPr>
            <w:tcW w:w="524" w:type="pct"/>
            <w:gridSpan w:val="2"/>
            <w:tcBorders>
              <w:left w:val="nil"/>
              <w:right w:val="nil"/>
            </w:tcBorders>
            <w:shd w:val="clear" w:color="auto" w:fill="auto"/>
            <w:vAlign w:val="center"/>
          </w:tcPr>
          <w:p w14:paraId="0E83149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84 (6.0)</w:t>
            </w:r>
          </w:p>
        </w:tc>
        <w:tc>
          <w:tcPr>
            <w:tcW w:w="523" w:type="pct"/>
            <w:gridSpan w:val="2"/>
            <w:tcBorders>
              <w:left w:val="nil"/>
              <w:right w:val="nil"/>
            </w:tcBorders>
            <w:shd w:val="clear" w:color="auto" w:fill="auto"/>
            <w:vAlign w:val="center"/>
          </w:tcPr>
          <w:p w14:paraId="55B9A585"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436 (6.7)</w:t>
            </w:r>
          </w:p>
        </w:tc>
        <w:tc>
          <w:tcPr>
            <w:tcW w:w="524" w:type="pct"/>
            <w:gridSpan w:val="2"/>
            <w:tcBorders>
              <w:left w:val="nil"/>
              <w:right w:val="nil"/>
            </w:tcBorders>
            <w:shd w:val="clear" w:color="auto" w:fill="auto"/>
            <w:vAlign w:val="center"/>
          </w:tcPr>
          <w:p w14:paraId="4E0FAFCA"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84 (6.0)</w:t>
            </w:r>
          </w:p>
        </w:tc>
      </w:tr>
      <w:tr w:rsidR="0074644B" w:rsidRPr="00BB54DF" w14:paraId="0338C646" w14:textId="77777777" w:rsidTr="007340D2">
        <w:trPr>
          <w:trHeight w:val="227"/>
        </w:trPr>
        <w:tc>
          <w:tcPr>
            <w:tcW w:w="789" w:type="pct"/>
            <w:tcBorders>
              <w:top w:val="nil"/>
              <w:left w:val="nil"/>
              <w:bottom w:val="single" w:sz="4" w:space="0" w:color="auto"/>
              <w:right w:val="single" w:sz="4" w:space="0" w:color="auto"/>
            </w:tcBorders>
            <w:shd w:val="clear" w:color="auto" w:fill="auto"/>
            <w:noWrap/>
            <w:vAlign w:val="center"/>
          </w:tcPr>
          <w:p w14:paraId="5055C0F2"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Insulin (n, %)</w:t>
            </w:r>
          </w:p>
        </w:tc>
        <w:tc>
          <w:tcPr>
            <w:tcW w:w="529" w:type="pct"/>
            <w:tcBorders>
              <w:top w:val="nil"/>
              <w:left w:val="single" w:sz="4" w:space="0" w:color="auto"/>
              <w:bottom w:val="nil"/>
              <w:right w:val="nil"/>
            </w:tcBorders>
            <w:shd w:val="clear" w:color="auto" w:fill="auto"/>
            <w:noWrap/>
            <w:vAlign w:val="center"/>
          </w:tcPr>
          <w:p w14:paraId="04D7F00A"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2,359 (4.4)</w:t>
            </w:r>
          </w:p>
        </w:tc>
        <w:tc>
          <w:tcPr>
            <w:tcW w:w="529" w:type="pct"/>
            <w:tcBorders>
              <w:top w:val="nil"/>
              <w:left w:val="nil"/>
              <w:bottom w:val="nil"/>
              <w:right w:val="nil"/>
            </w:tcBorders>
            <w:shd w:val="clear" w:color="auto" w:fill="auto"/>
            <w:noWrap/>
            <w:vAlign w:val="center"/>
          </w:tcPr>
          <w:p w14:paraId="6B20673A"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127 (4.9)</w:t>
            </w:r>
          </w:p>
        </w:tc>
        <w:tc>
          <w:tcPr>
            <w:tcW w:w="530" w:type="pct"/>
            <w:tcBorders>
              <w:top w:val="nil"/>
              <w:left w:val="nil"/>
              <w:bottom w:val="nil"/>
              <w:right w:val="nil"/>
            </w:tcBorders>
            <w:shd w:val="clear" w:color="auto" w:fill="auto"/>
            <w:vAlign w:val="center"/>
          </w:tcPr>
          <w:p w14:paraId="552513BB"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421 (4.7)</w:t>
            </w:r>
          </w:p>
        </w:tc>
        <w:tc>
          <w:tcPr>
            <w:tcW w:w="530" w:type="pct"/>
            <w:tcBorders>
              <w:top w:val="nil"/>
              <w:left w:val="nil"/>
              <w:bottom w:val="nil"/>
              <w:right w:val="single" w:sz="4" w:space="0" w:color="auto"/>
            </w:tcBorders>
            <w:shd w:val="clear" w:color="auto" w:fill="auto"/>
            <w:vAlign w:val="center"/>
          </w:tcPr>
          <w:p w14:paraId="0A72C9EC" w14:textId="77777777" w:rsidR="0074644B" w:rsidRPr="00BB54DF" w:rsidRDefault="0074644B" w:rsidP="007340D2">
            <w:pPr>
              <w:spacing w:after="0"/>
              <w:jc w:val="center"/>
              <w:rPr>
                <w:rFonts w:ascii="Times New Roman" w:hAnsi="Times New Roman"/>
                <w:sz w:val="16"/>
                <w:szCs w:val="16"/>
              </w:rPr>
            </w:pPr>
            <w:r w:rsidRPr="00BB54DF">
              <w:rPr>
                <w:rFonts w:ascii="Times New Roman" w:hAnsi="Times New Roman"/>
                <w:sz w:val="16"/>
                <w:szCs w:val="16"/>
              </w:rPr>
              <w:t>120 (4.9)</w:t>
            </w:r>
          </w:p>
        </w:tc>
        <w:tc>
          <w:tcPr>
            <w:tcW w:w="522" w:type="pct"/>
            <w:tcBorders>
              <w:left w:val="single" w:sz="4" w:space="0" w:color="auto"/>
              <w:bottom w:val="single" w:sz="4" w:space="0" w:color="auto"/>
              <w:right w:val="nil"/>
            </w:tcBorders>
            <w:shd w:val="clear" w:color="auto" w:fill="auto"/>
            <w:vAlign w:val="center"/>
          </w:tcPr>
          <w:p w14:paraId="70B9262B"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5,417 (13.3)</w:t>
            </w:r>
          </w:p>
        </w:tc>
        <w:tc>
          <w:tcPr>
            <w:tcW w:w="524" w:type="pct"/>
            <w:gridSpan w:val="2"/>
            <w:tcBorders>
              <w:left w:val="nil"/>
              <w:bottom w:val="single" w:sz="4" w:space="0" w:color="auto"/>
              <w:right w:val="nil"/>
            </w:tcBorders>
            <w:shd w:val="clear" w:color="auto" w:fill="auto"/>
            <w:vAlign w:val="center"/>
          </w:tcPr>
          <w:p w14:paraId="09FA2BB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197 (14.0)</w:t>
            </w:r>
          </w:p>
        </w:tc>
        <w:tc>
          <w:tcPr>
            <w:tcW w:w="523" w:type="pct"/>
            <w:gridSpan w:val="2"/>
            <w:tcBorders>
              <w:left w:val="nil"/>
              <w:bottom w:val="single" w:sz="4" w:space="0" w:color="auto"/>
              <w:right w:val="nil"/>
            </w:tcBorders>
            <w:shd w:val="clear" w:color="auto" w:fill="auto"/>
            <w:vAlign w:val="center"/>
          </w:tcPr>
          <w:p w14:paraId="5D6CF60F"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871 (13.3)</w:t>
            </w:r>
          </w:p>
        </w:tc>
        <w:tc>
          <w:tcPr>
            <w:tcW w:w="524" w:type="pct"/>
            <w:gridSpan w:val="2"/>
            <w:tcBorders>
              <w:left w:val="nil"/>
              <w:bottom w:val="single" w:sz="4" w:space="0" w:color="auto"/>
              <w:right w:val="nil"/>
            </w:tcBorders>
            <w:shd w:val="clear" w:color="auto" w:fill="auto"/>
            <w:vAlign w:val="center"/>
          </w:tcPr>
          <w:p w14:paraId="382875B7" w14:textId="77777777" w:rsidR="0074644B" w:rsidRPr="00BB54DF" w:rsidRDefault="0074644B" w:rsidP="007340D2">
            <w:pPr>
              <w:spacing w:after="0"/>
              <w:jc w:val="center"/>
              <w:rPr>
                <w:rFonts w:ascii="Times New Roman" w:hAnsi="Times New Roman"/>
                <w:sz w:val="16"/>
                <w:szCs w:val="16"/>
                <w:lang w:eastAsia="en-GB"/>
              </w:rPr>
            </w:pPr>
            <w:r w:rsidRPr="00BB54DF">
              <w:rPr>
                <w:rFonts w:ascii="Times New Roman" w:hAnsi="Times New Roman"/>
                <w:sz w:val="16"/>
                <w:szCs w:val="16"/>
                <w:lang w:eastAsia="en-GB"/>
              </w:rPr>
              <w:t>196 (14.0)</w:t>
            </w:r>
          </w:p>
        </w:tc>
      </w:tr>
      <w:tr w:rsidR="0074644B" w:rsidRPr="00BB54DF" w14:paraId="1FE207AA" w14:textId="77777777" w:rsidTr="007340D2">
        <w:trPr>
          <w:trHeight w:val="227"/>
        </w:trPr>
        <w:tc>
          <w:tcPr>
            <w:tcW w:w="5000" w:type="pct"/>
            <w:gridSpan w:val="12"/>
            <w:tcBorders>
              <w:top w:val="single" w:sz="4" w:space="0" w:color="auto"/>
              <w:left w:val="nil"/>
              <w:bottom w:val="single" w:sz="4" w:space="0" w:color="auto"/>
            </w:tcBorders>
            <w:shd w:val="clear" w:color="auto" w:fill="auto"/>
            <w:noWrap/>
            <w:vAlign w:val="center"/>
          </w:tcPr>
          <w:p w14:paraId="341B2846" w14:textId="77777777" w:rsidR="0074644B" w:rsidRPr="00BB54DF" w:rsidRDefault="0074644B" w:rsidP="007340D2">
            <w:pPr>
              <w:spacing w:after="0"/>
              <w:rPr>
                <w:rFonts w:ascii="Times New Roman" w:hAnsi="Times New Roman"/>
                <w:sz w:val="16"/>
                <w:szCs w:val="16"/>
                <w:lang w:eastAsia="en-GB"/>
              </w:rPr>
            </w:pPr>
            <w:r w:rsidRPr="00BB54DF">
              <w:rPr>
                <w:rFonts w:ascii="Times New Roman" w:hAnsi="Times New Roman"/>
                <w:sz w:val="16"/>
                <w:szCs w:val="16"/>
                <w:lang w:eastAsia="en-GB"/>
              </w:rPr>
              <w:t>a – BMI missing in 468 (17.9%) exposed and 17,915 (33.2%) unexposed patients in CPRD and 677 (47.2%) exposed and 20,402 (49.1%) unexposed patients in SIDIAP before imputation.</w:t>
            </w:r>
          </w:p>
          <w:p w14:paraId="10E4CBCB" w14:textId="77777777" w:rsidR="0074644B" w:rsidRPr="00BB54DF" w:rsidRDefault="0074644B" w:rsidP="007340D2">
            <w:pPr>
              <w:spacing w:after="0"/>
              <w:rPr>
                <w:rFonts w:ascii="Times New Roman" w:hAnsi="Times New Roman"/>
                <w:sz w:val="16"/>
                <w:szCs w:val="16"/>
                <w:lang w:eastAsia="en-GB"/>
              </w:rPr>
            </w:pPr>
            <w:r w:rsidRPr="00BB54DF">
              <w:rPr>
                <w:rFonts w:ascii="Times New Roman" w:hAnsi="Times New Roman"/>
                <w:sz w:val="16"/>
                <w:szCs w:val="16"/>
                <w:lang w:eastAsia="en-GB"/>
              </w:rPr>
              <w:t>b – Smoking category missing in 238 (9.1%) exposed and 13,239 (24.5%) unexposed patients in CPRD and 294 (20.5%) exposed and 7,124 (17.1%) unexposed patients in SIDIAP before imputation.</w:t>
            </w:r>
          </w:p>
          <w:p w14:paraId="346AE45E" w14:textId="77777777" w:rsidR="0074644B" w:rsidRPr="00BB54DF" w:rsidRDefault="0074644B" w:rsidP="007340D2">
            <w:pPr>
              <w:spacing w:after="0"/>
              <w:rPr>
                <w:rFonts w:ascii="Times New Roman" w:hAnsi="Times New Roman"/>
                <w:sz w:val="16"/>
                <w:szCs w:val="16"/>
                <w:lang w:eastAsia="en-GB"/>
              </w:rPr>
            </w:pPr>
            <w:r w:rsidRPr="00BB54DF">
              <w:rPr>
                <w:rFonts w:ascii="Times New Roman" w:hAnsi="Times New Roman"/>
                <w:sz w:val="16"/>
                <w:szCs w:val="16"/>
                <w:lang w:eastAsia="en-GB"/>
              </w:rPr>
              <w:t>c – Drinking category missing in 665 (25.5%) exposed and 21,581 (40.0%) unexposed patients in CPRD before imputation.</w:t>
            </w:r>
          </w:p>
          <w:p w14:paraId="03C7B7C7" w14:textId="77777777" w:rsidR="0074644B" w:rsidRPr="00BB54DF" w:rsidRDefault="0074644B" w:rsidP="007340D2">
            <w:pPr>
              <w:spacing w:after="0"/>
              <w:rPr>
                <w:rFonts w:ascii="Times New Roman" w:hAnsi="Times New Roman"/>
                <w:sz w:val="16"/>
                <w:szCs w:val="16"/>
                <w:lang w:eastAsia="en-GB"/>
              </w:rPr>
            </w:pPr>
          </w:p>
        </w:tc>
      </w:tr>
      <w:tr w:rsidR="0074644B" w:rsidRPr="00BB54DF" w14:paraId="13FCFA1B" w14:textId="77777777" w:rsidTr="007340D2">
        <w:trPr>
          <w:trHeight w:val="227"/>
        </w:trPr>
        <w:tc>
          <w:tcPr>
            <w:tcW w:w="5000" w:type="pct"/>
            <w:gridSpan w:val="12"/>
            <w:tcBorders>
              <w:top w:val="single" w:sz="4" w:space="0" w:color="auto"/>
              <w:left w:val="nil"/>
              <w:bottom w:val="single" w:sz="4" w:space="0" w:color="auto"/>
            </w:tcBorders>
            <w:shd w:val="clear" w:color="auto" w:fill="auto"/>
            <w:noWrap/>
            <w:vAlign w:val="center"/>
          </w:tcPr>
          <w:p w14:paraId="3D4CCB57" w14:textId="77777777" w:rsidR="0074644B" w:rsidRPr="00BB54DF" w:rsidRDefault="0074644B" w:rsidP="007340D2">
            <w:pPr>
              <w:spacing w:after="0"/>
              <w:rPr>
                <w:rFonts w:ascii="Times New Roman" w:hAnsi="Times New Roman"/>
                <w:sz w:val="16"/>
                <w:szCs w:val="16"/>
                <w:lang w:eastAsia="en-GB"/>
              </w:rPr>
            </w:pPr>
            <w:r w:rsidRPr="00BB54DF">
              <w:rPr>
                <w:rFonts w:ascii="Times New Roman" w:hAnsi="Times New Roman"/>
                <w:sz w:val="16"/>
                <w:szCs w:val="16"/>
                <w:lang w:eastAsia="en-GB"/>
              </w:rPr>
              <w:t xml:space="preserve">ACE = angiotensin-converting enzyme, BMI = body mass index, BP = bisphosphonate, CKD = chronic kidney disease, CPRD = Clinical Practice Research Datalink, DVT = deep vein thrombosis, </w:t>
            </w:r>
            <w:proofErr w:type="spellStart"/>
            <w:r w:rsidRPr="00BB54DF">
              <w:rPr>
                <w:rFonts w:ascii="Times New Roman" w:hAnsi="Times New Roman"/>
                <w:sz w:val="16"/>
                <w:szCs w:val="16"/>
                <w:lang w:eastAsia="en-GB"/>
              </w:rPr>
              <w:t>eGRF</w:t>
            </w:r>
            <w:proofErr w:type="spellEnd"/>
            <w:r w:rsidRPr="00BB54DF">
              <w:rPr>
                <w:rFonts w:ascii="Times New Roman" w:hAnsi="Times New Roman"/>
                <w:sz w:val="16"/>
                <w:szCs w:val="16"/>
                <w:lang w:eastAsia="en-GB"/>
              </w:rPr>
              <w:t xml:space="preserve"> = estimated glomerular filtration rate, SIDIAP =</w:t>
            </w:r>
            <w:r w:rsidRPr="00BB54DF">
              <w:t xml:space="preserve"> </w:t>
            </w:r>
            <w:r w:rsidRPr="00BB54DF">
              <w:rPr>
                <w:rFonts w:ascii="Times New Roman" w:hAnsi="Times New Roman"/>
                <w:sz w:val="16"/>
                <w:szCs w:val="16"/>
                <w:lang w:eastAsia="en-GB"/>
              </w:rPr>
              <w:t>Information System for the Development of Research in Primary Care, NA = Not available in this dataset</w:t>
            </w:r>
          </w:p>
          <w:p w14:paraId="4621A67E" w14:textId="77777777" w:rsidR="0074644B" w:rsidRPr="00BB54DF" w:rsidRDefault="0074644B" w:rsidP="007340D2">
            <w:pPr>
              <w:spacing w:after="0"/>
              <w:rPr>
                <w:rFonts w:ascii="Times New Roman" w:hAnsi="Times New Roman"/>
                <w:sz w:val="16"/>
                <w:szCs w:val="16"/>
                <w:lang w:eastAsia="en-GB"/>
              </w:rPr>
            </w:pPr>
          </w:p>
        </w:tc>
      </w:tr>
    </w:tbl>
    <w:p w14:paraId="53A09FED" w14:textId="054A94B4" w:rsidR="0074644B" w:rsidRPr="00BB54DF" w:rsidRDefault="0074644B">
      <w:pPr>
        <w:spacing w:before="0" w:after="160" w:line="259" w:lineRule="auto"/>
        <w:rPr>
          <w:rFonts w:cs="Arial"/>
          <w:b/>
          <w:bCs/>
          <w:u w:val="single"/>
        </w:rPr>
      </w:pPr>
      <w:r w:rsidRPr="00BB54DF">
        <w:rPr>
          <w:rFonts w:cs="Arial"/>
          <w:b/>
          <w:bCs/>
          <w:u w:val="single"/>
        </w:rPr>
        <w:br w:type="page"/>
      </w:r>
    </w:p>
    <w:p w14:paraId="5AC1646E" w14:textId="77777777" w:rsidR="0074644B" w:rsidRPr="00BB54DF" w:rsidRDefault="0074644B" w:rsidP="0074644B">
      <w:pPr>
        <w:rPr>
          <w:rFonts w:cs="Arial"/>
          <w:b/>
          <w:sz w:val="20"/>
          <w:szCs w:val="20"/>
        </w:rPr>
      </w:pPr>
      <w:r w:rsidRPr="00BB54DF">
        <w:rPr>
          <w:rFonts w:cs="Arial"/>
          <w:b/>
          <w:sz w:val="20"/>
          <w:szCs w:val="20"/>
        </w:rPr>
        <w:lastRenderedPageBreak/>
        <w:t xml:space="preserve">Table 2: Numbers of events, incidence rates, and hazard ratios for all analyses.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
        <w:gridCol w:w="1599"/>
        <w:gridCol w:w="1353"/>
        <w:gridCol w:w="1355"/>
        <w:gridCol w:w="1355"/>
        <w:gridCol w:w="1355"/>
        <w:gridCol w:w="1353"/>
      </w:tblGrid>
      <w:tr w:rsidR="0074644B" w:rsidRPr="00BB54DF" w14:paraId="7968E989" w14:textId="77777777" w:rsidTr="007340D2">
        <w:trPr>
          <w:cantSplit/>
          <w:trHeight w:val="113"/>
        </w:trPr>
        <w:tc>
          <w:tcPr>
            <w:tcW w:w="361" w:type="pct"/>
            <w:vMerge w:val="restart"/>
            <w:vAlign w:val="center"/>
          </w:tcPr>
          <w:p w14:paraId="4836A8AD" w14:textId="77777777" w:rsidR="0074644B" w:rsidRPr="00BB54DF" w:rsidRDefault="0074644B" w:rsidP="007340D2">
            <w:pPr>
              <w:jc w:val="center"/>
              <w:rPr>
                <w:rFonts w:ascii="Times New Roman" w:hAnsi="Times New Roman"/>
                <w:sz w:val="16"/>
                <w:szCs w:val="16"/>
              </w:rPr>
            </w:pPr>
          </w:p>
        </w:tc>
        <w:tc>
          <w:tcPr>
            <w:tcW w:w="886" w:type="pct"/>
            <w:vMerge w:val="restart"/>
            <w:tcBorders>
              <w:right w:val="single" w:sz="4" w:space="0" w:color="auto"/>
            </w:tcBorders>
            <w:vAlign w:val="center"/>
          </w:tcPr>
          <w:p w14:paraId="73F1DC8C" w14:textId="77777777" w:rsidR="0074644B" w:rsidRPr="00BB54DF" w:rsidRDefault="0074644B" w:rsidP="007340D2">
            <w:pPr>
              <w:jc w:val="center"/>
              <w:rPr>
                <w:rFonts w:ascii="Times New Roman" w:hAnsi="Times New Roman"/>
                <w:sz w:val="16"/>
                <w:szCs w:val="16"/>
              </w:rPr>
            </w:pPr>
          </w:p>
        </w:tc>
        <w:tc>
          <w:tcPr>
            <w:tcW w:w="1501" w:type="pct"/>
            <w:gridSpan w:val="2"/>
            <w:tcBorders>
              <w:left w:val="single" w:sz="4" w:space="0" w:color="auto"/>
              <w:right w:val="single" w:sz="4" w:space="0" w:color="auto"/>
            </w:tcBorders>
            <w:vAlign w:val="center"/>
          </w:tcPr>
          <w:p w14:paraId="20A6CFB0"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CPRD</w:t>
            </w:r>
          </w:p>
        </w:tc>
        <w:tc>
          <w:tcPr>
            <w:tcW w:w="1502" w:type="pct"/>
            <w:gridSpan w:val="2"/>
            <w:tcBorders>
              <w:left w:val="single" w:sz="4" w:space="0" w:color="auto"/>
              <w:right w:val="single" w:sz="4" w:space="0" w:color="auto"/>
            </w:tcBorders>
            <w:vAlign w:val="center"/>
          </w:tcPr>
          <w:p w14:paraId="3A7A4AE9"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SIDIAP</w:t>
            </w:r>
          </w:p>
        </w:tc>
        <w:tc>
          <w:tcPr>
            <w:tcW w:w="750" w:type="pct"/>
            <w:tcBorders>
              <w:left w:val="single" w:sz="4" w:space="0" w:color="auto"/>
              <w:right w:val="single" w:sz="4" w:space="0" w:color="auto"/>
            </w:tcBorders>
          </w:tcPr>
          <w:p w14:paraId="00989A6D" w14:textId="77777777" w:rsidR="0074644B" w:rsidRPr="00BB54DF" w:rsidRDefault="0074644B" w:rsidP="007340D2">
            <w:pPr>
              <w:jc w:val="center"/>
              <w:rPr>
                <w:rFonts w:ascii="Times New Roman" w:hAnsi="Times New Roman"/>
                <w:sz w:val="16"/>
                <w:szCs w:val="16"/>
              </w:rPr>
            </w:pPr>
          </w:p>
        </w:tc>
      </w:tr>
      <w:tr w:rsidR="0074644B" w:rsidRPr="00BB54DF" w14:paraId="15A21241" w14:textId="77777777" w:rsidTr="007340D2">
        <w:trPr>
          <w:cantSplit/>
          <w:trHeight w:val="113"/>
        </w:trPr>
        <w:tc>
          <w:tcPr>
            <w:tcW w:w="361" w:type="pct"/>
            <w:vMerge/>
            <w:tcBorders>
              <w:bottom w:val="triple" w:sz="4" w:space="0" w:color="auto"/>
            </w:tcBorders>
            <w:vAlign w:val="center"/>
          </w:tcPr>
          <w:p w14:paraId="48D437D6" w14:textId="77777777" w:rsidR="0074644B" w:rsidRPr="00BB54DF" w:rsidRDefault="0074644B" w:rsidP="007340D2">
            <w:pPr>
              <w:jc w:val="center"/>
              <w:rPr>
                <w:rFonts w:ascii="Times New Roman" w:hAnsi="Times New Roman"/>
                <w:sz w:val="16"/>
                <w:szCs w:val="16"/>
              </w:rPr>
            </w:pPr>
          </w:p>
        </w:tc>
        <w:tc>
          <w:tcPr>
            <w:tcW w:w="886" w:type="pct"/>
            <w:vMerge/>
            <w:tcBorders>
              <w:bottom w:val="triple" w:sz="4" w:space="0" w:color="auto"/>
              <w:right w:val="single" w:sz="4" w:space="0" w:color="auto"/>
            </w:tcBorders>
            <w:vAlign w:val="center"/>
          </w:tcPr>
          <w:p w14:paraId="106EF6EB" w14:textId="77777777" w:rsidR="0074644B" w:rsidRPr="00BB54DF" w:rsidRDefault="0074644B" w:rsidP="007340D2">
            <w:pPr>
              <w:jc w:val="center"/>
              <w:rPr>
                <w:rFonts w:ascii="Times New Roman" w:hAnsi="Times New Roman"/>
                <w:sz w:val="16"/>
                <w:szCs w:val="16"/>
              </w:rPr>
            </w:pPr>
          </w:p>
        </w:tc>
        <w:tc>
          <w:tcPr>
            <w:tcW w:w="750" w:type="pct"/>
            <w:tcBorders>
              <w:left w:val="single" w:sz="4" w:space="0" w:color="auto"/>
              <w:bottom w:val="triple" w:sz="4" w:space="0" w:color="auto"/>
            </w:tcBorders>
            <w:vAlign w:val="center"/>
          </w:tcPr>
          <w:p w14:paraId="0C03579C"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BP</w:t>
            </w:r>
          </w:p>
        </w:tc>
        <w:tc>
          <w:tcPr>
            <w:tcW w:w="751" w:type="pct"/>
            <w:tcBorders>
              <w:bottom w:val="triple" w:sz="4" w:space="0" w:color="auto"/>
              <w:right w:val="single" w:sz="4" w:space="0" w:color="auto"/>
            </w:tcBorders>
            <w:vAlign w:val="center"/>
          </w:tcPr>
          <w:p w14:paraId="7744C506"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Non-BP</w:t>
            </w:r>
          </w:p>
        </w:tc>
        <w:tc>
          <w:tcPr>
            <w:tcW w:w="751" w:type="pct"/>
            <w:tcBorders>
              <w:left w:val="single" w:sz="4" w:space="0" w:color="auto"/>
              <w:bottom w:val="triple" w:sz="4" w:space="0" w:color="auto"/>
            </w:tcBorders>
            <w:vAlign w:val="center"/>
          </w:tcPr>
          <w:p w14:paraId="244770B7"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BP</w:t>
            </w:r>
          </w:p>
        </w:tc>
        <w:tc>
          <w:tcPr>
            <w:tcW w:w="751" w:type="pct"/>
            <w:tcBorders>
              <w:bottom w:val="triple" w:sz="4" w:space="0" w:color="auto"/>
              <w:right w:val="single" w:sz="4" w:space="0" w:color="auto"/>
            </w:tcBorders>
            <w:vAlign w:val="center"/>
          </w:tcPr>
          <w:p w14:paraId="63BBE7EE"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Non-BP</w:t>
            </w:r>
          </w:p>
        </w:tc>
        <w:tc>
          <w:tcPr>
            <w:tcW w:w="750" w:type="pct"/>
            <w:tcBorders>
              <w:bottom w:val="triple" w:sz="4" w:space="0" w:color="auto"/>
              <w:right w:val="single" w:sz="4" w:space="0" w:color="auto"/>
            </w:tcBorders>
          </w:tcPr>
          <w:p w14:paraId="3ABD924B"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Combined</w:t>
            </w:r>
          </w:p>
        </w:tc>
      </w:tr>
      <w:tr w:rsidR="0074644B" w:rsidRPr="00BB54DF" w14:paraId="27B8674B" w14:textId="77777777" w:rsidTr="007340D2">
        <w:trPr>
          <w:cantSplit/>
          <w:trHeight w:val="113"/>
        </w:trPr>
        <w:tc>
          <w:tcPr>
            <w:tcW w:w="361" w:type="pct"/>
            <w:vMerge w:val="restart"/>
            <w:tcBorders>
              <w:top w:val="triple" w:sz="4" w:space="0" w:color="auto"/>
            </w:tcBorders>
            <w:textDirection w:val="btLr"/>
            <w:vAlign w:val="center"/>
          </w:tcPr>
          <w:p w14:paraId="05A2F446" w14:textId="77777777" w:rsidR="0074644B" w:rsidRPr="00BB54DF" w:rsidRDefault="0074644B" w:rsidP="007340D2">
            <w:pPr>
              <w:ind w:left="113" w:right="113"/>
              <w:jc w:val="center"/>
              <w:rPr>
                <w:rFonts w:ascii="Times New Roman" w:hAnsi="Times New Roman"/>
                <w:sz w:val="16"/>
                <w:szCs w:val="16"/>
              </w:rPr>
            </w:pPr>
            <w:r w:rsidRPr="00BB54DF">
              <w:rPr>
                <w:rFonts w:ascii="Times New Roman" w:hAnsi="Times New Roman"/>
                <w:sz w:val="16"/>
                <w:szCs w:val="16"/>
              </w:rPr>
              <w:t>Chronic kidney disease progression</w:t>
            </w:r>
          </w:p>
        </w:tc>
        <w:tc>
          <w:tcPr>
            <w:tcW w:w="886" w:type="pct"/>
            <w:tcBorders>
              <w:top w:val="triple" w:sz="4" w:space="0" w:color="auto"/>
              <w:right w:val="single" w:sz="4" w:space="0" w:color="auto"/>
            </w:tcBorders>
            <w:vAlign w:val="center"/>
          </w:tcPr>
          <w:p w14:paraId="5781DECB"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Unmatched n. events</w:t>
            </w:r>
          </w:p>
        </w:tc>
        <w:tc>
          <w:tcPr>
            <w:tcW w:w="750" w:type="pct"/>
            <w:tcBorders>
              <w:top w:val="triple" w:sz="4" w:space="0" w:color="auto"/>
              <w:left w:val="single" w:sz="4" w:space="0" w:color="auto"/>
            </w:tcBorders>
            <w:vAlign w:val="center"/>
          </w:tcPr>
          <w:p w14:paraId="2C4D08E2"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614</w:t>
            </w:r>
          </w:p>
        </w:tc>
        <w:tc>
          <w:tcPr>
            <w:tcW w:w="751" w:type="pct"/>
            <w:tcBorders>
              <w:top w:val="triple" w:sz="4" w:space="0" w:color="auto"/>
              <w:right w:val="single" w:sz="4" w:space="0" w:color="auto"/>
            </w:tcBorders>
            <w:vAlign w:val="center"/>
          </w:tcPr>
          <w:p w14:paraId="225A989A"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15,411</w:t>
            </w:r>
          </w:p>
        </w:tc>
        <w:tc>
          <w:tcPr>
            <w:tcW w:w="751" w:type="pct"/>
            <w:tcBorders>
              <w:top w:val="triple" w:sz="4" w:space="0" w:color="auto"/>
              <w:left w:val="single" w:sz="4" w:space="0" w:color="auto"/>
            </w:tcBorders>
            <w:vAlign w:val="center"/>
          </w:tcPr>
          <w:p w14:paraId="089CFEE6"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471</w:t>
            </w:r>
          </w:p>
        </w:tc>
        <w:tc>
          <w:tcPr>
            <w:tcW w:w="751" w:type="pct"/>
            <w:tcBorders>
              <w:top w:val="triple" w:sz="4" w:space="0" w:color="auto"/>
              <w:right w:val="single" w:sz="4" w:space="0" w:color="auto"/>
            </w:tcBorders>
            <w:vAlign w:val="center"/>
          </w:tcPr>
          <w:p w14:paraId="09EB84D1"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13,462</w:t>
            </w:r>
          </w:p>
        </w:tc>
        <w:tc>
          <w:tcPr>
            <w:tcW w:w="750" w:type="pct"/>
            <w:tcBorders>
              <w:top w:val="triple" w:sz="4" w:space="0" w:color="auto"/>
              <w:right w:val="single" w:sz="4" w:space="0" w:color="auto"/>
            </w:tcBorders>
          </w:tcPr>
          <w:p w14:paraId="2B52EF70" w14:textId="77777777" w:rsidR="0074644B" w:rsidRPr="00BB54DF" w:rsidRDefault="0074644B" w:rsidP="007340D2">
            <w:pPr>
              <w:jc w:val="center"/>
              <w:rPr>
                <w:rFonts w:ascii="Times New Roman" w:hAnsi="Times New Roman"/>
                <w:sz w:val="16"/>
                <w:szCs w:val="16"/>
              </w:rPr>
            </w:pPr>
          </w:p>
        </w:tc>
      </w:tr>
      <w:tr w:rsidR="0074644B" w:rsidRPr="00BB54DF" w14:paraId="1DC5C2D6" w14:textId="77777777" w:rsidTr="007340D2">
        <w:trPr>
          <w:cantSplit/>
          <w:trHeight w:val="113"/>
        </w:trPr>
        <w:tc>
          <w:tcPr>
            <w:tcW w:w="361" w:type="pct"/>
            <w:vMerge/>
            <w:textDirection w:val="btLr"/>
            <w:vAlign w:val="center"/>
          </w:tcPr>
          <w:p w14:paraId="685F6649" w14:textId="77777777" w:rsidR="0074644B" w:rsidRPr="00BB54DF" w:rsidRDefault="0074644B" w:rsidP="007340D2">
            <w:pPr>
              <w:ind w:left="113" w:right="113"/>
              <w:jc w:val="center"/>
              <w:rPr>
                <w:rFonts w:ascii="Times New Roman" w:hAnsi="Times New Roman"/>
                <w:sz w:val="16"/>
                <w:szCs w:val="16"/>
              </w:rPr>
            </w:pPr>
          </w:p>
        </w:tc>
        <w:tc>
          <w:tcPr>
            <w:tcW w:w="886" w:type="pct"/>
            <w:tcBorders>
              <w:right w:val="single" w:sz="4" w:space="0" w:color="auto"/>
            </w:tcBorders>
            <w:vAlign w:val="center"/>
          </w:tcPr>
          <w:p w14:paraId="2EE3E7A5"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Unmatched incidence rates</w:t>
            </w:r>
          </w:p>
        </w:tc>
        <w:tc>
          <w:tcPr>
            <w:tcW w:w="750" w:type="pct"/>
            <w:tcBorders>
              <w:left w:val="single" w:sz="4" w:space="0" w:color="auto"/>
            </w:tcBorders>
            <w:vAlign w:val="center"/>
          </w:tcPr>
          <w:p w14:paraId="783A78B5"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90.8 (83.9, 98.3)</w:t>
            </w:r>
          </w:p>
        </w:tc>
        <w:tc>
          <w:tcPr>
            <w:tcW w:w="751" w:type="pct"/>
            <w:tcBorders>
              <w:right w:val="single" w:sz="4" w:space="0" w:color="auto"/>
            </w:tcBorders>
            <w:vAlign w:val="center"/>
          </w:tcPr>
          <w:p w14:paraId="7635BACD"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73.3 (72.1, 74.4)</w:t>
            </w:r>
          </w:p>
        </w:tc>
        <w:tc>
          <w:tcPr>
            <w:tcW w:w="751" w:type="pct"/>
            <w:tcBorders>
              <w:left w:val="single" w:sz="4" w:space="0" w:color="auto"/>
            </w:tcBorders>
            <w:shd w:val="clear" w:color="auto" w:fill="auto"/>
            <w:vAlign w:val="center"/>
          </w:tcPr>
          <w:p w14:paraId="064C3ED7"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119.0 (108.5,130.2)</w:t>
            </w:r>
          </w:p>
        </w:tc>
        <w:tc>
          <w:tcPr>
            <w:tcW w:w="751" w:type="pct"/>
            <w:tcBorders>
              <w:right w:val="single" w:sz="4" w:space="0" w:color="auto"/>
            </w:tcBorders>
            <w:shd w:val="clear" w:color="auto" w:fill="auto"/>
            <w:vAlign w:val="center"/>
          </w:tcPr>
          <w:p w14:paraId="36137507"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104.7 (102.9,106.5)</w:t>
            </w:r>
          </w:p>
        </w:tc>
        <w:tc>
          <w:tcPr>
            <w:tcW w:w="750" w:type="pct"/>
            <w:tcBorders>
              <w:right w:val="single" w:sz="4" w:space="0" w:color="auto"/>
            </w:tcBorders>
          </w:tcPr>
          <w:p w14:paraId="237D6CDB" w14:textId="77777777" w:rsidR="0074644B" w:rsidRPr="00BB54DF" w:rsidRDefault="0074644B" w:rsidP="007340D2">
            <w:pPr>
              <w:jc w:val="center"/>
              <w:rPr>
                <w:rFonts w:ascii="Times New Roman" w:hAnsi="Times New Roman"/>
                <w:sz w:val="16"/>
                <w:szCs w:val="16"/>
              </w:rPr>
            </w:pPr>
          </w:p>
        </w:tc>
      </w:tr>
      <w:tr w:rsidR="0074644B" w:rsidRPr="00BB54DF" w14:paraId="409935D5" w14:textId="77777777" w:rsidTr="007340D2">
        <w:trPr>
          <w:cantSplit/>
          <w:trHeight w:val="113"/>
        </w:trPr>
        <w:tc>
          <w:tcPr>
            <w:tcW w:w="361" w:type="pct"/>
            <w:vMerge/>
            <w:textDirection w:val="btLr"/>
            <w:vAlign w:val="center"/>
          </w:tcPr>
          <w:p w14:paraId="46D044D6" w14:textId="77777777" w:rsidR="0074644B" w:rsidRPr="00BB54DF" w:rsidRDefault="0074644B" w:rsidP="007340D2">
            <w:pPr>
              <w:ind w:left="113" w:right="113"/>
              <w:jc w:val="center"/>
              <w:rPr>
                <w:rFonts w:ascii="Times New Roman" w:hAnsi="Times New Roman"/>
                <w:sz w:val="16"/>
                <w:szCs w:val="16"/>
              </w:rPr>
            </w:pPr>
          </w:p>
        </w:tc>
        <w:tc>
          <w:tcPr>
            <w:tcW w:w="886" w:type="pct"/>
            <w:tcBorders>
              <w:right w:val="single" w:sz="4" w:space="0" w:color="auto"/>
            </w:tcBorders>
            <w:vAlign w:val="center"/>
          </w:tcPr>
          <w:p w14:paraId="3EEDAF51"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Unadjusted HR</w:t>
            </w:r>
          </w:p>
        </w:tc>
        <w:tc>
          <w:tcPr>
            <w:tcW w:w="1501" w:type="pct"/>
            <w:gridSpan w:val="2"/>
            <w:tcBorders>
              <w:left w:val="single" w:sz="4" w:space="0" w:color="auto"/>
              <w:right w:val="single" w:sz="4" w:space="0" w:color="auto"/>
            </w:tcBorders>
            <w:vAlign w:val="center"/>
          </w:tcPr>
          <w:p w14:paraId="3F6B8DA5" w14:textId="77777777" w:rsidR="0074644B" w:rsidRPr="00BB54DF" w:rsidRDefault="0074644B" w:rsidP="007340D2">
            <w:pPr>
              <w:jc w:val="center"/>
              <w:rPr>
                <w:rFonts w:ascii="Times New Roman" w:hAnsi="Times New Roman"/>
                <w:b/>
                <w:sz w:val="16"/>
                <w:szCs w:val="16"/>
              </w:rPr>
            </w:pPr>
            <w:r w:rsidRPr="00BB54DF">
              <w:rPr>
                <w:rFonts w:ascii="Times New Roman" w:hAnsi="Times New Roman"/>
                <w:b/>
                <w:sz w:val="16"/>
                <w:szCs w:val="16"/>
              </w:rPr>
              <w:t>1.25 (1.15, 1.36)</w:t>
            </w:r>
          </w:p>
        </w:tc>
        <w:tc>
          <w:tcPr>
            <w:tcW w:w="1502" w:type="pct"/>
            <w:gridSpan w:val="2"/>
            <w:tcBorders>
              <w:left w:val="single" w:sz="4" w:space="0" w:color="auto"/>
              <w:right w:val="single" w:sz="4" w:space="0" w:color="auto"/>
            </w:tcBorders>
            <w:shd w:val="clear" w:color="auto" w:fill="auto"/>
            <w:vAlign w:val="center"/>
          </w:tcPr>
          <w:p w14:paraId="1C25B6E7" w14:textId="77777777" w:rsidR="0074644B" w:rsidRPr="00BB54DF" w:rsidRDefault="0074644B" w:rsidP="007340D2">
            <w:pPr>
              <w:jc w:val="center"/>
              <w:rPr>
                <w:rFonts w:ascii="Times New Roman" w:hAnsi="Times New Roman"/>
                <w:b/>
                <w:sz w:val="16"/>
                <w:szCs w:val="16"/>
              </w:rPr>
            </w:pPr>
            <w:r w:rsidRPr="00BB54DF">
              <w:rPr>
                <w:rFonts w:ascii="Times New Roman" w:hAnsi="Times New Roman"/>
                <w:b/>
                <w:sz w:val="16"/>
                <w:szCs w:val="16"/>
              </w:rPr>
              <w:t>1.13 (1.03, 1.23)</w:t>
            </w:r>
          </w:p>
        </w:tc>
        <w:tc>
          <w:tcPr>
            <w:tcW w:w="750" w:type="pct"/>
            <w:tcBorders>
              <w:left w:val="single" w:sz="4" w:space="0" w:color="auto"/>
              <w:right w:val="single" w:sz="4" w:space="0" w:color="auto"/>
            </w:tcBorders>
          </w:tcPr>
          <w:p w14:paraId="6DE68C17" w14:textId="77777777" w:rsidR="0074644B" w:rsidRPr="00BB54DF" w:rsidRDefault="0074644B" w:rsidP="007340D2">
            <w:pPr>
              <w:jc w:val="center"/>
              <w:rPr>
                <w:rFonts w:ascii="Times New Roman" w:hAnsi="Times New Roman"/>
                <w:b/>
                <w:sz w:val="16"/>
                <w:szCs w:val="16"/>
              </w:rPr>
            </w:pPr>
            <w:r w:rsidRPr="00BB54DF">
              <w:rPr>
                <w:rFonts w:ascii="Times New Roman" w:hAnsi="Times New Roman"/>
                <w:b/>
                <w:sz w:val="16"/>
                <w:szCs w:val="16"/>
              </w:rPr>
              <w:t>1.19 (1.12, 1.27)</w:t>
            </w:r>
          </w:p>
        </w:tc>
      </w:tr>
      <w:tr w:rsidR="0074644B" w:rsidRPr="00BB54DF" w14:paraId="5CD7EC68" w14:textId="77777777" w:rsidTr="007340D2">
        <w:trPr>
          <w:cantSplit/>
          <w:trHeight w:val="113"/>
        </w:trPr>
        <w:tc>
          <w:tcPr>
            <w:tcW w:w="361" w:type="pct"/>
            <w:vMerge/>
            <w:textDirection w:val="btLr"/>
            <w:vAlign w:val="center"/>
          </w:tcPr>
          <w:p w14:paraId="50B3005F" w14:textId="77777777" w:rsidR="0074644B" w:rsidRPr="00BB54DF" w:rsidRDefault="0074644B" w:rsidP="007340D2">
            <w:pPr>
              <w:ind w:left="113" w:right="113"/>
              <w:jc w:val="center"/>
              <w:rPr>
                <w:rFonts w:ascii="Times New Roman" w:hAnsi="Times New Roman"/>
                <w:sz w:val="16"/>
                <w:szCs w:val="16"/>
              </w:rPr>
            </w:pPr>
          </w:p>
        </w:tc>
        <w:tc>
          <w:tcPr>
            <w:tcW w:w="886" w:type="pct"/>
            <w:tcBorders>
              <w:bottom w:val="single" w:sz="4" w:space="0" w:color="auto"/>
              <w:right w:val="single" w:sz="4" w:space="0" w:color="auto"/>
            </w:tcBorders>
            <w:vAlign w:val="center"/>
          </w:tcPr>
          <w:p w14:paraId="7E222E19"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Fully adjusted HR</w:t>
            </w:r>
          </w:p>
        </w:tc>
        <w:tc>
          <w:tcPr>
            <w:tcW w:w="1501" w:type="pct"/>
            <w:gridSpan w:val="2"/>
            <w:tcBorders>
              <w:left w:val="single" w:sz="4" w:space="0" w:color="auto"/>
              <w:bottom w:val="single" w:sz="4" w:space="0" w:color="auto"/>
              <w:right w:val="single" w:sz="4" w:space="0" w:color="auto"/>
            </w:tcBorders>
            <w:vAlign w:val="center"/>
          </w:tcPr>
          <w:p w14:paraId="004F8360" w14:textId="77777777" w:rsidR="0074644B" w:rsidRPr="00BB54DF" w:rsidRDefault="0074644B" w:rsidP="007340D2">
            <w:pPr>
              <w:jc w:val="center"/>
              <w:rPr>
                <w:rFonts w:ascii="Times New Roman" w:hAnsi="Times New Roman"/>
                <w:b/>
                <w:sz w:val="16"/>
                <w:szCs w:val="16"/>
              </w:rPr>
            </w:pPr>
            <w:r w:rsidRPr="00BB54DF">
              <w:rPr>
                <w:rFonts w:ascii="Times New Roman" w:hAnsi="Times New Roman"/>
                <w:b/>
                <w:sz w:val="16"/>
                <w:szCs w:val="16"/>
              </w:rPr>
              <w:t>1.18 (1.08, 1.29)</w:t>
            </w:r>
          </w:p>
        </w:tc>
        <w:tc>
          <w:tcPr>
            <w:tcW w:w="1502" w:type="pct"/>
            <w:gridSpan w:val="2"/>
            <w:tcBorders>
              <w:left w:val="single" w:sz="4" w:space="0" w:color="auto"/>
              <w:bottom w:val="single" w:sz="4" w:space="0" w:color="auto"/>
              <w:right w:val="single" w:sz="4" w:space="0" w:color="auto"/>
            </w:tcBorders>
            <w:shd w:val="clear" w:color="auto" w:fill="auto"/>
            <w:vAlign w:val="center"/>
          </w:tcPr>
          <w:p w14:paraId="056FAAF5" w14:textId="77777777" w:rsidR="0074644B" w:rsidRPr="00BB54DF" w:rsidRDefault="0074644B" w:rsidP="007340D2">
            <w:pPr>
              <w:jc w:val="center"/>
              <w:rPr>
                <w:rFonts w:ascii="Times New Roman" w:hAnsi="Times New Roman"/>
                <w:b/>
                <w:sz w:val="16"/>
                <w:szCs w:val="16"/>
              </w:rPr>
            </w:pPr>
            <w:r w:rsidRPr="00BB54DF">
              <w:rPr>
                <w:rFonts w:ascii="Times New Roman" w:hAnsi="Times New Roman"/>
                <w:b/>
                <w:sz w:val="16"/>
                <w:szCs w:val="16"/>
              </w:rPr>
              <w:t>1.19 (1.08, 1.31)</w:t>
            </w:r>
          </w:p>
        </w:tc>
        <w:tc>
          <w:tcPr>
            <w:tcW w:w="750" w:type="pct"/>
            <w:tcBorders>
              <w:left w:val="single" w:sz="4" w:space="0" w:color="auto"/>
              <w:bottom w:val="single" w:sz="4" w:space="0" w:color="auto"/>
              <w:right w:val="single" w:sz="4" w:space="0" w:color="auto"/>
            </w:tcBorders>
          </w:tcPr>
          <w:p w14:paraId="27FE2B82" w14:textId="77777777" w:rsidR="0074644B" w:rsidRPr="00BB54DF" w:rsidRDefault="0074644B" w:rsidP="007340D2">
            <w:pPr>
              <w:jc w:val="center"/>
              <w:rPr>
                <w:rFonts w:ascii="Times New Roman" w:hAnsi="Times New Roman"/>
                <w:b/>
                <w:sz w:val="16"/>
                <w:szCs w:val="16"/>
              </w:rPr>
            </w:pPr>
            <w:r w:rsidRPr="00BB54DF">
              <w:rPr>
                <w:rFonts w:ascii="Times New Roman" w:hAnsi="Times New Roman"/>
                <w:b/>
                <w:sz w:val="16"/>
                <w:szCs w:val="16"/>
              </w:rPr>
              <w:t>1.18 (1.11, 1.26)</w:t>
            </w:r>
          </w:p>
        </w:tc>
      </w:tr>
      <w:tr w:rsidR="0074644B" w:rsidRPr="00BB54DF" w14:paraId="47F705EB" w14:textId="77777777" w:rsidTr="007340D2">
        <w:trPr>
          <w:cantSplit/>
          <w:trHeight w:val="113"/>
        </w:trPr>
        <w:tc>
          <w:tcPr>
            <w:tcW w:w="361" w:type="pct"/>
            <w:vMerge/>
            <w:textDirection w:val="btLr"/>
            <w:vAlign w:val="center"/>
          </w:tcPr>
          <w:p w14:paraId="6295450F" w14:textId="77777777" w:rsidR="0074644B" w:rsidRPr="00BB54DF" w:rsidRDefault="0074644B" w:rsidP="007340D2">
            <w:pPr>
              <w:ind w:left="113" w:right="113"/>
              <w:jc w:val="center"/>
              <w:rPr>
                <w:rFonts w:ascii="Times New Roman" w:hAnsi="Times New Roman"/>
                <w:sz w:val="16"/>
                <w:szCs w:val="16"/>
              </w:rPr>
            </w:pPr>
          </w:p>
        </w:tc>
        <w:tc>
          <w:tcPr>
            <w:tcW w:w="886" w:type="pct"/>
            <w:tcBorders>
              <w:top w:val="single" w:sz="4" w:space="0" w:color="auto"/>
              <w:right w:val="single" w:sz="4" w:space="0" w:color="auto"/>
            </w:tcBorders>
            <w:vAlign w:val="center"/>
          </w:tcPr>
          <w:p w14:paraId="13872891"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PS-matched n. events</w:t>
            </w:r>
          </w:p>
        </w:tc>
        <w:tc>
          <w:tcPr>
            <w:tcW w:w="750" w:type="pct"/>
            <w:tcBorders>
              <w:top w:val="single" w:sz="4" w:space="0" w:color="auto"/>
              <w:left w:val="single" w:sz="4" w:space="0" w:color="auto"/>
            </w:tcBorders>
            <w:vAlign w:val="center"/>
          </w:tcPr>
          <w:p w14:paraId="432C0D87" w14:textId="77777777" w:rsidR="0074644B" w:rsidRPr="00BB54DF" w:rsidRDefault="0074644B" w:rsidP="007340D2">
            <w:pPr>
              <w:jc w:val="center"/>
              <w:rPr>
                <w:rFonts w:ascii="Times New Roman" w:hAnsi="Times New Roman"/>
                <w:b/>
                <w:sz w:val="16"/>
                <w:szCs w:val="16"/>
              </w:rPr>
            </w:pPr>
            <w:r w:rsidRPr="00BB54DF">
              <w:rPr>
                <w:rFonts w:ascii="Times New Roman" w:hAnsi="Times New Roman"/>
                <w:sz w:val="16"/>
                <w:szCs w:val="16"/>
              </w:rPr>
              <w:t>576</w:t>
            </w:r>
          </w:p>
        </w:tc>
        <w:tc>
          <w:tcPr>
            <w:tcW w:w="751" w:type="pct"/>
            <w:tcBorders>
              <w:top w:val="single" w:sz="4" w:space="0" w:color="auto"/>
              <w:left w:val="nil"/>
              <w:right w:val="single" w:sz="4" w:space="0" w:color="auto"/>
            </w:tcBorders>
            <w:vAlign w:val="center"/>
          </w:tcPr>
          <w:p w14:paraId="0C0FDF7E"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1,996</w:t>
            </w:r>
          </w:p>
        </w:tc>
        <w:tc>
          <w:tcPr>
            <w:tcW w:w="751" w:type="pct"/>
            <w:tcBorders>
              <w:top w:val="single" w:sz="4" w:space="0" w:color="auto"/>
              <w:left w:val="single" w:sz="4" w:space="0" w:color="auto"/>
            </w:tcBorders>
            <w:shd w:val="clear" w:color="auto" w:fill="auto"/>
            <w:vAlign w:val="center"/>
          </w:tcPr>
          <w:p w14:paraId="57FDAA61"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467</w:t>
            </w:r>
          </w:p>
        </w:tc>
        <w:tc>
          <w:tcPr>
            <w:tcW w:w="751" w:type="pct"/>
            <w:tcBorders>
              <w:top w:val="single" w:sz="4" w:space="0" w:color="auto"/>
              <w:left w:val="nil"/>
              <w:right w:val="single" w:sz="4" w:space="0" w:color="auto"/>
            </w:tcBorders>
            <w:shd w:val="clear" w:color="auto" w:fill="auto"/>
            <w:vAlign w:val="center"/>
          </w:tcPr>
          <w:p w14:paraId="397E41A0"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2015</w:t>
            </w:r>
          </w:p>
        </w:tc>
        <w:tc>
          <w:tcPr>
            <w:tcW w:w="750" w:type="pct"/>
            <w:tcBorders>
              <w:top w:val="single" w:sz="4" w:space="0" w:color="auto"/>
              <w:left w:val="nil"/>
              <w:right w:val="single" w:sz="4" w:space="0" w:color="auto"/>
            </w:tcBorders>
          </w:tcPr>
          <w:p w14:paraId="3BA870AA" w14:textId="77777777" w:rsidR="0074644B" w:rsidRPr="00BB54DF" w:rsidRDefault="0074644B" w:rsidP="007340D2">
            <w:pPr>
              <w:jc w:val="center"/>
              <w:rPr>
                <w:rFonts w:ascii="Times New Roman" w:hAnsi="Times New Roman"/>
                <w:sz w:val="16"/>
                <w:szCs w:val="16"/>
              </w:rPr>
            </w:pPr>
          </w:p>
        </w:tc>
      </w:tr>
      <w:tr w:rsidR="0074644B" w:rsidRPr="00BB54DF" w14:paraId="55DDF361" w14:textId="77777777" w:rsidTr="007340D2">
        <w:trPr>
          <w:cantSplit/>
          <w:trHeight w:val="113"/>
        </w:trPr>
        <w:tc>
          <w:tcPr>
            <w:tcW w:w="361" w:type="pct"/>
            <w:vMerge/>
            <w:textDirection w:val="btLr"/>
            <w:vAlign w:val="center"/>
          </w:tcPr>
          <w:p w14:paraId="6AAAF23E" w14:textId="77777777" w:rsidR="0074644B" w:rsidRPr="00BB54DF" w:rsidRDefault="0074644B" w:rsidP="007340D2">
            <w:pPr>
              <w:ind w:left="113" w:right="113"/>
              <w:jc w:val="center"/>
              <w:rPr>
                <w:rFonts w:ascii="Times New Roman" w:hAnsi="Times New Roman"/>
                <w:sz w:val="16"/>
                <w:szCs w:val="16"/>
              </w:rPr>
            </w:pPr>
          </w:p>
        </w:tc>
        <w:tc>
          <w:tcPr>
            <w:tcW w:w="886" w:type="pct"/>
            <w:tcBorders>
              <w:right w:val="single" w:sz="4" w:space="0" w:color="auto"/>
            </w:tcBorders>
            <w:vAlign w:val="center"/>
          </w:tcPr>
          <w:p w14:paraId="3B1C279D"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PS-matched incidence rates</w:t>
            </w:r>
          </w:p>
        </w:tc>
        <w:tc>
          <w:tcPr>
            <w:tcW w:w="750" w:type="pct"/>
            <w:tcBorders>
              <w:left w:val="single" w:sz="4" w:space="0" w:color="auto"/>
            </w:tcBorders>
            <w:vAlign w:val="center"/>
          </w:tcPr>
          <w:p w14:paraId="42288BE0"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89.1 (82.1, 96.7)</w:t>
            </w:r>
          </w:p>
        </w:tc>
        <w:tc>
          <w:tcPr>
            <w:tcW w:w="751" w:type="pct"/>
            <w:tcBorders>
              <w:left w:val="nil"/>
              <w:right w:val="single" w:sz="4" w:space="0" w:color="auto"/>
            </w:tcBorders>
            <w:vAlign w:val="center"/>
          </w:tcPr>
          <w:p w14:paraId="288AE20C"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85.6 (82.0, 89.5)</w:t>
            </w:r>
          </w:p>
        </w:tc>
        <w:tc>
          <w:tcPr>
            <w:tcW w:w="751" w:type="pct"/>
            <w:tcBorders>
              <w:left w:val="single" w:sz="4" w:space="0" w:color="auto"/>
            </w:tcBorders>
            <w:shd w:val="clear" w:color="auto" w:fill="auto"/>
            <w:vAlign w:val="center"/>
          </w:tcPr>
          <w:p w14:paraId="730EBFBF"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118.4 (107.9,129.6)</w:t>
            </w:r>
          </w:p>
        </w:tc>
        <w:tc>
          <w:tcPr>
            <w:tcW w:w="751" w:type="pct"/>
            <w:tcBorders>
              <w:left w:val="nil"/>
              <w:right w:val="single" w:sz="4" w:space="0" w:color="auto"/>
            </w:tcBorders>
            <w:shd w:val="clear" w:color="auto" w:fill="auto"/>
            <w:vAlign w:val="center"/>
          </w:tcPr>
          <w:p w14:paraId="17DEF6FA"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100.0 (95.7,104.5)</w:t>
            </w:r>
          </w:p>
        </w:tc>
        <w:tc>
          <w:tcPr>
            <w:tcW w:w="750" w:type="pct"/>
            <w:tcBorders>
              <w:left w:val="nil"/>
              <w:right w:val="single" w:sz="4" w:space="0" w:color="auto"/>
            </w:tcBorders>
          </w:tcPr>
          <w:p w14:paraId="5FB5A092" w14:textId="77777777" w:rsidR="0074644B" w:rsidRPr="00BB54DF" w:rsidRDefault="0074644B" w:rsidP="007340D2">
            <w:pPr>
              <w:jc w:val="center"/>
              <w:rPr>
                <w:rFonts w:ascii="Times New Roman" w:hAnsi="Times New Roman"/>
                <w:sz w:val="16"/>
                <w:szCs w:val="16"/>
              </w:rPr>
            </w:pPr>
          </w:p>
        </w:tc>
      </w:tr>
      <w:tr w:rsidR="0074644B" w:rsidRPr="00BB54DF" w14:paraId="0ABAB631" w14:textId="77777777" w:rsidTr="007340D2">
        <w:trPr>
          <w:cantSplit/>
          <w:trHeight w:val="113"/>
        </w:trPr>
        <w:tc>
          <w:tcPr>
            <w:tcW w:w="361" w:type="pct"/>
            <w:vMerge/>
            <w:textDirection w:val="btLr"/>
            <w:vAlign w:val="center"/>
          </w:tcPr>
          <w:p w14:paraId="3ECEB11F" w14:textId="77777777" w:rsidR="0074644B" w:rsidRPr="00BB54DF" w:rsidRDefault="0074644B" w:rsidP="007340D2">
            <w:pPr>
              <w:ind w:left="113" w:right="113"/>
              <w:jc w:val="center"/>
              <w:rPr>
                <w:rFonts w:ascii="Times New Roman" w:hAnsi="Times New Roman"/>
                <w:sz w:val="16"/>
                <w:szCs w:val="16"/>
              </w:rPr>
            </w:pPr>
          </w:p>
        </w:tc>
        <w:tc>
          <w:tcPr>
            <w:tcW w:w="886" w:type="pct"/>
            <w:tcBorders>
              <w:right w:val="single" w:sz="4" w:space="0" w:color="auto"/>
            </w:tcBorders>
            <w:vAlign w:val="center"/>
          </w:tcPr>
          <w:p w14:paraId="1A6DC6C9"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PS-matched sub-HR</w:t>
            </w:r>
          </w:p>
        </w:tc>
        <w:tc>
          <w:tcPr>
            <w:tcW w:w="1501" w:type="pct"/>
            <w:gridSpan w:val="2"/>
            <w:tcBorders>
              <w:left w:val="single" w:sz="4" w:space="0" w:color="auto"/>
              <w:right w:val="single" w:sz="4" w:space="0" w:color="auto"/>
            </w:tcBorders>
            <w:vAlign w:val="center"/>
          </w:tcPr>
          <w:p w14:paraId="006FBC4E" w14:textId="77777777" w:rsidR="0074644B" w:rsidRPr="00BB54DF" w:rsidRDefault="0074644B" w:rsidP="007340D2">
            <w:pPr>
              <w:jc w:val="center"/>
              <w:rPr>
                <w:rFonts w:ascii="Times New Roman" w:hAnsi="Times New Roman"/>
                <w:b/>
                <w:sz w:val="16"/>
                <w:szCs w:val="16"/>
                <w:vertAlign w:val="superscript"/>
              </w:rPr>
            </w:pPr>
            <w:r w:rsidRPr="00BB54DF">
              <w:rPr>
                <w:rFonts w:ascii="Times New Roman" w:hAnsi="Times New Roman"/>
                <w:b/>
                <w:sz w:val="16"/>
                <w:szCs w:val="16"/>
              </w:rPr>
              <w:t>1.14 (1.04, 1.26)</w:t>
            </w:r>
          </w:p>
        </w:tc>
        <w:tc>
          <w:tcPr>
            <w:tcW w:w="1502" w:type="pct"/>
            <w:gridSpan w:val="2"/>
            <w:tcBorders>
              <w:left w:val="single" w:sz="4" w:space="0" w:color="auto"/>
              <w:right w:val="single" w:sz="4" w:space="0" w:color="auto"/>
            </w:tcBorders>
            <w:shd w:val="clear" w:color="auto" w:fill="auto"/>
            <w:vAlign w:val="center"/>
          </w:tcPr>
          <w:p w14:paraId="5997A10D" w14:textId="77777777" w:rsidR="0074644B" w:rsidRPr="00BB54DF" w:rsidRDefault="0074644B" w:rsidP="007340D2">
            <w:pPr>
              <w:jc w:val="center"/>
              <w:rPr>
                <w:rFonts w:ascii="Times New Roman" w:hAnsi="Times New Roman"/>
                <w:b/>
                <w:sz w:val="16"/>
                <w:szCs w:val="16"/>
              </w:rPr>
            </w:pPr>
            <w:r w:rsidRPr="00BB54DF">
              <w:rPr>
                <w:rFonts w:ascii="Times New Roman" w:hAnsi="Times New Roman"/>
                <w:b/>
                <w:sz w:val="16"/>
                <w:szCs w:val="16"/>
              </w:rPr>
              <w:t>1.15 (1.04, 1.27)</w:t>
            </w:r>
          </w:p>
        </w:tc>
        <w:tc>
          <w:tcPr>
            <w:tcW w:w="750" w:type="pct"/>
            <w:tcBorders>
              <w:left w:val="single" w:sz="4" w:space="0" w:color="auto"/>
              <w:right w:val="single" w:sz="4" w:space="0" w:color="auto"/>
            </w:tcBorders>
          </w:tcPr>
          <w:p w14:paraId="290A49B7" w14:textId="77777777" w:rsidR="0074644B" w:rsidRPr="00BB54DF" w:rsidRDefault="0074644B" w:rsidP="007340D2">
            <w:pPr>
              <w:jc w:val="center"/>
              <w:rPr>
                <w:rFonts w:ascii="Times New Roman" w:hAnsi="Times New Roman"/>
                <w:b/>
                <w:sz w:val="16"/>
                <w:szCs w:val="16"/>
              </w:rPr>
            </w:pPr>
            <w:r w:rsidRPr="00BB54DF">
              <w:rPr>
                <w:rFonts w:ascii="Times New Roman" w:hAnsi="Times New Roman"/>
                <w:b/>
                <w:sz w:val="16"/>
                <w:szCs w:val="16"/>
              </w:rPr>
              <w:t>1.14 (1.07, 1.23)</w:t>
            </w:r>
          </w:p>
        </w:tc>
      </w:tr>
      <w:tr w:rsidR="0074644B" w:rsidRPr="00BB54DF" w14:paraId="1F382AF6" w14:textId="77777777" w:rsidTr="007340D2">
        <w:trPr>
          <w:cantSplit/>
          <w:trHeight w:val="113"/>
        </w:trPr>
        <w:tc>
          <w:tcPr>
            <w:tcW w:w="361" w:type="pct"/>
            <w:vMerge w:val="restart"/>
            <w:tcBorders>
              <w:top w:val="double" w:sz="4" w:space="0" w:color="auto"/>
            </w:tcBorders>
            <w:textDirection w:val="btLr"/>
            <w:vAlign w:val="center"/>
          </w:tcPr>
          <w:p w14:paraId="37EC3EEE" w14:textId="77777777" w:rsidR="0074644B" w:rsidRPr="00BB54DF" w:rsidRDefault="0074644B" w:rsidP="007340D2">
            <w:pPr>
              <w:ind w:left="113" w:right="113"/>
              <w:jc w:val="center"/>
              <w:rPr>
                <w:rFonts w:ascii="Times New Roman" w:hAnsi="Times New Roman"/>
                <w:sz w:val="16"/>
                <w:szCs w:val="16"/>
              </w:rPr>
            </w:pPr>
            <w:r w:rsidRPr="00BB54DF">
              <w:rPr>
                <w:rFonts w:ascii="Times New Roman" w:hAnsi="Times New Roman"/>
                <w:sz w:val="16"/>
                <w:szCs w:val="16"/>
              </w:rPr>
              <w:t>Acute kidney injury</w:t>
            </w:r>
          </w:p>
        </w:tc>
        <w:tc>
          <w:tcPr>
            <w:tcW w:w="886" w:type="pct"/>
            <w:tcBorders>
              <w:top w:val="double" w:sz="4" w:space="0" w:color="auto"/>
              <w:right w:val="single" w:sz="4" w:space="0" w:color="auto"/>
            </w:tcBorders>
            <w:vAlign w:val="center"/>
          </w:tcPr>
          <w:p w14:paraId="7D371516"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Unmatched n. events</w:t>
            </w:r>
          </w:p>
        </w:tc>
        <w:tc>
          <w:tcPr>
            <w:tcW w:w="750" w:type="pct"/>
            <w:tcBorders>
              <w:top w:val="double" w:sz="4" w:space="0" w:color="auto"/>
              <w:left w:val="single" w:sz="4" w:space="0" w:color="auto"/>
            </w:tcBorders>
            <w:vAlign w:val="center"/>
          </w:tcPr>
          <w:p w14:paraId="4530EB06"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83</w:t>
            </w:r>
          </w:p>
        </w:tc>
        <w:tc>
          <w:tcPr>
            <w:tcW w:w="751" w:type="pct"/>
            <w:tcBorders>
              <w:top w:val="double" w:sz="4" w:space="0" w:color="auto"/>
              <w:right w:val="single" w:sz="4" w:space="0" w:color="auto"/>
            </w:tcBorders>
            <w:vAlign w:val="center"/>
          </w:tcPr>
          <w:p w14:paraId="00B50CBE"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2,739</w:t>
            </w:r>
          </w:p>
        </w:tc>
        <w:tc>
          <w:tcPr>
            <w:tcW w:w="751" w:type="pct"/>
            <w:tcBorders>
              <w:top w:val="double" w:sz="4" w:space="0" w:color="auto"/>
              <w:left w:val="single" w:sz="4" w:space="0" w:color="auto"/>
            </w:tcBorders>
            <w:shd w:val="clear" w:color="auto" w:fill="auto"/>
            <w:vAlign w:val="center"/>
          </w:tcPr>
          <w:p w14:paraId="3CB6740B"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101</w:t>
            </w:r>
          </w:p>
        </w:tc>
        <w:tc>
          <w:tcPr>
            <w:tcW w:w="751" w:type="pct"/>
            <w:tcBorders>
              <w:top w:val="double" w:sz="4" w:space="0" w:color="auto"/>
              <w:right w:val="single" w:sz="4" w:space="0" w:color="auto"/>
            </w:tcBorders>
            <w:shd w:val="clear" w:color="auto" w:fill="auto"/>
            <w:vAlign w:val="center"/>
          </w:tcPr>
          <w:p w14:paraId="3E8EAB7B"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3,203</w:t>
            </w:r>
          </w:p>
        </w:tc>
        <w:tc>
          <w:tcPr>
            <w:tcW w:w="750" w:type="pct"/>
            <w:tcBorders>
              <w:top w:val="double" w:sz="4" w:space="0" w:color="auto"/>
              <w:right w:val="single" w:sz="4" w:space="0" w:color="auto"/>
            </w:tcBorders>
          </w:tcPr>
          <w:p w14:paraId="025558B1" w14:textId="77777777" w:rsidR="0074644B" w:rsidRPr="00BB54DF" w:rsidRDefault="0074644B" w:rsidP="007340D2">
            <w:pPr>
              <w:jc w:val="center"/>
              <w:rPr>
                <w:rFonts w:ascii="Times New Roman" w:hAnsi="Times New Roman"/>
                <w:sz w:val="16"/>
                <w:szCs w:val="16"/>
              </w:rPr>
            </w:pPr>
          </w:p>
        </w:tc>
      </w:tr>
      <w:tr w:rsidR="0074644B" w:rsidRPr="00BB54DF" w14:paraId="526DBA64" w14:textId="77777777" w:rsidTr="007340D2">
        <w:trPr>
          <w:cantSplit/>
          <w:trHeight w:val="113"/>
        </w:trPr>
        <w:tc>
          <w:tcPr>
            <w:tcW w:w="361" w:type="pct"/>
            <w:vMerge/>
            <w:textDirection w:val="btLr"/>
            <w:vAlign w:val="center"/>
          </w:tcPr>
          <w:p w14:paraId="48D4DCBC" w14:textId="77777777" w:rsidR="0074644B" w:rsidRPr="00BB54DF" w:rsidRDefault="0074644B" w:rsidP="007340D2">
            <w:pPr>
              <w:ind w:left="113" w:right="113"/>
              <w:jc w:val="center"/>
              <w:rPr>
                <w:rFonts w:ascii="Times New Roman" w:hAnsi="Times New Roman"/>
                <w:sz w:val="16"/>
                <w:szCs w:val="16"/>
              </w:rPr>
            </w:pPr>
          </w:p>
        </w:tc>
        <w:tc>
          <w:tcPr>
            <w:tcW w:w="886" w:type="pct"/>
            <w:tcBorders>
              <w:right w:val="single" w:sz="4" w:space="0" w:color="auto"/>
            </w:tcBorders>
            <w:vAlign w:val="center"/>
          </w:tcPr>
          <w:p w14:paraId="29250013"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Unmatched incidence rates</w:t>
            </w:r>
          </w:p>
        </w:tc>
        <w:tc>
          <w:tcPr>
            <w:tcW w:w="750" w:type="pct"/>
            <w:tcBorders>
              <w:left w:val="single" w:sz="4" w:space="0" w:color="auto"/>
            </w:tcBorders>
            <w:vAlign w:val="center"/>
          </w:tcPr>
          <w:p w14:paraId="0B80A256"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11.7 (9.5, 14.6)</w:t>
            </w:r>
          </w:p>
        </w:tc>
        <w:tc>
          <w:tcPr>
            <w:tcW w:w="751" w:type="pct"/>
            <w:tcBorders>
              <w:right w:val="single" w:sz="4" w:space="0" w:color="auto"/>
            </w:tcBorders>
            <w:vAlign w:val="center"/>
          </w:tcPr>
          <w:p w14:paraId="60E07104"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11.2 (10.8, 11.6)</w:t>
            </w:r>
          </w:p>
        </w:tc>
        <w:tc>
          <w:tcPr>
            <w:tcW w:w="751" w:type="pct"/>
            <w:tcBorders>
              <w:left w:val="single" w:sz="4" w:space="0" w:color="auto"/>
            </w:tcBorders>
            <w:shd w:val="clear" w:color="auto" w:fill="auto"/>
            <w:vAlign w:val="center"/>
          </w:tcPr>
          <w:p w14:paraId="1D5C9400"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19.8 (16.1, 24.0)</w:t>
            </w:r>
          </w:p>
        </w:tc>
        <w:tc>
          <w:tcPr>
            <w:tcW w:w="751" w:type="pct"/>
            <w:tcBorders>
              <w:right w:val="single" w:sz="4" w:space="0" w:color="auto"/>
            </w:tcBorders>
            <w:shd w:val="clear" w:color="auto" w:fill="auto"/>
            <w:vAlign w:val="center"/>
          </w:tcPr>
          <w:p w14:paraId="03A68CE9"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19.6 (18.9, 20.3)</w:t>
            </w:r>
          </w:p>
        </w:tc>
        <w:tc>
          <w:tcPr>
            <w:tcW w:w="750" w:type="pct"/>
            <w:tcBorders>
              <w:right w:val="single" w:sz="4" w:space="0" w:color="auto"/>
            </w:tcBorders>
          </w:tcPr>
          <w:p w14:paraId="27787002" w14:textId="77777777" w:rsidR="0074644B" w:rsidRPr="00BB54DF" w:rsidRDefault="0074644B" w:rsidP="007340D2">
            <w:pPr>
              <w:jc w:val="center"/>
              <w:rPr>
                <w:rFonts w:ascii="Times New Roman" w:hAnsi="Times New Roman"/>
                <w:sz w:val="16"/>
                <w:szCs w:val="16"/>
              </w:rPr>
            </w:pPr>
          </w:p>
        </w:tc>
      </w:tr>
      <w:tr w:rsidR="0074644B" w:rsidRPr="00BB54DF" w14:paraId="35BD9255" w14:textId="77777777" w:rsidTr="007340D2">
        <w:trPr>
          <w:cantSplit/>
          <w:trHeight w:val="113"/>
        </w:trPr>
        <w:tc>
          <w:tcPr>
            <w:tcW w:w="361" w:type="pct"/>
            <w:vMerge/>
            <w:textDirection w:val="btLr"/>
            <w:vAlign w:val="center"/>
          </w:tcPr>
          <w:p w14:paraId="56947AF9" w14:textId="77777777" w:rsidR="0074644B" w:rsidRPr="00BB54DF" w:rsidRDefault="0074644B" w:rsidP="007340D2">
            <w:pPr>
              <w:ind w:left="113" w:right="113"/>
              <w:jc w:val="center"/>
              <w:rPr>
                <w:rFonts w:ascii="Times New Roman" w:hAnsi="Times New Roman"/>
                <w:sz w:val="16"/>
                <w:szCs w:val="16"/>
              </w:rPr>
            </w:pPr>
          </w:p>
        </w:tc>
        <w:tc>
          <w:tcPr>
            <w:tcW w:w="886" w:type="pct"/>
            <w:tcBorders>
              <w:right w:val="single" w:sz="4" w:space="0" w:color="auto"/>
            </w:tcBorders>
            <w:vAlign w:val="center"/>
          </w:tcPr>
          <w:p w14:paraId="193E8AD6"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Unadjusted HR</w:t>
            </w:r>
          </w:p>
        </w:tc>
        <w:tc>
          <w:tcPr>
            <w:tcW w:w="1501" w:type="pct"/>
            <w:gridSpan w:val="2"/>
            <w:tcBorders>
              <w:left w:val="single" w:sz="4" w:space="0" w:color="auto"/>
              <w:right w:val="single" w:sz="4" w:space="0" w:color="auto"/>
            </w:tcBorders>
            <w:vAlign w:val="center"/>
          </w:tcPr>
          <w:p w14:paraId="0F60E832"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1.11 (0.89, 1.38)</w:t>
            </w:r>
          </w:p>
        </w:tc>
        <w:tc>
          <w:tcPr>
            <w:tcW w:w="1502" w:type="pct"/>
            <w:gridSpan w:val="2"/>
            <w:tcBorders>
              <w:left w:val="single" w:sz="4" w:space="0" w:color="auto"/>
              <w:right w:val="single" w:sz="4" w:space="0" w:color="auto"/>
            </w:tcBorders>
            <w:shd w:val="clear" w:color="auto" w:fill="auto"/>
            <w:vAlign w:val="center"/>
          </w:tcPr>
          <w:p w14:paraId="13B87F56"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1.01 (0.83, 1.23)</w:t>
            </w:r>
          </w:p>
        </w:tc>
        <w:tc>
          <w:tcPr>
            <w:tcW w:w="750" w:type="pct"/>
            <w:tcBorders>
              <w:left w:val="single" w:sz="4" w:space="0" w:color="auto"/>
              <w:right w:val="single" w:sz="4" w:space="0" w:color="auto"/>
            </w:tcBorders>
          </w:tcPr>
          <w:p w14:paraId="27F9D06C"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1.05 (0.91, 1.22)</w:t>
            </w:r>
          </w:p>
        </w:tc>
      </w:tr>
      <w:tr w:rsidR="0074644B" w:rsidRPr="00BB54DF" w14:paraId="5D49DD33" w14:textId="77777777" w:rsidTr="007340D2">
        <w:trPr>
          <w:cantSplit/>
          <w:trHeight w:val="113"/>
        </w:trPr>
        <w:tc>
          <w:tcPr>
            <w:tcW w:w="361" w:type="pct"/>
            <w:vMerge/>
            <w:textDirection w:val="btLr"/>
            <w:vAlign w:val="center"/>
          </w:tcPr>
          <w:p w14:paraId="44A38B37" w14:textId="77777777" w:rsidR="0074644B" w:rsidRPr="00BB54DF" w:rsidRDefault="0074644B" w:rsidP="007340D2">
            <w:pPr>
              <w:ind w:left="113" w:right="113"/>
              <w:jc w:val="center"/>
              <w:rPr>
                <w:rFonts w:ascii="Times New Roman" w:hAnsi="Times New Roman"/>
                <w:sz w:val="16"/>
                <w:szCs w:val="16"/>
              </w:rPr>
            </w:pPr>
          </w:p>
        </w:tc>
        <w:tc>
          <w:tcPr>
            <w:tcW w:w="886" w:type="pct"/>
            <w:tcBorders>
              <w:bottom w:val="single" w:sz="4" w:space="0" w:color="auto"/>
              <w:right w:val="single" w:sz="4" w:space="0" w:color="auto"/>
            </w:tcBorders>
            <w:vAlign w:val="center"/>
          </w:tcPr>
          <w:p w14:paraId="512089A2"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Fully adjusted HR</w:t>
            </w:r>
          </w:p>
        </w:tc>
        <w:tc>
          <w:tcPr>
            <w:tcW w:w="1501" w:type="pct"/>
            <w:gridSpan w:val="2"/>
            <w:tcBorders>
              <w:left w:val="single" w:sz="4" w:space="0" w:color="auto"/>
              <w:bottom w:val="single" w:sz="4" w:space="0" w:color="auto"/>
              <w:right w:val="single" w:sz="4" w:space="0" w:color="auto"/>
            </w:tcBorders>
            <w:vAlign w:val="center"/>
          </w:tcPr>
          <w:p w14:paraId="684CDEB8"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0.84 (0.66, 1.05)</w:t>
            </w:r>
          </w:p>
        </w:tc>
        <w:tc>
          <w:tcPr>
            <w:tcW w:w="1502" w:type="pct"/>
            <w:gridSpan w:val="2"/>
            <w:tcBorders>
              <w:left w:val="single" w:sz="4" w:space="0" w:color="auto"/>
              <w:bottom w:val="single" w:sz="4" w:space="0" w:color="auto"/>
              <w:right w:val="single" w:sz="4" w:space="0" w:color="auto"/>
            </w:tcBorders>
            <w:shd w:val="clear" w:color="auto" w:fill="auto"/>
            <w:vAlign w:val="center"/>
          </w:tcPr>
          <w:p w14:paraId="680934FF"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1.07 (0.88, 1.31)</w:t>
            </w:r>
          </w:p>
        </w:tc>
        <w:tc>
          <w:tcPr>
            <w:tcW w:w="750" w:type="pct"/>
            <w:tcBorders>
              <w:left w:val="single" w:sz="4" w:space="0" w:color="auto"/>
              <w:bottom w:val="single" w:sz="4" w:space="0" w:color="auto"/>
              <w:right w:val="single" w:sz="4" w:space="0" w:color="auto"/>
            </w:tcBorders>
          </w:tcPr>
          <w:p w14:paraId="44431A04"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0.97 (0.83, 1.12)</w:t>
            </w:r>
          </w:p>
        </w:tc>
      </w:tr>
      <w:tr w:rsidR="0074644B" w:rsidRPr="00BB54DF" w14:paraId="598219D6" w14:textId="77777777" w:rsidTr="007340D2">
        <w:trPr>
          <w:cantSplit/>
          <w:trHeight w:val="113"/>
        </w:trPr>
        <w:tc>
          <w:tcPr>
            <w:tcW w:w="361" w:type="pct"/>
            <w:vMerge/>
            <w:textDirection w:val="btLr"/>
            <w:vAlign w:val="center"/>
          </w:tcPr>
          <w:p w14:paraId="75B7CDE2" w14:textId="77777777" w:rsidR="0074644B" w:rsidRPr="00BB54DF" w:rsidRDefault="0074644B" w:rsidP="007340D2">
            <w:pPr>
              <w:ind w:left="113" w:right="113"/>
              <w:jc w:val="center"/>
              <w:rPr>
                <w:rFonts w:ascii="Times New Roman" w:hAnsi="Times New Roman"/>
                <w:sz w:val="16"/>
                <w:szCs w:val="16"/>
              </w:rPr>
            </w:pPr>
          </w:p>
        </w:tc>
        <w:tc>
          <w:tcPr>
            <w:tcW w:w="886" w:type="pct"/>
            <w:tcBorders>
              <w:top w:val="single" w:sz="4" w:space="0" w:color="auto"/>
              <w:right w:val="single" w:sz="4" w:space="0" w:color="auto"/>
            </w:tcBorders>
            <w:vAlign w:val="center"/>
          </w:tcPr>
          <w:p w14:paraId="27624792"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PS-matched n. events</w:t>
            </w:r>
          </w:p>
        </w:tc>
        <w:tc>
          <w:tcPr>
            <w:tcW w:w="750" w:type="pct"/>
            <w:tcBorders>
              <w:top w:val="single" w:sz="4" w:space="0" w:color="auto"/>
              <w:left w:val="single" w:sz="4" w:space="0" w:color="auto"/>
            </w:tcBorders>
            <w:vAlign w:val="center"/>
          </w:tcPr>
          <w:p w14:paraId="0060783F"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80</w:t>
            </w:r>
          </w:p>
        </w:tc>
        <w:tc>
          <w:tcPr>
            <w:tcW w:w="751" w:type="pct"/>
            <w:tcBorders>
              <w:top w:val="single" w:sz="4" w:space="0" w:color="auto"/>
              <w:left w:val="nil"/>
              <w:right w:val="single" w:sz="4" w:space="0" w:color="auto"/>
            </w:tcBorders>
            <w:vAlign w:val="center"/>
          </w:tcPr>
          <w:p w14:paraId="0FF1B1F3"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402</w:t>
            </w:r>
          </w:p>
        </w:tc>
        <w:tc>
          <w:tcPr>
            <w:tcW w:w="751" w:type="pct"/>
            <w:tcBorders>
              <w:top w:val="single" w:sz="4" w:space="0" w:color="auto"/>
              <w:left w:val="single" w:sz="4" w:space="0" w:color="auto"/>
            </w:tcBorders>
            <w:vAlign w:val="center"/>
          </w:tcPr>
          <w:p w14:paraId="46447F6F"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99</w:t>
            </w:r>
          </w:p>
        </w:tc>
        <w:tc>
          <w:tcPr>
            <w:tcW w:w="751" w:type="pct"/>
            <w:tcBorders>
              <w:top w:val="single" w:sz="4" w:space="0" w:color="auto"/>
              <w:left w:val="nil"/>
              <w:right w:val="single" w:sz="4" w:space="0" w:color="auto"/>
            </w:tcBorders>
            <w:vAlign w:val="center"/>
          </w:tcPr>
          <w:p w14:paraId="4CD9AA75"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498</w:t>
            </w:r>
          </w:p>
        </w:tc>
        <w:tc>
          <w:tcPr>
            <w:tcW w:w="750" w:type="pct"/>
            <w:tcBorders>
              <w:top w:val="single" w:sz="4" w:space="0" w:color="auto"/>
              <w:left w:val="nil"/>
              <w:right w:val="single" w:sz="4" w:space="0" w:color="auto"/>
            </w:tcBorders>
          </w:tcPr>
          <w:p w14:paraId="556D3474" w14:textId="77777777" w:rsidR="0074644B" w:rsidRPr="00BB54DF" w:rsidRDefault="0074644B" w:rsidP="007340D2">
            <w:pPr>
              <w:jc w:val="center"/>
              <w:rPr>
                <w:rFonts w:ascii="Times New Roman" w:hAnsi="Times New Roman"/>
                <w:sz w:val="16"/>
                <w:szCs w:val="16"/>
              </w:rPr>
            </w:pPr>
          </w:p>
        </w:tc>
      </w:tr>
      <w:tr w:rsidR="0074644B" w:rsidRPr="00BB54DF" w14:paraId="700D9A86" w14:textId="77777777" w:rsidTr="007340D2">
        <w:trPr>
          <w:cantSplit/>
          <w:trHeight w:val="113"/>
        </w:trPr>
        <w:tc>
          <w:tcPr>
            <w:tcW w:w="361" w:type="pct"/>
            <w:vMerge/>
            <w:textDirection w:val="btLr"/>
            <w:vAlign w:val="center"/>
          </w:tcPr>
          <w:p w14:paraId="6F25FC75" w14:textId="77777777" w:rsidR="0074644B" w:rsidRPr="00BB54DF" w:rsidRDefault="0074644B" w:rsidP="007340D2">
            <w:pPr>
              <w:ind w:left="113" w:right="113"/>
              <w:jc w:val="center"/>
              <w:rPr>
                <w:rFonts w:ascii="Times New Roman" w:hAnsi="Times New Roman"/>
                <w:sz w:val="16"/>
                <w:szCs w:val="16"/>
              </w:rPr>
            </w:pPr>
          </w:p>
        </w:tc>
        <w:tc>
          <w:tcPr>
            <w:tcW w:w="886" w:type="pct"/>
            <w:tcBorders>
              <w:right w:val="single" w:sz="4" w:space="0" w:color="auto"/>
            </w:tcBorders>
            <w:vAlign w:val="center"/>
          </w:tcPr>
          <w:p w14:paraId="1F530CEA"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PS-matched incidence rates</w:t>
            </w:r>
          </w:p>
        </w:tc>
        <w:tc>
          <w:tcPr>
            <w:tcW w:w="750" w:type="pct"/>
            <w:tcBorders>
              <w:left w:val="single" w:sz="4" w:space="0" w:color="auto"/>
            </w:tcBorders>
            <w:vAlign w:val="center"/>
          </w:tcPr>
          <w:p w14:paraId="502342F3"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15.2 (13.8, 16.8)</w:t>
            </w:r>
          </w:p>
        </w:tc>
        <w:tc>
          <w:tcPr>
            <w:tcW w:w="751" w:type="pct"/>
            <w:tcBorders>
              <w:left w:val="nil"/>
              <w:right w:val="single" w:sz="4" w:space="0" w:color="auto"/>
            </w:tcBorders>
            <w:vAlign w:val="center"/>
          </w:tcPr>
          <w:p w14:paraId="73CC4B3A"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12.0 (9.7, 14.9)</w:t>
            </w:r>
          </w:p>
        </w:tc>
        <w:tc>
          <w:tcPr>
            <w:tcW w:w="751" w:type="pct"/>
            <w:tcBorders>
              <w:left w:val="single" w:sz="4" w:space="0" w:color="auto"/>
            </w:tcBorders>
            <w:vAlign w:val="center"/>
          </w:tcPr>
          <w:p w14:paraId="7F6EDFEF"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19.5 (15.9, 23.8)</w:t>
            </w:r>
          </w:p>
        </w:tc>
        <w:tc>
          <w:tcPr>
            <w:tcW w:w="751" w:type="pct"/>
            <w:tcBorders>
              <w:left w:val="nil"/>
              <w:right w:val="single" w:sz="4" w:space="0" w:color="auto"/>
            </w:tcBorders>
            <w:vAlign w:val="center"/>
          </w:tcPr>
          <w:p w14:paraId="5B91DB5E"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19.6 (17.9, 21.4)</w:t>
            </w:r>
          </w:p>
        </w:tc>
        <w:tc>
          <w:tcPr>
            <w:tcW w:w="750" w:type="pct"/>
            <w:tcBorders>
              <w:left w:val="nil"/>
              <w:right w:val="single" w:sz="4" w:space="0" w:color="auto"/>
            </w:tcBorders>
          </w:tcPr>
          <w:p w14:paraId="0599959F" w14:textId="77777777" w:rsidR="0074644B" w:rsidRPr="00BB54DF" w:rsidRDefault="0074644B" w:rsidP="007340D2">
            <w:pPr>
              <w:jc w:val="center"/>
              <w:rPr>
                <w:rFonts w:ascii="Times New Roman" w:hAnsi="Times New Roman"/>
                <w:sz w:val="16"/>
                <w:szCs w:val="16"/>
              </w:rPr>
            </w:pPr>
          </w:p>
        </w:tc>
      </w:tr>
      <w:tr w:rsidR="0074644B" w:rsidRPr="00BB54DF" w14:paraId="4456814E" w14:textId="77777777" w:rsidTr="007340D2">
        <w:trPr>
          <w:cantSplit/>
          <w:trHeight w:val="113"/>
        </w:trPr>
        <w:tc>
          <w:tcPr>
            <w:tcW w:w="361" w:type="pct"/>
            <w:vMerge/>
            <w:textDirection w:val="btLr"/>
            <w:vAlign w:val="center"/>
          </w:tcPr>
          <w:p w14:paraId="54EDF57F" w14:textId="77777777" w:rsidR="0074644B" w:rsidRPr="00BB54DF" w:rsidRDefault="0074644B" w:rsidP="007340D2">
            <w:pPr>
              <w:ind w:left="113" w:right="113"/>
              <w:jc w:val="center"/>
              <w:rPr>
                <w:rFonts w:ascii="Times New Roman" w:hAnsi="Times New Roman"/>
                <w:sz w:val="16"/>
                <w:szCs w:val="16"/>
              </w:rPr>
            </w:pPr>
          </w:p>
        </w:tc>
        <w:tc>
          <w:tcPr>
            <w:tcW w:w="886" w:type="pct"/>
            <w:tcBorders>
              <w:right w:val="single" w:sz="4" w:space="0" w:color="auto"/>
            </w:tcBorders>
            <w:vAlign w:val="center"/>
          </w:tcPr>
          <w:p w14:paraId="47EFFBDA"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PS-matched sub-HR</w:t>
            </w:r>
          </w:p>
        </w:tc>
        <w:tc>
          <w:tcPr>
            <w:tcW w:w="1501" w:type="pct"/>
            <w:gridSpan w:val="2"/>
            <w:tcBorders>
              <w:left w:val="single" w:sz="4" w:space="0" w:color="auto"/>
              <w:right w:val="single" w:sz="4" w:space="0" w:color="auto"/>
            </w:tcBorders>
            <w:vAlign w:val="center"/>
          </w:tcPr>
          <w:p w14:paraId="5C9DB78E"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0.86 (0.67, 1.09)</w:t>
            </w:r>
            <w:r w:rsidRPr="00BB54DF">
              <w:rPr>
                <w:rFonts w:ascii="Times New Roman" w:hAnsi="Times New Roman"/>
                <w:b/>
                <w:sz w:val="16"/>
                <w:szCs w:val="16"/>
                <w:vertAlign w:val="superscript"/>
              </w:rPr>
              <w:t xml:space="preserve"> </w:t>
            </w:r>
          </w:p>
        </w:tc>
        <w:tc>
          <w:tcPr>
            <w:tcW w:w="1502" w:type="pct"/>
            <w:gridSpan w:val="2"/>
            <w:tcBorders>
              <w:left w:val="single" w:sz="4" w:space="0" w:color="auto"/>
              <w:right w:val="single" w:sz="4" w:space="0" w:color="auto"/>
            </w:tcBorders>
            <w:shd w:val="clear" w:color="auto" w:fill="auto"/>
            <w:vAlign w:val="center"/>
          </w:tcPr>
          <w:p w14:paraId="2997A8DD"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0.97 (0.78, 1.21)</w:t>
            </w:r>
          </w:p>
        </w:tc>
        <w:tc>
          <w:tcPr>
            <w:tcW w:w="750" w:type="pct"/>
            <w:tcBorders>
              <w:left w:val="single" w:sz="4" w:space="0" w:color="auto"/>
              <w:right w:val="single" w:sz="4" w:space="0" w:color="auto"/>
            </w:tcBorders>
          </w:tcPr>
          <w:p w14:paraId="3A35FDCD"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0.92 (0.78, 1.08)</w:t>
            </w:r>
          </w:p>
        </w:tc>
      </w:tr>
      <w:tr w:rsidR="0074644B" w:rsidRPr="00BB54DF" w14:paraId="0C51A191" w14:textId="77777777" w:rsidTr="007340D2">
        <w:trPr>
          <w:cantSplit/>
          <w:trHeight w:val="113"/>
        </w:trPr>
        <w:tc>
          <w:tcPr>
            <w:tcW w:w="361" w:type="pct"/>
            <w:vMerge w:val="restart"/>
            <w:tcBorders>
              <w:top w:val="double" w:sz="4" w:space="0" w:color="auto"/>
            </w:tcBorders>
            <w:textDirection w:val="btLr"/>
            <w:vAlign w:val="center"/>
          </w:tcPr>
          <w:p w14:paraId="45AB7363" w14:textId="77777777" w:rsidR="0074644B" w:rsidRPr="00BB54DF" w:rsidRDefault="0074644B" w:rsidP="007340D2">
            <w:pPr>
              <w:ind w:left="113" w:right="113"/>
              <w:jc w:val="center"/>
              <w:rPr>
                <w:rFonts w:ascii="Times New Roman" w:hAnsi="Times New Roman"/>
                <w:sz w:val="16"/>
                <w:szCs w:val="16"/>
              </w:rPr>
            </w:pPr>
            <w:r w:rsidRPr="00BB54DF">
              <w:rPr>
                <w:rFonts w:ascii="Times New Roman" w:hAnsi="Times New Roman"/>
                <w:sz w:val="16"/>
                <w:szCs w:val="16"/>
              </w:rPr>
              <w:t>Gastrointestinal event</w:t>
            </w:r>
          </w:p>
        </w:tc>
        <w:tc>
          <w:tcPr>
            <w:tcW w:w="886" w:type="pct"/>
            <w:tcBorders>
              <w:top w:val="double" w:sz="4" w:space="0" w:color="auto"/>
              <w:right w:val="single" w:sz="4" w:space="0" w:color="auto"/>
            </w:tcBorders>
            <w:vAlign w:val="center"/>
          </w:tcPr>
          <w:p w14:paraId="5D7685F0"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Unmatched n. events</w:t>
            </w:r>
          </w:p>
        </w:tc>
        <w:tc>
          <w:tcPr>
            <w:tcW w:w="750" w:type="pct"/>
            <w:tcBorders>
              <w:top w:val="double" w:sz="4" w:space="0" w:color="auto"/>
              <w:left w:val="single" w:sz="4" w:space="0" w:color="auto"/>
            </w:tcBorders>
            <w:vAlign w:val="center"/>
          </w:tcPr>
          <w:p w14:paraId="26FD3463"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38</w:t>
            </w:r>
          </w:p>
        </w:tc>
        <w:tc>
          <w:tcPr>
            <w:tcW w:w="751" w:type="pct"/>
            <w:tcBorders>
              <w:top w:val="double" w:sz="4" w:space="0" w:color="auto"/>
              <w:right w:val="single" w:sz="4" w:space="0" w:color="auto"/>
            </w:tcBorders>
            <w:vAlign w:val="center"/>
          </w:tcPr>
          <w:p w14:paraId="5ACF7887"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1,294</w:t>
            </w:r>
          </w:p>
        </w:tc>
        <w:tc>
          <w:tcPr>
            <w:tcW w:w="751" w:type="pct"/>
            <w:tcBorders>
              <w:top w:val="double" w:sz="4" w:space="0" w:color="auto"/>
              <w:left w:val="single" w:sz="4" w:space="0" w:color="auto"/>
            </w:tcBorders>
            <w:shd w:val="clear" w:color="auto" w:fill="auto"/>
            <w:vAlign w:val="center"/>
          </w:tcPr>
          <w:p w14:paraId="644FC695"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10</w:t>
            </w:r>
          </w:p>
        </w:tc>
        <w:tc>
          <w:tcPr>
            <w:tcW w:w="751" w:type="pct"/>
            <w:tcBorders>
              <w:top w:val="double" w:sz="4" w:space="0" w:color="auto"/>
              <w:right w:val="single" w:sz="4" w:space="0" w:color="auto"/>
            </w:tcBorders>
            <w:shd w:val="clear" w:color="auto" w:fill="auto"/>
            <w:vAlign w:val="center"/>
          </w:tcPr>
          <w:p w14:paraId="63821F6A"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338</w:t>
            </w:r>
          </w:p>
        </w:tc>
        <w:tc>
          <w:tcPr>
            <w:tcW w:w="750" w:type="pct"/>
            <w:tcBorders>
              <w:top w:val="double" w:sz="4" w:space="0" w:color="auto"/>
              <w:right w:val="single" w:sz="4" w:space="0" w:color="auto"/>
            </w:tcBorders>
          </w:tcPr>
          <w:p w14:paraId="11FC04D2" w14:textId="77777777" w:rsidR="0074644B" w:rsidRPr="00BB54DF" w:rsidRDefault="0074644B" w:rsidP="007340D2">
            <w:pPr>
              <w:jc w:val="center"/>
              <w:rPr>
                <w:rFonts w:ascii="Times New Roman" w:hAnsi="Times New Roman"/>
                <w:sz w:val="16"/>
                <w:szCs w:val="16"/>
              </w:rPr>
            </w:pPr>
          </w:p>
        </w:tc>
      </w:tr>
      <w:tr w:rsidR="0074644B" w:rsidRPr="00BB54DF" w14:paraId="1C0729D7" w14:textId="77777777" w:rsidTr="007340D2">
        <w:trPr>
          <w:cantSplit/>
          <w:trHeight w:val="113"/>
        </w:trPr>
        <w:tc>
          <w:tcPr>
            <w:tcW w:w="361" w:type="pct"/>
            <w:vMerge/>
            <w:textDirection w:val="btLr"/>
            <w:vAlign w:val="center"/>
          </w:tcPr>
          <w:p w14:paraId="32AFF0C6" w14:textId="77777777" w:rsidR="0074644B" w:rsidRPr="00BB54DF" w:rsidRDefault="0074644B" w:rsidP="007340D2">
            <w:pPr>
              <w:ind w:left="113" w:right="113"/>
              <w:jc w:val="center"/>
              <w:rPr>
                <w:rFonts w:ascii="Times New Roman" w:hAnsi="Times New Roman"/>
                <w:sz w:val="16"/>
                <w:szCs w:val="16"/>
              </w:rPr>
            </w:pPr>
          </w:p>
        </w:tc>
        <w:tc>
          <w:tcPr>
            <w:tcW w:w="886" w:type="pct"/>
            <w:tcBorders>
              <w:right w:val="single" w:sz="4" w:space="0" w:color="auto"/>
            </w:tcBorders>
            <w:vAlign w:val="center"/>
          </w:tcPr>
          <w:p w14:paraId="22B49F24"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Unmatched incidence rates</w:t>
            </w:r>
          </w:p>
        </w:tc>
        <w:tc>
          <w:tcPr>
            <w:tcW w:w="750" w:type="pct"/>
            <w:tcBorders>
              <w:left w:val="single" w:sz="4" w:space="0" w:color="auto"/>
            </w:tcBorders>
            <w:vAlign w:val="center"/>
          </w:tcPr>
          <w:p w14:paraId="0649FF4C"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5.3 (3.9, 7.3)</w:t>
            </w:r>
          </w:p>
        </w:tc>
        <w:tc>
          <w:tcPr>
            <w:tcW w:w="751" w:type="pct"/>
            <w:tcBorders>
              <w:right w:val="single" w:sz="4" w:space="0" w:color="auto"/>
            </w:tcBorders>
            <w:vAlign w:val="center"/>
          </w:tcPr>
          <w:p w14:paraId="5FD3CA91"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5.3 (5.0, 5.6)</w:t>
            </w:r>
          </w:p>
        </w:tc>
        <w:tc>
          <w:tcPr>
            <w:tcW w:w="751" w:type="pct"/>
            <w:tcBorders>
              <w:left w:val="single" w:sz="4" w:space="0" w:color="auto"/>
            </w:tcBorders>
            <w:shd w:val="clear" w:color="auto" w:fill="auto"/>
            <w:vAlign w:val="center"/>
          </w:tcPr>
          <w:p w14:paraId="5B0F1336"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1.9 (0.9, 3.5)</w:t>
            </w:r>
          </w:p>
        </w:tc>
        <w:tc>
          <w:tcPr>
            <w:tcW w:w="751" w:type="pct"/>
            <w:tcBorders>
              <w:right w:val="single" w:sz="4" w:space="0" w:color="auto"/>
            </w:tcBorders>
            <w:shd w:val="clear" w:color="auto" w:fill="auto"/>
            <w:vAlign w:val="center"/>
          </w:tcPr>
          <w:p w14:paraId="6C60E617"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2.0 (1.8, 2.2)</w:t>
            </w:r>
          </w:p>
        </w:tc>
        <w:tc>
          <w:tcPr>
            <w:tcW w:w="750" w:type="pct"/>
            <w:tcBorders>
              <w:right w:val="single" w:sz="4" w:space="0" w:color="auto"/>
            </w:tcBorders>
          </w:tcPr>
          <w:p w14:paraId="5C67FAA3" w14:textId="77777777" w:rsidR="0074644B" w:rsidRPr="00BB54DF" w:rsidRDefault="0074644B" w:rsidP="007340D2">
            <w:pPr>
              <w:jc w:val="center"/>
              <w:rPr>
                <w:rFonts w:ascii="Times New Roman" w:hAnsi="Times New Roman"/>
                <w:sz w:val="16"/>
                <w:szCs w:val="16"/>
              </w:rPr>
            </w:pPr>
          </w:p>
        </w:tc>
      </w:tr>
      <w:tr w:rsidR="0074644B" w:rsidRPr="00BB54DF" w14:paraId="0B4DFD37" w14:textId="77777777" w:rsidTr="007340D2">
        <w:trPr>
          <w:cantSplit/>
          <w:trHeight w:val="113"/>
        </w:trPr>
        <w:tc>
          <w:tcPr>
            <w:tcW w:w="361" w:type="pct"/>
            <w:vMerge/>
            <w:textDirection w:val="btLr"/>
            <w:vAlign w:val="center"/>
          </w:tcPr>
          <w:p w14:paraId="59DCE2CA" w14:textId="77777777" w:rsidR="0074644B" w:rsidRPr="00BB54DF" w:rsidRDefault="0074644B" w:rsidP="007340D2">
            <w:pPr>
              <w:ind w:left="113" w:right="113"/>
              <w:jc w:val="center"/>
              <w:rPr>
                <w:rFonts w:ascii="Times New Roman" w:hAnsi="Times New Roman"/>
                <w:sz w:val="16"/>
                <w:szCs w:val="16"/>
              </w:rPr>
            </w:pPr>
          </w:p>
        </w:tc>
        <w:tc>
          <w:tcPr>
            <w:tcW w:w="886" w:type="pct"/>
            <w:tcBorders>
              <w:right w:val="single" w:sz="4" w:space="0" w:color="auto"/>
            </w:tcBorders>
            <w:vAlign w:val="center"/>
          </w:tcPr>
          <w:p w14:paraId="09F53661"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Unadjusted HR</w:t>
            </w:r>
          </w:p>
        </w:tc>
        <w:tc>
          <w:tcPr>
            <w:tcW w:w="1501" w:type="pct"/>
            <w:gridSpan w:val="2"/>
            <w:tcBorders>
              <w:left w:val="single" w:sz="4" w:space="0" w:color="auto"/>
              <w:right w:val="single" w:sz="4" w:space="0" w:color="auto"/>
            </w:tcBorders>
            <w:vAlign w:val="center"/>
          </w:tcPr>
          <w:p w14:paraId="1F33D64C"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0.97 (0.71, 1.35)</w:t>
            </w:r>
          </w:p>
        </w:tc>
        <w:tc>
          <w:tcPr>
            <w:tcW w:w="1502" w:type="pct"/>
            <w:gridSpan w:val="2"/>
            <w:tcBorders>
              <w:left w:val="single" w:sz="4" w:space="0" w:color="auto"/>
              <w:right w:val="single" w:sz="4" w:space="0" w:color="auto"/>
            </w:tcBorders>
            <w:shd w:val="clear" w:color="auto" w:fill="auto"/>
            <w:vAlign w:val="center"/>
          </w:tcPr>
          <w:p w14:paraId="22B0D7C9" w14:textId="77777777" w:rsidR="0074644B" w:rsidRPr="00BB54DF" w:rsidRDefault="0074644B" w:rsidP="007340D2">
            <w:pPr>
              <w:jc w:val="center"/>
              <w:rPr>
                <w:rFonts w:ascii="Times New Roman" w:hAnsi="Times New Roman"/>
                <w:bCs/>
                <w:sz w:val="16"/>
                <w:szCs w:val="16"/>
              </w:rPr>
            </w:pPr>
            <w:r w:rsidRPr="00BB54DF">
              <w:rPr>
                <w:rFonts w:ascii="Times New Roman" w:hAnsi="Times New Roman"/>
                <w:bCs/>
                <w:sz w:val="16"/>
                <w:szCs w:val="16"/>
              </w:rPr>
              <w:t>0.97 (0.52, 1.82)</w:t>
            </w:r>
          </w:p>
        </w:tc>
        <w:tc>
          <w:tcPr>
            <w:tcW w:w="750" w:type="pct"/>
            <w:tcBorders>
              <w:left w:val="single" w:sz="4" w:space="0" w:color="auto"/>
              <w:right w:val="single" w:sz="4" w:space="0" w:color="auto"/>
            </w:tcBorders>
          </w:tcPr>
          <w:p w14:paraId="7552FA01" w14:textId="77777777" w:rsidR="0074644B" w:rsidRPr="00BB54DF" w:rsidRDefault="0074644B" w:rsidP="007340D2">
            <w:pPr>
              <w:jc w:val="center"/>
              <w:rPr>
                <w:rFonts w:ascii="Times New Roman" w:hAnsi="Times New Roman"/>
                <w:bCs/>
                <w:sz w:val="16"/>
                <w:szCs w:val="16"/>
              </w:rPr>
            </w:pPr>
            <w:r w:rsidRPr="00BB54DF">
              <w:rPr>
                <w:rFonts w:ascii="Times New Roman" w:hAnsi="Times New Roman"/>
                <w:bCs/>
                <w:sz w:val="16"/>
                <w:szCs w:val="16"/>
              </w:rPr>
              <w:t>0.97 (0.73, 1.29)</w:t>
            </w:r>
          </w:p>
        </w:tc>
      </w:tr>
      <w:tr w:rsidR="0074644B" w:rsidRPr="00BB54DF" w14:paraId="6727EAE3" w14:textId="77777777" w:rsidTr="007340D2">
        <w:trPr>
          <w:cantSplit/>
          <w:trHeight w:val="113"/>
        </w:trPr>
        <w:tc>
          <w:tcPr>
            <w:tcW w:w="361" w:type="pct"/>
            <w:vMerge/>
            <w:textDirection w:val="btLr"/>
            <w:vAlign w:val="center"/>
          </w:tcPr>
          <w:p w14:paraId="49F7DC67" w14:textId="77777777" w:rsidR="0074644B" w:rsidRPr="00BB54DF" w:rsidRDefault="0074644B" w:rsidP="007340D2">
            <w:pPr>
              <w:ind w:left="113" w:right="113"/>
              <w:jc w:val="center"/>
              <w:rPr>
                <w:rFonts w:ascii="Times New Roman" w:hAnsi="Times New Roman"/>
                <w:sz w:val="16"/>
                <w:szCs w:val="16"/>
              </w:rPr>
            </w:pPr>
          </w:p>
        </w:tc>
        <w:tc>
          <w:tcPr>
            <w:tcW w:w="886" w:type="pct"/>
            <w:tcBorders>
              <w:bottom w:val="single" w:sz="4" w:space="0" w:color="auto"/>
              <w:right w:val="single" w:sz="4" w:space="0" w:color="auto"/>
            </w:tcBorders>
            <w:vAlign w:val="center"/>
          </w:tcPr>
          <w:p w14:paraId="44CF48D0"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Fully adjusted HR</w:t>
            </w:r>
          </w:p>
        </w:tc>
        <w:tc>
          <w:tcPr>
            <w:tcW w:w="1501" w:type="pct"/>
            <w:gridSpan w:val="2"/>
            <w:tcBorders>
              <w:left w:val="single" w:sz="4" w:space="0" w:color="auto"/>
              <w:bottom w:val="single" w:sz="4" w:space="0" w:color="auto"/>
              <w:right w:val="single" w:sz="4" w:space="0" w:color="auto"/>
            </w:tcBorders>
            <w:vAlign w:val="center"/>
          </w:tcPr>
          <w:p w14:paraId="5F2934E5"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1.00 (0.71, 1.41)</w:t>
            </w:r>
          </w:p>
        </w:tc>
        <w:tc>
          <w:tcPr>
            <w:tcW w:w="1502" w:type="pct"/>
            <w:gridSpan w:val="2"/>
            <w:tcBorders>
              <w:left w:val="single" w:sz="4" w:space="0" w:color="auto"/>
              <w:bottom w:val="single" w:sz="4" w:space="0" w:color="auto"/>
              <w:right w:val="single" w:sz="4" w:space="0" w:color="auto"/>
            </w:tcBorders>
            <w:shd w:val="clear" w:color="auto" w:fill="auto"/>
            <w:vAlign w:val="center"/>
          </w:tcPr>
          <w:p w14:paraId="4ADF0D28" w14:textId="77777777" w:rsidR="0074644B" w:rsidRPr="00BB54DF" w:rsidRDefault="0074644B" w:rsidP="007340D2">
            <w:pPr>
              <w:jc w:val="center"/>
              <w:rPr>
                <w:rFonts w:ascii="Times New Roman" w:hAnsi="Times New Roman"/>
                <w:bCs/>
                <w:sz w:val="16"/>
                <w:szCs w:val="16"/>
              </w:rPr>
            </w:pPr>
            <w:r w:rsidRPr="00BB54DF">
              <w:rPr>
                <w:rFonts w:ascii="Times New Roman" w:hAnsi="Times New Roman"/>
                <w:bCs/>
                <w:sz w:val="16"/>
                <w:szCs w:val="16"/>
              </w:rPr>
              <w:t>1.18 (0.62, 2.22)</w:t>
            </w:r>
          </w:p>
        </w:tc>
        <w:tc>
          <w:tcPr>
            <w:tcW w:w="750" w:type="pct"/>
            <w:tcBorders>
              <w:left w:val="single" w:sz="4" w:space="0" w:color="auto"/>
              <w:bottom w:val="single" w:sz="4" w:space="0" w:color="auto"/>
              <w:right w:val="single" w:sz="4" w:space="0" w:color="auto"/>
            </w:tcBorders>
          </w:tcPr>
          <w:p w14:paraId="6A089ACF" w14:textId="77777777" w:rsidR="0074644B" w:rsidRPr="00BB54DF" w:rsidRDefault="0074644B" w:rsidP="007340D2">
            <w:pPr>
              <w:jc w:val="center"/>
              <w:rPr>
                <w:rFonts w:ascii="Times New Roman" w:hAnsi="Times New Roman"/>
                <w:bCs/>
                <w:sz w:val="16"/>
                <w:szCs w:val="16"/>
              </w:rPr>
            </w:pPr>
            <w:r w:rsidRPr="00BB54DF">
              <w:rPr>
                <w:rFonts w:ascii="Times New Roman" w:hAnsi="Times New Roman"/>
                <w:bCs/>
                <w:sz w:val="16"/>
                <w:szCs w:val="16"/>
              </w:rPr>
              <w:t>1.04 (0.77, 1.40)</w:t>
            </w:r>
          </w:p>
        </w:tc>
      </w:tr>
      <w:tr w:rsidR="0074644B" w:rsidRPr="00BB54DF" w14:paraId="2183C229" w14:textId="77777777" w:rsidTr="007340D2">
        <w:trPr>
          <w:cantSplit/>
          <w:trHeight w:val="113"/>
        </w:trPr>
        <w:tc>
          <w:tcPr>
            <w:tcW w:w="361" w:type="pct"/>
            <w:vMerge/>
            <w:textDirection w:val="btLr"/>
            <w:vAlign w:val="center"/>
          </w:tcPr>
          <w:p w14:paraId="016AF1B1" w14:textId="77777777" w:rsidR="0074644B" w:rsidRPr="00BB54DF" w:rsidRDefault="0074644B" w:rsidP="007340D2">
            <w:pPr>
              <w:ind w:left="113" w:right="113"/>
              <w:jc w:val="center"/>
              <w:rPr>
                <w:rFonts w:ascii="Times New Roman" w:hAnsi="Times New Roman"/>
                <w:sz w:val="16"/>
                <w:szCs w:val="16"/>
              </w:rPr>
            </w:pPr>
          </w:p>
        </w:tc>
        <w:tc>
          <w:tcPr>
            <w:tcW w:w="886" w:type="pct"/>
            <w:tcBorders>
              <w:top w:val="single" w:sz="4" w:space="0" w:color="auto"/>
              <w:right w:val="single" w:sz="4" w:space="0" w:color="auto"/>
            </w:tcBorders>
            <w:vAlign w:val="center"/>
          </w:tcPr>
          <w:p w14:paraId="7EC6C400"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PS-matched n. events</w:t>
            </w:r>
          </w:p>
        </w:tc>
        <w:tc>
          <w:tcPr>
            <w:tcW w:w="750" w:type="pct"/>
            <w:tcBorders>
              <w:top w:val="single" w:sz="4" w:space="0" w:color="auto"/>
              <w:left w:val="single" w:sz="4" w:space="0" w:color="auto"/>
            </w:tcBorders>
            <w:vAlign w:val="center"/>
          </w:tcPr>
          <w:p w14:paraId="2A5A36C1"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37</w:t>
            </w:r>
          </w:p>
        </w:tc>
        <w:tc>
          <w:tcPr>
            <w:tcW w:w="751" w:type="pct"/>
            <w:tcBorders>
              <w:top w:val="single" w:sz="4" w:space="0" w:color="auto"/>
              <w:left w:val="nil"/>
              <w:right w:val="single" w:sz="4" w:space="0" w:color="auto"/>
            </w:tcBorders>
            <w:vAlign w:val="center"/>
          </w:tcPr>
          <w:p w14:paraId="61F347C7"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160</w:t>
            </w:r>
          </w:p>
        </w:tc>
        <w:tc>
          <w:tcPr>
            <w:tcW w:w="751" w:type="pct"/>
            <w:tcBorders>
              <w:top w:val="single" w:sz="4" w:space="0" w:color="auto"/>
              <w:left w:val="single" w:sz="4" w:space="0" w:color="auto"/>
            </w:tcBorders>
            <w:vAlign w:val="center"/>
          </w:tcPr>
          <w:p w14:paraId="4D1589F0"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10</w:t>
            </w:r>
          </w:p>
        </w:tc>
        <w:tc>
          <w:tcPr>
            <w:tcW w:w="751" w:type="pct"/>
            <w:tcBorders>
              <w:top w:val="single" w:sz="4" w:space="0" w:color="auto"/>
              <w:left w:val="nil"/>
              <w:right w:val="single" w:sz="4" w:space="0" w:color="auto"/>
            </w:tcBorders>
            <w:vAlign w:val="center"/>
          </w:tcPr>
          <w:p w14:paraId="4E59A490"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49</w:t>
            </w:r>
          </w:p>
        </w:tc>
        <w:tc>
          <w:tcPr>
            <w:tcW w:w="750" w:type="pct"/>
            <w:tcBorders>
              <w:top w:val="single" w:sz="4" w:space="0" w:color="auto"/>
              <w:left w:val="nil"/>
              <w:right w:val="single" w:sz="4" w:space="0" w:color="auto"/>
            </w:tcBorders>
          </w:tcPr>
          <w:p w14:paraId="600B0320" w14:textId="77777777" w:rsidR="0074644B" w:rsidRPr="00BB54DF" w:rsidRDefault="0074644B" w:rsidP="007340D2">
            <w:pPr>
              <w:jc w:val="center"/>
              <w:rPr>
                <w:rFonts w:ascii="Times New Roman" w:hAnsi="Times New Roman"/>
                <w:sz w:val="16"/>
                <w:szCs w:val="16"/>
              </w:rPr>
            </w:pPr>
          </w:p>
        </w:tc>
      </w:tr>
      <w:tr w:rsidR="0074644B" w:rsidRPr="00BB54DF" w14:paraId="52DECBC5" w14:textId="77777777" w:rsidTr="007340D2">
        <w:trPr>
          <w:cantSplit/>
          <w:trHeight w:val="113"/>
        </w:trPr>
        <w:tc>
          <w:tcPr>
            <w:tcW w:w="361" w:type="pct"/>
            <w:vMerge/>
            <w:textDirection w:val="btLr"/>
            <w:vAlign w:val="center"/>
          </w:tcPr>
          <w:p w14:paraId="56BC6913" w14:textId="77777777" w:rsidR="0074644B" w:rsidRPr="00BB54DF" w:rsidRDefault="0074644B" w:rsidP="007340D2">
            <w:pPr>
              <w:ind w:left="113" w:right="113"/>
              <w:jc w:val="center"/>
              <w:rPr>
                <w:rFonts w:ascii="Times New Roman" w:hAnsi="Times New Roman"/>
                <w:sz w:val="16"/>
                <w:szCs w:val="16"/>
              </w:rPr>
            </w:pPr>
          </w:p>
        </w:tc>
        <w:tc>
          <w:tcPr>
            <w:tcW w:w="886" w:type="pct"/>
            <w:tcBorders>
              <w:right w:val="single" w:sz="4" w:space="0" w:color="auto"/>
            </w:tcBorders>
            <w:vAlign w:val="center"/>
          </w:tcPr>
          <w:p w14:paraId="1517D100"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PS-matched incidence rates</w:t>
            </w:r>
          </w:p>
        </w:tc>
        <w:tc>
          <w:tcPr>
            <w:tcW w:w="750" w:type="pct"/>
            <w:tcBorders>
              <w:left w:val="single" w:sz="4" w:space="0" w:color="auto"/>
            </w:tcBorders>
            <w:vAlign w:val="center"/>
          </w:tcPr>
          <w:p w14:paraId="4DB9B156"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5.5 (4.0, 7.5)</w:t>
            </w:r>
          </w:p>
        </w:tc>
        <w:tc>
          <w:tcPr>
            <w:tcW w:w="751" w:type="pct"/>
            <w:tcBorders>
              <w:left w:val="nil"/>
              <w:right w:val="single" w:sz="4" w:space="0" w:color="auto"/>
            </w:tcBorders>
            <w:vAlign w:val="center"/>
          </w:tcPr>
          <w:p w14:paraId="67D4FCE4"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6.4 (5.5, 7.4)</w:t>
            </w:r>
          </w:p>
        </w:tc>
        <w:tc>
          <w:tcPr>
            <w:tcW w:w="751" w:type="pct"/>
            <w:tcBorders>
              <w:left w:val="single" w:sz="4" w:space="0" w:color="auto"/>
            </w:tcBorders>
            <w:vAlign w:val="center"/>
          </w:tcPr>
          <w:p w14:paraId="70F6B00F"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1.9 (0.9, 3.5)</w:t>
            </w:r>
          </w:p>
        </w:tc>
        <w:tc>
          <w:tcPr>
            <w:tcW w:w="751" w:type="pct"/>
            <w:tcBorders>
              <w:left w:val="nil"/>
              <w:right w:val="single" w:sz="4" w:space="0" w:color="auto"/>
            </w:tcBorders>
            <w:vAlign w:val="center"/>
          </w:tcPr>
          <w:p w14:paraId="42CD2B9B"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1.9 (1.4, 2.5)</w:t>
            </w:r>
          </w:p>
        </w:tc>
        <w:tc>
          <w:tcPr>
            <w:tcW w:w="750" w:type="pct"/>
            <w:tcBorders>
              <w:left w:val="nil"/>
              <w:right w:val="single" w:sz="4" w:space="0" w:color="auto"/>
            </w:tcBorders>
          </w:tcPr>
          <w:p w14:paraId="540EB266" w14:textId="77777777" w:rsidR="0074644B" w:rsidRPr="00BB54DF" w:rsidRDefault="0074644B" w:rsidP="007340D2">
            <w:pPr>
              <w:jc w:val="center"/>
              <w:rPr>
                <w:rFonts w:ascii="Times New Roman" w:hAnsi="Times New Roman"/>
                <w:sz w:val="16"/>
                <w:szCs w:val="16"/>
              </w:rPr>
            </w:pPr>
          </w:p>
        </w:tc>
      </w:tr>
      <w:tr w:rsidR="0074644B" w:rsidRPr="00BB54DF" w14:paraId="02D0D84C" w14:textId="77777777" w:rsidTr="007340D2">
        <w:trPr>
          <w:cantSplit/>
          <w:trHeight w:val="113"/>
        </w:trPr>
        <w:tc>
          <w:tcPr>
            <w:tcW w:w="361" w:type="pct"/>
            <w:vMerge/>
            <w:textDirection w:val="btLr"/>
            <w:vAlign w:val="center"/>
          </w:tcPr>
          <w:p w14:paraId="483C20CE" w14:textId="77777777" w:rsidR="0074644B" w:rsidRPr="00BB54DF" w:rsidRDefault="0074644B" w:rsidP="007340D2">
            <w:pPr>
              <w:ind w:left="113" w:right="113"/>
              <w:jc w:val="center"/>
              <w:rPr>
                <w:rFonts w:ascii="Times New Roman" w:hAnsi="Times New Roman"/>
                <w:sz w:val="16"/>
                <w:szCs w:val="16"/>
              </w:rPr>
            </w:pPr>
          </w:p>
        </w:tc>
        <w:tc>
          <w:tcPr>
            <w:tcW w:w="886" w:type="pct"/>
            <w:tcBorders>
              <w:right w:val="single" w:sz="4" w:space="0" w:color="auto"/>
            </w:tcBorders>
            <w:vAlign w:val="center"/>
          </w:tcPr>
          <w:p w14:paraId="45C34951"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PS-matched sub-HR</w:t>
            </w:r>
          </w:p>
        </w:tc>
        <w:tc>
          <w:tcPr>
            <w:tcW w:w="1501" w:type="pct"/>
            <w:gridSpan w:val="2"/>
            <w:tcBorders>
              <w:left w:val="single" w:sz="4" w:space="0" w:color="auto"/>
              <w:right w:val="single" w:sz="4" w:space="0" w:color="auto"/>
            </w:tcBorders>
            <w:vAlign w:val="center"/>
          </w:tcPr>
          <w:p w14:paraId="6FE07107"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0.96 (0.67, 1.39)</w:t>
            </w:r>
          </w:p>
        </w:tc>
        <w:tc>
          <w:tcPr>
            <w:tcW w:w="1502" w:type="pct"/>
            <w:gridSpan w:val="2"/>
            <w:tcBorders>
              <w:left w:val="single" w:sz="4" w:space="0" w:color="auto"/>
              <w:right w:val="single" w:sz="4" w:space="0" w:color="auto"/>
            </w:tcBorders>
            <w:shd w:val="clear" w:color="auto" w:fill="auto"/>
            <w:vAlign w:val="center"/>
          </w:tcPr>
          <w:p w14:paraId="105D1A20"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0.99 (0.50, 1.96)</w:t>
            </w:r>
          </w:p>
        </w:tc>
        <w:tc>
          <w:tcPr>
            <w:tcW w:w="750" w:type="pct"/>
            <w:tcBorders>
              <w:left w:val="single" w:sz="4" w:space="0" w:color="auto"/>
              <w:right w:val="single" w:sz="4" w:space="0" w:color="auto"/>
            </w:tcBorders>
          </w:tcPr>
          <w:p w14:paraId="5EBFE569"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0.97 (0.70, 1.33)</w:t>
            </w:r>
          </w:p>
        </w:tc>
      </w:tr>
      <w:tr w:rsidR="0074644B" w:rsidRPr="00BB54DF" w14:paraId="5B4E207C" w14:textId="77777777" w:rsidTr="007340D2">
        <w:trPr>
          <w:cantSplit/>
          <w:trHeight w:val="113"/>
        </w:trPr>
        <w:tc>
          <w:tcPr>
            <w:tcW w:w="361" w:type="pct"/>
            <w:vMerge w:val="restart"/>
            <w:tcBorders>
              <w:top w:val="double" w:sz="4" w:space="0" w:color="auto"/>
            </w:tcBorders>
            <w:textDirection w:val="btLr"/>
            <w:vAlign w:val="center"/>
          </w:tcPr>
          <w:p w14:paraId="21068559" w14:textId="77777777" w:rsidR="0074644B" w:rsidRPr="00BB54DF" w:rsidRDefault="0074644B" w:rsidP="007340D2">
            <w:pPr>
              <w:ind w:left="113" w:right="113"/>
              <w:jc w:val="center"/>
              <w:rPr>
                <w:rFonts w:ascii="Times New Roman" w:hAnsi="Times New Roman"/>
                <w:sz w:val="16"/>
                <w:szCs w:val="16"/>
              </w:rPr>
            </w:pPr>
            <w:r w:rsidRPr="00BB54DF">
              <w:rPr>
                <w:rFonts w:ascii="Times New Roman" w:hAnsi="Times New Roman"/>
                <w:sz w:val="16"/>
                <w:szCs w:val="16"/>
              </w:rPr>
              <w:t>Hypocalcaemia</w:t>
            </w:r>
          </w:p>
        </w:tc>
        <w:tc>
          <w:tcPr>
            <w:tcW w:w="886" w:type="pct"/>
            <w:tcBorders>
              <w:top w:val="double" w:sz="4" w:space="0" w:color="auto"/>
              <w:right w:val="single" w:sz="4" w:space="0" w:color="auto"/>
            </w:tcBorders>
            <w:vAlign w:val="center"/>
          </w:tcPr>
          <w:p w14:paraId="1236617B"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Unmatched n. events</w:t>
            </w:r>
          </w:p>
        </w:tc>
        <w:tc>
          <w:tcPr>
            <w:tcW w:w="750" w:type="pct"/>
            <w:tcBorders>
              <w:top w:val="double" w:sz="4" w:space="0" w:color="auto"/>
              <w:left w:val="single" w:sz="4" w:space="0" w:color="auto"/>
            </w:tcBorders>
            <w:vAlign w:val="center"/>
          </w:tcPr>
          <w:p w14:paraId="4B46745D"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2</w:t>
            </w:r>
          </w:p>
        </w:tc>
        <w:tc>
          <w:tcPr>
            <w:tcW w:w="751" w:type="pct"/>
            <w:tcBorders>
              <w:top w:val="double" w:sz="4" w:space="0" w:color="auto"/>
              <w:right w:val="single" w:sz="4" w:space="0" w:color="auto"/>
            </w:tcBorders>
            <w:vAlign w:val="center"/>
          </w:tcPr>
          <w:p w14:paraId="68EAF4F7"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155</w:t>
            </w:r>
          </w:p>
        </w:tc>
        <w:tc>
          <w:tcPr>
            <w:tcW w:w="751" w:type="pct"/>
            <w:tcBorders>
              <w:top w:val="double" w:sz="4" w:space="0" w:color="auto"/>
              <w:left w:val="single" w:sz="4" w:space="0" w:color="auto"/>
            </w:tcBorders>
            <w:shd w:val="clear" w:color="auto" w:fill="auto"/>
            <w:vAlign w:val="center"/>
          </w:tcPr>
          <w:p w14:paraId="18C49820"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w:t>
            </w:r>
          </w:p>
        </w:tc>
        <w:tc>
          <w:tcPr>
            <w:tcW w:w="751" w:type="pct"/>
            <w:tcBorders>
              <w:top w:val="double" w:sz="4" w:space="0" w:color="auto"/>
              <w:right w:val="single" w:sz="4" w:space="0" w:color="auto"/>
            </w:tcBorders>
            <w:shd w:val="clear" w:color="auto" w:fill="auto"/>
            <w:vAlign w:val="center"/>
          </w:tcPr>
          <w:p w14:paraId="490CC8C9"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14</w:t>
            </w:r>
          </w:p>
        </w:tc>
        <w:tc>
          <w:tcPr>
            <w:tcW w:w="750" w:type="pct"/>
            <w:tcBorders>
              <w:top w:val="double" w:sz="4" w:space="0" w:color="auto"/>
              <w:right w:val="single" w:sz="4" w:space="0" w:color="auto"/>
            </w:tcBorders>
          </w:tcPr>
          <w:p w14:paraId="0A7F939A" w14:textId="77777777" w:rsidR="0074644B" w:rsidRPr="00BB54DF" w:rsidRDefault="0074644B" w:rsidP="007340D2">
            <w:pPr>
              <w:jc w:val="center"/>
              <w:rPr>
                <w:rFonts w:ascii="Times New Roman" w:hAnsi="Times New Roman"/>
                <w:sz w:val="16"/>
                <w:szCs w:val="16"/>
              </w:rPr>
            </w:pPr>
          </w:p>
        </w:tc>
      </w:tr>
      <w:tr w:rsidR="0074644B" w:rsidRPr="00BB54DF" w14:paraId="556E1FF3" w14:textId="77777777" w:rsidTr="007340D2">
        <w:trPr>
          <w:cantSplit/>
          <w:trHeight w:val="113"/>
        </w:trPr>
        <w:tc>
          <w:tcPr>
            <w:tcW w:w="361" w:type="pct"/>
            <w:vMerge/>
            <w:vAlign w:val="center"/>
          </w:tcPr>
          <w:p w14:paraId="5F410EF6" w14:textId="77777777" w:rsidR="0074644B" w:rsidRPr="00BB54DF" w:rsidRDefault="0074644B" w:rsidP="007340D2">
            <w:pPr>
              <w:jc w:val="center"/>
              <w:rPr>
                <w:rFonts w:ascii="Times New Roman" w:hAnsi="Times New Roman"/>
                <w:sz w:val="16"/>
                <w:szCs w:val="16"/>
              </w:rPr>
            </w:pPr>
          </w:p>
        </w:tc>
        <w:tc>
          <w:tcPr>
            <w:tcW w:w="886" w:type="pct"/>
            <w:tcBorders>
              <w:right w:val="single" w:sz="4" w:space="0" w:color="auto"/>
            </w:tcBorders>
            <w:vAlign w:val="center"/>
          </w:tcPr>
          <w:p w14:paraId="5DE7CC01"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Unmatched incidence rates</w:t>
            </w:r>
          </w:p>
        </w:tc>
        <w:tc>
          <w:tcPr>
            <w:tcW w:w="750" w:type="pct"/>
            <w:tcBorders>
              <w:left w:val="single" w:sz="4" w:space="0" w:color="auto"/>
            </w:tcBorders>
            <w:vAlign w:val="center"/>
          </w:tcPr>
          <w:p w14:paraId="208A3DFF"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0.3 (0.1, 1.1)</w:t>
            </w:r>
          </w:p>
        </w:tc>
        <w:tc>
          <w:tcPr>
            <w:tcW w:w="751" w:type="pct"/>
            <w:tcBorders>
              <w:right w:val="single" w:sz="4" w:space="0" w:color="auto"/>
            </w:tcBorders>
            <w:vAlign w:val="center"/>
          </w:tcPr>
          <w:p w14:paraId="72792E3C"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0.6 (0.5, 0.7)</w:t>
            </w:r>
          </w:p>
        </w:tc>
        <w:tc>
          <w:tcPr>
            <w:tcW w:w="751" w:type="pct"/>
            <w:tcBorders>
              <w:left w:val="single" w:sz="4" w:space="0" w:color="auto"/>
            </w:tcBorders>
            <w:shd w:val="clear" w:color="auto" w:fill="auto"/>
            <w:vAlign w:val="center"/>
          </w:tcPr>
          <w:p w14:paraId="2DEFA264"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0.2 (0.0, 1.1)</w:t>
            </w:r>
          </w:p>
        </w:tc>
        <w:tc>
          <w:tcPr>
            <w:tcW w:w="751" w:type="pct"/>
            <w:tcBorders>
              <w:right w:val="single" w:sz="4" w:space="0" w:color="auto"/>
            </w:tcBorders>
            <w:shd w:val="clear" w:color="auto" w:fill="auto"/>
            <w:vAlign w:val="center"/>
          </w:tcPr>
          <w:p w14:paraId="5D35B410"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0.1 (0.0, 0.1)</w:t>
            </w:r>
          </w:p>
        </w:tc>
        <w:tc>
          <w:tcPr>
            <w:tcW w:w="750" w:type="pct"/>
            <w:tcBorders>
              <w:right w:val="single" w:sz="4" w:space="0" w:color="auto"/>
            </w:tcBorders>
          </w:tcPr>
          <w:p w14:paraId="7049AC91" w14:textId="77777777" w:rsidR="0074644B" w:rsidRPr="00BB54DF" w:rsidRDefault="0074644B" w:rsidP="007340D2">
            <w:pPr>
              <w:jc w:val="center"/>
              <w:rPr>
                <w:rFonts w:ascii="Times New Roman" w:hAnsi="Times New Roman"/>
                <w:sz w:val="16"/>
                <w:szCs w:val="16"/>
              </w:rPr>
            </w:pPr>
          </w:p>
        </w:tc>
      </w:tr>
      <w:tr w:rsidR="0074644B" w:rsidRPr="00BB54DF" w14:paraId="08AAC7DD" w14:textId="77777777" w:rsidTr="007340D2">
        <w:trPr>
          <w:cantSplit/>
          <w:trHeight w:val="113"/>
        </w:trPr>
        <w:tc>
          <w:tcPr>
            <w:tcW w:w="361" w:type="pct"/>
            <w:vMerge/>
            <w:vAlign w:val="center"/>
          </w:tcPr>
          <w:p w14:paraId="7CCC8F0E" w14:textId="77777777" w:rsidR="0074644B" w:rsidRPr="00BB54DF" w:rsidRDefault="0074644B" w:rsidP="007340D2">
            <w:pPr>
              <w:jc w:val="center"/>
              <w:rPr>
                <w:rFonts w:ascii="Times New Roman" w:hAnsi="Times New Roman"/>
                <w:sz w:val="16"/>
                <w:szCs w:val="16"/>
              </w:rPr>
            </w:pPr>
          </w:p>
        </w:tc>
        <w:tc>
          <w:tcPr>
            <w:tcW w:w="886" w:type="pct"/>
            <w:tcBorders>
              <w:right w:val="single" w:sz="4" w:space="0" w:color="auto"/>
            </w:tcBorders>
            <w:vAlign w:val="center"/>
          </w:tcPr>
          <w:p w14:paraId="4E990DDC"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Unadjusted HR</w:t>
            </w:r>
          </w:p>
        </w:tc>
        <w:tc>
          <w:tcPr>
            <w:tcW w:w="1501" w:type="pct"/>
            <w:gridSpan w:val="2"/>
            <w:tcBorders>
              <w:left w:val="single" w:sz="4" w:space="0" w:color="auto"/>
              <w:right w:val="single" w:sz="4" w:space="0" w:color="auto"/>
            </w:tcBorders>
            <w:vAlign w:val="center"/>
          </w:tcPr>
          <w:p w14:paraId="60B5A1D6"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0.45 (0.11, 1.82)</w:t>
            </w:r>
          </w:p>
        </w:tc>
        <w:tc>
          <w:tcPr>
            <w:tcW w:w="1502" w:type="pct"/>
            <w:gridSpan w:val="2"/>
            <w:tcBorders>
              <w:left w:val="single" w:sz="4" w:space="0" w:color="auto"/>
              <w:right w:val="single" w:sz="4" w:space="0" w:color="auto"/>
            </w:tcBorders>
            <w:vAlign w:val="center"/>
          </w:tcPr>
          <w:p w14:paraId="330E84AE"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NA</w:t>
            </w:r>
          </w:p>
        </w:tc>
        <w:tc>
          <w:tcPr>
            <w:tcW w:w="750" w:type="pct"/>
            <w:tcBorders>
              <w:left w:val="single" w:sz="4" w:space="0" w:color="auto"/>
              <w:right w:val="single" w:sz="4" w:space="0" w:color="auto"/>
            </w:tcBorders>
          </w:tcPr>
          <w:p w14:paraId="4F04DD4E"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NA</w:t>
            </w:r>
          </w:p>
        </w:tc>
      </w:tr>
      <w:tr w:rsidR="0074644B" w:rsidRPr="00BB54DF" w14:paraId="4939E051" w14:textId="77777777" w:rsidTr="007340D2">
        <w:trPr>
          <w:cantSplit/>
          <w:trHeight w:val="113"/>
        </w:trPr>
        <w:tc>
          <w:tcPr>
            <w:tcW w:w="361" w:type="pct"/>
            <w:vMerge/>
            <w:vAlign w:val="center"/>
          </w:tcPr>
          <w:p w14:paraId="1AC22A8D" w14:textId="77777777" w:rsidR="0074644B" w:rsidRPr="00BB54DF" w:rsidRDefault="0074644B" w:rsidP="007340D2">
            <w:pPr>
              <w:jc w:val="center"/>
              <w:rPr>
                <w:rFonts w:ascii="Times New Roman" w:hAnsi="Times New Roman"/>
                <w:sz w:val="16"/>
                <w:szCs w:val="16"/>
              </w:rPr>
            </w:pPr>
          </w:p>
        </w:tc>
        <w:tc>
          <w:tcPr>
            <w:tcW w:w="886" w:type="pct"/>
            <w:tcBorders>
              <w:bottom w:val="single" w:sz="4" w:space="0" w:color="auto"/>
              <w:right w:val="single" w:sz="4" w:space="0" w:color="auto"/>
            </w:tcBorders>
            <w:vAlign w:val="center"/>
          </w:tcPr>
          <w:p w14:paraId="25E71EB8"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Fully adjusted HR</w:t>
            </w:r>
          </w:p>
        </w:tc>
        <w:tc>
          <w:tcPr>
            <w:tcW w:w="1501" w:type="pct"/>
            <w:gridSpan w:val="2"/>
            <w:tcBorders>
              <w:left w:val="single" w:sz="4" w:space="0" w:color="auto"/>
              <w:bottom w:val="single" w:sz="4" w:space="0" w:color="auto"/>
              <w:right w:val="single" w:sz="4" w:space="0" w:color="auto"/>
            </w:tcBorders>
            <w:vAlign w:val="center"/>
          </w:tcPr>
          <w:p w14:paraId="2E9234DD"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0.28 (0.07, 1.17)</w:t>
            </w:r>
          </w:p>
        </w:tc>
        <w:tc>
          <w:tcPr>
            <w:tcW w:w="1502" w:type="pct"/>
            <w:gridSpan w:val="2"/>
            <w:tcBorders>
              <w:left w:val="single" w:sz="4" w:space="0" w:color="auto"/>
              <w:bottom w:val="single" w:sz="4" w:space="0" w:color="auto"/>
              <w:right w:val="single" w:sz="4" w:space="0" w:color="auto"/>
            </w:tcBorders>
            <w:vAlign w:val="center"/>
          </w:tcPr>
          <w:p w14:paraId="3A02C8B8"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NA</w:t>
            </w:r>
          </w:p>
        </w:tc>
        <w:tc>
          <w:tcPr>
            <w:tcW w:w="750" w:type="pct"/>
            <w:tcBorders>
              <w:left w:val="single" w:sz="4" w:space="0" w:color="auto"/>
              <w:bottom w:val="single" w:sz="4" w:space="0" w:color="auto"/>
              <w:right w:val="single" w:sz="4" w:space="0" w:color="auto"/>
            </w:tcBorders>
          </w:tcPr>
          <w:p w14:paraId="17DB0ACC"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NA</w:t>
            </w:r>
          </w:p>
        </w:tc>
      </w:tr>
      <w:tr w:rsidR="0074644B" w:rsidRPr="00BB54DF" w14:paraId="3D53159F" w14:textId="77777777" w:rsidTr="007340D2">
        <w:trPr>
          <w:cantSplit/>
          <w:trHeight w:val="113"/>
        </w:trPr>
        <w:tc>
          <w:tcPr>
            <w:tcW w:w="361" w:type="pct"/>
            <w:vMerge/>
            <w:vAlign w:val="center"/>
          </w:tcPr>
          <w:p w14:paraId="4C5F63B5" w14:textId="77777777" w:rsidR="0074644B" w:rsidRPr="00BB54DF" w:rsidRDefault="0074644B" w:rsidP="007340D2">
            <w:pPr>
              <w:jc w:val="center"/>
              <w:rPr>
                <w:rFonts w:ascii="Times New Roman" w:hAnsi="Times New Roman"/>
                <w:sz w:val="16"/>
                <w:szCs w:val="16"/>
              </w:rPr>
            </w:pPr>
          </w:p>
        </w:tc>
        <w:tc>
          <w:tcPr>
            <w:tcW w:w="886" w:type="pct"/>
            <w:tcBorders>
              <w:top w:val="single" w:sz="4" w:space="0" w:color="auto"/>
              <w:right w:val="single" w:sz="4" w:space="0" w:color="auto"/>
            </w:tcBorders>
            <w:vAlign w:val="center"/>
          </w:tcPr>
          <w:p w14:paraId="02810042"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PS-matched n. events</w:t>
            </w:r>
          </w:p>
        </w:tc>
        <w:tc>
          <w:tcPr>
            <w:tcW w:w="750" w:type="pct"/>
            <w:tcBorders>
              <w:top w:val="single" w:sz="4" w:space="0" w:color="auto"/>
              <w:left w:val="single" w:sz="4" w:space="0" w:color="auto"/>
            </w:tcBorders>
            <w:vAlign w:val="center"/>
          </w:tcPr>
          <w:p w14:paraId="29F38DDD"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2</w:t>
            </w:r>
          </w:p>
        </w:tc>
        <w:tc>
          <w:tcPr>
            <w:tcW w:w="751" w:type="pct"/>
            <w:tcBorders>
              <w:top w:val="single" w:sz="4" w:space="0" w:color="auto"/>
              <w:left w:val="nil"/>
              <w:right w:val="single" w:sz="4" w:space="0" w:color="auto"/>
            </w:tcBorders>
            <w:vAlign w:val="center"/>
          </w:tcPr>
          <w:p w14:paraId="7F961F5D"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26</w:t>
            </w:r>
          </w:p>
        </w:tc>
        <w:tc>
          <w:tcPr>
            <w:tcW w:w="751" w:type="pct"/>
            <w:tcBorders>
              <w:top w:val="single" w:sz="4" w:space="0" w:color="auto"/>
              <w:left w:val="single" w:sz="4" w:space="0" w:color="auto"/>
            </w:tcBorders>
            <w:vAlign w:val="center"/>
          </w:tcPr>
          <w:p w14:paraId="3D3E3FF3"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w:t>
            </w:r>
          </w:p>
        </w:tc>
        <w:tc>
          <w:tcPr>
            <w:tcW w:w="751" w:type="pct"/>
            <w:tcBorders>
              <w:left w:val="nil"/>
              <w:right w:val="single" w:sz="4" w:space="0" w:color="auto"/>
            </w:tcBorders>
            <w:vAlign w:val="center"/>
          </w:tcPr>
          <w:p w14:paraId="18282F36"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6</w:t>
            </w:r>
          </w:p>
        </w:tc>
        <w:tc>
          <w:tcPr>
            <w:tcW w:w="750" w:type="pct"/>
            <w:tcBorders>
              <w:left w:val="nil"/>
              <w:right w:val="single" w:sz="4" w:space="0" w:color="auto"/>
            </w:tcBorders>
          </w:tcPr>
          <w:p w14:paraId="58A7ED9A" w14:textId="77777777" w:rsidR="0074644B" w:rsidRPr="00BB54DF" w:rsidRDefault="0074644B" w:rsidP="007340D2">
            <w:pPr>
              <w:jc w:val="center"/>
              <w:rPr>
                <w:rFonts w:ascii="Times New Roman" w:hAnsi="Times New Roman"/>
                <w:sz w:val="16"/>
                <w:szCs w:val="16"/>
              </w:rPr>
            </w:pPr>
          </w:p>
        </w:tc>
      </w:tr>
      <w:tr w:rsidR="0074644B" w:rsidRPr="00BB54DF" w14:paraId="1B02AD03" w14:textId="77777777" w:rsidTr="007340D2">
        <w:trPr>
          <w:cantSplit/>
          <w:trHeight w:val="113"/>
        </w:trPr>
        <w:tc>
          <w:tcPr>
            <w:tcW w:w="361" w:type="pct"/>
            <w:vMerge/>
            <w:vAlign w:val="center"/>
          </w:tcPr>
          <w:p w14:paraId="37714516" w14:textId="77777777" w:rsidR="0074644B" w:rsidRPr="00BB54DF" w:rsidRDefault="0074644B" w:rsidP="007340D2">
            <w:pPr>
              <w:jc w:val="center"/>
              <w:rPr>
                <w:rFonts w:ascii="Times New Roman" w:hAnsi="Times New Roman"/>
                <w:sz w:val="16"/>
                <w:szCs w:val="16"/>
              </w:rPr>
            </w:pPr>
          </w:p>
        </w:tc>
        <w:tc>
          <w:tcPr>
            <w:tcW w:w="886" w:type="pct"/>
            <w:tcBorders>
              <w:right w:val="single" w:sz="4" w:space="0" w:color="auto"/>
            </w:tcBorders>
            <w:vAlign w:val="center"/>
          </w:tcPr>
          <w:p w14:paraId="0F742C0B"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PS-matched incidence rates</w:t>
            </w:r>
          </w:p>
        </w:tc>
        <w:tc>
          <w:tcPr>
            <w:tcW w:w="750" w:type="pct"/>
            <w:tcBorders>
              <w:left w:val="single" w:sz="4" w:space="0" w:color="auto"/>
            </w:tcBorders>
            <w:vAlign w:val="center"/>
          </w:tcPr>
          <w:p w14:paraId="76CA6DAC"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0.3 (0.1, 1.2)</w:t>
            </w:r>
          </w:p>
        </w:tc>
        <w:tc>
          <w:tcPr>
            <w:tcW w:w="751" w:type="pct"/>
            <w:tcBorders>
              <w:left w:val="nil"/>
              <w:right w:val="single" w:sz="4" w:space="0" w:color="auto"/>
            </w:tcBorders>
            <w:vAlign w:val="center"/>
          </w:tcPr>
          <w:p w14:paraId="4EDE4ADB"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1.1 (0.8, 1.6)</w:t>
            </w:r>
          </w:p>
        </w:tc>
        <w:tc>
          <w:tcPr>
            <w:tcW w:w="751" w:type="pct"/>
            <w:tcBorders>
              <w:left w:val="single" w:sz="4" w:space="0" w:color="auto"/>
            </w:tcBorders>
            <w:vAlign w:val="center"/>
          </w:tcPr>
          <w:p w14:paraId="40EA98A3"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0.2 (0, 1.1)</w:t>
            </w:r>
          </w:p>
        </w:tc>
        <w:tc>
          <w:tcPr>
            <w:tcW w:w="751" w:type="pct"/>
            <w:tcBorders>
              <w:left w:val="nil"/>
              <w:right w:val="single" w:sz="4" w:space="0" w:color="auto"/>
            </w:tcBorders>
            <w:vAlign w:val="center"/>
          </w:tcPr>
          <w:p w14:paraId="02EE8055"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0.2 (0.1, 0.5)</w:t>
            </w:r>
          </w:p>
        </w:tc>
        <w:tc>
          <w:tcPr>
            <w:tcW w:w="750" w:type="pct"/>
            <w:tcBorders>
              <w:left w:val="nil"/>
              <w:right w:val="single" w:sz="4" w:space="0" w:color="auto"/>
            </w:tcBorders>
          </w:tcPr>
          <w:p w14:paraId="12BDEB90" w14:textId="77777777" w:rsidR="0074644B" w:rsidRPr="00BB54DF" w:rsidRDefault="0074644B" w:rsidP="007340D2">
            <w:pPr>
              <w:jc w:val="center"/>
              <w:rPr>
                <w:rFonts w:ascii="Times New Roman" w:hAnsi="Times New Roman"/>
                <w:sz w:val="16"/>
                <w:szCs w:val="16"/>
              </w:rPr>
            </w:pPr>
          </w:p>
        </w:tc>
      </w:tr>
      <w:tr w:rsidR="0074644B" w:rsidRPr="00BB54DF" w14:paraId="4FE7FB12" w14:textId="77777777" w:rsidTr="007340D2">
        <w:trPr>
          <w:cantSplit/>
          <w:trHeight w:val="113"/>
        </w:trPr>
        <w:tc>
          <w:tcPr>
            <w:tcW w:w="361" w:type="pct"/>
            <w:vMerge/>
            <w:vAlign w:val="center"/>
          </w:tcPr>
          <w:p w14:paraId="50B41153" w14:textId="77777777" w:rsidR="0074644B" w:rsidRPr="00BB54DF" w:rsidRDefault="0074644B" w:rsidP="007340D2">
            <w:pPr>
              <w:jc w:val="center"/>
              <w:rPr>
                <w:rFonts w:ascii="Times New Roman" w:hAnsi="Times New Roman"/>
                <w:sz w:val="16"/>
                <w:szCs w:val="16"/>
              </w:rPr>
            </w:pPr>
          </w:p>
        </w:tc>
        <w:tc>
          <w:tcPr>
            <w:tcW w:w="886" w:type="pct"/>
            <w:tcBorders>
              <w:right w:val="single" w:sz="4" w:space="0" w:color="auto"/>
            </w:tcBorders>
            <w:vAlign w:val="center"/>
          </w:tcPr>
          <w:p w14:paraId="270970B3"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PS-matched sub-HR</w:t>
            </w:r>
          </w:p>
        </w:tc>
        <w:tc>
          <w:tcPr>
            <w:tcW w:w="1501" w:type="pct"/>
            <w:gridSpan w:val="2"/>
            <w:tcBorders>
              <w:left w:val="single" w:sz="4" w:space="0" w:color="auto"/>
              <w:right w:val="single" w:sz="4" w:space="0" w:color="auto"/>
            </w:tcBorders>
            <w:vAlign w:val="center"/>
          </w:tcPr>
          <w:p w14:paraId="30354ACF"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0.34 (0.08, 1.43)</w:t>
            </w:r>
          </w:p>
        </w:tc>
        <w:tc>
          <w:tcPr>
            <w:tcW w:w="1502" w:type="pct"/>
            <w:gridSpan w:val="2"/>
            <w:tcBorders>
              <w:left w:val="single" w:sz="4" w:space="0" w:color="auto"/>
              <w:right w:val="single" w:sz="4" w:space="0" w:color="auto"/>
            </w:tcBorders>
            <w:vAlign w:val="center"/>
          </w:tcPr>
          <w:p w14:paraId="0783C17E"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NA</w:t>
            </w:r>
          </w:p>
        </w:tc>
        <w:tc>
          <w:tcPr>
            <w:tcW w:w="750" w:type="pct"/>
            <w:tcBorders>
              <w:left w:val="single" w:sz="4" w:space="0" w:color="auto"/>
              <w:right w:val="single" w:sz="4" w:space="0" w:color="auto"/>
            </w:tcBorders>
          </w:tcPr>
          <w:p w14:paraId="64A2AD87" w14:textId="77777777" w:rsidR="0074644B" w:rsidRPr="00BB54DF" w:rsidRDefault="0074644B" w:rsidP="007340D2">
            <w:pPr>
              <w:jc w:val="center"/>
              <w:rPr>
                <w:rFonts w:ascii="Times New Roman" w:hAnsi="Times New Roman"/>
                <w:sz w:val="16"/>
                <w:szCs w:val="16"/>
              </w:rPr>
            </w:pPr>
            <w:r w:rsidRPr="00BB54DF">
              <w:rPr>
                <w:rFonts w:ascii="Times New Roman" w:hAnsi="Times New Roman"/>
                <w:sz w:val="16"/>
                <w:szCs w:val="16"/>
              </w:rPr>
              <w:t>NA</w:t>
            </w:r>
          </w:p>
        </w:tc>
      </w:tr>
      <w:tr w:rsidR="0074644B" w:rsidRPr="00D95A55" w14:paraId="0394FA14" w14:textId="77777777" w:rsidTr="007340D2">
        <w:trPr>
          <w:cantSplit/>
          <w:trHeight w:val="113"/>
        </w:trPr>
        <w:tc>
          <w:tcPr>
            <w:tcW w:w="5000" w:type="pct"/>
            <w:gridSpan w:val="7"/>
            <w:tcBorders>
              <w:right w:val="single" w:sz="4" w:space="0" w:color="auto"/>
            </w:tcBorders>
            <w:vAlign w:val="center"/>
          </w:tcPr>
          <w:p w14:paraId="1197B204" w14:textId="77777777" w:rsidR="0074644B" w:rsidRPr="006914CE" w:rsidRDefault="0074644B" w:rsidP="007340D2">
            <w:pPr>
              <w:rPr>
                <w:rFonts w:ascii="Times New Roman" w:hAnsi="Times New Roman"/>
                <w:sz w:val="16"/>
                <w:szCs w:val="16"/>
              </w:rPr>
            </w:pPr>
            <w:r w:rsidRPr="00BB54DF">
              <w:rPr>
                <w:rFonts w:ascii="Times New Roman" w:hAnsi="Times New Roman"/>
                <w:sz w:val="16"/>
                <w:szCs w:val="16"/>
              </w:rPr>
              <w:t xml:space="preserve">BP = bisphosphonate, </w:t>
            </w:r>
            <w:r w:rsidRPr="00BB54DF">
              <w:rPr>
                <w:rFonts w:ascii="Times New Roman" w:hAnsi="Times New Roman"/>
                <w:sz w:val="16"/>
                <w:szCs w:val="16"/>
                <w:lang w:eastAsia="en-GB"/>
              </w:rPr>
              <w:t xml:space="preserve">CPRD = Clinical Practice Research Datalink, </w:t>
            </w:r>
            <w:r w:rsidRPr="00BB54DF">
              <w:rPr>
                <w:rFonts w:ascii="Times New Roman" w:hAnsi="Times New Roman"/>
                <w:sz w:val="16"/>
                <w:szCs w:val="16"/>
              </w:rPr>
              <w:t>HR = hazard ratio, PS = propensity score,</w:t>
            </w:r>
            <w:r w:rsidRPr="00BB54DF">
              <w:rPr>
                <w:rFonts w:ascii="Times New Roman" w:hAnsi="Times New Roman"/>
                <w:sz w:val="16"/>
                <w:szCs w:val="16"/>
                <w:lang w:eastAsia="en-GB"/>
              </w:rPr>
              <w:t xml:space="preserve"> SIDIAP =</w:t>
            </w:r>
            <w:r w:rsidRPr="00BB54DF">
              <w:t xml:space="preserve"> </w:t>
            </w:r>
            <w:r w:rsidRPr="00BB54DF">
              <w:rPr>
                <w:rFonts w:ascii="Times New Roman" w:hAnsi="Times New Roman"/>
                <w:sz w:val="16"/>
                <w:szCs w:val="16"/>
                <w:lang w:eastAsia="en-GB"/>
              </w:rPr>
              <w:t>Information System for the Development of Research in Primary Care, NA = analysis not undertaken due to lack of events.</w:t>
            </w:r>
          </w:p>
        </w:tc>
      </w:tr>
    </w:tbl>
    <w:p w14:paraId="008A7544" w14:textId="77777777" w:rsidR="0074644B" w:rsidRDefault="0074644B">
      <w:pPr>
        <w:spacing w:before="0" w:after="160" w:line="259" w:lineRule="auto"/>
        <w:rPr>
          <w:rFonts w:cs="Arial"/>
          <w:b/>
          <w:bCs/>
          <w:u w:val="single"/>
        </w:rPr>
      </w:pPr>
    </w:p>
    <w:p w14:paraId="01AF26C5" w14:textId="071CDCC7" w:rsidR="0074644B" w:rsidRDefault="0074644B">
      <w:pPr>
        <w:spacing w:before="0" w:after="160" w:line="259" w:lineRule="auto"/>
        <w:rPr>
          <w:rFonts w:cs="Arial"/>
          <w:b/>
          <w:bCs/>
          <w:u w:val="single"/>
        </w:rPr>
      </w:pPr>
    </w:p>
    <w:sectPr w:rsidR="0074644B" w:rsidSect="00AE7C2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AC3FE" w14:textId="77777777" w:rsidR="00BF61E3" w:rsidRDefault="00BF61E3" w:rsidP="007E7745">
      <w:r>
        <w:separator/>
      </w:r>
    </w:p>
  </w:endnote>
  <w:endnote w:type="continuationSeparator" w:id="0">
    <w:p w14:paraId="46A93DC8" w14:textId="77777777" w:rsidR="00BF61E3" w:rsidRDefault="00BF61E3" w:rsidP="007E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636951"/>
      <w:docPartObj>
        <w:docPartGallery w:val="Page Numbers (Bottom of Page)"/>
        <w:docPartUnique/>
      </w:docPartObj>
    </w:sdtPr>
    <w:sdtEndPr>
      <w:rPr>
        <w:noProof/>
      </w:rPr>
    </w:sdtEndPr>
    <w:sdtContent>
      <w:p w14:paraId="7A267C1C" w14:textId="4AB59236" w:rsidR="005503B9" w:rsidRDefault="005503B9">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2A427FE3" w14:textId="77777777" w:rsidR="005503B9" w:rsidRDefault="00550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E97D0" w14:textId="77777777" w:rsidR="00BF61E3" w:rsidRDefault="00BF61E3" w:rsidP="007E7745">
      <w:r>
        <w:separator/>
      </w:r>
    </w:p>
  </w:footnote>
  <w:footnote w:type="continuationSeparator" w:id="0">
    <w:p w14:paraId="03572ADE" w14:textId="77777777" w:rsidR="00BF61E3" w:rsidRDefault="00BF61E3" w:rsidP="007E7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26D60"/>
    <w:multiLevelType w:val="multilevel"/>
    <w:tmpl w:val="5922E71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4833"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5DA0B81"/>
    <w:multiLevelType w:val="hybridMultilevel"/>
    <w:tmpl w:val="F6D2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D73076"/>
    <w:multiLevelType w:val="hybridMultilevel"/>
    <w:tmpl w:val="B7EEB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17B81"/>
    <w:multiLevelType w:val="hybridMultilevel"/>
    <w:tmpl w:val="B0AC6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1675D0"/>
    <w:multiLevelType w:val="hybridMultilevel"/>
    <w:tmpl w:val="D71042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CA5BD0"/>
    <w:multiLevelType w:val="multilevel"/>
    <w:tmpl w:val="08AC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E118D"/>
    <w:multiLevelType w:val="hybridMultilevel"/>
    <w:tmpl w:val="D0969FD8"/>
    <w:lvl w:ilvl="0" w:tplc="352401BC">
      <w:start w:val="2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AC26D4"/>
    <w:multiLevelType w:val="hybridMultilevel"/>
    <w:tmpl w:val="BA48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BA1745"/>
    <w:multiLevelType w:val="hybridMultilevel"/>
    <w:tmpl w:val="EA08B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1A00B1"/>
    <w:multiLevelType w:val="hybridMultilevel"/>
    <w:tmpl w:val="4370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9F30B4"/>
    <w:multiLevelType w:val="hybridMultilevel"/>
    <w:tmpl w:val="5B02C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8966B19"/>
    <w:multiLevelType w:val="hybridMultilevel"/>
    <w:tmpl w:val="B78ABA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3C1959"/>
    <w:multiLevelType w:val="hybridMultilevel"/>
    <w:tmpl w:val="5E8A5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680B07"/>
    <w:multiLevelType w:val="hybridMultilevel"/>
    <w:tmpl w:val="8FD08C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10"/>
  </w:num>
  <w:num w:numId="6">
    <w:abstractNumId w:val="12"/>
  </w:num>
  <w:num w:numId="7">
    <w:abstractNumId w:val="4"/>
  </w:num>
  <w:num w:numId="8">
    <w:abstractNumId w:val="13"/>
  </w:num>
  <w:num w:numId="9">
    <w:abstractNumId w:val="1"/>
  </w:num>
  <w:num w:numId="10">
    <w:abstractNumId w:val="9"/>
  </w:num>
  <w:num w:numId="11">
    <w:abstractNumId w:val="7"/>
  </w:num>
  <w:num w:numId="12">
    <w:abstractNumId w:val="6"/>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dswvde6sasexe5rx9p90509rsftz22fdv9&quot;&gt;BisCK_paper-Converted&lt;record-ids&gt;&lt;item&gt;33&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60&lt;/item&gt;&lt;item&gt;62&lt;/item&gt;&lt;item&gt;63&lt;/item&gt;&lt;item&gt;66&lt;/item&gt;&lt;item&gt;68&lt;/item&gt;&lt;item&gt;69&lt;/item&gt;&lt;item&gt;71&lt;/item&gt;&lt;item&gt;72&lt;/item&gt;&lt;item&gt;73&lt;/item&gt;&lt;item&gt;74&lt;/item&gt;&lt;item&gt;75&lt;/item&gt;&lt;/record-ids&gt;&lt;/item&gt;&lt;/Libraries&gt;"/>
  </w:docVars>
  <w:rsids>
    <w:rsidRoot w:val="00E364C9"/>
    <w:rsid w:val="00002308"/>
    <w:rsid w:val="0001280E"/>
    <w:rsid w:val="00017F4B"/>
    <w:rsid w:val="00026543"/>
    <w:rsid w:val="0003118A"/>
    <w:rsid w:val="00031BEB"/>
    <w:rsid w:val="00031DD7"/>
    <w:rsid w:val="0003295E"/>
    <w:rsid w:val="00040C1F"/>
    <w:rsid w:val="000459CD"/>
    <w:rsid w:val="00045DB4"/>
    <w:rsid w:val="00050AD4"/>
    <w:rsid w:val="00054033"/>
    <w:rsid w:val="000568C0"/>
    <w:rsid w:val="00060105"/>
    <w:rsid w:val="00070DBD"/>
    <w:rsid w:val="00070FBF"/>
    <w:rsid w:val="00073375"/>
    <w:rsid w:val="00074AC5"/>
    <w:rsid w:val="00076732"/>
    <w:rsid w:val="00076CE6"/>
    <w:rsid w:val="00084DD7"/>
    <w:rsid w:val="00085DFA"/>
    <w:rsid w:val="0009079E"/>
    <w:rsid w:val="00091CD3"/>
    <w:rsid w:val="00094B82"/>
    <w:rsid w:val="000A011B"/>
    <w:rsid w:val="000A10D0"/>
    <w:rsid w:val="000A31CB"/>
    <w:rsid w:val="000A3676"/>
    <w:rsid w:val="000A56C2"/>
    <w:rsid w:val="000A64B1"/>
    <w:rsid w:val="000A7D23"/>
    <w:rsid w:val="000B15C2"/>
    <w:rsid w:val="000B4E34"/>
    <w:rsid w:val="000B56BE"/>
    <w:rsid w:val="000B6393"/>
    <w:rsid w:val="000C0F3C"/>
    <w:rsid w:val="000C0F76"/>
    <w:rsid w:val="000C7694"/>
    <w:rsid w:val="000D09E1"/>
    <w:rsid w:val="000D0A06"/>
    <w:rsid w:val="000D0E64"/>
    <w:rsid w:val="000D40F3"/>
    <w:rsid w:val="000D5CB0"/>
    <w:rsid w:val="000E3B61"/>
    <w:rsid w:val="000E438A"/>
    <w:rsid w:val="000E571A"/>
    <w:rsid w:val="00102A41"/>
    <w:rsid w:val="001049B6"/>
    <w:rsid w:val="00105303"/>
    <w:rsid w:val="001130B7"/>
    <w:rsid w:val="00117CBF"/>
    <w:rsid w:val="00121CDF"/>
    <w:rsid w:val="00122B0D"/>
    <w:rsid w:val="001243F2"/>
    <w:rsid w:val="001307CC"/>
    <w:rsid w:val="00130D8E"/>
    <w:rsid w:val="00131FDC"/>
    <w:rsid w:val="00143CBF"/>
    <w:rsid w:val="00151505"/>
    <w:rsid w:val="00156E7C"/>
    <w:rsid w:val="00163D71"/>
    <w:rsid w:val="0016522E"/>
    <w:rsid w:val="00171365"/>
    <w:rsid w:val="00180B86"/>
    <w:rsid w:val="001815DB"/>
    <w:rsid w:val="00182A5C"/>
    <w:rsid w:val="00185921"/>
    <w:rsid w:val="00186686"/>
    <w:rsid w:val="001869FB"/>
    <w:rsid w:val="00187ADC"/>
    <w:rsid w:val="001904EF"/>
    <w:rsid w:val="0019078B"/>
    <w:rsid w:val="001960E5"/>
    <w:rsid w:val="00196F9B"/>
    <w:rsid w:val="001A47F3"/>
    <w:rsid w:val="001B3CA5"/>
    <w:rsid w:val="001B44DB"/>
    <w:rsid w:val="001B5616"/>
    <w:rsid w:val="001B7E35"/>
    <w:rsid w:val="001C2B53"/>
    <w:rsid w:val="001C7FF5"/>
    <w:rsid w:val="001D03BB"/>
    <w:rsid w:val="001D050C"/>
    <w:rsid w:val="001D2E4B"/>
    <w:rsid w:val="001D5467"/>
    <w:rsid w:val="001D7D0B"/>
    <w:rsid w:val="001E0259"/>
    <w:rsid w:val="001E3B9B"/>
    <w:rsid w:val="001F2FD7"/>
    <w:rsid w:val="001F49BB"/>
    <w:rsid w:val="001F587B"/>
    <w:rsid w:val="00201B69"/>
    <w:rsid w:val="002079C6"/>
    <w:rsid w:val="00214B3D"/>
    <w:rsid w:val="00220AF8"/>
    <w:rsid w:val="00224776"/>
    <w:rsid w:val="002271B3"/>
    <w:rsid w:val="002273FD"/>
    <w:rsid w:val="002425C1"/>
    <w:rsid w:val="00245374"/>
    <w:rsid w:val="00256F5C"/>
    <w:rsid w:val="002618D8"/>
    <w:rsid w:val="00263923"/>
    <w:rsid w:val="00264B6D"/>
    <w:rsid w:val="00265112"/>
    <w:rsid w:val="00270D51"/>
    <w:rsid w:val="00271A6C"/>
    <w:rsid w:val="0027219D"/>
    <w:rsid w:val="002808A2"/>
    <w:rsid w:val="00283036"/>
    <w:rsid w:val="00290C7B"/>
    <w:rsid w:val="00290E92"/>
    <w:rsid w:val="00291809"/>
    <w:rsid w:val="00291F60"/>
    <w:rsid w:val="00292FEB"/>
    <w:rsid w:val="002975B8"/>
    <w:rsid w:val="002A179C"/>
    <w:rsid w:val="002A78FD"/>
    <w:rsid w:val="002B178B"/>
    <w:rsid w:val="002B3E08"/>
    <w:rsid w:val="002C08AE"/>
    <w:rsid w:val="002C1797"/>
    <w:rsid w:val="002C2529"/>
    <w:rsid w:val="002C31BD"/>
    <w:rsid w:val="002C43DA"/>
    <w:rsid w:val="002C6CF1"/>
    <w:rsid w:val="002C6FA1"/>
    <w:rsid w:val="002D321B"/>
    <w:rsid w:val="002D52EC"/>
    <w:rsid w:val="002D6E3D"/>
    <w:rsid w:val="002E0591"/>
    <w:rsid w:val="002E0C2F"/>
    <w:rsid w:val="002E303D"/>
    <w:rsid w:val="002E6D20"/>
    <w:rsid w:val="002E788B"/>
    <w:rsid w:val="002F0A8C"/>
    <w:rsid w:val="002F1D5D"/>
    <w:rsid w:val="002F45A4"/>
    <w:rsid w:val="002F7163"/>
    <w:rsid w:val="002F7222"/>
    <w:rsid w:val="003042CF"/>
    <w:rsid w:val="0030646A"/>
    <w:rsid w:val="0030731A"/>
    <w:rsid w:val="00322321"/>
    <w:rsid w:val="00324C61"/>
    <w:rsid w:val="003255E5"/>
    <w:rsid w:val="003262F7"/>
    <w:rsid w:val="00331457"/>
    <w:rsid w:val="00337E41"/>
    <w:rsid w:val="00340166"/>
    <w:rsid w:val="00344DCC"/>
    <w:rsid w:val="00345155"/>
    <w:rsid w:val="00345C54"/>
    <w:rsid w:val="003518A3"/>
    <w:rsid w:val="00353E61"/>
    <w:rsid w:val="00357B2D"/>
    <w:rsid w:val="00357C99"/>
    <w:rsid w:val="00361893"/>
    <w:rsid w:val="00362A94"/>
    <w:rsid w:val="00370D21"/>
    <w:rsid w:val="00371053"/>
    <w:rsid w:val="003731C3"/>
    <w:rsid w:val="00373D5E"/>
    <w:rsid w:val="00374C09"/>
    <w:rsid w:val="00376836"/>
    <w:rsid w:val="00380B92"/>
    <w:rsid w:val="0038363D"/>
    <w:rsid w:val="00384884"/>
    <w:rsid w:val="00390F24"/>
    <w:rsid w:val="00393970"/>
    <w:rsid w:val="00393F0A"/>
    <w:rsid w:val="003953D0"/>
    <w:rsid w:val="003B0351"/>
    <w:rsid w:val="003B1A0F"/>
    <w:rsid w:val="003B40B1"/>
    <w:rsid w:val="003C46C6"/>
    <w:rsid w:val="003C59AF"/>
    <w:rsid w:val="003C5B26"/>
    <w:rsid w:val="003C60ED"/>
    <w:rsid w:val="003C6E9C"/>
    <w:rsid w:val="003C7B66"/>
    <w:rsid w:val="003D2F36"/>
    <w:rsid w:val="003E3118"/>
    <w:rsid w:val="003E3841"/>
    <w:rsid w:val="003E7CB0"/>
    <w:rsid w:val="003F22F6"/>
    <w:rsid w:val="003F415C"/>
    <w:rsid w:val="003F44C1"/>
    <w:rsid w:val="003F751F"/>
    <w:rsid w:val="00403EB7"/>
    <w:rsid w:val="0040443C"/>
    <w:rsid w:val="00406BB6"/>
    <w:rsid w:val="00407F83"/>
    <w:rsid w:val="0041490E"/>
    <w:rsid w:val="00415768"/>
    <w:rsid w:val="0042575F"/>
    <w:rsid w:val="0042641D"/>
    <w:rsid w:val="00427886"/>
    <w:rsid w:val="00427BAD"/>
    <w:rsid w:val="004371FF"/>
    <w:rsid w:val="004414AA"/>
    <w:rsid w:val="00442752"/>
    <w:rsid w:val="0045261F"/>
    <w:rsid w:val="00452B0A"/>
    <w:rsid w:val="00461922"/>
    <w:rsid w:val="00461E1E"/>
    <w:rsid w:val="00466E00"/>
    <w:rsid w:val="00467111"/>
    <w:rsid w:val="004704CF"/>
    <w:rsid w:val="00472E14"/>
    <w:rsid w:val="00475C31"/>
    <w:rsid w:val="0047700B"/>
    <w:rsid w:val="00477EB7"/>
    <w:rsid w:val="004801A8"/>
    <w:rsid w:val="0048146F"/>
    <w:rsid w:val="004836A7"/>
    <w:rsid w:val="004856AC"/>
    <w:rsid w:val="004870B3"/>
    <w:rsid w:val="00492D32"/>
    <w:rsid w:val="004958CA"/>
    <w:rsid w:val="00495AF2"/>
    <w:rsid w:val="00496969"/>
    <w:rsid w:val="00497D39"/>
    <w:rsid w:val="004A252D"/>
    <w:rsid w:val="004A4570"/>
    <w:rsid w:val="004A570D"/>
    <w:rsid w:val="004A697B"/>
    <w:rsid w:val="004A789C"/>
    <w:rsid w:val="004B0D6B"/>
    <w:rsid w:val="004B109B"/>
    <w:rsid w:val="004B666C"/>
    <w:rsid w:val="004B693C"/>
    <w:rsid w:val="004B79DA"/>
    <w:rsid w:val="004C177E"/>
    <w:rsid w:val="004C1F35"/>
    <w:rsid w:val="004C29FA"/>
    <w:rsid w:val="004C468C"/>
    <w:rsid w:val="004D040F"/>
    <w:rsid w:val="004D1C18"/>
    <w:rsid w:val="004D2652"/>
    <w:rsid w:val="004D6D9A"/>
    <w:rsid w:val="004E1BAC"/>
    <w:rsid w:val="004E7749"/>
    <w:rsid w:val="005043B4"/>
    <w:rsid w:val="005129CC"/>
    <w:rsid w:val="0051373C"/>
    <w:rsid w:val="00523E86"/>
    <w:rsid w:val="00532E03"/>
    <w:rsid w:val="005336E2"/>
    <w:rsid w:val="0053540E"/>
    <w:rsid w:val="00540FBD"/>
    <w:rsid w:val="00542937"/>
    <w:rsid w:val="005503B9"/>
    <w:rsid w:val="00555816"/>
    <w:rsid w:val="00557B84"/>
    <w:rsid w:val="005603FE"/>
    <w:rsid w:val="005615E4"/>
    <w:rsid w:val="0056450B"/>
    <w:rsid w:val="0057473C"/>
    <w:rsid w:val="005771B8"/>
    <w:rsid w:val="005775B9"/>
    <w:rsid w:val="00581387"/>
    <w:rsid w:val="0058645D"/>
    <w:rsid w:val="00590AD6"/>
    <w:rsid w:val="00592177"/>
    <w:rsid w:val="00593AA0"/>
    <w:rsid w:val="005A416E"/>
    <w:rsid w:val="005A7535"/>
    <w:rsid w:val="005A7B23"/>
    <w:rsid w:val="005B41A1"/>
    <w:rsid w:val="005B4871"/>
    <w:rsid w:val="005B5BCF"/>
    <w:rsid w:val="005B755C"/>
    <w:rsid w:val="005B7C77"/>
    <w:rsid w:val="005C3F02"/>
    <w:rsid w:val="005D13B0"/>
    <w:rsid w:val="005D2991"/>
    <w:rsid w:val="005D29EB"/>
    <w:rsid w:val="005D2D37"/>
    <w:rsid w:val="005D435A"/>
    <w:rsid w:val="005D662A"/>
    <w:rsid w:val="005E143F"/>
    <w:rsid w:val="005E333B"/>
    <w:rsid w:val="005E742C"/>
    <w:rsid w:val="006038C1"/>
    <w:rsid w:val="00605BDA"/>
    <w:rsid w:val="00606B29"/>
    <w:rsid w:val="00606FFD"/>
    <w:rsid w:val="00607917"/>
    <w:rsid w:val="00607FF6"/>
    <w:rsid w:val="006116B5"/>
    <w:rsid w:val="00614D6F"/>
    <w:rsid w:val="00617789"/>
    <w:rsid w:val="0062252E"/>
    <w:rsid w:val="0062496F"/>
    <w:rsid w:val="00627AFA"/>
    <w:rsid w:val="00631144"/>
    <w:rsid w:val="006350BB"/>
    <w:rsid w:val="006358F4"/>
    <w:rsid w:val="00636098"/>
    <w:rsid w:val="00636941"/>
    <w:rsid w:val="00637EFD"/>
    <w:rsid w:val="006410E2"/>
    <w:rsid w:val="006415B0"/>
    <w:rsid w:val="0064576B"/>
    <w:rsid w:val="006506A1"/>
    <w:rsid w:val="00651FD2"/>
    <w:rsid w:val="0065201E"/>
    <w:rsid w:val="00655DDC"/>
    <w:rsid w:val="00660B50"/>
    <w:rsid w:val="00661D7F"/>
    <w:rsid w:val="00665BD7"/>
    <w:rsid w:val="00667C21"/>
    <w:rsid w:val="00670B3E"/>
    <w:rsid w:val="00681F65"/>
    <w:rsid w:val="00681FA9"/>
    <w:rsid w:val="0068712D"/>
    <w:rsid w:val="0069026F"/>
    <w:rsid w:val="006918A4"/>
    <w:rsid w:val="0069683B"/>
    <w:rsid w:val="00696F46"/>
    <w:rsid w:val="00697367"/>
    <w:rsid w:val="00697ADE"/>
    <w:rsid w:val="006A1E2C"/>
    <w:rsid w:val="006A38FB"/>
    <w:rsid w:val="006A3CDC"/>
    <w:rsid w:val="006A5AE3"/>
    <w:rsid w:val="006A5E0D"/>
    <w:rsid w:val="006A6E78"/>
    <w:rsid w:val="006A7B2B"/>
    <w:rsid w:val="006B0B50"/>
    <w:rsid w:val="006B2D91"/>
    <w:rsid w:val="006B3A05"/>
    <w:rsid w:val="006B4187"/>
    <w:rsid w:val="006B4AD3"/>
    <w:rsid w:val="006B4D97"/>
    <w:rsid w:val="006C062B"/>
    <w:rsid w:val="006C4C46"/>
    <w:rsid w:val="006C6991"/>
    <w:rsid w:val="006C73A0"/>
    <w:rsid w:val="006C7D30"/>
    <w:rsid w:val="006D3863"/>
    <w:rsid w:val="006D4774"/>
    <w:rsid w:val="006E04CD"/>
    <w:rsid w:val="006E3F7E"/>
    <w:rsid w:val="006E66EA"/>
    <w:rsid w:val="006E6AA4"/>
    <w:rsid w:val="006E7C62"/>
    <w:rsid w:val="006F0597"/>
    <w:rsid w:val="006F656B"/>
    <w:rsid w:val="00701CB9"/>
    <w:rsid w:val="007022BC"/>
    <w:rsid w:val="007076FE"/>
    <w:rsid w:val="007079BD"/>
    <w:rsid w:val="00715F15"/>
    <w:rsid w:val="00720CC7"/>
    <w:rsid w:val="0072193E"/>
    <w:rsid w:val="0072202B"/>
    <w:rsid w:val="00725E88"/>
    <w:rsid w:val="00727DDF"/>
    <w:rsid w:val="00733296"/>
    <w:rsid w:val="00733C4B"/>
    <w:rsid w:val="007340D2"/>
    <w:rsid w:val="00735503"/>
    <w:rsid w:val="00735822"/>
    <w:rsid w:val="0074644B"/>
    <w:rsid w:val="007469A6"/>
    <w:rsid w:val="00747205"/>
    <w:rsid w:val="00750087"/>
    <w:rsid w:val="00770F6A"/>
    <w:rsid w:val="00775513"/>
    <w:rsid w:val="00775B39"/>
    <w:rsid w:val="0077691B"/>
    <w:rsid w:val="007803CD"/>
    <w:rsid w:val="0078102D"/>
    <w:rsid w:val="00781BD6"/>
    <w:rsid w:val="00782DF3"/>
    <w:rsid w:val="00785F2B"/>
    <w:rsid w:val="007A207B"/>
    <w:rsid w:val="007A5FA7"/>
    <w:rsid w:val="007A7085"/>
    <w:rsid w:val="007B6849"/>
    <w:rsid w:val="007B688B"/>
    <w:rsid w:val="007B74C9"/>
    <w:rsid w:val="007C0B91"/>
    <w:rsid w:val="007C36B3"/>
    <w:rsid w:val="007D0161"/>
    <w:rsid w:val="007D3B3A"/>
    <w:rsid w:val="007E3A43"/>
    <w:rsid w:val="007E575C"/>
    <w:rsid w:val="007E5C6D"/>
    <w:rsid w:val="007E7745"/>
    <w:rsid w:val="007F02D2"/>
    <w:rsid w:val="007F4128"/>
    <w:rsid w:val="0080025F"/>
    <w:rsid w:val="00803C08"/>
    <w:rsid w:val="00804EBD"/>
    <w:rsid w:val="008051F8"/>
    <w:rsid w:val="00805250"/>
    <w:rsid w:val="00805258"/>
    <w:rsid w:val="00805D12"/>
    <w:rsid w:val="0080610F"/>
    <w:rsid w:val="00806C09"/>
    <w:rsid w:val="0081263E"/>
    <w:rsid w:val="00813715"/>
    <w:rsid w:val="0081463A"/>
    <w:rsid w:val="00817A00"/>
    <w:rsid w:val="00817D99"/>
    <w:rsid w:val="008247EA"/>
    <w:rsid w:val="00830D7C"/>
    <w:rsid w:val="0083112C"/>
    <w:rsid w:val="0083494D"/>
    <w:rsid w:val="00835D2B"/>
    <w:rsid w:val="00836D42"/>
    <w:rsid w:val="008517F2"/>
    <w:rsid w:val="008537EC"/>
    <w:rsid w:val="00854EFD"/>
    <w:rsid w:val="0086388B"/>
    <w:rsid w:val="008641FE"/>
    <w:rsid w:val="00864358"/>
    <w:rsid w:val="00867936"/>
    <w:rsid w:val="008711F5"/>
    <w:rsid w:val="008724E4"/>
    <w:rsid w:val="00872BC3"/>
    <w:rsid w:val="008776D1"/>
    <w:rsid w:val="00885211"/>
    <w:rsid w:val="008866D5"/>
    <w:rsid w:val="00893C2A"/>
    <w:rsid w:val="00897A9F"/>
    <w:rsid w:val="008A354A"/>
    <w:rsid w:val="008A4662"/>
    <w:rsid w:val="008A62A4"/>
    <w:rsid w:val="008A727C"/>
    <w:rsid w:val="008A7779"/>
    <w:rsid w:val="008B3969"/>
    <w:rsid w:val="008C07DA"/>
    <w:rsid w:val="008C2912"/>
    <w:rsid w:val="008C469D"/>
    <w:rsid w:val="008C4EBD"/>
    <w:rsid w:val="008C644A"/>
    <w:rsid w:val="008D185C"/>
    <w:rsid w:val="008D363F"/>
    <w:rsid w:val="008D4FA3"/>
    <w:rsid w:val="008E3D94"/>
    <w:rsid w:val="008E582F"/>
    <w:rsid w:val="008E6F8F"/>
    <w:rsid w:val="008E7BAD"/>
    <w:rsid w:val="008F7251"/>
    <w:rsid w:val="0090090B"/>
    <w:rsid w:val="009014CF"/>
    <w:rsid w:val="00901A7C"/>
    <w:rsid w:val="009050A9"/>
    <w:rsid w:val="00914A68"/>
    <w:rsid w:val="009227F7"/>
    <w:rsid w:val="00922FAA"/>
    <w:rsid w:val="00923BB2"/>
    <w:rsid w:val="00927575"/>
    <w:rsid w:val="009303DA"/>
    <w:rsid w:val="009314F5"/>
    <w:rsid w:val="009319C3"/>
    <w:rsid w:val="009328DF"/>
    <w:rsid w:val="009354BA"/>
    <w:rsid w:val="0094458E"/>
    <w:rsid w:val="00944E24"/>
    <w:rsid w:val="00947887"/>
    <w:rsid w:val="00947F82"/>
    <w:rsid w:val="00952C54"/>
    <w:rsid w:val="00952FD7"/>
    <w:rsid w:val="009546E0"/>
    <w:rsid w:val="0096088A"/>
    <w:rsid w:val="0096205B"/>
    <w:rsid w:val="00963861"/>
    <w:rsid w:val="00966A92"/>
    <w:rsid w:val="00970400"/>
    <w:rsid w:val="009757E3"/>
    <w:rsid w:val="00976DFA"/>
    <w:rsid w:val="00980C47"/>
    <w:rsid w:val="00980DA0"/>
    <w:rsid w:val="00981986"/>
    <w:rsid w:val="00985941"/>
    <w:rsid w:val="00985CF6"/>
    <w:rsid w:val="0098636D"/>
    <w:rsid w:val="00990197"/>
    <w:rsid w:val="00994C51"/>
    <w:rsid w:val="0099657F"/>
    <w:rsid w:val="009A0274"/>
    <w:rsid w:val="009A3D66"/>
    <w:rsid w:val="009A506F"/>
    <w:rsid w:val="009A6EFD"/>
    <w:rsid w:val="009B550B"/>
    <w:rsid w:val="009B70AE"/>
    <w:rsid w:val="009C1B01"/>
    <w:rsid w:val="009C5B12"/>
    <w:rsid w:val="009D13BF"/>
    <w:rsid w:val="009D5CA4"/>
    <w:rsid w:val="009E41EB"/>
    <w:rsid w:val="009E457F"/>
    <w:rsid w:val="009F0644"/>
    <w:rsid w:val="009F2709"/>
    <w:rsid w:val="009F4946"/>
    <w:rsid w:val="009F53B6"/>
    <w:rsid w:val="00A045FF"/>
    <w:rsid w:val="00A068D2"/>
    <w:rsid w:val="00A1489E"/>
    <w:rsid w:val="00A1729B"/>
    <w:rsid w:val="00A23661"/>
    <w:rsid w:val="00A242A2"/>
    <w:rsid w:val="00A24D79"/>
    <w:rsid w:val="00A332DC"/>
    <w:rsid w:val="00A33E91"/>
    <w:rsid w:val="00A3505D"/>
    <w:rsid w:val="00A35B3B"/>
    <w:rsid w:val="00A36094"/>
    <w:rsid w:val="00A4030B"/>
    <w:rsid w:val="00A42B65"/>
    <w:rsid w:val="00A516B7"/>
    <w:rsid w:val="00A55A47"/>
    <w:rsid w:val="00A57008"/>
    <w:rsid w:val="00A61B8F"/>
    <w:rsid w:val="00A65CF7"/>
    <w:rsid w:val="00A709FE"/>
    <w:rsid w:val="00A70A91"/>
    <w:rsid w:val="00A75AAE"/>
    <w:rsid w:val="00A76338"/>
    <w:rsid w:val="00A8186B"/>
    <w:rsid w:val="00A82789"/>
    <w:rsid w:val="00A8378F"/>
    <w:rsid w:val="00A86E0E"/>
    <w:rsid w:val="00A87762"/>
    <w:rsid w:val="00A9232C"/>
    <w:rsid w:val="00A9552C"/>
    <w:rsid w:val="00A96948"/>
    <w:rsid w:val="00A9761B"/>
    <w:rsid w:val="00AA54D0"/>
    <w:rsid w:val="00AA56C9"/>
    <w:rsid w:val="00AA7396"/>
    <w:rsid w:val="00AA765B"/>
    <w:rsid w:val="00AB1366"/>
    <w:rsid w:val="00AB3C0C"/>
    <w:rsid w:val="00AB578B"/>
    <w:rsid w:val="00AC05EC"/>
    <w:rsid w:val="00AC0817"/>
    <w:rsid w:val="00AC0C31"/>
    <w:rsid w:val="00AC16D9"/>
    <w:rsid w:val="00AC3398"/>
    <w:rsid w:val="00AC4F94"/>
    <w:rsid w:val="00AC5E5C"/>
    <w:rsid w:val="00AD0FD6"/>
    <w:rsid w:val="00AD5FDD"/>
    <w:rsid w:val="00AE531D"/>
    <w:rsid w:val="00AE6D5F"/>
    <w:rsid w:val="00AE6E6F"/>
    <w:rsid w:val="00AE6ECF"/>
    <w:rsid w:val="00AE7C29"/>
    <w:rsid w:val="00AF2ADC"/>
    <w:rsid w:val="00AF4AF6"/>
    <w:rsid w:val="00B03544"/>
    <w:rsid w:val="00B06285"/>
    <w:rsid w:val="00B11067"/>
    <w:rsid w:val="00B1213B"/>
    <w:rsid w:val="00B14BB2"/>
    <w:rsid w:val="00B164CF"/>
    <w:rsid w:val="00B2512F"/>
    <w:rsid w:val="00B25F9F"/>
    <w:rsid w:val="00B31177"/>
    <w:rsid w:val="00B317AC"/>
    <w:rsid w:val="00B32B6F"/>
    <w:rsid w:val="00B35178"/>
    <w:rsid w:val="00B37605"/>
    <w:rsid w:val="00B41757"/>
    <w:rsid w:val="00B430A2"/>
    <w:rsid w:val="00B43706"/>
    <w:rsid w:val="00B46593"/>
    <w:rsid w:val="00B50E25"/>
    <w:rsid w:val="00B5431D"/>
    <w:rsid w:val="00B554A4"/>
    <w:rsid w:val="00B567EF"/>
    <w:rsid w:val="00B57226"/>
    <w:rsid w:val="00B5747F"/>
    <w:rsid w:val="00B61BE6"/>
    <w:rsid w:val="00B64470"/>
    <w:rsid w:val="00B70F4E"/>
    <w:rsid w:val="00B742B1"/>
    <w:rsid w:val="00B75DEB"/>
    <w:rsid w:val="00B8573E"/>
    <w:rsid w:val="00B87A1E"/>
    <w:rsid w:val="00B90101"/>
    <w:rsid w:val="00BA0479"/>
    <w:rsid w:val="00BB3870"/>
    <w:rsid w:val="00BB404A"/>
    <w:rsid w:val="00BB5148"/>
    <w:rsid w:val="00BB54DF"/>
    <w:rsid w:val="00BC05F3"/>
    <w:rsid w:val="00BC35BA"/>
    <w:rsid w:val="00BC5DB3"/>
    <w:rsid w:val="00BD16A1"/>
    <w:rsid w:val="00BD27E8"/>
    <w:rsid w:val="00BD7163"/>
    <w:rsid w:val="00BE26E9"/>
    <w:rsid w:val="00BE729B"/>
    <w:rsid w:val="00BF112E"/>
    <w:rsid w:val="00BF19FB"/>
    <w:rsid w:val="00BF226E"/>
    <w:rsid w:val="00BF58F0"/>
    <w:rsid w:val="00BF5C37"/>
    <w:rsid w:val="00BF5E2C"/>
    <w:rsid w:val="00BF61E3"/>
    <w:rsid w:val="00BF734B"/>
    <w:rsid w:val="00BF78E0"/>
    <w:rsid w:val="00C00657"/>
    <w:rsid w:val="00C02726"/>
    <w:rsid w:val="00C05D7B"/>
    <w:rsid w:val="00C07E3C"/>
    <w:rsid w:val="00C110CC"/>
    <w:rsid w:val="00C11379"/>
    <w:rsid w:val="00C160A5"/>
    <w:rsid w:val="00C16597"/>
    <w:rsid w:val="00C1673E"/>
    <w:rsid w:val="00C20E3F"/>
    <w:rsid w:val="00C25ADF"/>
    <w:rsid w:val="00C3050B"/>
    <w:rsid w:val="00C31B2B"/>
    <w:rsid w:val="00C37439"/>
    <w:rsid w:val="00C379EC"/>
    <w:rsid w:val="00C37DD9"/>
    <w:rsid w:val="00C41685"/>
    <w:rsid w:val="00C4185B"/>
    <w:rsid w:val="00C42B20"/>
    <w:rsid w:val="00C43758"/>
    <w:rsid w:val="00C46FE4"/>
    <w:rsid w:val="00C53C1C"/>
    <w:rsid w:val="00C55E28"/>
    <w:rsid w:val="00C6143E"/>
    <w:rsid w:val="00C6172A"/>
    <w:rsid w:val="00C618D9"/>
    <w:rsid w:val="00C6349B"/>
    <w:rsid w:val="00C63D93"/>
    <w:rsid w:val="00C66AE9"/>
    <w:rsid w:val="00C7211B"/>
    <w:rsid w:val="00C81BFA"/>
    <w:rsid w:val="00C8231C"/>
    <w:rsid w:val="00C83565"/>
    <w:rsid w:val="00C87101"/>
    <w:rsid w:val="00C87F0E"/>
    <w:rsid w:val="00C90BD9"/>
    <w:rsid w:val="00C953EA"/>
    <w:rsid w:val="00C963D7"/>
    <w:rsid w:val="00CA0C11"/>
    <w:rsid w:val="00CA12D6"/>
    <w:rsid w:val="00CB5D00"/>
    <w:rsid w:val="00CB677B"/>
    <w:rsid w:val="00CB7400"/>
    <w:rsid w:val="00CC443F"/>
    <w:rsid w:val="00CC56D4"/>
    <w:rsid w:val="00CC5DC3"/>
    <w:rsid w:val="00CC6842"/>
    <w:rsid w:val="00CC6E1E"/>
    <w:rsid w:val="00CC773B"/>
    <w:rsid w:val="00CD39A4"/>
    <w:rsid w:val="00CD4636"/>
    <w:rsid w:val="00CE60DD"/>
    <w:rsid w:val="00CE66F4"/>
    <w:rsid w:val="00CE79C0"/>
    <w:rsid w:val="00CE7D71"/>
    <w:rsid w:val="00CF1455"/>
    <w:rsid w:val="00CF2847"/>
    <w:rsid w:val="00CF3FA3"/>
    <w:rsid w:val="00CF53E2"/>
    <w:rsid w:val="00CF7378"/>
    <w:rsid w:val="00D019D1"/>
    <w:rsid w:val="00D03252"/>
    <w:rsid w:val="00D0701E"/>
    <w:rsid w:val="00D13658"/>
    <w:rsid w:val="00D139E2"/>
    <w:rsid w:val="00D14208"/>
    <w:rsid w:val="00D14C05"/>
    <w:rsid w:val="00D157E6"/>
    <w:rsid w:val="00D16118"/>
    <w:rsid w:val="00D17B52"/>
    <w:rsid w:val="00D17FCA"/>
    <w:rsid w:val="00D23B5B"/>
    <w:rsid w:val="00D33D4A"/>
    <w:rsid w:val="00D3464E"/>
    <w:rsid w:val="00D364CC"/>
    <w:rsid w:val="00D409C9"/>
    <w:rsid w:val="00D42FD6"/>
    <w:rsid w:val="00D440DB"/>
    <w:rsid w:val="00D621E7"/>
    <w:rsid w:val="00D63796"/>
    <w:rsid w:val="00D638F8"/>
    <w:rsid w:val="00D656C2"/>
    <w:rsid w:val="00D65E45"/>
    <w:rsid w:val="00D74F51"/>
    <w:rsid w:val="00D75A1F"/>
    <w:rsid w:val="00D82880"/>
    <w:rsid w:val="00D86126"/>
    <w:rsid w:val="00D924F3"/>
    <w:rsid w:val="00D93347"/>
    <w:rsid w:val="00D9389B"/>
    <w:rsid w:val="00DA25DB"/>
    <w:rsid w:val="00DA30C0"/>
    <w:rsid w:val="00DA3E36"/>
    <w:rsid w:val="00DA450F"/>
    <w:rsid w:val="00DA62C2"/>
    <w:rsid w:val="00DA72E2"/>
    <w:rsid w:val="00DB242D"/>
    <w:rsid w:val="00DB62F6"/>
    <w:rsid w:val="00DB7621"/>
    <w:rsid w:val="00DC4201"/>
    <w:rsid w:val="00DC4FF3"/>
    <w:rsid w:val="00DC6E71"/>
    <w:rsid w:val="00DD0135"/>
    <w:rsid w:val="00DD1B4A"/>
    <w:rsid w:val="00DD2E4A"/>
    <w:rsid w:val="00DE4DA0"/>
    <w:rsid w:val="00DE5DF2"/>
    <w:rsid w:val="00DE6182"/>
    <w:rsid w:val="00DE7105"/>
    <w:rsid w:val="00DF2216"/>
    <w:rsid w:val="00DF4CA3"/>
    <w:rsid w:val="00E0182D"/>
    <w:rsid w:val="00E02084"/>
    <w:rsid w:val="00E02361"/>
    <w:rsid w:val="00E02EDD"/>
    <w:rsid w:val="00E0458D"/>
    <w:rsid w:val="00E14230"/>
    <w:rsid w:val="00E15FCA"/>
    <w:rsid w:val="00E20EDC"/>
    <w:rsid w:val="00E272C4"/>
    <w:rsid w:val="00E33A7D"/>
    <w:rsid w:val="00E35086"/>
    <w:rsid w:val="00E364C9"/>
    <w:rsid w:val="00E410CD"/>
    <w:rsid w:val="00E505F0"/>
    <w:rsid w:val="00E507DF"/>
    <w:rsid w:val="00E5295F"/>
    <w:rsid w:val="00E54C12"/>
    <w:rsid w:val="00E55032"/>
    <w:rsid w:val="00E60A5B"/>
    <w:rsid w:val="00E62BAF"/>
    <w:rsid w:val="00E631B1"/>
    <w:rsid w:val="00E64E80"/>
    <w:rsid w:val="00E66829"/>
    <w:rsid w:val="00E67E4F"/>
    <w:rsid w:val="00E736B2"/>
    <w:rsid w:val="00E741A3"/>
    <w:rsid w:val="00E769AC"/>
    <w:rsid w:val="00E80DA5"/>
    <w:rsid w:val="00E83859"/>
    <w:rsid w:val="00E85F26"/>
    <w:rsid w:val="00E8650E"/>
    <w:rsid w:val="00E929CD"/>
    <w:rsid w:val="00E93EF4"/>
    <w:rsid w:val="00E9662B"/>
    <w:rsid w:val="00EA0D05"/>
    <w:rsid w:val="00EA2FDB"/>
    <w:rsid w:val="00EA43C3"/>
    <w:rsid w:val="00EB2B89"/>
    <w:rsid w:val="00EC1317"/>
    <w:rsid w:val="00EC2D95"/>
    <w:rsid w:val="00EC47FC"/>
    <w:rsid w:val="00ED09DE"/>
    <w:rsid w:val="00ED301B"/>
    <w:rsid w:val="00ED3B28"/>
    <w:rsid w:val="00ED513B"/>
    <w:rsid w:val="00ED5321"/>
    <w:rsid w:val="00ED532E"/>
    <w:rsid w:val="00ED70A2"/>
    <w:rsid w:val="00ED739B"/>
    <w:rsid w:val="00EE5708"/>
    <w:rsid w:val="00EE600E"/>
    <w:rsid w:val="00EE6AF5"/>
    <w:rsid w:val="00EF102F"/>
    <w:rsid w:val="00EF2E31"/>
    <w:rsid w:val="00F003BB"/>
    <w:rsid w:val="00F01A9E"/>
    <w:rsid w:val="00F03FD4"/>
    <w:rsid w:val="00F07F8C"/>
    <w:rsid w:val="00F117AC"/>
    <w:rsid w:val="00F117BF"/>
    <w:rsid w:val="00F11DAD"/>
    <w:rsid w:val="00F14267"/>
    <w:rsid w:val="00F16DE3"/>
    <w:rsid w:val="00F178EF"/>
    <w:rsid w:val="00F21E96"/>
    <w:rsid w:val="00F25886"/>
    <w:rsid w:val="00F26D98"/>
    <w:rsid w:val="00F338D2"/>
    <w:rsid w:val="00F3467C"/>
    <w:rsid w:val="00F34ECB"/>
    <w:rsid w:val="00F430C0"/>
    <w:rsid w:val="00F43999"/>
    <w:rsid w:val="00F46BED"/>
    <w:rsid w:val="00F5199B"/>
    <w:rsid w:val="00F52034"/>
    <w:rsid w:val="00F52334"/>
    <w:rsid w:val="00F52E8A"/>
    <w:rsid w:val="00F52FA9"/>
    <w:rsid w:val="00F53563"/>
    <w:rsid w:val="00F5425D"/>
    <w:rsid w:val="00F55F9F"/>
    <w:rsid w:val="00F5794D"/>
    <w:rsid w:val="00F606DB"/>
    <w:rsid w:val="00F61261"/>
    <w:rsid w:val="00F61336"/>
    <w:rsid w:val="00F65F1C"/>
    <w:rsid w:val="00F70958"/>
    <w:rsid w:val="00F723AD"/>
    <w:rsid w:val="00F75940"/>
    <w:rsid w:val="00F80A62"/>
    <w:rsid w:val="00F83096"/>
    <w:rsid w:val="00F83520"/>
    <w:rsid w:val="00F84431"/>
    <w:rsid w:val="00F86E3C"/>
    <w:rsid w:val="00F9080B"/>
    <w:rsid w:val="00F90C68"/>
    <w:rsid w:val="00F91A4D"/>
    <w:rsid w:val="00F92861"/>
    <w:rsid w:val="00F932EC"/>
    <w:rsid w:val="00F96103"/>
    <w:rsid w:val="00F96375"/>
    <w:rsid w:val="00F97A89"/>
    <w:rsid w:val="00FA1510"/>
    <w:rsid w:val="00FA20DE"/>
    <w:rsid w:val="00FA41DA"/>
    <w:rsid w:val="00FA6104"/>
    <w:rsid w:val="00FB12AE"/>
    <w:rsid w:val="00FB316A"/>
    <w:rsid w:val="00FB328F"/>
    <w:rsid w:val="00FB4294"/>
    <w:rsid w:val="00FC082D"/>
    <w:rsid w:val="00FC184E"/>
    <w:rsid w:val="00FC191C"/>
    <w:rsid w:val="00FC7943"/>
    <w:rsid w:val="00FD2D49"/>
    <w:rsid w:val="00FD4422"/>
    <w:rsid w:val="00FD78FF"/>
    <w:rsid w:val="00FE09A8"/>
    <w:rsid w:val="00FE1199"/>
    <w:rsid w:val="00FE4564"/>
    <w:rsid w:val="00FE5426"/>
    <w:rsid w:val="00FE5E54"/>
    <w:rsid w:val="05888B3B"/>
    <w:rsid w:val="09B95F36"/>
    <w:rsid w:val="11362446"/>
    <w:rsid w:val="138AEC12"/>
    <w:rsid w:val="23D83FDF"/>
    <w:rsid w:val="25A540BF"/>
    <w:rsid w:val="29F21C44"/>
    <w:rsid w:val="40E94DCA"/>
    <w:rsid w:val="52BB40D2"/>
    <w:rsid w:val="532D0311"/>
    <w:rsid w:val="5C7BAB04"/>
    <w:rsid w:val="5D0D6708"/>
    <w:rsid w:val="7BF1F70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1CC543"/>
  <w15:docId w15:val="{94C62D50-2E65-44AB-A806-E7478C44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084"/>
    <w:pPr>
      <w:spacing w:before="120" w:after="120" w:line="240" w:lineRule="auto"/>
    </w:pPr>
    <w:rPr>
      <w:rFonts w:ascii="Arial" w:eastAsia="Times New Roman" w:hAnsi="Arial" w:cs="Times New Roman"/>
      <w:sz w:val="24"/>
      <w:szCs w:val="24"/>
      <w:lang w:val="en-GB" w:eastAsia="zh-TW"/>
    </w:rPr>
  </w:style>
  <w:style w:type="paragraph" w:styleId="Heading1">
    <w:name w:val="heading 1"/>
    <w:basedOn w:val="Normal"/>
    <w:next w:val="Normal"/>
    <w:link w:val="Heading1Char"/>
    <w:uiPriority w:val="9"/>
    <w:qFormat/>
    <w:rsid w:val="00E410CD"/>
    <w:pPr>
      <w:keepNext/>
      <w:keepLines/>
      <w:numPr>
        <w:numId w:val="3"/>
      </w:numPr>
      <w:spacing w:before="240" w:line="360"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E410CD"/>
    <w:pPr>
      <w:keepNext/>
      <w:keepLines/>
      <w:numPr>
        <w:ilvl w:val="1"/>
        <w:numId w:val="3"/>
      </w:numPr>
      <w:spacing w:before="40" w:line="360" w:lineRule="auto"/>
      <w:jc w:val="both"/>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E410CD"/>
    <w:pPr>
      <w:keepNext/>
      <w:keepLines/>
      <w:numPr>
        <w:ilvl w:val="2"/>
        <w:numId w:val="3"/>
      </w:numPr>
      <w:spacing w:before="40" w:line="360" w:lineRule="auto"/>
      <w:jc w:val="both"/>
      <w:outlineLvl w:val="2"/>
    </w:pPr>
    <w:rPr>
      <w:rFonts w:asciiTheme="majorHAnsi" w:eastAsiaTheme="majorEastAsia" w:hAnsiTheme="majorHAnsi" w:cstheme="majorBidi"/>
      <w:color w:val="1F4D78" w:themeColor="accent1" w:themeShade="7F"/>
      <w:lang w:eastAsia="en-US"/>
    </w:rPr>
  </w:style>
  <w:style w:type="paragraph" w:styleId="Heading4">
    <w:name w:val="heading 4"/>
    <w:basedOn w:val="Normal"/>
    <w:next w:val="Normal"/>
    <w:link w:val="Heading4Char"/>
    <w:uiPriority w:val="9"/>
    <w:unhideWhenUsed/>
    <w:qFormat/>
    <w:rsid w:val="00E410CD"/>
    <w:pPr>
      <w:keepNext/>
      <w:keepLines/>
      <w:numPr>
        <w:ilvl w:val="3"/>
        <w:numId w:val="3"/>
      </w:numPr>
      <w:spacing w:before="40" w:line="360" w:lineRule="auto"/>
      <w:ind w:left="864"/>
      <w:jc w:val="both"/>
      <w:outlineLvl w:val="3"/>
    </w:pPr>
    <w:rPr>
      <w:rFonts w:asciiTheme="majorHAnsi" w:eastAsiaTheme="majorEastAsia" w:hAnsiTheme="majorHAnsi" w:cstheme="majorBidi"/>
      <w:i/>
      <w:iCs/>
      <w:color w:val="2E74B5" w:themeColor="accent1" w:themeShade="BF"/>
      <w:lang w:eastAsia="en-US"/>
    </w:rPr>
  </w:style>
  <w:style w:type="paragraph" w:styleId="Heading5">
    <w:name w:val="heading 5"/>
    <w:basedOn w:val="Normal"/>
    <w:next w:val="Normal"/>
    <w:link w:val="Heading5Char"/>
    <w:uiPriority w:val="9"/>
    <w:unhideWhenUsed/>
    <w:qFormat/>
    <w:rsid w:val="00E410CD"/>
    <w:pPr>
      <w:keepNext/>
      <w:keepLines/>
      <w:numPr>
        <w:ilvl w:val="4"/>
        <w:numId w:val="3"/>
      </w:numPr>
      <w:spacing w:before="40" w:line="360" w:lineRule="auto"/>
      <w:jc w:val="both"/>
      <w:outlineLvl w:val="4"/>
    </w:pPr>
    <w:rPr>
      <w:rFonts w:asciiTheme="majorHAnsi" w:eastAsiaTheme="majorEastAsia" w:hAnsiTheme="majorHAnsi" w:cstheme="majorBidi"/>
      <w:color w:val="2E74B5" w:themeColor="accent1" w:themeShade="BF"/>
      <w:lang w:eastAsia="en-US"/>
    </w:rPr>
  </w:style>
  <w:style w:type="paragraph" w:styleId="Heading6">
    <w:name w:val="heading 6"/>
    <w:basedOn w:val="Normal"/>
    <w:next w:val="Normal"/>
    <w:link w:val="Heading6Char"/>
    <w:uiPriority w:val="9"/>
    <w:semiHidden/>
    <w:unhideWhenUsed/>
    <w:qFormat/>
    <w:rsid w:val="00E410CD"/>
    <w:pPr>
      <w:keepNext/>
      <w:keepLines/>
      <w:numPr>
        <w:ilvl w:val="5"/>
        <w:numId w:val="3"/>
      </w:numPr>
      <w:spacing w:before="40" w:line="360" w:lineRule="auto"/>
      <w:jc w:val="both"/>
      <w:outlineLvl w:val="5"/>
    </w:pPr>
    <w:rPr>
      <w:rFonts w:asciiTheme="majorHAnsi" w:eastAsiaTheme="majorEastAsia" w:hAnsiTheme="majorHAnsi" w:cstheme="majorBidi"/>
      <w:color w:val="1F4D78" w:themeColor="accent1" w:themeShade="7F"/>
      <w:lang w:eastAsia="en-US"/>
    </w:rPr>
  </w:style>
  <w:style w:type="paragraph" w:styleId="Heading7">
    <w:name w:val="heading 7"/>
    <w:basedOn w:val="Normal"/>
    <w:next w:val="Normal"/>
    <w:link w:val="Heading7Char"/>
    <w:uiPriority w:val="9"/>
    <w:semiHidden/>
    <w:unhideWhenUsed/>
    <w:qFormat/>
    <w:rsid w:val="00E410CD"/>
    <w:pPr>
      <w:keepNext/>
      <w:keepLines/>
      <w:numPr>
        <w:ilvl w:val="6"/>
        <w:numId w:val="3"/>
      </w:numPr>
      <w:spacing w:before="40" w:line="360" w:lineRule="auto"/>
      <w:jc w:val="both"/>
      <w:outlineLvl w:val="6"/>
    </w:pPr>
    <w:rPr>
      <w:rFonts w:asciiTheme="majorHAnsi" w:eastAsiaTheme="majorEastAsia" w:hAnsiTheme="majorHAnsi" w:cstheme="majorBidi"/>
      <w:i/>
      <w:iCs/>
      <w:color w:val="1F4D78" w:themeColor="accent1" w:themeShade="7F"/>
      <w:lang w:eastAsia="en-US"/>
    </w:rPr>
  </w:style>
  <w:style w:type="paragraph" w:styleId="Heading8">
    <w:name w:val="heading 8"/>
    <w:basedOn w:val="Normal"/>
    <w:next w:val="Normal"/>
    <w:link w:val="Heading8Char"/>
    <w:uiPriority w:val="9"/>
    <w:semiHidden/>
    <w:unhideWhenUsed/>
    <w:qFormat/>
    <w:rsid w:val="00E410CD"/>
    <w:pPr>
      <w:keepNext/>
      <w:keepLines/>
      <w:numPr>
        <w:ilvl w:val="7"/>
        <w:numId w:val="3"/>
      </w:numPr>
      <w:spacing w:before="40" w:line="360"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E410CD"/>
    <w:pPr>
      <w:keepNext/>
      <w:keepLines/>
      <w:numPr>
        <w:ilvl w:val="8"/>
        <w:numId w:val="3"/>
      </w:numPr>
      <w:spacing w:before="40" w:line="360"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172A"/>
    <w:rPr>
      <w:sz w:val="16"/>
      <w:szCs w:val="16"/>
    </w:rPr>
  </w:style>
  <w:style w:type="paragraph" w:styleId="CommentText">
    <w:name w:val="annotation text"/>
    <w:basedOn w:val="Normal"/>
    <w:link w:val="CommentTextChar"/>
    <w:uiPriority w:val="99"/>
    <w:unhideWhenUsed/>
    <w:rsid w:val="00C6172A"/>
    <w:pPr>
      <w:jc w:val="both"/>
    </w:pPr>
    <w:rPr>
      <w:sz w:val="20"/>
      <w:szCs w:val="20"/>
    </w:rPr>
  </w:style>
  <w:style w:type="character" w:customStyle="1" w:styleId="CommentTextChar">
    <w:name w:val="Comment Text Char"/>
    <w:basedOn w:val="DefaultParagraphFont"/>
    <w:link w:val="CommentText"/>
    <w:uiPriority w:val="99"/>
    <w:rsid w:val="00C6172A"/>
    <w:rPr>
      <w:sz w:val="20"/>
      <w:szCs w:val="20"/>
    </w:rPr>
  </w:style>
  <w:style w:type="paragraph" w:styleId="BalloonText">
    <w:name w:val="Balloon Text"/>
    <w:basedOn w:val="Normal"/>
    <w:link w:val="BalloonTextChar"/>
    <w:uiPriority w:val="99"/>
    <w:semiHidden/>
    <w:unhideWhenUsed/>
    <w:rsid w:val="00C61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72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172A"/>
    <w:pPr>
      <w:jc w:val="left"/>
    </w:pPr>
    <w:rPr>
      <w:b/>
      <w:bCs/>
    </w:rPr>
  </w:style>
  <w:style w:type="character" w:customStyle="1" w:styleId="CommentSubjectChar">
    <w:name w:val="Comment Subject Char"/>
    <w:basedOn w:val="CommentTextChar"/>
    <w:link w:val="CommentSubject"/>
    <w:uiPriority w:val="99"/>
    <w:semiHidden/>
    <w:rsid w:val="00C6172A"/>
    <w:rPr>
      <w:b/>
      <w:bCs/>
      <w:sz w:val="20"/>
      <w:szCs w:val="20"/>
    </w:rPr>
  </w:style>
  <w:style w:type="character" w:styleId="Hyperlink">
    <w:name w:val="Hyperlink"/>
    <w:basedOn w:val="DefaultParagraphFont"/>
    <w:uiPriority w:val="99"/>
    <w:unhideWhenUsed/>
    <w:rsid w:val="0090090B"/>
    <w:rPr>
      <w:color w:val="0563C1" w:themeColor="hyperlink"/>
      <w:u w:val="single"/>
    </w:rPr>
  </w:style>
  <w:style w:type="character" w:customStyle="1" w:styleId="Heading1Char">
    <w:name w:val="Heading 1 Char"/>
    <w:basedOn w:val="DefaultParagraphFont"/>
    <w:link w:val="Heading1"/>
    <w:uiPriority w:val="9"/>
    <w:rsid w:val="00E410CD"/>
    <w:rPr>
      <w:rFonts w:asciiTheme="majorHAnsi" w:eastAsiaTheme="majorEastAsia" w:hAnsiTheme="majorHAnsi" w:cstheme="majorBidi"/>
      <w:color w:val="2E74B5" w:themeColor="accent1" w:themeShade="BF"/>
      <w:sz w:val="32"/>
      <w:szCs w:val="32"/>
      <w:lang w:val="en-GB" w:eastAsia="en-US"/>
    </w:rPr>
  </w:style>
  <w:style w:type="character" w:customStyle="1" w:styleId="Heading2Char">
    <w:name w:val="Heading 2 Char"/>
    <w:basedOn w:val="DefaultParagraphFont"/>
    <w:link w:val="Heading2"/>
    <w:uiPriority w:val="9"/>
    <w:rsid w:val="00E410CD"/>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uiPriority w:val="9"/>
    <w:rsid w:val="00E410CD"/>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uiPriority w:val="9"/>
    <w:rsid w:val="00E410CD"/>
    <w:rPr>
      <w:rFonts w:asciiTheme="majorHAnsi" w:eastAsiaTheme="majorEastAsia" w:hAnsiTheme="majorHAnsi" w:cstheme="majorBidi"/>
      <w:i/>
      <w:iCs/>
      <w:color w:val="2E74B5" w:themeColor="accent1" w:themeShade="BF"/>
      <w:sz w:val="24"/>
      <w:lang w:val="en-GB" w:eastAsia="en-US"/>
    </w:rPr>
  </w:style>
  <w:style w:type="character" w:customStyle="1" w:styleId="Heading5Char">
    <w:name w:val="Heading 5 Char"/>
    <w:basedOn w:val="DefaultParagraphFont"/>
    <w:link w:val="Heading5"/>
    <w:uiPriority w:val="9"/>
    <w:rsid w:val="00E410CD"/>
    <w:rPr>
      <w:rFonts w:asciiTheme="majorHAnsi" w:eastAsiaTheme="majorEastAsia" w:hAnsiTheme="majorHAnsi" w:cstheme="majorBidi"/>
      <w:color w:val="2E74B5" w:themeColor="accent1" w:themeShade="BF"/>
      <w:sz w:val="24"/>
      <w:lang w:val="en-GB" w:eastAsia="en-US"/>
    </w:rPr>
  </w:style>
  <w:style w:type="character" w:customStyle="1" w:styleId="Heading6Char">
    <w:name w:val="Heading 6 Char"/>
    <w:basedOn w:val="DefaultParagraphFont"/>
    <w:link w:val="Heading6"/>
    <w:uiPriority w:val="9"/>
    <w:semiHidden/>
    <w:rsid w:val="00E410CD"/>
    <w:rPr>
      <w:rFonts w:asciiTheme="majorHAnsi" w:eastAsiaTheme="majorEastAsia" w:hAnsiTheme="majorHAnsi" w:cstheme="majorBidi"/>
      <w:color w:val="1F4D78" w:themeColor="accent1" w:themeShade="7F"/>
      <w:sz w:val="24"/>
      <w:lang w:val="en-GB" w:eastAsia="en-US"/>
    </w:rPr>
  </w:style>
  <w:style w:type="character" w:customStyle="1" w:styleId="Heading7Char">
    <w:name w:val="Heading 7 Char"/>
    <w:basedOn w:val="DefaultParagraphFont"/>
    <w:link w:val="Heading7"/>
    <w:uiPriority w:val="9"/>
    <w:semiHidden/>
    <w:rsid w:val="00E410CD"/>
    <w:rPr>
      <w:rFonts w:asciiTheme="majorHAnsi" w:eastAsiaTheme="majorEastAsia" w:hAnsiTheme="majorHAnsi" w:cstheme="majorBidi"/>
      <w:i/>
      <w:iCs/>
      <w:color w:val="1F4D78" w:themeColor="accent1" w:themeShade="7F"/>
      <w:sz w:val="24"/>
      <w:lang w:val="en-GB" w:eastAsia="en-US"/>
    </w:rPr>
  </w:style>
  <w:style w:type="character" w:customStyle="1" w:styleId="Heading8Char">
    <w:name w:val="Heading 8 Char"/>
    <w:basedOn w:val="DefaultParagraphFont"/>
    <w:link w:val="Heading8"/>
    <w:uiPriority w:val="9"/>
    <w:semiHidden/>
    <w:rsid w:val="00E410CD"/>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410CD"/>
    <w:rPr>
      <w:rFonts w:asciiTheme="majorHAnsi" w:eastAsiaTheme="majorEastAsia" w:hAnsiTheme="majorHAnsi" w:cstheme="majorBidi"/>
      <w:i/>
      <w:iCs/>
      <w:color w:val="272727" w:themeColor="text1" w:themeTint="D8"/>
      <w:sz w:val="21"/>
      <w:szCs w:val="21"/>
      <w:lang w:val="en-GB" w:eastAsia="en-US"/>
    </w:rPr>
  </w:style>
  <w:style w:type="paragraph" w:customStyle="1" w:styleId="EndNoteBibliography">
    <w:name w:val="EndNote Bibliography"/>
    <w:basedOn w:val="Normal"/>
    <w:link w:val="EndNoteBibliographyChar"/>
    <w:rsid w:val="00E410CD"/>
    <w:pPr>
      <w:jc w:val="both"/>
    </w:pPr>
    <w:rPr>
      <w:rFonts w:cs="Arial"/>
      <w:noProof/>
      <w:lang w:val="en-US" w:eastAsia="en-US"/>
    </w:rPr>
  </w:style>
  <w:style w:type="character" w:customStyle="1" w:styleId="EndNoteBibliographyChar">
    <w:name w:val="EndNote Bibliography Char"/>
    <w:basedOn w:val="DefaultParagraphFont"/>
    <w:link w:val="EndNoteBibliography"/>
    <w:rsid w:val="00E410CD"/>
    <w:rPr>
      <w:rFonts w:ascii="Arial" w:eastAsia="Times New Roman" w:hAnsi="Arial" w:cs="Arial"/>
      <w:noProof/>
      <w:sz w:val="24"/>
      <w:szCs w:val="24"/>
      <w:lang w:val="en-US" w:eastAsia="en-US"/>
    </w:rPr>
  </w:style>
  <w:style w:type="paragraph" w:customStyle="1" w:styleId="loaitem">
    <w:name w:val="loa__item"/>
    <w:basedOn w:val="Normal"/>
    <w:rsid w:val="00F723AD"/>
    <w:pPr>
      <w:spacing w:before="100" w:beforeAutospacing="1" w:after="100" w:afterAutospacing="1"/>
    </w:pPr>
  </w:style>
  <w:style w:type="character" w:customStyle="1" w:styleId="refseries">
    <w:name w:val="ref__series"/>
    <w:basedOn w:val="DefaultParagraphFont"/>
    <w:rsid w:val="00F723AD"/>
  </w:style>
  <w:style w:type="character" w:customStyle="1" w:styleId="refseriesdate">
    <w:name w:val="ref__seriesdate"/>
    <w:basedOn w:val="DefaultParagraphFont"/>
    <w:rsid w:val="00F723AD"/>
  </w:style>
  <w:style w:type="character" w:customStyle="1" w:styleId="refseriesvolume">
    <w:name w:val="ref__seriesvolume"/>
    <w:basedOn w:val="DefaultParagraphFont"/>
    <w:rsid w:val="00F723AD"/>
  </w:style>
  <w:style w:type="character" w:customStyle="1" w:styleId="refseriespages">
    <w:name w:val="ref__seriespages"/>
    <w:basedOn w:val="DefaultParagraphFont"/>
    <w:rsid w:val="00F723AD"/>
  </w:style>
  <w:style w:type="character" w:customStyle="1" w:styleId="UnresolvedMention1">
    <w:name w:val="Unresolved Mention1"/>
    <w:basedOn w:val="DefaultParagraphFont"/>
    <w:uiPriority w:val="99"/>
    <w:semiHidden/>
    <w:unhideWhenUsed/>
    <w:rsid w:val="00CE66F4"/>
    <w:rPr>
      <w:color w:val="605E5C"/>
      <w:shd w:val="clear" w:color="auto" w:fill="E1DFDD"/>
    </w:rPr>
  </w:style>
  <w:style w:type="paragraph" w:styleId="ListParagraph">
    <w:name w:val="List Paragraph"/>
    <w:basedOn w:val="Normal"/>
    <w:qFormat/>
    <w:rsid w:val="008E3D94"/>
    <w:pPr>
      <w:spacing w:line="360" w:lineRule="auto"/>
      <w:ind w:left="720"/>
      <w:contextualSpacing/>
      <w:jc w:val="both"/>
    </w:pPr>
    <w:rPr>
      <w:rFonts w:eastAsiaTheme="minorEastAsia"/>
    </w:rPr>
  </w:style>
  <w:style w:type="paragraph" w:styleId="Revision">
    <w:name w:val="Revision"/>
    <w:hidden/>
    <w:uiPriority w:val="99"/>
    <w:semiHidden/>
    <w:rsid w:val="00ED513B"/>
    <w:pPr>
      <w:spacing w:after="0" w:line="240" w:lineRule="auto"/>
    </w:pPr>
    <w:rPr>
      <w:lang w:val="en-GB"/>
    </w:rPr>
  </w:style>
  <w:style w:type="character" w:styleId="FollowedHyperlink">
    <w:name w:val="FollowedHyperlink"/>
    <w:basedOn w:val="DefaultParagraphFont"/>
    <w:uiPriority w:val="99"/>
    <w:semiHidden/>
    <w:unhideWhenUsed/>
    <w:rsid w:val="00B41757"/>
    <w:rPr>
      <w:color w:val="954F72" w:themeColor="followedHyperlink"/>
      <w:u w:val="single"/>
    </w:rPr>
  </w:style>
  <w:style w:type="character" w:customStyle="1" w:styleId="apple-converted-space">
    <w:name w:val="apple-converted-space"/>
    <w:basedOn w:val="DefaultParagraphFont"/>
    <w:rsid w:val="00C4185B"/>
  </w:style>
  <w:style w:type="character" w:styleId="Strong">
    <w:name w:val="Strong"/>
    <w:basedOn w:val="DefaultParagraphFont"/>
    <w:uiPriority w:val="22"/>
    <w:qFormat/>
    <w:rsid w:val="00C4185B"/>
    <w:rPr>
      <w:b/>
      <w:bCs/>
    </w:rPr>
  </w:style>
  <w:style w:type="character" w:customStyle="1" w:styleId="UnresolvedMention2">
    <w:name w:val="Unresolved Mention2"/>
    <w:basedOn w:val="DefaultParagraphFont"/>
    <w:uiPriority w:val="99"/>
    <w:semiHidden/>
    <w:unhideWhenUsed/>
    <w:rsid w:val="00C87F0E"/>
    <w:rPr>
      <w:color w:val="605E5C"/>
      <w:shd w:val="clear" w:color="auto" w:fill="E1DFDD"/>
    </w:rPr>
  </w:style>
  <w:style w:type="character" w:customStyle="1" w:styleId="UnresolvedMention3">
    <w:name w:val="Unresolved Mention3"/>
    <w:basedOn w:val="DefaultParagraphFont"/>
    <w:uiPriority w:val="99"/>
    <w:semiHidden/>
    <w:unhideWhenUsed/>
    <w:rsid w:val="00697ADE"/>
    <w:rPr>
      <w:color w:val="605E5C"/>
      <w:shd w:val="clear" w:color="auto" w:fill="E1DFDD"/>
    </w:rPr>
  </w:style>
  <w:style w:type="character" w:customStyle="1" w:styleId="UnresolvedMention4">
    <w:name w:val="Unresolved Mention4"/>
    <w:basedOn w:val="DefaultParagraphFont"/>
    <w:uiPriority w:val="99"/>
    <w:semiHidden/>
    <w:unhideWhenUsed/>
    <w:rsid w:val="002E788B"/>
    <w:rPr>
      <w:color w:val="605E5C"/>
      <w:shd w:val="clear" w:color="auto" w:fill="E1DFDD"/>
    </w:rPr>
  </w:style>
  <w:style w:type="paragraph" w:styleId="Header">
    <w:name w:val="header"/>
    <w:basedOn w:val="Normal"/>
    <w:link w:val="HeaderChar"/>
    <w:uiPriority w:val="99"/>
    <w:unhideWhenUsed/>
    <w:rsid w:val="00B37605"/>
    <w:pPr>
      <w:tabs>
        <w:tab w:val="center" w:pos="4513"/>
        <w:tab w:val="right" w:pos="9026"/>
      </w:tabs>
      <w:spacing w:before="0" w:after="0"/>
    </w:pPr>
  </w:style>
  <w:style w:type="character" w:customStyle="1" w:styleId="HeaderChar">
    <w:name w:val="Header Char"/>
    <w:basedOn w:val="DefaultParagraphFont"/>
    <w:link w:val="Header"/>
    <w:uiPriority w:val="99"/>
    <w:rsid w:val="00B37605"/>
    <w:rPr>
      <w:rFonts w:ascii="Arial" w:eastAsia="Times New Roman" w:hAnsi="Arial" w:cs="Times New Roman"/>
      <w:sz w:val="24"/>
      <w:szCs w:val="24"/>
      <w:lang w:val="en-GB" w:eastAsia="zh-TW"/>
    </w:rPr>
  </w:style>
  <w:style w:type="paragraph" w:styleId="Footer">
    <w:name w:val="footer"/>
    <w:basedOn w:val="Normal"/>
    <w:link w:val="FooterChar"/>
    <w:uiPriority w:val="99"/>
    <w:unhideWhenUsed/>
    <w:rsid w:val="00B37605"/>
    <w:pPr>
      <w:tabs>
        <w:tab w:val="center" w:pos="4513"/>
        <w:tab w:val="right" w:pos="9026"/>
      </w:tabs>
      <w:spacing w:before="0" w:after="0"/>
    </w:pPr>
  </w:style>
  <w:style w:type="character" w:customStyle="1" w:styleId="FooterChar">
    <w:name w:val="Footer Char"/>
    <w:basedOn w:val="DefaultParagraphFont"/>
    <w:link w:val="Footer"/>
    <w:uiPriority w:val="99"/>
    <w:rsid w:val="00B37605"/>
    <w:rPr>
      <w:rFonts w:ascii="Arial" w:eastAsia="Times New Roman" w:hAnsi="Arial" w:cs="Times New Roman"/>
      <w:sz w:val="24"/>
      <w:szCs w:val="24"/>
      <w:lang w:val="en-GB" w:eastAsia="zh-TW"/>
    </w:rPr>
  </w:style>
  <w:style w:type="paragraph" w:customStyle="1" w:styleId="EndNoteBibliographyTitle">
    <w:name w:val="EndNote Bibliography Title"/>
    <w:basedOn w:val="Normal"/>
    <w:link w:val="EndNoteBibliographyTitleChar"/>
    <w:rsid w:val="00201B69"/>
    <w:pPr>
      <w:spacing w:after="0"/>
      <w:jc w:val="center"/>
    </w:pPr>
    <w:rPr>
      <w:rFonts w:cs="Arial"/>
      <w:noProof/>
    </w:rPr>
  </w:style>
  <w:style w:type="character" w:customStyle="1" w:styleId="EndNoteBibliographyTitleChar">
    <w:name w:val="EndNote Bibliography Title Char"/>
    <w:basedOn w:val="DefaultParagraphFont"/>
    <w:link w:val="EndNoteBibliographyTitle"/>
    <w:rsid w:val="00201B69"/>
    <w:rPr>
      <w:rFonts w:ascii="Arial" w:eastAsia="Times New Roman" w:hAnsi="Arial" w:cs="Arial"/>
      <w:noProof/>
      <w:sz w:val="24"/>
      <w:szCs w:val="24"/>
      <w:lang w:val="en-GB" w:eastAsia="zh-TW"/>
    </w:rPr>
  </w:style>
  <w:style w:type="character" w:customStyle="1" w:styleId="UnresolvedMention5">
    <w:name w:val="Unresolved Mention5"/>
    <w:basedOn w:val="DefaultParagraphFont"/>
    <w:uiPriority w:val="99"/>
    <w:semiHidden/>
    <w:unhideWhenUsed/>
    <w:rsid w:val="00985941"/>
    <w:rPr>
      <w:color w:val="605E5C"/>
      <w:shd w:val="clear" w:color="auto" w:fill="E1DFDD"/>
    </w:rPr>
  </w:style>
  <w:style w:type="character" w:styleId="Emphasis">
    <w:name w:val="Emphasis"/>
    <w:basedOn w:val="DefaultParagraphFont"/>
    <w:uiPriority w:val="20"/>
    <w:qFormat/>
    <w:rsid w:val="00B61BE6"/>
    <w:rPr>
      <w:i/>
      <w:iCs/>
    </w:rPr>
  </w:style>
  <w:style w:type="paragraph" w:styleId="PlainText">
    <w:name w:val="Plain Text"/>
    <w:basedOn w:val="Normal"/>
    <w:link w:val="PlainTextChar"/>
    <w:uiPriority w:val="99"/>
    <w:semiHidden/>
    <w:unhideWhenUsed/>
    <w:rsid w:val="00AE6ECF"/>
    <w:pPr>
      <w:spacing w:before="0" w:after="0"/>
    </w:pPr>
    <w:rPr>
      <w:rFonts w:ascii="Calibri" w:eastAsiaTheme="minorHAnsi" w:hAnsi="Calibri" w:cs="Calibri"/>
      <w:sz w:val="22"/>
      <w:szCs w:val="22"/>
      <w:lang w:eastAsia="en-GB"/>
    </w:rPr>
  </w:style>
  <w:style w:type="character" w:customStyle="1" w:styleId="PlainTextChar">
    <w:name w:val="Plain Text Char"/>
    <w:basedOn w:val="DefaultParagraphFont"/>
    <w:link w:val="PlainText"/>
    <w:uiPriority w:val="99"/>
    <w:semiHidden/>
    <w:rsid w:val="00AE6ECF"/>
    <w:rPr>
      <w:rFonts w:ascii="Calibri" w:hAnsi="Calibri" w:cs="Calibri"/>
      <w:lang w:val="en-GB" w:eastAsia="en-GB"/>
    </w:rPr>
  </w:style>
  <w:style w:type="character" w:customStyle="1" w:styleId="UnresolvedMention6">
    <w:name w:val="Unresolved Mention6"/>
    <w:basedOn w:val="DefaultParagraphFont"/>
    <w:uiPriority w:val="99"/>
    <w:semiHidden/>
    <w:unhideWhenUsed/>
    <w:rsid w:val="00220AF8"/>
    <w:rPr>
      <w:color w:val="605E5C"/>
      <w:shd w:val="clear" w:color="auto" w:fill="E1DFDD"/>
    </w:rPr>
  </w:style>
  <w:style w:type="paragraph" w:styleId="NormalWeb">
    <w:name w:val="Normal (Web)"/>
    <w:basedOn w:val="Normal"/>
    <w:uiPriority w:val="99"/>
    <w:semiHidden/>
    <w:unhideWhenUsed/>
    <w:rsid w:val="00901A7C"/>
    <w:pPr>
      <w:spacing w:before="100" w:beforeAutospacing="1" w:after="100" w:afterAutospacing="1"/>
      <w:jc w:val="both"/>
    </w:pPr>
    <w:rPr>
      <w:rFonts w:ascii="Times New Roman" w:eastAsiaTheme="minorEastAsia" w:hAnsi="Times New Roman"/>
      <w:lang w:eastAsia="en-GB"/>
    </w:rPr>
  </w:style>
  <w:style w:type="table" w:styleId="TableGrid">
    <w:name w:val="Table Grid"/>
    <w:basedOn w:val="TableNormal"/>
    <w:uiPriority w:val="39"/>
    <w:rsid w:val="00901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F01A9E"/>
    <w:rPr>
      <w:color w:val="605E5C"/>
      <w:shd w:val="clear" w:color="auto" w:fill="E1DFDD"/>
    </w:rPr>
  </w:style>
  <w:style w:type="character" w:customStyle="1" w:styleId="a">
    <w:name w:val="_"/>
    <w:basedOn w:val="DefaultParagraphFont"/>
    <w:rsid w:val="00DE7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2915">
      <w:bodyDiv w:val="1"/>
      <w:marLeft w:val="0"/>
      <w:marRight w:val="0"/>
      <w:marTop w:val="0"/>
      <w:marBottom w:val="0"/>
      <w:divBdr>
        <w:top w:val="none" w:sz="0" w:space="0" w:color="auto"/>
        <w:left w:val="none" w:sz="0" w:space="0" w:color="auto"/>
        <w:bottom w:val="none" w:sz="0" w:space="0" w:color="auto"/>
        <w:right w:val="none" w:sz="0" w:space="0" w:color="auto"/>
      </w:divBdr>
      <w:divsChild>
        <w:div w:id="594552868">
          <w:marLeft w:val="75"/>
          <w:marRight w:val="0"/>
          <w:marTop w:val="150"/>
          <w:marBottom w:val="150"/>
          <w:divBdr>
            <w:top w:val="none" w:sz="0" w:space="0" w:color="auto"/>
            <w:left w:val="none" w:sz="0" w:space="0" w:color="auto"/>
            <w:bottom w:val="none" w:sz="0" w:space="0" w:color="auto"/>
            <w:right w:val="none" w:sz="0" w:space="0" w:color="auto"/>
          </w:divBdr>
          <w:divsChild>
            <w:div w:id="46192374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88430791">
      <w:bodyDiv w:val="1"/>
      <w:marLeft w:val="0"/>
      <w:marRight w:val="0"/>
      <w:marTop w:val="0"/>
      <w:marBottom w:val="0"/>
      <w:divBdr>
        <w:top w:val="none" w:sz="0" w:space="0" w:color="auto"/>
        <w:left w:val="none" w:sz="0" w:space="0" w:color="auto"/>
        <w:bottom w:val="none" w:sz="0" w:space="0" w:color="auto"/>
        <w:right w:val="none" w:sz="0" w:space="0" w:color="auto"/>
      </w:divBdr>
    </w:div>
    <w:div w:id="122966991">
      <w:bodyDiv w:val="1"/>
      <w:marLeft w:val="0"/>
      <w:marRight w:val="0"/>
      <w:marTop w:val="0"/>
      <w:marBottom w:val="0"/>
      <w:divBdr>
        <w:top w:val="none" w:sz="0" w:space="0" w:color="auto"/>
        <w:left w:val="none" w:sz="0" w:space="0" w:color="auto"/>
        <w:bottom w:val="none" w:sz="0" w:space="0" w:color="auto"/>
        <w:right w:val="none" w:sz="0" w:space="0" w:color="auto"/>
      </w:divBdr>
    </w:div>
    <w:div w:id="129252050">
      <w:bodyDiv w:val="1"/>
      <w:marLeft w:val="0"/>
      <w:marRight w:val="0"/>
      <w:marTop w:val="0"/>
      <w:marBottom w:val="0"/>
      <w:divBdr>
        <w:top w:val="none" w:sz="0" w:space="0" w:color="auto"/>
        <w:left w:val="none" w:sz="0" w:space="0" w:color="auto"/>
        <w:bottom w:val="none" w:sz="0" w:space="0" w:color="auto"/>
        <w:right w:val="none" w:sz="0" w:space="0" w:color="auto"/>
      </w:divBdr>
    </w:div>
    <w:div w:id="156922514">
      <w:bodyDiv w:val="1"/>
      <w:marLeft w:val="0"/>
      <w:marRight w:val="0"/>
      <w:marTop w:val="0"/>
      <w:marBottom w:val="0"/>
      <w:divBdr>
        <w:top w:val="none" w:sz="0" w:space="0" w:color="auto"/>
        <w:left w:val="none" w:sz="0" w:space="0" w:color="auto"/>
        <w:bottom w:val="none" w:sz="0" w:space="0" w:color="auto"/>
        <w:right w:val="none" w:sz="0" w:space="0" w:color="auto"/>
      </w:divBdr>
    </w:div>
    <w:div w:id="165022374">
      <w:bodyDiv w:val="1"/>
      <w:marLeft w:val="0"/>
      <w:marRight w:val="0"/>
      <w:marTop w:val="0"/>
      <w:marBottom w:val="0"/>
      <w:divBdr>
        <w:top w:val="none" w:sz="0" w:space="0" w:color="auto"/>
        <w:left w:val="none" w:sz="0" w:space="0" w:color="auto"/>
        <w:bottom w:val="none" w:sz="0" w:space="0" w:color="auto"/>
        <w:right w:val="none" w:sz="0" w:space="0" w:color="auto"/>
      </w:divBdr>
      <w:divsChild>
        <w:div w:id="39288470">
          <w:marLeft w:val="0"/>
          <w:marRight w:val="0"/>
          <w:marTop w:val="0"/>
          <w:marBottom w:val="0"/>
          <w:divBdr>
            <w:top w:val="none" w:sz="0" w:space="0" w:color="auto"/>
            <w:left w:val="none" w:sz="0" w:space="0" w:color="auto"/>
            <w:bottom w:val="none" w:sz="0" w:space="0" w:color="auto"/>
            <w:right w:val="none" w:sz="0" w:space="0" w:color="auto"/>
          </w:divBdr>
        </w:div>
        <w:div w:id="237323726">
          <w:marLeft w:val="0"/>
          <w:marRight w:val="0"/>
          <w:marTop w:val="0"/>
          <w:marBottom w:val="0"/>
          <w:divBdr>
            <w:top w:val="none" w:sz="0" w:space="0" w:color="auto"/>
            <w:left w:val="none" w:sz="0" w:space="0" w:color="auto"/>
            <w:bottom w:val="none" w:sz="0" w:space="0" w:color="auto"/>
            <w:right w:val="none" w:sz="0" w:space="0" w:color="auto"/>
          </w:divBdr>
        </w:div>
        <w:div w:id="266230940">
          <w:marLeft w:val="0"/>
          <w:marRight w:val="0"/>
          <w:marTop w:val="0"/>
          <w:marBottom w:val="0"/>
          <w:divBdr>
            <w:top w:val="none" w:sz="0" w:space="0" w:color="auto"/>
            <w:left w:val="none" w:sz="0" w:space="0" w:color="auto"/>
            <w:bottom w:val="none" w:sz="0" w:space="0" w:color="auto"/>
            <w:right w:val="none" w:sz="0" w:space="0" w:color="auto"/>
          </w:divBdr>
        </w:div>
        <w:div w:id="285818243">
          <w:marLeft w:val="0"/>
          <w:marRight w:val="0"/>
          <w:marTop w:val="0"/>
          <w:marBottom w:val="0"/>
          <w:divBdr>
            <w:top w:val="none" w:sz="0" w:space="0" w:color="auto"/>
            <w:left w:val="none" w:sz="0" w:space="0" w:color="auto"/>
            <w:bottom w:val="none" w:sz="0" w:space="0" w:color="auto"/>
            <w:right w:val="none" w:sz="0" w:space="0" w:color="auto"/>
          </w:divBdr>
        </w:div>
        <w:div w:id="336809245">
          <w:marLeft w:val="0"/>
          <w:marRight w:val="0"/>
          <w:marTop w:val="0"/>
          <w:marBottom w:val="0"/>
          <w:divBdr>
            <w:top w:val="none" w:sz="0" w:space="0" w:color="auto"/>
            <w:left w:val="none" w:sz="0" w:space="0" w:color="auto"/>
            <w:bottom w:val="none" w:sz="0" w:space="0" w:color="auto"/>
            <w:right w:val="none" w:sz="0" w:space="0" w:color="auto"/>
          </w:divBdr>
        </w:div>
        <w:div w:id="371154505">
          <w:marLeft w:val="0"/>
          <w:marRight w:val="0"/>
          <w:marTop w:val="0"/>
          <w:marBottom w:val="0"/>
          <w:divBdr>
            <w:top w:val="none" w:sz="0" w:space="0" w:color="auto"/>
            <w:left w:val="none" w:sz="0" w:space="0" w:color="auto"/>
            <w:bottom w:val="none" w:sz="0" w:space="0" w:color="auto"/>
            <w:right w:val="none" w:sz="0" w:space="0" w:color="auto"/>
          </w:divBdr>
        </w:div>
        <w:div w:id="388723907">
          <w:marLeft w:val="0"/>
          <w:marRight w:val="0"/>
          <w:marTop w:val="0"/>
          <w:marBottom w:val="0"/>
          <w:divBdr>
            <w:top w:val="none" w:sz="0" w:space="0" w:color="auto"/>
            <w:left w:val="none" w:sz="0" w:space="0" w:color="auto"/>
            <w:bottom w:val="none" w:sz="0" w:space="0" w:color="auto"/>
            <w:right w:val="none" w:sz="0" w:space="0" w:color="auto"/>
          </w:divBdr>
        </w:div>
        <w:div w:id="567807479">
          <w:marLeft w:val="0"/>
          <w:marRight w:val="0"/>
          <w:marTop w:val="0"/>
          <w:marBottom w:val="0"/>
          <w:divBdr>
            <w:top w:val="none" w:sz="0" w:space="0" w:color="auto"/>
            <w:left w:val="none" w:sz="0" w:space="0" w:color="auto"/>
            <w:bottom w:val="none" w:sz="0" w:space="0" w:color="auto"/>
            <w:right w:val="none" w:sz="0" w:space="0" w:color="auto"/>
          </w:divBdr>
        </w:div>
        <w:div w:id="611402157">
          <w:marLeft w:val="0"/>
          <w:marRight w:val="0"/>
          <w:marTop w:val="0"/>
          <w:marBottom w:val="0"/>
          <w:divBdr>
            <w:top w:val="none" w:sz="0" w:space="0" w:color="auto"/>
            <w:left w:val="none" w:sz="0" w:space="0" w:color="auto"/>
            <w:bottom w:val="none" w:sz="0" w:space="0" w:color="auto"/>
            <w:right w:val="none" w:sz="0" w:space="0" w:color="auto"/>
          </w:divBdr>
        </w:div>
        <w:div w:id="663048752">
          <w:marLeft w:val="0"/>
          <w:marRight w:val="0"/>
          <w:marTop w:val="0"/>
          <w:marBottom w:val="0"/>
          <w:divBdr>
            <w:top w:val="none" w:sz="0" w:space="0" w:color="auto"/>
            <w:left w:val="none" w:sz="0" w:space="0" w:color="auto"/>
            <w:bottom w:val="none" w:sz="0" w:space="0" w:color="auto"/>
            <w:right w:val="none" w:sz="0" w:space="0" w:color="auto"/>
          </w:divBdr>
        </w:div>
        <w:div w:id="940069644">
          <w:marLeft w:val="0"/>
          <w:marRight w:val="0"/>
          <w:marTop w:val="0"/>
          <w:marBottom w:val="0"/>
          <w:divBdr>
            <w:top w:val="none" w:sz="0" w:space="0" w:color="auto"/>
            <w:left w:val="none" w:sz="0" w:space="0" w:color="auto"/>
            <w:bottom w:val="none" w:sz="0" w:space="0" w:color="auto"/>
            <w:right w:val="none" w:sz="0" w:space="0" w:color="auto"/>
          </w:divBdr>
        </w:div>
        <w:div w:id="1458571492">
          <w:marLeft w:val="0"/>
          <w:marRight w:val="0"/>
          <w:marTop w:val="0"/>
          <w:marBottom w:val="0"/>
          <w:divBdr>
            <w:top w:val="none" w:sz="0" w:space="0" w:color="auto"/>
            <w:left w:val="none" w:sz="0" w:space="0" w:color="auto"/>
            <w:bottom w:val="none" w:sz="0" w:space="0" w:color="auto"/>
            <w:right w:val="none" w:sz="0" w:space="0" w:color="auto"/>
          </w:divBdr>
        </w:div>
        <w:div w:id="1701203874">
          <w:marLeft w:val="0"/>
          <w:marRight w:val="0"/>
          <w:marTop w:val="0"/>
          <w:marBottom w:val="0"/>
          <w:divBdr>
            <w:top w:val="none" w:sz="0" w:space="0" w:color="auto"/>
            <w:left w:val="none" w:sz="0" w:space="0" w:color="auto"/>
            <w:bottom w:val="none" w:sz="0" w:space="0" w:color="auto"/>
            <w:right w:val="none" w:sz="0" w:space="0" w:color="auto"/>
          </w:divBdr>
        </w:div>
        <w:div w:id="1705977608">
          <w:marLeft w:val="0"/>
          <w:marRight w:val="0"/>
          <w:marTop w:val="0"/>
          <w:marBottom w:val="0"/>
          <w:divBdr>
            <w:top w:val="none" w:sz="0" w:space="0" w:color="auto"/>
            <w:left w:val="none" w:sz="0" w:space="0" w:color="auto"/>
            <w:bottom w:val="none" w:sz="0" w:space="0" w:color="auto"/>
            <w:right w:val="none" w:sz="0" w:space="0" w:color="auto"/>
          </w:divBdr>
        </w:div>
        <w:div w:id="1759279870">
          <w:marLeft w:val="0"/>
          <w:marRight w:val="0"/>
          <w:marTop w:val="0"/>
          <w:marBottom w:val="0"/>
          <w:divBdr>
            <w:top w:val="none" w:sz="0" w:space="0" w:color="auto"/>
            <w:left w:val="none" w:sz="0" w:space="0" w:color="auto"/>
            <w:bottom w:val="none" w:sz="0" w:space="0" w:color="auto"/>
            <w:right w:val="none" w:sz="0" w:space="0" w:color="auto"/>
          </w:divBdr>
        </w:div>
        <w:div w:id="1978685003">
          <w:marLeft w:val="0"/>
          <w:marRight w:val="0"/>
          <w:marTop w:val="0"/>
          <w:marBottom w:val="0"/>
          <w:divBdr>
            <w:top w:val="none" w:sz="0" w:space="0" w:color="auto"/>
            <w:left w:val="none" w:sz="0" w:space="0" w:color="auto"/>
            <w:bottom w:val="none" w:sz="0" w:space="0" w:color="auto"/>
            <w:right w:val="none" w:sz="0" w:space="0" w:color="auto"/>
          </w:divBdr>
        </w:div>
        <w:div w:id="2059738645">
          <w:marLeft w:val="0"/>
          <w:marRight w:val="0"/>
          <w:marTop w:val="0"/>
          <w:marBottom w:val="0"/>
          <w:divBdr>
            <w:top w:val="none" w:sz="0" w:space="0" w:color="auto"/>
            <w:left w:val="none" w:sz="0" w:space="0" w:color="auto"/>
            <w:bottom w:val="none" w:sz="0" w:space="0" w:color="auto"/>
            <w:right w:val="none" w:sz="0" w:space="0" w:color="auto"/>
          </w:divBdr>
        </w:div>
        <w:div w:id="2120106078">
          <w:marLeft w:val="0"/>
          <w:marRight w:val="0"/>
          <w:marTop w:val="0"/>
          <w:marBottom w:val="0"/>
          <w:divBdr>
            <w:top w:val="none" w:sz="0" w:space="0" w:color="auto"/>
            <w:left w:val="none" w:sz="0" w:space="0" w:color="auto"/>
            <w:bottom w:val="none" w:sz="0" w:space="0" w:color="auto"/>
            <w:right w:val="none" w:sz="0" w:space="0" w:color="auto"/>
          </w:divBdr>
        </w:div>
      </w:divsChild>
    </w:div>
    <w:div w:id="243490705">
      <w:bodyDiv w:val="1"/>
      <w:marLeft w:val="0"/>
      <w:marRight w:val="0"/>
      <w:marTop w:val="0"/>
      <w:marBottom w:val="0"/>
      <w:divBdr>
        <w:top w:val="none" w:sz="0" w:space="0" w:color="auto"/>
        <w:left w:val="none" w:sz="0" w:space="0" w:color="auto"/>
        <w:bottom w:val="none" w:sz="0" w:space="0" w:color="auto"/>
        <w:right w:val="none" w:sz="0" w:space="0" w:color="auto"/>
      </w:divBdr>
    </w:div>
    <w:div w:id="262955657">
      <w:bodyDiv w:val="1"/>
      <w:marLeft w:val="0"/>
      <w:marRight w:val="0"/>
      <w:marTop w:val="0"/>
      <w:marBottom w:val="0"/>
      <w:divBdr>
        <w:top w:val="none" w:sz="0" w:space="0" w:color="auto"/>
        <w:left w:val="none" w:sz="0" w:space="0" w:color="auto"/>
        <w:bottom w:val="none" w:sz="0" w:space="0" w:color="auto"/>
        <w:right w:val="none" w:sz="0" w:space="0" w:color="auto"/>
      </w:divBdr>
    </w:div>
    <w:div w:id="294456468">
      <w:bodyDiv w:val="1"/>
      <w:marLeft w:val="0"/>
      <w:marRight w:val="0"/>
      <w:marTop w:val="0"/>
      <w:marBottom w:val="0"/>
      <w:divBdr>
        <w:top w:val="none" w:sz="0" w:space="0" w:color="auto"/>
        <w:left w:val="none" w:sz="0" w:space="0" w:color="auto"/>
        <w:bottom w:val="none" w:sz="0" w:space="0" w:color="auto"/>
        <w:right w:val="none" w:sz="0" w:space="0" w:color="auto"/>
      </w:divBdr>
    </w:div>
    <w:div w:id="306859044">
      <w:bodyDiv w:val="1"/>
      <w:marLeft w:val="0"/>
      <w:marRight w:val="0"/>
      <w:marTop w:val="0"/>
      <w:marBottom w:val="0"/>
      <w:divBdr>
        <w:top w:val="none" w:sz="0" w:space="0" w:color="auto"/>
        <w:left w:val="none" w:sz="0" w:space="0" w:color="auto"/>
        <w:bottom w:val="none" w:sz="0" w:space="0" w:color="auto"/>
        <w:right w:val="none" w:sz="0" w:space="0" w:color="auto"/>
      </w:divBdr>
    </w:div>
    <w:div w:id="371148073">
      <w:bodyDiv w:val="1"/>
      <w:marLeft w:val="0"/>
      <w:marRight w:val="0"/>
      <w:marTop w:val="0"/>
      <w:marBottom w:val="0"/>
      <w:divBdr>
        <w:top w:val="none" w:sz="0" w:space="0" w:color="auto"/>
        <w:left w:val="none" w:sz="0" w:space="0" w:color="auto"/>
        <w:bottom w:val="none" w:sz="0" w:space="0" w:color="auto"/>
        <w:right w:val="none" w:sz="0" w:space="0" w:color="auto"/>
      </w:divBdr>
    </w:div>
    <w:div w:id="414516306">
      <w:bodyDiv w:val="1"/>
      <w:marLeft w:val="0"/>
      <w:marRight w:val="0"/>
      <w:marTop w:val="0"/>
      <w:marBottom w:val="0"/>
      <w:divBdr>
        <w:top w:val="none" w:sz="0" w:space="0" w:color="auto"/>
        <w:left w:val="none" w:sz="0" w:space="0" w:color="auto"/>
        <w:bottom w:val="none" w:sz="0" w:space="0" w:color="auto"/>
        <w:right w:val="none" w:sz="0" w:space="0" w:color="auto"/>
      </w:divBdr>
    </w:div>
    <w:div w:id="537200714">
      <w:bodyDiv w:val="1"/>
      <w:marLeft w:val="0"/>
      <w:marRight w:val="0"/>
      <w:marTop w:val="0"/>
      <w:marBottom w:val="0"/>
      <w:divBdr>
        <w:top w:val="none" w:sz="0" w:space="0" w:color="auto"/>
        <w:left w:val="none" w:sz="0" w:space="0" w:color="auto"/>
        <w:bottom w:val="none" w:sz="0" w:space="0" w:color="auto"/>
        <w:right w:val="none" w:sz="0" w:space="0" w:color="auto"/>
      </w:divBdr>
    </w:div>
    <w:div w:id="549610897">
      <w:bodyDiv w:val="1"/>
      <w:marLeft w:val="0"/>
      <w:marRight w:val="0"/>
      <w:marTop w:val="0"/>
      <w:marBottom w:val="0"/>
      <w:divBdr>
        <w:top w:val="none" w:sz="0" w:space="0" w:color="auto"/>
        <w:left w:val="none" w:sz="0" w:space="0" w:color="auto"/>
        <w:bottom w:val="none" w:sz="0" w:space="0" w:color="auto"/>
        <w:right w:val="none" w:sz="0" w:space="0" w:color="auto"/>
      </w:divBdr>
    </w:div>
    <w:div w:id="585578804">
      <w:bodyDiv w:val="1"/>
      <w:marLeft w:val="0"/>
      <w:marRight w:val="0"/>
      <w:marTop w:val="0"/>
      <w:marBottom w:val="0"/>
      <w:divBdr>
        <w:top w:val="none" w:sz="0" w:space="0" w:color="auto"/>
        <w:left w:val="none" w:sz="0" w:space="0" w:color="auto"/>
        <w:bottom w:val="none" w:sz="0" w:space="0" w:color="auto"/>
        <w:right w:val="none" w:sz="0" w:space="0" w:color="auto"/>
      </w:divBdr>
    </w:div>
    <w:div w:id="702944572">
      <w:bodyDiv w:val="1"/>
      <w:marLeft w:val="0"/>
      <w:marRight w:val="0"/>
      <w:marTop w:val="0"/>
      <w:marBottom w:val="0"/>
      <w:divBdr>
        <w:top w:val="none" w:sz="0" w:space="0" w:color="auto"/>
        <w:left w:val="none" w:sz="0" w:space="0" w:color="auto"/>
        <w:bottom w:val="none" w:sz="0" w:space="0" w:color="auto"/>
        <w:right w:val="none" w:sz="0" w:space="0" w:color="auto"/>
      </w:divBdr>
    </w:div>
    <w:div w:id="718480036">
      <w:bodyDiv w:val="1"/>
      <w:marLeft w:val="0"/>
      <w:marRight w:val="0"/>
      <w:marTop w:val="0"/>
      <w:marBottom w:val="0"/>
      <w:divBdr>
        <w:top w:val="none" w:sz="0" w:space="0" w:color="auto"/>
        <w:left w:val="none" w:sz="0" w:space="0" w:color="auto"/>
        <w:bottom w:val="none" w:sz="0" w:space="0" w:color="auto"/>
        <w:right w:val="none" w:sz="0" w:space="0" w:color="auto"/>
      </w:divBdr>
    </w:div>
    <w:div w:id="940381010">
      <w:bodyDiv w:val="1"/>
      <w:marLeft w:val="0"/>
      <w:marRight w:val="0"/>
      <w:marTop w:val="0"/>
      <w:marBottom w:val="0"/>
      <w:divBdr>
        <w:top w:val="none" w:sz="0" w:space="0" w:color="auto"/>
        <w:left w:val="none" w:sz="0" w:space="0" w:color="auto"/>
        <w:bottom w:val="none" w:sz="0" w:space="0" w:color="auto"/>
        <w:right w:val="none" w:sz="0" w:space="0" w:color="auto"/>
      </w:divBdr>
    </w:div>
    <w:div w:id="1077942079">
      <w:bodyDiv w:val="1"/>
      <w:marLeft w:val="0"/>
      <w:marRight w:val="0"/>
      <w:marTop w:val="0"/>
      <w:marBottom w:val="0"/>
      <w:divBdr>
        <w:top w:val="none" w:sz="0" w:space="0" w:color="auto"/>
        <w:left w:val="none" w:sz="0" w:space="0" w:color="auto"/>
        <w:bottom w:val="none" w:sz="0" w:space="0" w:color="auto"/>
        <w:right w:val="none" w:sz="0" w:space="0" w:color="auto"/>
      </w:divBdr>
    </w:div>
    <w:div w:id="1183207150">
      <w:bodyDiv w:val="1"/>
      <w:marLeft w:val="0"/>
      <w:marRight w:val="0"/>
      <w:marTop w:val="0"/>
      <w:marBottom w:val="0"/>
      <w:divBdr>
        <w:top w:val="none" w:sz="0" w:space="0" w:color="auto"/>
        <w:left w:val="none" w:sz="0" w:space="0" w:color="auto"/>
        <w:bottom w:val="none" w:sz="0" w:space="0" w:color="auto"/>
        <w:right w:val="none" w:sz="0" w:space="0" w:color="auto"/>
      </w:divBdr>
    </w:div>
    <w:div w:id="1214581424">
      <w:bodyDiv w:val="1"/>
      <w:marLeft w:val="0"/>
      <w:marRight w:val="0"/>
      <w:marTop w:val="0"/>
      <w:marBottom w:val="0"/>
      <w:divBdr>
        <w:top w:val="none" w:sz="0" w:space="0" w:color="auto"/>
        <w:left w:val="none" w:sz="0" w:space="0" w:color="auto"/>
        <w:bottom w:val="none" w:sz="0" w:space="0" w:color="auto"/>
        <w:right w:val="none" w:sz="0" w:space="0" w:color="auto"/>
      </w:divBdr>
    </w:div>
    <w:div w:id="1237931630">
      <w:bodyDiv w:val="1"/>
      <w:marLeft w:val="0"/>
      <w:marRight w:val="0"/>
      <w:marTop w:val="0"/>
      <w:marBottom w:val="0"/>
      <w:divBdr>
        <w:top w:val="none" w:sz="0" w:space="0" w:color="auto"/>
        <w:left w:val="none" w:sz="0" w:space="0" w:color="auto"/>
        <w:bottom w:val="none" w:sz="0" w:space="0" w:color="auto"/>
        <w:right w:val="none" w:sz="0" w:space="0" w:color="auto"/>
      </w:divBdr>
    </w:div>
    <w:div w:id="1603686020">
      <w:bodyDiv w:val="1"/>
      <w:marLeft w:val="0"/>
      <w:marRight w:val="0"/>
      <w:marTop w:val="0"/>
      <w:marBottom w:val="0"/>
      <w:divBdr>
        <w:top w:val="none" w:sz="0" w:space="0" w:color="auto"/>
        <w:left w:val="none" w:sz="0" w:space="0" w:color="auto"/>
        <w:bottom w:val="none" w:sz="0" w:space="0" w:color="auto"/>
        <w:right w:val="none" w:sz="0" w:space="0" w:color="auto"/>
      </w:divBdr>
    </w:div>
    <w:div w:id="1608654626">
      <w:bodyDiv w:val="1"/>
      <w:marLeft w:val="0"/>
      <w:marRight w:val="0"/>
      <w:marTop w:val="0"/>
      <w:marBottom w:val="0"/>
      <w:divBdr>
        <w:top w:val="none" w:sz="0" w:space="0" w:color="auto"/>
        <w:left w:val="none" w:sz="0" w:space="0" w:color="auto"/>
        <w:bottom w:val="none" w:sz="0" w:space="0" w:color="auto"/>
        <w:right w:val="none" w:sz="0" w:space="0" w:color="auto"/>
      </w:divBdr>
    </w:div>
    <w:div w:id="1655254811">
      <w:bodyDiv w:val="1"/>
      <w:marLeft w:val="0"/>
      <w:marRight w:val="0"/>
      <w:marTop w:val="0"/>
      <w:marBottom w:val="0"/>
      <w:divBdr>
        <w:top w:val="none" w:sz="0" w:space="0" w:color="auto"/>
        <w:left w:val="none" w:sz="0" w:space="0" w:color="auto"/>
        <w:bottom w:val="none" w:sz="0" w:space="0" w:color="auto"/>
        <w:right w:val="none" w:sz="0" w:space="0" w:color="auto"/>
      </w:divBdr>
    </w:div>
    <w:div w:id="1744522820">
      <w:bodyDiv w:val="1"/>
      <w:marLeft w:val="0"/>
      <w:marRight w:val="0"/>
      <w:marTop w:val="0"/>
      <w:marBottom w:val="0"/>
      <w:divBdr>
        <w:top w:val="none" w:sz="0" w:space="0" w:color="auto"/>
        <w:left w:val="none" w:sz="0" w:space="0" w:color="auto"/>
        <w:bottom w:val="none" w:sz="0" w:space="0" w:color="auto"/>
        <w:right w:val="none" w:sz="0" w:space="0" w:color="auto"/>
      </w:divBdr>
      <w:divsChild>
        <w:div w:id="384766676">
          <w:marLeft w:val="0"/>
          <w:marRight w:val="0"/>
          <w:marTop w:val="0"/>
          <w:marBottom w:val="0"/>
          <w:divBdr>
            <w:top w:val="none" w:sz="0" w:space="0" w:color="auto"/>
            <w:left w:val="none" w:sz="0" w:space="0" w:color="auto"/>
            <w:bottom w:val="none" w:sz="0" w:space="0" w:color="auto"/>
            <w:right w:val="none" w:sz="0" w:space="0" w:color="auto"/>
          </w:divBdr>
        </w:div>
      </w:divsChild>
    </w:div>
    <w:div w:id="1749423813">
      <w:bodyDiv w:val="1"/>
      <w:marLeft w:val="0"/>
      <w:marRight w:val="0"/>
      <w:marTop w:val="0"/>
      <w:marBottom w:val="0"/>
      <w:divBdr>
        <w:top w:val="none" w:sz="0" w:space="0" w:color="auto"/>
        <w:left w:val="none" w:sz="0" w:space="0" w:color="auto"/>
        <w:bottom w:val="none" w:sz="0" w:space="0" w:color="auto"/>
        <w:right w:val="none" w:sz="0" w:space="0" w:color="auto"/>
      </w:divBdr>
    </w:div>
    <w:div w:id="1884904708">
      <w:bodyDiv w:val="1"/>
      <w:marLeft w:val="0"/>
      <w:marRight w:val="0"/>
      <w:marTop w:val="0"/>
      <w:marBottom w:val="0"/>
      <w:divBdr>
        <w:top w:val="none" w:sz="0" w:space="0" w:color="auto"/>
        <w:left w:val="none" w:sz="0" w:space="0" w:color="auto"/>
        <w:bottom w:val="none" w:sz="0" w:space="0" w:color="auto"/>
        <w:right w:val="none" w:sz="0" w:space="0" w:color="auto"/>
      </w:divBdr>
    </w:div>
    <w:div w:id="1920827372">
      <w:bodyDiv w:val="1"/>
      <w:marLeft w:val="0"/>
      <w:marRight w:val="0"/>
      <w:marTop w:val="0"/>
      <w:marBottom w:val="0"/>
      <w:divBdr>
        <w:top w:val="none" w:sz="0" w:space="0" w:color="auto"/>
        <w:left w:val="none" w:sz="0" w:space="0" w:color="auto"/>
        <w:bottom w:val="none" w:sz="0" w:space="0" w:color="auto"/>
        <w:right w:val="none" w:sz="0" w:space="0" w:color="auto"/>
      </w:divBdr>
    </w:div>
    <w:div w:id="1934699327">
      <w:bodyDiv w:val="1"/>
      <w:marLeft w:val="0"/>
      <w:marRight w:val="0"/>
      <w:marTop w:val="0"/>
      <w:marBottom w:val="0"/>
      <w:divBdr>
        <w:top w:val="none" w:sz="0" w:space="0" w:color="auto"/>
        <w:left w:val="none" w:sz="0" w:space="0" w:color="auto"/>
        <w:bottom w:val="none" w:sz="0" w:space="0" w:color="auto"/>
        <w:right w:val="none" w:sz="0" w:space="0" w:color="auto"/>
      </w:divBdr>
    </w:div>
    <w:div w:id="1958674824">
      <w:bodyDiv w:val="1"/>
      <w:marLeft w:val="0"/>
      <w:marRight w:val="0"/>
      <w:marTop w:val="0"/>
      <w:marBottom w:val="0"/>
      <w:divBdr>
        <w:top w:val="none" w:sz="0" w:space="0" w:color="auto"/>
        <w:left w:val="none" w:sz="0" w:space="0" w:color="auto"/>
        <w:bottom w:val="none" w:sz="0" w:space="0" w:color="auto"/>
        <w:right w:val="none" w:sz="0" w:space="0" w:color="auto"/>
      </w:divBdr>
    </w:div>
    <w:div w:id="2075396843">
      <w:bodyDiv w:val="1"/>
      <w:marLeft w:val="0"/>
      <w:marRight w:val="0"/>
      <w:marTop w:val="0"/>
      <w:marBottom w:val="0"/>
      <w:divBdr>
        <w:top w:val="none" w:sz="0" w:space="0" w:color="auto"/>
        <w:left w:val="none" w:sz="0" w:space="0" w:color="auto"/>
        <w:bottom w:val="none" w:sz="0" w:space="0" w:color="auto"/>
        <w:right w:val="none" w:sz="0" w:space="0" w:color="auto"/>
      </w:divBdr>
    </w:div>
    <w:div w:id="2081706768">
      <w:bodyDiv w:val="1"/>
      <w:marLeft w:val="0"/>
      <w:marRight w:val="0"/>
      <w:marTop w:val="0"/>
      <w:marBottom w:val="0"/>
      <w:divBdr>
        <w:top w:val="none" w:sz="0" w:space="0" w:color="auto"/>
        <w:left w:val="none" w:sz="0" w:space="0" w:color="auto"/>
        <w:bottom w:val="none" w:sz="0" w:space="0" w:color="auto"/>
        <w:right w:val="none" w:sz="0" w:space="0" w:color="auto"/>
      </w:divBdr>
      <w:divsChild>
        <w:div w:id="584724406">
          <w:marLeft w:val="0"/>
          <w:marRight w:val="0"/>
          <w:marTop w:val="0"/>
          <w:marBottom w:val="0"/>
          <w:divBdr>
            <w:top w:val="none" w:sz="0" w:space="0" w:color="auto"/>
            <w:left w:val="none" w:sz="0" w:space="0" w:color="auto"/>
            <w:bottom w:val="none" w:sz="0" w:space="0" w:color="auto"/>
            <w:right w:val="none" w:sz="0" w:space="0" w:color="auto"/>
          </w:divBdr>
          <w:divsChild>
            <w:div w:id="1812088691">
              <w:marLeft w:val="0"/>
              <w:marRight w:val="0"/>
              <w:marTop w:val="0"/>
              <w:marBottom w:val="0"/>
              <w:divBdr>
                <w:top w:val="none" w:sz="0" w:space="0" w:color="auto"/>
                <w:left w:val="none" w:sz="0" w:space="0" w:color="auto"/>
                <w:bottom w:val="none" w:sz="0" w:space="0" w:color="auto"/>
                <w:right w:val="none" w:sz="0" w:space="0" w:color="auto"/>
              </w:divBdr>
              <w:divsChild>
                <w:div w:id="18356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439413">
      <w:bodyDiv w:val="1"/>
      <w:marLeft w:val="0"/>
      <w:marRight w:val="0"/>
      <w:marTop w:val="0"/>
      <w:marBottom w:val="0"/>
      <w:divBdr>
        <w:top w:val="none" w:sz="0" w:space="0" w:color="auto"/>
        <w:left w:val="none" w:sz="0" w:space="0" w:color="auto"/>
        <w:bottom w:val="none" w:sz="0" w:space="0" w:color="auto"/>
        <w:right w:val="none" w:sz="0" w:space="0" w:color="auto"/>
      </w:divBdr>
    </w:div>
    <w:div w:id="21254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hub.com/vystrauss/BisCK/tree/mas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ctoria.strauss@csm.ox.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A3170712A3849AA7BF6422D06AA94" ma:contentTypeVersion="0" ma:contentTypeDescription="Create a new document." ma:contentTypeScope="" ma:versionID="7971069a72ea45af008904fbb8f1451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CC734-EEAE-4C63-A62A-E0C26F90E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966A776-8971-4450-9BEE-BE18B034A6CD}">
  <ds:schemaRefs>
    <ds:schemaRef ds:uri="http://schemas.microsoft.com/sharepoint/v3/contenttype/forms"/>
  </ds:schemaRefs>
</ds:datastoreItem>
</file>

<file path=customXml/itemProps3.xml><?xml version="1.0" encoding="utf-8"?>
<ds:datastoreItem xmlns:ds="http://schemas.openxmlformats.org/officeDocument/2006/customXml" ds:itemID="{3043ADE2-9A94-4518-8B05-A71B22C103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2C35B0-CD4B-4F95-8682-1DA440483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28</Pages>
  <Words>12062</Words>
  <Characters>68760</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Robinson</dc:creator>
  <cp:keywords/>
  <dc:description/>
  <cp:lastModifiedBy>Karen Drake</cp:lastModifiedBy>
  <cp:revision>2</cp:revision>
  <dcterms:created xsi:type="dcterms:W3CDTF">2021-01-06T11:51:00Z</dcterms:created>
  <dcterms:modified xsi:type="dcterms:W3CDTF">2021-01-06T11:51:00Z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0x010100858A3170712A3849AA7BF6422D06AA94</vt:lpwstr>
  </property>
</Properties>
</file>