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97315" w14:textId="77777777" w:rsidR="005A09D0" w:rsidRDefault="005A09D0" w:rsidP="005A09D0">
      <w:pPr>
        <w:pStyle w:val="Contents"/>
        <w:spacing w:after="120" w:line="480" w:lineRule="auto"/>
        <w:jc w:val="center"/>
        <w:rPr>
          <w:rFonts w:ascii="Times New Roman" w:hAnsi="Times New Roman" w:cs="Times New Roman"/>
          <w:sz w:val="24"/>
          <w:szCs w:val="24"/>
        </w:rPr>
      </w:pPr>
      <w:r w:rsidRPr="00B6296C">
        <w:rPr>
          <w:rFonts w:ascii="Times New Roman" w:hAnsi="Times New Roman" w:cs="Times New Roman"/>
          <w:sz w:val="24"/>
          <w:szCs w:val="24"/>
        </w:rPr>
        <w:t xml:space="preserve">Cognitive fusion as a candidate </w:t>
      </w:r>
      <w:r>
        <w:rPr>
          <w:rFonts w:ascii="Times New Roman" w:hAnsi="Times New Roman" w:cs="Times New Roman"/>
          <w:sz w:val="24"/>
          <w:szCs w:val="24"/>
        </w:rPr>
        <w:t xml:space="preserve">psychological </w:t>
      </w:r>
      <w:r w:rsidRPr="00B6296C">
        <w:rPr>
          <w:rFonts w:ascii="Times New Roman" w:hAnsi="Times New Roman" w:cs="Times New Roman"/>
          <w:sz w:val="24"/>
          <w:szCs w:val="24"/>
        </w:rPr>
        <w:t xml:space="preserve">vulnerability factor for psychosis: </w:t>
      </w:r>
    </w:p>
    <w:p w14:paraId="1630B16A" w14:textId="77777777" w:rsidR="005A09D0" w:rsidRPr="00786843" w:rsidRDefault="005A09D0" w:rsidP="005A09D0">
      <w:pPr>
        <w:pStyle w:val="Contents"/>
        <w:spacing w:after="120" w:line="480" w:lineRule="auto"/>
        <w:jc w:val="center"/>
        <w:rPr>
          <w:rFonts w:ascii="Times New Roman" w:hAnsi="Times New Roman" w:cs="Times New Roman"/>
          <w:sz w:val="24"/>
          <w:szCs w:val="24"/>
        </w:rPr>
      </w:pPr>
      <w:r w:rsidRPr="00B6296C">
        <w:rPr>
          <w:rFonts w:ascii="Times New Roman" w:hAnsi="Times New Roman" w:cs="Times New Roman"/>
          <w:sz w:val="24"/>
          <w:szCs w:val="24"/>
        </w:rPr>
        <w:t xml:space="preserve">An experimental study </w:t>
      </w:r>
      <w:r>
        <w:rPr>
          <w:rFonts w:ascii="Times New Roman" w:hAnsi="Times New Roman" w:cs="Times New Roman"/>
          <w:sz w:val="24"/>
          <w:szCs w:val="24"/>
        </w:rPr>
        <w:t>of</w:t>
      </w:r>
      <w:r w:rsidRPr="00B6296C">
        <w:rPr>
          <w:rFonts w:ascii="Times New Roman" w:hAnsi="Times New Roman" w:cs="Times New Roman"/>
          <w:sz w:val="24"/>
          <w:szCs w:val="24"/>
        </w:rPr>
        <w:t xml:space="preserve"> acute ∆9-tetrahydrocannabinol (THC) intoxication</w:t>
      </w:r>
    </w:p>
    <w:p w14:paraId="6512FF9B" w14:textId="77777777" w:rsidR="005A09D0" w:rsidRPr="005D2587" w:rsidRDefault="005A09D0" w:rsidP="005A09D0">
      <w:pPr>
        <w:spacing w:after="120" w:line="480" w:lineRule="auto"/>
        <w:contextualSpacing/>
        <w:rPr>
          <w:b/>
          <w:color w:val="000000"/>
        </w:rPr>
      </w:pPr>
    </w:p>
    <w:p w14:paraId="24E4BDD1" w14:textId="77777777" w:rsidR="005A09D0" w:rsidRPr="005D2587" w:rsidRDefault="005A09D0" w:rsidP="005A09D0">
      <w:pPr>
        <w:spacing w:after="120" w:line="480" w:lineRule="auto"/>
        <w:contextualSpacing/>
        <w:jc w:val="center"/>
        <w:rPr>
          <w:color w:val="000000"/>
        </w:rPr>
      </w:pPr>
      <w:r w:rsidRPr="005D2587">
        <w:rPr>
          <w:color w:val="000000"/>
        </w:rPr>
        <w:t>Katherine Newman-Taylor</w:t>
      </w:r>
      <w:r w:rsidRPr="005D2587">
        <w:rPr>
          <w:color w:val="000000"/>
          <w:vertAlign w:val="superscript"/>
        </w:rPr>
        <w:t>1</w:t>
      </w:r>
      <w:r>
        <w:rPr>
          <w:color w:val="000000"/>
          <w:vertAlign w:val="superscript"/>
        </w:rPr>
        <w:t>a</w:t>
      </w:r>
      <w:r w:rsidRPr="005D2587">
        <w:rPr>
          <w:color w:val="000000"/>
        </w:rPr>
        <w:t>,</w:t>
      </w:r>
      <w:r w:rsidRPr="005D2587">
        <w:rPr>
          <w:color w:val="000000"/>
          <w:vertAlign w:val="superscript"/>
        </w:rPr>
        <w:t xml:space="preserve"> </w:t>
      </w:r>
      <w:r w:rsidRPr="005D2587">
        <w:rPr>
          <w:color w:val="000000"/>
        </w:rPr>
        <w:t>Thomas Richardson</w:t>
      </w:r>
      <w:r w:rsidRPr="005D2587">
        <w:rPr>
          <w:color w:val="000000"/>
          <w:vertAlign w:val="superscript"/>
        </w:rPr>
        <w:t>1</w:t>
      </w:r>
      <w:r>
        <w:rPr>
          <w:color w:val="000000"/>
          <w:vertAlign w:val="superscript"/>
        </w:rPr>
        <w:t>b</w:t>
      </w:r>
      <w:r>
        <w:rPr>
          <w:color w:val="000000"/>
        </w:rPr>
        <w:t xml:space="preserve">, </w:t>
      </w:r>
      <w:r w:rsidRPr="005D2587">
        <w:t xml:space="preserve">Rachel </w:t>
      </w:r>
      <w:proofErr w:type="spellStart"/>
      <w:proofErr w:type="gramStart"/>
      <w:r w:rsidRPr="005D2587">
        <w:t>Lees</w:t>
      </w:r>
      <w:r w:rsidRPr="005D2587">
        <w:rPr>
          <w:vertAlign w:val="superscript"/>
        </w:rPr>
        <w:t>c,d</w:t>
      </w:r>
      <w:proofErr w:type="gramEnd"/>
      <w:r w:rsidRPr="005D2587">
        <w:rPr>
          <w:vertAlign w:val="superscript"/>
        </w:rPr>
        <w:t>,e</w:t>
      </w:r>
      <w:proofErr w:type="spellEnd"/>
      <w:r w:rsidRPr="005D2587">
        <w:t xml:space="preserve">, Katherine </w:t>
      </w:r>
      <w:proofErr w:type="spellStart"/>
      <w:r w:rsidRPr="005D2587">
        <w:t>Petrilli</w:t>
      </w:r>
      <w:r w:rsidRPr="005D2587">
        <w:rPr>
          <w:vertAlign w:val="superscript"/>
        </w:rPr>
        <w:t>c,d,e</w:t>
      </w:r>
      <w:proofErr w:type="spellEnd"/>
      <w:r w:rsidRPr="005D2587">
        <w:t>,</w:t>
      </w:r>
    </w:p>
    <w:p w14:paraId="7652D2F7" w14:textId="77777777" w:rsidR="005A09D0" w:rsidRPr="005D2587" w:rsidRDefault="005A09D0" w:rsidP="005A09D0">
      <w:pPr>
        <w:spacing w:after="120" w:line="480" w:lineRule="auto"/>
        <w:contextualSpacing/>
        <w:jc w:val="center"/>
        <w:rPr>
          <w:color w:val="000000"/>
          <w:vertAlign w:val="superscript"/>
        </w:rPr>
      </w:pPr>
      <w:r w:rsidRPr="005D2587">
        <w:rPr>
          <w:color w:val="000000"/>
        </w:rPr>
        <w:t xml:space="preserve">Helen </w:t>
      </w:r>
      <w:proofErr w:type="spellStart"/>
      <w:r w:rsidRPr="005D2587">
        <w:rPr>
          <w:color w:val="000000"/>
        </w:rPr>
        <w:t>Bolderston</w:t>
      </w:r>
      <w:r w:rsidRPr="005D2587">
        <w:rPr>
          <w:color w:val="000000"/>
          <w:vertAlign w:val="superscript"/>
        </w:rPr>
        <w:t>f</w:t>
      </w:r>
      <w:proofErr w:type="spellEnd"/>
      <w:r w:rsidRPr="005D2587">
        <w:rPr>
          <w:color w:val="000000"/>
        </w:rPr>
        <w:t xml:space="preserve">, </w:t>
      </w:r>
      <w:r w:rsidRPr="005D2587">
        <w:t xml:space="preserve">Chandni </w:t>
      </w:r>
      <w:proofErr w:type="spellStart"/>
      <w:proofErr w:type="gramStart"/>
      <w:r w:rsidRPr="005D2587">
        <w:t>Hindocha</w:t>
      </w:r>
      <w:r w:rsidRPr="005D2587">
        <w:rPr>
          <w:vertAlign w:val="superscript"/>
        </w:rPr>
        <w:t>c,d</w:t>
      </w:r>
      <w:proofErr w:type="gramEnd"/>
      <w:r w:rsidRPr="005D2587">
        <w:rPr>
          <w:vertAlign w:val="superscript"/>
        </w:rPr>
        <w:t>,g</w:t>
      </w:r>
      <w:proofErr w:type="spellEnd"/>
      <w:r w:rsidRPr="005D2587">
        <w:t>,</w:t>
      </w:r>
      <w:r w:rsidRPr="005D2587">
        <w:rPr>
          <w:color w:val="000000"/>
        </w:rPr>
        <w:t xml:space="preserve"> Tom P </w:t>
      </w:r>
      <w:proofErr w:type="spellStart"/>
      <w:r w:rsidRPr="005D2587">
        <w:rPr>
          <w:color w:val="000000"/>
        </w:rPr>
        <w:t>Freeman</w:t>
      </w:r>
      <w:r w:rsidRPr="005D2587">
        <w:rPr>
          <w:color w:val="000000"/>
          <w:vertAlign w:val="superscript"/>
        </w:rPr>
        <w:t>c,d,h,i</w:t>
      </w:r>
      <w:proofErr w:type="spellEnd"/>
      <w:r w:rsidRPr="005D2587">
        <w:rPr>
          <w:color w:val="000000"/>
        </w:rPr>
        <w:t>,</w:t>
      </w:r>
      <w:r w:rsidRPr="005D2587">
        <w:rPr>
          <w:color w:val="000000"/>
          <w:vertAlign w:val="superscript"/>
        </w:rPr>
        <w:t xml:space="preserve"> </w:t>
      </w:r>
      <w:r w:rsidRPr="005D2587">
        <w:t xml:space="preserve">and </w:t>
      </w:r>
      <w:r w:rsidRPr="005D2587">
        <w:rPr>
          <w:color w:val="000000"/>
        </w:rPr>
        <w:t xml:space="preserve">Michael A P </w:t>
      </w:r>
      <w:proofErr w:type="spellStart"/>
      <w:r w:rsidRPr="005D2587">
        <w:rPr>
          <w:color w:val="000000"/>
        </w:rPr>
        <w:t>Bloomfield</w:t>
      </w:r>
      <w:r w:rsidRPr="005D2587">
        <w:rPr>
          <w:color w:val="000000"/>
          <w:vertAlign w:val="superscript"/>
        </w:rPr>
        <w:t>g,j,k</w:t>
      </w:r>
      <w:proofErr w:type="spellEnd"/>
    </w:p>
    <w:p w14:paraId="627437FA" w14:textId="77777777" w:rsidR="005A09D0" w:rsidRPr="005D2587" w:rsidRDefault="005A09D0" w:rsidP="005A09D0">
      <w:pPr>
        <w:spacing w:after="120" w:line="480" w:lineRule="auto"/>
        <w:contextualSpacing/>
        <w:jc w:val="center"/>
        <w:rPr>
          <w:color w:val="000000"/>
        </w:rPr>
      </w:pPr>
    </w:p>
    <w:p w14:paraId="1F94618A" w14:textId="77777777" w:rsidR="005A09D0" w:rsidRDefault="005A09D0" w:rsidP="005A09D0">
      <w:pPr>
        <w:spacing w:after="120" w:line="480" w:lineRule="auto"/>
        <w:contextualSpacing/>
        <w:jc w:val="both"/>
        <w:rPr>
          <w:color w:val="000000"/>
        </w:rPr>
      </w:pPr>
      <w:r w:rsidRPr="005D2587">
        <w:rPr>
          <w:color w:val="000000"/>
          <w:vertAlign w:val="superscript"/>
        </w:rPr>
        <w:t>1</w:t>
      </w:r>
      <w:r w:rsidRPr="005D2587">
        <w:rPr>
          <w:color w:val="000000"/>
        </w:rPr>
        <w:t>Joint first authors</w:t>
      </w:r>
    </w:p>
    <w:p w14:paraId="1A6EBE4E" w14:textId="77777777" w:rsidR="005A09D0" w:rsidRPr="005D2587" w:rsidRDefault="005A09D0" w:rsidP="005A09D0">
      <w:pPr>
        <w:spacing w:after="120" w:line="480" w:lineRule="auto"/>
        <w:contextualSpacing/>
        <w:jc w:val="both"/>
        <w:rPr>
          <w:color w:val="000000"/>
        </w:rPr>
      </w:pPr>
      <w:proofErr w:type="spellStart"/>
      <w:r>
        <w:rPr>
          <w:color w:val="000000"/>
          <w:vertAlign w:val="superscript"/>
        </w:rPr>
        <w:t>a</w:t>
      </w:r>
      <w:r w:rsidRPr="005D2587">
        <w:rPr>
          <w:color w:val="000000"/>
        </w:rPr>
        <w:t>Psychology</w:t>
      </w:r>
      <w:proofErr w:type="spellEnd"/>
      <w:r w:rsidRPr="005D2587">
        <w:rPr>
          <w:color w:val="000000"/>
        </w:rPr>
        <w:t xml:space="preserve"> Department, University of Southampton, Building 44, Highfield Campus, Southampton, SO17 1BJ, UK.  Email: </w:t>
      </w:r>
      <w:hyperlink r:id="rId8" w:history="1">
        <w:r w:rsidRPr="005D2587">
          <w:rPr>
            <w:rStyle w:val="Hyperlink"/>
          </w:rPr>
          <w:t>knt@soton.ac.uk</w:t>
        </w:r>
      </w:hyperlink>
    </w:p>
    <w:p w14:paraId="258781A4" w14:textId="77777777" w:rsidR="005A09D0" w:rsidRDefault="005A09D0" w:rsidP="005A09D0">
      <w:pPr>
        <w:spacing w:after="120" w:line="480" w:lineRule="auto"/>
        <w:contextualSpacing/>
        <w:jc w:val="both"/>
        <w:rPr>
          <w:rStyle w:val="Hyperlink"/>
        </w:rPr>
      </w:pPr>
      <w:proofErr w:type="spellStart"/>
      <w:r>
        <w:rPr>
          <w:color w:val="000000"/>
          <w:vertAlign w:val="superscript"/>
        </w:rPr>
        <w:t>b</w:t>
      </w:r>
      <w:r w:rsidRPr="005D2587">
        <w:rPr>
          <w:color w:val="000000"/>
        </w:rPr>
        <w:t>Mental</w:t>
      </w:r>
      <w:proofErr w:type="spellEnd"/>
      <w:r w:rsidRPr="005D2587">
        <w:rPr>
          <w:color w:val="000000"/>
        </w:rPr>
        <w:t xml:space="preserve"> Health Recovery Teams, St Mary’s Community Health Campus, Solent NHS Trust, Milton Road, Portsmouth, PO3 6AD, UK.  Email: </w:t>
      </w:r>
      <w:hyperlink r:id="rId9" w:history="1">
        <w:r w:rsidRPr="005D2587">
          <w:rPr>
            <w:rStyle w:val="Hyperlink"/>
          </w:rPr>
          <w:t>thomas.richardson@solent.nhs.uk</w:t>
        </w:r>
      </w:hyperlink>
    </w:p>
    <w:p w14:paraId="5A85391B" w14:textId="77777777" w:rsidR="005A09D0" w:rsidRPr="005D2587" w:rsidRDefault="005A09D0" w:rsidP="005A09D0">
      <w:pPr>
        <w:spacing w:after="120" w:line="480" w:lineRule="auto"/>
        <w:contextualSpacing/>
        <w:jc w:val="both"/>
        <w:rPr>
          <w:color w:val="0000FF"/>
          <w:u w:val="single"/>
        </w:rPr>
      </w:pPr>
      <w:proofErr w:type="spellStart"/>
      <w:r w:rsidRPr="005D2587">
        <w:rPr>
          <w:vertAlign w:val="superscript"/>
        </w:rPr>
        <w:t>c</w:t>
      </w:r>
      <w:r w:rsidRPr="005D2587">
        <w:t>Clinical</w:t>
      </w:r>
      <w:proofErr w:type="spellEnd"/>
      <w:r w:rsidRPr="005D2587">
        <w:t xml:space="preserve"> Psychopharmacology Unit, Research Department of Clinical, Educational and Health Psychology, University College London, London, WC1E 7HB, UK.  Emails: </w:t>
      </w:r>
      <w:hyperlink r:id="rId10" w:history="1">
        <w:r w:rsidRPr="005D2587">
          <w:rPr>
            <w:rStyle w:val="Hyperlink"/>
          </w:rPr>
          <w:t>rachel.lees@ucl.ac.uk</w:t>
        </w:r>
      </w:hyperlink>
      <w:r w:rsidRPr="005D2587">
        <w:t xml:space="preserve">; </w:t>
      </w:r>
      <w:hyperlink r:id="rId11" w:history="1">
        <w:r w:rsidRPr="005D2587">
          <w:rPr>
            <w:rStyle w:val="Hyperlink"/>
          </w:rPr>
          <w:t>k.petrilli@ucl.ac.uk</w:t>
        </w:r>
      </w:hyperlink>
      <w:r w:rsidRPr="005D2587">
        <w:t xml:space="preserve">; </w:t>
      </w:r>
      <w:hyperlink r:id="rId12" w:history="1">
        <w:r w:rsidRPr="005D2587">
          <w:rPr>
            <w:rStyle w:val="Hyperlink"/>
          </w:rPr>
          <w:t>c.hindocha@ucl.ac.uk</w:t>
        </w:r>
      </w:hyperlink>
      <w:r w:rsidRPr="005D2587">
        <w:t xml:space="preserve">; </w:t>
      </w:r>
      <w:hyperlink r:id="rId13" w:history="1">
        <w:r w:rsidRPr="005D2587">
          <w:rPr>
            <w:rStyle w:val="Hyperlink"/>
          </w:rPr>
          <w:t>tom.freeman@kcl.ac.uk</w:t>
        </w:r>
      </w:hyperlink>
    </w:p>
    <w:p w14:paraId="43ECBA6B" w14:textId="77777777" w:rsidR="005A09D0" w:rsidRPr="005D2587" w:rsidRDefault="005A09D0" w:rsidP="005A09D0">
      <w:pPr>
        <w:spacing w:after="120" w:line="480" w:lineRule="auto"/>
        <w:contextualSpacing/>
        <w:jc w:val="both"/>
        <w:rPr>
          <w:color w:val="0000FF"/>
          <w:u w:val="single"/>
        </w:rPr>
      </w:pPr>
      <w:proofErr w:type="spellStart"/>
      <w:r w:rsidRPr="005D2587">
        <w:rPr>
          <w:vertAlign w:val="superscript"/>
        </w:rPr>
        <w:t>d</w:t>
      </w:r>
      <w:r w:rsidRPr="005D2587">
        <w:t>Translational</w:t>
      </w:r>
      <w:proofErr w:type="spellEnd"/>
      <w:r w:rsidRPr="005D2587">
        <w:t xml:space="preserve"> Psychiatry Research </w:t>
      </w:r>
      <w:r w:rsidRPr="005D2587">
        <w:rPr>
          <w:color w:val="000000" w:themeColor="text1"/>
        </w:rPr>
        <w:t>Group, Research Department of Mental Health Neuroscience, Division of Psychiatry, University College London, London, W1T 7DN, UK.</w:t>
      </w:r>
    </w:p>
    <w:p w14:paraId="6BB86D24" w14:textId="77777777" w:rsidR="005A09D0" w:rsidRPr="005D2587" w:rsidRDefault="005A09D0" w:rsidP="005A09D0">
      <w:pPr>
        <w:spacing w:after="120" w:line="480" w:lineRule="auto"/>
        <w:contextualSpacing/>
        <w:jc w:val="both"/>
      </w:pPr>
      <w:proofErr w:type="spellStart"/>
      <w:r w:rsidRPr="005D2587">
        <w:rPr>
          <w:vertAlign w:val="superscript"/>
        </w:rPr>
        <w:t>e</w:t>
      </w:r>
      <w:r w:rsidRPr="005D2587">
        <w:t>Institute</w:t>
      </w:r>
      <w:proofErr w:type="spellEnd"/>
      <w:r w:rsidRPr="005D2587">
        <w:t xml:space="preserve"> of Cognitive Neuroscience, University College London, Alexandra House, 17-19 Queen Square, Bloomsbury, London, WC1N 3AZ, UK.</w:t>
      </w:r>
    </w:p>
    <w:p w14:paraId="1D3FE8DA" w14:textId="77777777" w:rsidR="005A09D0" w:rsidRPr="005D2587" w:rsidRDefault="005A09D0" w:rsidP="005A09D0">
      <w:pPr>
        <w:spacing w:after="120" w:line="480" w:lineRule="auto"/>
        <w:contextualSpacing/>
        <w:jc w:val="both"/>
        <w:rPr>
          <w:u w:val="single"/>
        </w:rPr>
      </w:pPr>
      <w:proofErr w:type="spellStart"/>
      <w:r w:rsidRPr="005D2587">
        <w:rPr>
          <w:vertAlign w:val="superscript"/>
        </w:rPr>
        <w:t>f</w:t>
      </w:r>
      <w:r w:rsidRPr="005D2587">
        <w:t>Department</w:t>
      </w:r>
      <w:proofErr w:type="spellEnd"/>
      <w:r w:rsidRPr="005D2587">
        <w:t xml:space="preserve"> of Psychology, Faculty of Science and Technology, Bournemouth University, Poole House, Fern Barrow, Poole, BH12 5BB, UK.  Email: </w:t>
      </w:r>
      <w:hyperlink r:id="rId14" w:history="1">
        <w:r w:rsidRPr="005D2587">
          <w:rPr>
            <w:rStyle w:val="Hyperlink"/>
          </w:rPr>
          <w:t>hbolderston@bournemouth.ac.uk</w:t>
        </w:r>
      </w:hyperlink>
    </w:p>
    <w:p w14:paraId="37D4C6E4" w14:textId="77777777" w:rsidR="005A09D0" w:rsidRPr="00EC073A" w:rsidRDefault="005A09D0" w:rsidP="005A09D0">
      <w:pPr>
        <w:spacing w:after="120" w:line="480" w:lineRule="auto"/>
        <w:contextualSpacing/>
        <w:jc w:val="both"/>
        <w:rPr>
          <w:color w:val="000000"/>
          <w:u w:val="single"/>
        </w:rPr>
      </w:pPr>
      <w:proofErr w:type="spellStart"/>
      <w:r w:rsidRPr="005D2587">
        <w:rPr>
          <w:vertAlign w:val="superscript"/>
        </w:rPr>
        <w:t>g</w:t>
      </w:r>
      <w:r w:rsidRPr="005D2587">
        <w:rPr>
          <w:color w:val="000000"/>
        </w:rPr>
        <w:t>NIHR</w:t>
      </w:r>
      <w:proofErr w:type="spellEnd"/>
      <w:r w:rsidRPr="005D2587">
        <w:rPr>
          <w:color w:val="000000"/>
        </w:rPr>
        <w:t xml:space="preserve"> University College London Hospitals Biomedical Research Centre, Maple House Suite A, 1st floor, 149 Tottenham Court Road, London, W1T 7DN, UK.</w:t>
      </w:r>
      <w:r w:rsidRPr="005D2587">
        <w:t xml:space="preserve">  </w:t>
      </w:r>
      <w:r w:rsidRPr="005D2587">
        <w:rPr>
          <w:color w:val="000000"/>
        </w:rPr>
        <w:t xml:space="preserve">Email: </w:t>
      </w:r>
      <w:hyperlink r:id="rId15" w:history="1">
        <w:r w:rsidRPr="005D2587">
          <w:rPr>
            <w:rStyle w:val="Hyperlink"/>
          </w:rPr>
          <w:t>m.bloomfield@ucl.ac.uk</w:t>
        </w:r>
      </w:hyperlink>
    </w:p>
    <w:p w14:paraId="78DEEE8B" w14:textId="77777777" w:rsidR="005A09D0" w:rsidRPr="005D2587" w:rsidRDefault="005A09D0" w:rsidP="005A09D0">
      <w:pPr>
        <w:spacing w:after="120" w:line="480" w:lineRule="auto"/>
        <w:contextualSpacing/>
        <w:jc w:val="both"/>
        <w:rPr>
          <w:color w:val="000000"/>
          <w:vertAlign w:val="superscript"/>
        </w:rPr>
      </w:pPr>
      <w:proofErr w:type="spellStart"/>
      <w:r w:rsidRPr="005D2587">
        <w:rPr>
          <w:vertAlign w:val="superscript"/>
        </w:rPr>
        <w:t>h</w:t>
      </w:r>
      <w:r w:rsidRPr="005D2587">
        <w:t>Addiction</w:t>
      </w:r>
      <w:proofErr w:type="spellEnd"/>
      <w:r w:rsidRPr="005D2587">
        <w:t xml:space="preserve"> and Mental Health Group (AIM), Department of Psychology, University of Bath, Bath, BA2 7AY, UK.  Email: </w:t>
      </w:r>
      <w:hyperlink r:id="rId16" w:history="1">
        <w:r w:rsidRPr="005D2587">
          <w:rPr>
            <w:rStyle w:val="Hyperlink"/>
          </w:rPr>
          <w:t>t.p.freeman@bath.ac.uk</w:t>
        </w:r>
      </w:hyperlink>
      <w:r w:rsidRPr="005D2587">
        <w:t xml:space="preserve"> </w:t>
      </w:r>
    </w:p>
    <w:p w14:paraId="1B7242E9" w14:textId="77777777" w:rsidR="005A09D0" w:rsidRPr="005D2587" w:rsidRDefault="005A09D0" w:rsidP="005A09D0">
      <w:pPr>
        <w:spacing w:after="120" w:line="480" w:lineRule="auto"/>
        <w:contextualSpacing/>
        <w:jc w:val="both"/>
        <w:rPr>
          <w:rStyle w:val="Hyperlink"/>
        </w:rPr>
      </w:pPr>
      <w:proofErr w:type="spellStart"/>
      <w:r w:rsidRPr="005D2587">
        <w:rPr>
          <w:vertAlign w:val="superscript"/>
        </w:rPr>
        <w:lastRenderedPageBreak/>
        <w:t>i</w:t>
      </w:r>
      <w:r w:rsidRPr="005D2587">
        <w:t>National</w:t>
      </w:r>
      <w:proofErr w:type="spellEnd"/>
      <w:r w:rsidRPr="005D2587">
        <w:t xml:space="preserve"> Addiction Centre, Institute of Psychiatry, Psychology &amp; Neuroscience, 4 Windsor Walk, London, SE5 8BB, UK.</w:t>
      </w:r>
    </w:p>
    <w:p w14:paraId="097D943A" w14:textId="77777777" w:rsidR="005A09D0" w:rsidRPr="005D2587" w:rsidRDefault="005A09D0" w:rsidP="005A09D0">
      <w:pPr>
        <w:spacing w:after="120" w:line="480" w:lineRule="auto"/>
        <w:contextualSpacing/>
        <w:jc w:val="both"/>
        <w:rPr>
          <w:rStyle w:val="Hyperlink"/>
        </w:rPr>
      </w:pPr>
      <w:proofErr w:type="spellStart"/>
      <w:r w:rsidRPr="005D2587">
        <w:rPr>
          <w:vertAlign w:val="superscript"/>
        </w:rPr>
        <w:t>j</w:t>
      </w:r>
      <w:r w:rsidRPr="005D2587">
        <w:t>Division</w:t>
      </w:r>
      <w:proofErr w:type="spellEnd"/>
      <w:r w:rsidRPr="005D2587">
        <w:t xml:space="preserve"> of Psychiatry, University College London, 6th Floor Maple House, 149 Tottenham Court Road, London, W1T 7NF, UK.</w:t>
      </w:r>
    </w:p>
    <w:p w14:paraId="31AC35A9" w14:textId="77777777" w:rsidR="005A09D0" w:rsidRPr="005D2587" w:rsidRDefault="005A09D0" w:rsidP="005A09D0">
      <w:pPr>
        <w:spacing w:after="120" w:line="480" w:lineRule="auto"/>
        <w:contextualSpacing/>
        <w:jc w:val="both"/>
        <w:rPr>
          <w:color w:val="000000"/>
        </w:rPr>
      </w:pPr>
      <w:proofErr w:type="spellStart"/>
      <w:r w:rsidRPr="005D2587">
        <w:rPr>
          <w:color w:val="000000"/>
          <w:vertAlign w:val="superscript"/>
        </w:rPr>
        <w:t>k</w:t>
      </w:r>
      <w:r w:rsidRPr="005D2587">
        <w:rPr>
          <w:color w:val="000000"/>
        </w:rPr>
        <w:t>The</w:t>
      </w:r>
      <w:proofErr w:type="spellEnd"/>
      <w:r w:rsidRPr="005D2587">
        <w:rPr>
          <w:color w:val="000000"/>
        </w:rPr>
        <w:t xml:space="preserve"> Traumatic Stress Clinic, St Pancras Hospital, Camden and Islington NHS Foundation Trust, St Pancras Way, NW1 0PE, UK.</w:t>
      </w:r>
    </w:p>
    <w:p w14:paraId="36935DE6" w14:textId="77777777" w:rsidR="005A09D0" w:rsidRPr="005D2587" w:rsidRDefault="005A09D0" w:rsidP="005A09D0">
      <w:pPr>
        <w:spacing w:after="120" w:line="480" w:lineRule="auto"/>
        <w:contextualSpacing/>
        <w:jc w:val="both"/>
        <w:rPr>
          <w:color w:val="000000"/>
        </w:rPr>
      </w:pPr>
    </w:p>
    <w:p w14:paraId="4E8621A9" w14:textId="77777777" w:rsidR="005A09D0" w:rsidRPr="005D2587" w:rsidRDefault="005A09D0" w:rsidP="005A09D0">
      <w:pPr>
        <w:spacing w:after="120" w:line="480" w:lineRule="auto"/>
        <w:contextualSpacing/>
        <w:jc w:val="both"/>
        <w:rPr>
          <w:color w:val="0000FF"/>
          <w:u w:val="single"/>
        </w:rPr>
      </w:pPr>
      <w:r w:rsidRPr="005D2587">
        <w:rPr>
          <w:b/>
          <w:color w:val="000000"/>
        </w:rPr>
        <w:t xml:space="preserve">Corresponding author:  </w:t>
      </w:r>
      <w:r w:rsidRPr="005D2587">
        <w:rPr>
          <w:color w:val="000000"/>
        </w:rPr>
        <w:t xml:space="preserve">Dr Thomas Richardson, Mental Health Recovery Teams, St. Mary’s Community Health Campus, Milton Road, Portsmouth, PO3 6AD, UK.  Email:   </w:t>
      </w:r>
      <w:hyperlink r:id="rId17" w:history="1">
        <w:r w:rsidRPr="005D2587">
          <w:rPr>
            <w:rStyle w:val="Hyperlink"/>
          </w:rPr>
          <w:t>thomas.richardson@solent.nhs.uk</w:t>
        </w:r>
      </w:hyperlink>
      <w:r w:rsidRPr="005D2587">
        <w:rPr>
          <w:color w:val="000000"/>
        </w:rPr>
        <w:t>.  Tel.</w:t>
      </w:r>
      <w:proofErr w:type="gramStart"/>
      <w:r w:rsidRPr="005D2587">
        <w:rPr>
          <w:color w:val="000000"/>
        </w:rPr>
        <w:t>:  (</w:t>
      </w:r>
      <w:proofErr w:type="gramEnd"/>
      <w:r w:rsidRPr="005D2587">
        <w:rPr>
          <w:color w:val="000000"/>
        </w:rPr>
        <w:t>0044) 2392 680 200.</w:t>
      </w:r>
    </w:p>
    <w:p w14:paraId="0AC639D2" w14:textId="77777777" w:rsidR="005A09D0" w:rsidRDefault="005A09D0" w:rsidP="005A09D0">
      <w:pPr>
        <w:spacing w:after="120" w:line="480" w:lineRule="auto"/>
        <w:contextualSpacing/>
        <w:jc w:val="both"/>
        <w:rPr>
          <w:color w:val="000000"/>
        </w:rPr>
      </w:pPr>
    </w:p>
    <w:p w14:paraId="71A4F691" w14:textId="77777777" w:rsidR="005A09D0" w:rsidRDefault="005A09D0" w:rsidP="005A09D0">
      <w:pPr>
        <w:spacing w:after="120" w:line="480" w:lineRule="auto"/>
        <w:contextualSpacing/>
        <w:jc w:val="both"/>
        <w:rPr>
          <w:color w:val="000000"/>
        </w:rPr>
      </w:pPr>
      <w:r w:rsidRPr="00106D70">
        <w:rPr>
          <w:b/>
          <w:bCs/>
          <w:color w:val="000000"/>
        </w:rPr>
        <w:t xml:space="preserve">Running head:  </w:t>
      </w:r>
      <w:r w:rsidRPr="002753E2">
        <w:rPr>
          <w:color w:val="000000"/>
        </w:rPr>
        <w:t>Cognitive fusion</w:t>
      </w:r>
      <w:r>
        <w:rPr>
          <w:color w:val="000000"/>
        </w:rPr>
        <w:t>,</w:t>
      </w:r>
      <w:r w:rsidRPr="002753E2">
        <w:rPr>
          <w:color w:val="000000"/>
        </w:rPr>
        <w:t xml:space="preserve"> psychotic experience</w:t>
      </w:r>
      <w:r>
        <w:rPr>
          <w:color w:val="000000"/>
        </w:rPr>
        <w:t xml:space="preserve"> &amp; THC.</w:t>
      </w:r>
    </w:p>
    <w:p w14:paraId="60940B3D" w14:textId="77777777" w:rsidR="005A09D0" w:rsidRDefault="005A09D0" w:rsidP="005A09D0">
      <w:pPr>
        <w:spacing w:after="120" w:line="480" w:lineRule="auto"/>
        <w:contextualSpacing/>
        <w:jc w:val="both"/>
        <w:rPr>
          <w:color w:val="000000"/>
        </w:rPr>
      </w:pPr>
    </w:p>
    <w:p w14:paraId="2A801906" w14:textId="77777777" w:rsidR="005A09D0" w:rsidRPr="008C717D" w:rsidRDefault="005A09D0" w:rsidP="005A09D0">
      <w:pPr>
        <w:spacing w:after="120" w:line="480" w:lineRule="auto"/>
        <w:contextualSpacing/>
        <w:jc w:val="both"/>
        <w:rPr>
          <w:b/>
          <w:bCs/>
          <w:color w:val="000000"/>
        </w:rPr>
      </w:pPr>
      <w:r w:rsidRPr="008C717D">
        <w:rPr>
          <w:b/>
          <w:bCs/>
          <w:color w:val="000000"/>
        </w:rPr>
        <w:t>Acknowledgements</w:t>
      </w:r>
      <w:r>
        <w:rPr>
          <w:b/>
          <w:bCs/>
          <w:color w:val="000000"/>
        </w:rPr>
        <w:t xml:space="preserve">:  </w:t>
      </w:r>
      <w:r w:rsidRPr="008C717D">
        <w:rPr>
          <w:color w:val="000000"/>
        </w:rPr>
        <w:t>We would like to thank all those who took part in the study, and Abbie Ellis, Psychology Assistant, for her help with the preparation of this paper.</w:t>
      </w:r>
    </w:p>
    <w:p w14:paraId="0F4CCA4F" w14:textId="77777777" w:rsidR="005A09D0" w:rsidRPr="002753E2" w:rsidRDefault="005A09D0" w:rsidP="005A09D0">
      <w:pPr>
        <w:spacing w:after="120" w:line="480" w:lineRule="auto"/>
        <w:contextualSpacing/>
        <w:jc w:val="both"/>
        <w:rPr>
          <w:color w:val="000000"/>
        </w:rPr>
      </w:pPr>
    </w:p>
    <w:p w14:paraId="0FF9E4FC" w14:textId="77777777" w:rsidR="005A09D0" w:rsidRPr="00AD43A4" w:rsidRDefault="005A09D0" w:rsidP="005A09D0">
      <w:pPr>
        <w:spacing w:after="120" w:line="480" w:lineRule="auto"/>
        <w:contextualSpacing/>
        <w:jc w:val="both"/>
        <w:rPr>
          <w:rFonts w:eastAsia="MS Mincho"/>
          <w:b/>
          <w:color w:val="000000"/>
        </w:rPr>
      </w:pPr>
      <w:r>
        <w:rPr>
          <w:rFonts w:eastAsia="MS Mincho"/>
          <w:b/>
          <w:color w:val="000000"/>
        </w:rPr>
        <w:t>Declaration</w:t>
      </w:r>
      <w:r w:rsidRPr="000B4D5C">
        <w:rPr>
          <w:rFonts w:eastAsia="MS Mincho"/>
          <w:b/>
          <w:color w:val="000000"/>
        </w:rPr>
        <w:t xml:space="preserve"> of interest</w:t>
      </w:r>
      <w:r>
        <w:rPr>
          <w:rFonts w:eastAsia="MS Mincho"/>
          <w:b/>
          <w:color w:val="000000"/>
        </w:rPr>
        <w:t xml:space="preserve">:  </w:t>
      </w:r>
      <w:r w:rsidRPr="000B4D5C">
        <w:rPr>
          <w:rFonts w:eastAsia="MS Mincho"/>
          <w:bCs/>
          <w:color w:val="000000"/>
        </w:rPr>
        <w:t xml:space="preserve">This study was funded by a British Medical Association Foundation for Medical Research Margaret Temple award to MB.  MB is funded by a UCL Excellence Fellowship.  MB and CH are supported by the National Institute for Health Research UCL Hospitals Biomedical Research Centre.  TF was funded by a senior academic fellowship from the Society for the Study of Addiction.  </w:t>
      </w:r>
      <w:r>
        <w:rPr>
          <w:rFonts w:eastAsia="MS Mincho"/>
          <w:bCs/>
          <w:color w:val="000000"/>
        </w:rPr>
        <w:t xml:space="preserve">TR, KNT, RL, KP and HB declare no conflict of interest, and </w:t>
      </w:r>
      <w:r w:rsidRPr="00AD43A4">
        <w:rPr>
          <w:rFonts w:eastAsia="MS Mincho"/>
          <w:bCs/>
          <w:color w:val="000000"/>
        </w:rPr>
        <w:t>received no specific grant from any funding agency, commercial or not-for-profit sectors</w:t>
      </w:r>
      <w:r>
        <w:rPr>
          <w:rFonts w:eastAsia="MS Mincho"/>
          <w:bCs/>
          <w:color w:val="000000"/>
        </w:rPr>
        <w:t>.</w:t>
      </w:r>
    </w:p>
    <w:p w14:paraId="3AF94DC6" w14:textId="77777777" w:rsidR="005A09D0" w:rsidRDefault="005A09D0" w:rsidP="002F6242">
      <w:pPr>
        <w:pStyle w:val="Contents"/>
        <w:spacing w:after="120"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61243A37" w14:textId="779219EB" w:rsidR="002F6242" w:rsidRDefault="00B6296C" w:rsidP="002F6242">
      <w:pPr>
        <w:pStyle w:val="Contents"/>
        <w:spacing w:after="120" w:line="480" w:lineRule="auto"/>
        <w:jc w:val="center"/>
        <w:rPr>
          <w:rFonts w:ascii="Times New Roman" w:hAnsi="Times New Roman" w:cs="Times New Roman"/>
          <w:sz w:val="24"/>
          <w:szCs w:val="24"/>
        </w:rPr>
      </w:pPr>
      <w:r w:rsidRPr="00B6296C">
        <w:rPr>
          <w:rFonts w:ascii="Times New Roman" w:hAnsi="Times New Roman" w:cs="Times New Roman"/>
          <w:sz w:val="24"/>
          <w:szCs w:val="24"/>
        </w:rPr>
        <w:t xml:space="preserve">Cognitive fusion as a candidate </w:t>
      </w:r>
      <w:r w:rsidR="000A5D2F">
        <w:rPr>
          <w:rFonts w:ascii="Times New Roman" w:hAnsi="Times New Roman" w:cs="Times New Roman"/>
          <w:sz w:val="24"/>
          <w:szCs w:val="24"/>
        </w:rPr>
        <w:t xml:space="preserve">psychological </w:t>
      </w:r>
      <w:r w:rsidRPr="00B6296C">
        <w:rPr>
          <w:rFonts w:ascii="Times New Roman" w:hAnsi="Times New Roman" w:cs="Times New Roman"/>
          <w:sz w:val="24"/>
          <w:szCs w:val="24"/>
        </w:rPr>
        <w:t>vulnerability factor for psychosis:</w:t>
      </w:r>
      <w:r w:rsidR="002F6242">
        <w:rPr>
          <w:rFonts w:ascii="Times New Roman" w:hAnsi="Times New Roman" w:cs="Times New Roman"/>
          <w:sz w:val="24"/>
          <w:szCs w:val="24"/>
        </w:rPr>
        <w:t xml:space="preserve">  </w:t>
      </w:r>
    </w:p>
    <w:p w14:paraId="5E34E61E" w14:textId="0AC921D9" w:rsidR="00AF6F04" w:rsidRPr="000A5D2F" w:rsidRDefault="00B6296C" w:rsidP="002F6242">
      <w:pPr>
        <w:pStyle w:val="Contents"/>
        <w:spacing w:after="120" w:line="480" w:lineRule="auto"/>
        <w:jc w:val="center"/>
        <w:rPr>
          <w:rFonts w:ascii="Times New Roman" w:hAnsi="Times New Roman" w:cs="Times New Roman"/>
          <w:sz w:val="24"/>
          <w:szCs w:val="24"/>
        </w:rPr>
      </w:pPr>
      <w:r w:rsidRPr="00B6296C">
        <w:rPr>
          <w:rFonts w:ascii="Times New Roman" w:hAnsi="Times New Roman" w:cs="Times New Roman"/>
          <w:sz w:val="24"/>
          <w:szCs w:val="24"/>
        </w:rPr>
        <w:t xml:space="preserve">An experimental study </w:t>
      </w:r>
      <w:r w:rsidR="000E62BF">
        <w:rPr>
          <w:rFonts w:ascii="Times New Roman" w:hAnsi="Times New Roman" w:cs="Times New Roman"/>
          <w:sz w:val="24"/>
          <w:szCs w:val="24"/>
        </w:rPr>
        <w:t>of</w:t>
      </w:r>
      <w:r w:rsidR="000E62BF" w:rsidRPr="00B6296C">
        <w:rPr>
          <w:rFonts w:ascii="Times New Roman" w:hAnsi="Times New Roman" w:cs="Times New Roman"/>
          <w:sz w:val="24"/>
          <w:szCs w:val="24"/>
        </w:rPr>
        <w:t xml:space="preserve"> </w:t>
      </w:r>
      <w:r w:rsidRPr="00B6296C">
        <w:rPr>
          <w:rFonts w:ascii="Times New Roman" w:hAnsi="Times New Roman" w:cs="Times New Roman"/>
          <w:sz w:val="24"/>
          <w:szCs w:val="24"/>
        </w:rPr>
        <w:t>acute ∆9-tetrahydrocannabinol (THC) intoxication</w:t>
      </w:r>
    </w:p>
    <w:p w14:paraId="5772766A" w14:textId="77777777" w:rsidR="0047157F" w:rsidRDefault="0047157F" w:rsidP="00823509">
      <w:pPr>
        <w:pStyle w:val="Contents"/>
        <w:spacing w:after="120" w:line="480" w:lineRule="auto"/>
        <w:rPr>
          <w:rFonts w:asciiTheme="majorBidi" w:hAnsiTheme="majorBidi" w:cstheme="majorBidi"/>
          <w:sz w:val="24"/>
          <w:szCs w:val="24"/>
        </w:rPr>
      </w:pPr>
    </w:p>
    <w:p w14:paraId="340D0F7C" w14:textId="5674BC8E" w:rsidR="00611CA7" w:rsidRPr="00823509" w:rsidRDefault="00611CA7" w:rsidP="00823509">
      <w:pPr>
        <w:pStyle w:val="Contents"/>
        <w:spacing w:after="120" w:line="480" w:lineRule="auto"/>
        <w:rPr>
          <w:rFonts w:asciiTheme="majorBidi" w:hAnsiTheme="majorBidi" w:cstheme="majorBidi"/>
          <w:sz w:val="24"/>
          <w:szCs w:val="24"/>
        </w:rPr>
      </w:pPr>
      <w:r w:rsidRPr="00126925">
        <w:rPr>
          <w:rFonts w:asciiTheme="majorBidi" w:hAnsiTheme="majorBidi" w:cstheme="majorBidi"/>
          <w:sz w:val="24"/>
          <w:szCs w:val="24"/>
        </w:rPr>
        <w:t>Abstract</w:t>
      </w:r>
    </w:p>
    <w:p w14:paraId="5EEDD188" w14:textId="473856B3" w:rsidR="00126925" w:rsidRPr="000A5D2F" w:rsidRDefault="00126925" w:rsidP="00126925">
      <w:pPr>
        <w:spacing w:after="120" w:line="480" w:lineRule="auto"/>
        <w:jc w:val="both"/>
        <w:rPr>
          <w:i/>
          <w:iCs/>
        </w:rPr>
      </w:pPr>
      <w:r>
        <w:t>Heavy</w:t>
      </w:r>
      <w:r w:rsidRPr="00462D0C">
        <w:t xml:space="preserve"> cannabis use is associated with an increased risk of psychosis</w:t>
      </w:r>
      <w:r>
        <w:t xml:space="preserve">.  </w:t>
      </w:r>
      <w:r w:rsidR="0047157F">
        <w:t>However, t</w:t>
      </w:r>
      <w:r>
        <w:t>h</w:t>
      </w:r>
      <w:r w:rsidRPr="00552B25">
        <w:t xml:space="preserve">e psychological mechanisms </w:t>
      </w:r>
      <w:r>
        <w:t>involved, and interactions with established risk factors</w:t>
      </w:r>
      <w:r w:rsidRPr="007078E2">
        <w:t xml:space="preserve"> </w:t>
      </w:r>
      <w:r>
        <w:t>for cannabis-related psychosis</w:t>
      </w:r>
      <w:r w:rsidR="0047157F">
        <w:t>,</w:t>
      </w:r>
      <w:r>
        <w:t xml:space="preserve"> remain unclear.</w:t>
      </w:r>
      <w:r w:rsidRPr="009C462C">
        <w:t xml:space="preserve">  </w:t>
      </w:r>
      <w:r>
        <w:t xml:space="preserve">This study examined the role of cognitive fusion, a candidate </w:t>
      </w:r>
      <w:r w:rsidRPr="00B6296C">
        <w:t>vulnerability factor</w:t>
      </w:r>
      <w:r>
        <w:t xml:space="preserve"> for psychosis, during acute THC intoxication, and the interaction with key risk factors – developmental trauma and schizotypy.  Twenty general population cannabis-using participants</w:t>
      </w:r>
      <w:r w:rsidRPr="00FB6610">
        <w:t xml:space="preserve"> were </w:t>
      </w:r>
      <w:r>
        <w:t xml:space="preserve">administered </w:t>
      </w:r>
      <w:r w:rsidRPr="00FB6610">
        <w:t>THC</w:t>
      </w:r>
      <w:r>
        <w:t xml:space="preserve"> or </w:t>
      </w:r>
      <w:r w:rsidRPr="00FB6610">
        <w:t>placebo</w:t>
      </w:r>
      <w:r>
        <w:t xml:space="preserve"> in a within-participants, double-blinded randomised study.</w:t>
      </w:r>
      <w:r w:rsidRPr="009C462C">
        <w:t xml:space="preserve">  </w:t>
      </w:r>
      <w:r w:rsidRPr="00823509">
        <w:t xml:space="preserve">Developmental trauma, schizotypy and cognitive fusion were </w:t>
      </w:r>
      <w:r>
        <w:t xml:space="preserve">all </w:t>
      </w:r>
      <w:r w:rsidRPr="00823509">
        <w:t xml:space="preserve">associated with psychotic </w:t>
      </w:r>
      <w:r>
        <w:t>experiences during intoxication.  Cognitive fusion accounted for increased</w:t>
      </w:r>
      <w:r w:rsidRPr="00EE3495">
        <w:t xml:space="preserve"> psychotic experience</w:t>
      </w:r>
      <w:r>
        <w:t xml:space="preserve">s in those with developmental trauma and high </w:t>
      </w:r>
      <w:r w:rsidRPr="009C462C">
        <w:t>schizotypy</w:t>
      </w:r>
      <w:r>
        <w:t xml:space="preserve">.  </w:t>
      </w:r>
      <w:r w:rsidRPr="009C462C">
        <w:t>Cognitive</w:t>
      </w:r>
      <w:r>
        <w:t xml:space="preserve"> fusion may be a key mechanism by which </w:t>
      </w:r>
      <w:r w:rsidRPr="00804879">
        <w:t xml:space="preserve">developmental trauma and schizotypy </w:t>
      </w:r>
      <w:r w:rsidRPr="00552B25">
        <w:t>increase risk of psychosis</w:t>
      </w:r>
      <w:r>
        <w:t xml:space="preserve"> from cannabis use.  This initial study is limited by a </w:t>
      </w:r>
      <w:r w:rsidR="00B74BBD">
        <w:t xml:space="preserve">small sample and </w:t>
      </w:r>
      <w:r>
        <w:t>correlational design; a larger scale mediation study is now needed to support a causal argument.  The findings have implications for psychological treatments and identifying those at risk of cannabis-related psychosis.</w:t>
      </w:r>
      <w:r w:rsidRPr="00CA4DF3">
        <w:t xml:space="preserve"> </w:t>
      </w:r>
      <w:r>
        <w:t xml:space="preserve"> Psychological interventions that target cognitive fusion may be more effective than generic approaches.  People prone to cognitive fusion, particularly those with a history of developmental trauma and high in </w:t>
      </w:r>
      <w:r w:rsidRPr="00B065FC">
        <w:t>schizotypy</w:t>
      </w:r>
      <w:r>
        <w:t>,</w:t>
      </w:r>
      <w:r w:rsidRPr="00B065FC">
        <w:t xml:space="preserve"> </w:t>
      </w:r>
      <w:r w:rsidR="00B74BBD">
        <w:t>may</w:t>
      </w:r>
      <w:r>
        <w:t xml:space="preserve"> be at higher risk for cannabis-related psychosis.</w:t>
      </w:r>
    </w:p>
    <w:p w14:paraId="15FECF77" w14:textId="77777777" w:rsidR="002F6242" w:rsidRDefault="002F6242" w:rsidP="000A5D2F">
      <w:pPr>
        <w:spacing w:after="120" w:line="480" w:lineRule="auto"/>
        <w:jc w:val="both"/>
        <w:rPr>
          <w:b/>
        </w:rPr>
      </w:pPr>
    </w:p>
    <w:p w14:paraId="7E079E5C" w14:textId="2A31108B" w:rsidR="00335C19" w:rsidRPr="000A5D2F" w:rsidRDefault="00611CA7" w:rsidP="000A5D2F">
      <w:pPr>
        <w:spacing w:after="120" w:line="480" w:lineRule="auto"/>
        <w:jc w:val="both"/>
      </w:pPr>
      <w:r>
        <w:rPr>
          <w:b/>
        </w:rPr>
        <w:t xml:space="preserve">Key words: </w:t>
      </w:r>
      <w:r>
        <w:t>psycho</w:t>
      </w:r>
      <w:r w:rsidR="001507D4">
        <w:t>sis</w:t>
      </w:r>
      <w:r w:rsidR="002A21D6">
        <w:t>;</w:t>
      </w:r>
      <w:r w:rsidR="001507D4">
        <w:t xml:space="preserve"> </w:t>
      </w:r>
      <w:r w:rsidR="00F64EC4">
        <w:t>cannabis</w:t>
      </w:r>
      <w:r w:rsidR="002A21D6">
        <w:t>;</w:t>
      </w:r>
      <w:r w:rsidR="00F64EC4">
        <w:t xml:space="preserve"> </w:t>
      </w:r>
      <w:r w:rsidR="002F6242">
        <w:t>THC; cognitive fusion; developmental trauma; schizotypy</w:t>
      </w:r>
      <w:r w:rsidR="00335C19">
        <w:rPr>
          <w:b/>
        </w:rPr>
        <w:br w:type="page"/>
      </w:r>
    </w:p>
    <w:p w14:paraId="0EAAFC26" w14:textId="784FC3A6" w:rsidR="0004169A" w:rsidRPr="00B065FC" w:rsidRDefault="0004169A" w:rsidP="00EF464E">
      <w:pPr>
        <w:spacing w:after="120" w:line="480" w:lineRule="auto"/>
        <w:jc w:val="both"/>
        <w:rPr>
          <w:b/>
        </w:rPr>
      </w:pPr>
      <w:r w:rsidRPr="00B065FC">
        <w:rPr>
          <w:b/>
        </w:rPr>
        <w:t>Introduction</w:t>
      </w:r>
    </w:p>
    <w:p w14:paraId="24E8912E" w14:textId="2D37C8A4" w:rsidR="00266621" w:rsidRDefault="00B065FC" w:rsidP="00F14738">
      <w:pPr>
        <w:widowControl w:val="0"/>
        <w:spacing w:after="120" w:line="480" w:lineRule="auto"/>
        <w:jc w:val="both"/>
      </w:pPr>
      <w:r w:rsidRPr="00462D0C">
        <w:t>Heavy cannabis use is associated with an increased risk of psychosis</w:t>
      </w:r>
      <w:r w:rsidR="00933444">
        <w:t xml:space="preserve"> </w:t>
      </w:r>
      <w:r w:rsidR="005B02CC">
        <w:t>(</w:t>
      </w:r>
      <w:r w:rsidR="005B02CC" w:rsidRPr="005B02CC">
        <w:t xml:space="preserve">Colizzi </w:t>
      </w:r>
      <w:r w:rsidR="009F4424">
        <w:t>and</w:t>
      </w:r>
      <w:r w:rsidR="005B02CC" w:rsidRPr="005B02CC">
        <w:t xml:space="preserve"> Murray, 2018)</w:t>
      </w:r>
      <w:r w:rsidR="005B02CC">
        <w:t xml:space="preserve">.  Longitudinal studies </w:t>
      </w:r>
      <w:r w:rsidR="00D8496C">
        <w:t>show</w:t>
      </w:r>
      <w:r w:rsidR="005B02CC">
        <w:t xml:space="preserve"> that c</w:t>
      </w:r>
      <w:r w:rsidR="005B02CC" w:rsidRPr="005B02CC">
        <w:t xml:space="preserve">annabis use predicts </w:t>
      </w:r>
      <w:r w:rsidR="005B02CC">
        <w:t>subsequent psychotic experience</w:t>
      </w:r>
      <w:r w:rsidR="001B2312">
        <w:t xml:space="preserve"> (Gage</w:t>
      </w:r>
      <w:r w:rsidR="00EF5566" w:rsidRPr="001667FF">
        <w:rPr>
          <w:rFonts w:asciiTheme="majorBidi" w:hAnsiTheme="majorBidi"/>
          <w:lang w:val="de-DE"/>
        </w:rPr>
        <w:t xml:space="preserve">, </w:t>
      </w:r>
      <w:proofErr w:type="spellStart"/>
      <w:r w:rsidR="00EF5566" w:rsidRPr="001667FF">
        <w:rPr>
          <w:rFonts w:asciiTheme="majorBidi" w:hAnsiTheme="majorBidi"/>
          <w:lang w:val="de-DE"/>
        </w:rPr>
        <w:t>Hickman</w:t>
      </w:r>
      <w:proofErr w:type="spellEnd"/>
      <w:r w:rsidR="00EF5566" w:rsidRPr="001667FF">
        <w:rPr>
          <w:rFonts w:asciiTheme="majorBidi" w:hAnsiTheme="majorBidi"/>
          <w:lang w:val="de-DE"/>
        </w:rPr>
        <w:t xml:space="preserve">, </w:t>
      </w:r>
      <w:r w:rsidR="00151FC7">
        <w:rPr>
          <w:rFonts w:asciiTheme="majorBidi" w:hAnsiTheme="majorBidi"/>
          <w:lang w:val="de-DE"/>
        </w:rPr>
        <w:t>&amp;</w:t>
      </w:r>
      <w:r w:rsidR="00EF5566" w:rsidRPr="001667FF">
        <w:rPr>
          <w:rFonts w:asciiTheme="majorBidi" w:hAnsiTheme="majorBidi"/>
          <w:lang w:val="de-DE"/>
        </w:rPr>
        <w:t xml:space="preserve"> </w:t>
      </w:r>
      <w:proofErr w:type="spellStart"/>
      <w:r w:rsidR="00EF5566" w:rsidRPr="001667FF">
        <w:rPr>
          <w:rFonts w:asciiTheme="majorBidi" w:hAnsiTheme="majorBidi"/>
          <w:lang w:val="de-DE"/>
        </w:rPr>
        <w:t>Zammit</w:t>
      </w:r>
      <w:proofErr w:type="spellEnd"/>
      <w:r w:rsidR="00EF5566">
        <w:rPr>
          <w:rFonts w:asciiTheme="majorBidi" w:hAnsiTheme="majorBidi"/>
          <w:lang w:val="de-DE"/>
        </w:rPr>
        <w:t>,</w:t>
      </w:r>
      <w:r w:rsidR="00EF5566" w:rsidRPr="005B02CC">
        <w:t xml:space="preserve"> </w:t>
      </w:r>
      <w:r w:rsidR="005B02CC" w:rsidRPr="005B02CC">
        <w:t xml:space="preserve">2016), </w:t>
      </w:r>
      <w:r w:rsidR="00F14738">
        <w:t>and that earlier age of first use increases risk (</w:t>
      </w:r>
      <w:r w:rsidR="00EF5566" w:rsidRPr="00C45CD8">
        <w:rPr>
          <w:rFonts w:asciiTheme="majorBidi" w:hAnsiTheme="majorBidi" w:cstheme="majorBidi"/>
        </w:rPr>
        <w:t xml:space="preserve">Day, Goldschmidt, Day, </w:t>
      </w:r>
      <w:proofErr w:type="spellStart"/>
      <w:r w:rsidR="00EF5566" w:rsidRPr="00C45CD8">
        <w:rPr>
          <w:rFonts w:asciiTheme="majorBidi" w:hAnsiTheme="majorBidi" w:cstheme="majorBidi"/>
        </w:rPr>
        <w:t>Larkby</w:t>
      </w:r>
      <w:proofErr w:type="spellEnd"/>
      <w:r w:rsidR="00EF5566" w:rsidRPr="00C45CD8">
        <w:rPr>
          <w:rFonts w:asciiTheme="majorBidi" w:hAnsiTheme="majorBidi" w:cstheme="majorBidi"/>
        </w:rPr>
        <w:t xml:space="preserve">, </w:t>
      </w:r>
      <w:r w:rsidR="00151FC7">
        <w:rPr>
          <w:rFonts w:asciiTheme="majorBidi" w:hAnsiTheme="majorBidi" w:cstheme="majorBidi"/>
        </w:rPr>
        <w:t>&amp;</w:t>
      </w:r>
      <w:r w:rsidR="00EF5566" w:rsidRPr="00C45CD8">
        <w:rPr>
          <w:rFonts w:asciiTheme="majorBidi" w:hAnsiTheme="majorBidi" w:cstheme="majorBidi"/>
        </w:rPr>
        <w:t xml:space="preserve"> Richardson</w:t>
      </w:r>
      <w:r w:rsidR="00EF5566">
        <w:rPr>
          <w:rFonts w:asciiTheme="majorBidi" w:hAnsiTheme="majorBidi" w:cstheme="majorBidi"/>
        </w:rPr>
        <w:t>,</w:t>
      </w:r>
      <w:r w:rsidR="00F14738">
        <w:t xml:space="preserve"> 2014)</w:t>
      </w:r>
      <w:r w:rsidR="005523F2">
        <w:t>.  A</w:t>
      </w:r>
      <w:r w:rsidR="001B2312">
        <w:t xml:space="preserve"> meta-analysis</w:t>
      </w:r>
      <w:r w:rsidR="00E17BED">
        <w:t xml:space="preserve"> </w:t>
      </w:r>
      <w:r w:rsidR="00266621">
        <w:t xml:space="preserve">found </w:t>
      </w:r>
      <w:r w:rsidR="00E17BED">
        <w:t xml:space="preserve">evidence </w:t>
      </w:r>
      <w:r w:rsidR="00F14738">
        <w:t>for</w:t>
      </w:r>
      <w:r w:rsidR="00E17BED">
        <w:t xml:space="preserve"> a </w:t>
      </w:r>
      <w:r w:rsidR="005C58AE">
        <w:t xml:space="preserve">dose-response </w:t>
      </w:r>
      <w:r w:rsidR="00E17BED">
        <w:t>relationship</w:t>
      </w:r>
      <w:r w:rsidR="005C58AE">
        <w:t xml:space="preserve"> </w:t>
      </w:r>
      <w:r w:rsidR="005B02CC" w:rsidRPr="005B02CC">
        <w:t>(</w:t>
      </w:r>
      <w:r w:rsidR="00EF5566" w:rsidRPr="00637F63">
        <w:rPr>
          <w:rFonts w:asciiTheme="majorBidi" w:hAnsiTheme="majorBidi" w:cstheme="majorBidi"/>
          <w:lang w:val="it-IT"/>
        </w:rPr>
        <w:t xml:space="preserve">Marconi, Di Forti, Lewis, Murray, </w:t>
      </w:r>
      <w:r w:rsidR="00151FC7">
        <w:rPr>
          <w:rFonts w:asciiTheme="majorBidi" w:hAnsiTheme="majorBidi" w:cstheme="majorBidi"/>
          <w:lang w:val="it-IT"/>
        </w:rPr>
        <w:t>&amp;</w:t>
      </w:r>
      <w:r w:rsidR="00EF5566">
        <w:rPr>
          <w:rFonts w:asciiTheme="majorBidi" w:hAnsiTheme="majorBidi" w:cstheme="majorBidi"/>
          <w:lang w:val="it-IT"/>
        </w:rPr>
        <w:t xml:space="preserve"> </w:t>
      </w:r>
      <w:proofErr w:type="spellStart"/>
      <w:r w:rsidR="00EF5566" w:rsidRPr="00637F63">
        <w:rPr>
          <w:rFonts w:asciiTheme="majorBidi" w:hAnsiTheme="majorBidi" w:cstheme="majorBidi"/>
          <w:lang w:val="it-IT"/>
        </w:rPr>
        <w:t>Vassos</w:t>
      </w:r>
      <w:proofErr w:type="spellEnd"/>
      <w:r w:rsidR="00EF5566">
        <w:rPr>
          <w:rFonts w:asciiTheme="majorBidi" w:hAnsiTheme="majorBidi" w:cstheme="majorBidi"/>
          <w:lang w:val="it-IT"/>
        </w:rPr>
        <w:t>,</w:t>
      </w:r>
      <w:r w:rsidR="00EF5566" w:rsidRPr="005B02CC">
        <w:t xml:space="preserve"> </w:t>
      </w:r>
      <w:r w:rsidR="005B02CC" w:rsidRPr="005B02CC">
        <w:t>2016)</w:t>
      </w:r>
      <w:r w:rsidR="0086714C">
        <w:t>, and a recent</w:t>
      </w:r>
      <w:r w:rsidR="00EE6FFB">
        <w:t xml:space="preserve"> </w:t>
      </w:r>
      <w:r w:rsidR="0086714C">
        <w:t xml:space="preserve">European </w:t>
      </w:r>
      <w:r w:rsidR="00EE6FFB">
        <w:t>multi</w:t>
      </w:r>
      <w:r w:rsidR="0086714C">
        <w:t>-</w:t>
      </w:r>
      <w:r w:rsidR="00EE6FFB">
        <w:t>site study found that daily use of high potency cannabis carried the highest risk (Di Forti et al., 2019).</w:t>
      </w:r>
    </w:p>
    <w:p w14:paraId="75261B8D" w14:textId="02668AD3" w:rsidR="00BA3B17" w:rsidRDefault="00BA3B17" w:rsidP="00BA3B17">
      <w:pPr>
        <w:widowControl w:val="0"/>
        <w:spacing w:after="120" w:line="480" w:lineRule="auto"/>
        <w:jc w:val="both"/>
      </w:pPr>
      <w:r w:rsidRPr="00BA3B17">
        <w:t xml:space="preserve">The </w:t>
      </w:r>
      <w:r w:rsidR="00536611">
        <w:t>major</w:t>
      </w:r>
      <w:r w:rsidRPr="00BA3B17">
        <w:t xml:space="preserve"> psychoactive ingredient of cannabis, ∆</w:t>
      </w:r>
      <w:r w:rsidRPr="00536611">
        <w:rPr>
          <w:vertAlign w:val="superscript"/>
        </w:rPr>
        <w:t>9</w:t>
      </w:r>
      <w:r w:rsidRPr="00BA3B17">
        <w:t xml:space="preserve">-tetrahydrocannabinol (THC), induces psychotic experiences in healthy (Bhattacharyya et al., 2015; </w:t>
      </w:r>
      <w:r w:rsidR="00EF5566" w:rsidRPr="00CE0556">
        <w:rPr>
          <w:rFonts w:asciiTheme="majorBidi" w:hAnsiTheme="majorBidi" w:cstheme="majorBidi"/>
          <w:lang w:val="en"/>
        </w:rPr>
        <w:t xml:space="preserve">Morrison, </w:t>
      </w:r>
      <w:proofErr w:type="spellStart"/>
      <w:r w:rsidR="00EF5566" w:rsidRPr="00CE0556">
        <w:rPr>
          <w:rFonts w:asciiTheme="majorBidi" w:hAnsiTheme="majorBidi" w:cstheme="majorBidi"/>
          <w:lang w:val="en"/>
        </w:rPr>
        <w:t>Zois</w:t>
      </w:r>
      <w:proofErr w:type="spellEnd"/>
      <w:r w:rsidR="00EF5566" w:rsidRPr="00CE0556">
        <w:rPr>
          <w:rFonts w:asciiTheme="majorBidi" w:hAnsiTheme="majorBidi" w:cstheme="majorBidi"/>
          <w:lang w:val="en"/>
        </w:rPr>
        <w:t xml:space="preserve">, McKeown, </w:t>
      </w:r>
      <w:r w:rsidR="00151FC7">
        <w:rPr>
          <w:rFonts w:asciiTheme="majorBidi" w:hAnsiTheme="majorBidi" w:cstheme="majorBidi"/>
          <w:lang w:val="en"/>
        </w:rPr>
        <w:t>&amp;</w:t>
      </w:r>
      <w:r w:rsidR="00EF5566" w:rsidRPr="00CE0556">
        <w:rPr>
          <w:rFonts w:asciiTheme="majorBidi" w:hAnsiTheme="majorBidi" w:cstheme="majorBidi"/>
          <w:lang w:val="en"/>
        </w:rPr>
        <w:t xml:space="preserve"> Lee</w:t>
      </w:r>
      <w:r w:rsidR="00EF5566">
        <w:rPr>
          <w:rFonts w:asciiTheme="majorBidi" w:hAnsiTheme="majorBidi" w:cstheme="majorBidi"/>
          <w:lang w:val="en"/>
        </w:rPr>
        <w:t>,</w:t>
      </w:r>
      <w:r w:rsidR="00EF5566" w:rsidRPr="00BA3B17">
        <w:t xml:space="preserve"> </w:t>
      </w:r>
      <w:r w:rsidRPr="00BA3B17">
        <w:t>2009) and cannabis using (</w:t>
      </w:r>
      <w:proofErr w:type="spellStart"/>
      <w:r w:rsidRPr="00BA3B17">
        <w:t>Szoke</w:t>
      </w:r>
      <w:proofErr w:type="spellEnd"/>
      <w:r w:rsidRPr="00BA3B17">
        <w:t xml:space="preserve"> et al., 2014) samples, and in those with high levels of non-clinical paranoia (Freeman et al., 2014)</w:t>
      </w:r>
      <w:r w:rsidR="00CA4DF3">
        <w:t xml:space="preserve">.  THC also increases </w:t>
      </w:r>
      <w:r w:rsidR="00CA4DF3" w:rsidRPr="00BA3B17">
        <w:t>psychotic experiences</w:t>
      </w:r>
      <w:r w:rsidR="00CA4DF3">
        <w:t xml:space="preserve"> in people with</w:t>
      </w:r>
      <w:r w:rsidRPr="00BA3B17">
        <w:t xml:space="preserve"> </w:t>
      </w:r>
      <w:r w:rsidR="002E2D4F" w:rsidRPr="002E2D4F">
        <w:rPr>
          <w:highlight w:val="yellow"/>
        </w:rPr>
        <w:t>a</w:t>
      </w:r>
      <w:r w:rsidR="002E2D4F">
        <w:t xml:space="preserve"> </w:t>
      </w:r>
      <w:r w:rsidRPr="00BA3B17">
        <w:t>diagnosis of schizophrenia (D’Souza et al., 200</w:t>
      </w:r>
      <w:r>
        <w:t xml:space="preserve">5; </w:t>
      </w:r>
      <w:proofErr w:type="spellStart"/>
      <w:r w:rsidR="00EF5566" w:rsidRPr="00CE0556">
        <w:rPr>
          <w:rFonts w:asciiTheme="majorBidi" w:hAnsiTheme="majorBidi" w:cstheme="majorBidi"/>
          <w:lang w:val="de-DE"/>
        </w:rPr>
        <w:t>Volkow</w:t>
      </w:r>
      <w:proofErr w:type="spellEnd"/>
      <w:r w:rsidR="00EF5566" w:rsidRPr="00CE0556">
        <w:rPr>
          <w:rFonts w:asciiTheme="majorBidi" w:hAnsiTheme="majorBidi" w:cstheme="majorBidi"/>
          <w:lang w:val="de-DE"/>
        </w:rPr>
        <w:t xml:space="preserve">, </w:t>
      </w:r>
      <w:proofErr w:type="spellStart"/>
      <w:r w:rsidR="00EF5566" w:rsidRPr="00637F63">
        <w:rPr>
          <w:rFonts w:asciiTheme="majorBidi" w:hAnsiTheme="majorBidi" w:cstheme="majorBidi"/>
          <w:lang w:val="de-DE"/>
        </w:rPr>
        <w:t>Baler</w:t>
      </w:r>
      <w:proofErr w:type="spellEnd"/>
      <w:r w:rsidR="00EF5566" w:rsidRPr="00CE0556">
        <w:rPr>
          <w:rFonts w:asciiTheme="majorBidi" w:hAnsiTheme="majorBidi" w:cstheme="majorBidi"/>
          <w:lang w:val="de-DE"/>
        </w:rPr>
        <w:t xml:space="preserve">, Compton, </w:t>
      </w:r>
      <w:r w:rsidR="00151FC7">
        <w:rPr>
          <w:rFonts w:asciiTheme="majorBidi" w:hAnsiTheme="majorBidi" w:cstheme="majorBidi"/>
          <w:lang w:val="de-DE"/>
        </w:rPr>
        <w:t>&amp;</w:t>
      </w:r>
      <w:r w:rsidR="00EF5566" w:rsidRPr="00CE0556">
        <w:rPr>
          <w:rFonts w:asciiTheme="majorBidi" w:hAnsiTheme="majorBidi" w:cstheme="majorBidi"/>
          <w:lang w:val="de-DE"/>
        </w:rPr>
        <w:t xml:space="preserve"> </w:t>
      </w:r>
      <w:proofErr w:type="spellStart"/>
      <w:r w:rsidR="00EF5566" w:rsidRPr="00637F63">
        <w:rPr>
          <w:rFonts w:asciiTheme="majorBidi" w:hAnsiTheme="majorBidi" w:cstheme="majorBidi"/>
          <w:lang w:val="de-DE"/>
        </w:rPr>
        <w:t>Weiss</w:t>
      </w:r>
      <w:proofErr w:type="spellEnd"/>
      <w:r w:rsidR="00EF5566">
        <w:rPr>
          <w:rFonts w:asciiTheme="majorBidi" w:hAnsiTheme="majorBidi" w:cstheme="majorBidi"/>
          <w:lang w:val="de-DE"/>
        </w:rPr>
        <w:t>,</w:t>
      </w:r>
      <w:r w:rsidR="00EF5566">
        <w:t xml:space="preserve"> </w:t>
      </w:r>
      <w:r>
        <w:t>2014).</w:t>
      </w:r>
    </w:p>
    <w:p w14:paraId="22A515EB" w14:textId="09A52F24" w:rsidR="00123F49" w:rsidRDefault="00FE6782" w:rsidP="0065138D">
      <w:pPr>
        <w:widowControl w:val="0"/>
        <w:spacing w:after="120" w:line="480" w:lineRule="auto"/>
        <w:jc w:val="both"/>
      </w:pPr>
      <w:r>
        <w:t>Certain risk</w:t>
      </w:r>
      <w:r w:rsidR="00B34EF4">
        <w:t xml:space="preserve"> factors strengthen t</w:t>
      </w:r>
      <w:r w:rsidR="00E31EB8">
        <w:t xml:space="preserve">he relationship </w:t>
      </w:r>
      <w:r w:rsidR="00B34EF4">
        <w:t>further</w:t>
      </w:r>
      <w:r w:rsidR="00A6106B">
        <w:t xml:space="preserve">.  </w:t>
      </w:r>
      <w:r w:rsidR="00B74BBD">
        <w:t>T</w:t>
      </w:r>
      <w:r>
        <w:t xml:space="preserve">raumatic experiences in childhood and adolescence (developmental trauma) </w:t>
      </w:r>
      <w:r w:rsidR="0065138D" w:rsidRPr="0065138D">
        <w:t xml:space="preserve">increase risk of cannabis-related psychosis </w:t>
      </w:r>
      <w:r w:rsidR="00D81F5D">
        <w:t>(</w:t>
      </w:r>
      <w:r w:rsidR="00B5547D" w:rsidRPr="00B5547D">
        <w:t xml:space="preserve">Harley et al., 2010; </w:t>
      </w:r>
      <w:r w:rsidR="00EF5566" w:rsidRPr="00B5547D">
        <w:rPr>
          <w:rFonts w:asciiTheme="majorBidi" w:hAnsiTheme="majorBidi" w:cstheme="majorBidi"/>
        </w:rPr>
        <w:t xml:space="preserve">Houston, Murphy, Shevlin, </w:t>
      </w:r>
      <w:r w:rsidR="00151FC7">
        <w:rPr>
          <w:rFonts w:asciiTheme="majorBidi" w:hAnsiTheme="majorBidi" w:cstheme="majorBidi"/>
        </w:rPr>
        <w:t>&amp;</w:t>
      </w:r>
      <w:r w:rsidR="00EF5566">
        <w:rPr>
          <w:rFonts w:asciiTheme="majorBidi" w:hAnsiTheme="majorBidi" w:cstheme="majorBidi"/>
        </w:rPr>
        <w:t xml:space="preserve"> </w:t>
      </w:r>
      <w:r w:rsidR="00EF5566" w:rsidRPr="00B5547D">
        <w:rPr>
          <w:rFonts w:asciiTheme="majorBidi" w:hAnsiTheme="majorBidi" w:cstheme="majorBidi"/>
        </w:rPr>
        <w:t>Adamson</w:t>
      </w:r>
      <w:r w:rsidR="00B5547D" w:rsidRPr="00B5547D">
        <w:t xml:space="preserve">, 2011; </w:t>
      </w:r>
      <w:proofErr w:type="spellStart"/>
      <w:r w:rsidR="00B5547D" w:rsidRPr="00B5547D">
        <w:t>Konings</w:t>
      </w:r>
      <w:proofErr w:type="spellEnd"/>
      <w:r w:rsidR="00B5547D" w:rsidRPr="00B5547D">
        <w:t xml:space="preserve">, et al., 2012; </w:t>
      </w:r>
      <w:r w:rsidR="00EF5566" w:rsidRPr="00B709DA">
        <w:t xml:space="preserve">Shevlin, Murphy, Houston, </w:t>
      </w:r>
      <w:r w:rsidR="00151FC7">
        <w:t>&amp;</w:t>
      </w:r>
      <w:r w:rsidR="00EF5566">
        <w:t xml:space="preserve"> </w:t>
      </w:r>
      <w:r w:rsidR="00EF5566" w:rsidRPr="00B709DA">
        <w:t>Adamson,</w:t>
      </w:r>
      <w:r w:rsidR="00EF5566">
        <w:t xml:space="preserve"> </w:t>
      </w:r>
      <w:r w:rsidR="00B5547D" w:rsidRPr="00B5547D">
        <w:t>2009</w:t>
      </w:r>
      <w:r w:rsidR="00755199">
        <w:t>)</w:t>
      </w:r>
      <w:r w:rsidR="0065138D">
        <w:t>.  S</w:t>
      </w:r>
      <w:r w:rsidR="00123F49">
        <w:t xml:space="preserve">chizotypy </w:t>
      </w:r>
      <w:r w:rsidR="0065138D">
        <w:t xml:space="preserve">also increases risk of psychosis in </w:t>
      </w:r>
      <w:r w:rsidR="00901ECE">
        <w:t xml:space="preserve">general </w:t>
      </w:r>
      <w:r w:rsidR="0065138D">
        <w:t xml:space="preserve">population </w:t>
      </w:r>
      <w:r w:rsidR="001B661F">
        <w:t xml:space="preserve">samples </w:t>
      </w:r>
      <w:r w:rsidR="00123F49">
        <w:t>(</w:t>
      </w:r>
      <w:proofErr w:type="spellStart"/>
      <w:r w:rsidR="0080099D" w:rsidRPr="0065138D">
        <w:rPr>
          <w:rFonts w:asciiTheme="majorBidi" w:hAnsiTheme="majorBidi" w:cstheme="majorBidi"/>
        </w:rPr>
        <w:t>Barkus</w:t>
      </w:r>
      <w:proofErr w:type="spellEnd"/>
      <w:r w:rsidR="0080099D" w:rsidRPr="0065138D">
        <w:rPr>
          <w:rFonts w:asciiTheme="majorBidi" w:hAnsiTheme="majorBidi" w:cstheme="majorBidi"/>
        </w:rPr>
        <w:t xml:space="preserve">, Stirling, Hopkins, </w:t>
      </w:r>
      <w:r w:rsidR="00151FC7">
        <w:rPr>
          <w:rFonts w:asciiTheme="majorBidi" w:hAnsiTheme="majorBidi" w:cstheme="majorBidi"/>
        </w:rPr>
        <w:t>&amp;</w:t>
      </w:r>
      <w:r w:rsidR="0080099D" w:rsidRPr="0065138D">
        <w:rPr>
          <w:rFonts w:asciiTheme="majorBidi" w:hAnsiTheme="majorBidi" w:cstheme="majorBidi"/>
        </w:rPr>
        <w:t xml:space="preserve"> Lewis</w:t>
      </w:r>
      <w:r w:rsidR="0080099D">
        <w:rPr>
          <w:rFonts w:asciiTheme="majorBidi" w:hAnsiTheme="majorBidi" w:cstheme="majorBidi"/>
        </w:rPr>
        <w:t>,</w:t>
      </w:r>
      <w:r w:rsidR="0080099D">
        <w:t xml:space="preserve"> </w:t>
      </w:r>
      <w:r w:rsidR="0065138D">
        <w:t xml:space="preserve">2006; </w:t>
      </w:r>
      <w:proofErr w:type="spellStart"/>
      <w:r w:rsidR="0065138D" w:rsidRPr="0065138D">
        <w:t>Barkus</w:t>
      </w:r>
      <w:proofErr w:type="spellEnd"/>
      <w:r w:rsidR="0065138D" w:rsidRPr="0065138D">
        <w:t xml:space="preserve"> </w:t>
      </w:r>
      <w:r w:rsidR="00151FC7">
        <w:t>&amp;</w:t>
      </w:r>
      <w:r w:rsidR="0065138D" w:rsidRPr="0065138D">
        <w:t xml:space="preserve"> Lewis, 2008; </w:t>
      </w:r>
      <w:proofErr w:type="spellStart"/>
      <w:r w:rsidR="00596CFC">
        <w:t>Spriggens</w:t>
      </w:r>
      <w:proofErr w:type="spellEnd"/>
      <w:r w:rsidR="00596CFC">
        <w:t xml:space="preserve"> </w:t>
      </w:r>
      <w:r w:rsidR="00151FC7">
        <w:t>&amp;</w:t>
      </w:r>
      <w:r w:rsidR="00596CFC">
        <w:t xml:space="preserve"> Hides, 2015</w:t>
      </w:r>
      <w:r w:rsidR="0065138D">
        <w:t xml:space="preserve">; </w:t>
      </w:r>
      <w:r w:rsidR="0065138D" w:rsidRPr="0065138D">
        <w:t>Stirling et al., 2008</w:t>
      </w:r>
      <w:r w:rsidR="00E31EB8">
        <w:t>)</w:t>
      </w:r>
      <w:r w:rsidR="0065138D">
        <w:t xml:space="preserve"> and </w:t>
      </w:r>
      <w:r w:rsidR="00536611">
        <w:t xml:space="preserve">during </w:t>
      </w:r>
      <w:r w:rsidR="0065138D">
        <w:t>acute intoxication</w:t>
      </w:r>
      <w:r w:rsidR="00856FF0" w:rsidRPr="00E31EB8">
        <w:t xml:space="preserve"> (</w:t>
      </w:r>
      <w:r w:rsidR="0080099D" w:rsidRPr="00CE0556">
        <w:rPr>
          <w:rFonts w:asciiTheme="majorBidi" w:hAnsiTheme="majorBidi" w:cstheme="majorBidi"/>
        </w:rPr>
        <w:t xml:space="preserve">Mason, Morgan, Dhiman, </w:t>
      </w:r>
      <w:r w:rsidR="00151FC7">
        <w:rPr>
          <w:rFonts w:asciiTheme="majorBidi" w:hAnsiTheme="majorBidi" w:cstheme="majorBidi"/>
        </w:rPr>
        <w:t>&amp;</w:t>
      </w:r>
      <w:r w:rsidR="0080099D" w:rsidRPr="00CE0556">
        <w:rPr>
          <w:rFonts w:asciiTheme="majorBidi" w:hAnsiTheme="majorBidi" w:cstheme="majorBidi"/>
        </w:rPr>
        <w:t xml:space="preserve"> Patel</w:t>
      </w:r>
      <w:r w:rsidR="00856FF0" w:rsidRPr="00E31EB8">
        <w:t>, 2009</w:t>
      </w:r>
      <w:r w:rsidR="00805A19">
        <w:t>).</w:t>
      </w:r>
      <w:r w:rsidR="00804879">
        <w:t xml:space="preserve">  </w:t>
      </w:r>
      <w:r w:rsidR="00A6106B">
        <w:t>N</w:t>
      </w:r>
      <w:r w:rsidR="00804879">
        <w:t xml:space="preserve">o </w:t>
      </w:r>
      <w:r w:rsidR="00BA3B17">
        <w:t xml:space="preserve">research to date </w:t>
      </w:r>
      <w:r w:rsidR="00F434D7">
        <w:t xml:space="preserve">has </w:t>
      </w:r>
      <w:r w:rsidR="00BA3B17">
        <w:t>examin</w:t>
      </w:r>
      <w:r w:rsidR="00F434D7">
        <w:t>ed</w:t>
      </w:r>
      <w:r w:rsidR="00BA3B17">
        <w:t xml:space="preserve"> whether developmental trauma </w:t>
      </w:r>
      <w:r w:rsidR="00A6106B">
        <w:t>affects</w:t>
      </w:r>
      <w:r w:rsidR="00BA3B17">
        <w:t xml:space="preserve"> psychotic experiences during intoxication.</w:t>
      </w:r>
    </w:p>
    <w:p w14:paraId="209F8116" w14:textId="5DA87B7B" w:rsidR="00B95300" w:rsidRDefault="00DC0B84" w:rsidP="00EE21ED">
      <w:pPr>
        <w:widowControl w:val="0"/>
        <w:spacing w:after="120" w:line="480" w:lineRule="auto"/>
        <w:jc w:val="both"/>
      </w:pPr>
      <w:r>
        <w:t xml:space="preserve">Despite </w:t>
      </w:r>
      <w:r w:rsidR="00CD3F40">
        <w:t xml:space="preserve">strong </w:t>
      </w:r>
      <w:r>
        <w:t>evidence for an association</w:t>
      </w:r>
      <w:r w:rsidR="00CD3F40">
        <w:t xml:space="preserve"> between cannabis and psychotic</w:t>
      </w:r>
      <w:r w:rsidR="001D1E61">
        <w:t xml:space="preserve"> experience</w:t>
      </w:r>
      <w:r w:rsidR="003447B3">
        <w:t>s</w:t>
      </w:r>
      <w:r w:rsidR="00805A19">
        <w:t xml:space="preserve">, </w:t>
      </w:r>
      <w:r w:rsidR="009C2B6E" w:rsidRPr="009C2B6E">
        <w:t xml:space="preserve">we </w:t>
      </w:r>
      <w:r w:rsidR="009C2B6E">
        <w:t xml:space="preserve">do not yet </w:t>
      </w:r>
      <w:r w:rsidR="009C2B6E" w:rsidRPr="009C2B6E">
        <w:t xml:space="preserve">understand the psychobiological mechanisms </w:t>
      </w:r>
      <w:r w:rsidR="00587FE4">
        <w:t>by</w:t>
      </w:r>
      <w:r w:rsidR="009C2B6E" w:rsidRPr="009C2B6E">
        <w:t xml:space="preserve"> which cannabis induces vulnerability to psychosis</w:t>
      </w:r>
      <w:r w:rsidR="00364B14" w:rsidRPr="00364B14">
        <w:t xml:space="preserve"> (</w:t>
      </w:r>
      <w:r w:rsidR="009C2B6E">
        <w:t xml:space="preserve">cf. </w:t>
      </w:r>
      <w:r w:rsidR="0080099D" w:rsidRPr="004027EC">
        <w:rPr>
          <w:rFonts w:asciiTheme="majorBidi" w:hAnsiTheme="majorBidi" w:cstheme="majorBidi"/>
        </w:rPr>
        <w:t xml:space="preserve">Shrivastava, Johnston, Terpstra, </w:t>
      </w:r>
      <w:r w:rsidR="00151FC7">
        <w:rPr>
          <w:rFonts w:asciiTheme="majorBidi" w:hAnsiTheme="majorBidi" w:cstheme="majorBidi"/>
        </w:rPr>
        <w:t>&amp;</w:t>
      </w:r>
      <w:r w:rsidR="0080099D">
        <w:rPr>
          <w:rFonts w:asciiTheme="majorBidi" w:hAnsiTheme="majorBidi" w:cstheme="majorBidi"/>
        </w:rPr>
        <w:t xml:space="preserve"> </w:t>
      </w:r>
      <w:r w:rsidR="0080099D" w:rsidRPr="004027EC">
        <w:rPr>
          <w:rFonts w:asciiTheme="majorBidi" w:hAnsiTheme="majorBidi" w:cstheme="majorBidi"/>
        </w:rPr>
        <w:t>Bureau</w:t>
      </w:r>
      <w:r w:rsidR="0080099D">
        <w:rPr>
          <w:rFonts w:asciiTheme="majorBidi" w:hAnsiTheme="majorBidi" w:cstheme="majorBidi"/>
        </w:rPr>
        <w:t>,</w:t>
      </w:r>
      <w:r w:rsidR="0080099D" w:rsidRPr="00364B14">
        <w:t xml:space="preserve"> </w:t>
      </w:r>
      <w:r w:rsidR="00364B14" w:rsidRPr="00364B14">
        <w:t>2014)</w:t>
      </w:r>
      <w:r>
        <w:t>.</w:t>
      </w:r>
      <w:r w:rsidR="00CD3F40">
        <w:t xml:space="preserve">  </w:t>
      </w:r>
      <w:r w:rsidR="003277E6">
        <w:t xml:space="preserve">Current </w:t>
      </w:r>
      <w:r w:rsidR="003277E6" w:rsidRPr="00587FE4">
        <w:t>treatments target symptoms rather than underlying bio</w:t>
      </w:r>
      <w:r w:rsidR="003277E6">
        <w:t xml:space="preserve">logical or </w:t>
      </w:r>
      <w:r w:rsidR="003277E6" w:rsidRPr="00587FE4">
        <w:t>psychological process</w:t>
      </w:r>
      <w:r w:rsidR="003277E6">
        <w:t>es, and t</w:t>
      </w:r>
      <w:r w:rsidR="00CD3F40">
        <w:t>his seriously limits the development of interventions for people with cannabis-related psychosis</w:t>
      </w:r>
      <w:r w:rsidR="005523F2">
        <w:t>.</w:t>
      </w:r>
      <w:r w:rsidR="00587FE4" w:rsidRPr="00587FE4">
        <w:t xml:space="preserve">  </w:t>
      </w:r>
      <w:r w:rsidR="00A6106B">
        <w:t>A</w:t>
      </w:r>
      <w:r w:rsidR="00587FE4">
        <w:t>nti-psychotic</w:t>
      </w:r>
      <w:r w:rsidR="00A6106B">
        <w:t xml:space="preserve"> medication</w:t>
      </w:r>
      <w:r w:rsidR="00536611">
        <w:t>s</w:t>
      </w:r>
      <w:r w:rsidR="00587FE4">
        <w:t xml:space="preserve"> </w:t>
      </w:r>
      <w:r w:rsidR="00A6106B">
        <w:t>operate</w:t>
      </w:r>
      <w:r w:rsidR="009C2B6E" w:rsidRPr="009C2B6E">
        <w:t xml:space="preserve"> through dopamine receptor antagonism</w:t>
      </w:r>
      <w:r w:rsidR="009C2B6E">
        <w:t xml:space="preserve"> (</w:t>
      </w:r>
      <w:proofErr w:type="spellStart"/>
      <w:r w:rsidR="009C2B6E">
        <w:t>Kapur</w:t>
      </w:r>
      <w:proofErr w:type="spellEnd"/>
      <w:r w:rsidR="009C2B6E">
        <w:t xml:space="preserve"> </w:t>
      </w:r>
      <w:r w:rsidR="00151FC7">
        <w:t>&amp;</w:t>
      </w:r>
      <w:r w:rsidR="009C2B6E">
        <w:t xml:space="preserve"> Seeman, 2001)</w:t>
      </w:r>
      <w:r w:rsidR="00A6106B">
        <w:t>, and p</w:t>
      </w:r>
      <w:r w:rsidR="005523F2">
        <w:t xml:space="preserve">sychological interventions </w:t>
      </w:r>
      <w:r w:rsidR="001B661F">
        <w:t xml:space="preserve">typically </w:t>
      </w:r>
      <w:r w:rsidR="00587DB4">
        <w:t xml:space="preserve">rely on generic cognitive behavioural and motivational interviewing approaches, with </w:t>
      </w:r>
      <w:r w:rsidR="00B622E8">
        <w:t>modest</w:t>
      </w:r>
      <w:r w:rsidR="00587DB4">
        <w:t xml:space="preserve"> </w:t>
      </w:r>
      <w:r w:rsidR="00805A19">
        <w:t>results</w:t>
      </w:r>
      <w:r w:rsidR="00743BBA">
        <w:t xml:space="preserve"> (</w:t>
      </w:r>
      <w:r w:rsidR="00743BBA" w:rsidRPr="00743BBA">
        <w:t>Barrowclough et al.</w:t>
      </w:r>
      <w:r w:rsidR="00743BBA">
        <w:t xml:space="preserve">, </w:t>
      </w:r>
      <w:r w:rsidR="00743BBA" w:rsidRPr="00743BBA">
        <w:t>2014</w:t>
      </w:r>
      <w:r w:rsidR="00044494">
        <w:t>;</w:t>
      </w:r>
      <w:r w:rsidR="00044494" w:rsidRPr="00A235F4">
        <w:t xml:space="preserve"> </w:t>
      </w:r>
      <w:r w:rsidR="0080099D" w:rsidRPr="00CE0556">
        <w:rPr>
          <w:rFonts w:asciiTheme="majorBidi" w:hAnsiTheme="majorBidi" w:cstheme="majorBidi"/>
        </w:rPr>
        <w:t>Hjorth</w:t>
      </w:r>
      <w:proofErr w:type="spellStart"/>
      <w:r w:rsidR="0080099D" w:rsidRPr="00CE0556">
        <w:rPr>
          <w:rStyle w:val="text2"/>
          <w:rFonts w:asciiTheme="majorBidi" w:hAnsiTheme="majorBidi" w:cstheme="majorBidi"/>
          <w:lang w:val="en"/>
        </w:rPr>
        <w:t>øj</w:t>
      </w:r>
      <w:proofErr w:type="spellEnd"/>
      <w:r w:rsidR="0080099D" w:rsidRPr="00CE0556">
        <w:rPr>
          <w:rStyle w:val="text2"/>
          <w:rFonts w:asciiTheme="majorBidi" w:hAnsiTheme="majorBidi" w:cstheme="majorBidi"/>
          <w:lang w:val="en"/>
        </w:rPr>
        <w:t xml:space="preserve">, Baker, </w:t>
      </w:r>
      <w:proofErr w:type="spellStart"/>
      <w:r w:rsidR="0080099D" w:rsidRPr="00CE0556">
        <w:rPr>
          <w:rStyle w:val="text2"/>
          <w:rFonts w:asciiTheme="majorBidi" w:hAnsiTheme="majorBidi" w:cstheme="majorBidi"/>
          <w:lang w:val="en"/>
        </w:rPr>
        <w:t>Fohlmann</w:t>
      </w:r>
      <w:proofErr w:type="spellEnd"/>
      <w:r w:rsidR="0080099D" w:rsidRPr="00CE0556">
        <w:rPr>
          <w:rStyle w:val="text2"/>
          <w:rFonts w:asciiTheme="majorBidi" w:hAnsiTheme="majorBidi" w:cstheme="majorBidi"/>
          <w:lang w:val="en"/>
        </w:rPr>
        <w:t>,</w:t>
      </w:r>
      <w:r w:rsidR="0080099D">
        <w:rPr>
          <w:rStyle w:val="text2"/>
          <w:rFonts w:asciiTheme="majorBidi" w:hAnsiTheme="majorBidi" w:cstheme="majorBidi"/>
          <w:lang w:val="en"/>
        </w:rPr>
        <w:t xml:space="preserve"> </w:t>
      </w:r>
      <w:r w:rsidR="00151FC7">
        <w:rPr>
          <w:rStyle w:val="text2"/>
          <w:rFonts w:asciiTheme="majorBidi" w:hAnsiTheme="majorBidi" w:cstheme="majorBidi"/>
          <w:lang w:val="en"/>
        </w:rPr>
        <w:t>&amp;</w:t>
      </w:r>
      <w:r w:rsidR="0080099D" w:rsidRPr="00CE0556">
        <w:rPr>
          <w:rStyle w:val="text2"/>
          <w:rFonts w:asciiTheme="majorBidi" w:hAnsiTheme="majorBidi" w:cstheme="majorBidi"/>
          <w:lang w:val="en"/>
        </w:rPr>
        <w:t xml:space="preserve"> Merete</w:t>
      </w:r>
      <w:r w:rsidR="0080099D">
        <w:rPr>
          <w:rStyle w:val="text2"/>
          <w:rFonts w:asciiTheme="majorBidi" w:hAnsiTheme="majorBidi" w:cstheme="majorBidi"/>
          <w:lang w:val="en"/>
        </w:rPr>
        <w:t>,</w:t>
      </w:r>
      <w:r w:rsidR="0080099D">
        <w:t xml:space="preserve"> </w:t>
      </w:r>
      <w:r w:rsidR="00044494">
        <w:t>2014</w:t>
      </w:r>
      <w:r w:rsidR="00743BBA">
        <w:t>;</w:t>
      </w:r>
      <w:r w:rsidR="00A235F4">
        <w:t xml:space="preserve"> Madigan et al., 2013</w:t>
      </w:r>
      <w:r w:rsidR="00743BBA">
        <w:t xml:space="preserve">).  </w:t>
      </w:r>
      <w:r w:rsidR="00BA1CA6">
        <w:t xml:space="preserve">By elucidating the underlying </w:t>
      </w:r>
      <w:r w:rsidR="00BA1CA6" w:rsidRPr="00552B25">
        <w:t>mechanisms</w:t>
      </w:r>
      <w:r w:rsidR="00BA1CA6">
        <w:t xml:space="preserve">, treatments </w:t>
      </w:r>
      <w:r w:rsidR="003277E6">
        <w:t xml:space="preserve">may be </w:t>
      </w:r>
      <w:r w:rsidR="00B74BBD">
        <w:t>more effectively</w:t>
      </w:r>
      <w:r w:rsidR="003277E6">
        <w:t xml:space="preserve"> targeted and outcomes improved</w:t>
      </w:r>
      <w:r w:rsidR="00B95300">
        <w:t xml:space="preserve"> (c.f. </w:t>
      </w:r>
      <w:r w:rsidR="00B95300" w:rsidRPr="00B95300">
        <w:t xml:space="preserve">Garety </w:t>
      </w:r>
      <w:r w:rsidR="00151FC7">
        <w:t>&amp;</w:t>
      </w:r>
      <w:r w:rsidR="00B95300" w:rsidRPr="00B95300">
        <w:t xml:space="preserve"> Freeman, 2013</w:t>
      </w:r>
      <w:r w:rsidR="00B95300">
        <w:t xml:space="preserve">; </w:t>
      </w:r>
      <w:r w:rsidR="00B95300" w:rsidRPr="00B95300">
        <w:t xml:space="preserve">Moritz </w:t>
      </w:r>
      <w:r w:rsidR="00151FC7">
        <w:t>&amp;</w:t>
      </w:r>
      <w:r w:rsidR="00B95300" w:rsidRPr="00B95300">
        <w:t xml:space="preserve"> Lysaker, 2018).</w:t>
      </w:r>
    </w:p>
    <w:p w14:paraId="5C2966E2" w14:textId="1D8B4154" w:rsidR="00B94C80" w:rsidRDefault="006451D3" w:rsidP="002B42CE">
      <w:pPr>
        <w:widowControl w:val="0"/>
        <w:spacing w:after="120" w:line="480" w:lineRule="auto"/>
        <w:jc w:val="both"/>
      </w:pPr>
      <w:r>
        <w:t>Co</w:t>
      </w:r>
      <w:r w:rsidR="00CC3116">
        <w:t>ntemporary co</w:t>
      </w:r>
      <w:r>
        <w:t>gnitive</w:t>
      </w:r>
      <w:r w:rsidR="00CC3116">
        <w:t xml:space="preserve"> </w:t>
      </w:r>
      <w:r w:rsidR="003277E6">
        <w:t>accounts</w:t>
      </w:r>
      <w:r>
        <w:t xml:space="preserve"> identif</w:t>
      </w:r>
      <w:r w:rsidR="00CC3116">
        <w:t>y</w:t>
      </w:r>
      <w:r>
        <w:t xml:space="preserve"> the ability to </w:t>
      </w:r>
      <w:r w:rsidR="00CC3116">
        <w:t>defuse or</w:t>
      </w:r>
      <w:r>
        <w:t xml:space="preserve"> </w:t>
      </w:r>
      <w:r w:rsidR="003E1089">
        <w:t>decentre</w:t>
      </w:r>
      <w:r>
        <w:t xml:space="preserve"> from internal experience </w:t>
      </w:r>
      <w:r w:rsidR="003277E6">
        <w:t>– for example, recognising thoughts as thoughts</w:t>
      </w:r>
      <w:r w:rsidR="00045D99">
        <w:t xml:space="preserve"> </w:t>
      </w:r>
      <w:r w:rsidR="003277E6">
        <w:t xml:space="preserve">– </w:t>
      </w:r>
      <w:r>
        <w:t>as a key metacognitive process effecting psychotherapeutic change (</w:t>
      </w:r>
      <w:r w:rsidR="0080099D" w:rsidRPr="00C620C3">
        <w:rPr>
          <w:rFonts w:asciiTheme="majorBidi" w:hAnsiTheme="majorBidi" w:cstheme="majorBidi"/>
        </w:rPr>
        <w:t xml:space="preserve">Hayes, </w:t>
      </w:r>
      <w:proofErr w:type="spellStart"/>
      <w:r w:rsidR="0080099D">
        <w:rPr>
          <w:rFonts w:asciiTheme="majorBidi" w:hAnsiTheme="majorBidi" w:cstheme="majorBidi"/>
        </w:rPr>
        <w:t>Strosahl</w:t>
      </w:r>
      <w:proofErr w:type="spellEnd"/>
      <w:r w:rsidR="0080099D">
        <w:rPr>
          <w:rFonts w:asciiTheme="majorBidi" w:hAnsiTheme="majorBidi" w:cstheme="majorBidi"/>
        </w:rPr>
        <w:t xml:space="preserve">, </w:t>
      </w:r>
      <w:r w:rsidR="00151FC7">
        <w:rPr>
          <w:rFonts w:asciiTheme="majorBidi" w:hAnsiTheme="majorBidi" w:cstheme="majorBidi"/>
        </w:rPr>
        <w:t>&amp;</w:t>
      </w:r>
      <w:r w:rsidR="0080099D">
        <w:rPr>
          <w:rFonts w:asciiTheme="majorBidi" w:hAnsiTheme="majorBidi" w:cstheme="majorBidi"/>
        </w:rPr>
        <w:t xml:space="preserve"> Wilson,</w:t>
      </w:r>
      <w:r w:rsidR="007C4C76">
        <w:t xml:space="preserve"> </w:t>
      </w:r>
      <w:r w:rsidR="00941C0D">
        <w:t xml:space="preserve">2012; </w:t>
      </w:r>
      <w:r w:rsidR="0080099D" w:rsidRPr="00CE0556">
        <w:rPr>
          <w:rFonts w:asciiTheme="majorBidi" w:hAnsiTheme="majorBidi" w:cstheme="majorBidi"/>
        </w:rPr>
        <w:t xml:space="preserve">Bernstein, </w:t>
      </w:r>
      <w:proofErr w:type="spellStart"/>
      <w:r w:rsidR="0080099D" w:rsidRPr="00CE0556">
        <w:rPr>
          <w:rFonts w:asciiTheme="majorBidi" w:hAnsiTheme="majorBidi" w:cstheme="majorBidi"/>
        </w:rPr>
        <w:t>Hadash</w:t>
      </w:r>
      <w:proofErr w:type="spellEnd"/>
      <w:r w:rsidR="0080099D" w:rsidRPr="00CE0556">
        <w:rPr>
          <w:rFonts w:asciiTheme="majorBidi" w:hAnsiTheme="majorBidi" w:cstheme="majorBidi"/>
        </w:rPr>
        <w:t xml:space="preserve">, </w:t>
      </w:r>
      <w:proofErr w:type="spellStart"/>
      <w:r w:rsidR="0080099D" w:rsidRPr="00CE0556">
        <w:rPr>
          <w:rFonts w:asciiTheme="majorBidi" w:hAnsiTheme="majorBidi" w:cstheme="majorBidi"/>
        </w:rPr>
        <w:t>Lichtash</w:t>
      </w:r>
      <w:proofErr w:type="spellEnd"/>
      <w:r w:rsidR="0080099D" w:rsidRPr="00CE0556">
        <w:rPr>
          <w:rFonts w:asciiTheme="majorBidi" w:hAnsiTheme="majorBidi" w:cstheme="majorBidi"/>
        </w:rPr>
        <w:t xml:space="preserve">, </w:t>
      </w:r>
      <w:proofErr w:type="spellStart"/>
      <w:r w:rsidR="0080099D" w:rsidRPr="00CE0556">
        <w:rPr>
          <w:rFonts w:asciiTheme="majorBidi" w:hAnsiTheme="majorBidi" w:cstheme="majorBidi"/>
        </w:rPr>
        <w:t>Tanay</w:t>
      </w:r>
      <w:proofErr w:type="spellEnd"/>
      <w:r w:rsidR="0080099D" w:rsidRPr="00CE0556">
        <w:rPr>
          <w:rFonts w:asciiTheme="majorBidi" w:hAnsiTheme="majorBidi" w:cstheme="majorBidi"/>
        </w:rPr>
        <w:t xml:space="preserve">, Shepherd, </w:t>
      </w:r>
      <w:r w:rsidR="00151FC7">
        <w:rPr>
          <w:rFonts w:asciiTheme="majorBidi" w:hAnsiTheme="majorBidi" w:cstheme="majorBidi"/>
        </w:rPr>
        <w:t>&amp;</w:t>
      </w:r>
      <w:r w:rsidR="0080099D" w:rsidRPr="00CE0556">
        <w:rPr>
          <w:rFonts w:asciiTheme="majorBidi" w:hAnsiTheme="majorBidi" w:cstheme="majorBidi"/>
        </w:rPr>
        <w:t xml:space="preserve"> Fresco</w:t>
      </w:r>
      <w:r>
        <w:t xml:space="preserve">, 2015).  </w:t>
      </w:r>
      <w:r w:rsidR="003E1089">
        <w:t xml:space="preserve">By contrast, </w:t>
      </w:r>
      <w:r w:rsidR="001E7AE3">
        <w:t>cognitive fusion</w:t>
      </w:r>
      <w:r w:rsidR="00D57F5C">
        <w:t xml:space="preserve"> </w:t>
      </w:r>
      <w:r w:rsidR="008049F1">
        <w:t xml:space="preserve">(or the inability to decentre) </w:t>
      </w:r>
      <w:r w:rsidR="00D57F5C">
        <w:t xml:space="preserve">describes the experience of thoughts and feelings as necessarily </w:t>
      </w:r>
      <w:r w:rsidR="00862730">
        <w:t>accurate</w:t>
      </w:r>
      <w:r w:rsidR="00D57F5C">
        <w:t xml:space="preserve"> representations of self and reality </w:t>
      </w:r>
      <w:r w:rsidR="00433623">
        <w:t xml:space="preserve">which dominate the </w:t>
      </w:r>
      <w:r w:rsidR="00045D99">
        <w:t>person’s</w:t>
      </w:r>
      <w:r w:rsidR="00433623">
        <w:t xml:space="preserve"> attention and behaviour</w:t>
      </w:r>
      <w:r w:rsidR="00D57F5C">
        <w:t xml:space="preserve"> (</w:t>
      </w:r>
      <w:proofErr w:type="spellStart"/>
      <w:r w:rsidR="00214E20">
        <w:t>Gillanders</w:t>
      </w:r>
      <w:proofErr w:type="spellEnd"/>
      <w:r w:rsidR="00873245">
        <w:t xml:space="preserve"> et al</w:t>
      </w:r>
      <w:r w:rsidR="00433623">
        <w:t>.</w:t>
      </w:r>
      <w:r w:rsidR="00214E20">
        <w:t>, 201</w:t>
      </w:r>
      <w:r w:rsidR="00D57F5C">
        <w:t>4</w:t>
      </w:r>
      <w:r w:rsidR="0010113C">
        <w:t xml:space="preserve">; </w:t>
      </w:r>
      <w:r w:rsidR="0080099D" w:rsidRPr="00637F63">
        <w:rPr>
          <w:rFonts w:asciiTheme="majorBidi" w:hAnsiTheme="majorBidi"/>
        </w:rPr>
        <w:t xml:space="preserve">Teasdale, Moore, Hayhurst, Pope, Williams, </w:t>
      </w:r>
      <w:r w:rsidR="00151FC7">
        <w:rPr>
          <w:rFonts w:asciiTheme="majorBidi" w:hAnsiTheme="majorBidi"/>
        </w:rPr>
        <w:t>&amp;</w:t>
      </w:r>
      <w:r w:rsidR="0080099D" w:rsidRPr="00637F63">
        <w:rPr>
          <w:rFonts w:asciiTheme="majorBidi" w:hAnsiTheme="majorBidi"/>
        </w:rPr>
        <w:t xml:space="preserve"> Segal</w:t>
      </w:r>
      <w:r w:rsidR="0080099D">
        <w:rPr>
          <w:rFonts w:asciiTheme="majorBidi" w:hAnsiTheme="majorBidi"/>
        </w:rPr>
        <w:t>,</w:t>
      </w:r>
      <w:r w:rsidR="0080099D">
        <w:t xml:space="preserve"> </w:t>
      </w:r>
      <w:r w:rsidR="0010113C">
        <w:t>200</w:t>
      </w:r>
      <w:r w:rsidR="00A10610">
        <w:t>2</w:t>
      </w:r>
      <w:r w:rsidR="004E3EA3">
        <w:t>)</w:t>
      </w:r>
      <w:r w:rsidR="001B661F">
        <w:t>,</w:t>
      </w:r>
      <w:r w:rsidR="001C57C4">
        <w:t xml:space="preserve"> and is associated with poor</w:t>
      </w:r>
      <w:r w:rsidR="00D57F5C">
        <w:t xml:space="preserve"> outcomes</w:t>
      </w:r>
      <w:r w:rsidR="002F2CD0">
        <w:t xml:space="preserve"> across diagnoses</w:t>
      </w:r>
      <w:r w:rsidR="00D57F5C">
        <w:t xml:space="preserve"> </w:t>
      </w:r>
      <w:r w:rsidR="00873245">
        <w:t>(</w:t>
      </w:r>
      <w:proofErr w:type="spellStart"/>
      <w:r w:rsidR="0080099D" w:rsidRPr="00637F63">
        <w:rPr>
          <w:rFonts w:asciiTheme="majorBidi" w:hAnsiTheme="majorBidi" w:cstheme="majorBidi"/>
          <w:lang w:val="de-DE"/>
        </w:rPr>
        <w:t>Plonsker</w:t>
      </w:r>
      <w:proofErr w:type="spellEnd"/>
      <w:r w:rsidR="0080099D" w:rsidRPr="00637F63">
        <w:rPr>
          <w:rFonts w:asciiTheme="majorBidi" w:hAnsiTheme="majorBidi" w:cstheme="majorBidi"/>
          <w:lang w:val="de-DE"/>
        </w:rPr>
        <w:t xml:space="preserve">, </w:t>
      </w:r>
      <w:proofErr w:type="spellStart"/>
      <w:r w:rsidR="0080099D" w:rsidRPr="00637F63">
        <w:rPr>
          <w:rFonts w:asciiTheme="majorBidi" w:hAnsiTheme="majorBidi" w:cstheme="majorBidi"/>
          <w:lang w:val="de-DE"/>
        </w:rPr>
        <w:t>Biran</w:t>
      </w:r>
      <w:proofErr w:type="spellEnd"/>
      <w:r w:rsidR="0080099D" w:rsidRPr="00637F63">
        <w:rPr>
          <w:rFonts w:asciiTheme="majorBidi" w:hAnsiTheme="majorBidi" w:cstheme="majorBidi"/>
          <w:lang w:val="de-DE"/>
        </w:rPr>
        <w:t xml:space="preserve">, </w:t>
      </w:r>
      <w:proofErr w:type="spellStart"/>
      <w:r w:rsidR="0080099D" w:rsidRPr="00637F63">
        <w:rPr>
          <w:rFonts w:asciiTheme="majorBidi" w:hAnsiTheme="majorBidi" w:cstheme="majorBidi"/>
          <w:lang w:val="de-DE"/>
        </w:rPr>
        <w:t>Zvielli</w:t>
      </w:r>
      <w:proofErr w:type="spellEnd"/>
      <w:r w:rsidR="0080099D" w:rsidRPr="00637F63">
        <w:rPr>
          <w:rFonts w:asciiTheme="majorBidi" w:hAnsiTheme="majorBidi" w:cstheme="majorBidi"/>
          <w:lang w:val="de-DE"/>
        </w:rPr>
        <w:t xml:space="preserve">, </w:t>
      </w:r>
      <w:r w:rsidR="002B42CE">
        <w:rPr>
          <w:rFonts w:asciiTheme="majorBidi" w:hAnsiTheme="majorBidi" w:cstheme="majorBidi"/>
          <w:lang w:val="de-DE"/>
        </w:rPr>
        <w:t>&amp;</w:t>
      </w:r>
      <w:r w:rsidR="0080099D" w:rsidRPr="00637F63">
        <w:rPr>
          <w:rFonts w:asciiTheme="majorBidi" w:hAnsiTheme="majorBidi" w:cstheme="majorBidi"/>
          <w:lang w:val="de-DE"/>
        </w:rPr>
        <w:t xml:space="preserve"> Bernstein</w:t>
      </w:r>
      <w:r w:rsidR="00873245">
        <w:t>, 2017)</w:t>
      </w:r>
      <w:r w:rsidR="00D57F5C">
        <w:t>.</w:t>
      </w:r>
      <w:r w:rsidR="002F2CD0">
        <w:t xml:space="preserve"> </w:t>
      </w:r>
      <w:r>
        <w:t xml:space="preserve"> </w:t>
      </w:r>
      <w:r w:rsidR="00C74B22">
        <w:t>P</w:t>
      </w:r>
      <w:r w:rsidR="00C0781C">
        <w:t xml:space="preserve">reliminary </w:t>
      </w:r>
      <w:r w:rsidR="00894576">
        <w:t>research</w:t>
      </w:r>
      <w:r w:rsidR="00C74B22">
        <w:t xml:space="preserve"> </w:t>
      </w:r>
      <w:r w:rsidR="0010113C">
        <w:t>show</w:t>
      </w:r>
      <w:r w:rsidR="00894576">
        <w:t>s</w:t>
      </w:r>
      <w:r w:rsidR="00C74B22">
        <w:t xml:space="preserve"> that</w:t>
      </w:r>
      <w:r w:rsidR="002B42CE">
        <w:t xml:space="preserve"> </w:t>
      </w:r>
      <w:r w:rsidR="001E7AE3">
        <w:t>cognitive fusion</w:t>
      </w:r>
      <w:r w:rsidR="00C0781C">
        <w:t xml:space="preserve"> </w:t>
      </w:r>
      <w:r w:rsidR="00C74B22">
        <w:t>is</w:t>
      </w:r>
      <w:r w:rsidR="004009D0">
        <w:t xml:space="preserve"> associated with </w:t>
      </w:r>
      <w:r w:rsidR="00C0781C">
        <w:t>psychotic experience</w:t>
      </w:r>
      <w:r w:rsidR="00BF789E">
        <w:t>s</w:t>
      </w:r>
      <w:r w:rsidR="004009D0">
        <w:t xml:space="preserve"> and linked distress, </w:t>
      </w:r>
      <w:r w:rsidR="00C74B22">
        <w:t>and mediates</w:t>
      </w:r>
      <w:r w:rsidR="00B979A9">
        <w:t xml:space="preserve"> </w:t>
      </w:r>
      <w:r w:rsidR="00EB09AC">
        <w:t xml:space="preserve">the impact of </w:t>
      </w:r>
      <w:r w:rsidR="002B42CE">
        <w:t xml:space="preserve">known risk factors – </w:t>
      </w:r>
      <w:r w:rsidR="00B979A9">
        <w:t xml:space="preserve">early adversity and </w:t>
      </w:r>
      <w:r w:rsidR="00EB09AC">
        <w:t>schizotypy</w:t>
      </w:r>
      <w:r w:rsidR="002B42CE">
        <w:t>, in both general population cannabis-users and people with psychosis who use cannabis</w:t>
      </w:r>
      <w:r w:rsidR="005E6FC4">
        <w:t xml:space="preserve"> (</w:t>
      </w:r>
      <w:r w:rsidR="0080099D" w:rsidRPr="00477685">
        <w:t xml:space="preserve">Newman-Taylor, </w:t>
      </w:r>
      <w:r w:rsidR="00B74BBD">
        <w:t xml:space="preserve">Richardson, </w:t>
      </w:r>
      <w:proofErr w:type="spellStart"/>
      <w:r w:rsidR="0080099D" w:rsidRPr="00477685">
        <w:t>Sood</w:t>
      </w:r>
      <w:proofErr w:type="spellEnd"/>
      <w:r w:rsidR="0080099D" w:rsidRPr="00477685">
        <w:t xml:space="preserve">, </w:t>
      </w:r>
      <w:proofErr w:type="spellStart"/>
      <w:r w:rsidR="0080099D" w:rsidRPr="00477685">
        <w:t>Sopp</w:t>
      </w:r>
      <w:proofErr w:type="spellEnd"/>
      <w:r w:rsidR="0080099D" w:rsidRPr="00477685">
        <w:t xml:space="preserve">, </w:t>
      </w:r>
      <w:r w:rsidR="002B42CE">
        <w:t>Perry</w:t>
      </w:r>
      <w:r w:rsidR="00B74BBD">
        <w:t>,</w:t>
      </w:r>
      <w:r w:rsidR="002B42CE">
        <w:t xml:space="preserve"> &amp; </w:t>
      </w:r>
      <w:proofErr w:type="spellStart"/>
      <w:r w:rsidR="002B42CE">
        <w:t>Bolderston</w:t>
      </w:r>
      <w:proofErr w:type="spellEnd"/>
      <w:r w:rsidR="005E6FC4">
        <w:t>, 20</w:t>
      </w:r>
      <w:r w:rsidR="002B42CE">
        <w:t>20</w:t>
      </w:r>
      <w:r w:rsidR="005E6FC4">
        <w:t xml:space="preserve">).  </w:t>
      </w:r>
      <w:r w:rsidR="001E7AE3">
        <w:t>Cognitive fusion</w:t>
      </w:r>
      <w:r w:rsidR="00C74B22">
        <w:t xml:space="preserve"> may</w:t>
      </w:r>
      <w:r w:rsidR="00333FB5">
        <w:t>,</w:t>
      </w:r>
      <w:r w:rsidR="004D46F6">
        <w:t xml:space="preserve"> </w:t>
      </w:r>
      <w:r w:rsidR="00333FB5">
        <w:t xml:space="preserve">therefore, </w:t>
      </w:r>
      <w:r w:rsidR="00C74B22">
        <w:t xml:space="preserve">be a key </w:t>
      </w:r>
      <w:r w:rsidR="0010113C">
        <w:t xml:space="preserve">psychological </w:t>
      </w:r>
      <w:r w:rsidR="00C74B22">
        <w:t>mechanism contributing to cannabis-related psychosis</w:t>
      </w:r>
      <w:r w:rsidR="004D46F6">
        <w:t xml:space="preserve">, </w:t>
      </w:r>
      <w:r w:rsidR="00B3450A">
        <w:t>though</w:t>
      </w:r>
      <w:r w:rsidR="004D46F6">
        <w:t xml:space="preserve"> this has not yet been tested during acute intoxication.</w:t>
      </w:r>
      <w:r w:rsidR="00F3148F">
        <w:t xml:space="preserve">  </w:t>
      </w:r>
    </w:p>
    <w:p w14:paraId="7AC9B5BA" w14:textId="7A35F582" w:rsidR="00033FA0" w:rsidRPr="00C751C3" w:rsidRDefault="00894576" w:rsidP="00F92298">
      <w:pPr>
        <w:widowControl w:val="0"/>
        <w:spacing w:after="120" w:line="480" w:lineRule="auto"/>
        <w:jc w:val="both"/>
      </w:pPr>
      <w:r>
        <w:t>In the present study,</w:t>
      </w:r>
      <w:r w:rsidR="00F3148F" w:rsidRPr="00F3148F">
        <w:t xml:space="preserve"> we </w:t>
      </w:r>
      <w:r w:rsidR="00F3148F">
        <w:t>examine</w:t>
      </w:r>
      <w:r w:rsidR="003D5984">
        <w:t>d</w:t>
      </w:r>
      <w:r w:rsidR="00F3148F">
        <w:t xml:space="preserve"> the </w:t>
      </w:r>
      <w:r>
        <w:t xml:space="preserve">impact of developmental trauma, schizotypy and cognitive fusion on </w:t>
      </w:r>
      <w:r w:rsidRPr="00BA3B17">
        <w:t xml:space="preserve">psychotic experiences </w:t>
      </w:r>
      <w:r>
        <w:t xml:space="preserve">during acute intoxication, and </w:t>
      </w:r>
      <w:r w:rsidR="00B94C80">
        <w:t xml:space="preserve">secondly, </w:t>
      </w:r>
      <w:r>
        <w:t xml:space="preserve">the </w:t>
      </w:r>
      <w:r w:rsidR="00F3148F">
        <w:t xml:space="preserve">role of cognitive fusion </w:t>
      </w:r>
      <w:r w:rsidR="003D5984">
        <w:t xml:space="preserve">in </w:t>
      </w:r>
      <w:r w:rsidR="00B94C80">
        <w:t xml:space="preserve">the impact of the two risk factors.  </w:t>
      </w:r>
      <w:r w:rsidR="0010113C">
        <w:t>In a cannabis</w:t>
      </w:r>
      <w:r w:rsidR="00227B7F">
        <w:t>-</w:t>
      </w:r>
      <w:r w:rsidR="0010113C">
        <w:t>using sample, w</w:t>
      </w:r>
      <w:r w:rsidR="00360E8E">
        <w:t xml:space="preserve">e hypothesised that </w:t>
      </w:r>
      <w:r w:rsidR="00BA3B17">
        <w:t>(</w:t>
      </w:r>
      <w:proofErr w:type="spellStart"/>
      <w:r w:rsidR="00BA3B17">
        <w:t>i</w:t>
      </w:r>
      <w:proofErr w:type="spellEnd"/>
      <w:r w:rsidR="00BA3B17">
        <w:t xml:space="preserve">) developmental trauma, schizotypy and cognitive fusion will be associated with increased </w:t>
      </w:r>
      <w:r w:rsidR="00BA3B17" w:rsidRPr="00BA3B17">
        <w:t>psychotic experiences during THC intoxication</w:t>
      </w:r>
      <w:r w:rsidR="00BA3B17">
        <w:t xml:space="preserve">, and (ii) </w:t>
      </w:r>
      <w:r w:rsidR="001E7AE3">
        <w:t>cognitive fusion</w:t>
      </w:r>
      <w:r w:rsidR="00360E8E" w:rsidRPr="00621253">
        <w:t xml:space="preserve"> </w:t>
      </w:r>
      <w:r w:rsidR="00360E8E">
        <w:t>w</w:t>
      </w:r>
      <w:r w:rsidR="00BA3B17">
        <w:t xml:space="preserve">ill </w:t>
      </w:r>
      <w:r w:rsidR="002F2CD0">
        <w:t xml:space="preserve">account for the impact of </w:t>
      </w:r>
      <w:r w:rsidR="003D5984">
        <w:t>developmental trauma</w:t>
      </w:r>
      <w:r w:rsidR="002F2CD0">
        <w:t xml:space="preserve"> </w:t>
      </w:r>
      <w:r w:rsidR="00C74B22">
        <w:t>and</w:t>
      </w:r>
      <w:r w:rsidR="00360E8E">
        <w:t xml:space="preserve"> schizotypy on psychotic experience</w:t>
      </w:r>
      <w:r w:rsidR="00BF789E">
        <w:t>s</w:t>
      </w:r>
      <w:r w:rsidR="00360E8E">
        <w:t xml:space="preserve"> during intoxication.</w:t>
      </w:r>
    </w:p>
    <w:p w14:paraId="67D00117" w14:textId="77777777" w:rsidR="00033FA0" w:rsidRDefault="00033FA0" w:rsidP="00EF464E">
      <w:pPr>
        <w:spacing w:after="120" w:line="480" w:lineRule="auto"/>
        <w:jc w:val="both"/>
        <w:rPr>
          <w:b/>
        </w:rPr>
      </w:pPr>
    </w:p>
    <w:p w14:paraId="3AC47944" w14:textId="77777777" w:rsidR="00FD7A2E" w:rsidRDefault="00FD7A2E" w:rsidP="00EF464E">
      <w:pPr>
        <w:spacing w:after="120" w:line="480" w:lineRule="auto"/>
        <w:jc w:val="both"/>
        <w:rPr>
          <w:b/>
        </w:rPr>
      </w:pPr>
    </w:p>
    <w:p w14:paraId="47279CED" w14:textId="4019D9C7" w:rsidR="00482D91" w:rsidRPr="00033FA0" w:rsidRDefault="004E59D9" w:rsidP="00EF464E">
      <w:pPr>
        <w:spacing w:after="120" w:line="480" w:lineRule="auto"/>
        <w:jc w:val="both"/>
      </w:pPr>
      <w:r>
        <w:rPr>
          <w:b/>
        </w:rPr>
        <w:t>M</w:t>
      </w:r>
      <w:r w:rsidR="00126925">
        <w:rPr>
          <w:b/>
        </w:rPr>
        <w:t>aterials and m</w:t>
      </w:r>
      <w:r w:rsidR="00482D91" w:rsidRPr="00B065FC">
        <w:rPr>
          <w:b/>
        </w:rPr>
        <w:t>ethod</w:t>
      </w:r>
      <w:r w:rsidR="00126925">
        <w:rPr>
          <w:b/>
        </w:rPr>
        <w:t>s</w:t>
      </w:r>
    </w:p>
    <w:p w14:paraId="1EDD66F7" w14:textId="4CB9B7E6" w:rsidR="004E59D9" w:rsidRPr="004E59D9" w:rsidRDefault="004E59D9" w:rsidP="00EF464E">
      <w:pPr>
        <w:widowControl w:val="0"/>
        <w:spacing w:after="120" w:line="480" w:lineRule="auto"/>
        <w:jc w:val="both"/>
        <w:rPr>
          <w:b/>
          <w:bCs/>
          <w:i/>
          <w:iCs/>
        </w:rPr>
      </w:pPr>
      <w:r w:rsidRPr="004E59D9">
        <w:rPr>
          <w:b/>
          <w:bCs/>
          <w:i/>
          <w:iCs/>
        </w:rPr>
        <w:t>Ethical statement</w:t>
      </w:r>
    </w:p>
    <w:p w14:paraId="3E1E5692" w14:textId="47507DC4" w:rsidR="000E62BF" w:rsidRPr="00EF464E" w:rsidRDefault="00902337" w:rsidP="00EF464E">
      <w:pPr>
        <w:widowControl w:val="0"/>
        <w:spacing w:after="120" w:line="480" w:lineRule="auto"/>
        <w:jc w:val="both"/>
      </w:pPr>
      <w:r>
        <w:t xml:space="preserve">The study </w:t>
      </w:r>
      <w:r w:rsidRPr="00902337">
        <w:t xml:space="preserve">was </w:t>
      </w:r>
      <w:r w:rsidR="00EF464E" w:rsidRPr="00EF464E">
        <w:t xml:space="preserve">approved by the </w:t>
      </w:r>
      <w:r w:rsidR="00C937BC">
        <w:t>University of –</w:t>
      </w:r>
      <w:r w:rsidR="00EF464E">
        <w:t xml:space="preserve"> (r</w:t>
      </w:r>
      <w:r w:rsidR="00EF464E" w:rsidRPr="00EF464E">
        <w:t xml:space="preserve">eference 3325/002) and </w:t>
      </w:r>
      <w:r w:rsidR="00EF464E">
        <w:t xml:space="preserve">University of </w:t>
      </w:r>
      <w:r w:rsidR="00C937BC">
        <w:t>–</w:t>
      </w:r>
      <w:r w:rsidR="00EF464E">
        <w:t xml:space="preserve"> (reference </w:t>
      </w:r>
      <w:r w:rsidR="0069577B">
        <w:t>25242</w:t>
      </w:r>
      <w:r w:rsidR="00EF464E">
        <w:t>)</w:t>
      </w:r>
      <w:r w:rsidR="00C751C3" w:rsidRPr="00C751C3">
        <w:t xml:space="preserve"> </w:t>
      </w:r>
      <w:r w:rsidR="00C751C3">
        <w:t>Research Ethics Committees</w:t>
      </w:r>
      <w:r w:rsidR="00151FC7">
        <w:rPr>
          <w:rStyle w:val="FootnoteReference"/>
        </w:rPr>
        <w:footnoteReference w:id="2"/>
      </w:r>
      <w:r w:rsidRPr="00902337">
        <w:t>.</w:t>
      </w:r>
      <w:r>
        <w:t xml:space="preserve">  </w:t>
      </w:r>
      <w:r w:rsidR="00EF464E">
        <w:t>P</w:t>
      </w:r>
      <w:r w:rsidR="0069577B">
        <w:t xml:space="preserve">articipants </w:t>
      </w:r>
      <w:r w:rsidR="00EF464E" w:rsidRPr="00EF464E">
        <w:t xml:space="preserve">received a small </w:t>
      </w:r>
      <w:r w:rsidR="00842D9B">
        <w:t>payment</w:t>
      </w:r>
      <w:r w:rsidR="00EF464E" w:rsidRPr="00EF464E">
        <w:t xml:space="preserve"> </w:t>
      </w:r>
      <w:r w:rsidR="00EF464E">
        <w:t>for their time.</w:t>
      </w:r>
    </w:p>
    <w:p w14:paraId="1A380063" w14:textId="6F57B559" w:rsidR="00EF464E" w:rsidRPr="00EF464E" w:rsidRDefault="00EF464E" w:rsidP="00EF464E">
      <w:pPr>
        <w:widowControl w:val="0"/>
        <w:spacing w:after="120" w:line="480" w:lineRule="auto"/>
        <w:jc w:val="both"/>
        <w:rPr>
          <w:b/>
          <w:i/>
        </w:rPr>
      </w:pPr>
      <w:r w:rsidRPr="00EF464E">
        <w:rPr>
          <w:b/>
          <w:i/>
        </w:rPr>
        <w:t>Design</w:t>
      </w:r>
    </w:p>
    <w:p w14:paraId="29B582B4" w14:textId="75F591EE" w:rsidR="000E62BF" w:rsidRPr="00EF464E" w:rsidRDefault="00EF464E" w:rsidP="00A420B0">
      <w:pPr>
        <w:widowControl w:val="0"/>
        <w:spacing w:after="120" w:line="480" w:lineRule="auto"/>
        <w:jc w:val="both"/>
      </w:pPr>
      <w:r w:rsidRPr="00EF464E">
        <w:t>We used a within-</w:t>
      </w:r>
      <w:r>
        <w:t>participants</w:t>
      </w:r>
      <w:r w:rsidR="00F64EC4">
        <w:t>, double-blind</w:t>
      </w:r>
      <w:r w:rsidRPr="00EF464E">
        <w:t xml:space="preserve">, </w:t>
      </w:r>
      <w:r w:rsidR="00F64EC4">
        <w:t xml:space="preserve">randomised </w:t>
      </w:r>
      <w:r w:rsidRPr="00EF464E">
        <w:t>cross</w:t>
      </w:r>
      <w:r w:rsidR="007E0A66">
        <w:t>-</w:t>
      </w:r>
      <w:r w:rsidRPr="00EF464E">
        <w:t xml:space="preserve">over design. </w:t>
      </w:r>
      <w:r>
        <w:t xml:space="preserve"> </w:t>
      </w:r>
      <w:r w:rsidRPr="00EF464E">
        <w:t xml:space="preserve">Participants </w:t>
      </w:r>
      <w:r w:rsidR="007C36C2">
        <w:t xml:space="preserve">attended on two occasions and </w:t>
      </w:r>
      <w:r>
        <w:t xml:space="preserve">were administered </w:t>
      </w:r>
      <w:r w:rsidRPr="00EF464E">
        <w:t xml:space="preserve">either </w:t>
      </w:r>
      <w:r w:rsidR="00606ED0">
        <w:t>oral THC (</w:t>
      </w:r>
      <w:r w:rsidRPr="00EF464E">
        <w:t>15mg</w:t>
      </w:r>
      <w:r w:rsidR="00606ED0">
        <w:t xml:space="preserve">) or placebo. </w:t>
      </w:r>
      <w:r w:rsidR="007C36C2">
        <w:t xml:space="preserve"> </w:t>
      </w:r>
      <w:r w:rsidR="006722C3">
        <w:t xml:space="preserve">This dose </w:t>
      </w:r>
      <w:r w:rsidRPr="00EF464E">
        <w:t xml:space="preserve">is </w:t>
      </w:r>
      <w:r w:rsidR="00606ED0">
        <w:t xml:space="preserve">well </w:t>
      </w:r>
      <w:r w:rsidRPr="00EF464E">
        <w:t>tolerated and elicit</w:t>
      </w:r>
      <w:r w:rsidR="00F64EC4">
        <w:t>s</w:t>
      </w:r>
      <w:r w:rsidRPr="00EF464E">
        <w:t xml:space="preserve"> </w:t>
      </w:r>
      <w:r w:rsidR="00D2486B">
        <w:t>transient psychotic</w:t>
      </w:r>
      <w:r w:rsidR="008D11D7">
        <w:t xml:space="preserve"> experience</w:t>
      </w:r>
      <w:r w:rsidR="00BF789E">
        <w:t>s</w:t>
      </w:r>
      <w:r w:rsidR="006722C3">
        <w:t xml:space="preserve"> in cannabis</w:t>
      </w:r>
      <w:r w:rsidR="00C05487">
        <w:t>-</w:t>
      </w:r>
      <w:r w:rsidR="006722C3">
        <w:t>users</w:t>
      </w:r>
      <w:r w:rsidR="008D11D7">
        <w:t>,</w:t>
      </w:r>
      <w:r w:rsidR="00606ED0">
        <w:t xml:space="preserve"> with a </w:t>
      </w:r>
      <w:r w:rsidRPr="00EF464E">
        <w:t xml:space="preserve">peak effect two hours </w:t>
      </w:r>
      <w:r w:rsidR="008D11D7">
        <w:t>after</w:t>
      </w:r>
      <w:r w:rsidR="007C36C2">
        <w:t xml:space="preserve"> </w:t>
      </w:r>
      <w:r w:rsidRPr="00EF464E">
        <w:t>administration</w:t>
      </w:r>
      <w:r w:rsidR="00F64EC4">
        <w:t xml:space="preserve"> (</w:t>
      </w:r>
      <w:r w:rsidR="0080099D">
        <w:rPr>
          <w:rFonts w:asciiTheme="majorBidi" w:hAnsiTheme="majorBidi" w:cstheme="majorBidi"/>
        </w:rPr>
        <w:t xml:space="preserve">Curran, Brignell, Fletcher, Middleton, </w:t>
      </w:r>
      <w:r w:rsidR="00151FC7">
        <w:rPr>
          <w:rFonts w:asciiTheme="majorBidi" w:hAnsiTheme="majorBidi" w:cstheme="majorBidi"/>
        </w:rPr>
        <w:t>&amp;</w:t>
      </w:r>
      <w:r w:rsidR="0080099D">
        <w:rPr>
          <w:rFonts w:asciiTheme="majorBidi" w:hAnsiTheme="majorBidi" w:cstheme="majorBidi"/>
        </w:rPr>
        <w:t xml:space="preserve"> Henry,</w:t>
      </w:r>
      <w:r w:rsidR="0080099D" w:rsidRPr="00EF464E">
        <w:t xml:space="preserve"> </w:t>
      </w:r>
      <w:r w:rsidR="00F64EC4" w:rsidRPr="00EF464E">
        <w:t>2002)</w:t>
      </w:r>
      <w:r w:rsidR="00A420B0">
        <w:t>.</w:t>
      </w:r>
    </w:p>
    <w:p w14:paraId="709E9F17" w14:textId="12D50C13" w:rsidR="00EF464E" w:rsidRPr="00606ED0" w:rsidRDefault="00606ED0" w:rsidP="00EF464E">
      <w:pPr>
        <w:widowControl w:val="0"/>
        <w:spacing w:after="120" w:line="480" w:lineRule="auto"/>
        <w:jc w:val="both"/>
        <w:rPr>
          <w:b/>
          <w:i/>
        </w:rPr>
      </w:pPr>
      <w:r>
        <w:rPr>
          <w:b/>
          <w:i/>
        </w:rPr>
        <w:t>Participants</w:t>
      </w:r>
    </w:p>
    <w:p w14:paraId="02C2D78E" w14:textId="07D4086E" w:rsidR="004A51D5" w:rsidRDefault="003D5984" w:rsidP="00842D9B">
      <w:pPr>
        <w:widowControl w:val="0"/>
        <w:spacing w:after="120" w:line="480" w:lineRule="auto"/>
        <w:jc w:val="both"/>
      </w:pPr>
      <w:r>
        <w:t>Twenty participants (10 male</w:t>
      </w:r>
      <w:r w:rsidR="00CC14A1">
        <w:t>,</w:t>
      </w:r>
      <w:r>
        <w:t xml:space="preserve"> </w:t>
      </w:r>
      <w:r w:rsidR="001A1910">
        <w:t xml:space="preserve">10 </w:t>
      </w:r>
      <w:proofErr w:type="gramStart"/>
      <w:r>
        <w:t>female</w:t>
      </w:r>
      <w:proofErr w:type="gramEnd"/>
      <w:r w:rsidR="00641A38">
        <w:t>; age range 19-35</w:t>
      </w:r>
      <w:r>
        <w:t>)</w:t>
      </w:r>
      <w:r w:rsidR="001A1910">
        <w:t xml:space="preserve"> </w:t>
      </w:r>
      <w:r w:rsidR="00606ED0">
        <w:t>wer</w:t>
      </w:r>
      <w:r w:rsidR="00EF464E" w:rsidRPr="00EF464E">
        <w:t xml:space="preserve">e recruited </w:t>
      </w:r>
      <w:r w:rsidR="00606ED0">
        <w:t xml:space="preserve">via </w:t>
      </w:r>
      <w:r w:rsidR="00EF464E" w:rsidRPr="00EF464E">
        <w:t xml:space="preserve">electronic </w:t>
      </w:r>
      <w:r w:rsidR="003365DD">
        <w:t xml:space="preserve">and paper </w:t>
      </w:r>
      <w:r w:rsidR="00EF464E" w:rsidRPr="00EF464E">
        <w:t>advertisement</w:t>
      </w:r>
      <w:r w:rsidR="00BB14CA">
        <w:t>s</w:t>
      </w:r>
      <w:r w:rsidR="00EF464E" w:rsidRPr="00EF464E">
        <w:t xml:space="preserve">. </w:t>
      </w:r>
      <w:r w:rsidR="00BB14CA">
        <w:t xml:space="preserve"> </w:t>
      </w:r>
      <w:r w:rsidR="004A51D5" w:rsidRPr="004A51D5">
        <w:rPr>
          <w:highlight w:val="yellow"/>
        </w:rPr>
        <w:t>Our sample size of n=20 was informed by a previous study administering 15mg oral THC in the laboratory with a sample size of n=15 (Curran et al. 2002).</w:t>
      </w:r>
      <w:r w:rsidR="004A51D5">
        <w:t xml:space="preserve">  </w:t>
      </w:r>
      <w:r w:rsidR="00BB14CA">
        <w:t>El</w:t>
      </w:r>
      <w:r w:rsidR="00EF464E" w:rsidRPr="00EF464E">
        <w:t>igib</w:t>
      </w:r>
      <w:r w:rsidR="00D45293">
        <w:t>ility criteria were</w:t>
      </w:r>
      <w:r w:rsidR="0010113C">
        <w:t>:</w:t>
      </w:r>
      <w:r w:rsidR="00BB14CA">
        <w:t xml:space="preserve"> cannabis </w:t>
      </w:r>
      <w:r w:rsidR="0010113C">
        <w:t xml:space="preserve">use </w:t>
      </w:r>
      <w:r w:rsidR="00BB14CA">
        <w:t xml:space="preserve">on </w:t>
      </w:r>
      <w:r w:rsidR="00BB14CA" w:rsidRPr="00EF464E">
        <w:t xml:space="preserve">at least one previous </w:t>
      </w:r>
      <w:r w:rsidR="00BB14CA">
        <w:t>occasion; 1</w:t>
      </w:r>
      <w:r w:rsidR="00EF464E" w:rsidRPr="00EF464E">
        <w:t>8</w:t>
      </w:r>
      <w:r w:rsidR="00BB14CA">
        <w:t>-70</w:t>
      </w:r>
      <w:r w:rsidR="00EF464E" w:rsidRPr="00EF464E">
        <w:t xml:space="preserve"> years old</w:t>
      </w:r>
      <w:r w:rsidR="00BB14CA">
        <w:t xml:space="preserve">; able to give informed consent; </w:t>
      </w:r>
      <w:r>
        <w:t>fluent</w:t>
      </w:r>
      <w:r w:rsidR="00BB14CA">
        <w:t xml:space="preserve"> </w:t>
      </w:r>
      <w:r w:rsidR="00EF464E" w:rsidRPr="00EF464E">
        <w:t xml:space="preserve">English </w:t>
      </w:r>
      <w:r w:rsidR="001A1910">
        <w:t>(</w:t>
      </w:r>
      <w:r w:rsidR="00BB14CA">
        <w:t>to complete questionnaires</w:t>
      </w:r>
      <w:r w:rsidR="001A1910">
        <w:t>)</w:t>
      </w:r>
      <w:r w:rsidR="00BB14CA">
        <w:t xml:space="preserve">; </w:t>
      </w:r>
      <w:r w:rsidR="00A420B0">
        <w:t xml:space="preserve">body mass index (BMI) </w:t>
      </w:r>
      <w:r w:rsidR="00EF464E" w:rsidRPr="00EF464E">
        <w:t xml:space="preserve">within normal </w:t>
      </w:r>
      <w:r w:rsidR="00D2486B">
        <w:t>limits</w:t>
      </w:r>
      <w:r w:rsidR="00EF464E" w:rsidRPr="00EF464E">
        <w:t xml:space="preserve"> (18.5-24.9</w:t>
      </w:r>
      <w:r w:rsidR="00CC14A1">
        <w:t xml:space="preserve"> </w:t>
      </w:r>
      <w:r w:rsidR="00EF464E" w:rsidRPr="00EF464E">
        <w:t>kgm</w:t>
      </w:r>
      <w:r w:rsidR="00EF464E" w:rsidRPr="003D5984">
        <w:rPr>
          <w:vertAlign w:val="superscript"/>
        </w:rPr>
        <w:t>-2</w:t>
      </w:r>
      <w:r w:rsidR="00EF464E" w:rsidRPr="00EF464E">
        <w:t xml:space="preserve">) </w:t>
      </w:r>
      <w:r w:rsidR="001A1910">
        <w:t>(</w:t>
      </w:r>
      <w:r w:rsidR="00EF464E" w:rsidRPr="00EF464E">
        <w:t>to minimise variation in drug absorption</w:t>
      </w:r>
      <w:r w:rsidR="001A1910">
        <w:t>)</w:t>
      </w:r>
      <w:r w:rsidR="00BB14CA">
        <w:t xml:space="preserve">.  </w:t>
      </w:r>
      <w:r w:rsidR="006B6685">
        <w:t>E</w:t>
      </w:r>
      <w:r w:rsidR="00D45293">
        <w:t>xclusion criteria were:</w:t>
      </w:r>
      <w:r w:rsidR="00EF464E" w:rsidRPr="00EF464E">
        <w:t xml:space="preserve"> current or </w:t>
      </w:r>
      <w:r w:rsidR="00BB14CA">
        <w:t>past</w:t>
      </w:r>
      <w:r w:rsidR="00EF464E" w:rsidRPr="00EF464E">
        <w:t xml:space="preserve"> </w:t>
      </w:r>
      <w:r w:rsidR="003365DD">
        <w:t>mental illness</w:t>
      </w:r>
      <w:r w:rsidR="00EF464E" w:rsidRPr="00EF464E">
        <w:t>; history of mental ill</w:t>
      </w:r>
      <w:r w:rsidR="00BB14CA">
        <w:t>ness</w:t>
      </w:r>
      <w:r w:rsidR="00EF464E" w:rsidRPr="00EF464E">
        <w:t xml:space="preserve"> in first degree relatives; current use of cannabis more than once a week</w:t>
      </w:r>
      <w:r w:rsidR="001A1910">
        <w:t>;</w:t>
      </w:r>
      <w:r w:rsidR="00EF464E" w:rsidRPr="00EF464E">
        <w:t xml:space="preserve"> </w:t>
      </w:r>
      <w:r w:rsidR="001A1910">
        <w:t>current use of</w:t>
      </w:r>
      <w:r w:rsidR="00EF464E" w:rsidRPr="00EF464E">
        <w:t xml:space="preserve"> other </w:t>
      </w:r>
      <w:r>
        <w:t>recreational</w:t>
      </w:r>
      <w:r w:rsidR="00EF464E" w:rsidRPr="00EF464E">
        <w:t xml:space="preserve"> drugs</w:t>
      </w:r>
      <w:r>
        <w:t xml:space="preserve"> (excluding caffeine, alcohol and nicotine)</w:t>
      </w:r>
      <w:r w:rsidR="001A1910">
        <w:t xml:space="preserve">; </w:t>
      </w:r>
      <w:r w:rsidR="00EF464E" w:rsidRPr="00EF464E">
        <w:t xml:space="preserve">alcohol </w:t>
      </w:r>
      <w:r w:rsidR="001A1910">
        <w:t xml:space="preserve">or nicotine </w:t>
      </w:r>
      <w:r w:rsidR="00EF464E" w:rsidRPr="00EF464E">
        <w:t>dependency</w:t>
      </w:r>
      <w:r w:rsidR="001A1910">
        <w:t xml:space="preserve">; </w:t>
      </w:r>
      <w:r w:rsidR="00EF464E" w:rsidRPr="00EF464E">
        <w:t>pregnancy</w:t>
      </w:r>
      <w:r w:rsidR="001A1910">
        <w:t>.</w:t>
      </w:r>
    </w:p>
    <w:p w14:paraId="2579787A" w14:textId="55323908" w:rsidR="003B5146" w:rsidRPr="004A51D5" w:rsidRDefault="00842D9B" w:rsidP="00842D9B">
      <w:pPr>
        <w:widowControl w:val="0"/>
        <w:spacing w:after="120" w:line="480" w:lineRule="auto"/>
        <w:jc w:val="both"/>
      </w:pPr>
      <w:r>
        <w:rPr>
          <w:b/>
          <w:i/>
        </w:rPr>
        <w:t>Measures</w:t>
      </w:r>
    </w:p>
    <w:p w14:paraId="7B1ACD35" w14:textId="5B756AE6" w:rsidR="00842D9B" w:rsidRDefault="0050266C" w:rsidP="00406E60">
      <w:pPr>
        <w:widowControl w:val="0"/>
        <w:spacing w:after="120" w:line="480" w:lineRule="auto"/>
        <w:jc w:val="both"/>
      </w:pPr>
      <w:r>
        <w:t xml:space="preserve">The State Cognitive Fusion Questionnaire (SCFQ; </w:t>
      </w:r>
      <w:proofErr w:type="spellStart"/>
      <w:r w:rsidR="0080099D" w:rsidRPr="00CE0556">
        <w:rPr>
          <w:rFonts w:asciiTheme="majorBidi" w:hAnsiTheme="majorBidi" w:cstheme="majorBidi"/>
        </w:rPr>
        <w:t>Bolderston</w:t>
      </w:r>
      <w:proofErr w:type="spellEnd"/>
      <w:r w:rsidR="0080099D" w:rsidRPr="00CE0556">
        <w:rPr>
          <w:rFonts w:asciiTheme="majorBidi" w:hAnsiTheme="majorBidi" w:cstheme="majorBidi"/>
        </w:rPr>
        <w:t xml:space="preserve">, </w:t>
      </w:r>
      <w:proofErr w:type="spellStart"/>
      <w:r w:rsidR="0080099D" w:rsidRPr="00CE0556">
        <w:rPr>
          <w:rFonts w:asciiTheme="majorBidi" w:hAnsiTheme="majorBidi" w:cstheme="majorBidi"/>
        </w:rPr>
        <w:t>Gillanders</w:t>
      </w:r>
      <w:proofErr w:type="spellEnd"/>
      <w:r w:rsidR="0080099D" w:rsidRPr="00CE0556">
        <w:rPr>
          <w:rFonts w:asciiTheme="majorBidi" w:hAnsiTheme="majorBidi" w:cstheme="majorBidi"/>
        </w:rPr>
        <w:t xml:space="preserve">, Turner, Taylor, </w:t>
      </w:r>
      <w:proofErr w:type="spellStart"/>
      <w:r w:rsidR="0080099D" w:rsidRPr="00CE0556">
        <w:rPr>
          <w:rFonts w:asciiTheme="majorBidi" w:hAnsiTheme="majorBidi" w:cstheme="majorBidi"/>
        </w:rPr>
        <w:t>Ní</w:t>
      </w:r>
      <w:proofErr w:type="spellEnd"/>
      <w:r w:rsidR="0080099D" w:rsidRPr="00CE0556">
        <w:rPr>
          <w:rFonts w:asciiTheme="majorBidi" w:hAnsiTheme="majorBidi" w:cstheme="majorBidi"/>
        </w:rPr>
        <w:t xml:space="preserve"> </w:t>
      </w:r>
      <w:proofErr w:type="spellStart"/>
      <w:r w:rsidR="0080099D" w:rsidRPr="00CE0556">
        <w:rPr>
          <w:rFonts w:asciiTheme="majorBidi" w:hAnsiTheme="majorBidi" w:cstheme="majorBidi"/>
        </w:rPr>
        <w:t>Mhaoileoin</w:t>
      </w:r>
      <w:proofErr w:type="spellEnd"/>
      <w:r w:rsidR="0080099D" w:rsidRPr="00CE0556">
        <w:rPr>
          <w:rFonts w:asciiTheme="majorBidi" w:hAnsiTheme="majorBidi" w:cstheme="majorBidi"/>
        </w:rPr>
        <w:t xml:space="preserve">, </w:t>
      </w:r>
      <w:r w:rsidR="002B42CE">
        <w:rPr>
          <w:rFonts w:asciiTheme="majorBidi" w:hAnsiTheme="majorBidi" w:cstheme="majorBidi"/>
        </w:rPr>
        <w:t>&amp;</w:t>
      </w:r>
      <w:r w:rsidR="0080099D" w:rsidRPr="00CE0556">
        <w:rPr>
          <w:rFonts w:asciiTheme="majorBidi" w:hAnsiTheme="majorBidi" w:cstheme="majorBidi"/>
        </w:rPr>
        <w:t xml:space="preserve"> Coleman, </w:t>
      </w:r>
      <w:r w:rsidR="00407E99">
        <w:t>2018)</w:t>
      </w:r>
      <w:r>
        <w:t xml:space="preserve"> </w:t>
      </w:r>
      <w:r w:rsidR="00DA455F">
        <w:t>is a 7</w:t>
      </w:r>
      <w:r w:rsidR="005B4B76">
        <w:t>-</w:t>
      </w:r>
      <w:r w:rsidR="00BD54CA">
        <w:t xml:space="preserve">item measure of the extent to which people are currently fused with their thoughts.  Items are </w:t>
      </w:r>
      <w:r w:rsidR="00246112">
        <w:t xml:space="preserve">rated </w:t>
      </w:r>
      <w:r w:rsidR="006B6685">
        <w:t xml:space="preserve">on a </w:t>
      </w:r>
      <w:r w:rsidR="00406E60">
        <w:t>7-</w:t>
      </w:r>
      <w:r w:rsidR="006B6685">
        <w:t xml:space="preserve">point scale </w:t>
      </w:r>
      <w:r w:rsidR="00246112">
        <w:t>from ‘</w:t>
      </w:r>
      <w:r w:rsidR="002E6734">
        <w:t>completely untrue</w:t>
      </w:r>
      <w:r w:rsidR="00246112">
        <w:t>’</w:t>
      </w:r>
      <w:r w:rsidR="002E6734">
        <w:t xml:space="preserve"> to </w:t>
      </w:r>
      <w:r w:rsidR="00246112">
        <w:t>‘completely true</w:t>
      </w:r>
      <w:r w:rsidR="002E6734">
        <w:t>.</w:t>
      </w:r>
      <w:r w:rsidR="00246112">
        <w:t>’</w:t>
      </w:r>
      <w:r w:rsidR="002E6734">
        <w:t xml:space="preserve">  The scale has excellent internal reliability </w:t>
      </w:r>
      <w:r w:rsidR="00406E60">
        <w:t>(</w:t>
      </w:r>
      <w:r w:rsidR="002E6734">
        <w:t>alpha</w:t>
      </w:r>
      <w:r w:rsidR="00406E60">
        <w:t>=.95).</w:t>
      </w:r>
    </w:p>
    <w:p w14:paraId="03C973B6" w14:textId="1546210E" w:rsidR="002E6734" w:rsidRDefault="005B4B76" w:rsidP="00406E60">
      <w:pPr>
        <w:widowControl w:val="0"/>
        <w:spacing w:after="120" w:line="480" w:lineRule="auto"/>
        <w:jc w:val="both"/>
      </w:pPr>
      <w:r>
        <w:t xml:space="preserve">The </w:t>
      </w:r>
      <w:r w:rsidR="002E6734" w:rsidRPr="00842D9B">
        <w:t>Psycho</w:t>
      </w:r>
      <w:r w:rsidR="002E6734">
        <w:t xml:space="preserve">tomimetic States Inventory (PSI; </w:t>
      </w:r>
      <w:r w:rsidR="0080099D" w:rsidRPr="00CE0556">
        <w:rPr>
          <w:rFonts w:asciiTheme="majorBidi" w:hAnsiTheme="majorBidi" w:cstheme="majorBidi"/>
        </w:rPr>
        <w:t xml:space="preserve">Mason, Morgan, Stefanovic, </w:t>
      </w:r>
      <w:r w:rsidR="002B42CE">
        <w:rPr>
          <w:rFonts w:asciiTheme="majorBidi" w:hAnsiTheme="majorBidi" w:cstheme="majorBidi"/>
        </w:rPr>
        <w:t>&amp;</w:t>
      </w:r>
      <w:r w:rsidR="0080099D" w:rsidRPr="00CE0556">
        <w:rPr>
          <w:rFonts w:asciiTheme="majorBidi" w:hAnsiTheme="majorBidi" w:cstheme="majorBidi"/>
        </w:rPr>
        <w:t xml:space="preserve"> Curran</w:t>
      </w:r>
      <w:r w:rsidR="0080099D">
        <w:rPr>
          <w:rFonts w:asciiTheme="majorBidi" w:hAnsiTheme="majorBidi" w:cstheme="majorBidi"/>
        </w:rPr>
        <w:t>,</w:t>
      </w:r>
      <w:r w:rsidR="0080099D" w:rsidRPr="00842D9B">
        <w:t xml:space="preserve"> </w:t>
      </w:r>
      <w:r w:rsidR="002E6734" w:rsidRPr="00842D9B">
        <w:t>2008)</w:t>
      </w:r>
      <w:r w:rsidR="002E6734">
        <w:t xml:space="preserve"> </w:t>
      </w:r>
      <w:r>
        <w:t>is a 48-item</w:t>
      </w:r>
      <w:r w:rsidR="00842D9B" w:rsidRPr="00842D9B">
        <w:t xml:space="preserve"> measure </w:t>
      </w:r>
      <w:r>
        <w:t xml:space="preserve">of </w:t>
      </w:r>
      <w:r w:rsidR="002E6734">
        <w:t xml:space="preserve">current </w:t>
      </w:r>
      <w:r w:rsidR="00842D9B" w:rsidRPr="00842D9B">
        <w:t>psychotic-</w:t>
      </w:r>
      <w:r>
        <w:t>type</w:t>
      </w:r>
      <w:r w:rsidR="00842D9B" w:rsidRPr="00842D9B">
        <w:t xml:space="preserve"> </w:t>
      </w:r>
      <w:r w:rsidR="006B6685">
        <w:t>experience</w:t>
      </w:r>
      <w:r w:rsidR="00BF789E">
        <w:t>s</w:t>
      </w:r>
      <w:r w:rsidR="00842D9B" w:rsidRPr="00842D9B">
        <w:t xml:space="preserve">.  </w:t>
      </w:r>
      <w:r w:rsidR="002E6734">
        <w:t>Items are rated on a 4</w:t>
      </w:r>
      <w:r w:rsidR="000775F5">
        <w:t xml:space="preserve">-point scale </w:t>
      </w:r>
      <w:r w:rsidR="002E6734">
        <w:t xml:space="preserve">from </w:t>
      </w:r>
      <w:r w:rsidR="00246112">
        <w:t>‘n</w:t>
      </w:r>
      <w:r w:rsidR="002E6734">
        <w:t>ot at all</w:t>
      </w:r>
      <w:r w:rsidR="00246112">
        <w:t>’</w:t>
      </w:r>
      <w:r w:rsidR="002E6734">
        <w:t xml:space="preserve"> to </w:t>
      </w:r>
      <w:r w:rsidR="00246112">
        <w:t>‘</w:t>
      </w:r>
      <w:r w:rsidR="002E6734">
        <w:t>strongly</w:t>
      </w:r>
      <w:r w:rsidR="00246112">
        <w:t>.’</w:t>
      </w:r>
      <w:r w:rsidR="002E6734">
        <w:t xml:space="preserve"> </w:t>
      </w:r>
      <w:r w:rsidR="004226F6">
        <w:t xml:space="preserve"> </w:t>
      </w:r>
      <w:r w:rsidR="002E6734">
        <w:t>The scale has</w:t>
      </w:r>
      <w:r w:rsidR="00406E60">
        <w:t xml:space="preserve"> good</w:t>
      </w:r>
      <w:r w:rsidR="002E6734">
        <w:t xml:space="preserve"> internal reliability (alpha</w:t>
      </w:r>
      <w:r w:rsidR="00406E60">
        <w:t>=.84).</w:t>
      </w:r>
    </w:p>
    <w:p w14:paraId="53B48110" w14:textId="3F537BA7" w:rsidR="002E6734" w:rsidRDefault="002E6734" w:rsidP="009E6373">
      <w:pPr>
        <w:widowControl w:val="0"/>
        <w:spacing w:after="120" w:line="480" w:lineRule="auto"/>
        <w:jc w:val="both"/>
      </w:pPr>
      <w:r>
        <w:t xml:space="preserve">The </w:t>
      </w:r>
      <w:r w:rsidR="00E66569">
        <w:t>Positive and Negative Symptom Scale (PANSS</w:t>
      </w:r>
      <w:r>
        <w:t xml:space="preserve">; </w:t>
      </w:r>
      <w:r w:rsidR="0080099D" w:rsidRPr="00B709DA">
        <w:rPr>
          <w:rFonts w:asciiTheme="majorBidi" w:hAnsiTheme="majorBidi" w:cstheme="majorBidi"/>
        </w:rPr>
        <w:t xml:space="preserve">Kay, </w:t>
      </w:r>
      <w:proofErr w:type="spellStart"/>
      <w:r w:rsidR="0080099D" w:rsidRPr="00B709DA">
        <w:rPr>
          <w:rFonts w:asciiTheme="majorBidi" w:hAnsiTheme="majorBidi" w:cstheme="majorBidi"/>
        </w:rPr>
        <w:t>Fiszbein</w:t>
      </w:r>
      <w:proofErr w:type="spellEnd"/>
      <w:r w:rsidR="0080099D" w:rsidRPr="00B709DA">
        <w:rPr>
          <w:rFonts w:asciiTheme="majorBidi" w:hAnsiTheme="majorBidi" w:cstheme="majorBidi"/>
        </w:rPr>
        <w:t xml:space="preserve">, </w:t>
      </w:r>
      <w:r w:rsidR="002B42CE">
        <w:rPr>
          <w:rFonts w:asciiTheme="majorBidi" w:hAnsiTheme="majorBidi" w:cstheme="majorBidi"/>
        </w:rPr>
        <w:t>&amp;</w:t>
      </w:r>
      <w:r w:rsidR="0080099D" w:rsidRPr="00B709DA">
        <w:rPr>
          <w:rFonts w:asciiTheme="majorBidi" w:hAnsiTheme="majorBidi" w:cstheme="majorBidi"/>
        </w:rPr>
        <w:t xml:space="preserve"> Doppler,</w:t>
      </w:r>
      <w:r w:rsidR="0080099D">
        <w:rPr>
          <w:rFonts w:asciiTheme="majorBidi" w:hAnsiTheme="majorBidi" w:cstheme="majorBidi"/>
        </w:rPr>
        <w:t xml:space="preserve"> </w:t>
      </w:r>
      <w:r w:rsidR="00E66569">
        <w:t>1987</w:t>
      </w:r>
      <w:r>
        <w:t xml:space="preserve">) is a </w:t>
      </w:r>
      <w:r w:rsidR="00E66569">
        <w:t xml:space="preserve">structured clinical interview of psychotic symptoms.  </w:t>
      </w:r>
      <w:r w:rsidR="00246112">
        <w:t xml:space="preserve">Thirty domains are rated from </w:t>
      </w:r>
      <w:r w:rsidR="009E6373">
        <w:t>‘</w:t>
      </w:r>
      <w:r w:rsidR="00406E60">
        <w:t>absent</w:t>
      </w:r>
      <w:r w:rsidR="009E6373">
        <w:t>’</w:t>
      </w:r>
      <w:r w:rsidR="00246112">
        <w:t xml:space="preserve"> to </w:t>
      </w:r>
      <w:r w:rsidR="009E6373">
        <w:t>‘</w:t>
      </w:r>
      <w:r w:rsidR="00406E60">
        <w:t>extreme</w:t>
      </w:r>
      <w:r w:rsidR="009E6373">
        <w:t>’</w:t>
      </w:r>
      <w:r>
        <w:t xml:space="preserve"> </w:t>
      </w:r>
      <w:r w:rsidR="00BD32D1">
        <w:t xml:space="preserve">yielding three subscales:  positive, negative and general psychopathology.  The scale has </w:t>
      </w:r>
      <w:r w:rsidR="00C85624">
        <w:t xml:space="preserve">acceptable to </w:t>
      </w:r>
      <w:r w:rsidR="00406E60">
        <w:t xml:space="preserve">good </w:t>
      </w:r>
      <w:r w:rsidR="00BD32D1">
        <w:t>i</w:t>
      </w:r>
      <w:r>
        <w:t>nternal reliability</w:t>
      </w:r>
      <w:r w:rsidR="00246112">
        <w:t xml:space="preserve"> (</w:t>
      </w:r>
      <w:r w:rsidR="006B6685">
        <w:t xml:space="preserve">positive </w:t>
      </w:r>
      <w:r w:rsidR="00246112">
        <w:t>alpha</w:t>
      </w:r>
      <w:r w:rsidR="00406E60">
        <w:t>=.73;</w:t>
      </w:r>
      <w:r w:rsidR="00406E60" w:rsidRPr="006B6685">
        <w:t xml:space="preserve"> </w:t>
      </w:r>
      <w:r w:rsidR="006B6685">
        <w:t>negative alpha</w:t>
      </w:r>
      <w:r w:rsidR="00406E60">
        <w:t xml:space="preserve">=.83; </w:t>
      </w:r>
      <w:r w:rsidR="006B6685">
        <w:t>general alpha</w:t>
      </w:r>
      <w:r w:rsidR="00406E60">
        <w:t>=.79).</w:t>
      </w:r>
    </w:p>
    <w:p w14:paraId="31BFEB7A" w14:textId="29292467" w:rsidR="00390D1C" w:rsidRDefault="00390D1C" w:rsidP="001500B5">
      <w:pPr>
        <w:widowControl w:val="0"/>
        <w:spacing w:after="120" w:line="480" w:lineRule="auto"/>
        <w:jc w:val="both"/>
      </w:pPr>
      <w:r>
        <w:t>The Childhood Trauma Questionnaire</w:t>
      </w:r>
      <w:r w:rsidR="009E6373">
        <w:t>-Short Form</w:t>
      </w:r>
      <w:r>
        <w:t xml:space="preserve"> (CTQ</w:t>
      </w:r>
      <w:r w:rsidR="009E6373">
        <w:t>-</w:t>
      </w:r>
      <w:r w:rsidR="0035132B">
        <w:t xml:space="preserve">SF; </w:t>
      </w:r>
      <w:proofErr w:type="spellStart"/>
      <w:r w:rsidR="0080099D">
        <w:rPr>
          <w:rFonts w:asciiTheme="majorBidi" w:hAnsiTheme="majorBidi" w:cstheme="majorBidi"/>
        </w:rPr>
        <w:t>Spinhoven</w:t>
      </w:r>
      <w:proofErr w:type="spellEnd"/>
      <w:r w:rsidR="0080099D">
        <w:rPr>
          <w:rFonts w:asciiTheme="majorBidi" w:hAnsiTheme="majorBidi" w:cstheme="majorBidi"/>
        </w:rPr>
        <w:t xml:space="preserve">, </w:t>
      </w:r>
      <w:proofErr w:type="spellStart"/>
      <w:r w:rsidR="0080099D">
        <w:rPr>
          <w:rFonts w:asciiTheme="majorBidi" w:hAnsiTheme="majorBidi" w:cstheme="majorBidi"/>
        </w:rPr>
        <w:t>Penninx</w:t>
      </w:r>
      <w:proofErr w:type="spellEnd"/>
      <w:r w:rsidR="0080099D">
        <w:rPr>
          <w:rFonts w:asciiTheme="majorBidi" w:hAnsiTheme="majorBidi" w:cstheme="majorBidi"/>
        </w:rPr>
        <w:t xml:space="preserve">, </w:t>
      </w:r>
      <w:proofErr w:type="spellStart"/>
      <w:r w:rsidR="0080099D">
        <w:rPr>
          <w:rFonts w:asciiTheme="majorBidi" w:hAnsiTheme="majorBidi" w:cstheme="majorBidi"/>
        </w:rPr>
        <w:t>Hickendorff</w:t>
      </w:r>
      <w:proofErr w:type="spellEnd"/>
      <w:r w:rsidR="0080099D">
        <w:rPr>
          <w:rFonts w:asciiTheme="majorBidi" w:hAnsiTheme="majorBidi" w:cstheme="majorBidi"/>
        </w:rPr>
        <w:t xml:space="preserve">, </w:t>
      </w:r>
      <w:r w:rsidR="002B42CE">
        <w:rPr>
          <w:rFonts w:asciiTheme="majorBidi" w:hAnsiTheme="majorBidi" w:cstheme="majorBidi"/>
        </w:rPr>
        <w:t>&amp;</w:t>
      </w:r>
      <w:r w:rsidR="0080099D">
        <w:rPr>
          <w:rFonts w:asciiTheme="majorBidi" w:hAnsiTheme="majorBidi" w:cstheme="majorBidi"/>
        </w:rPr>
        <w:t xml:space="preserve"> </w:t>
      </w:r>
      <w:proofErr w:type="spellStart"/>
      <w:r w:rsidR="0080099D">
        <w:rPr>
          <w:rFonts w:asciiTheme="majorBidi" w:hAnsiTheme="majorBidi" w:cstheme="majorBidi"/>
        </w:rPr>
        <w:t>Hemert</w:t>
      </w:r>
      <w:proofErr w:type="spellEnd"/>
      <w:r w:rsidR="0080099D">
        <w:t xml:space="preserve">, </w:t>
      </w:r>
      <w:r w:rsidR="0035132B">
        <w:t xml:space="preserve">2014) is a 25-item retrospective measure </w:t>
      </w:r>
      <w:r w:rsidR="00CC14A1">
        <w:t>of</w:t>
      </w:r>
      <w:r w:rsidR="0035132B">
        <w:t xml:space="preserve"> five types of maltreatment</w:t>
      </w:r>
      <w:r w:rsidR="000F5C90" w:rsidRPr="000F5C90">
        <w:rPr>
          <w:highlight w:val="yellow"/>
        </w:rPr>
        <w:t>:  physical abuse, sexual abuse, emotional abuse, physical neglect, emotional neglect</w:t>
      </w:r>
      <w:r w:rsidR="0035132B">
        <w:t>.</w:t>
      </w:r>
      <w:r w:rsidR="00B3450A">
        <w:t xml:space="preserve"> </w:t>
      </w:r>
      <w:r w:rsidR="0035132B">
        <w:t xml:space="preserve"> Items are scored on a 5-point scale from </w:t>
      </w:r>
      <w:r w:rsidR="00B3450A">
        <w:t>‘</w:t>
      </w:r>
      <w:r w:rsidR="0035132B">
        <w:t>never true</w:t>
      </w:r>
      <w:r w:rsidR="00B3450A">
        <w:t>’</w:t>
      </w:r>
      <w:r w:rsidR="0035132B">
        <w:t xml:space="preserve"> to </w:t>
      </w:r>
      <w:r w:rsidR="00B3450A">
        <w:t>‘</w:t>
      </w:r>
      <w:r w:rsidR="0035132B">
        <w:t>very often true</w:t>
      </w:r>
      <w:r w:rsidR="00EC7033">
        <w:t>.</w:t>
      </w:r>
      <w:r w:rsidR="00B3450A">
        <w:t xml:space="preserve">’ </w:t>
      </w:r>
      <w:r w:rsidR="00EC7033">
        <w:t xml:space="preserve"> The scale has </w:t>
      </w:r>
      <w:r w:rsidR="007C4C76">
        <w:t>acceptable to excellent</w:t>
      </w:r>
      <w:r w:rsidR="00B3450A">
        <w:t xml:space="preserve"> </w:t>
      </w:r>
      <w:r w:rsidR="00EC7033">
        <w:t>internal reliability</w:t>
      </w:r>
      <w:r w:rsidR="00420690">
        <w:t xml:space="preserve"> </w:t>
      </w:r>
      <w:r w:rsidR="001500B5">
        <w:t>(</w:t>
      </w:r>
      <w:r w:rsidR="007C4C76">
        <w:t>alpha</w:t>
      </w:r>
      <w:r w:rsidR="00301692">
        <w:t>s</w:t>
      </w:r>
      <w:r w:rsidR="007C4C76">
        <w:t>=.61-.95).</w:t>
      </w:r>
    </w:p>
    <w:p w14:paraId="259296AC" w14:textId="68EC4D79" w:rsidR="000E62BF" w:rsidRDefault="00FA28E1" w:rsidP="008C0CA7">
      <w:pPr>
        <w:widowControl w:val="0"/>
        <w:spacing w:after="120" w:line="480" w:lineRule="auto"/>
        <w:jc w:val="both"/>
      </w:pPr>
      <w:r>
        <w:t xml:space="preserve">The </w:t>
      </w:r>
      <w:r w:rsidRPr="00FA28E1">
        <w:t>Oxford-Liverpool Inventory of Feelings and Experiences (O-LIFE</w:t>
      </w:r>
      <w:r>
        <w:t xml:space="preserve">; </w:t>
      </w:r>
      <w:r w:rsidR="0080099D" w:rsidRPr="00420690">
        <w:rPr>
          <w:rFonts w:asciiTheme="majorBidi" w:hAnsiTheme="majorBidi" w:cstheme="majorBidi"/>
        </w:rPr>
        <w:t xml:space="preserve">Mason, </w:t>
      </w:r>
      <w:proofErr w:type="spellStart"/>
      <w:r w:rsidR="0080099D" w:rsidRPr="00420690">
        <w:rPr>
          <w:rFonts w:asciiTheme="majorBidi" w:hAnsiTheme="majorBidi" w:cstheme="majorBidi"/>
        </w:rPr>
        <w:t>Linney</w:t>
      </w:r>
      <w:proofErr w:type="spellEnd"/>
      <w:r w:rsidR="0080099D" w:rsidRPr="00420690">
        <w:rPr>
          <w:rFonts w:asciiTheme="majorBidi" w:hAnsiTheme="majorBidi" w:cstheme="majorBidi"/>
        </w:rPr>
        <w:t xml:space="preserve">, </w:t>
      </w:r>
      <w:r w:rsidR="002B42CE">
        <w:rPr>
          <w:rFonts w:asciiTheme="majorBidi" w:hAnsiTheme="majorBidi" w:cstheme="majorBidi"/>
        </w:rPr>
        <w:t>&amp;</w:t>
      </w:r>
      <w:r w:rsidR="0080099D">
        <w:rPr>
          <w:rFonts w:asciiTheme="majorBidi" w:hAnsiTheme="majorBidi" w:cstheme="majorBidi"/>
        </w:rPr>
        <w:t xml:space="preserve"> </w:t>
      </w:r>
      <w:r w:rsidR="0080099D" w:rsidRPr="00420690">
        <w:rPr>
          <w:rFonts w:asciiTheme="majorBidi" w:hAnsiTheme="majorBidi" w:cstheme="majorBidi"/>
        </w:rPr>
        <w:t>Claridge,</w:t>
      </w:r>
      <w:r w:rsidR="0080099D">
        <w:rPr>
          <w:rFonts w:asciiTheme="majorBidi" w:hAnsiTheme="majorBidi" w:cstheme="majorBidi"/>
        </w:rPr>
        <w:t xml:space="preserve"> </w:t>
      </w:r>
      <w:r w:rsidR="00E33CE2">
        <w:t>2005)</w:t>
      </w:r>
      <w:r w:rsidR="007E66F2">
        <w:t xml:space="preserve"> is a 104-item</w:t>
      </w:r>
      <w:r w:rsidR="007E66F2" w:rsidRPr="00842D9B">
        <w:t xml:space="preserve"> measure </w:t>
      </w:r>
      <w:r w:rsidR="007E66F2">
        <w:t>of schizotypy</w:t>
      </w:r>
      <w:r w:rsidR="001B780B" w:rsidRPr="001B780B">
        <w:t>.</w:t>
      </w:r>
      <w:r w:rsidR="007E66F2" w:rsidRPr="00842D9B">
        <w:t xml:space="preserve">  </w:t>
      </w:r>
      <w:r w:rsidR="007E66F2">
        <w:t>Items are</w:t>
      </w:r>
      <w:r w:rsidR="009E6373">
        <w:t xml:space="preserve"> answered ‘yes’ or ‘no</w:t>
      </w:r>
      <w:r w:rsidR="00A420B0">
        <w:t>.</w:t>
      </w:r>
      <w:r w:rsidR="009E6373">
        <w:t>’</w:t>
      </w:r>
      <w:r w:rsidR="008C0CA7">
        <w:t xml:space="preserve">  </w:t>
      </w:r>
      <w:r w:rsidR="007C4C76">
        <w:t xml:space="preserve">The </w:t>
      </w:r>
      <w:r w:rsidR="007C4C76" w:rsidRPr="007C4C76">
        <w:t xml:space="preserve">scale has acceptable to </w:t>
      </w:r>
      <w:r w:rsidR="007C4C76">
        <w:t>good</w:t>
      </w:r>
      <w:r w:rsidR="007C4C76" w:rsidRPr="007C4C76">
        <w:t xml:space="preserve"> internal reliability (</w:t>
      </w:r>
      <w:r w:rsidR="007C4C76">
        <w:t>alpha</w:t>
      </w:r>
      <w:r w:rsidR="00301692">
        <w:t>s</w:t>
      </w:r>
      <w:r w:rsidR="007C4C76">
        <w:t>=.62-.80).</w:t>
      </w:r>
    </w:p>
    <w:p w14:paraId="41D73AA7" w14:textId="45ABA2E9" w:rsidR="00BB14CA" w:rsidRPr="00D928AA" w:rsidRDefault="00BB14CA" w:rsidP="00A420B0">
      <w:pPr>
        <w:widowControl w:val="0"/>
        <w:spacing w:after="120" w:line="480" w:lineRule="auto"/>
        <w:jc w:val="both"/>
        <w:rPr>
          <w:b/>
          <w:i/>
        </w:rPr>
      </w:pPr>
      <w:r w:rsidRPr="00D928AA">
        <w:rPr>
          <w:b/>
          <w:i/>
        </w:rPr>
        <w:t>Procedure</w:t>
      </w:r>
    </w:p>
    <w:p w14:paraId="513624E3" w14:textId="7EF20674" w:rsidR="004A51D5" w:rsidRDefault="00D928AA" w:rsidP="00B83E49">
      <w:pPr>
        <w:widowControl w:val="0"/>
        <w:spacing w:after="120" w:line="480" w:lineRule="auto"/>
        <w:jc w:val="both"/>
      </w:pPr>
      <w:r>
        <w:t>P</w:t>
      </w:r>
      <w:r w:rsidR="00BB14CA" w:rsidRPr="00EF464E">
        <w:t xml:space="preserve">articipants </w:t>
      </w:r>
      <w:r w:rsidR="005D4660">
        <w:t>were</w:t>
      </w:r>
      <w:r>
        <w:t xml:space="preserve"> screen</w:t>
      </w:r>
      <w:r w:rsidR="005D4660">
        <w:t>ed</w:t>
      </w:r>
      <w:r w:rsidR="00BB14CA" w:rsidRPr="00EF464E">
        <w:t xml:space="preserve"> to </w:t>
      </w:r>
      <w:r>
        <w:t>confirm eligibility.  Medical procedures (BMI, urinary tests for substances and pregnancy, carbon monoxide test</w:t>
      </w:r>
      <w:r w:rsidR="006B6685">
        <w:t xml:space="preserve"> for nicotine</w:t>
      </w:r>
      <w:r>
        <w:t xml:space="preserve">) </w:t>
      </w:r>
      <w:r w:rsidR="00746C35">
        <w:t xml:space="preserve">and </w:t>
      </w:r>
      <w:r w:rsidR="00746C35" w:rsidRPr="00EF464E">
        <w:t>Structured Clinical Interview</w:t>
      </w:r>
      <w:r w:rsidR="00746C35">
        <w:t>s</w:t>
      </w:r>
      <w:r w:rsidR="00746C35" w:rsidRPr="00EF464E">
        <w:t xml:space="preserve"> for DSM-V </w:t>
      </w:r>
      <w:r w:rsidR="00221101" w:rsidRPr="00221101">
        <w:rPr>
          <w:highlight w:val="yellow"/>
        </w:rPr>
        <w:t>(SCID)</w:t>
      </w:r>
      <w:r w:rsidR="00221101">
        <w:t xml:space="preserve"> </w:t>
      </w:r>
      <w:r>
        <w:t xml:space="preserve">were completed by </w:t>
      </w:r>
      <w:r w:rsidR="007524CB">
        <w:t>trained researchers</w:t>
      </w:r>
      <w:r>
        <w:t xml:space="preserve"> </w:t>
      </w:r>
      <w:r w:rsidR="007524CB">
        <w:t xml:space="preserve">(RL and KP).  </w:t>
      </w:r>
      <w:r w:rsidR="00E576C2" w:rsidRPr="00E576C2">
        <w:rPr>
          <w:highlight w:val="yellow"/>
        </w:rPr>
        <w:t xml:space="preserve">Diagnostic interviews were included as part of the screening process to </w:t>
      </w:r>
      <w:r w:rsidR="00A3549F">
        <w:rPr>
          <w:highlight w:val="yellow"/>
        </w:rPr>
        <w:t>assess</w:t>
      </w:r>
      <w:r w:rsidR="00E576C2" w:rsidRPr="00E576C2">
        <w:rPr>
          <w:highlight w:val="yellow"/>
        </w:rPr>
        <w:t xml:space="preserve"> inclusion and exclusion criteria.  These assessments were done by phone, using the DSM-V SCID for mood disorders, anxiety disorders (screen), psychosis (screen) and substance misuse (screen).</w:t>
      </w:r>
      <w:r w:rsidR="002E2D4F">
        <w:t xml:space="preserve">  </w:t>
      </w:r>
      <w:r w:rsidR="00C751C3">
        <w:t>Those</w:t>
      </w:r>
      <w:r w:rsidR="00D45293">
        <w:t xml:space="preserve"> </w:t>
      </w:r>
      <w:r>
        <w:t xml:space="preserve">eligible were invited to attend two </w:t>
      </w:r>
      <w:r w:rsidR="009A3042">
        <w:t>sessions</w:t>
      </w:r>
      <w:r>
        <w:t xml:space="preserve"> at least one week apart</w:t>
      </w:r>
      <w:r w:rsidR="00C85624">
        <w:t xml:space="preserve">, to complete each arm of the </w:t>
      </w:r>
      <w:r w:rsidR="000215F4">
        <w:t>study</w:t>
      </w:r>
      <w:r>
        <w:t xml:space="preserve">.  </w:t>
      </w:r>
      <w:r w:rsidR="004A51D5" w:rsidRPr="004A51D5">
        <w:rPr>
          <w:highlight w:val="yellow"/>
        </w:rPr>
        <w:t>Participants were required to attend both sessions at – Hospital, starting at 9:00 am, after fasting overnight.  Testing sessions lasted an average of five and a half hours, ending at 14:30 pm.</w:t>
      </w:r>
      <w:r w:rsidR="004A51D5">
        <w:t xml:space="preserve">  </w:t>
      </w:r>
      <w:r w:rsidR="00C751C3">
        <w:t>At</w:t>
      </w:r>
      <w:r w:rsidR="009A3042">
        <w:t xml:space="preserve"> </w:t>
      </w:r>
      <w:r w:rsidR="00390D1C">
        <w:t>the first</w:t>
      </w:r>
      <w:r w:rsidR="000215F4">
        <w:t xml:space="preserve"> session</w:t>
      </w:r>
      <w:r w:rsidR="00C751C3">
        <w:t>,</w:t>
      </w:r>
      <w:r w:rsidR="00390D1C">
        <w:t xml:space="preserve"> </w:t>
      </w:r>
      <w:r w:rsidR="009A3042">
        <w:t>p</w:t>
      </w:r>
      <w:r w:rsidR="00695607">
        <w:t xml:space="preserve">articipants completed the </w:t>
      </w:r>
      <w:r w:rsidR="00246112">
        <w:t>CTQ and O-LIFE</w:t>
      </w:r>
      <w:r w:rsidR="00C85624">
        <w:t>.  T</w:t>
      </w:r>
      <w:r w:rsidR="00390D1C">
        <w:t xml:space="preserve">he PSI and PANSS </w:t>
      </w:r>
      <w:r w:rsidR="006B6685">
        <w:t xml:space="preserve">were completed </w:t>
      </w:r>
      <w:r w:rsidR="00390D1C">
        <w:t>30 minutes befo</w:t>
      </w:r>
      <w:r w:rsidR="00C751C3">
        <w:t>re THC/</w:t>
      </w:r>
      <w:r w:rsidR="00246112">
        <w:t xml:space="preserve">placebo </w:t>
      </w:r>
      <w:r w:rsidR="00390D1C">
        <w:t>an</w:t>
      </w:r>
      <w:r w:rsidR="00246112">
        <w:t xml:space="preserve">d </w:t>
      </w:r>
      <w:r w:rsidR="00246112" w:rsidRPr="00953774">
        <w:t>again 150 minutes after</w:t>
      </w:r>
      <w:r w:rsidR="00C85624" w:rsidRPr="00953774">
        <w:t xml:space="preserve"> administration.  </w:t>
      </w:r>
      <w:r w:rsidR="00953774" w:rsidRPr="000E62BF">
        <w:rPr>
          <w:color w:val="000000"/>
        </w:rPr>
        <w:t xml:space="preserve">Blood samples were taken to determine cannabinoid concentrations (THC and metabolites OH-THC and THC-COOH) </w:t>
      </w:r>
      <w:r w:rsidR="00953774">
        <w:rPr>
          <w:color w:val="000000"/>
        </w:rPr>
        <w:t xml:space="preserve">at </w:t>
      </w:r>
      <w:r w:rsidR="00953774" w:rsidRPr="000E62BF">
        <w:rPr>
          <w:color w:val="000000"/>
        </w:rPr>
        <w:t xml:space="preserve">150 minutes post drug administration. </w:t>
      </w:r>
      <w:r w:rsidR="00D058E4">
        <w:rPr>
          <w:color w:val="000000"/>
        </w:rPr>
        <w:t xml:space="preserve"> </w:t>
      </w:r>
      <w:r w:rsidR="00953774" w:rsidRPr="000E62BF">
        <w:rPr>
          <w:color w:val="000000"/>
        </w:rPr>
        <w:t>Blood samples were</w:t>
      </w:r>
      <w:r w:rsidR="00953774">
        <w:rPr>
          <w:color w:val="000000"/>
        </w:rPr>
        <w:t xml:space="preserve"> collected using a heparin vacutainer and</w:t>
      </w:r>
      <w:r w:rsidR="00953774" w:rsidRPr="000E62BF">
        <w:rPr>
          <w:color w:val="000000"/>
        </w:rPr>
        <w:t xml:space="preserve"> </w:t>
      </w:r>
      <w:r w:rsidR="00953774">
        <w:rPr>
          <w:color w:val="000000"/>
        </w:rPr>
        <w:t xml:space="preserve">immediately </w:t>
      </w:r>
      <w:r w:rsidR="00953774" w:rsidRPr="00953774">
        <w:rPr>
          <w:color w:val="000000"/>
        </w:rPr>
        <w:t xml:space="preserve">centrifuged. </w:t>
      </w:r>
      <w:r w:rsidR="00D058E4">
        <w:rPr>
          <w:color w:val="000000"/>
        </w:rPr>
        <w:t xml:space="preserve"> </w:t>
      </w:r>
      <w:r w:rsidR="00953774" w:rsidRPr="00953774">
        <w:rPr>
          <w:color w:val="000000"/>
        </w:rPr>
        <w:t xml:space="preserve">Plasma samples were </w:t>
      </w:r>
      <w:r w:rsidR="00953774">
        <w:rPr>
          <w:color w:val="000000"/>
        </w:rPr>
        <w:t>stored</w:t>
      </w:r>
      <w:r w:rsidR="00953774" w:rsidRPr="000E62BF">
        <w:rPr>
          <w:color w:val="000000"/>
        </w:rPr>
        <w:t xml:space="preserve"> at -80 °C</w:t>
      </w:r>
      <w:r w:rsidR="00953774">
        <w:rPr>
          <w:color w:val="000000"/>
        </w:rPr>
        <w:t xml:space="preserve"> prior to analysis</w:t>
      </w:r>
      <w:r w:rsidR="00953774" w:rsidRPr="000E62BF">
        <w:rPr>
          <w:color w:val="000000"/>
        </w:rPr>
        <w:t xml:space="preserve">. </w:t>
      </w:r>
      <w:r w:rsidR="00D058E4">
        <w:rPr>
          <w:color w:val="000000"/>
        </w:rPr>
        <w:t xml:space="preserve"> </w:t>
      </w:r>
      <w:r w:rsidR="00953774" w:rsidRPr="000E62BF">
        <w:rPr>
          <w:color w:val="000000"/>
        </w:rPr>
        <w:t xml:space="preserve">Cannabinoid concentrations were determined using </w:t>
      </w:r>
      <w:r w:rsidR="00D058E4">
        <w:rPr>
          <w:color w:val="000000"/>
        </w:rPr>
        <w:t>g</w:t>
      </w:r>
      <w:r w:rsidR="00953774" w:rsidRPr="000E62BF">
        <w:rPr>
          <w:color w:val="000000"/>
        </w:rPr>
        <w:t xml:space="preserve">as chromatography coupled with mass spectroscopy (GC/MS). </w:t>
      </w:r>
      <w:r w:rsidR="00D058E4">
        <w:rPr>
          <w:color w:val="000000"/>
        </w:rPr>
        <w:t xml:space="preserve"> </w:t>
      </w:r>
      <w:r w:rsidR="006C35EC" w:rsidRPr="00953774">
        <w:t xml:space="preserve">Participants completed additional cognitive and Magnetic Resonance Imaging assessments </w:t>
      </w:r>
      <w:r w:rsidR="00D058E4">
        <w:t>for a linked study examining the neurobiological mechanisms of THC.</w:t>
      </w:r>
      <w:r w:rsidR="006C35EC" w:rsidRPr="00953774">
        <w:t xml:space="preserve"> </w:t>
      </w:r>
      <w:r w:rsidR="00D058E4">
        <w:t xml:space="preserve"> </w:t>
      </w:r>
      <w:r w:rsidR="00C85624" w:rsidRPr="00953774">
        <w:t>T</w:t>
      </w:r>
      <w:r w:rsidR="00390D1C" w:rsidRPr="00953774">
        <w:t xml:space="preserve">he SCFQ </w:t>
      </w:r>
      <w:r w:rsidR="006B6685" w:rsidRPr="00953774">
        <w:t xml:space="preserve">was completed </w:t>
      </w:r>
      <w:r w:rsidR="00390D1C" w:rsidRPr="00953774">
        <w:t xml:space="preserve">at the end of the </w:t>
      </w:r>
      <w:r w:rsidR="006C35EC" w:rsidRPr="00953774">
        <w:t>session</w:t>
      </w:r>
      <w:r w:rsidR="00390D1C">
        <w:t xml:space="preserve">, </w:t>
      </w:r>
      <w:r w:rsidR="000215F4">
        <w:t xml:space="preserve">approximately </w:t>
      </w:r>
      <w:r w:rsidR="00390D1C">
        <w:t>270 minutes following drug administration.</w:t>
      </w:r>
      <w:r w:rsidR="00D058E4">
        <w:t xml:space="preserve">  </w:t>
      </w:r>
      <w:r w:rsidR="009A3042">
        <w:t>Participants were assessed as safe to leave by</w:t>
      </w:r>
      <w:r w:rsidR="00390D1C">
        <w:t xml:space="preserve"> </w:t>
      </w:r>
      <w:r w:rsidR="005D4660">
        <w:t>a qualified medic</w:t>
      </w:r>
      <w:r w:rsidR="00301692">
        <w:t>.</w:t>
      </w:r>
      <w:r w:rsidR="00CF223B">
        <w:t xml:space="preserve">  Participants then returned to complete the second arm of the study, following exactly the same procedure, and received placebo/THC, one week later. </w:t>
      </w:r>
    </w:p>
    <w:p w14:paraId="19CEF81E" w14:textId="77777777" w:rsidR="004A51D5" w:rsidRPr="004A51D5" w:rsidRDefault="004A51D5" w:rsidP="004A51D5">
      <w:pPr>
        <w:widowControl w:val="0"/>
        <w:spacing w:after="120" w:line="480" w:lineRule="auto"/>
        <w:jc w:val="both"/>
        <w:rPr>
          <w:b/>
          <w:bCs/>
          <w:i/>
          <w:iCs/>
          <w:highlight w:val="yellow"/>
        </w:rPr>
      </w:pPr>
      <w:r w:rsidRPr="004A51D5">
        <w:rPr>
          <w:b/>
          <w:bCs/>
          <w:i/>
          <w:iCs/>
          <w:highlight w:val="yellow"/>
        </w:rPr>
        <w:t>Pharmacokinetics</w:t>
      </w:r>
    </w:p>
    <w:p w14:paraId="72875124" w14:textId="0E61D42B" w:rsidR="008956E9" w:rsidRDefault="004A51D5" w:rsidP="00B83E49">
      <w:pPr>
        <w:widowControl w:val="0"/>
        <w:spacing w:after="120" w:line="480" w:lineRule="auto"/>
        <w:jc w:val="both"/>
      </w:pPr>
      <w:r w:rsidRPr="004A51D5">
        <w:rPr>
          <w:highlight w:val="yellow"/>
        </w:rPr>
        <w:t>Blood samples were taken to determine cannabinoid concentrations (THC and metabolites OH-THC and THC-COOH) 150 minutes post drug administration</w:t>
      </w:r>
      <w:r w:rsidR="00A3549F">
        <w:rPr>
          <w:highlight w:val="yellow"/>
        </w:rPr>
        <w:t>,</w:t>
      </w:r>
      <w:r w:rsidRPr="004A51D5">
        <w:rPr>
          <w:highlight w:val="yellow"/>
        </w:rPr>
        <w:t xml:space="preserve"> alongside the PSI.  Blood samples were centrifuged, and plasma was frozen at -80 °C.  Cannabinoid concentrations were determined using </w:t>
      </w:r>
      <w:r w:rsidR="00A3549F">
        <w:rPr>
          <w:highlight w:val="yellow"/>
        </w:rPr>
        <w:t>g</w:t>
      </w:r>
      <w:r w:rsidRPr="004A51D5">
        <w:rPr>
          <w:highlight w:val="yellow"/>
        </w:rPr>
        <w:t>as chromatography coupled with mass spectroscopy (GC/MS).</w:t>
      </w:r>
    </w:p>
    <w:p w14:paraId="64FB43B7" w14:textId="7DBD9758" w:rsidR="008C0CA7" w:rsidRPr="004E59D9" w:rsidRDefault="008956E9" w:rsidP="00EF464E">
      <w:pPr>
        <w:spacing w:after="120" w:line="480" w:lineRule="auto"/>
        <w:jc w:val="both"/>
        <w:rPr>
          <w:b/>
          <w:bCs/>
          <w:i/>
          <w:iCs/>
        </w:rPr>
      </w:pPr>
      <w:r w:rsidRPr="004E59D9">
        <w:rPr>
          <w:b/>
          <w:bCs/>
          <w:i/>
          <w:iCs/>
        </w:rPr>
        <w:t>Data analysis</w:t>
      </w:r>
    </w:p>
    <w:p w14:paraId="6C51972D" w14:textId="354D4CD6" w:rsidR="008956E9" w:rsidRDefault="008956E9" w:rsidP="00D058E4">
      <w:pPr>
        <w:spacing w:after="120" w:line="480" w:lineRule="auto"/>
        <w:jc w:val="both"/>
      </w:pPr>
      <w:r>
        <w:t>Given the</w:t>
      </w:r>
      <w:r w:rsidRPr="003A1C5A">
        <w:t xml:space="preserve"> sample size</w:t>
      </w:r>
      <w:r>
        <w:t xml:space="preserve"> and preliminary nature of the study</w:t>
      </w:r>
      <w:r w:rsidRPr="003A1C5A">
        <w:t xml:space="preserve">, data were analysed using correlations and partial correlations.  </w:t>
      </w:r>
      <w:r w:rsidR="0058446A" w:rsidRPr="0058446A">
        <w:rPr>
          <w:highlight w:val="yellow"/>
        </w:rPr>
        <w:t xml:space="preserve">Non-significant Shapiro-Wilk tests indicated that most variables were normally distributed.  For variables with significant Shapiro-Wilk tests, skewness and kurtosis were within normal limits.  The exceptions were the </w:t>
      </w:r>
      <w:r w:rsidR="0058446A" w:rsidRPr="002E2D4F">
        <w:rPr>
          <w:highlight w:val="yellow"/>
        </w:rPr>
        <w:t xml:space="preserve">developmental trauma </w:t>
      </w:r>
      <w:r w:rsidR="0058446A">
        <w:rPr>
          <w:highlight w:val="yellow"/>
        </w:rPr>
        <w:t>(</w:t>
      </w:r>
      <w:r w:rsidR="0058446A" w:rsidRPr="0058446A">
        <w:rPr>
          <w:highlight w:val="yellow"/>
        </w:rPr>
        <w:t>CTQ</w:t>
      </w:r>
      <w:r w:rsidR="0058446A">
        <w:rPr>
          <w:highlight w:val="yellow"/>
        </w:rPr>
        <w:t>-SF)</w:t>
      </w:r>
      <w:r w:rsidR="0058446A" w:rsidRPr="0058446A">
        <w:rPr>
          <w:highlight w:val="yellow"/>
        </w:rPr>
        <w:t xml:space="preserve"> and psychotic experiences </w:t>
      </w:r>
      <w:r w:rsidR="0058446A">
        <w:rPr>
          <w:highlight w:val="yellow"/>
        </w:rPr>
        <w:t>(</w:t>
      </w:r>
      <w:r w:rsidR="0058446A" w:rsidRPr="0058446A">
        <w:rPr>
          <w:highlight w:val="yellow"/>
        </w:rPr>
        <w:t>PANSS</w:t>
      </w:r>
      <w:r w:rsidR="0058446A">
        <w:rPr>
          <w:highlight w:val="yellow"/>
        </w:rPr>
        <w:t>)</w:t>
      </w:r>
      <w:r w:rsidR="0058446A" w:rsidRPr="0058446A">
        <w:rPr>
          <w:highlight w:val="yellow"/>
        </w:rPr>
        <w:t xml:space="preserve"> change score</w:t>
      </w:r>
      <w:r w:rsidR="00122FA5">
        <w:rPr>
          <w:highlight w:val="yellow"/>
        </w:rPr>
        <w:t>s</w:t>
      </w:r>
      <w:r w:rsidR="0058446A" w:rsidRPr="0058446A">
        <w:rPr>
          <w:highlight w:val="yellow"/>
        </w:rPr>
        <w:t>, with skewness within but kurtosis outside</w:t>
      </w:r>
      <w:r w:rsidR="00122FA5">
        <w:rPr>
          <w:highlight w:val="yellow"/>
        </w:rPr>
        <w:t xml:space="preserve"> normal limits</w:t>
      </w:r>
      <w:r w:rsidR="0058446A" w:rsidRPr="0058446A">
        <w:rPr>
          <w:highlight w:val="yellow"/>
        </w:rPr>
        <w:t xml:space="preserve">.  There were outliers only for </w:t>
      </w:r>
      <w:r w:rsidR="0058446A" w:rsidRPr="002E2D4F">
        <w:rPr>
          <w:highlight w:val="yellow"/>
        </w:rPr>
        <w:t xml:space="preserve">developmental trauma </w:t>
      </w:r>
      <w:r w:rsidR="0058446A">
        <w:rPr>
          <w:highlight w:val="yellow"/>
        </w:rPr>
        <w:t>(</w:t>
      </w:r>
      <w:r w:rsidR="0058446A" w:rsidRPr="0058446A">
        <w:rPr>
          <w:highlight w:val="yellow"/>
        </w:rPr>
        <w:t>CTQ</w:t>
      </w:r>
      <w:r w:rsidR="0058446A">
        <w:rPr>
          <w:highlight w:val="yellow"/>
        </w:rPr>
        <w:t xml:space="preserve">-SF) and </w:t>
      </w:r>
      <w:r w:rsidR="0058446A" w:rsidRPr="0058446A">
        <w:rPr>
          <w:highlight w:val="yellow"/>
        </w:rPr>
        <w:t xml:space="preserve">psychotic experiences </w:t>
      </w:r>
      <w:r w:rsidR="0058446A">
        <w:rPr>
          <w:highlight w:val="yellow"/>
        </w:rPr>
        <w:t>(</w:t>
      </w:r>
      <w:r w:rsidR="0058446A" w:rsidRPr="0058446A">
        <w:rPr>
          <w:highlight w:val="yellow"/>
        </w:rPr>
        <w:t>PANSS and PSI</w:t>
      </w:r>
      <w:r w:rsidR="0058446A">
        <w:rPr>
          <w:highlight w:val="yellow"/>
        </w:rPr>
        <w:t>)</w:t>
      </w:r>
      <w:r w:rsidR="0058446A" w:rsidRPr="0058446A">
        <w:rPr>
          <w:highlight w:val="yellow"/>
        </w:rPr>
        <w:t>, and none of these were extreme.  We therefore conducted parametric tests</w:t>
      </w:r>
      <w:r w:rsidR="0058446A" w:rsidRPr="00122FA5">
        <w:rPr>
          <w:highlight w:val="yellow"/>
        </w:rPr>
        <w:t xml:space="preserve">.  Pearson </w:t>
      </w:r>
      <w:r w:rsidR="0058446A">
        <w:rPr>
          <w:highlight w:val="yellow"/>
        </w:rPr>
        <w:t>c</w:t>
      </w:r>
      <w:r w:rsidR="00A91E0D" w:rsidRPr="002E2D4F">
        <w:rPr>
          <w:highlight w:val="yellow"/>
        </w:rPr>
        <w:t xml:space="preserve">orrelations </w:t>
      </w:r>
      <w:r w:rsidR="0058446A">
        <w:rPr>
          <w:highlight w:val="yellow"/>
        </w:rPr>
        <w:t xml:space="preserve">(one-tailed) </w:t>
      </w:r>
      <w:r w:rsidRPr="002E2D4F">
        <w:rPr>
          <w:highlight w:val="yellow"/>
        </w:rPr>
        <w:t>were calculated for developmental trauma (CTQ-SF),</w:t>
      </w:r>
      <w:r w:rsidRPr="009E62D3">
        <w:t xml:space="preserve"> schizotypy </w:t>
      </w:r>
      <w:r>
        <w:t xml:space="preserve">(O-LIFE) </w:t>
      </w:r>
      <w:r w:rsidRPr="009E62D3">
        <w:t xml:space="preserve">and cognitive fusion </w:t>
      </w:r>
      <w:r>
        <w:t xml:space="preserve">(SCFQ) </w:t>
      </w:r>
      <w:r w:rsidRPr="009E62D3">
        <w:t xml:space="preserve">with </w:t>
      </w:r>
      <w:r>
        <w:t xml:space="preserve">change in </w:t>
      </w:r>
      <w:r w:rsidRPr="009E62D3">
        <w:t xml:space="preserve">psychotic experiences </w:t>
      </w:r>
      <w:r>
        <w:t>(PSI and PANSS change scores)</w:t>
      </w:r>
      <w:r w:rsidRPr="009E62D3">
        <w:t xml:space="preserve">.  </w:t>
      </w:r>
      <w:r w:rsidR="0058446A" w:rsidRPr="0058446A">
        <w:rPr>
          <w:highlight w:val="yellow"/>
        </w:rPr>
        <w:t>The small sample size did not permit regression or mediation analyses.  Where initial correlations were significant,</w:t>
      </w:r>
      <w:r w:rsidR="0058446A" w:rsidRPr="0058446A">
        <w:t xml:space="preserve"> partial correlations were </w:t>
      </w:r>
      <w:r w:rsidR="003D417C">
        <w:t xml:space="preserve">then </w:t>
      </w:r>
      <w:r w:rsidR="0058446A" w:rsidRPr="0058446A">
        <w:t>calculated to test associations between change in psychotic experiences with the two risk factors (developmental trauma and schizotypy), controlling for cognitive fusion.</w:t>
      </w:r>
    </w:p>
    <w:p w14:paraId="02CA3C94" w14:textId="77777777" w:rsidR="00D058E4" w:rsidRDefault="00D058E4" w:rsidP="00D058E4">
      <w:pPr>
        <w:spacing w:after="120" w:line="480" w:lineRule="auto"/>
        <w:jc w:val="both"/>
      </w:pPr>
    </w:p>
    <w:p w14:paraId="3D69F937" w14:textId="34ED9A2C" w:rsidR="00B065FC" w:rsidRDefault="00482D91" w:rsidP="00D058E4">
      <w:pPr>
        <w:spacing w:after="120" w:line="480" w:lineRule="auto"/>
        <w:jc w:val="both"/>
        <w:rPr>
          <w:b/>
        </w:rPr>
      </w:pPr>
      <w:r w:rsidRPr="00B065FC">
        <w:rPr>
          <w:b/>
        </w:rPr>
        <w:t>Results</w:t>
      </w:r>
    </w:p>
    <w:p w14:paraId="026B8470" w14:textId="09F69673" w:rsidR="008C20C9" w:rsidRDefault="00D058E4" w:rsidP="00D058E4">
      <w:pPr>
        <w:spacing w:after="120" w:line="480" w:lineRule="auto"/>
        <w:jc w:val="both"/>
        <w:rPr>
          <w:bCs/>
        </w:rPr>
      </w:pPr>
      <w:r w:rsidRPr="00D058E4">
        <w:rPr>
          <w:bCs/>
        </w:rPr>
        <w:t>Twelve participants (60%) reported being current cannabis</w:t>
      </w:r>
      <w:r w:rsidR="008C20C9">
        <w:rPr>
          <w:bCs/>
        </w:rPr>
        <w:t xml:space="preserve"> users</w:t>
      </w:r>
      <w:r w:rsidRPr="00D058E4">
        <w:rPr>
          <w:bCs/>
        </w:rPr>
        <w:t>.  Of these</w:t>
      </w:r>
      <w:r w:rsidR="008C20C9">
        <w:rPr>
          <w:bCs/>
        </w:rPr>
        <w:t>,</w:t>
      </w:r>
      <w:r w:rsidRPr="00D058E4">
        <w:rPr>
          <w:bCs/>
        </w:rPr>
        <w:t xml:space="preserve"> the most frequent pattern of use was once weekly (n=4), meaning that current cannabis users were occasional (once a week or less) users.  No participants </w:t>
      </w:r>
      <w:r w:rsidRPr="002E2D4F">
        <w:rPr>
          <w:bCs/>
          <w:highlight w:val="yellow"/>
        </w:rPr>
        <w:t>report</w:t>
      </w:r>
      <w:r w:rsidR="002E2D4F" w:rsidRPr="002E2D4F">
        <w:rPr>
          <w:bCs/>
          <w:highlight w:val="yellow"/>
        </w:rPr>
        <w:t>ed</w:t>
      </w:r>
      <w:r w:rsidRPr="00D058E4">
        <w:rPr>
          <w:bCs/>
        </w:rPr>
        <w:t xml:space="preserve"> using cannabis more than once a week.  No users met DSM criteria for any drug use disorders.</w:t>
      </w:r>
    </w:p>
    <w:p w14:paraId="502C26FF" w14:textId="315AC605" w:rsidR="00D058E4" w:rsidRPr="00D058E4" w:rsidRDefault="00D058E4" w:rsidP="00D058E4">
      <w:pPr>
        <w:spacing w:after="120" w:line="480" w:lineRule="auto"/>
        <w:jc w:val="both"/>
        <w:rPr>
          <w:bCs/>
        </w:rPr>
      </w:pPr>
      <w:r w:rsidRPr="00D058E4">
        <w:rPr>
          <w:bCs/>
        </w:rPr>
        <w:t xml:space="preserve">Table 1 shows plasma data following THC administration, demonstrating absorption of THC and its metabolism into THC-OH and THC-COOH.  </w:t>
      </w:r>
    </w:p>
    <w:p w14:paraId="48E0EB4A" w14:textId="031CE267" w:rsidR="00D058E4" w:rsidRPr="00D058E4" w:rsidRDefault="00D058E4" w:rsidP="00D058E4">
      <w:pPr>
        <w:spacing w:after="120" w:line="480" w:lineRule="auto"/>
        <w:jc w:val="center"/>
        <w:rPr>
          <w:bCs/>
        </w:rPr>
      </w:pPr>
      <w:r w:rsidRPr="00D058E4">
        <w:rPr>
          <w:bCs/>
        </w:rPr>
        <w:t>Tables 1 and 2 about here</w:t>
      </w:r>
    </w:p>
    <w:p w14:paraId="2F79ABE8" w14:textId="64666B3C" w:rsidR="004A51D5" w:rsidRDefault="004A51D5" w:rsidP="004A51D5">
      <w:pPr>
        <w:spacing w:after="120" w:line="480" w:lineRule="auto"/>
        <w:jc w:val="both"/>
        <w:rPr>
          <w:bCs/>
        </w:rPr>
      </w:pPr>
      <w:r w:rsidRPr="004A51D5">
        <w:rPr>
          <w:bCs/>
          <w:highlight w:val="yellow"/>
        </w:rPr>
        <w:t xml:space="preserve">The mean concentration of THC in plasma (ng/ml) 150 minutes after THC administration was 2.27 (SD = 2.06). </w:t>
      </w:r>
      <w:r w:rsidR="003C7B1F">
        <w:rPr>
          <w:bCs/>
          <w:highlight w:val="yellow"/>
        </w:rPr>
        <w:t xml:space="preserve"> </w:t>
      </w:r>
      <w:r w:rsidRPr="004A51D5">
        <w:rPr>
          <w:bCs/>
          <w:highlight w:val="yellow"/>
        </w:rPr>
        <w:t>The mean concentration of metabolites in plasma (ng/ml) 150 minutes after administration was 7.02 for THC-OH (SD = 6.20)</w:t>
      </w:r>
      <w:r w:rsidR="003C7B1F">
        <w:rPr>
          <w:bCs/>
          <w:highlight w:val="yellow"/>
        </w:rPr>
        <w:t>,</w:t>
      </w:r>
      <w:r w:rsidRPr="004A51D5">
        <w:rPr>
          <w:bCs/>
          <w:highlight w:val="yellow"/>
        </w:rPr>
        <w:t xml:space="preserve"> and 64.09 for THC-COOH (SD = 48.35).</w:t>
      </w:r>
    </w:p>
    <w:p w14:paraId="1AB207F8" w14:textId="53F66B27" w:rsidR="00D058E4" w:rsidRPr="00D058E4" w:rsidRDefault="008C20C9" w:rsidP="00D058E4">
      <w:pPr>
        <w:spacing w:after="120" w:line="480" w:lineRule="auto"/>
        <w:jc w:val="both"/>
        <w:rPr>
          <w:bCs/>
        </w:rPr>
      </w:pPr>
      <w:r w:rsidRPr="00D058E4">
        <w:rPr>
          <w:bCs/>
        </w:rPr>
        <w:t>Table 2 gives descriptive statistics and inter-correlations.</w:t>
      </w:r>
      <w:r>
        <w:rPr>
          <w:bCs/>
        </w:rPr>
        <w:t xml:space="preserve"> </w:t>
      </w:r>
      <w:r w:rsidRPr="00D058E4">
        <w:rPr>
          <w:bCs/>
        </w:rPr>
        <w:t xml:space="preserve"> </w:t>
      </w:r>
      <w:r w:rsidR="00D058E4" w:rsidRPr="00D058E4">
        <w:rPr>
          <w:bCs/>
        </w:rPr>
        <w:t>Developmental trauma, schizotypy and cognitive fusion were associated with increased psychotic experiences as measured by PSI and PANSS change scores.  Partial correlations show that when controlling for cognitive fusion, change in psychotic experiences was no longer associated with developmental trauma, as measured by both the PSI (r=-.224, p=.211) and PANSS (r=.147, p=.281).  This indicates that cognitive fusion accounted for the impact of developmental trauma on THC-induced psychotic experiences.</w:t>
      </w:r>
    </w:p>
    <w:p w14:paraId="552AD40B" w14:textId="5580384B" w:rsidR="00D058E4" w:rsidRPr="008C20C9" w:rsidRDefault="00D058E4" w:rsidP="00D058E4">
      <w:pPr>
        <w:spacing w:after="120" w:line="480" w:lineRule="auto"/>
        <w:jc w:val="both"/>
        <w:rPr>
          <w:bCs/>
        </w:rPr>
      </w:pPr>
      <w:r w:rsidRPr="00D058E4">
        <w:rPr>
          <w:bCs/>
        </w:rPr>
        <w:t>Similarly, partial correlations show that when controlling for cognitive fusion, change in psychotic experiences were no longer associated with schizotypy, as measured by both the PSI (r=-.072, p=.396) and PANSS (r=-.045, p=.427).  Greater cognitive fusion accounted for the impact of schizotypy on psychotic experiences during intoxication.</w:t>
      </w:r>
    </w:p>
    <w:p w14:paraId="76F989B7" w14:textId="4AC192D6" w:rsidR="006A5DDA" w:rsidRDefault="006A5DDA" w:rsidP="00D058E4">
      <w:pPr>
        <w:widowControl w:val="0"/>
        <w:spacing w:after="120" w:line="480" w:lineRule="auto"/>
        <w:jc w:val="both"/>
      </w:pPr>
    </w:p>
    <w:p w14:paraId="5323C16D" w14:textId="11489B1D" w:rsidR="006A5DDA" w:rsidRPr="006A5DDA" w:rsidRDefault="006A5DDA" w:rsidP="009E62D3">
      <w:pPr>
        <w:widowControl w:val="0"/>
        <w:spacing w:after="120" w:line="480" w:lineRule="auto"/>
        <w:jc w:val="both"/>
        <w:rPr>
          <w:b/>
          <w:bCs/>
        </w:rPr>
      </w:pPr>
      <w:r w:rsidRPr="006A5DDA">
        <w:rPr>
          <w:b/>
          <w:bCs/>
        </w:rPr>
        <w:t>Discussion</w:t>
      </w:r>
    </w:p>
    <w:p w14:paraId="12706127" w14:textId="10518466" w:rsidR="00C14F05" w:rsidRDefault="00C14F05" w:rsidP="00CF223B">
      <w:pPr>
        <w:widowControl w:val="0"/>
        <w:spacing w:after="120" w:line="480" w:lineRule="auto"/>
        <w:jc w:val="both"/>
      </w:pPr>
      <w:r>
        <w:t xml:space="preserve">In this </w:t>
      </w:r>
      <w:r w:rsidR="001B661F">
        <w:t xml:space="preserve">preliminary </w:t>
      </w:r>
      <w:r>
        <w:t>study,</w:t>
      </w:r>
      <w:r w:rsidRPr="00F3148F">
        <w:t xml:space="preserve"> we </w:t>
      </w:r>
      <w:r>
        <w:t xml:space="preserve">sought to examine the role of cognitive fusion on </w:t>
      </w:r>
      <w:r w:rsidRPr="00BA3B17">
        <w:t xml:space="preserve">psychotic experiences </w:t>
      </w:r>
      <w:r>
        <w:t xml:space="preserve">during acute intoxication, and the interaction with established risk factors – developmental trauma and schizotypy.  In a cannabis-using sample, we found that developmental trauma, schizotypy and cognitive fusion were all associated with increased </w:t>
      </w:r>
      <w:r w:rsidRPr="00BA3B17">
        <w:t>psychotic experiences during THC intoxication</w:t>
      </w:r>
      <w:r>
        <w:t>, and that cognitive fusion</w:t>
      </w:r>
      <w:r w:rsidRPr="00621253">
        <w:t xml:space="preserve"> </w:t>
      </w:r>
      <w:r>
        <w:t xml:space="preserve">accounted for the impact of the risk factors.  </w:t>
      </w:r>
    </w:p>
    <w:p w14:paraId="340EBB98" w14:textId="23582BB9" w:rsidR="00C14F05" w:rsidRDefault="00C14F05" w:rsidP="00C14F05">
      <w:pPr>
        <w:widowControl w:val="0"/>
        <w:spacing w:after="120" w:line="480" w:lineRule="auto"/>
        <w:jc w:val="both"/>
      </w:pPr>
      <w:r>
        <w:t xml:space="preserve">This is the first study to demonstrate that </w:t>
      </w:r>
      <w:r w:rsidRPr="009E62D3">
        <w:t xml:space="preserve">cognitive fusion </w:t>
      </w:r>
      <w:r>
        <w:t>is</w:t>
      </w:r>
      <w:r w:rsidRPr="009E62D3">
        <w:t xml:space="preserve"> associated with psychotic experiences during intoxication</w:t>
      </w:r>
      <w:r>
        <w:t xml:space="preserve">.  Epidemiological studies have shown that early adversity increases risk of psychosis from cannabis use (Harley et al., 2010; Houston et al., 2011; </w:t>
      </w:r>
      <w:proofErr w:type="spellStart"/>
      <w:r>
        <w:t>Konings</w:t>
      </w:r>
      <w:proofErr w:type="spellEnd"/>
      <w:r>
        <w:t xml:space="preserve">, et al., 2012; Shevlin et al., 2009); this is the first to demonstrate that developmental trauma increases risk of psychotic experiences during acute THC intoxication.  </w:t>
      </w:r>
      <w:r w:rsidRPr="009E62D3">
        <w:t xml:space="preserve">The </w:t>
      </w:r>
      <w:r>
        <w:t>association between</w:t>
      </w:r>
      <w:r w:rsidRPr="009E62D3">
        <w:t xml:space="preserve"> schizotypy</w:t>
      </w:r>
      <w:r>
        <w:t xml:space="preserve"> and psychotic experiences during intoxication is in line with previous findings (</w:t>
      </w:r>
      <w:proofErr w:type="spellStart"/>
      <w:r w:rsidRPr="00BA3B17">
        <w:t>Barkus</w:t>
      </w:r>
      <w:proofErr w:type="spellEnd"/>
      <w:r w:rsidRPr="00BA3B17">
        <w:t xml:space="preserve"> </w:t>
      </w:r>
      <w:r w:rsidR="00151FC7">
        <w:t>&amp;</w:t>
      </w:r>
      <w:r w:rsidRPr="00BA3B17">
        <w:t xml:space="preserve"> Lewis, 2008; Mason et al., 2009; Stirling et al., 2008</w:t>
      </w:r>
      <w:r>
        <w:t xml:space="preserve">).  </w:t>
      </w:r>
    </w:p>
    <w:p w14:paraId="3FE64D17" w14:textId="641A17FA" w:rsidR="00B8470C" w:rsidRDefault="00CD50D3" w:rsidP="00B8470C">
      <w:pPr>
        <w:widowControl w:val="0"/>
        <w:spacing w:after="120" w:line="480" w:lineRule="auto"/>
        <w:jc w:val="both"/>
      </w:pPr>
      <w:r>
        <w:t>Th</w:t>
      </w:r>
      <w:r w:rsidR="002238EE">
        <w:t>is</w:t>
      </w:r>
      <w:r>
        <w:t xml:space="preserve"> study is limited by </w:t>
      </w:r>
      <w:r w:rsidR="00DB08F6">
        <w:t>a</w:t>
      </w:r>
      <w:r>
        <w:t xml:space="preserve"> correlational design</w:t>
      </w:r>
      <w:r w:rsidR="002238EE">
        <w:t xml:space="preserve"> that tests associations rather than causal mechanisms, and</w:t>
      </w:r>
      <w:r>
        <w:t xml:space="preserve"> </w:t>
      </w:r>
      <w:r w:rsidR="00A16D0B">
        <w:t xml:space="preserve">small </w:t>
      </w:r>
      <w:r>
        <w:t>sample size</w:t>
      </w:r>
      <w:r w:rsidR="002238EE">
        <w:t xml:space="preserve">, which limits </w:t>
      </w:r>
      <w:r w:rsidR="00DB08F6">
        <w:t xml:space="preserve">the analyses and </w:t>
      </w:r>
      <w:r w:rsidR="002238EE">
        <w:t>generalizability</w:t>
      </w:r>
      <w:r>
        <w:t>.</w:t>
      </w:r>
      <w:r w:rsidR="00A16D0B">
        <w:t xml:space="preserve">  </w:t>
      </w:r>
      <w:r w:rsidR="007B0233">
        <w:t xml:space="preserve">While it is </w:t>
      </w:r>
      <w:r w:rsidR="00F12F3A">
        <w:t>possible</w:t>
      </w:r>
      <w:r w:rsidR="007B0233">
        <w:t xml:space="preserve"> that increase</w:t>
      </w:r>
      <w:r w:rsidR="008C0CA7">
        <w:t>d</w:t>
      </w:r>
      <w:r w:rsidR="007B0233">
        <w:t xml:space="preserve"> psychotic experience</w:t>
      </w:r>
      <w:r w:rsidR="00AF6B13">
        <w:t>s</w:t>
      </w:r>
      <w:r w:rsidR="007B0233">
        <w:t xml:space="preserve"> lead to greater </w:t>
      </w:r>
      <w:r w:rsidR="001E7AE3">
        <w:t>cognitive fusion</w:t>
      </w:r>
      <w:r w:rsidR="007B0233">
        <w:t>, the wider literature suggests the converse</w:t>
      </w:r>
      <w:r w:rsidR="004D077E">
        <w:t xml:space="preserve"> –</w:t>
      </w:r>
      <w:r w:rsidR="007B0233">
        <w:t xml:space="preserve"> that people who respond to thoughts and feelings as necessarily accurate representations of self and reality</w:t>
      </w:r>
      <w:r w:rsidR="00746C35">
        <w:t xml:space="preserve"> </w:t>
      </w:r>
      <w:r w:rsidR="007B0233">
        <w:t xml:space="preserve">are </w:t>
      </w:r>
      <w:r w:rsidR="00746C35">
        <w:t xml:space="preserve">more </w:t>
      </w:r>
      <w:r w:rsidR="00F02BC7">
        <w:t>vulnerable to</w:t>
      </w:r>
      <w:r w:rsidR="007B0233">
        <w:t xml:space="preserve"> mental health</w:t>
      </w:r>
      <w:r w:rsidR="00746C35">
        <w:t xml:space="preserve"> problems</w:t>
      </w:r>
      <w:r w:rsidR="004D077E">
        <w:t xml:space="preserve"> (</w:t>
      </w:r>
      <w:proofErr w:type="spellStart"/>
      <w:r w:rsidR="004D077E">
        <w:t>Plonsker</w:t>
      </w:r>
      <w:proofErr w:type="spellEnd"/>
      <w:r w:rsidR="004D077E">
        <w:t xml:space="preserve"> et al., 2017).</w:t>
      </w:r>
      <w:r w:rsidR="007B0233">
        <w:t xml:space="preserve"> </w:t>
      </w:r>
      <w:r w:rsidR="00B8470C">
        <w:t xml:space="preserve"> A larger scale mediation study would address these limitations.  Additionally, the measurement of </w:t>
      </w:r>
      <w:r w:rsidR="00B8470C" w:rsidRPr="00CA4DF3">
        <w:t>cognitive fusion</w:t>
      </w:r>
      <w:r w:rsidR="00B8470C">
        <w:t xml:space="preserve"> before and during intoxication would confirm whether changes during intoxication predict subsequent increases in psychotic experiences.</w:t>
      </w:r>
    </w:p>
    <w:p w14:paraId="179F80DD" w14:textId="16629F92" w:rsidR="00CD50D3" w:rsidRDefault="00B8470C" w:rsidP="00CD50D3">
      <w:pPr>
        <w:widowControl w:val="0"/>
        <w:spacing w:after="120" w:line="480" w:lineRule="auto"/>
        <w:jc w:val="both"/>
      </w:pPr>
      <w:r>
        <w:rPr>
          <w:highlight w:val="yellow"/>
        </w:rPr>
        <w:t>More speculatively, we would hypothesise</w:t>
      </w:r>
      <w:r w:rsidR="00D3275E" w:rsidRPr="00D3275E">
        <w:rPr>
          <w:highlight w:val="yellow"/>
        </w:rPr>
        <w:t xml:space="preserve"> </w:t>
      </w:r>
      <w:r w:rsidR="008B00E6">
        <w:rPr>
          <w:highlight w:val="yellow"/>
        </w:rPr>
        <w:t>(</w:t>
      </w:r>
      <w:proofErr w:type="spellStart"/>
      <w:r w:rsidR="008B00E6">
        <w:rPr>
          <w:highlight w:val="yellow"/>
        </w:rPr>
        <w:t>i</w:t>
      </w:r>
      <w:proofErr w:type="spellEnd"/>
      <w:r w:rsidR="008B00E6">
        <w:rPr>
          <w:highlight w:val="yellow"/>
        </w:rPr>
        <w:t xml:space="preserve">) </w:t>
      </w:r>
      <w:r>
        <w:rPr>
          <w:highlight w:val="yellow"/>
        </w:rPr>
        <w:t xml:space="preserve">that </w:t>
      </w:r>
      <w:r w:rsidR="001702B5" w:rsidRPr="001702B5">
        <w:rPr>
          <w:highlight w:val="yellow"/>
        </w:rPr>
        <w:t>an</w:t>
      </w:r>
      <w:r w:rsidR="0005103C" w:rsidRPr="001702B5">
        <w:rPr>
          <w:highlight w:val="yellow"/>
        </w:rPr>
        <w:t xml:space="preserve"> </w:t>
      </w:r>
      <w:r w:rsidR="001702B5">
        <w:rPr>
          <w:highlight w:val="yellow"/>
        </w:rPr>
        <w:t>in</w:t>
      </w:r>
      <w:r w:rsidR="0005103C">
        <w:rPr>
          <w:highlight w:val="yellow"/>
        </w:rPr>
        <w:t xml:space="preserve">ability to decentre from internal experience </w:t>
      </w:r>
      <w:r w:rsidR="00C527A2">
        <w:rPr>
          <w:highlight w:val="yellow"/>
        </w:rPr>
        <w:t>is</w:t>
      </w:r>
      <w:r w:rsidR="0005103C">
        <w:rPr>
          <w:highlight w:val="yellow"/>
        </w:rPr>
        <w:t xml:space="preserve"> a general vulnerability factor for </w:t>
      </w:r>
      <w:r>
        <w:rPr>
          <w:highlight w:val="yellow"/>
        </w:rPr>
        <w:t xml:space="preserve">cannabis-related </w:t>
      </w:r>
      <w:r w:rsidR="0005103C">
        <w:rPr>
          <w:highlight w:val="yellow"/>
        </w:rPr>
        <w:t>psychosis,</w:t>
      </w:r>
      <w:r w:rsidR="008B00E6">
        <w:rPr>
          <w:highlight w:val="yellow"/>
        </w:rPr>
        <w:t xml:space="preserve"> (ii) </w:t>
      </w:r>
      <w:r>
        <w:rPr>
          <w:highlight w:val="yellow"/>
        </w:rPr>
        <w:t xml:space="preserve">that </w:t>
      </w:r>
      <w:r w:rsidR="008B00E6">
        <w:rPr>
          <w:highlight w:val="yellow"/>
        </w:rPr>
        <w:t>fusion with problematic beliefs following early trauma (e.g. “I’m vulnerable”</w:t>
      </w:r>
      <w:r>
        <w:rPr>
          <w:highlight w:val="yellow"/>
        </w:rPr>
        <w:t xml:space="preserve"> and “Others are dangerous”</w:t>
      </w:r>
      <w:r w:rsidR="008B00E6">
        <w:rPr>
          <w:highlight w:val="yellow"/>
        </w:rPr>
        <w:t xml:space="preserve">) and schizotypal experiences (e.g. </w:t>
      </w:r>
      <w:r>
        <w:rPr>
          <w:highlight w:val="yellow"/>
        </w:rPr>
        <w:t>magical thinking and social anxiety fears) contributes to psychotic experiences when intoxicated (e.g. paranoid thinking), a</w:t>
      </w:r>
      <w:r w:rsidR="008B00E6">
        <w:rPr>
          <w:highlight w:val="yellow"/>
        </w:rPr>
        <w:t xml:space="preserve">nd (iii) </w:t>
      </w:r>
      <w:r w:rsidR="00C527A2">
        <w:rPr>
          <w:highlight w:val="yellow"/>
        </w:rPr>
        <w:t xml:space="preserve">that there is a bidirectional </w:t>
      </w:r>
      <w:r w:rsidR="00C527A2" w:rsidRPr="00371434">
        <w:rPr>
          <w:highlight w:val="yellow"/>
        </w:rPr>
        <w:t xml:space="preserve">relationship </w:t>
      </w:r>
      <w:r>
        <w:rPr>
          <w:highlight w:val="yellow"/>
        </w:rPr>
        <w:t>during</w:t>
      </w:r>
      <w:r w:rsidR="00C527A2">
        <w:rPr>
          <w:highlight w:val="yellow"/>
        </w:rPr>
        <w:t xml:space="preserve"> </w:t>
      </w:r>
      <w:r w:rsidR="008B00E6">
        <w:rPr>
          <w:highlight w:val="yellow"/>
        </w:rPr>
        <w:t>intoxication</w:t>
      </w:r>
      <w:r>
        <w:rPr>
          <w:highlight w:val="yellow"/>
        </w:rPr>
        <w:t>,</w:t>
      </w:r>
      <w:r w:rsidR="00C527A2">
        <w:rPr>
          <w:highlight w:val="yellow"/>
        </w:rPr>
        <w:t xml:space="preserve"> when increase</w:t>
      </w:r>
      <w:r w:rsidR="001702B5">
        <w:rPr>
          <w:highlight w:val="yellow"/>
        </w:rPr>
        <w:t>d</w:t>
      </w:r>
      <w:r w:rsidR="00C527A2" w:rsidRPr="00371434">
        <w:rPr>
          <w:highlight w:val="yellow"/>
        </w:rPr>
        <w:t xml:space="preserve"> cognitive fusion </w:t>
      </w:r>
      <w:r w:rsidR="00C527A2">
        <w:rPr>
          <w:highlight w:val="yellow"/>
        </w:rPr>
        <w:t xml:space="preserve">results in transient </w:t>
      </w:r>
      <w:r w:rsidR="00C527A2" w:rsidRPr="00371434">
        <w:rPr>
          <w:highlight w:val="yellow"/>
        </w:rPr>
        <w:t>experience</w:t>
      </w:r>
      <w:r w:rsidR="00C527A2">
        <w:rPr>
          <w:highlight w:val="yellow"/>
        </w:rPr>
        <w:t>s</w:t>
      </w:r>
      <w:r w:rsidR="00C527A2" w:rsidRPr="00371434">
        <w:rPr>
          <w:highlight w:val="yellow"/>
        </w:rPr>
        <w:t xml:space="preserve"> </w:t>
      </w:r>
      <w:r w:rsidR="00C527A2">
        <w:rPr>
          <w:highlight w:val="yellow"/>
        </w:rPr>
        <w:t xml:space="preserve">(e.g. the thought “I’m being watched”) being assumed to be </w:t>
      </w:r>
      <w:r w:rsidR="00C527A2" w:rsidRPr="0069780A">
        <w:rPr>
          <w:highlight w:val="yellow"/>
        </w:rPr>
        <w:t>accurate</w:t>
      </w:r>
      <w:r w:rsidR="0069780A" w:rsidRPr="0069780A">
        <w:rPr>
          <w:rFonts w:eastAsia="Times New Roman"/>
          <w:highlight w:val="yellow"/>
        </w:rPr>
        <w:t xml:space="preserve"> </w:t>
      </w:r>
      <w:r w:rsidR="0069780A" w:rsidRPr="0069780A">
        <w:rPr>
          <w:highlight w:val="yellow"/>
        </w:rPr>
        <w:t>and dominating attention</w:t>
      </w:r>
      <w:r w:rsidR="00C527A2">
        <w:rPr>
          <w:highlight w:val="yellow"/>
        </w:rPr>
        <w:t>, thereby increasing paranoid thinking, which in turn increases distress and cognitive fusion</w:t>
      </w:r>
      <w:r w:rsidR="001702B5">
        <w:rPr>
          <w:highlight w:val="yellow"/>
        </w:rPr>
        <w:t xml:space="preserve"> </w:t>
      </w:r>
      <w:r w:rsidR="001702B5" w:rsidRPr="004C06B1">
        <w:rPr>
          <w:highlight w:val="yellow"/>
        </w:rPr>
        <w:t>further</w:t>
      </w:r>
      <w:r w:rsidR="00C527A2" w:rsidRPr="004C06B1">
        <w:rPr>
          <w:highlight w:val="yellow"/>
        </w:rPr>
        <w:t>.</w:t>
      </w:r>
      <w:r w:rsidR="00371434" w:rsidRPr="004C06B1">
        <w:rPr>
          <w:highlight w:val="yellow"/>
        </w:rPr>
        <w:t xml:space="preserve">  </w:t>
      </w:r>
      <w:r w:rsidR="0047612C">
        <w:rPr>
          <w:highlight w:val="yellow"/>
        </w:rPr>
        <w:t xml:space="preserve">We now need </w:t>
      </w:r>
      <w:r w:rsidR="004C06B1" w:rsidRPr="004C06B1">
        <w:rPr>
          <w:highlight w:val="yellow"/>
        </w:rPr>
        <w:t xml:space="preserve">to </w:t>
      </w:r>
      <w:r w:rsidR="001702B5" w:rsidRPr="004C06B1">
        <w:rPr>
          <w:highlight w:val="yellow"/>
        </w:rPr>
        <w:t>examin</w:t>
      </w:r>
      <w:r w:rsidR="004C06B1" w:rsidRPr="004C06B1">
        <w:rPr>
          <w:highlight w:val="yellow"/>
        </w:rPr>
        <w:t xml:space="preserve">e </w:t>
      </w:r>
      <w:r w:rsidR="004C06B1">
        <w:rPr>
          <w:highlight w:val="yellow"/>
        </w:rPr>
        <w:t xml:space="preserve">these </w:t>
      </w:r>
      <w:r w:rsidR="001702B5">
        <w:rPr>
          <w:highlight w:val="yellow"/>
        </w:rPr>
        <w:t>more complex</w:t>
      </w:r>
      <w:r w:rsidR="004A51D5">
        <w:rPr>
          <w:highlight w:val="yellow"/>
        </w:rPr>
        <w:t>, potentially</w:t>
      </w:r>
      <w:r w:rsidR="001702B5">
        <w:rPr>
          <w:highlight w:val="yellow"/>
        </w:rPr>
        <w:t xml:space="preserve"> </w:t>
      </w:r>
      <w:r w:rsidR="001702B5" w:rsidRPr="001702B5">
        <w:rPr>
          <w:highlight w:val="yellow"/>
        </w:rPr>
        <w:t>causal links</w:t>
      </w:r>
      <w:r w:rsidR="007B6B42" w:rsidRPr="001702B5">
        <w:rPr>
          <w:highlight w:val="yellow"/>
        </w:rPr>
        <w:t>.</w:t>
      </w:r>
    </w:p>
    <w:p w14:paraId="435D35C4" w14:textId="48659451" w:rsidR="00F30AF9" w:rsidRDefault="007B0233" w:rsidP="00B95300">
      <w:pPr>
        <w:widowControl w:val="0"/>
        <w:spacing w:after="120" w:line="480" w:lineRule="auto"/>
        <w:jc w:val="both"/>
      </w:pPr>
      <w:r>
        <w:t xml:space="preserve">The present </w:t>
      </w:r>
      <w:r w:rsidR="00F12F3A">
        <w:t>research</w:t>
      </w:r>
      <w:r>
        <w:t xml:space="preserve"> </w:t>
      </w:r>
      <w:r w:rsidR="001D2F31">
        <w:t>suggests</w:t>
      </w:r>
      <w:r>
        <w:t xml:space="preserve"> that </w:t>
      </w:r>
      <w:r w:rsidR="00654210">
        <w:t>the</w:t>
      </w:r>
      <w:r>
        <w:t xml:space="preserve"> </w:t>
      </w:r>
      <w:r w:rsidR="00654210">
        <w:t>inability</w:t>
      </w:r>
      <w:r>
        <w:t xml:space="preserve"> to </w:t>
      </w:r>
      <w:r w:rsidR="00E6337A">
        <w:t>defuse or</w:t>
      </w:r>
      <w:r>
        <w:t xml:space="preserve"> </w:t>
      </w:r>
      <w:proofErr w:type="spellStart"/>
      <w:r w:rsidR="001D2F31">
        <w:t>decenter</w:t>
      </w:r>
      <w:proofErr w:type="spellEnd"/>
      <w:r w:rsidR="001D2F31">
        <w:t xml:space="preserve"> </w:t>
      </w:r>
      <w:r w:rsidR="00654210">
        <w:t>when</w:t>
      </w:r>
      <w:r w:rsidR="001D2F31">
        <w:t xml:space="preserve"> </w:t>
      </w:r>
      <w:r w:rsidR="00F02BC7">
        <w:t>using cannabis</w:t>
      </w:r>
      <w:r w:rsidR="001D2F31">
        <w:t xml:space="preserve"> </w:t>
      </w:r>
      <w:r w:rsidR="00654210">
        <w:t xml:space="preserve">may </w:t>
      </w:r>
      <w:r w:rsidR="00F02BC7">
        <w:t xml:space="preserve">increase </w:t>
      </w:r>
      <w:r w:rsidR="00ED4D11">
        <w:t>psychotic experiences</w:t>
      </w:r>
      <w:r w:rsidR="001D2F31">
        <w:t xml:space="preserve">.  </w:t>
      </w:r>
      <w:r w:rsidR="00D45293">
        <w:t xml:space="preserve">This has </w:t>
      </w:r>
      <w:r w:rsidR="00AC4510">
        <w:t xml:space="preserve">important </w:t>
      </w:r>
      <w:r w:rsidR="00D45293">
        <w:t>implicatio</w:t>
      </w:r>
      <w:r w:rsidR="005056C6">
        <w:t>ns for psychological treatments</w:t>
      </w:r>
      <w:r w:rsidR="004D4E73">
        <w:t xml:space="preserve"> and identifying </w:t>
      </w:r>
      <w:r w:rsidR="00E8489E">
        <w:t>those</w:t>
      </w:r>
      <w:r w:rsidR="004D4E73">
        <w:t xml:space="preserve"> at risk of cannabis-related psychosis. </w:t>
      </w:r>
      <w:r w:rsidR="008F1BE5">
        <w:t xml:space="preserve"> </w:t>
      </w:r>
      <w:r w:rsidR="00DB08F6">
        <w:t>Psychological</w:t>
      </w:r>
      <w:r w:rsidR="00F12F3A">
        <w:t xml:space="preserve"> i</w:t>
      </w:r>
      <w:r w:rsidR="005056C6">
        <w:t xml:space="preserve">nterventions </w:t>
      </w:r>
      <w:r w:rsidR="005D4660">
        <w:t xml:space="preserve">that </w:t>
      </w:r>
      <w:r w:rsidR="008F1BE5">
        <w:t>target</w:t>
      </w:r>
      <w:r w:rsidR="00313FA2">
        <w:t xml:space="preserve"> </w:t>
      </w:r>
      <w:r w:rsidR="001E7AE3">
        <w:t>cognitive fusion</w:t>
      </w:r>
      <w:r w:rsidR="007E3322">
        <w:t xml:space="preserve"> may be</w:t>
      </w:r>
      <w:r w:rsidR="008F1BE5">
        <w:t xml:space="preserve"> more effective than generic approaches</w:t>
      </w:r>
      <w:r w:rsidR="00B95300">
        <w:t xml:space="preserve"> (c.f. </w:t>
      </w:r>
      <w:r w:rsidR="00B95300" w:rsidRPr="00B95300">
        <w:t xml:space="preserve">Garety </w:t>
      </w:r>
      <w:r w:rsidR="00151FC7">
        <w:t>&amp;</w:t>
      </w:r>
      <w:r w:rsidR="00B95300" w:rsidRPr="00B95300">
        <w:t xml:space="preserve"> Freeman, 2013</w:t>
      </w:r>
      <w:r w:rsidR="00B95300">
        <w:t xml:space="preserve">; </w:t>
      </w:r>
      <w:r w:rsidR="00B95300" w:rsidRPr="00B95300">
        <w:t xml:space="preserve">Moritz </w:t>
      </w:r>
      <w:r w:rsidR="00151FC7">
        <w:t>&amp;</w:t>
      </w:r>
      <w:r w:rsidR="00B95300" w:rsidRPr="00B95300">
        <w:t xml:space="preserve"> Lysaker, 2018)</w:t>
      </w:r>
      <w:r w:rsidR="004D7E55">
        <w:t>.  P</w:t>
      </w:r>
      <w:r w:rsidR="00C94F61">
        <w:t xml:space="preserve">eople </w:t>
      </w:r>
      <w:r w:rsidR="00313FA2">
        <w:t xml:space="preserve">prone to </w:t>
      </w:r>
      <w:r w:rsidR="001E7AE3">
        <w:t>cognitive fusion</w:t>
      </w:r>
      <w:r w:rsidR="00313FA2">
        <w:t xml:space="preserve">, particularly those with a history of </w:t>
      </w:r>
      <w:r w:rsidR="00CC489D">
        <w:t>developmental trauma</w:t>
      </w:r>
      <w:r w:rsidR="00313FA2">
        <w:t xml:space="preserve"> and </w:t>
      </w:r>
      <w:r w:rsidR="00C94F61">
        <w:t xml:space="preserve">high in </w:t>
      </w:r>
      <w:r w:rsidR="00B065FC" w:rsidRPr="00B065FC">
        <w:t>schizotypy</w:t>
      </w:r>
      <w:r w:rsidR="00313FA2">
        <w:t>,</w:t>
      </w:r>
      <w:r w:rsidR="00B065FC" w:rsidRPr="00B065FC">
        <w:t xml:space="preserve"> </w:t>
      </w:r>
      <w:r w:rsidR="004D7E55">
        <w:t>may</w:t>
      </w:r>
      <w:r w:rsidR="00C94F61">
        <w:t xml:space="preserve"> </w:t>
      </w:r>
      <w:r w:rsidR="004D4E73">
        <w:t xml:space="preserve">be at </w:t>
      </w:r>
      <w:r w:rsidR="00F31B19">
        <w:t>higher</w:t>
      </w:r>
      <w:r w:rsidR="004D4E73">
        <w:t xml:space="preserve"> risk for cannabis-related psychosis.</w:t>
      </w:r>
    </w:p>
    <w:p w14:paraId="378A740A" w14:textId="0A2AFF36" w:rsidR="00E40D74" w:rsidRDefault="00E40D74" w:rsidP="006A5DDA">
      <w:pPr>
        <w:spacing w:after="120" w:line="480" w:lineRule="auto"/>
        <w:jc w:val="both"/>
      </w:pPr>
      <w:r>
        <w:br w:type="page"/>
      </w:r>
    </w:p>
    <w:p w14:paraId="47B39CE6" w14:textId="3E356D8C" w:rsidR="00E234F3" w:rsidRPr="005D2587" w:rsidRDefault="00126925" w:rsidP="00E234F3">
      <w:pPr>
        <w:spacing w:after="120" w:line="480" w:lineRule="auto"/>
        <w:contextualSpacing/>
        <w:jc w:val="both"/>
        <w:rPr>
          <w:b/>
          <w:color w:val="000000"/>
        </w:rPr>
      </w:pPr>
      <w:r>
        <w:rPr>
          <w:b/>
          <w:color w:val="000000"/>
        </w:rPr>
        <w:t>Disclosure</w:t>
      </w:r>
      <w:r w:rsidR="00E234F3" w:rsidRPr="005D2587">
        <w:rPr>
          <w:b/>
          <w:color w:val="000000"/>
        </w:rPr>
        <w:t xml:space="preserve"> of interest</w:t>
      </w:r>
    </w:p>
    <w:p w14:paraId="5DA8D29A" w14:textId="6869D815" w:rsidR="00E234F3" w:rsidRPr="002579FB" w:rsidRDefault="00E234F3" w:rsidP="00E40D74">
      <w:pPr>
        <w:spacing w:after="120" w:line="480" w:lineRule="auto"/>
        <w:jc w:val="both"/>
      </w:pPr>
      <w:r>
        <w:t xml:space="preserve">Please see title page for </w:t>
      </w:r>
      <w:r w:rsidR="002A6220">
        <w:t xml:space="preserve">research and fellowship </w:t>
      </w:r>
      <w:r>
        <w:t xml:space="preserve">funding details </w:t>
      </w:r>
      <w:r w:rsidR="00126925">
        <w:t>for</w:t>
      </w:r>
      <w:r>
        <w:t xml:space="preserve"> specific contributors.</w:t>
      </w:r>
    </w:p>
    <w:p w14:paraId="03F2DC26" w14:textId="77777777" w:rsidR="00C97ACC" w:rsidRDefault="00C97ACC" w:rsidP="00E40D74">
      <w:pPr>
        <w:spacing w:after="120" w:line="480" w:lineRule="auto"/>
        <w:jc w:val="both"/>
        <w:rPr>
          <w:b/>
          <w:bCs/>
        </w:rPr>
      </w:pPr>
    </w:p>
    <w:p w14:paraId="1DE08F82" w14:textId="77777777" w:rsidR="00E40D74" w:rsidRDefault="00E40D74" w:rsidP="00E40D74">
      <w:pPr>
        <w:spacing w:after="120" w:line="480" w:lineRule="auto"/>
        <w:jc w:val="both"/>
      </w:pPr>
    </w:p>
    <w:p w14:paraId="6F22A283" w14:textId="77777777" w:rsidR="00E40D74" w:rsidRDefault="00E40D74" w:rsidP="00E40D74">
      <w:pPr>
        <w:spacing w:after="120" w:line="480" w:lineRule="auto"/>
        <w:jc w:val="both"/>
      </w:pPr>
    </w:p>
    <w:p w14:paraId="6A3F56DF" w14:textId="359105B9" w:rsidR="00E40D74" w:rsidRPr="004D4E73" w:rsidRDefault="00E40D74" w:rsidP="006A5DDA">
      <w:pPr>
        <w:spacing w:after="120" w:line="480" w:lineRule="auto"/>
        <w:jc w:val="both"/>
      </w:pPr>
    </w:p>
    <w:p w14:paraId="797A2F9E" w14:textId="0555EF61" w:rsidR="007D248A" w:rsidRDefault="007D248A" w:rsidP="009C1D11">
      <w:pPr>
        <w:spacing w:after="120" w:line="480" w:lineRule="auto"/>
        <w:jc w:val="both"/>
        <w:rPr>
          <w:b/>
        </w:rPr>
      </w:pPr>
      <w:r>
        <w:rPr>
          <w:b/>
        </w:rPr>
        <w:br w:type="page"/>
      </w:r>
    </w:p>
    <w:p w14:paraId="4773F95F" w14:textId="3525703E" w:rsidR="007D248A" w:rsidRPr="007D248A" w:rsidRDefault="007D248A" w:rsidP="006451D3">
      <w:pPr>
        <w:spacing w:after="120" w:line="480" w:lineRule="auto"/>
        <w:jc w:val="both"/>
        <w:rPr>
          <w:b/>
        </w:rPr>
      </w:pPr>
      <w:r w:rsidRPr="007D248A">
        <w:rPr>
          <w:b/>
        </w:rPr>
        <w:t>References</w:t>
      </w:r>
    </w:p>
    <w:p w14:paraId="1CF952AE" w14:textId="56761A59" w:rsidR="006451D3" w:rsidRDefault="006451D3" w:rsidP="006451D3">
      <w:pPr>
        <w:spacing w:after="120" w:line="480" w:lineRule="auto"/>
        <w:rPr>
          <w:rFonts w:asciiTheme="majorBidi" w:hAnsiTheme="majorBidi" w:cstheme="majorBidi"/>
        </w:rPr>
      </w:pPr>
      <w:proofErr w:type="spellStart"/>
      <w:r w:rsidRPr="00CE0556">
        <w:rPr>
          <w:rFonts w:asciiTheme="majorBidi" w:hAnsiTheme="majorBidi" w:cstheme="majorBidi"/>
        </w:rPr>
        <w:t>Barkus</w:t>
      </w:r>
      <w:proofErr w:type="spellEnd"/>
      <w:r w:rsidRPr="00CE0556">
        <w:rPr>
          <w:rFonts w:asciiTheme="majorBidi" w:hAnsiTheme="majorBidi" w:cstheme="majorBidi"/>
        </w:rPr>
        <w:t xml:space="preserve">, E., </w:t>
      </w:r>
      <w:r w:rsidR="00151FC7">
        <w:rPr>
          <w:rFonts w:asciiTheme="majorBidi" w:hAnsiTheme="majorBidi" w:cstheme="majorBidi"/>
        </w:rPr>
        <w:t xml:space="preserve">&amp; </w:t>
      </w:r>
      <w:r w:rsidRPr="00CE0556">
        <w:rPr>
          <w:rFonts w:asciiTheme="majorBidi" w:hAnsiTheme="majorBidi" w:cstheme="majorBidi"/>
        </w:rPr>
        <w:t xml:space="preserve">Lewis, S. </w:t>
      </w:r>
      <w:r w:rsidR="00C8613A">
        <w:rPr>
          <w:rFonts w:asciiTheme="majorBidi" w:hAnsiTheme="majorBidi" w:cstheme="majorBidi"/>
        </w:rPr>
        <w:t>(</w:t>
      </w:r>
      <w:r w:rsidRPr="00CE0556">
        <w:rPr>
          <w:rFonts w:asciiTheme="majorBidi" w:hAnsiTheme="majorBidi" w:cstheme="majorBidi"/>
        </w:rPr>
        <w:t>2008</w:t>
      </w:r>
      <w:r w:rsidR="00A25A27">
        <w:rPr>
          <w:rFonts w:asciiTheme="majorBidi" w:hAnsiTheme="majorBidi" w:cstheme="majorBidi"/>
        </w:rPr>
        <w:t>)</w:t>
      </w:r>
      <w:r w:rsidRPr="00CE0556">
        <w:rPr>
          <w:rFonts w:asciiTheme="majorBidi" w:hAnsiTheme="majorBidi" w:cstheme="majorBidi"/>
        </w:rPr>
        <w:t xml:space="preserve">. Schizotypy and psychosis-like experiences form recreational cannabis in a non-clinical sample. </w:t>
      </w:r>
      <w:r w:rsidRPr="00A25A27">
        <w:rPr>
          <w:rFonts w:asciiTheme="majorBidi" w:hAnsiTheme="majorBidi" w:cstheme="majorBidi"/>
          <w:i/>
          <w:iCs/>
        </w:rPr>
        <w:t>Psychological Medicine</w:t>
      </w:r>
      <w:r w:rsidR="00A25A27">
        <w:rPr>
          <w:rFonts w:asciiTheme="majorBidi" w:hAnsiTheme="majorBidi" w:cstheme="majorBidi"/>
          <w:i/>
          <w:iCs/>
        </w:rPr>
        <w:t>,</w:t>
      </w:r>
      <w:r w:rsidRPr="00A25A27">
        <w:rPr>
          <w:rFonts w:asciiTheme="majorBidi" w:hAnsiTheme="majorBidi" w:cstheme="majorBidi"/>
          <w:i/>
          <w:iCs/>
        </w:rPr>
        <w:t xml:space="preserve"> 32</w:t>
      </w:r>
      <w:r w:rsidRPr="00CE0556">
        <w:rPr>
          <w:rFonts w:asciiTheme="majorBidi" w:hAnsiTheme="majorBidi" w:cstheme="majorBidi"/>
        </w:rPr>
        <w:t>(9) 1267-1276.</w:t>
      </w:r>
    </w:p>
    <w:p w14:paraId="0A18B310" w14:textId="4FFC8B28" w:rsidR="0065138D" w:rsidRPr="00CE0556" w:rsidRDefault="0065138D" w:rsidP="0065138D">
      <w:pPr>
        <w:spacing w:after="120" w:line="480" w:lineRule="auto"/>
        <w:rPr>
          <w:rFonts w:asciiTheme="majorBidi" w:hAnsiTheme="majorBidi" w:cstheme="majorBidi"/>
        </w:rPr>
      </w:pPr>
      <w:proofErr w:type="spellStart"/>
      <w:r w:rsidRPr="0065138D">
        <w:rPr>
          <w:rFonts w:asciiTheme="majorBidi" w:hAnsiTheme="majorBidi" w:cstheme="majorBidi"/>
        </w:rPr>
        <w:t>Barkus</w:t>
      </w:r>
      <w:proofErr w:type="spellEnd"/>
      <w:r w:rsidRPr="0065138D">
        <w:rPr>
          <w:rFonts w:asciiTheme="majorBidi" w:hAnsiTheme="majorBidi" w:cstheme="majorBidi"/>
        </w:rPr>
        <w:t xml:space="preserve">, E. J., Stirling, J., Hopkins, R. S., </w:t>
      </w:r>
      <w:r w:rsidR="00151FC7">
        <w:rPr>
          <w:rFonts w:asciiTheme="majorBidi" w:hAnsiTheme="majorBidi" w:cstheme="majorBidi"/>
        </w:rPr>
        <w:t xml:space="preserve">&amp; </w:t>
      </w:r>
      <w:r w:rsidRPr="0065138D">
        <w:rPr>
          <w:rFonts w:asciiTheme="majorBidi" w:hAnsiTheme="majorBidi" w:cstheme="majorBidi"/>
        </w:rPr>
        <w:t>Lewis, S.</w:t>
      </w:r>
      <w:r w:rsidR="00A25A27">
        <w:rPr>
          <w:rFonts w:asciiTheme="majorBidi" w:hAnsiTheme="majorBidi" w:cstheme="majorBidi"/>
        </w:rPr>
        <w:t xml:space="preserve"> (</w:t>
      </w:r>
      <w:r w:rsidRPr="0065138D">
        <w:rPr>
          <w:rFonts w:asciiTheme="majorBidi" w:hAnsiTheme="majorBidi" w:cstheme="majorBidi"/>
        </w:rPr>
        <w:t>2006</w:t>
      </w:r>
      <w:r w:rsidR="00A25A27">
        <w:rPr>
          <w:rFonts w:asciiTheme="majorBidi" w:hAnsiTheme="majorBidi" w:cstheme="majorBidi"/>
        </w:rPr>
        <w:t>)</w:t>
      </w:r>
      <w:r w:rsidRPr="0065138D">
        <w:rPr>
          <w:rFonts w:asciiTheme="majorBidi" w:hAnsiTheme="majorBidi" w:cstheme="majorBidi"/>
        </w:rPr>
        <w:t xml:space="preserve">. Cannabis-induced psychosis-like experiences are associated with high schizotypy. </w:t>
      </w:r>
      <w:r w:rsidRPr="00A25A27">
        <w:rPr>
          <w:rFonts w:asciiTheme="majorBidi" w:hAnsiTheme="majorBidi" w:cstheme="majorBidi"/>
          <w:i/>
          <w:iCs/>
        </w:rPr>
        <w:t>Psychopathology</w:t>
      </w:r>
      <w:r w:rsidR="00A25A27" w:rsidRPr="00A25A27">
        <w:rPr>
          <w:rFonts w:asciiTheme="majorBidi" w:hAnsiTheme="majorBidi" w:cstheme="majorBidi"/>
          <w:i/>
          <w:iCs/>
        </w:rPr>
        <w:t xml:space="preserve">, </w:t>
      </w:r>
      <w:r w:rsidRPr="00A25A27">
        <w:rPr>
          <w:rFonts w:asciiTheme="majorBidi" w:hAnsiTheme="majorBidi" w:cstheme="majorBidi"/>
          <w:i/>
          <w:iCs/>
        </w:rPr>
        <w:t>39,</w:t>
      </w:r>
      <w:r w:rsidRPr="0065138D">
        <w:rPr>
          <w:rFonts w:asciiTheme="majorBidi" w:hAnsiTheme="majorBidi" w:cstheme="majorBidi"/>
        </w:rPr>
        <w:t xml:space="preserve"> 175-178.</w:t>
      </w:r>
    </w:p>
    <w:p w14:paraId="23E598DB" w14:textId="332D9AB3" w:rsidR="006451D3" w:rsidRPr="00CE0556" w:rsidRDefault="006451D3" w:rsidP="006451D3">
      <w:pPr>
        <w:spacing w:after="120" w:line="480" w:lineRule="auto"/>
        <w:rPr>
          <w:rFonts w:asciiTheme="majorBidi" w:hAnsiTheme="majorBidi" w:cstheme="majorBidi"/>
          <w:lang w:val="en"/>
        </w:rPr>
      </w:pPr>
      <w:r w:rsidRPr="00CE0556">
        <w:rPr>
          <w:rFonts w:asciiTheme="majorBidi" w:hAnsiTheme="majorBidi" w:cstheme="majorBidi"/>
        </w:rPr>
        <w:t xml:space="preserve">Barrowclough, C., Marshall, M., Gregg, L., Fitzsimmons, M., </w:t>
      </w:r>
      <w:proofErr w:type="spellStart"/>
      <w:r w:rsidRPr="00CE0556">
        <w:rPr>
          <w:rFonts w:asciiTheme="majorBidi" w:hAnsiTheme="majorBidi" w:cstheme="majorBidi"/>
        </w:rPr>
        <w:t>Tomenson</w:t>
      </w:r>
      <w:proofErr w:type="spellEnd"/>
      <w:r w:rsidRPr="00CE0556">
        <w:rPr>
          <w:rFonts w:asciiTheme="majorBidi" w:hAnsiTheme="majorBidi" w:cstheme="majorBidi"/>
        </w:rPr>
        <w:t xml:space="preserve">, B., Warburton, J., </w:t>
      </w:r>
      <w:r w:rsidR="00151FC7">
        <w:rPr>
          <w:rFonts w:asciiTheme="majorBidi" w:hAnsiTheme="majorBidi" w:cstheme="majorBidi"/>
        </w:rPr>
        <w:t xml:space="preserve">&amp; </w:t>
      </w:r>
      <w:proofErr w:type="spellStart"/>
      <w:r w:rsidRPr="00CE0556">
        <w:rPr>
          <w:rFonts w:asciiTheme="majorBidi" w:hAnsiTheme="majorBidi" w:cstheme="majorBidi"/>
        </w:rPr>
        <w:t>Lobban</w:t>
      </w:r>
      <w:proofErr w:type="spellEnd"/>
      <w:r w:rsidRPr="00CE0556">
        <w:rPr>
          <w:rFonts w:asciiTheme="majorBidi" w:hAnsiTheme="majorBidi" w:cstheme="majorBidi"/>
        </w:rPr>
        <w:t>, F.</w:t>
      </w:r>
      <w:r w:rsidR="00A25A27">
        <w:rPr>
          <w:rFonts w:asciiTheme="majorBidi" w:hAnsiTheme="majorBidi" w:cstheme="majorBidi"/>
        </w:rPr>
        <w:t xml:space="preserve"> (</w:t>
      </w:r>
      <w:r w:rsidRPr="00CE0556">
        <w:rPr>
          <w:rFonts w:asciiTheme="majorBidi" w:hAnsiTheme="majorBidi" w:cstheme="majorBidi"/>
        </w:rPr>
        <w:t>2014</w:t>
      </w:r>
      <w:r w:rsidR="00A25A27">
        <w:rPr>
          <w:rFonts w:asciiTheme="majorBidi" w:hAnsiTheme="majorBidi" w:cstheme="majorBidi"/>
        </w:rPr>
        <w:t>)</w:t>
      </w:r>
      <w:r w:rsidRPr="00CE0556">
        <w:rPr>
          <w:rFonts w:asciiTheme="majorBidi" w:hAnsiTheme="majorBidi" w:cstheme="majorBidi"/>
        </w:rPr>
        <w:t xml:space="preserve">. </w:t>
      </w:r>
      <w:r w:rsidRPr="00CE0556">
        <w:rPr>
          <w:rFonts w:asciiTheme="majorBidi" w:hAnsiTheme="majorBidi" w:cstheme="majorBidi"/>
          <w:lang w:val="en"/>
        </w:rPr>
        <w:t xml:space="preserve">A phase-specific psychological therapy for people with problematic cannabis use following a first episode of psychosis: a randomized controlled trial. </w:t>
      </w:r>
      <w:r w:rsidRPr="00A25A27">
        <w:rPr>
          <w:rFonts w:asciiTheme="majorBidi" w:hAnsiTheme="majorBidi" w:cstheme="majorBidi"/>
          <w:i/>
          <w:iCs/>
          <w:lang w:val="en"/>
        </w:rPr>
        <w:t>Psychological Medicine</w:t>
      </w:r>
      <w:r w:rsidR="00A25A27" w:rsidRPr="00A25A27">
        <w:rPr>
          <w:rFonts w:asciiTheme="majorBidi" w:hAnsiTheme="majorBidi" w:cstheme="majorBidi"/>
          <w:i/>
          <w:iCs/>
          <w:lang w:val="en"/>
        </w:rPr>
        <w:t>,</w:t>
      </w:r>
      <w:r w:rsidRPr="00A25A27">
        <w:rPr>
          <w:rFonts w:asciiTheme="majorBidi" w:hAnsiTheme="majorBidi" w:cstheme="majorBidi"/>
          <w:i/>
          <w:iCs/>
          <w:lang w:val="en"/>
        </w:rPr>
        <w:t xml:space="preserve"> 44</w:t>
      </w:r>
      <w:r w:rsidRPr="00CE0556">
        <w:rPr>
          <w:rFonts w:asciiTheme="majorBidi" w:hAnsiTheme="majorBidi" w:cstheme="majorBidi"/>
          <w:lang w:val="en"/>
        </w:rPr>
        <w:t>(13) 2749-2761.</w:t>
      </w:r>
    </w:p>
    <w:p w14:paraId="58302D24" w14:textId="1B603F2B" w:rsidR="006451D3" w:rsidRPr="00CE0556" w:rsidRDefault="006451D3" w:rsidP="006451D3">
      <w:pPr>
        <w:autoSpaceDE w:val="0"/>
        <w:autoSpaceDN w:val="0"/>
        <w:adjustRightInd w:val="0"/>
        <w:spacing w:after="120" w:line="480" w:lineRule="auto"/>
        <w:rPr>
          <w:rFonts w:asciiTheme="majorBidi" w:hAnsiTheme="majorBidi" w:cstheme="majorBidi"/>
        </w:rPr>
      </w:pPr>
      <w:r w:rsidRPr="00CE0556">
        <w:rPr>
          <w:rFonts w:asciiTheme="majorBidi" w:hAnsiTheme="majorBidi" w:cstheme="majorBidi"/>
        </w:rPr>
        <w:t xml:space="preserve">Bernstein, A., </w:t>
      </w:r>
      <w:proofErr w:type="spellStart"/>
      <w:r w:rsidRPr="00CE0556">
        <w:rPr>
          <w:rFonts w:asciiTheme="majorBidi" w:hAnsiTheme="majorBidi" w:cstheme="majorBidi"/>
        </w:rPr>
        <w:t>Hadash</w:t>
      </w:r>
      <w:proofErr w:type="spellEnd"/>
      <w:r w:rsidRPr="00CE0556">
        <w:rPr>
          <w:rFonts w:asciiTheme="majorBidi" w:hAnsiTheme="majorBidi" w:cstheme="majorBidi"/>
        </w:rPr>
        <w:t xml:space="preserve">, Y., </w:t>
      </w:r>
      <w:proofErr w:type="spellStart"/>
      <w:r w:rsidRPr="00CE0556">
        <w:rPr>
          <w:rFonts w:asciiTheme="majorBidi" w:hAnsiTheme="majorBidi" w:cstheme="majorBidi"/>
        </w:rPr>
        <w:t>Lichtash</w:t>
      </w:r>
      <w:proofErr w:type="spellEnd"/>
      <w:r w:rsidRPr="00CE0556">
        <w:rPr>
          <w:rFonts w:asciiTheme="majorBidi" w:hAnsiTheme="majorBidi" w:cstheme="majorBidi"/>
        </w:rPr>
        <w:t xml:space="preserve">, Y., </w:t>
      </w:r>
      <w:proofErr w:type="spellStart"/>
      <w:r w:rsidRPr="00CE0556">
        <w:rPr>
          <w:rFonts w:asciiTheme="majorBidi" w:hAnsiTheme="majorBidi" w:cstheme="majorBidi"/>
        </w:rPr>
        <w:t>Tanay</w:t>
      </w:r>
      <w:proofErr w:type="spellEnd"/>
      <w:r w:rsidRPr="00CE0556">
        <w:rPr>
          <w:rFonts w:asciiTheme="majorBidi" w:hAnsiTheme="majorBidi" w:cstheme="majorBidi"/>
        </w:rPr>
        <w:t xml:space="preserve">, G., Shepherd, K., </w:t>
      </w:r>
      <w:r w:rsidR="00151FC7">
        <w:rPr>
          <w:rFonts w:asciiTheme="majorBidi" w:hAnsiTheme="majorBidi" w:cstheme="majorBidi"/>
        </w:rPr>
        <w:t xml:space="preserve">&amp; </w:t>
      </w:r>
      <w:r w:rsidRPr="00CE0556">
        <w:rPr>
          <w:rFonts w:asciiTheme="majorBidi" w:hAnsiTheme="majorBidi" w:cstheme="majorBidi"/>
        </w:rPr>
        <w:t>Fresco, D. M.</w:t>
      </w:r>
      <w:r w:rsidR="00A25A27">
        <w:rPr>
          <w:rFonts w:asciiTheme="majorBidi" w:hAnsiTheme="majorBidi" w:cstheme="majorBidi"/>
        </w:rPr>
        <w:t xml:space="preserve"> (</w:t>
      </w:r>
      <w:r w:rsidRPr="00CE0556">
        <w:rPr>
          <w:rFonts w:asciiTheme="majorBidi" w:hAnsiTheme="majorBidi" w:cstheme="majorBidi"/>
        </w:rPr>
        <w:t>2015</w:t>
      </w:r>
      <w:r w:rsidR="00A25A27">
        <w:rPr>
          <w:rFonts w:asciiTheme="majorBidi" w:hAnsiTheme="majorBidi" w:cstheme="majorBidi"/>
        </w:rPr>
        <w:t>)</w:t>
      </w:r>
      <w:r w:rsidRPr="00CE0556">
        <w:rPr>
          <w:rFonts w:asciiTheme="majorBidi" w:hAnsiTheme="majorBidi" w:cstheme="majorBidi"/>
        </w:rPr>
        <w:t xml:space="preserve">. </w:t>
      </w:r>
      <w:proofErr w:type="spellStart"/>
      <w:r w:rsidRPr="00CE0556">
        <w:rPr>
          <w:rFonts w:asciiTheme="majorBidi" w:hAnsiTheme="majorBidi" w:cstheme="majorBidi"/>
        </w:rPr>
        <w:t>Decentering</w:t>
      </w:r>
      <w:proofErr w:type="spellEnd"/>
      <w:r w:rsidRPr="00CE0556">
        <w:rPr>
          <w:rFonts w:asciiTheme="majorBidi" w:hAnsiTheme="majorBidi" w:cstheme="majorBidi"/>
        </w:rPr>
        <w:t xml:space="preserve"> and </w:t>
      </w:r>
      <w:r w:rsidR="00A25A27">
        <w:rPr>
          <w:rFonts w:asciiTheme="majorBidi" w:hAnsiTheme="majorBidi" w:cstheme="majorBidi"/>
        </w:rPr>
        <w:t>r</w:t>
      </w:r>
      <w:r w:rsidRPr="00CE0556">
        <w:rPr>
          <w:rFonts w:asciiTheme="majorBidi" w:hAnsiTheme="majorBidi" w:cstheme="majorBidi"/>
        </w:rPr>
        <w:t xml:space="preserve">elated </w:t>
      </w:r>
      <w:r w:rsidR="00A25A27">
        <w:rPr>
          <w:rFonts w:asciiTheme="majorBidi" w:hAnsiTheme="majorBidi" w:cstheme="majorBidi"/>
        </w:rPr>
        <w:t>c</w:t>
      </w:r>
      <w:r w:rsidRPr="00CE0556">
        <w:rPr>
          <w:rFonts w:asciiTheme="majorBidi" w:hAnsiTheme="majorBidi" w:cstheme="majorBidi"/>
        </w:rPr>
        <w:t xml:space="preserve">onstructs: A </w:t>
      </w:r>
      <w:r w:rsidR="00A25A27">
        <w:rPr>
          <w:rFonts w:asciiTheme="majorBidi" w:hAnsiTheme="majorBidi" w:cstheme="majorBidi"/>
        </w:rPr>
        <w:t>c</w:t>
      </w:r>
      <w:r w:rsidRPr="00CE0556">
        <w:rPr>
          <w:rFonts w:asciiTheme="majorBidi" w:hAnsiTheme="majorBidi" w:cstheme="majorBidi"/>
        </w:rPr>
        <w:t xml:space="preserve">ritical </w:t>
      </w:r>
      <w:r w:rsidR="00A25A27">
        <w:rPr>
          <w:rFonts w:asciiTheme="majorBidi" w:hAnsiTheme="majorBidi" w:cstheme="majorBidi"/>
        </w:rPr>
        <w:t>r</w:t>
      </w:r>
      <w:r w:rsidRPr="00CE0556">
        <w:rPr>
          <w:rFonts w:asciiTheme="majorBidi" w:hAnsiTheme="majorBidi" w:cstheme="majorBidi"/>
        </w:rPr>
        <w:t xml:space="preserve">eview and </w:t>
      </w:r>
      <w:r w:rsidR="00A25A27">
        <w:rPr>
          <w:rFonts w:asciiTheme="majorBidi" w:hAnsiTheme="majorBidi" w:cstheme="majorBidi"/>
        </w:rPr>
        <w:t>m</w:t>
      </w:r>
      <w:r w:rsidRPr="00CE0556">
        <w:rPr>
          <w:rFonts w:asciiTheme="majorBidi" w:hAnsiTheme="majorBidi" w:cstheme="majorBidi"/>
        </w:rPr>
        <w:t xml:space="preserve">etacognitive </w:t>
      </w:r>
      <w:r w:rsidR="00A25A27">
        <w:rPr>
          <w:rFonts w:asciiTheme="majorBidi" w:hAnsiTheme="majorBidi" w:cstheme="majorBidi"/>
        </w:rPr>
        <w:t>p</w:t>
      </w:r>
      <w:r w:rsidRPr="00CE0556">
        <w:rPr>
          <w:rFonts w:asciiTheme="majorBidi" w:hAnsiTheme="majorBidi" w:cstheme="majorBidi"/>
        </w:rPr>
        <w:t>rocesses</w:t>
      </w:r>
      <w:r w:rsidR="00A25A27">
        <w:rPr>
          <w:rFonts w:asciiTheme="majorBidi" w:hAnsiTheme="majorBidi" w:cstheme="majorBidi"/>
        </w:rPr>
        <w:t xml:space="preserve"> m</w:t>
      </w:r>
      <w:r w:rsidRPr="00CE0556">
        <w:rPr>
          <w:rFonts w:asciiTheme="majorBidi" w:hAnsiTheme="majorBidi" w:cstheme="majorBidi"/>
        </w:rPr>
        <w:t xml:space="preserve">odel. </w:t>
      </w:r>
      <w:r w:rsidRPr="00A25A27">
        <w:rPr>
          <w:rFonts w:asciiTheme="majorBidi" w:hAnsiTheme="majorBidi" w:cstheme="majorBidi"/>
          <w:i/>
          <w:iCs/>
        </w:rPr>
        <w:t>Perspectives on Psychological Science</w:t>
      </w:r>
      <w:r w:rsidR="00A25A27" w:rsidRPr="00A25A27">
        <w:rPr>
          <w:rFonts w:asciiTheme="majorBidi" w:hAnsiTheme="majorBidi" w:cstheme="majorBidi"/>
          <w:i/>
          <w:iCs/>
        </w:rPr>
        <w:t>,</w:t>
      </w:r>
      <w:r w:rsidRPr="00A25A27">
        <w:rPr>
          <w:rFonts w:asciiTheme="majorBidi" w:hAnsiTheme="majorBidi" w:cstheme="majorBidi"/>
          <w:i/>
          <w:iCs/>
        </w:rPr>
        <w:t xml:space="preserve"> 10</w:t>
      </w:r>
      <w:r w:rsidRPr="00CE0556">
        <w:rPr>
          <w:rFonts w:asciiTheme="majorBidi" w:hAnsiTheme="majorBidi" w:cstheme="majorBidi"/>
        </w:rPr>
        <w:t>(5) 599–617.</w:t>
      </w:r>
    </w:p>
    <w:p w14:paraId="4B40B524" w14:textId="589CE179" w:rsidR="006451D3" w:rsidRPr="00CE0556" w:rsidRDefault="006451D3" w:rsidP="006451D3">
      <w:pPr>
        <w:spacing w:after="120" w:line="480" w:lineRule="auto"/>
        <w:rPr>
          <w:rFonts w:asciiTheme="majorBidi" w:hAnsiTheme="majorBidi" w:cstheme="majorBidi"/>
          <w:lang w:val="en"/>
        </w:rPr>
      </w:pPr>
      <w:r w:rsidRPr="00CE0556">
        <w:rPr>
          <w:rFonts w:asciiTheme="majorBidi" w:hAnsiTheme="majorBidi" w:cstheme="majorBidi"/>
          <w:lang w:val="en"/>
        </w:rPr>
        <w:t xml:space="preserve">Bhattacharyya, S., </w:t>
      </w:r>
      <w:proofErr w:type="spellStart"/>
      <w:r w:rsidRPr="00CE0556">
        <w:rPr>
          <w:rFonts w:asciiTheme="majorBidi" w:hAnsiTheme="majorBidi" w:cstheme="majorBidi"/>
          <w:lang w:val="en"/>
        </w:rPr>
        <w:t>Atakan</w:t>
      </w:r>
      <w:proofErr w:type="spellEnd"/>
      <w:r w:rsidRPr="00CE0556">
        <w:rPr>
          <w:rFonts w:asciiTheme="majorBidi" w:hAnsiTheme="majorBidi" w:cstheme="majorBidi"/>
          <w:lang w:val="en"/>
        </w:rPr>
        <w:t xml:space="preserve">, Z., Martin-Santos, R., </w:t>
      </w:r>
      <w:proofErr w:type="spellStart"/>
      <w:r w:rsidRPr="00CE0556">
        <w:rPr>
          <w:rFonts w:asciiTheme="majorBidi" w:hAnsiTheme="majorBidi" w:cstheme="majorBidi"/>
          <w:lang w:val="en"/>
        </w:rPr>
        <w:t>Crippa</w:t>
      </w:r>
      <w:proofErr w:type="spellEnd"/>
      <w:r w:rsidRPr="00CE0556">
        <w:rPr>
          <w:rFonts w:asciiTheme="majorBidi" w:hAnsiTheme="majorBidi" w:cstheme="majorBidi"/>
          <w:lang w:val="en"/>
        </w:rPr>
        <w:t xml:space="preserve">, J. A., </w:t>
      </w:r>
      <w:proofErr w:type="spellStart"/>
      <w:r w:rsidRPr="00CE0556">
        <w:rPr>
          <w:rFonts w:asciiTheme="majorBidi" w:hAnsiTheme="majorBidi" w:cstheme="majorBidi"/>
          <w:lang w:val="en"/>
        </w:rPr>
        <w:t>Kambeitz</w:t>
      </w:r>
      <w:proofErr w:type="spellEnd"/>
      <w:r w:rsidRPr="00CE0556">
        <w:rPr>
          <w:rFonts w:asciiTheme="majorBidi" w:hAnsiTheme="majorBidi" w:cstheme="majorBidi"/>
          <w:lang w:val="en"/>
        </w:rPr>
        <w:t xml:space="preserve">, J., </w:t>
      </w:r>
      <w:proofErr w:type="spellStart"/>
      <w:r w:rsidRPr="00CE0556">
        <w:rPr>
          <w:rFonts w:asciiTheme="majorBidi" w:hAnsiTheme="majorBidi" w:cstheme="majorBidi"/>
          <w:lang w:val="en"/>
        </w:rPr>
        <w:t>Malhi</w:t>
      </w:r>
      <w:proofErr w:type="spellEnd"/>
      <w:r w:rsidRPr="00CE0556">
        <w:rPr>
          <w:rFonts w:asciiTheme="majorBidi" w:hAnsiTheme="majorBidi" w:cstheme="majorBidi"/>
          <w:lang w:val="en"/>
        </w:rPr>
        <w:t xml:space="preserve">, S., </w:t>
      </w:r>
      <w:proofErr w:type="spellStart"/>
      <w:r w:rsidRPr="00CE0556">
        <w:rPr>
          <w:rFonts w:asciiTheme="majorBidi" w:hAnsiTheme="majorBidi" w:cstheme="majorBidi"/>
          <w:lang w:val="en"/>
        </w:rPr>
        <w:t>Giampietro</w:t>
      </w:r>
      <w:proofErr w:type="spellEnd"/>
      <w:r w:rsidRPr="00CE0556">
        <w:rPr>
          <w:rFonts w:asciiTheme="majorBidi" w:hAnsiTheme="majorBidi" w:cstheme="majorBidi"/>
          <w:lang w:val="en"/>
        </w:rPr>
        <w:t xml:space="preserve">, V., Williams, S., Brammer, M., Rubia, K., Collier, D. A., </w:t>
      </w:r>
      <w:r w:rsidR="00151FC7">
        <w:rPr>
          <w:rFonts w:asciiTheme="majorBidi" w:hAnsiTheme="majorBidi" w:cstheme="majorBidi"/>
          <w:lang w:val="en"/>
        </w:rPr>
        <w:t xml:space="preserve">&amp; </w:t>
      </w:r>
      <w:r w:rsidRPr="00CE0556">
        <w:rPr>
          <w:rFonts w:asciiTheme="majorBidi" w:hAnsiTheme="majorBidi" w:cstheme="majorBidi"/>
          <w:lang w:val="en"/>
        </w:rPr>
        <w:t>McGuire, P. K.</w:t>
      </w:r>
      <w:r w:rsidR="00A25A27">
        <w:rPr>
          <w:rFonts w:asciiTheme="majorBidi" w:hAnsiTheme="majorBidi" w:cstheme="majorBidi"/>
          <w:lang w:val="en"/>
        </w:rPr>
        <w:t xml:space="preserve"> (</w:t>
      </w:r>
      <w:r w:rsidRPr="00CE0556">
        <w:rPr>
          <w:rFonts w:asciiTheme="majorBidi" w:hAnsiTheme="majorBidi" w:cstheme="majorBidi"/>
          <w:lang w:val="en"/>
        </w:rPr>
        <w:t>2015</w:t>
      </w:r>
      <w:r w:rsidR="00A25A27">
        <w:rPr>
          <w:rFonts w:asciiTheme="majorBidi" w:hAnsiTheme="majorBidi" w:cstheme="majorBidi"/>
          <w:lang w:val="en"/>
        </w:rPr>
        <w:t>)</w:t>
      </w:r>
      <w:r w:rsidRPr="00CE0556">
        <w:rPr>
          <w:rFonts w:asciiTheme="majorBidi" w:hAnsiTheme="majorBidi" w:cstheme="majorBidi"/>
          <w:lang w:val="en"/>
        </w:rPr>
        <w:t xml:space="preserve">. Impairment of inhibitory control processing related to acute psychotomimetic effects of cannabis. </w:t>
      </w:r>
      <w:r w:rsidRPr="00A25A27">
        <w:rPr>
          <w:rFonts w:asciiTheme="majorBidi" w:hAnsiTheme="majorBidi" w:cstheme="majorBidi"/>
          <w:i/>
          <w:iCs/>
          <w:lang w:val="en"/>
        </w:rPr>
        <w:t xml:space="preserve">European </w:t>
      </w:r>
      <w:proofErr w:type="spellStart"/>
      <w:r w:rsidRPr="00A25A27">
        <w:rPr>
          <w:rFonts w:asciiTheme="majorBidi" w:hAnsiTheme="majorBidi" w:cstheme="majorBidi"/>
          <w:i/>
          <w:iCs/>
          <w:lang w:val="en"/>
        </w:rPr>
        <w:t>Neuropsychopharmology</w:t>
      </w:r>
      <w:proofErr w:type="spellEnd"/>
      <w:r w:rsidR="00A25A27" w:rsidRPr="00A25A27">
        <w:rPr>
          <w:rFonts w:asciiTheme="majorBidi" w:hAnsiTheme="majorBidi" w:cstheme="majorBidi"/>
          <w:i/>
          <w:iCs/>
          <w:lang w:val="en"/>
        </w:rPr>
        <w:t>,</w:t>
      </w:r>
      <w:r w:rsidRPr="00A25A27">
        <w:rPr>
          <w:rFonts w:asciiTheme="majorBidi" w:hAnsiTheme="majorBidi" w:cstheme="majorBidi"/>
          <w:i/>
          <w:iCs/>
          <w:lang w:val="en"/>
        </w:rPr>
        <w:t xml:space="preserve"> 25</w:t>
      </w:r>
      <w:r w:rsidRPr="00CE0556">
        <w:rPr>
          <w:rFonts w:asciiTheme="majorBidi" w:hAnsiTheme="majorBidi" w:cstheme="majorBidi"/>
          <w:lang w:val="en"/>
        </w:rPr>
        <w:t>(1) 26-37.</w:t>
      </w:r>
    </w:p>
    <w:p w14:paraId="5FBD10EF" w14:textId="56B85096" w:rsidR="00B153CC" w:rsidRDefault="00B153CC" w:rsidP="007B07A7">
      <w:pPr>
        <w:autoSpaceDE w:val="0"/>
        <w:autoSpaceDN w:val="0"/>
        <w:adjustRightInd w:val="0"/>
        <w:spacing w:after="120" w:line="480" w:lineRule="auto"/>
        <w:rPr>
          <w:rFonts w:asciiTheme="majorBidi" w:hAnsiTheme="majorBidi" w:cstheme="majorBidi"/>
        </w:rPr>
      </w:pPr>
      <w:r>
        <w:rPr>
          <w:rFonts w:asciiTheme="majorBidi" w:hAnsiTheme="majorBidi" w:cstheme="majorBidi"/>
        </w:rPr>
        <w:t xml:space="preserve">Bloomfield, M. A. P., </w:t>
      </w:r>
      <w:proofErr w:type="spellStart"/>
      <w:r>
        <w:rPr>
          <w:rFonts w:asciiTheme="majorBidi" w:hAnsiTheme="majorBidi" w:cstheme="majorBidi"/>
        </w:rPr>
        <w:t>Hindocha</w:t>
      </w:r>
      <w:proofErr w:type="spellEnd"/>
      <w:r>
        <w:rPr>
          <w:rFonts w:asciiTheme="majorBidi" w:hAnsiTheme="majorBidi" w:cstheme="majorBidi"/>
        </w:rPr>
        <w:t xml:space="preserve">, C., Green, S. F., Wall, M. B., Lees, R., </w:t>
      </w:r>
      <w:proofErr w:type="spellStart"/>
      <w:r>
        <w:rPr>
          <w:rFonts w:asciiTheme="majorBidi" w:hAnsiTheme="majorBidi" w:cstheme="majorBidi"/>
        </w:rPr>
        <w:t>Petrilli</w:t>
      </w:r>
      <w:proofErr w:type="spellEnd"/>
      <w:r>
        <w:rPr>
          <w:rFonts w:asciiTheme="majorBidi" w:hAnsiTheme="majorBidi" w:cstheme="majorBidi"/>
        </w:rPr>
        <w:t xml:space="preserve">, K., Costello, H., </w:t>
      </w:r>
      <w:proofErr w:type="spellStart"/>
      <w:r>
        <w:rPr>
          <w:rFonts w:asciiTheme="majorBidi" w:hAnsiTheme="majorBidi" w:cstheme="majorBidi"/>
        </w:rPr>
        <w:t>Ogunbiyi</w:t>
      </w:r>
      <w:proofErr w:type="spellEnd"/>
      <w:r>
        <w:rPr>
          <w:rFonts w:asciiTheme="majorBidi" w:hAnsiTheme="majorBidi" w:cstheme="majorBidi"/>
        </w:rPr>
        <w:t xml:space="preserve">, M. G., </w:t>
      </w:r>
      <w:r w:rsidR="00151FC7">
        <w:rPr>
          <w:rFonts w:asciiTheme="majorBidi" w:hAnsiTheme="majorBidi" w:cstheme="majorBidi"/>
        </w:rPr>
        <w:t xml:space="preserve">&amp; </w:t>
      </w:r>
      <w:r>
        <w:rPr>
          <w:rFonts w:asciiTheme="majorBidi" w:hAnsiTheme="majorBidi" w:cstheme="majorBidi"/>
        </w:rPr>
        <w:t>Freeman, T. P.</w:t>
      </w:r>
      <w:r w:rsidR="00A25A27">
        <w:rPr>
          <w:rFonts w:asciiTheme="majorBidi" w:hAnsiTheme="majorBidi" w:cstheme="majorBidi"/>
        </w:rPr>
        <w:t xml:space="preserve"> (</w:t>
      </w:r>
      <w:r>
        <w:rPr>
          <w:rFonts w:asciiTheme="majorBidi" w:hAnsiTheme="majorBidi" w:cstheme="majorBidi"/>
        </w:rPr>
        <w:t>2019</w:t>
      </w:r>
      <w:r w:rsidR="00A25A27">
        <w:rPr>
          <w:rFonts w:asciiTheme="majorBidi" w:hAnsiTheme="majorBidi" w:cstheme="majorBidi"/>
        </w:rPr>
        <w:t>)</w:t>
      </w:r>
      <w:r>
        <w:rPr>
          <w:rFonts w:asciiTheme="majorBidi" w:hAnsiTheme="majorBidi" w:cstheme="majorBidi"/>
        </w:rPr>
        <w:t xml:space="preserve">. The neuropsychopharmacology of cannabis: A review of human imaging studies. </w:t>
      </w:r>
      <w:r w:rsidRPr="00A25A27">
        <w:rPr>
          <w:rFonts w:asciiTheme="majorBidi" w:hAnsiTheme="majorBidi" w:cstheme="majorBidi"/>
          <w:i/>
          <w:iCs/>
        </w:rPr>
        <w:t xml:space="preserve">Pharmacology </w:t>
      </w:r>
      <w:r w:rsidR="009F4424">
        <w:rPr>
          <w:rFonts w:asciiTheme="majorBidi" w:hAnsiTheme="majorBidi" w:cstheme="majorBidi"/>
          <w:i/>
          <w:iCs/>
        </w:rPr>
        <w:t>and</w:t>
      </w:r>
      <w:r w:rsidRPr="00A25A27">
        <w:rPr>
          <w:rFonts w:asciiTheme="majorBidi" w:hAnsiTheme="majorBidi" w:cstheme="majorBidi"/>
          <w:i/>
          <w:iCs/>
        </w:rPr>
        <w:t xml:space="preserve"> Therapeutics</w:t>
      </w:r>
      <w:r w:rsidR="00A25A27">
        <w:rPr>
          <w:rFonts w:asciiTheme="majorBidi" w:hAnsiTheme="majorBidi" w:cstheme="majorBidi"/>
          <w:i/>
          <w:iCs/>
        </w:rPr>
        <w:t>,</w:t>
      </w:r>
      <w:r w:rsidRPr="00A25A27">
        <w:rPr>
          <w:rFonts w:asciiTheme="majorBidi" w:hAnsiTheme="majorBidi" w:cstheme="majorBidi"/>
          <w:i/>
          <w:iCs/>
        </w:rPr>
        <w:t xml:space="preserve"> 195</w:t>
      </w:r>
      <w:r w:rsidR="007B07A7" w:rsidRPr="00A25A27">
        <w:rPr>
          <w:rFonts w:asciiTheme="majorBidi" w:hAnsiTheme="majorBidi" w:cstheme="majorBidi"/>
          <w:i/>
          <w:iCs/>
        </w:rPr>
        <w:t>,</w:t>
      </w:r>
      <w:r w:rsidRPr="00637F63">
        <w:rPr>
          <w:rFonts w:asciiTheme="majorBidi" w:hAnsiTheme="majorBidi" w:cstheme="majorBidi"/>
          <w:color w:val="FF0000"/>
        </w:rPr>
        <w:t xml:space="preserve"> </w:t>
      </w:r>
      <w:r>
        <w:rPr>
          <w:rFonts w:asciiTheme="majorBidi" w:hAnsiTheme="majorBidi" w:cstheme="majorBidi"/>
        </w:rPr>
        <w:t>132-161.</w:t>
      </w:r>
    </w:p>
    <w:p w14:paraId="6B8279A0" w14:textId="0FCEDB50" w:rsidR="00641A38" w:rsidRDefault="00641A38" w:rsidP="00894FF6">
      <w:pPr>
        <w:autoSpaceDE w:val="0"/>
        <w:autoSpaceDN w:val="0"/>
        <w:adjustRightInd w:val="0"/>
        <w:spacing w:after="120" w:line="480" w:lineRule="auto"/>
        <w:rPr>
          <w:rFonts w:asciiTheme="majorBidi" w:hAnsiTheme="majorBidi" w:cstheme="majorBidi"/>
        </w:rPr>
      </w:pPr>
      <w:r w:rsidRPr="00641A38">
        <w:rPr>
          <w:rFonts w:asciiTheme="majorBidi" w:hAnsiTheme="majorBidi" w:cstheme="majorBidi"/>
        </w:rPr>
        <w:t>Bloomfield</w:t>
      </w:r>
      <w:r w:rsidR="00894FF6">
        <w:rPr>
          <w:rFonts w:asciiTheme="majorBidi" w:hAnsiTheme="majorBidi" w:cstheme="majorBidi"/>
        </w:rPr>
        <w:t xml:space="preserve">, M. A. P., </w:t>
      </w:r>
      <w:proofErr w:type="spellStart"/>
      <w:r w:rsidRPr="00641A38">
        <w:rPr>
          <w:rFonts w:asciiTheme="majorBidi" w:hAnsiTheme="majorBidi" w:cstheme="majorBidi"/>
        </w:rPr>
        <w:t>Petrilli</w:t>
      </w:r>
      <w:proofErr w:type="spellEnd"/>
      <w:r w:rsidR="00894FF6">
        <w:rPr>
          <w:rFonts w:asciiTheme="majorBidi" w:hAnsiTheme="majorBidi" w:cstheme="majorBidi"/>
        </w:rPr>
        <w:t>, K.,</w:t>
      </w:r>
      <w:r w:rsidRPr="00641A38">
        <w:rPr>
          <w:rFonts w:asciiTheme="majorBidi" w:hAnsiTheme="majorBidi" w:cstheme="majorBidi"/>
        </w:rPr>
        <w:t xml:space="preserve"> Lees</w:t>
      </w:r>
      <w:r w:rsidR="00894FF6">
        <w:rPr>
          <w:rFonts w:asciiTheme="majorBidi" w:hAnsiTheme="majorBidi" w:cstheme="majorBidi"/>
        </w:rPr>
        <w:t xml:space="preserve">, R. </w:t>
      </w:r>
      <w:proofErr w:type="spellStart"/>
      <w:r w:rsidRPr="00641A38">
        <w:rPr>
          <w:rFonts w:asciiTheme="majorBidi" w:hAnsiTheme="majorBidi" w:cstheme="majorBidi"/>
        </w:rPr>
        <w:t>Hindocha</w:t>
      </w:r>
      <w:proofErr w:type="spellEnd"/>
      <w:r w:rsidR="00894FF6">
        <w:rPr>
          <w:rFonts w:asciiTheme="majorBidi" w:hAnsiTheme="majorBidi" w:cstheme="majorBidi"/>
        </w:rPr>
        <w:t xml:space="preserve">, C., </w:t>
      </w:r>
      <w:r w:rsidRPr="00641A38">
        <w:rPr>
          <w:rFonts w:asciiTheme="majorBidi" w:hAnsiTheme="majorBidi" w:cstheme="majorBidi"/>
        </w:rPr>
        <w:t>Beck</w:t>
      </w:r>
      <w:r w:rsidR="00894FF6">
        <w:rPr>
          <w:rFonts w:asciiTheme="majorBidi" w:hAnsiTheme="majorBidi" w:cstheme="majorBidi"/>
        </w:rPr>
        <w:t xml:space="preserve">, K., </w:t>
      </w:r>
      <w:r w:rsidRPr="00641A38">
        <w:rPr>
          <w:rFonts w:asciiTheme="majorBidi" w:hAnsiTheme="majorBidi" w:cstheme="majorBidi"/>
        </w:rPr>
        <w:t>Rane</w:t>
      </w:r>
      <w:r w:rsidR="00894FF6">
        <w:rPr>
          <w:rFonts w:asciiTheme="majorBidi" w:hAnsiTheme="majorBidi" w:cstheme="majorBidi"/>
        </w:rPr>
        <w:t xml:space="preserve">, N., </w:t>
      </w:r>
      <w:r w:rsidRPr="00641A38">
        <w:rPr>
          <w:rFonts w:asciiTheme="majorBidi" w:hAnsiTheme="majorBidi" w:cstheme="majorBidi"/>
        </w:rPr>
        <w:t>Lythgoe</w:t>
      </w:r>
      <w:r w:rsidR="00894FF6">
        <w:rPr>
          <w:rFonts w:asciiTheme="majorBidi" w:hAnsiTheme="majorBidi" w:cstheme="majorBidi"/>
        </w:rPr>
        <w:t xml:space="preserve">, D. J., </w:t>
      </w:r>
      <w:r w:rsidRPr="00641A38">
        <w:rPr>
          <w:rFonts w:asciiTheme="majorBidi" w:hAnsiTheme="majorBidi" w:cstheme="majorBidi"/>
        </w:rPr>
        <w:t>Stone</w:t>
      </w:r>
      <w:r w:rsidR="00894FF6">
        <w:rPr>
          <w:rFonts w:asciiTheme="majorBidi" w:hAnsiTheme="majorBidi" w:cstheme="majorBidi"/>
        </w:rPr>
        <w:t xml:space="preserve">, J. M., </w:t>
      </w:r>
      <w:r w:rsidRPr="00641A38">
        <w:rPr>
          <w:rFonts w:asciiTheme="majorBidi" w:hAnsiTheme="majorBidi" w:cstheme="majorBidi"/>
        </w:rPr>
        <w:t>Curran</w:t>
      </w:r>
      <w:r w:rsidR="00894FF6">
        <w:rPr>
          <w:rFonts w:asciiTheme="majorBidi" w:hAnsiTheme="majorBidi" w:cstheme="majorBidi"/>
        </w:rPr>
        <w:t xml:space="preserve">, V., </w:t>
      </w:r>
      <w:r w:rsidRPr="00641A38">
        <w:rPr>
          <w:rFonts w:asciiTheme="majorBidi" w:hAnsiTheme="majorBidi" w:cstheme="majorBidi"/>
        </w:rPr>
        <w:t>Howes</w:t>
      </w:r>
      <w:r w:rsidR="00894FF6">
        <w:rPr>
          <w:rFonts w:asciiTheme="majorBidi" w:hAnsiTheme="majorBidi" w:cstheme="majorBidi"/>
        </w:rPr>
        <w:t xml:space="preserve">, O. D., </w:t>
      </w:r>
      <w:r w:rsidR="00151FC7">
        <w:rPr>
          <w:rFonts w:asciiTheme="majorBidi" w:hAnsiTheme="majorBidi" w:cstheme="majorBidi"/>
        </w:rPr>
        <w:t xml:space="preserve">&amp; </w:t>
      </w:r>
      <w:r w:rsidRPr="00641A38">
        <w:rPr>
          <w:rFonts w:asciiTheme="majorBidi" w:hAnsiTheme="majorBidi" w:cstheme="majorBidi"/>
        </w:rPr>
        <w:t>Freeman</w:t>
      </w:r>
      <w:r w:rsidR="00894FF6">
        <w:rPr>
          <w:rFonts w:asciiTheme="majorBidi" w:hAnsiTheme="majorBidi" w:cstheme="majorBidi"/>
        </w:rPr>
        <w:t>, T. P.</w:t>
      </w:r>
      <w:r w:rsidR="00A25A27">
        <w:rPr>
          <w:rFonts w:asciiTheme="majorBidi" w:hAnsiTheme="majorBidi" w:cstheme="majorBidi"/>
        </w:rPr>
        <w:t xml:space="preserve"> (</w:t>
      </w:r>
      <w:r w:rsidR="00894FF6">
        <w:rPr>
          <w:rFonts w:asciiTheme="majorBidi" w:hAnsiTheme="majorBidi" w:cstheme="majorBidi"/>
        </w:rPr>
        <w:t>in submission</w:t>
      </w:r>
      <w:r w:rsidR="00A25A27">
        <w:rPr>
          <w:rFonts w:asciiTheme="majorBidi" w:hAnsiTheme="majorBidi" w:cstheme="majorBidi"/>
        </w:rPr>
        <w:t>).</w:t>
      </w:r>
      <w:r w:rsidR="00894FF6">
        <w:rPr>
          <w:rFonts w:asciiTheme="majorBidi" w:hAnsiTheme="majorBidi" w:cstheme="majorBidi"/>
        </w:rPr>
        <w:t xml:space="preserve"> </w:t>
      </w:r>
      <w:r w:rsidRPr="00641A38">
        <w:rPr>
          <w:rFonts w:asciiTheme="majorBidi" w:hAnsiTheme="majorBidi" w:cstheme="majorBidi"/>
        </w:rPr>
        <w:t>The effects of acute ∆</w:t>
      </w:r>
      <w:r w:rsidRPr="00894FF6">
        <w:rPr>
          <w:rFonts w:asciiTheme="majorBidi" w:hAnsiTheme="majorBidi" w:cstheme="majorBidi"/>
          <w:vertAlign w:val="superscript"/>
        </w:rPr>
        <w:t>9</w:t>
      </w:r>
      <w:r w:rsidRPr="00641A38">
        <w:rPr>
          <w:rFonts w:asciiTheme="majorBidi" w:hAnsiTheme="majorBidi" w:cstheme="majorBidi"/>
        </w:rPr>
        <w:t xml:space="preserve">-tetrahydrocannabinol on striatal glutamatergic function: </w:t>
      </w:r>
      <w:r w:rsidR="00894FF6">
        <w:rPr>
          <w:rFonts w:asciiTheme="majorBidi" w:hAnsiTheme="majorBidi" w:cstheme="majorBidi"/>
        </w:rPr>
        <w:t>A</w:t>
      </w:r>
      <w:r w:rsidRPr="00641A38">
        <w:rPr>
          <w:rFonts w:asciiTheme="majorBidi" w:hAnsiTheme="majorBidi" w:cstheme="majorBidi"/>
        </w:rPr>
        <w:t xml:space="preserve"> magnetic resonance spec</w:t>
      </w:r>
      <w:r w:rsidR="00894FF6">
        <w:rPr>
          <w:rFonts w:asciiTheme="majorBidi" w:hAnsiTheme="majorBidi" w:cstheme="majorBidi"/>
        </w:rPr>
        <w:t>troscopy (1H-MRS) study at 3T.</w:t>
      </w:r>
    </w:p>
    <w:p w14:paraId="0A4EA4BF" w14:textId="232FE45C" w:rsidR="006451D3" w:rsidRPr="00CE0556" w:rsidRDefault="006451D3" w:rsidP="006451D3">
      <w:pPr>
        <w:autoSpaceDE w:val="0"/>
        <w:autoSpaceDN w:val="0"/>
        <w:adjustRightInd w:val="0"/>
        <w:spacing w:after="120" w:line="480" w:lineRule="auto"/>
        <w:rPr>
          <w:rFonts w:asciiTheme="majorBidi" w:hAnsiTheme="majorBidi" w:cstheme="majorBidi"/>
        </w:rPr>
      </w:pPr>
      <w:r w:rsidRPr="00CE0556">
        <w:rPr>
          <w:rFonts w:asciiTheme="majorBidi" w:hAnsiTheme="majorBidi" w:cstheme="majorBidi"/>
        </w:rPr>
        <w:t xml:space="preserve">Bolderston, H., </w:t>
      </w:r>
      <w:proofErr w:type="spellStart"/>
      <w:r w:rsidRPr="00CE0556">
        <w:rPr>
          <w:rFonts w:asciiTheme="majorBidi" w:hAnsiTheme="majorBidi" w:cstheme="majorBidi"/>
        </w:rPr>
        <w:t>Gillanders</w:t>
      </w:r>
      <w:proofErr w:type="spellEnd"/>
      <w:r w:rsidRPr="00CE0556">
        <w:rPr>
          <w:rFonts w:asciiTheme="majorBidi" w:hAnsiTheme="majorBidi" w:cstheme="majorBidi"/>
        </w:rPr>
        <w:t xml:space="preserve">, D. T., Turner, G., Taylor, H. C., </w:t>
      </w:r>
      <w:proofErr w:type="spellStart"/>
      <w:r w:rsidRPr="00CE0556">
        <w:rPr>
          <w:rFonts w:asciiTheme="majorBidi" w:hAnsiTheme="majorBidi" w:cstheme="majorBidi"/>
        </w:rPr>
        <w:t>Ní</w:t>
      </w:r>
      <w:proofErr w:type="spellEnd"/>
      <w:r w:rsidRPr="00CE0556">
        <w:rPr>
          <w:rFonts w:asciiTheme="majorBidi" w:hAnsiTheme="majorBidi" w:cstheme="majorBidi"/>
        </w:rPr>
        <w:t xml:space="preserve"> </w:t>
      </w:r>
      <w:proofErr w:type="spellStart"/>
      <w:r w:rsidRPr="00CE0556">
        <w:rPr>
          <w:rFonts w:asciiTheme="majorBidi" w:hAnsiTheme="majorBidi" w:cstheme="majorBidi"/>
        </w:rPr>
        <w:t>Mhaoileoin</w:t>
      </w:r>
      <w:proofErr w:type="spellEnd"/>
      <w:r w:rsidRPr="00CE0556">
        <w:rPr>
          <w:rFonts w:asciiTheme="majorBidi" w:hAnsiTheme="majorBidi" w:cstheme="majorBidi"/>
        </w:rPr>
        <w:t>, D.,</w:t>
      </w:r>
      <w:r w:rsidR="00A25A27">
        <w:rPr>
          <w:rFonts w:asciiTheme="majorBidi" w:hAnsiTheme="majorBidi" w:cstheme="majorBidi"/>
        </w:rPr>
        <w:t xml:space="preserve"> </w:t>
      </w:r>
      <w:r w:rsidR="00151FC7">
        <w:rPr>
          <w:rFonts w:asciiTheme="majorBidi" w:hAnsiTheme="majorBidi" w:cstheme="majorBidi"/>
        </w:rPr>
        <w:t xml:space="preserve">&amp; </w:t>
      </w:r>
      <w:r w:rsidRPr="00CE0556">
        <w:rPr>
          <w:rFonts w:asciiTheme="majorBidi" w:hAnsiTheme="majorBidi" w:cstheme="majorBidi"/>
        </w:rPr>
        <w:t xml:space="preserve">Coleman, A., </w:t>
      </w:r>
      <w:r w:rsidR="00A25A27">
        <w:rPr>
          <w:rFonts w:asciiTheme="majorBidi" w:hAnsiTheme="majorBidi" w:cstheme="majorBidi"/>
        </w:rPr>
        <w:t>(</w:t>
      </w:r>
      <w:r w:rsidRPr="00CE0556">
        <w:rPr>
          <w:rFonts w:asciiTheme="majorBidi" w:hAnsiTheme="majorBidi" w:cstheme="majorBidi"/>
        </w:rPr>
        <w:t>2018</w:t>
      </w:r>
      <w:r w:rsidR="00A25A27">
        <w:rPr>
          <w:rFonts w:asciiTheme="majorBidi" w:hAnsiTheme="majorBidi" w:cstheme="majorBidi"/>
        </w:rPr>
        <w:t>)</w:t>
      </w:r>
      <w:r w:rsidRPr="00CE0556">
        <w:rPr>
          <w:rFonts w:asciiTheme="majorBidi" w:hAnsiTheme="majorBidi" w:cstheme="majorBidi"/>
        </w:rPr>
        <w:t xml:space="preserve">. The initial validation of a state version of the Cognitive Fusion Questionnaire. </w:t>
      </w:r>
      <w:r w:rsidRPr="00A25A27">
        <w:rPr>
          <w:rFonts w:asciiTheme="majorBidi" w:hAnsiTheme="majorBidi" w:cstheme="majorBidi"/>
          <w:i/>
          <w:iCs/>
        </w:rPr>
        <w:t xml:space="preserve">Journal of Contextual Behavioural Science. </w:t>
      </w:r>
      <w:r w:rsidR="00253D18" w:rsidRPr="00253D18">
        <w:rPr>
          <w:rFonts w:asciiTheme="majorBidi" w:hAnsiTheme="majorBidi" w:cstheme="majorBidi"/>
        </w:rPr>
        <w:t>Advance online</w:t>
      </w:r>
      <w:r w:rsidR="00253D18">
        <w:rPr>
          <w:rFonts w:asciiTheme="majorBidi" w:hAnsiTheme="majorBidi" w:cstheme="majorBidi"/>
        </w:rPr>
        <w:t xml:space="preserve"> </w:t>
      </w:r>
      <w:r w:rsidR="00253D18" w:rsidRPr="00253D18">
        <w:rPr>
          <w:rFonts w:asciiTheme="majorBidi" w:hAnsiTheme="majorBidi" w:cstheme="majorBidi"/>
        </w:rPr>
        <w:t>publication.</w:t>
      </w:r>
      <w:r w:rsidR="00D245AE">
        <w:rPr>
          <w:rFonts w:asciiTheme="majorBidi" w:hAnsiTheme="majorBidi" w:cstheme="majorBidi"/>
        </w:rPr>
        <w:t xml:space="preserve"> </w:t>
      </w:r>
      <w:r w:rsidR="00253D18" w:rsidRPr="00253D18">
        <w:rPr>
          <w:rFonts w:asciiTheme="majorBidi" w:hAnsiTheme="majorBidi" w:cstheme="majorBidi"/>
        </w:rPr>
        <w:t>https://doi.org/10.1016/j.jcbs.2018.04.002</w:t>
      </w:r>
    </w:p>
    <w:p w14:paraId="2684E1FB" w14:textId="7BBC86DC" w:rsidR="00C45CD8" w:rsidRDefault="006451D3" w:rsidP="00C45CD8">
      <w:pPr>
        <w:spacing w:after="120" w:line="480" w:lineRule="auto"/>
        <w:rPr>
          <w:rStyle w:val="selectable"/>
          <w:rFonts w:asciiTheme="majorBidi" w:hAnsiTheme="majorBidi" w:cstheme="majorBidi"/>
          <w:lang w:val="en"/>
        </w:rPr>
      </w:pPr>
      <w:r w:rsidRPr="00CE0556">
        <w:rPr>
          <w:rStyle w:val="selectable"/>
          <w:rFonts w:asciiTheme="majorBidi" w:hAnsiTheme="majorBidi" w:cstheme="majorBidi"/>
          <w:lang w:val="en"/>
        </w:rPr>
        <w:t xml:space="preserve">Colizzi, M., </w:t>
      </w:r>
      <w:r w:rsidR="00151FC7">
        <w:rPr>
          <w:rStyle w:val="selectable"/>
          <w:rFonts w:asciiTheme="majorBidi" w:hAnsiTheme="majorBidi" w:cstheme="majorBidi"/>
          <w:lang w:val="en"/>
        </w:rPr>
        <w:t xml:space="preserve">&amp; </w:t>
      </w:r>
      <w:r w:rsidRPr="00CE0556">
        <w:rPr>
          <w:rStyle w:val="selectable"/>
          <w:rFonts w:asciiTheme="majorBidi" w:hAnsiTheme="majorBidi" w:cstheme="majorBidi"/>
          <w:lang w:val="en"/>
        </w:rPr>
        <w:t>Murray, R.</w:t>
      </w:r>
      <w:r w:rsidR="00A25A27">
        <w:rPr>
          <w:rStyle w:val="selectable"/>
          <w:rFonts w:asciiTheme="majorBidi" w:hAnsiTheme="majorBidi" w:cstheme="majorBidi"/>
          <w:lang w:val="en"/>
        </w:rPr>
        <w:t xml:space="preserve"> (</w:t>
      </w:r>
      <w:r w:rsidRPr="00CE0556">
        <w:rPr>
          <w:rStyle w:val="selectable"/>
          <w:rFonts w:asciiTheme="majorBidi" w:hAnsiTheme="majorBidi" w:cstheme="majorBidi"/>
          <w:lang w:val="en"/>
        </w:rPr>
        <w:t>2018</w:t>
      </w:r>
      <w:r w:rsidR="00A25A27">
        <w:rPr>
          <w:rStyle w:val="selectable"/>
          <w:rFonts w:asciiTheme="majorBidi" w:hAnsiTheme="majorBidi" w:cstheme="majorBidi"/>
          <w:lang w:val="en"/>
        </w:rPr>
        <w:t>)</w:t>
      </w:r>
      <w:r w:rsidRPr="00CE0556">
        <w:rPr>
          <w:rStyle w:val="selectable"/>
          <w:rFonts w:asciiTheme="majorBidi" w:hAnsiTheme="majorBidi" w:cstheme="majorBidi"/>
          <w:lang w:val="en"/>
        </w:rPr>
        <w:t xml:space="preserve">. Cannabis and psychosis: </w:t>
      </w:r>
      <w:r w:rsidR="00D245AE">
        <w:rPr>
          <w:rStyle w:val="selectable"/>
          <w:rFonts w:asciiTheme="majorBidi" w:hAnsiTheme="majorBidi" w:cstheme="majorBidi"/>
          <w:lang w:val="en"/>
        </w:rPr>
        <w:t>W</w:t>
      </w:r>
      <w:r w:rsidRPr="00CE0556">
        <w:rPr>
          <w:rStyle w:val="selectable"/>
          <w:rFonts w:asciiTheme="majorBidi" w:hAnsiTheme="majorBidi" w:cstheme="majorBidi"/>
          <w:lang w:val="en"/>
        </w:rPr>
        <w:t>hat do</w:t>
      </w:r>
      <w:r w:rsidR="008906F5">
        <w:rPr>
          <w:rStyle w:val="selectable"/>
          <w:rFonts w:asciiTheme="majorBidi" w:hAnsiTheme="majorBidi" w:cstheme="majorBidi"/>
          <w:lang w:val="en"/>
        </w:rPr>
        <w:t xml:space="preserve"> we know and what should we do?</w:t>
      </w:r>
      <w:r w:rsidRPr="00CE0556">
        <w:rPr>
          <w:rStyle w:val="selectable"/>
          <w:rFonts w:asciiTheme="majorBidi" w:hAnsiTheme="majorBidi" w:cstheme="majorBidi"/>
          <w:lang w:val="en"/>
        </w:rPr>
        <w:t xml:space="preserve"> </w:t>
      </w:r>
      <w:r w:rsidRPr="00A25A27">
        <w:rPr>
          <w:rStyle w:val="selectable"/>
          <w:rFonts w:asciiTheme="majorBidi" w:hAnsiTheme="majorBidi" w:cstheme="majorBidi"/>
          <w:i/>
          <w:iCs/>
          <w:lang w:val="en"/>
        </w:rPr>
        <w:t>British Journal of Psychiatry</w:t>
      </w:r>
      <w:r w:rsidR="00A25A27" w:rsidRPr="00A25A27">
        <w:rPr>
          <w:rStyle w:val="selectable"/>
          <w:rFonts w:asciiTheme="majorBidi" w:hAnsiTheme="majorBidi" w:cstheme="majorBidi"/>
          <w:i/>
          <w:iCs/>
          <w:lang w:val="en"/>
        </w:rPr>
        <w:t>,</w:t>
      </w:r>
      <w:r w:rsidRPr="00A25A27">
        <w:rPr>
          <w:rStyle w:val="selectable"/>
          <w:rFonts w:asciiTheme="majorBidi" w:hAnsiTheme="majorBidi" w:cstheme="majorBidi"/>
          <w:i/>
          <w:iCs/>
          <w:lang w:val="en"/>
        </w:rPr>
        <w:t xml:space="preserve"> 212</w:t>
      </w:r>
      <w:r w:rsidRPr="00CE0556">
        <w:rPr>
          <w:rStyle w:val="selectable"/>
          <w:rFonts w:asciiTheme="majorBidi" w:hAnsiTheme="majorBidi" w:cstheme="majorBidi"/>
          <w:lang w:val="en"/>
        </w:rPr>
        <w:t xml:space="preserve">(4) 195-196. </w:t>
      </w:r>
    </w:p>
    <w:p w14:paraId="22113A9F" w14:textId="1C00FCF6" w:rsidR="00BA15FD" w:rsidRDefault="00BA15FD" w:rsidP="00C45CD8">
      <w:pPr>
        <w:spacing w:after="120" w:line="480" w:lineRule="auto"/>
        <w:rPr>
          <w:rFonts w:asciiTheme="majorBidi" w:hAnsiTheme="majorBidi" w:cstheme="majorBidi"/>
        </w:rPr>
      </w:pPr>
      <w:r>
        <w:rPr>
          <w:rFonts w:asciiTheme="majorBidi" w:hAnsiTheme="majorBidi" w:cstheme="majorBidi"/>
        </w:rPr>
        <w:t>Curran, V,</w:t>
      </w:r>
      <w:r w:rsidR="00C45CD8">
        <w:rPr>
          <w:rFonts w:asciiTheme="majorBidi" w:hAnsiTheme="majorBidi" w:cstheme="majorBidi"/>
        </w:rPr>
        <w:t xml:space="preserve"> </w:t>
      </w:r>
      <w:r>
        <w:rPr>
          <w:rFonts w:asciiTheme="majorBidi" w:hAnsiTheme="majorBidi" w:cstheme="majorBidi"/>
        </w:rPr>
        <w:t xml:space="preserve">Brignell, C., Fletcher, S., Middleton, P., </w:t>
      </w:r>
      <w:r w:rsidR="00151FC7">
        <w:rPr>
          <w:rFonts w:asciiTheme="majorBidi" w:hAnsiTheme="majorBidi" w:cstheme="majorBidi"/>
        </w:rPr>
        <w:t xml:space="preserve">&amp; </w:t>
      </w:r>
      <w:r>
        <w:rPr>
          <w:rFonts w:asciiTheme="majorBidi" w:hAnsiTheme="majorBidi" w:cstheme="majorBidi"/>
        </w:rPr>
        <w:t xml:space="preserve">Henry, </w:t>
      </w:r>
      <w:r w:rsidR="006451D3" w:rsidRPr="00CE0556">
        <w:rPr>
          <w:rFonts w:asciiTheme="majorBidi" w:hAnsiTheme="majorBidi" w:cstheme="majorBidi"/>
        </w:rPr>
        <w:t>J.</w:t>
      </w:r>
      <w:r w:rsidR="00A25A27">
        <w:rPr>
          <w:rFonts w:asciiTheme="majorBidi" w:hAnsiTheme="majorBidi" w:cstheme="majorBidi"/>
        </w:rPr>
        <w:t xml:space="preserve"> (</w:t>
      </w:r>
      <w:r>
        <w:rPr>
          <w:rFonts w:asciiTheme="majorBidi" w:hAnsiTheme="majorBidi" w:cstheme="majorBidi"/>
        </w:rPr>
        <w:t>2002</w:t>
      </w:r>
      <w:r w:rsidR="00A25A27">
        <w:rPr>
          <w:rFonts w:asciiTheme="majorBidi" w:hAnsiTheme="majorBidi" w:cstheme="majorBidi"/>
        </w:rPr>
        <w:t>)</w:t>
      </w:r>
      <w:r>
        <w:rPr>
          <w:rFonts w:asciiTheme="majorBidi" w:hAnsiTheme="majorBidi" w:cstheme="majorBidi"/>
        </w:rPr>
        <w:t xml:space="preserve">. Cognitive and subjective dose-response effects of acute oral </w:t>
      </w:r>
      <w:r>
        <w:rPr>
          <w:rFonts w:ascii="Segoe UI Symbol" w:hAnsi="Segoe UI Symbol" w:cstheme="majorBidi"/>
        </w:rPr>
        <w:t>△</w:t>
      </w:r>
      <w:r>
        <w:rPr>
          <w:rFonts w:asciiTheme="majorBidi" w:hAnsiTheme="majorBidi" w:cstheme="majorBidi"/>
          <w:vertAlign w:val="superscript"/>
        </w:rPr>
        <w:t>9</w:t>
      </w:r>
      <w:r>
        <w:rPr>
          <w:rFonts w:asciiTheme="majorBidi" w:hAnsiTheme="majorBidi" w:cstheme="majorBidi"/>
        </w:rPr>
        <w:t>-tetrahydrocannabinol (THC) in infrequent cannabis</w:t>
      </w:r>
      <w:r w:rsidR="00C05487">
        <w:rPr>
          <w:rFonts w:asciiTheme="majorBidi" w:hAnsiTheme="majorBidi" w:cstheme="majorBidi"/>
        </w:rPr>
        <w:t>-</w:t>
      </w:r>
      <w:r>
        <w:rPr>
          <w:rFonts w:asciiTheme="majorBidi" w:hAnsiTheme="majorBidi" w:cstheme="majorBidi"/>
        </w:rPr>
        <w:t xml:space="preserve">users. </w:t>
      </w:r>
      <w:r w:rsidRPr="00A25A27">
        <w:rPr>
          <w:rFonts w:asciiTheme="majorBidi" w:hAnsiTheme="majorBidi" w:cstheme="majorBidi"/>
          <w:i/>
          <w:iCs/>
        </w:rPr>
        <w:t>Psychopharmacology</w:t>
      </w:r>
      <w:r w:rsidR="00A25A27" w:rsidRPr="00A25A27">
        <w:rPr>
          <w:rFonts w:asciiTheme="majorBidi" w:hAnsiTheme="majorBidi" w:cstheme="majorBidi"/>
          <w:i/>
          <w:iCs/>
        </w:rPr>
        <w:t xml:space="preserve">, </w:t>
      </w:r>
      <w:r w:rsidRPr="00A25A27">
        <w:rPr>
          <w:rFonts w:asciiTheme="majorBidi" w:hAnsiTheme="majorBidi" w:cstheme="majorBidi"/>
          <w:i/>
          <w:iCs/>
        </w:rPr>
        <w:t>164</w:t>
      </w:r>
      <w:r>
        <w:rPr>
          <w:rFonts w:asciiTheme="majorBidi" w:hAnsiTheme="majorBidi" w:cstheme="majorBidi"/>
        </w:rPr>
        <w:t>(1) 61-70.</w:t>
      </w:r>
    </w:p>
    <w:p w14:paraId="5C9351F8" w14:textId="16DB488B" w:rsidR="00C45CD8" w:rsidRPr="005D4660" w:rsidRDefault="00C45CD8" w:rsidP="00C45CD8">
      <w:pPr>
        <w:spacing w:after="120" w:line="480" w:lineRule="auto"/>
        <w:rPr>
          <w:rFonts w:asciiTheme="majorBidi" w:hAnsiTheme="majorBidi" w:cstheme="majorBidi"/>
          <w:lang w:val="it-IT"/>
        </w:rPr>
      </w:pPr>
      <w:r w:rsidRPr="00C45CD8">
        <w:rPr>
          <w:rFonts w:asciiTheme="majorBidi" w:hAnsiTheme="majorBidi" w:cstheme="majorBidi"/>
        </w:rPr>
        <w:t xml:space="preserve">Day, N., Goldschmidt, L., Day, R., </w:t>
      </w:r>
      <w:proofErr w:type="spellStart"/>
      <w:r w:rsidRPr="00C45CD8">
        <w:rPr>
          <w:rFonts w:asciiTheme="majorBidi" w:hAnsiTheme="majorBidi" w:cstheme="majorBidi"/>
        </w:rPr>
        <w:t>Larkby</w:t>
      </w:r>
      <w:proofErr w:type="spellEnd"/>
      <w:r w:rsidRPr="00C45CD8">
        <w:rPr>
          <w:rFonts w:asciiTheme="majorBidi" w:hAnsiTheme="majorBidi" w:cstheme="majorBidi"/>
        </w:rPr>
        <w:t xml:space="preserve">, C., </w:t>
      </w:r>
      <w:r w:rsidR="00151FC7">
        <w:rPr>
          <w:rFonts w:asciiTheme="majorBidi" w:hAnsiTheme="majorBidi" w:cstheme="majorBidi"/>
        </w:rPr>
        <w:t xml:space="preserve">&amp; </w:t>
      </w:r>
      <w:r w:rsidRPr="00C45CD8">
        <w:rPr>
          <w:rFonts w:asciiTheme="majorBidi" w:hAnsiTheme="majorBidi" w:cstheme="majorBidi"/>
        </w:rPr>
        <w:t>Richardson, G.</w:t>
      </w:r>
      <w:r w:rsidR="00A25A27">
        <w:rPr>
          <w:rFonts w:asciiTheme="majorBidi" w:hAnsiTheme="majorBidi" w:cstheme="majorBidi"/>
        </w:rPr>
        <w:t xml:space="preserve"> (</w:t>
      </w:r>
      <w:r w:rsidRPr="00C45CD8">
        <w:rPr>
          <w:rFonts w:asciiTheme="majorBidi" w:hAnsiTheme="majorBidi" w:cstheme="majorBidi"/>
        </w:rPr>
        <w:t>201</w:t>
      </w:r>
      <w:r w:rsidR="00A4491B">
        <w:rPr>
          <w:rFonts w:asciiTheme="majorBidi" w:hAnsiTheme="majorBidi" w:cstheme="majorBidi"/>
        </w:rPr>
        <w:t>5</w:t>
      </w:r>
      <w:r w:rsidR="00A25A27">
        <w:rPr>
          <w:rFonts w:asciiTheme="majorBidi" w:hAnsiTheme="majorBidi" w:cstheme="majorBidi"/>
        </w:rPr>
        <w:t>)</w:t>
      </w:r>
      <w:r w:rsidRPr="00C45CD8">
        <w:rPr>
          <w:rFonts w:asciiTheme="majorBidi" w:hAnsiTheme="majorBidi" w:cstheme="majorBidi"/>
        </w:rPr>
        <w:t xml:space="preserve">. Prenatal marijuana exposure, age of marijuana initiation, and the development of psychotic symptoms </w:t>
      </w:r>
      <w:r>
        <w:rPr>
          <w:rFonts w:asciiTheme="majorBidi" w:hAnsiTheme="majorBidi" w:cstheme="majorBidi"/>
        </w:rPr>
        <w:t xml:space="preserve">in young adults. </w:t>
      </w:r>
      <w:r w:rsidRPr="00A25A27">
        <w:rPr>
          <w:rFonts w:asciiTheme="majorBidi" w:hAnsiTheme="majorBidi" w:cstheme="majorBidi"/>
          <w:i/>
          <w:iCs/>
          <w:lang w:val="it-IT"/>
        </w:rPr>
        <w:t>Psychological Medicine</w:t>
      </w:r>
      <w:r w:rsidR="00A25A27" w:rsidRPr="00A25A27">
        <w:rPr>
          <w:rFonts w:asciiTheme="majorBidi" w:hAnsiTheme="majorBidi" w:cstheme="majorBidi"/>
          <w:i/>
          <w:iCs/>
          <w:lang w:val="it-IT"/>
        </w:rPr>
        <w:t>,</w:t>
      </w:r>
      <w:r w:rsidRPr="00A25A27">
        <w:rPr>
          <w:rFonts w:asciiTheme="majorBidi" w:hAnsiTheme="majorBidi" w:cstheme="majorBidi"/>
          <w:i/>
          <w:iCs/>
          <w:lang w:val="it-IT"/>
        </w:rPr>
        <w:t xml:space="preserve"> </w:t>
      </w:r>
      <w:r w:rsidR="00A4491B" w:rsidRPr="00A25A27">
        <w:rPr>
          <w:rFonts w:asciiTheme="majorBidi" w:hAnsiTheme="majorBidi" w:cstheme="majorBidi"/>
          <w:i/>
          <w:iCs/>
          <w:lang w:val="it-IT"/>
        </w:rPr>
        <w:t>45</w:t>
      </w:r>
      <w:r w:rsidR="00A4491B" w:rsidRPr="005D4660">
        <w:rPr>
          <w:rFonts w:asciiTheme="majorBidi" w:hAnsiTheme="majorBidi" w:cstheme="majorBidi"/>
          <w:lang w:val="it-IT"/>
        </w:rPr>
        <w:t>(8) 1779-1787</w:t>
      </w:r>
      <w:r w:rsidRPr="005D4660">
        <w:rPr>
          <w:rFonts w:asciiTheme="majorBidi" w:hAnsiTheme="majorBidi" w:cstheme="majorBidi"/>
          <w:lang w:val="it-IT"/>
        </w:rPr>
        <w:t>.</w:t>
      </w:r>
    </w:p>
    <w:p w14:paraId="0E0150C2" w14:textId="7F7B6C97" w:rsidR="00EE6FFB" w:rsidRDefault="00EE6FFB" w:rsidP="00C45CD8">
      <w:pPr>
        <w:spacing w:after="120" w:line="480" w:lineRule="auto"/>
        <w:rPr>
          <w:iCs/>
          <w:shd w:val="clear" w:color="auto" w:fill="FFFFFF"/>
        </w:rPr>
      </w:pPr>
      <w:r w:rsidRPr="001667FF">
        <w:rPr>
          <w:shd w:val="clear" w:color="auto" w:fill="FFFFFF"/>
          <w:lang w:val="it-IT"/>
        </w:rPr>
        <w:t xml:space="preserve">Di Forti, M., Quattrone, D., Freeman, T. P., Tripoli, G., Gayer-Anderson, C., Quigley, H., ... </w:t>
      </w:r>
      <w:r w:rsidR="00151FC7">
        <w:rPr>
          <w:shd w:val="clear" w:color="auto" w:fill="FFFFFF"/>
          <w:lang w:val="it-IT"/>
        </w:rPr>
        <w:t xml:space="preserve">&amp; </w:t>
      </w:r>
      <w:r>
        <w:rPr>
          <w:shd w:val="clear" w:color="auto" w:fill="FFFFFF"/>
        </w:rPr>
        <w:t>Murray, R. M</w:t>
      </w:r>
      <w:r w:rsidRPr="0086714C">
        <w:rPr>
          <w:shd w:val="clear" w:color="auto" w:fill="FFFFFF"/>
        </w:rPr>
        <w:t>.</w:t>
      </w:r>
      <w:r w:rsidR="00A25A27">
        <w:rPr>
          <w:shd w:val="clear" w:color="auto" w:fill="FFFFFF"/>
        </w:rPr>
        <w:t xml:space="preserve"> (</w:t>
      </w:r>
      <w:r w:rsidRPr="0086714C">
        <w:rPr>
          <w:shd w:val="clear" w:color="auto" w:fill="FFFFFF"/>
        </w:rPr>
        <w:t>2019</w:t>
      </w:r>
      <w:r w:rsidR="00A25A27">
        <w:rPr>
          <w:shd w:val="clear" w:color="auto" w:fill="FFFFFF"/>
        </w:rPr>
        <w:t>)</w:t>
      </w:r>
      <w:r w:rsidRPr="0086714C">
        <w:rPr>
          <w:shd w:val="clear" w:color="auto" w:fill="FFFFFF"/>
        </w:rPr>
        <w:t xml:space="preserve">. The contribution of cannabis use to variation in the incidence of psychotic disorder across Europe (EU-GEI): </w:t>
      </w:r>
      <w:r w:rsidR="0086714C">
        <w:rPr>
          <w:shd w:val="clear" w:color="auto" w:fill="FFFFFF"/>
        </w:rPr>
        <w:t>A</w:t>
      </w:r>
      <w:r w:rsidRPr="0086714C">
        <w:rPr>
          <w:shd w:val="clear" w:color="auto" w:fill="FFFFFF"/>
        </w:rPr>
        <w:t xml:space="preserve"> multicentre case-control study. </w:t>
      </w:r>
      <w:r w:rsidRPr="00A25A27">
        <w:rPr>
          <w:i/>
          <w:shd w:val="clear" w:color="auto" w:fill="FFFFFF"/>
        </w:rPr>
        <w:t>The Lancet Psychiatry</w:t>
      </w:r>
      <w:r w:rsidR="00A25A27">
        <w:rPr>
          <w:i/>
          <w:shd w:val="clear" w:color="auto" w:fill="FFFFFF"/>
        </w:rPr>
        <w:t>,</w:t>
      </w:r>
      <w:r w:rsidRPr="00A25A27">
        <w:rPr>
          <w:i/>
          <w:shd w:val="clear" w:color="auto" w:fill="FFFFFF"/>
        </w:rPr>
        <w:t xml:space="preserve"> 6</w:t>
      </w:r>
      <w:r>
        <w:rPr>
          <w:iCs/>
          <w:shd w:val="clear" w:color="auto" w:fill="FFFFFF"/>
        </w:rPr>
        <w:t>(5) 427-436.</w:t>
      </w:r>
    </w:p>
    <w:p w14:paraId="1BC3108B" w14:textId="0AF4E0ED" w:rsidR="00052600" w:rsidRPr="00052600" w:rsidRDefault="00052600" w:rsidP="00052600">
      <w:pPr>
        <w:autoSpaceDE w:val="0"/>
        <w:autoSpaceDN w:val="0"/>
        <w:adjustRightInd w:val="0"/>
        <w:spacing w:after="120" w:line="480" w:lineRule="auto"/>
        <w:rPr>
          <w:rFonts w:asciiTheme="majorBidi" w:hAnsiTheme="majorBidi" w:cstheme="majorBidi"/>
        </w:rPr>
      </w:pPr>
      <w:r w:rsidRPr="00052600">
        <w:rPr>
          <w:rFonts w:asciiTheme="majorBidi" w:hAnsiTheme="majorBidi" w:cstheme="majorBidi"/>
        </w:rPr>
        <w:t xml:space="preserve">D’Souza, D. C., Abi-Saab, W. M., </w:t>
      </w:r>
      <w:proofErr w:type="spellStart"/>
      <w:r w:rsidRPr="00052600">
        <w:rPr>
          <w:rFonts w:asciiTheme="majorBidi" w:hAnsiTheme="majorBidi" w:cstheme="majorBidi"/>
        </w:rPr>
        <w:t>Madonick</w:t>
      </w:r>
      <w:proofErr w:type="spellEnd"/>
      <w:r w:rsidRPr="00052600">
        <w:rPr>
          <w:rFonts w:asciiTheme="majorBidi" w:hAnsiTheme="majorBidi" w:cstheme="majorBidi"/>
        </w:rPr>
        <w:t xml:space="preserve">, S., </w:t>
      </w:r>
      <w:proofErr w:type="spellStart"/>
      <w:r w:rsidRPr="00052600">
        <w:rPr>
          <w:rFonts w:asciiTheme="majorBidi" w:hAnsiTheme="majorBidi" w:cstheme="majorBidi"/>
        </w:rPr>
        <w:t>Forselius-Bielen</w:t>
      </w:r>
      <w:proofErr w:type="spellEnd"/>
      <w:r w:rsidRPr="00052600">
        <w:rPr>
          <w:rFonts w:asciiTheme="majorBidi" w:hAnsiTheme="majorBidi" w:cstheme="majorBidi"/>
        </w:rPr>
        <w:t xml:space="preserve">, K., </w:t>
      </w:r>
      <w:proofErr w:type="spellStart"/>
      <w:r w:rsidRPr="00052600">
        <w:rPr>
          <w:rFonts w:asciiTheme="majorBidi" w:hAnsiTheme="majorBidi" w:cstheme="majorBidi"/>
        </w:rPr>
        <w:t>Doersch</w:t>
      </w:r>
      <w:proofErr w:type="spellEnd"/>
      <w:r w:rsidRPr="00052600">
        <w:rPr>
          <w:rFonts w:asciiTheme="majorBidi" w:hAnsiTheme="majorBidi" w:cstheme="majorBidi"/>
        </w:rPr>
        <w:t xml:space="preserve">, A., </w:t>
      </w:r>
      <w:proofErr w:type="spellStart"/>
      <w:r w:rsidRPr="00052600">
        <w:rPr>
          <w:rFonts w:asciiTheme="majorBidi" w:hAnsiTheme="majorBidi" w:cstheme="majorBidi"/>
        </w:rPr>
        <w:t>Braley</w:t>
      </w:r>
      <w:proofErr w:type="spellEnd"/>
      <w:r w:rsidRPr="00052600">
        <w:rPr>
          <w:rFonts w:asciiTheme="majorBidi" w:hAnsiTheme="majorBidi" w:cstheme="majorBidi"/>
        </w:rPr>
        <w:t xml:space="preserve">, G., ... </w:t>
      </w:r>
      <w:r w:rsidR="00151FC7">
        <w:rPr>
          <w:rFonts w:asciiTheme="majorBidi" w:hAnsiTheme="majorBidi" w:cstheme="majorBidi"/>
        </w:rPr>
        <w:t xml:space="preserve">&amp; </w:t>
      </w:r>
      <w:r w:rsidRPr="00052600">
        <w:rPr>
          <w:rFonts w:asciiTheme="majorBidi" w:hAnsiTheme="majorBidi" w:cstheme="majorBidi"/>
        </w:rPr>
        <w:t>Krystal, J. H.</w:t>
      </w:r>
      <w:r w:rsidR="00F13995">
        <w:rPr>
          <w:rFonts w:asciiTheme="majorBidi" w:hAnsiTheme="majorBidi" w:cstheme="majorBidi"/>
        </w:rPr>
        <w:t xml:space="preserve"> (</w:t>
      </w:r>
      <w:r w:rsidRPr="00052600">
        <w:rPr>
          <w:rFonts w:asciiTheme="majorBidi" w:hAnsiTheme="majorBidi" w:cstheme="majorBidi"/>
        </w:rPr>
        <w:t>2005</w:t>
      </w:r>
      <w:r w:rsidR="00F13995">
        <w:rPr>
          <w:rFonts w:asciiTheme="majorBidi" w:hAnsiTheme="majorBidi" w:cstheme="majorBidi"/>
        </w:rPr>
        <w:t>)</w:t>
      </w:r>
      <w:r w:rsidRPr="00052600">
        <w:rPr>
          <w:rFonts w:asciiTheme="majorBidi" w:hAnsiTheme="majorBidi" w:cstheme="majorBidi"/>
        </w:rPr>
        <w:t xml:space="preserve">. Delta-9-tetrahydrocannabinol effects in schizophrenia: </w:t>
      </w:r>
      <w:r>
        <w:rPr>
          <w:rFonts w:asciiTheme="majorBidi" w:hAnsiTheme="majorBidi" w:cstheme="majorBidi"/>
        </w:rPr>
        <w:t>I</w:t>
      </w:r>
      <w:r w:rsidRPr="00052600">
        <w:rPr>
          <w:rFonts w:asciiTheme="majorBidi" w:hAnsiTheme="majorBidi" w:cstheme="majorBidi"/>
        </w:rPr>
        <w:t xml:space="preserve">mplications for cognition, psychosis, and addiction. </w:t>
      </w:r>
      <w:r w:rsidRPr="00F13995">
        <w:rPr>
          <w:rFonts w:asciiTheme="majorBidi" w:hAnsiTheme="majorBidi" w:cstheme="majorBidi"/>
          <w:i/>
          <w:iCs/>
        </w:rPr>
        <w:t>Biological Psychiatry</w:t>
      </w:r>
      <w:r w:rsidR="00F13995" w:rsidRPr="00F13995">
        <w:rPr>
          <w:rFonts w:asciiTheme="majorBidi" w:hAnsiTheme="majorBidi" w:cstheme="majorBidi"/>
          <w:i/>
          <w:iCs/>
        </w:rPr>
        <w:t>,</w:t>
      </w:r>
      <w:r w:rsidRPr="00F13995">
        <w:rPr>
          <w:rFonts w:asciiTheme="majorBidi" w:hAnsiTheme="majorBidi" w:cstheme="majorBidi"/>
          <w:i/>
          <w:iCs/>
        </w:rPr>
        <w:t xml:space="preserve"> 57</w:t>
      </w:r>
      <w:r w:rsidRPr="00052600">
        <w:rPr>
          <w:rFonts w:asciiTheme="majorBidi" w:hAnsiTheme="majorBidi" w:cstheme="majorBidi"/>
        </w:rPr>
        <w:t>(6), 594-608.</w:t>
      </w:r>
    </w:p>
    <w:p w14:paraId="2117FC77" w14:textId="260D643E" w:rsidR="006451D3" w:rsidRPr="00CE0556" w:rsidRDefault="006451D3" w:rsidP="006451D3">
      <w:pPr>
        <w:spacing w:after="120" w:line="480" w:lineRule="auto"/>
        <w:rPr>
          <w:rFonts w:asciiTheme="majorBidi" w:hAnsiTheme="majorBidi" w:cstheme="majorBidi"/>
          <w:lang w:val="en"/>
        </w:rPr>
      </w:pPr>
      <w:r w:rsidRPr="00CE0556">
        <w:rPr>
          <w:rFonts w:asciiTheme="majorBidi" w:hAnsiTheme="majorBidi" w:cstheme="majorBidi"/>
        </w:rPr>
        <w:t xml:space="preserve">Freeman, D., Dunn, G., Murray, R. M., Evans, N., Lister, R., </w:t>
      </w:r>
      <w:proofErr w:type="spellStart"/>
      <w:r w:rsidRPr="00CE0556">
        <w:rPr>
          <w:rFonts w:asciiTheme="majorBidi" w:hAnsiTheme="majorBidi" w:cstheme="majorBidi"/>
        </w:rPr>
        <w:t>Antley</w:t>
      </w:r>
      <w:proofErr w:type="spellEnd"/>
      <w:r w:rsidRPr="00CE0556">
        <w:rPr>
          <w:rFonts w:asciiTheme="majorBidi" w:hAnsiTheme="majorBidi" w:cstheme="majorBidi"/>
        </w:rPr>
        <w:t xml:space="preserve">, A., Slater, M., </w:t>
      </w:r>
      <w:proofErr w:type="spellStart"/>
      <w:r w:rsidRPr="00CE0556">
        <w:rPr>
          <w:rFonts w:asciiTheme="majorBidi" w:hAnsiTheme="majorBidi" w:cstheme="majorBidi"/>
        </w:rPr>
        <w:t>Godlewska</w:t>
      </w:r>
      <w:proofErr w:type="spellEnd"/>
      <w:r w:rsidRPr="00CE0556">
        <w:rPr>
          <w:rFonts w:asciiTheme="majorBidi" w:hAnsiTheme="majorBidi" w:cstheme="majorBidi"/>
        </w:rPr>
        <w:t xml:space="preserve">, B., Cornish, R., Williams, J., Di </w:t>
      </w:r>
      <w:proofErr w:type="spellStart"/>
      <w:r w:rsidRPr="00CE0556">
        <w:rPr>
          <w:rFonts w:asciiTheme="majorBidi" w:hAnsiTheme="majorBidi" w:cstheme="majorBidi"/>
        </w:rPr>
        <w:t>Simplicio</w:t>
      </w:r>
      <w:proofErr w:type="spellEnd"/>
      <w:r w:rsidRPr="00CE0556">
        <w:rPr>
          <w:rFonts w:asciiTheme="majorBidi" w:hAnsiTheme="majorBidi" w:cstheme="majorBidi"/>
        </w:rPr>
        <w:t xml:space="preserve">, M., </w:t>
      </w:r>
      <w:proofErr w:type="spellStart"/>
      <w:r w:rsidRPr="00CE0556">
        <w:rPr>
          <w:rFonts w:asciiTheme="majorBidi" w:hAnsiTheme="majorBidi" w:cstheme="majorBidi"/>
        </w:rPr>
        <w:t>Igoumenoi</w:t>
      </w:r>
      <w:proofErr w:type="spellEnd"/>
      <w:r w:rsidRPr="00CE0556">
        <w:rPr>
          <w:rFonts w:asciiTheme="majorBidi" w:hAnsiTheme="majorBidi" w:cstheme="majorBidi"/>
        </w:rPr>
        <w:t xml:space="preserve">, A., </w:t>
      </w:r>
      <w:proofErr w:type="spellStart"/>
      <w:r w:rsidRPr="00CE0556">
        <w:rPr>
          <w:rFonts w:asciiTheme="majorBidi" w:hAnsiTheme="majorBidi" w:cstheme="majorBidi"/>
        </w:rPr>
        <w:t>Brenneisen</w:t>
      </w:r>
      <w:proofErr w:type="spellEnd"/>
      <w:r w:rsidRPr="00CE0556">
        <w:rPr>
          <w:rFonts w:asciiTheme="majorBidi" w:hAnsiTheme="majorBidi" w:cstheme="majorBidi"/>
        </w:rPr>
        <w:t xml:space="preserve">, R., Tunbridge, E. M., Harrison, P. J., Harmer, C. J., Cowen, P., </w:t>
      </w:r>
      <w:r w:rsidR="00151FC7">
        <w:rPr>
          <w:rFonts w:asciiTheme="majorBidi" w:hAnsiTheme="majorBidi" w:cstheme="majorBidi"/>
        </w:rPr>
        <w:t xml:space="preserve">&amp; </w:t>
      </w:r>
      <w:r w:rsidRPr="00CE0556">
        <w:rPr>
          <w:rFonts w:asciiTheme="majorBidi" w:hAnsiTheme="majorBidi" w:cstheme="majorBidi"/>
        </w:rPr>
        <w:t>Morrison, P. D.</w:t>
      </w:r>
      <w:r w:rsidR="00F13995">
        <w:rPr>
          <w:rFonts w:asciiTheme="majorBidi" w:hAnsiTheme="majorBidi" w:cstheme="majorBidi"/>
        </w:rPr>
        <w:t xml:space="preserve"> (</w:t>
      </w:r>
      <w:r w:rsidRPr="00CE0556">
        <w:rPr>
          <w:rFonts w:asciiTheme="majorBidi" w:hAnsiTheme="majorBidi" w:cstheme="majorBidi"/>
        </w:rPr>
        <w:t>2015</w:t>
      </w:r>
      <w:r w:rsidR="00F13995">
        <w:rPr>
          <w:rFonts w:asciiTheme="majorBidi" w:hAnsiTheme="majorBidi" w:cstheme="majorBidi"/>
        </w:rPr>
        <w:t>)</w:t>
      </w:r>
      <w:r w:rsidRPr="00CE0556">
        <w:rPr>
          <w:rFonts w:asciiTheme="majorBidi" w:hAnsiTheme="majorBidi" w:cstheme="majorBidi"/>
        </w:rPr>
        <w:t xml:space="preserve">. How </w:t>
      </w:r>
      <w:r w:rsidR="00A4491B">
        <w:rPr>
          <w:rFonts w:asciiTheme="majorBidi" w:hAnsiTheme="majorBidi" w:cstheme="majorBidi"/>
        </w:rPr>
        <w:t>c</w:t>
      </w:r>
      <w:r w:rsidRPr="00CE0556">
        <w:rPr>
          <w:rFonts w:asciiTheme="majorBidi" w:hAnsiTheme="majorBidi" w:cstheme="majorBidi"/>
        </w:rPr>
        <w:t xml:space="preserve">annabis </w:t>
      </w:r>
      <w:r w:rsidR="00A4491B">
        <w:rPr>
          <w:rFonts w:asciiTheme="majorBidi" w:hAnsiTheme="majorBidi" w:cstheme="majorBidi"/>
        </w:rPr>
        <w:t>c</w:t>
      </w:r>
      <w:r w:rsidRPr="00CE0556">
        <w:rPr>
          <w:rFonts w:asciiTheme="majorBidi" w:hAnsiTheme="majorBidi" w:cstheme="majorBidi"/>
        </w:rPr>
        <w:t xml:space="preserve">auses </w:t>
      </w:r>
      <w:r w:rsidR="00A4491B">
        <w:rPr>
          <w:rFonts w:asciiTheme="majorBidi" w:hAnsiTheme="majorBidi" w:cstheme="majorBidi"/>
        </w:rPr>
        <w:t>p</w:t>
      </w:r>
      <w:r w:rsidRPr="00CE0556">
        <w:rPr>
          <w:rFonts w:asciiTheme="majorBidi" w:hAnsiTheme="majorBidi" w:cstheme="majorBidi"/>
        </w:rPr>
        <w:t xml:space="preserve">aranoia: Using the </w:t>
      </w:r>
      <w:r w:rsidR="00A4491B">
        <w:rPr>
          <w:rFonts w:asciiTheme="majorBidi" w:hAnsiTheme="majorBidi" w:cstheme="majorBidi"/>
        </w:rPr>
        <w:t>i</w:t>
      </w:r>
      <w:r w:rsidRPr="00CE0556">
        <w:rPr>
          <w:rFonts w:asciiTheme="majorBidi" w:hAnsiTheme="majorBidi" w:cstheme="majorBidi"/>
        </w:rPr>
        <w:t xml:space="preserve">ntravenous </w:t>
      </w:r>
      <w:r w:rsidR="00A4491B">
        <w:rPr>
          <w:rFonts w:asciiTheme="majorBidi" w:hAnsiTheme="majorBidi" w:cstheme="majorBidi"/>
        </w:rPr>
        <w:t>a</w:t>
      </w:r>
      <w:r w:rsidRPr="00CE0556">
        <w:rPr>
          <w:rFonts w:asciiTheme="majorBidi" w:hAnsiTheme="majorBidi" w:cstheme="majorBidi"/>
        </w:rPr>
        <w:t xml:space="preserve">dministration of </w:t>
      </w:r>
      <w:r w:rsidRPr="00CE0556">
        <w:rPr>
          <w:rFonts w:ascii="Cambria Math" w:hAnsi="Cambria Math" w:cs="Cambria Math"/>
          <w:lang w:val="en"/>
        </w:rPr>
        <w:t>△</w:t>
      </w:r>
      <w:r w:rsidRPr="00CE0556">
        <w:rPr>
          <w:rFonts w:asciiTheme="majorBidi" w:hAnsiTheme="majorBidi" w:cstheme="majorBidi"/>
          <w:vertAlign w:val="superscript"/>
          <w:lang w:val="en"/>
        </w:rPr>
        <w:t>9</w:t>
      </w:r>
      <w:r w:rsidRPr="00CE0556">
        <w:rPr>
          <w:rFonts w:asciiTheme="majorBidi" w:hAnsiTheme="majorBidi" w:cstheme="majorBidi"/>
          <w:lang w:val="en"/>
        </w:rPr>
        <w:t xml:space="preserve">-tetrahydrocannabinol (THC) to </w:t>
      </w:r>
      <w:r w:rsidR="00A4491B">
        <w:rPr>
          <w:rFonts w:asciiTheme="majorBidi" w:hAnsiTheme="majorBidi" w:cstheme="majorBidi"/>
          <w:lang w:val="en"/>
        </w:rPr>
        <w:t>i</w:t>
      </w:r>
      <w:r w:rsidRPr="00CE0556">
        <w:rPr>
          <w:rFonts w:asciiTheme="majorBidi" w:hAnsiTheme="majorBidi" w:cstheme="majorBidi"/>
          <w:lang w:val="en"/>
        </w:rPr>
        <w:t xml:space="preserve">dentify </w:t>
      </w:r>
      <w:r w:rsidR="00A4491B">
        <w:rPr>
          <w:rFonts w:asciiTheme="majorBidi" w:hAnsiTheme="majorBidi" w:cstheme="majorBidi"/>
          <w:lang w:val="en"/>
        </w:rPr>
        <w:t>k</w:t>
      </w:r>
      <w:r w:rsidRPr="00CE0556">
        <w:rPr>
          <w:rFonts w:asciiTheme="majorBidi" w:hAnsiTheme="majorBidi" w:cstheme="majorBidi"/>
          <w:lang w:val="en"/>
        </w:rPr>
        <w:t xml:space="preserve">ey </w:t>
      </w:r>
      <w:r w:rsidR="00A4491B">
        <w:rPr>
          <w:rFonts w:asciiTheme="majorBidi" w:hAnsiTheme="majorBidi" w:cstheme="majorBidi"/>
          <w:lang w:val="en"/>
        </w:rPr>
        <w:t>c</w:t>
      </w:r>
      <w:r w:rsidRPr="00CE0556">
        <w:rPr>
          <w:rFonts w:asciiTheme="majorBidi" w:hAnsiTheme="majorBidi" w:cstheme="majorBidi"/>
          <w:lang w:val="en"/>
        </w:rPr>
        <w:t xml:space="preserve">ognitive </w:t>
      </w:r>
      <w:r w:rsidR="00A4491B">
        <w:rPr>
          <w:rFonts w:asciiTheme="majorBidi" w:hAnsiTheme="majorBidi" w:cstheme="majorBidi"/>
          <w:lang w:val="en"/>
        </w:rPr>
        <w:t>m</w:t>
      </w:r>
      <w:r w:rsidRPr="00CE0556">
        <w:rPr>
          <w:rFonts w:asciiTheme="majorBidi" w:hAnsiTheme="majorBidi" w:cstheme="majorBidi"/>
          <w:lang w:val="en"/>
        </w:rPr>
        <w:t xml:space="preserve">echanism </w:t>
      </w:r>
      <w:r w:rsidR="00A4491B">
        <w:rPr>
          <w:rFonts w:asciiTheme="majorBidi" w:hAnsiTheme="majorBidi" w:cstheme="majorBidi"/>
          <w:lang w:val="en"/>
        </w:rPr>
        <w:t>l</w:t>
      </w:r>
      <w:r w:rsidRPr="00CE0556">
        <w:rPr>
          <w:rFonts w:asciiTheme="majorBidi" w:hAnsiTheme="majorBidi" w:cstheme="majorBidi"/>
          <w:lang w:val="en"/>
        </w:rPr>
        <w:t xml:space="preserve">eading to </w:t>
      </w:r>
      <w:r w:rsidR="00A4491B">
        <w:rPr>
          <w:rFonts w:asciiTheme="majorBidi" w:hAnsiTheme="majorBidi" w:cstheme="majorBidi"/>
          <w:lang w:val="en"/>
        </w:rPr>
        <w:t>p</w:t>
      </w:r>
      <w:r w:rsidRPr="00CE0556">
        <w:rPr>
          <w:rFonts w:asciiTheme="majorBidi" w:hAnsiTheme="majorBidi" w:cstheme="majorBidi"/>
          <w:lang w:val="en"/>
        </w:rPr>
        <w:t xml:space="preserve">aranoia. </w:t>
      </w:r>
      <w:r w:rsidRPr="00F13995">
        <w:rPr>
          <w:rFonts w:asciiTheme="majorBidi" w:hAnsiTheme="majorBidi" w:cstheme="majorBidi"/>
          <w:i/>
          <w:iCs/>
          <w:lang w:val="en"/>
        </w:rPr>
        <w:t>Schizophrenia Bulletin</w:t>
      </w:r>
      <w:r w:rsidR="00F13995">
        <w:rPr>
          <w:rFonts w:asciiTheme="majorBidi" w:hAnsiTheme="majorBidi" w:cstheme="majorBidi"/>
          <w:i/>
          <w:iCs/>
          <w:lang w:val="en"/>
        </w:rPr>
        <w:t>,</w:t>
      </w:r>
      <w:r w:rsidRPr="00F13995">
        <w:rPr>
          <w:rFonts w:asciiTheme="majorBidi" w:hAnsiTheme="majorBidi" w:cstheme="majorBidi"/>
          <w:i/>
          <w:iCs/>
          <w:lang w:val="en"/>
        </w:rPr>
        <w:t xml:space="preserve"> 41</w:t>
      </w:r>
      <w:r w:rsidRPr="00CE0556">
        <w:rPr>
          <w:rFonts w:asciiTheme="majorBidi" w:hAnsiTheme="majorBidi" w:cstheme="majorBidi"/>
          <w:lang w:val="en"/>
        </w:rPr>
        <w:t>(2) 391-399.</w:t>
      </w:r>
    </w:p>
    <w:p w14:paraId="33448A6F" w14:textId="177CC000" w:rsidR="006451D3" w:rsidRPr="00CE0556" w:rsidRDefault="006451D3" w:rsidP="006451D3">
      <w:pPr>
        <w:spacing w:after="120" w:line="480" w:lineRule="auto"/>
        <w:rPr>
          <w:rFonts w:asciiTheme="majorBidi" w:hAnsiTheme="majorBidi" w:cstheme="majorBidi"/>
        </w:rPr>
      </w:pPr>
      <w:r w:rsidRPr="00EE21ED">
        <w:rPr>
          <w:rFonts w:asciiTheme="majorBidi" w:hAnsiTheme="majorBidi"/>
          <w:lang w:val="de-DE"/>
        </w:rPr>
        <w:t xml:space="preserve">Gage, S. H., Hickman, M., </w:t>
      </w:r>
      <w:r w:rsidR="00151FC7">
        <w:rPr>
          <w:rFonts w:asciiTheme="majorBidi" w:hAnsiTheme="majorBidi"/>
          <w:lang w:val="de-DE"/>
        </w:rPr>
        <w:t xml:space="preserve">&amp; </w:t>
      </w:r>
      <w:proofErr w:type="spellStart"/>
      <w:r w:rsidRPr="00EE21ED">
        <w:rPr>
          <w:rFonts w:asciiTheme="majorBidi" w:hAnsiTheme="majorBidi"/>
          <w:lang w:val="de-DE"/>
        </w:rPr>
        <w:t>Zammit</w:t>
      </w:r>
      <w:proofErr w:type="spellEnd"/>
      <w:r w:rsidRPr="00EE21ED">
        <w:rPr>
          <w:rFonts w:asciiTheme="majorBidi" w:hAnsiTheme="majorBidi"/>
          <w:lang w:val="de-DE"/>
        </w:rPr>
        <w:t xml:space="preserve">, S. </w:t>
      </w:r>
      <w:r w:rsidR="00F13995">
        <w:rPr>
          <w:rFonts w:asciiTheme="majorBidi" w:hAnsiTheme="majorBidi"/>
          <w:lang w:val="de-DE"/>
        </w:rPr>
        <w:t>(</w:t>
      </w:r>
      <w:r w:rsidRPr="00EE21ED">
        <w:rPr>
          <w:rFonts w:asciiTheme="majorBidi" w:hAnsiTheme="majorBidi"/>
          <w:lang w:val="de-DE"/>
        </w:rPr>
        <w:t>2016</w:t>
      </w:r>
      <w:r w:rsidR="00F13995">
        <w:rPr>
          <w:rFonts w:asciiTheme="majorBidi" w:hAnsiTheme="majorBidi"/>
          <w:lang w:val="de-DE"/>
        </w:rPr>
        <w:t>)</w:t>
      </w:r>
      <w:r w:rsidRPr="00EE21ED">
        <w:rPr>
          <w:rFonts w:asciiTheme="majorBidi" w:hAnsiTheme="majorBidi"/>
          <w:lang w:val="de-DE"/>
        </w:rPr>
        <w:t xml:space="preserve">. </w:t>
      </w:r>
      <w:r w:rsidRPr="00CE0556">
        <w:rPr>
          <w:rFonts w:asciiTheme="majorBidi" w:hAnsiTheme="majorBidi" w:cstheme="majorBidi"/>
        </w:rPr>
        <w:t xml:space="preserve">Association </w:t>
      </w:r>
      <w:r w:rsidR="00A4491B">
        <w:rPr>
          <w:rFonts w:asciiTheme="majorBidi" w:hAnsiTheme="majorBidi" w:cstheme="majorBidi"/>
        </w:rPr>
        <w:t>b</w:t>
      </w:r>
      <w:r w:rsidRPr="00CE0556">
        <w:rPr>
          <w:rFonts w:asciiTheme="majorBidi" w:hAnsiTheme="majorBidi" w:cstheme="majorBidi"/>
        </w:rPr>
        <w:t xml:space="preserve">etween </w:t>
      </w:r>
      <w:r w:rsidR="00A4491B">
        <w:rPr>
          <w:rFonts w:asciiTheme="majorBidi" w:hAnsiTheme="majorBidi" w:cstheme="majorBidi"/>
        </w:rPr>
        <w:t>c</w:t>
      </w:r>
      <w:r w:rsidRPr="00CE0556">
        <w:rPr>
          <w:rFonts w:asciiTheme="majorBidi" w:hAnsiTheme="majorBidi" w:cstheme="majorBidi"/>
        </w:rPr>
        <w:t xml:space="preserve">annabis and </w:t>
      </w:r>
      <w:r w:rsidR="00A4491B">
        <w:rPr>
          <w:rFonts w:asciiTheme="majorBidi" w:hAnsiTheme="majorBidi" w:cstheme="majorBidi"/>
        </w:rPr>
        <w:t>p</w:t>
      </w:r>
      <w:r w:rsidRPr="00CE0556">
        <w:rPr>
          <w:rFonts w:asciiTheme="majorBidi" w:hAnsiTheme="majorBidi" w:cstheme="majorBidi"/>
        </w:rPr>
        <w:t xml:space="preserve">sychosis: Epidemiologic </w:t>
      </w:r>
      <w:r w:rsidR="00A4491B">
        <w:rPr>
          <w:rFonts w:asciiTheme="majorBidi" w:hAnsiTheme="majorBidi" w:cstheme="majorBidi"/>
        </w:rPr>
        <w:t>e</w:t>
      </w:r>
      <w:r w:rsidRPr="00CE0556">
        <w:rPr>
          <w:rFonts w:asciiTheme="majorBidi" w:hAnsiTheme="majorBidi" w:cstheme="majorBidi"/>
        </w:rPr>
        <w:t xml:space="preserve">vidence. </w:t>
      </w:r>
      <w:r w:rsidRPr="00F13995">
        <w:rPr>
          <w:rFonts w:asciiTheme="majorBidi" w:hAnsiTheme="majorBidi" w:cstheme="majorBidi"/>
          <w:i/>
          <w:iCs/>
        </w:rPr>
        <w:t>Biological Psychiatry</w:t>
      </w:r>
      <w:r w:rsidR="00F13995" w:rsidRPr="00F13995">
        <w:rPr>
          <w:rFonts w:asciiTheme="majorBidi" w:hAnsiTheme="majorBidi" w:cstheme="majorBidi"/>
          <w:i/>
          <w:iCs/>
        </w:rPr>
        <w:t>,</w:t>
      </w:r>
      <w:r w:rsidRPr="00F13995">
        <w:rPr>
          <w:rFonts w:asciiTheme="majorBidi" w:hAnsiTheme="majorBidi" w:cstheme="majorBidi"/>
          <w:i/>
          <w:iCs/>
        </w:rPr>
        <w:t xml:space="preserve"> 79</w:t>
      </w:r>
      <w:r w:rsidRPr="00CE0556">
        <w:rPr>
          <w:rFonts w:asciiTheme="majorBidi" w:hAnsiTheme="majorBidi" w:cstheme="majorBidi"/>
        </w:rPr>
        <w:t>(7) 549-556.</w:t>
      </w:r>
    </w:p>
    <w:p w14:paraId="597C1DB4" w14:textId="1C00E0FF" w:rsidR="00214E20" w:rsidRDefault="00214E20" w:rsidP="007B07A7">
      <w:pPr>
        <w:autoSpaceDE w:val="0"/>
        <w:autoSpaceDN w:val="0"/>
        <w:adjustRightInd w:val="0"/>
        <w:spacing w:after="120" w:line="480" w:lineRule="auto"/>
        <w:rPr>
          <w:rFonts w:asciiTheme="majorBidi" w:hAnsiTheme="majorBidi" w:cstheme="majorBidi"/>
        </w:rPr>
      </w:pPr>
      <w:proofErr w:type="spellStart"/>
      <w:r w:rsidRPr="00214E20">
        <w:rPr>
          <w:rFonts w:asciiTheme="majorBidi" w:hAnsiTheme="majorBidi" w:cstheme="majorBidi"/>
        </w:rPr>
        <w:t>Gillanders</w:t>
      </w:r>
      <w:proofErr w:type="spellEnd"/>
      <w:r w:rsidRPr="00214E20">
        <w:rPr>
          <w:rFonts w:asciiTheme="majorBidi" w:hAnsiTheme="majorBidi" w:cstheme="majorBidi"/>
        </w:rPr>
        <w:t xml:space="preserve">, D. T., Bolderston, H., Bond, F. W., Dempster, M., Flaxman, P. E., Campbell, L., </w:t>
      </w:r>
      <w:r w:rsidR="00BD38EA">
        <w:rPr>
          <w:rFonts w:asciiTheme="majorBidi" w:hAnsiTheme="majorBidi" w:cstheme="majorBidi"/>
        </w:rPr>
        <w:t xml:space="preserve">Kerr, S., Tansey, L., Noel, P., </w:t>
      </w:r>
      <w:proofErr w:type="spellStart"/>
      <w:r w:rsidR="00BD38EA">
        <w:rPr>
          <w:rFonts w:asciiTheme="majorBidi" w:hAnsiTheme="majorBidi" w:cstheme="majorBidi"/>
        </w:rPr>
        <w:t>Ferenbach</w:t>
      </w:r>
      <w:proofErr w:type="spellEnd"/>
      <w:r w:rsidR="00BD38EA">
        <w:rPr>
          <w:rFonts w:asciiTheme="majorBidi" w:hAnsiTheme="majorBidi" w:cstheme="majorBidi"/>
        </w:rPr>
        <w:t xml:space="preserve">, C., </w:t>
      </w:r>
      <w:proofErr w:type="spellStart"/>
      <w:r w:rsidR="00BD38EA" w:rsidRPr="00214E20">
        <w:rPr>
          <w:rFonts w:asciiTheme="majorBidi" w:hAnsiTheme="majorBidi" w:cstheme="majorBidi"/>
        </w:rPr>
        <w:t>Masley</w:t>
      </w:r>
      <w:proofErr w:type="spellEnd"/>
      <w:r w:rsidR="00BD38EA" w:rsidRPr="00214E20">
        <w:rPr>
          <w:rFonts w:asciiTheme="majorBidi" w:hAnsiTheme="majorBidi" w:cstheme="majorBidi"/>
        </w:rPr>
        <w:t>, S.</w:t>
      </w:r>
      <w:r w:rsidR="00BD38EA">
        <w:rPr>
          <w:rFonts w:asciiTheme="majorBidi" w:hAnsiTheme="majorBidi" w:cstheme="majorBidi"/>
        </w:rPr>
        <w:t>, Roach, L., Lloyd,</w:t>
      </w:r>
      <w:r w:rsidR="006451D3" w:rsidRPr="00CE0556">
        <w:rPr>
          <w:rFonts w:asciiTheme="majorBidi" w:hAnsiTheme="majorBidi" w:cstheme="majorBidi"/>
        </w:rPr>
        <w:t xml:space="preserve"> J., </w:t>
      </w:r>
      <w:r w:rsidR="00BD38EA">
        <w:rPr>
          <w:rFonts w:asciiTheme="majorBidi" w:hAnsiTheme="majorBidi" w:cstheme="majorBidi"/>
        </w:rPr>
        <w:t xml:space="preserve">May, L., Clarke, S., </w:t>
      </w:r>
      <w:r w:rsidR="00151FC7">
        <w:rPr>
          <w:rFonts w:asciiTheme="majorBidi" w:hAnsiTheme="majorBidi" w:cstheme="majorBidi"/>
        </w:rPr>
        <w:t xml:space="preserve">&amp; </w:t>
      </w:r>
      <w:r w:rsidR="00BD38EA">
        <w:rPr>
          <w:rFonts w:asciiTheme="majorBidi" w:hAnsiTheme="majorBidi" w:cstheme="majorBidi"/>
        </w:rPr>
        <w:t>Remington, B.</w:t>
      </w:r>
      <w:r w:rsidR="00F13995">
        <w:rPr>
          <w:rFonts w:asciiTheme="majorBidi" w:hAnsiTheme="majorBidi" w:cstheme="majorBidi"/>
        </w:rPr>
        <w:t xml:space="preserve"> (</w:t>
      </w:r>
      <w:r>
        <w:rPr>
          <w:rFonts w:asciiTheme="majorBidi" w:hAnsiTheme="majorBidi" w:cstheme="majorBidi"/>
        </w:rPr>
        <w:t>2014</w:t>
      </w:r>
      <w:r w:rsidR="00F13995">
        <w:rPr>
          <w:rFonts w:asciiTheme="majorBidi" w:hAnsiTheme="majorBidi" w:cstheme="majorBidi"/>
        </w:rPr>
        <w:t>)</w:t>
      </w:r>
      <w:r w:rsidRPr="00214E20">
        <w:rPr>
          <w:rFonts w:asciiTheme="majorBidi" w:hAnsiTheme="majorBidi" w:cstheme="majorBidi"/>
        </w:rPr>
        <w:t xml:space="preserve">. The development and initial validation of the Cognitive </w:t>
      </w:r>
      <w:r>
        <w:rPr>
          <w:rFonts w:asciiTheme="majorBidi" w:hAnsiTheme="majorBidi" w:cstheme="majorBidi"/>
        </w:rPr>
        <w:t xml:space="preserve">Fusion Questionnaire. </w:t>
      </w:r>
      <w:proofErr w:type="spellStart"/>
      <w:r w:rsidRPr="00F13995">
        <w:rPr>
          <w:rFonts w:asciiTheme="majorBidi" w:hAnsiTheme="majorBidi" w:cstheme="majorBidi"/>
          <w:i/>
          <w:iCs/>
        </w:rPr>
        <w:t>Behavior</w:t>
      </w:r>
      <w:proofErr w:type="spellEnd"/>
      <w:r w:rsidRPr="00F13995">
        <w:rPr>
          <w:rFonts w:asciiTheme="majorBidi" w:hAnsiTheme="majorBidi" w:cstheme="majorBidi"/>
          <w:i/>
          <w:iCs/>
        </w:rPr>
        <w:t xml:space="preserve"> Therapy</w:t>
      </w:r>
      <w:r w:rsidR="00F13995" w:rsidRPr="00F13995">
        <w:rPr>
          <w:rFonts w:asciiTheme="majorBidi" w:hAnsiTheme="majorBidi" w:cstheme="majorBidi"/>
          <w:i/>
          <w:iCs/>
        </w:rPr>
        <w:t>,</w:t>
      </w:r>
      <w:r w:rsidRPr="00F13995">
        <w:rPr>
          <w:rFonts w:asciiTheme="majorBidi" w:hAnsiTheme="majorBidi" w:cstheme="majorBidi"/>
          <w:i/>
          <w:iCs/>
        </w:rPr>
        <w:t xml:space="preserve"> 45</w:t>
      </w:r>
      <w:r w:rsidRPr="00214E20">
        <w:rPr>
          <w:rFonts w:asciiTheme="majorBidi" w:hAnsiTheme="majorBidi" w:cstheme="majorBidi"/>
        </w:rPr>
        <w:t>(1) 83-101.</w:t>
      </w:r>
    </w:p>
    <w:p w14:paraId="2CE8F30A" w14:textId="4D4ACCFC" w:rsidR="002B63BF" w:rsidRDefault="002B63BF" w:rsidP="00B709DA">
      <w:pPr>
        <w:autoSpaceDE w:val="0"/>
        <w:autoSpaceDN w:val="0"/>
        <w:adjustRightInd w:val="0"/>
        <w:spacing w:after="120" w:line="480" w:lineRule="auto"/>
        <w:rPr>
          <w:rFonts w:asciiTheme="majorBidi" w:hAnsiTheme="majorBidi" w:cstheme="majorBidi"/>
        </w:rPr>
      </w:pPr>
      <w:r w:rsidRPr="002B63BF">
        <w:rPr>
          <w:rFonts w:asciiTheme="majorBidi" w:hAnsiTheme="majorBidi" w:cstheme="majorBidi"/>
        </w:rPr>
        <w:t xml:space="preserve">Garety, P. A., </w:t>
      </w:r>
      <w:r w:rsidR="00151FC7">
        <w:rPr>
          <w:rFonts w:asciiTheme="majorBidi" w:hAnsiTheme="majorBidi" w:cstheme="majorBidi"/>
        </w:rPr>
        <w:t xml:space="preserve">&amp; </w:t>
      </w:r>
      <w:r w:rsidRPr="002B63BF">
        <w:rPr>
          <w:rFonts w:asciiTheme="majorBidi" w:hAnsiTheme="majorBidi" w:cstheme="majorBidi"/>
        </w:rPr>
        <w:t>Freeman, D. (2013). The past and future of delusions research: from the</w:t>
      </w:r>
      <w:r>
        <w:rPr>
          <w:rFonts w:asciiTheme="majorBidi" w:hAnsiTheme="majorBidi" w:cstheme="majorBidi"/>
        </w:rPr>
        <w:t xml:space="preserve"> </w:t>
      </w:r>
      <w:r w:rsidRPr="002B63BF">
        <w:rPr>
          <w:rFonts w:asciiTheme="majorBidi" w:hAnsiTheme="majorBidi" w:cstheme="majorBidi"/>
        </w:rPr>
        <w:t xml:space="preserve">inexplicable to the treatable. </w:t>
      </w:r>
      <w:r w:rsidRPr="002B63BF">
        <w:rPr>
          <w:rFonts w:asciiTheme="majorBidi" w:hAnsiTheme="majorBidi" w:cstheme="majorBidi"/>
          <w:i/>
          <w:iCs/>
        </w:rPr>
        <w:t>The British Journal of Psychiatry, 203</w:t>
      </w:r>
      <w:r w:rsidRPr="002B63BF">
        <w:rPr>
          <w:rFonts w:asciiTheme="majorBidi" w:hAnsiTheme="majorBidi" w:cstheme="majorBidi"/>
        </w:rPr>
        <w:t>(5), 327-333.</w:t>
      </w:r>
    </w:p>
    <w:p w14:paraId="3FEAC91B" w14:textId="0BD24C6B" w:rsidR="00B5547D" w:rsidRPr="00B5547D" w:rsidRDefault="00B5547D" w:rsidP="00B709DA">
      <w:pPr>
        <w:autoSpaceDE w:val="0"/>
        <w:autoSpaceDN w:val="0"/>
        <w:adjustRightInd w:val="0"/>
        <w:spacing w:after="120" w:line="480" w:lineRule="auto"/>
        <w:rPr>
          <w:rFonts w:asciiTheme="majorBidi" w:hAnsiTheme="majorBidi" w:cstheme="majorBidi"/>
        </w:rPr>
      </w:pPr>
      <w:r w:rsidRPr="00B5547D">
        <w:rPr>
          <w:rFonts w:asciiTheme="majorBidi" w:hAnsiTheme="majorBidi" w:cstheme="majorBidi"/>
        </w:rPr>
        <w:t xml:space="preserve">Harley, M., Kelleher, I., Clarke, M., Lynch, F., Arseneault, L., Connor, D., ...., </w:t>
      </w:r>
      <w:r w:rsidR="00151FC7">
        <w:rPr>
          <w:rFonts w:asciiTheme="majorBidi" w:hAnsiTheme="majorBidi" w:cstheme="majorBidi"/>
        </w:rPr>
        <w:t xml:space="preserve">&amp; </w:t>
      </w:r>
      <w:r w:rsidRPr="00B5547D">
        <w:rPr>
          <w:rFonts w:asciiTheme="majorBidi" w:hAnsiTheme="majorBidi" w:cstheme="majorBidi"/>
        </w:rPr>
        <w:t>Cannon, M.</w:t>
      </w:r>
      <w:r w:rsidR="00F13995">
        <w:rPr>
          <w:rFonts w:asciiTheme="majorBidi" w:hAnsiTheme="majorBidi" w:cstheme="majorBidi"/>
        </w:rPr>
        <w:t xml:space="preserve"> (</w:t>
      </w:r>
      <w:r w:rsidRPr="00B5547D">
        <w:rPr>
          <w:rFonts w:asciiTheme="majorBidi" w:hAnsiTheme="majorBidi" w:cstheme="majorBidi"/>
        </w:rPr>
        <w:t>2010</w:t>
      </w:r>
      <w:r w:rsidR="00F13995">
        <w:rPr>
          <w:rFonts w:asciiTheme="majorBidi" w:hAnsiTheme="majorBidi" w:cstheme="majorBidi"/>
        </w:rPr>
        <w:t>)</w:t>
      </w:r>
      <w:r w:rsidRPr="00B5547D">
        <w:rPr>
          <w:rFonts w:asciiTheme="majorBidi" w:hAnsiTheme="majorBidi" w:cstheme="majorBidi"/>
        </w:rPr>
        <w:t xml:space="preserve">. Cannabis use and childhood trauma interact additively to increase the risk of psychotic symptoms in adolescence. </w:t>
      </w:r>
      <w:r w:rsidRPr="00F13995">
        <w:rPr>
          <w:rFonts w:asciiTheme="majorBidi" w:hAnsiTheme="majorBidi" w:cstheme="majorBidi"/>
          <w:i/>
          <w:iCs/>
        </w:rPr>
        <w:t>Psychological Medicine</w:t>
      </w:r>
      <w:r w:rsidR="00F13995" w:rsidRPr="00F13995">
        <w:rPr>
          <w:rFonts w:asciiTheme="majorBidi" w:hAnsiTheme="majorBidi" w:cstheme="majorBidi"/>
          <w:i/>
          <w:iCs/>
        </w:rPr>
        <w:t>,</w:t>
      </w:r>
      <w:r w:rsidRPr="00F13995">
        <w:rPr>
          <w:rFonts w:asciiTheme="majorBidi" w:hAnsiTheme="majorBidi" w:cstheme="majorBidi"/>
          <w:i/>
          <w:iCs/>
        </w:rPr>
        <w:t xml:space="preserve"> 40</w:t>
      </w:r>
      <w:r w:rsidR="00B709DA">
        <w:rPr>
          <w:rFonts w:asciiTheme="majorBidi" w:hAnsiTheme="majorBidi" w:cstheme="majorBidi"/>
        </w:rPr>
        <w:t>,</w:t>
      </w:r>
      <w:r w:rsidRPr="00B5547D">
        <w:rPr>
          <w:rFonts w:asciiTheme="majorBidi" w:hAnsiTheme="majorBidi" w:cstheme="majorBidi"/>
        </w:rPr>
        <w:t xml:space="preserve"> 1627-1634.</w:t>
      </w:r>
    </w:p>
    <w:p w14:paraId="63084071" w14:textId="760B273E" w:rsidR="00C620C3" w:rsidRPr="00F13995" w:rsidRDefault="00C620C3" w:rsidP="00C620C3">
      <w:pPr>
        <w:autoSpaceDE w:val="0"/>
        <w:autoSpaceDN w:val="0"/>
        <w:adjustRightInd w:val="0"/>
        <w:spacing w:after="120" w:line="480" w:lineRule="auto"/>
        <w:rPr>
          <w:rFonts w:asciiTheme="majorBidi" w:hAnsiTheme="majorBidi" w:cstheme="majorBidi"/>
          <w:i/>
          <w:iCs/>
        </w:rPr>
      </w:pPr>
      <w:r w:rsidRPr="00C620C3">
        <w:rPr>
          <w:rFonts w:asciiTheme="majorBidi" w:hAnsiTheme="majorBidi" w:cstheme="majorBidi"/>
        </w:rPr>
        <w:t xml:space="preserve">Hayes, S. C., </w:t>
      </w:r>
      <w:proofErr w:type="spellStart"/>
      <w:r w:rsidR="00FE28D5">
        <w:rPr>
          <w:rFonts w:asciiTheme="majorBidi" w:hAnsiTheme="majorBidi" w:cstheme="majorBidi"/>
        </w:rPr>
        <w:t>Strosahl</w:t>
      </w:r>
      <w:proofErr w:type="spellEnd"/>
      <w:r w:rsidR="00FE28D5">
        <w:rPr>
          <w:rFonts w:asciiTheme="majorBidi" w:hAnsiTheme="majorBidi" w:cstheme="majorBidi"/>
        </w:rPr>
        <w:t xml:space="preserve">, K. D., </w:t>
      </w:r>
      <w:r w:rsidR="00151FC7">
        <w:rPr>
          <w:rFonts w:asciiTheme="majorBidi" w:hAnsiTheme="majorBidi" w:cstheme="majorBidi"/>
        </w:rPr>
        <w:t xml:space="preserve">&amp; </w:t>
      </w:r>
      <w:r w:rsidR="00FE28D5">
        <w:rPr>
          <w:rFonts w:asciiTheme="majorBidi" w:hAnsiTheme="majorBidi" w:cstheme="majorBidi"/>
        </w:rPr>
        <w:t>Wilson, K. G.</w:t>
      </w:r>
      <w:r w:rsidR="00F13995">
        <w:rPr>
          <w:rFonts w:asciiTheme="majorBidi" w:hAnsiTheme="majorBidi" w:cstheme="majorBidi"/>
        </w:rPr>
        <w:t xml:space="preserve"> (</w:t>
      </w:r>
      <w:r w:rsidR="00FE28D5">
        <w:rPr>
          <w:rFonts w:asciiTheme="majorBidi" w:hAnsiTheme="majorBidi" w:cstheme="majorBidi"/>
        </w:rPr>
        <w:t>2012</w:t>
      </w:r>
      <w:r w:rsidR="00F13995">
        <w:rPr>
          <w:rFonts w:asciiTheme="majorBidi" w:hAnsiTheme="majorBidi" w:cstheme="majorBidi"/>
        </w:rPr>
        <w:t>)</w:t>
      </w:r>
      <w:r w:rsidRPr="00C620C3">
        <w:rPr>
          <w:rFonts w:asciiTheme="majorBidi" w:hAnsiTheme="majorBidi" w:cstheme="majorBidi"/>
        </w:rPr>
        <w:t xml:space="preserve">. </w:t>
      </w:r>
      <w:r w:rsidRPr="00F13995">
        <w:rPr>
          <w:rFonts w:asciiTheme="majorBidi" w:hAnsiTheme="majorBidi" w:cstheme="majorBidi"/>
          <w:i/>
          <w:iCs/>
        </w:rPr>
        <w:t>Acceptance and Commitment Therapy:</w:t>
      </w:r>
    </w:p>
    <w:p w14:paraId="1D5028F6" w14:textId="4E9D1B06" w:rsidR="00C620C3" w:rsidRDefault="00C620C3" w:rsidP="00C620C3">
      <w:pPr>
        <w:autoSpaceDE w:val="0"/>
        <w:autoSpaceDN w:val="0"/>
        <w:adjustRightInd w:val="0"/>
        <w:spacing w:after="120" w:line="480" w:lineRule="auto"/>
        <w:rPr>
          <w:rFonts w:asciiTheme="majorBidi" w:hAnsiTheme="majorBidi" w:cstheme="majorBidi"/>
        </w:rPr>
      </w:pPr>
      <w:r w:rsidRPr="00F13995">
        <w:rPr>
          <w:rFonts w:asciiTheme="majorBidi" w:hAnsiTheme="majorBidi" w:cstheme="majorBidi"/>
          <w:i/>
          <w:iCs/>
        </w:rPr>
        <w:t>The Process and Practice of Mindful Change. (2nd ed.)</w:t>
      </w:r>
      <w:r w:rsidRPr="00C620C3">
        <w:rPr>
          <w:rFonts w:asciiTheme="majorBidi" w:hAnsiTheme="majorBidi" w:cstheme="majorBidi"/>
        </w:rPr>
        <w:t xml:space="preserve"> Guildford Press.</w:t>
      </w:r>
    </w:p>
    <w:p w14:paraId="2511AC5F" w14:textId="44CFF20F" w:rsidR="006451D3" w:rsidRPr="00CE0556" w:rsidRDefault="006451D3" w:rsidP="006451D3">
      <w:pPr>
        <w:autoSpaceDE w:val="0"/>
        <w:autoSpaceDN w:val="0"/>
        <w:adjustRightInd w:val="0"/>
        <w:spacing w:after="120" w:line="480" w:lineRule="auto"/>
        <w:rPr>
          <w:rFonts w:asciiTheme="majorBidi" w:hAnsiTheme="majorBidi" w:cstheme="majorBidi"/>
          <w:kern w:val="36"/>
          <w:lang w:val="en"/>
        </w:rPr>
      </w:pPr>
      <w:r w:rsidRPr="00CE0556">
        <w:rPr>
          <w:rFonts w:asciiTheme="majorBidi" w:hAnsiTheme="majorBidi" w:cstheme="majorBidi"/>
        </w:rPr>
        <w:t>Hjorth</w:t>
      </w:r>
      <w:proofErr w:type="spellStart"/>
      <w:r w:rsidRPr="00CE0556">
        <w:rPr>
          <w:rStyle w:val="text2"/>
          <w:rFonts w:asciiTheme="majorBidi" w:hAnsiTheme="majorBidi" w:cstheme="majorBidi"/>
          <w:lang w:val="en"/>
        </w:rPr>
        <w:t>øj</w:t>
      </w:r>
      <w:proofErr w:type="spellEnd"/>
      <w:r w:rsidRPr="00CE0556">
        <w:rPr>
          <w:rStyle w:val="text2"/>
          <w:rFonts w:asciiTheme="majorBidi" w:hAnsiTheme="majorBidi" w:cstheme="majorBidi"/>
          <w:lang w:val="en"/>
        </w:rPr>
        <w:t xml:space="preserve">, C, R., Baker, A., </w:t>
      </w:r>
      <w:proofErr w:type="spellStart"/>
      <w:r w:rsidRPr="00CE0556">
        <w:rPr>
          <w:rStyle w:val="text2"/>
          <w:rFonts w:asciiTheme="majorBidi" w:hAnsiTheme="majorBidi" w:cstheme="majorBidi"/>
          <w:lang w:val="en"/>
        </w:rPr>
        <w:t>Fohlmann</w:t>
      </w:r>
      <w:proofErr w:type="spellEnd"/>
      <w:r w:rsidRPr="00CE0556">
        <w:rPr>
          <w:rStyle w:val="text2"/>
          <w:rFonts w:asciiTheme="majorBidi" w:hAnsiTheme="majorBidi" w:cstheme="majorBidi"/>
          <w:lang w:val="en"/>
        </w:rPr>
        <w:t xml:space="preserve">, A., </w:t>
      </w:r>
      <w:r w:rsidR="00151FC7">
        <w:rPr>
          <w:rStyle w:val="text2"/>
          <w:rFonts w:asciiTheme="majorBidi" w:hAnsiTheme="majorBidi" w:cstheme="majorBidi"/>
          <w:lang w:val="en"/>
        </w:rPr>
        <w:t xml:space="preserve">&amp; </w:t>
      </w:r>
      <w:r w:rsidRPr="00CE0556">
        <w:rPr>
          <w:rStyle w:val="text2"/>
          <w:rFonts w:asciiTheme="majorBidi" w:hAnsiTheme="majorBidi" w:cstheme="majorBidi"/>
          <w:lang w:val="en"/>
        </w:rPr>
        <w:t>Merete, N.</w:t>
      </w:r>
      <w:r w:rsidR="00F13995">
        <w:rPr>
          <w:rStyle w:val="text2"/>
          <w:rFonts w:asciiTheme="majorBidi" w:hAnsiTheme="majorBidi" w:cstheme="majorBidi"/>
          <w:lang w:val="en"/>
        </w:rPr>
        <w:t xml:space="preserve"> (</w:t>
      </w:r>
      <w:r w:rsidRPr="00CE0556">
        <w:rPr>
          <w:rStyle w:val="text2"/>
          <w:rFonts w:asciiTheme="majorBidi" w:hAnsiTheme="majorBidi" w:cstheme="majorBidi"/>
          <w:lang w:val="en"/>
        </w:rPr>
        <w:t>2014</w:t>
      </w:r>
      <w:r w:rsidR="00F13995">
        <w:rPr>
          <w:rStyle w:val="text2"/>
          <w:rFonts w:asciiTheme="majorBidi" w:hAnsiTheme="majorBidi" w:cstheme="majorBidi"/>
          <w:lang w:val="en"/>
        </w:rPr>
        <w:t>)</w:t>
      </w:r>
      <w:r w:rsidRPr="00CE0556">
        <w:rPr>
          <w:rStyle w:val="text2"/>
          <w:rFonts w:asciiTheme="majorBidi" w:hAnsiTheme="majorBidi" w:cstheme="majorBidi"/>
          <w:lang w:val="en"/>
        </w:rPr>
        <w:t xml:space="preserve">. </w:t>
      </w:r>
      <w:r w:rsidRPr="00CE0556">
        <w:rPr>
          <w:rFonts w:asciiTheme="majorBidi" w:hAnsiTheme="majorBidi" w:cstheme="majorBidi"/>
          <w:kern w:val="36"/>
          <w:lang w:val="en"/>
        </w:rPr>
        <w:t xml:space="preserve">Intervention </w:t>
      </w:r>
      <w:r w:rsidR="00A4491B">
        <w:rPr>
          <w:rFonts w:asciiTheme="majorBidi" w:hAnsiTheme="majorBidi" w:cstheme="majorBidi"/>
          <w:kern w:val="36"/>
          <w:lang w:val="en"/>
        </w:rPr>
        <w:t>e</w:t>
      </w:r>
      <w:r w:rsidRPr="00CE0556">
        <w:rPr>
          <w:rFonts w:asciiTheme="majorBidi" w:hAnsiTheme="majorBidi" w:cstheme="majorBidi"/>
          <w:kern w:val="36"/>
          <w:lang w:val="en"/>
        </w:rPr>
        <w:t xml:space="preserve">fficacy in </w:t>
      </w:r>
      <w:r w:rsidR="00A4491B">
        <w:rPr>
          <w:rFonts w:asciiTheme="majorBidi" w:hAnsiTheme="majorBidi" w:cstheme="majorBidi"/>
          <w:kern w:val="36"/>
          <w:lang w:val="en"/>
        </w:rPr>
        <w:t>t</w:t>
      </w:r>
      <w:r w:rsidRPr="00CE0556">
        <w:rPr>
          <w:rFonts w:asciiTheme="majorBidi" w:hAnsiTheme="majorBidi" w:cstheme="majorBidi"/>
          <w:kern w:val="36"/>
          <w:lang w:val="en"/>
        </w:rPr>
        <w:t xml:space="preserve">rials </w:t>
      </w:r>
      <w:r w:rsidR="00A4491B">
        <w:rPr>
          <w:rFonts w:asciiTheme="majorBidi" w:hAnsiTheme="majorBidi" w:cstheme="majorBidi"/>
          <w:kern w:val="36"/>
          <w:lang w:val="en"/>
        </w:rPr>
        <w:t>t</w:t>
      </w:r>
      <w:r w:rsidRPr="00CE0556">
        <w:rPr>
          <w:rFonts w:asciiTheme="majorBidi" w:hAnsiTheme="majorBidi" w:cstheme="majorBidi"/>
          <w:kern w:val="36"/>
          <w:lang w:val="en"/>
        </w:rPr>
        <w:t xml:space="preserve">argeting </w:t>
      </w:r>
      <w:r w:rsidR="00A4491B">
        <w:rPr>
          <w:rFonts w:asciiTheme="majorBidi" w:hAnsiTheme="majorBidi" w:cstheme="majorBidi"/>
          <w:kern w:val="36"/>
          <w:lang w:val="en"/>
        </w:rPr>
        <w:t>c</w:t>
      </w:r>
      <w:r w:rsidRPr="00CE0556">
        <w:rPr>
          <w:rFonts w:asciiTheme="majorBidi" w:hAnsiTheme="majorBidi" w:cstheme="majorBidi"/>
          <w:kern w:val="36"/>
          <w:lang w:val="en"/>
        </w:rPr>
        <w:t xml:space="preserve">annabis </w:t>
      </w:r>
      <w:r w:rsidR="00A4491B">
        <w:rPr>
          <w:rFonts w:asciiTheme="majorBidi" w:hAnsiTheme="majorBidi" w:cstheme="majorBidi"/>
          <w:kern w:val="36"/>
          <w:lang w:val="en"/>
        </w:rPr>
        <w:t>u</w:t>
      </w:r>
      <w:r w:rsidRPr="00CE0556">
        <w:rPr>
          <w:rFonts w:asciiTheme="majorBidi" w:hAnsiTheme="majorBidi" w:cstheme="majorBidi"/>
          <w:kern w:val="36"/>
          <w:lang w:val="en"/>
        </w:rPr>
        <w:t xml:space="preserve">se </w:t>
      </w:r>
      <w:r w:rsidR="00A4491B">
        <w:rPr>
          <w:rFonts w:asciiTheme="majorBidi" w:hAnsiTheme="majorBidi" w:cstheme="majorBidi"/>
          <w:kern w:val="36"/>
          <w:lang w:val="en"/>
        </w:rPr>
        <w:t>d</w:t>
      </w:r>
      <w:r w:rsidRPr="00CE0556">
        <w:rPr>
          <w:rFonts w:asciiTheme="majorBidi" w:hAnsiTheme="majorBidi" w:cstheme="majorBidi"/>
          <w:kern w:val="36"/>
          <w:lang w:val="en"/>
        </w:rPr>
        <w:t xml:space="preserve">isorders in </w:t>
      </w:r>
      <w:r w:rsidR="00A4491B">
        <w:rPr>
          <w:rFonts w:asciiTheme="majorBidi" w:hAnsiTheme="majorBidi" w:cstheme="majorBidi"/>
          <w:kern w:val="36"/>
          <w:lang w:val="en"/>
        </w:rPr>
        <w:t>p</w:t>
      </w:r>
      <w:r w:rsidRPr="00CE0556">
        <w:rPr>
          <w:rFonts w:asciiTheme="majorBidi" w:hAnsiTheme="majorBidi" w:cstheme="majorBidi"/>
          <w:kern w:val="36"/>
          <w:lang w:val="en"/>
        </w:rPr>
        <w:t xml:space="preserve">atients with </w:t>
      </w:r>
      <w:r w:rsidR="00A4491B">
        <w:rPr>
          <w:rFonts w:asciiTheme="majorBidi" w:hAnsiTheme="majorBidi" w:cstheme="majorBidi"/>
          <w:kern w:val="36"/>
          <w:lang w:val="en"/>
        </w:rPr>
        <w:t>c</w:t>
      </w:r>
      <w:r w:rsidRPr="00CE0556">
        <w:rPr>
          <w:rFonts w:asciiTheme="majorBidi" w:hAnsiTheme="majorBidi" w:cstheme="majorBidi"/>
          <w:kern w:val="36"/>
          <w:lang w:val="en"/>
        </w:rPr>
        <w:t xml:space="preserve">omorbid </w:t>
      </w:r>
      <w:r w:rsidR="00A4491B">
        <w:rPr>
          <w:rFonts w:asciiTheme="majorBidi" w:hAnsiTheme="majorBidi" w:cstheme="majorBidi"/>
          <w:kern w:val="36"/>
          <w:lang w:val="en"/>
        </w:rPr>
        <w:t>p</w:t>
      </w:r>
      <w:r w:rsidRPr="00CE0556">
        <w:rPr>
          <w:rFonts w:asciiTheme="majorBidi" w:hAnsiTheme="majorBidi" w:cstheme="majorBidi"/>
          <w:kern w:val="36"/>
          <w:lang w:val="en"/>
        </w:rPr>
        <w:t xml:space="preserve">sychosis </w:t>
      </w:r>
      <w:r w:rsidR="00A4491B">
        <w:rPr>
          <w:rFonts w:asciiTheme="majorBidi" w:hAnsiTheme="majorBidi" w:cstheme="majorBidi"/>
          <w:kern w:val="36"/>
          <w:lang w:val="en"/>
        </w:rPr>
        <w:t>s</w:t>
      </w:r>
      <w:r w:rsidRPr="00CE0556">
        <w:rPr>
          <w:rFonts w:asciiTheme="majorBidi" w:hAnsiTheme="majorBidi" w:cstheme="majorBidi"/>
          <w:kern w:val="36"/>
          <w:lang w:val="en"/>
        </w:rPr>
        <w:t xml:space="preserve">ystematic </w:t>
      </w:r>
      <w:r w:rsidR="00A4491B">
        <w:rPr>
          <w:rFonts w:asciiTheme="majorBidi" w:hAnsiTheme="majorBidi" w:cstheme="majorBidi"/>
          <w:kern w:val="36"/>
          <w:lang w:val="en"/>
        </w:rPr>
        <w:t>r</w:t>
      </w:r>
      <w:r w:rsidRPr="00CE0556">
        <w:rPr>
          <w:rFonts w:asciiTheme="majorBidi" w:hAnsiTheme="majorBidi" w:cstheme="majorBidi"/>
          <w:kern w:val="36"/>
          <w:lang w:val="en"/>
        </w:rPr>
        <w:t xml:space="preserve">eview and </w:t>
      </w:r>
      <w:r w:rsidR="00A4491B">
        <w:rPr>
          <w:rFonts w:asciiTheme="majorBidi" w:hAnsiTheme="majorBidi" w:cstheme="majorBidi"/>
          <w:kern w:val="36"/>
          <w:lang w:val="en"/>
        </w:rPr>
        <w:t>m</w:t>
      </w:r>
      <w:r w:rsidRPr="00CE0556">
        <w:rPr>
          <w:rFonts w:asciiTheme="majorBidi" w:hAnsiTheme="majorBidi" w:cstheme="majorBidi"/>
          <w:kern w:val="36"/>
          <w:lang w:val="en"/>
        </w:rPr>
        <w:t xml:space="preserve">eta-analysis. </w:t>
      </w:r>
      <w:r w:rsidRPr="00F13995">
        <w:rPr>
          <w:rFonts w:asciiTheme="majorBidi" w:hAnsiTheme="majorBidi" w:cstheme="majorBidi"/>
          <w:i/>
          <w:iCs/>
          <w:kern w:val="36"/>
          <w:lang w:val="en"/>
        </w:rPr>
        <w:t>Current Pharmaceutical Design</w:t>
      </w:r>
      <w:r w:rsidR="00F13995">
        <w:rPr>
          <w:rFonts w:asciiTheme="majorBidi" w:hAnsiTheme="majorBidi" w:cstheme="majorBidi"/>
          <w:i/>
          <w:iCs/>
          <w:kern w:val="36"/>
          <w:lang w:val="en"/>
        </w:rPr>
        <w:t>,</w:t>
      </w:r>
      <w:r w:rsidRPr="00F13995">
        <w:rPr>
          <w:rFonts w:asciiTheme="majorBidi" w:hAnsiTheme="majorBidi" w:cstheme="majorBidi"/>
          <w:i/>
          <w:iCs/>
          <w:kern w:val="36"/>
          <w:lang w:val="en"/>
        </w:rPr>
        <w:t xml:space="preserve"> 20</w:t>
      </w:r>
      <w:r w:rsidRPr="00CE0556">
        <w:rPr>
          <w:rFonts w:asciiTheme="majorBidi" w:hAnsiTheme="majorBidi" w:cstheme="majorBidi"/>
          <w:kern w:val="36"/>
          <w:lang w:val="en"/>
        </w:rPr>
        <w:t>(13) 2205-2211.</w:t>
      </w:r>
    </w:p>
    <w:p w14:paraId="661C8E36" w14:textId="47F6E287" w:rsidR="00B5547D" w:rsidRPr="005D4660" w:rsidRDefault="00B5547D" w:rsidP="00B709DA">
      <w:pPr>
        <w:autoSpaceDE w:val="0"/>
        <w:autoSpaceDN w:val="0"/>
        <w:adjustRightInd w:val="0"/>
        <w:spacing w:after="120" w:line="480" w:lineRule="auto"/>
        <w:rPr>
          <w:rFonts w:asciiTheme="majorBidi" w:hAnsiTheme="majorBidi" w:cstheme="majorBidi"/>
          <w:lang w:val="de-DE"/>
        </w:rPr>
      </w:pPr>
      <w:r w:rsidRPr="00B5547D">
        <w:rPr>
          <w:rFonts w:asciiTheme="majorBidi" w:hAnsiTheme="majorBidi" w:cstheme="majorBidi"/>
        </w:rPr>
        <w:t xml:space="preserve">Houston, J. E., Murphy, J., Shevlin, M., </w:t>
      </w:r>
      <w:r w:rsidR="00151FC7">
        <w:rPr>
          <w:rFonts w:asciiTheme="majorBidi" w:hAnsiTheme="majorBidi" w:cstheme="majorBidi"/>
        </w:rPr>
        <w:t xml:space="preserve">&amp; </w:t>
      </w:r>
      <w:r w:rsidRPr="00B5547D">
        <w:rPr>
          <w:rFonts w:asciiTheme="majorBidi" w:hAnsiTheme="majorBidi" w:cstheme="majorBidi"/>
        </w:rPr>
        <w:t>Adamson, G.</w:t>
      </w:r>
      <w:r w:rsidR="00F13995">
        <w:rPr>
          <w:rFonts w:asciiTheme="majorBidi" w:hAnsiTheme="majorBidi" w:cstheme="majorBidi"/>
        </w:rPr>
        <w:t xml:space="preserve"> (</w:t>
      </w:r>
      <w:r w:rsidRPr="00B5547D">
        <w:rPr>
          <w:rFonts w:asciiTheme="majorBidi" w:hAnsiTheme="majorBidi" w:cstheme="majorBidi"/>
        </w:rPr>
        <w:t>2011</w:t>
      </w:r>
      <w:r w:rsidR="00F13995">
        <w:rPr>
          <w:rFonts w:asciiTheme="majorBidi" w:hAnsiTheme="majorBidi" w:cstheme="majorBidi"/>
        </w:rPr>
        <w:t>)</w:t>
      </w:r>
      <w:r w:rsidRPr="00B5547D">
        <w:rPr>
          <w:rFonts w:asciiTheme="majorBidi" w:hAnsiTheme="majorBidi" w:cstheme="majorBidi"/>
        </w:rPr>
        <w:t xml:space="preserve">. Cannabis use and psychosis: Re-visiting the role of childhood trauma. </w:t>
      </w:r>
      <w:r w:rsidRPr="00F13995">
        <w:rPr>
          <w:rFonts w:asciiTheme="majorBidi" w:hAnsiTheme="majorBidi" w:cstheme="majorBidi"/>
          <w:i/>
          <w:iCs/>
          <w:lang w:val="de-DE"/>
        </w:rPr>
        <w:t>Psychological Medicine</w:t>
      </w:r>
      <w:r w:rsidR="00F13995" w:rsidRPr="00F13995">
        <w:rPr>
          <w:rFonts w:asciiTheme="majorBidi" w:hAnsiTheme="majorBidi" w:cstheme="majorBidi"/>
          <w:i/>
          <w:iCs/>
          <w:lang w:val="de-DE"/>
        </w:rPr>
        <w:t>,</w:t>
      </w:r>
      <w:r w:rsidRPr="00F13995">
        <w:rPr>
          <w:rFonts w:asciiTheme="majorBidi" w:hAnsiTheme="majorBidi" w:cstheme="majorBidi"/>
          <w:i/>
          <w:iCs/>
          <w:lang w:val="de-DE"/>
        </w:rPr>
        <w:t xml:space="preserve"> 41</w:t>
      </w:r>
      <w:r w:rsidRPr="005D4660">
        <w:rPr>
          <w:rFonts w:asciiTheme="majorBidi" w:hAnsiTheme="majorBidi" w:cstheme="majorBidi"/>
          <w:lang w:val="de-DE"/>
        </w:rPr>
        <w:t>, 2339-2348.</w:t>
      </w:r>
    </w:p>
    <w:p w14:paraId="7317439E" w14:textId="4582C741" w:rsidR="006451D3" w:rsidRDefault="006451D3" w:rsidP="006451D3">
      <w:pPr>
        <w:autoSpaceDE w:val="0"/>
        <w:autoSpaceDN w:val="0"/>
        <w:adjustRightInd w:val="0"/>
        <w:spacing w:after="120" w:line="480" w:lineRule="auto"/>
        <w:rPr>
          <w:rFonts w:asciiTheme="majorBidi" w:hAnsiTheme="majorBidi" w:cstheme="majorBidi"/>
        </w:rPr>
      </w:pPr>
      <w:r w:rsidRPr="005D4660">
        <w:rPr>
          <w:rFonts w:asciiTheme="majorBidi" w:hAnsiTheme="majorBidi" w:cstheme="majorBidi"/>
          <w:lang w:val="de-DE"/>
        </w:rPr>
        <w:t xml:space="preserve">Kay, S. R., Fiszbein, A., </w:t>
      </w:r>
      <w:r w:rsidR="00151FC7">
        <w:rPr>
          <w:rFonts w:asciiTheme="majorBidi" w:hAnsiTheme="majorBidi" w:cstheme="majorBidi"/>
          <w:lang w:val="de-DE"/>
        </w:rPr>
        <w:t xml:space="preserve">&amp; </w:t>
      </w:r>
      <w:r w:rsidRPr="005D4660">
        <w:rPr>
          <w:rFonts w:asciiTheme="majorBidi" w:hAnsiTheme="majorBidi" w:cstheme="majorBidi"/>
          <w:lang w:val="de-DE"/>
        </w:rPr>
        <w:t>Doppler, L. A.</w:t>
      </w:r>
      <w:r w:rsidR="00F13995">
        <w:rPr>
          <w:rFonts w:asciiTheme="majorBidi" w:hAnsiTheme="majorBidi" w:cstheme="majorBidi"/>
          <w:lang w:val="de-DE"/>
        </w:rPr>
        <w:t xml:space="preserve"> (</w:t>
      </w:r>
      <w:r w:rsidRPr="005D4660">
        <w:rPr>
          <w:rFonts w:asciiTheme="majorBidi" w:hAnsiTheme="majorBidi" w:cstheme="majorBidi"/>
          <w:lang w:val="de-DE"/>
        </w:rPr>
        <w:t>19</w:t>
      </w:r>
      <w:r w:rsidR="00BD38EA" w:rsidRPr="005D4660">
        <w:rPr>
          <w:rFonts w:asciiTheme="majorBidi" w:hAnsiTheme="majorBidi" w:cstheme="majorBidi"/>
          <w:lang w:val="de-DE"/>
        </w:rPr>
        <w:t>8</w:t>
      </w:r>
      <w:r w:rsidRPr="005D4660">
        <w:rPr>
          <w:rFonts w:asciiTheme="majorBidi" w:hAnsiTheme="majorBidi" w:cstheme="majorBidi"/>
          <w:lang w:val="de-DE"/>
        </w:rPr>
        <w:t>7</w:t>
      </w:r>
      <w:r w:rsidR="00F13995">
        <w:rPr>
          <w:rFonts w:asciiTheme="majorBidi" w:hAnsiTheme="majorBidi" w:cstheme="majorBidi"/>
          <w:lang w:val="de-DE"/>
        </w:rPr>
        <w:t>)</w:t>
      </w:r>
      <w:r w:rsidRPr="005D4660">
        <w:rPr>
          <w:rFonts w:asciiTheme="majorBidi" w:hAnsiTheme="majorBidi" w:cstheme="majorBidi"/>
          <w:lang w:val="de-DE"/>
        </w:rPr>
        <w:t xml:space="preserve">. </w:t>
      </w:r>
      <w:r w:rsidRPr="00CE0556">
        <w:rPr>
          <w:rFonts w:asciiTheme="majorBidi" w:hAnsiTheme="majorBidi" w:cstheme="majorBidi"/>
        </w:rPr>
        <w:t>The Positive and Negat</w:t>
      </w:r>
      <w:r w:rsidR="008906F5">
        <w:rPr>
          <w:rFonts w:asciiTheme="majorBidi" w:hAnsiTheme="majorBidi" w:cstheme="majorBidi"/>
        </w:rPr>
        <w:t>ive Syndrome Scale (PANNS) for s</w:t>
      </w:r>
      <w:r w:rsidRPr="00CE0556">
        <w:rPr>
          <w:rFonts w:asciiTheme="majorBidi" w:hAnsiTheme="majorBidi" w:cstheme="majorBidi"/>
        </w:rPr>
        <w:t xml:space="preserve">chizophrenia. </w:t>
      </w:r>
      <w:r w:rsidRPr="00F13995">
        <w:rPr>
          <w:rFonts w:asciiTheme="majorBidi" w:hAnsiTheme="majorBidi" w:cstheme="majorBidi"/>
          <w:i/>
          <w:iCs/>
        </w:rPr>
        <w:t>Schizophrenia Bulletin</w:t>
      </w:r>
      <w:r w:rsidR="00F13995">
        <w:rPr>
          <w:rFonts w:asciiTheme="majorBidi" w:hAnsiTheme="majorBidi" w:cstheme="majorBidi"/>
          <w:i/>
          <w:iCs/>
        </w:rPr>
        <w:t>,</w:t>
      </w:r>
      <w:r w:rsidRPr="00F13995">
        <w:rPr>
          <w:rFonts w:asciiTheme="majorBidi" w:hAnsiTheme="majorBidi" w:cstheme="majorBidi"/>
          <w:i/>
          <w:iCs/>
        </w:rPr>
        <w:t xml:space="preserve"> 13</w:t>
      </w:r>
      <w:r w:rsidRPr="00CE0556">
        <w:rPr>
          <w:rFonts w:asciiTheme="majorBidi" w:hAnsiTheme="majorBidi" w:cstheme="majorBidi"/>
        </w:rPr>
        <w:t>(2) 261-276.</w:t>
      </w:r>
    </w:p>
    <w:p w14:paraId="54C3289C" w14:textId="20F00227" w:rsidR="00B709DA" w:rsidRPr="00CE0556" w:rsidRDefault="00B709DA" w:rsidP="00B709DA">
      <w:pPr>
        <w:autoSpaceDE w:val="0"/>
        <w:autoSpaceDN w:val="0"/>
        <w:adjustRightInd w:val="0"/>
        <w:spacing w:after="120" w:line="480" w:lineRule="auto"/>
        <w:rPr>
          <w:rFonts w:asciiTheme="majorBidi" w:hAnsiTheme="majorBidi" w:cstheme="majorBidi"/>
        </w:rPr>
      </w:pPr>
      <w:r w:rsidRPr="00EE21ED">
        <w:rPr>
          <w:rFonts w:asciiTheme="majorBidi" w:hAnsiTheme="majorBidi" w:cstheme="majorBidi"/>
          <w:lang w:val="de-DE"/>
        </w:rPr>
        <w:t xml:space="preserve">Konings, M., Stefanis, N., Kuepper, R., De Graaf, R., Have, M. t., Van Os, J., ... </w:t>
      </w:r>
      <w:r w:rsidR="00151FC7">
        <w:rPr>
          <w:rFonts w:asciiTheme="majorBidi" w:hAnsiTheme="majorBidi" w:cstheme="majorBidi"/>
          <w:lang w:val="de-DE"/>
        </w:rPr>
        <w:t xml:space="preserve">&amp; </w:t>
      </w:r>
      <w:proofErr w:type="spellStart"/>
      <w:r w:rsidRPr="00B709DA">
        <w:rPr>
          <w:rFonts w:asciiTheme="majorBidi" w:hAnsiTheme="majorBidi" w:cstheme="majorBidi"/>
        </w:rPr>
        <w:t>Henquet</w:t>
      </w:r>
      <w:proofErr w:type="spellEnd"/>
      <w:r w:rsidRPr="00B709DA">
        <w:rPr>
          <w:rFonts w:asciiTheme="majorBidi" w:hAnsiTheme="majorBidi" w:cstheme="majorBidi"/>
        </w:rPr>
        <w:t>, C.</w:t>
      </w:r>
      <w:r w:rsidR="00F13995">
        <w:rPr>
          <w:rFonts w:asciiTheme="majorBidi" w:hAnsiTheme="majorBidi" w:cstheme="majorBidi"/>
        </w:rPr>
        <w:t xml:space="preserve"> (</w:t>
      </w:r>
      <w:r w:rsidRPr="00B709DA">
        <w:rPr>
          <w:rFonts w:asciiTheme="majorBidi" w:hAnsiTheme="majorBidi" w:cstheme="majorBidi"/>
        </w:rPr>
        <w:t>2012</w:t>
      </w:r>
      <w:r w:rsidR="00F13995">
        <w:rPr>
          <w:rFonts w:asciiTheme="majorBidi" w:hAnsiTheme="majorBidi" w:cstheme="majorBidi"/>
        </w:rPr>
        <w:t>)</w:t>
      </w:r>
      <w:r w:rsidRPr="00B709DA">
        <w:rPr>
          <w:rFonts w:asciiTheme="majorBidi" w:hAnsiTheme="majorBidi" w:cstheme="majorBidi"/>
        </w:rPr>
        <w:t>. Replication in two independent population-based samples that childhood maltreatment and cannabis use synergistically impact on</w:t>
      </w:r>
      <w:r>
        <w:rPr>
          <w:rFonts w:asciiTheme="majorBidi" w:hAnsiTheme="majorBidi" w:cstheme="majorBidi"/>
        </w:rPr>
        <w:t xml:space="preserve"> psychosis risk. </w:t>
      </w:r>
      <w:r w:rsidRPr="00F13995">
        <w:rPr>
          <w:rFonts w:asciiTheme="majorBidi" w:hAnsiTheme="majorBidi" w:cstheme="majorBidi"/>
          <w:i/>
          <w:iCs/>
        </w:rPr>
        <w:t>Psychological Medicine</w:t>
      </w:r>
      <w:r w:rsidR="00F13995">
        <w:rPr>
          <w:rFonts w:asciiTheme="majorBidi" w:hAnsiTheme="majorBidi" w:cstheme="majorBidi"/>
          <w:i/>
          <w:iCs/>
        </w:rPr>
        <w:t>,</w:t>
      </w:r>
      <w:r w:rsidRPr="00F13995">
        <w:rPr>
          <w:rFonts w:asciiTheme="majorBidi" w:hAnsiTheme="majorBidi" w:cstheme="majorBidi"/>
          <w:i/>
          <w:iCs/>
        </w:rPr>
        <w:t xml:space="preserve"> 42</w:t>
      </w:r>
      <w:r w:rsidRPr="00B709DA">
        <w:rPr>
          <w:rFonts w:asciiTheme="majorBidi" w:hAnsiTheme="majorBidi" w:cstheme="majorBidi"/>
        </w:rPr>
        <w:t>(1) 149-159.</w:t>
      </w:r>
    </w:p>
    <w:p w14:paraId="6C0B25DD" w14:textId="4185ED8A" w:rsidR="006451D3" w:rsidRPr="001500B5" w:rsidRDefault="006451D3" w:rsidP="006451D3">
      <w:pPr>
        <w:autoSpaceDE w:val="0"/>
        <w:autoSpaceDN w:val="0"/>
        <w:adjustRightInd w:val="0"/>
        <w:spacing w:after="120" w:line="480" w:lineRule="auto"/>
        <w:rPr>
          <w:rFonts w:asciiTheme="majorBidi" w:hAnsiTheme="majorBidi"/>
          <w:lang w:val="it-IT"/>
        </w:rPr>
      </w:pPr>
      <w:r w:rsidRPr="00CE0556">
        <w:rPr>
          <w:rFonts w:asciiTheme="majorBidi" w:hAnsiTheme="majorBidi" w:cstheme="majorBidi"/>
          <w:lang w:val="en"/>
        </w:rPr>
        <w:t xml:space="preserve">Madigan, K., Brennan, D., Lawlor, E., Turner, N., Kinsella, A., O’Connor, J. J., Russel, V., Waddington, J. L., </w:t>
      </w:r>
      <w:r w:rsidR="00151FC7">
        <w:rPr>
          <w:rFonts w:asciiTheme="majorBidi" w:hAnsiTheme="majorBidi" w:cstheme="majorBidi"/>
          <w:lang w:val="en"/>
        </w:rPr>
        <w:t xml:space="preserve">&amp; </w:t>
      </w:r>
      <w:r w:rsidRPr="00CE0556">
        <w:rPr>
          <w:rFonts w:asciiTheme="majorBidi" w:hAnsiTheme="majorBidi" w:cstheme="majorBidi"/>
          <w:lang w:val="en"/>
        </w:rPr>
        <w:t>O’Callaghan, E.</w:t>
      </w:r>
      <w:r w:rsidR="00F13995">
        <w:rPr>
          <w:rFonts w:asciiTheme="majorBidi" w:hAnsiTheme="majorBidi" w:cstheme="majorBidi"/>
          <w:lang w:val="en"/>
        </w:rPr>
        <w:t xml:space="preserve"> (</w:t>
      </w:r>
      <w:r w:rsidRPr="00CE0556">
        <w:rPr>
          <w:rFonts w:asciiTheme="majorBidi" w:hAnsiTheme="majorBidi" w:cstheme="majorBidi"/>
          <w:lang w:val="en"/>
        </w:rPr>
        <w:t>2013</w:t>
      </w:r>
      <w:r w:rsidR="00F13995">
        <w:rPr>
          <w:rFonts w:asciiTheme="majorBidi" w:hAnsiTheme="majorBidi" w:cstheme="majorBidi"/>
          <w:lang w:val="en"/>
        </w:rPr>
        <w:t>)</w:t>
      </w:r>
      <w:r w:rsidRPr="00CE0556">
        <w:rPr>
          <w:rFonts w:asciiTheme="majorBidi" w:hAnsiTheme="majorBidi" w:cstheme="majorBidi"/>
          <w:lang w:val="en"/>
        </w:rPr>
        <w:t xml:space="preserve">. </w:t>
      </w:r>
      <w:r w:rsidRPr="00CE0556">
        <w:rPr>
          <w:rFonts w:asciiTheme="majorBidi" w:hAnsiTheme="majorBidi" w:cstheme="majorBidi"/>
        </w:rPr>
        <w:t>A multi-</w:t>
      </w:r>
      <w:proofErr w:type="spellStart"/>
      <w:r w:rsidRPr="00CE0556">
        <w:rPr>
          <w:rFonts w:asciiTheme="majorBidi" w:hAnsiTheme="majorBidi" w:cstheme="majorBidi"/>
        </w:rPr>
        <w:t>center</w:t>
      </w:r>
      <w:proofErr w:type="spellEnd"/>
      <w:r w:rsidRPr="00CE0556">
        <w:rPr>
          <w:rFonts w:asciiTheme="majorBidi" w:hAnsiTheme="majorBidi" w:cstheme="majorBidi"/>
        </w:rPr>
        <w:t xml:space="preserve">, randomized controlled trial of a group psychological intervention for psychosis with comorbid cannabis dependence over the early course of illness. </w:t>
      </w:r>
      <w:r w:rsidRPr="00F13995">
        <w:rPr>
          <w:rFonts w:asciiTheme="majorBidi" w:hAnsiTheme="majorBidi"/>
          <w:i/>
          <w:iCs/>
          <w:lang w:val="it-IT"/>
        </w:rPr>
        <w:t>Schizophrenia Research</w:t>
      </w:r>
      <w:r w:rsidR="00F13995" w:rsidRPr="00F13995">
        <w:rPr>
          <w:rFonts w:asciiTheme="majorBidi" w:hAnsiTheme="majorBidi"/>
          <w:i/>
          <w:iCs/>
          <w:lang w:val="it-IT"/>
        </w:rPr>
        <w:t>,</w:t>
      </w:r>
      <w:r w:rsidRPr="00F13995">
        <w:rPr>
          <w:rFonts w:asciiTheme="majorBidi" w:hAnsiTheme="majorBidi"/>
          <w:i/>
          <w:iCs/>
          <w:lang w:val="it-IT"/>
        </w:rPr>
        <w:t xml:space="preserve"> 143</w:t>
      </w:r>
      <w:r w:rsidRPr="001500B5">
        <w:rPr>
          <w:rFonts w:asciiTheme="majorBidi" w:hAnsiTheme="majorBidi"/>
          <w:lang w:val="it-IT"/>
        </w:rPr>
        <w:t>(1) 138-142.</w:t>
      </w:r>
    </w:p>
    <w:p w14:paraId="02B88ED1" w14:textId="14E389A2" w:rsidR="006451D3" w:rsidRPr="00CE0556" w:rsidRDefault="006451D3" w:rsidP="006451D3">
      <w:pPr>
        <w:spacing w:after="120" w:line="480" w:lineRule="auto"/>
        <w:rPr>
          <w:rFonts w:asciiTheme="majorBidi" w:hAnsiTheme="majorBidi" w:cstheme="majorBidi"/>
        </w:rPr>
      </w:pPr>
      <w:r w:rsidRPr="00637F63">
        <w:rPr>
          <w:rFonts w:asciiTheme="majorBidi" w:hAnsiTheme="majorBidi" w:cstheme="majorBidi"/>
          <w:lang w:val="it-IT"/>
        </w:rPr>
        <w:t xml:space="preserve">Marconi, A., Di Forti, M., Lewis, C. M., Murray, R. M., </w:t>
      </w:r>
      <w:r w:rsidR="00151FC7">
        <w:rPr>
          <w:rFonts w:asciiTheme="majorBidi" w:hAnsiTheme="majorBidi" w:cstheme="majorBidi"/>
          <w:lang w:val="it-IT"/>
        </w:rPr>
        <w:t xml:space="preserve">&amp; </w:t>
      </w:r>
      <w:proofErr w:type="spellStart"/>
      <w:r w:rsidRPr="00637F63">
        <w:rPr>
          <w:rFonts w:asciiTheme="majorBidi" w:hAnsiTheme="majorBidi" w:cstheme="majorBidi"/>
          <w:lang w:val="it-IT"/>
        </w:rPr>
        <w:t>Vassos</w:t>
      </w:r>
      <w:proofErr w:type="spellEnd"/>
      <w:r w:rsidRPr="00637F63">
        <w:rPr>
          <w:rFonts w:asciiTheme="majorBidi" w:hAnsiTheme="majorBidi" w:cstheme="majorBidi"/>
          <w:lang w:val="it-IT"/>
        </w:rPr>
        <w:t>, E.</w:t>
      </w:r>
      <w:r w:rsidR="00F13995">
        <w:rPr>
          <w:rFonts w:asciiTheme="majorBidi" w:hAnsiTheme="majorBidi" w:cstheme="majorBidi"/>
          <w:lang w:val="it-IT"/>
        </w:rPr>
        <w:t xml:space="preserve"> (</w:t>
      </w:r>
      <w:r w:rsidRPr="00637F63">
        <w:rPr>
          <w:rFonts w:asciiTheme="majorBidi" w:hAnsiTheme="majorBidi" w:cstheme="majorBidi"/>
          <w:lang w:val="it-IT"/>
        </w:rPr>
        <w:t>2016</w:t>
      </w:r>
      <w:r w:rsidR="00F13995">
        <w:rPr>
          <w:rFonts w:asciiTheme="majorBidi" w:hAnsiTheme="majorBidi" w:cstheme="majorBidi"/>
          <w:lang w:val="it-IT"/>
        </w:rPr>
        <w:t>)</w:t>
      </w:r>
      <w:r w:rsidRPr="00637F63">
        <w:rPr>
          <w:rFonts w:asciiTheme="majorBidi" w:hAnsiTheme="majorBidi" w:cstheme="majorBidi"/>
          <w:lang w:val="it-IT"/>
        </w:rPr>
        <w:t xml:space="preserve">. </w:t>
      </w:r>
      <w:r w:rsidRPr="00CE0556">
        <w:rPr>
          <w:rFonts w:asciiTheme="majorBidi" w:hAnsiTheme="majorBidi" w:cstheme="majorBidi"/>
        </w:rPr>
        <w:t xml:space="preserve">Meta-analysis of the </w:t>
      </w:r>
      <w:r w:rsidR="00A4491B">
        <w:rPr>
          <w:rFonts w:asciiTheme="majorBidi" w:hAnsiTheme="majorBidi" w:cstheme="majorBidi"/>
        </w:rPr>
        <w:t>a</w:t>
      </w:r>
      <w:r w:rsidRPr="00CE0556">
        <w:rPr>
          <w:rFonts w:asciiTheme="majorBidi" w:hAnsiTheme="majorBidi" w:cstheme="majorBidi"/>
        </w:rPr>
        <w:t xml:space="preserve">ssociation </w:t>
      </w:r>
      <w:r w:rsidR="00A4491B">
        <w:rPr>
          <w:rFonts w:asciiTheme="majorBidi" w:hAnsiTheme="majorBidi" w:cstheme="majorBidi"/>
        </w:rPr>
        <w:t>b</w:t>
      </w:r>
      <w:r w:rsidRPr="00CE0556">
        <w:rPr>
          <w:rFonts w:asciiTheme="majorBidi" w:hAnsiTheme="majorBidi" w:cstheme="majorBidi"/>
        </w:rPr>
        <w:t xml:space="preserve">etween the </w:t>
      </w:r>
      <w:r w:rsidR="00A4491B">
        <w:rPr>
          <w:rFonts w:asciiTheme="majorBidi" w:hAnsiTheme="majorBidi" w:cstheme="majorBidi"/>
        </w:rPr>
        <w:t>l</w:t>
      </w:r>
      <w:r w:rsidRPr="00CE0556">
        <w:rPr>
          <w:rFonts w:asciiTheme="majorBidi" w:hAnsiTheme="majorBidi" w:cstheme="majorBidi"/>
        </w:rPr>
        <w:t xml:space="preserve">evel of </w:t>
      </w:r>
      <w:r w:rsidR="00A4491B">
        <w:rPr>
          <w:rFonts w:asciiTheme="majorBidi" w:hAnsiTheme="majorBidi" w:cstheme="majorBidi"/>
        </w:rPr>
        <w:t>c</w:t>
      </w:r>
      <w:r w:rsidRPr="00CE0556">
        <w:rPr>
          <w:rFonts w:asciiTheme="majorBidi" w:hAnsiTheme="majorBidi" w:cstheme="majorBidi"/>
        </w:rPr>
        <w:t xml:space="preserve">annabis </w:t>
      </w:r>
      <w:r w:rsidR="00A4491B">
        <w:rPr>
          <w:rFonts w:asciiTheme="majorBidi" w:hAnsiTheme="majorBidi" w:cstheme="majorBidi"/>
        </w:rPr>
        <w:t>u</w:t>
      </w:r>
      <w:r w:rsidRPr="00CE0556">
        <w:rPr>
          <w:rFonts w:asciiTheme="majorBidi" w:hAnsiTheme="majorBidi" w:cstheme="majorBidi"/>
        </w:rPr>
        <w:t xml:space="preserve">se and </w:t>
      </w:r>
      <w:r w:rsidR="00A4491B">
        <w:rPr>
          <w:rFonts w:asciiTheme="majorBidi" w:hAnsiTheme="majorBidi" w:cstheme="majorBidi"/>
        </w:rPr>
        <w:t>r</w:t>
      </w:r>
      <w:r w:rsidRPr="00CE0556">
        <w:rPr>
          <w:rFonts w:asciiTheme="majorBidi" w:hAnsiTheme="majorBidi" w:cstheme="majorBidi"/>
        </w:rPr>
        <w:t xml:space="preserve">isk of </w:t>
      </w:r>
      <w:r w:rsidR="00A4491B">
        <w:rPr>
          <w:rFonts w:asciiTheme="majorBidi" w:hAnsiTheme="majorBidi" w:cstheme="majorBidi"/>
        </w:rPr>
        <w:t>p</w:t>
      </w:r>
      <w:r w:rsidRPr="00CE0556">
        <w:rPr>
          <w:rFonts w:asciiTheme="majorBidi" w:hAnsiTheme="majorBidi" w:cstheme="majorBidi"/>
        </w:rPr>
        <w:t xml:space="preserve">sychosis. </w:t>
      </w:r>
      <w:r w:rsidRPr="00F13995">
        <w:rPr>
          <w:rFonts w:asciiTheme="majorBidi" w:hAnsiTheme="majorBidi" w:cstheme="majorBidi"/>
          <w:i/>
          <w:iCs/>
        </w:rPr>
        <w:t>Schizophrenia Bulletin</w:t>
      </w:r>
      <w:r w:rsidR="00F13995">
        <w:rPr>
          <w:rFonts w:asciiTheme="majorBidi" w:hAnsiTheme="majorBidi" w:cstheme="majorBidi"/>
          <w:i/>
          <w:iCs/>
        </w:rPr>
        <w:t>,</w:t>
      </w:r>
      <w:r w:rsidRPr="00F13995">
        <w:rPr>
          <w:rFonts w:asciiTheme="majorBidi" w:hAnsiTheme="majorBidi" w:cstheme="majorBidi"/>
          <w:i/>
          <w:iCs/>
        </w:rPr>
        <w:t xml:space="preserve"> 42</w:t>
      </w:r>
      <w:r w:rsidRPr="00CE0556">
        <w:rPr>
          <w:rFonts w:asciiTheme="majorBidi" w:hAnsiTheme="majorBidi" w:cstheme="majorBidi"/>
        </w:rPr>
        <w:t>(5) 1262-1269.</w:t>
      </w:r>
    </w:p>
    <w:p w14:paraId="597B85BF" w14:textId="0FB1BCB5" w:rsidR="006451D3" w:rsidRPr="00CE0556" w:rsidRDefault="006451D3" w:rsidP="006451D3">
      <w:pPr>
        <w:autoSpaceDE w:val="0"/>
        <w:autoSpaceDN w:val="0"/>
        <w:adjustRightInd w:val="0"/>
        <w:spacing w:after="120" w:line="480" w:lineRule="auto"/>
        <w:rPr>
          <w:rFonts w:asciiTheme="majorBidi" w:hAnsiTheme="majorBidi" w:cstheme="majorBidi"/>
        </w:rPr>
      </w:pPr>
      <w:r w:rsidRPr="00CE0556">
        <w:rPr>
          <w:rFonts w:asciiTheme="majorBidi" w:hAnsiTheme="majorBidi" w:cstheme="majorBidi"/>
        </w:rPr>
        <w:t xml:space="preserve">Mason, O. J., Morgan, C. J. M., Stefanovic, A., </w:t>
      </w:r>
      <w:r w:rsidR="00151FC7">
        <w:rPr>
          <w:rFonts w:asciiTheme="majorBidi" w:hAnsiTheme="majorBidi" w:cstheme="majorBidi"/>
        </w:rPr>
        <w:t xml:space="preserve">&amp; </w:t>
      </w:r>
      <w:r w:rsidRPr="00CE0556">
        <w:rPr>
          <w:rFonts w:asciiTheme="majorBidi" w:hAnsiTheme="majorBidi" w:cstheme="majorBidi"/>
        </w:rPr>
        <w:t>Curran, H, V.</w:t>
      </w:r>
      <w:r w:rsidR="00F13995">
        <w:rPr>
          <w:rFonts w:asciiTheme="majorBidi" w:hAnsiTheme="majorBidi" w:cstheme="majorBidi"/>
        </w:rPr>
        <w:t xml:space="preserve"> (</w:t>
      </w:r>
      <w:r w:rsidRPr="00CE0556">
        <w:rPr>
          <w:rFonts w:asciiTheme="majorBidi" w:hAnsiTheme="majorBidi" w:cstheme="majorBidi"/>
        </w:rPr>
        <w:t>2008</w:t>
      </w:r>
      <w:r w:rsidR="00F13995">
        <w:rPr>
          <w:rFonts w:asciiTheme="majorBidi" w:hAnsiTheme="majorBidi" w:cstheme="majorBidi"/>
        </w:rPr>
        <w:t>)</w:t>
      </w:r>
      <w:r w:rsidRPr="00CE0556">
        <w:rPr>
          <w:rFonts w:asciiTheme="majorBidi" w:hAnsiTheme="majorBidi" w:cstheme="majorBidi"/>
        </w:rPr>
        <w:t xml:space="preserve">. The Psychotomimetic States Inventory (PSI): Measuring psychotic-type experiences from ketamine and cannabis. </w:t>
      </w:r>
      <w:r w:rsidRPr="00F13995">
        <w:rPr>
          <w:rFonts w:asciiTheme="majorBidi" w:hAnsiTheme="majorBidi" w:cstheme="majorBidi"/>
          <w:i/>
          <w:iCs/>
        </w:rPr>
        <w:t>Schizophrenia Research</w:t>
      </w:r>
      <w:r w:rsidR="0085557E">
        <w:rPr>
          <w:rFonts w:asciiTheme="majorBidi" w:hAnsiTheme="majorBidi" w:cstheme="majorBidi"/>
          <w:i/>
          <w:iCs/>
        </w:rPr>
        <w:t>,</w:t>
      </w:r>
      <w:r w:rsidRPr="00F13995">
        <w:rPr>
          <w:rFonts w:asciiTheme="majorBidi" w:hAnsiTheme="majorBidi" w:cstheme="majorBidi"/>
          <w:i/>
          <w:iCs/>
        </w:rPr>
        <w:t xml:space="preserve"> 103</w:t>
      </w:r>
      <w:r w:rsidRPr="00CE0556">
        <w:rPr>
          <w:rFonts w:asciiTheme="majorBidi" w:hAnsiTheme="majorBidi" w:cstheme="majorBidi"/>
        </w:rPr>
        <w:t>(1-3) 138-142.</w:t>
      </w:r>
    </w:p>
    <w:p w14:paraId="4F432500" w14:textId="2FFE6EB1" w:rsidR="006451D3" w:rsidRDefault="006451D3" w:rsidP="006451D3">
      <w:pPr>
        <w:autoSpaceDE w:val="0"/>
        <w:autoSpaceDN w:val="0"/>
        <w:adjustRightInd w:val="0"/>
        <w:spacing w:after="120" w:line="480" w:lineRule="auto"/>
        <w:rPr>
          <w:rFonts w:asciiTheme="majorBidi" w:hAnsiTheme="majorBidi" w:cstheme="majorBidi"/>
        </w:rPr>
      </w:pPr>
      <w:r w:rsidRPr="00CE0556">
        <w:rPr>
          <w:rFonts w:asciiTheme="majorBidi" w:hAnsiTheme="majorBidi" w:cstheme="majorBidi"/>
        </w:rPr>
        <w:t xml:space="preserve">Mason, O., Claridge, G., </w:t>
      </w:r>
      <w:r w:rsidR="00151FC7">
        <w:rPr>
          <w:rFonts w:asciiTheme="majorBidi" w:hAnsiTheme="majorBidi" w:cstheme="majorBidi"/>
        </w:rPr>
        <w:t xml:space="preserve">&amp; </w:t>
      </w:r>
      <w:r w:rsidRPr="00CE0556">
        <w:rPr>
          <w:rFonts w:asciiTheme="majorBidi" w:hAnsiTheme="majorBidi" w:cstheme="majorBidi"/>
        </w:rPr>
        <w:t>Jackson, M</w:t>
      </w:r>
      <w:r w:rsidR="0085557E">
        <w:rPr>
          <w:rFonts w:asciiTheme="majorBidi" w:hAnsiTheme="majorBidi" w:cstheme="majorBidi"/>
        </w:rPr>
        <w:t>. (</w:t>
      </w:r>
      <w:r w:rsidRPr="00CE0556">
        <w:rPr>
          <w:rFonts w:asciiTheme="majorBidi" w:hAnsiTheme="majorBidi" w:cstheme="majorBidi"/>
        </w:rPr>
        <w:t>1995</w:t>
      </w:r>
      <w:r w:rsidR="0085557E">
        <w:rPr>
          <w:rFonts w:asciiTheme="majorBidi" w:hAnsiTheme="majorBidi" w:cstheme="majorBidi"/>
        </w:rPr>
        <w:t>)</w:t>
      </w:r>
      <w:r w:rsidRPr="00CE0556">
        <w:rPr>
          <w:rFonts w:asciiTheme="majorBidi" w:hAnsiTheme="majorBidi" w:cstheme="majorBidi"/>
        </w:rPr>
        <w:t xml:space="preserve">. New scales for the assessment of schizotypy. </w:t>
      </w:r>
      <w:r w:rsidRPr="0085557E">
        <w:rPr>
          <w:rFonts w:asciiTheme="majorBidi" w:hAnsiTheme="majorBidi" w:cstheme="majorBidi"/>
          <w:i/>
          <w:iCs/>
        </w:rPr>
        <w:t>Personality and Individual Differences</w:t>
      </w:r>
      <w:r w:rsidR="0085557E">
        <w:rPr>
          <w:rFonts w:asciiTheme="majorBidi" w:hAnsiTheme="majorBidi" w:cstheme="majorBidi"/>
          <w:i/>
          <w:iCs/>
        </w:rPr>
        <w:t>,</w:t>
      </w:r>
      <w:r w:rsidRPr="0085557E">
        <w:rPr>
          <w:rFonts w:asciiTheme="majorBidi" w:hAnsiTheme="majorBidi" w:cstheme="majorBidi"/>
          <w:i/>
          <w:iCs/>
        </w:rPr>
        <w:t xml:space="preserve"> 18</w:t>
      </w:r>
      <w:r w:rsidRPr="00CE0556">
        <w:rPr>
          <w:rFonts w:asciiTheme="majorBidi" w:hAnsiTheme="majorBidi" w:cstheme="majorBidi"/>
        </w:rPr>
        <w:t>(1) 7-13.</w:t>
      </w:r>
    </w:p>
    <w:p w14:paraId="5F6318D6" w14:textId="6963ABB2" w:rsidR="00420690" w:rsidRPr="00CE0556" w:rsidRDefault="00420690" w:rsidP="006451D3">
      <w:pPr>
        <w:autoSpaceDE w:val="0"/>
        <w:autoSpaceDN w:val="0"/>
        <w:adjustRightInd w:val="0"/>
        <w:spacing w:after="120" w:line="480" w:lineRule="auto"/>
        <w:rPr>
          <w:rFonts w:asciiTheme="majorBidi" w:hAnsiTheme="majorBidi" w:cstheme="majorBidi"/>
        </w:rPr>
      </w:pPr>
      <w:r w:rsidRPr="00420690">
        <w:rPr>
          <w:rFonts w:asciiTheme="majorBidi" w:hAnsiTheme="majorBidi" w:cstheme="majorBidi"/>
        </w:rPr>
        <w:t xml:space="preserve">Mason, O., </w:t>
      </w:r>
      <w:proofErr w:type="spellStart"/>
      <w:r w:rsidRPr="00420690">
        <w:rPr>
          <w:rFonts w:asciiTheme="majorBidi" w:hAnsiTheme="majorBidi" w:cstheme="majorBidi"/>
        </w:rPr>
        <w:t>Linney</w:t>
      </w:r>
      <w:proofErr w:type="spellEnd"/>
      <w:r w:rsidRPr="00420690">
        <w:rPr>
          <w:rFonts w:asciiTheme="majorBidi" w:hAnsiTheme="majorBidi" w:cstheme="majorBidi"/>
        </w:rPr>
        <w:t xml:space="preserve">, Y., </w:t>
      </w:r>
      <w:r w:rsidR="00151FC7">
        <w:rPr>
          <w:rFonts w:asciiTheme="majorBidi" w:hAnsiTheme="majorBidi" w:cstheme="majorBidi"/>
        </w:rPr>
        <w:t xml:space="preserve">&amp; </w:t>
      </w:r>
      <w:r w:rsidRPr="00420690">
        <w:rPr>
          <w:rFonts w:asciiTheme="majorBidi" w:hAnsiTheme="majorBidi" w:cstheme="majorBidi"/>
        </w:rPr>
        <w:t>Claridge, G.</w:t>
      </w:r>
      <w:r>
        <w:rPr>
          <w:rFonts w:asciiTheme="majorBidi" w:hAnsiTheme="majorBidi" w:cstheme="majorBidi"/>
        </w:rPr>
        <w:t>,</w:t>
      </w:r>
      <w:r w:rsidRPr="00420690">
        <w:rPr>
          <w:rFonts w:asciiTheme="majorBidi" w:hAnsiTheme="majorBidi" w:cstheme="majorBidi"/>
        </w:rPr>
        <w:t xml:space="preserve"> 2005. Short scales for measuring schizotypy. </w:t>
      </w:r>
      <w:r w:rsidRPr="0085557E">
        <w:rPr>
          <w:rFonts w:asciiTheme="majorBidi" w:hAnsiTheme="majorBidi" w:cstheme="majorBidi"/>
          <w:i/>
          <w:iCs/>
        </w:rPr>
        <w:t>Schizophrenia Research, 78</w:t>
      </w:r>
      <w:r w:rsidRPr="00420690">
        <w:rPr>
          <w:rFonts w:asciiTheme="majorBidi" w:hAnsiTheme="majorBidi" w:cstheme="majorBidi"/>
        </w:rPr>
        <w:t>(2-3), 293-296.</w:t>
      </w:r>
    </w:p>
    <w:p w14:paraId="5DEF52A1" w14:textId="4291F87F" w:rsidR="006451D3" w:rsidRPr="00CE0556" w:rsidRDefault="006451D3" w:rsidP="006451D3">
      <w:pPr>
        <w:spacing w:after="120" w:line="480" w:lineRule="auto"/>
        <w:rPr>
          <w:rFonts w:asciiTheme="majorBidi" w:hAnsiTheme="majorBidi" w:cstheme="majorBidi"/>
        </w:rPr>
      </w:pPr>
      <w:r w:rsidRPr="00CE0556">
        <w:rPr>
          <w:rFonts w:asciiTheme="majorBidi" w:hAnsiTheme="majorBidi" w:cstheme="majorBidi"/>
        </w:rPr>
        <w:t xml:space="preserve">Mason, O., Morgan, C. J. A., Dhiman, S. K., </w:t>
      </w:r>
      <w:r w:rsidR="00151FC7">
        <w:rPr>
          <w:rFonts w:asciiTheme="majorBidi" w:hAnsiTheme="majorBidi" w:cstheme="majorBidi"/>
        </w:rPr>
        <w:t xml:space="preserve">&amp; </w:t>
      </w:r>
      <w:r w:rsidRPr="00CE0556">
        <w:rPr>
          <w:rFonts w:asciiTheme="majorBidi" w:hAnsiTheme="majorBidi" w:cstheme="majorBidi"/>
        </w:rPr>
        <w:t>Patel, A.</w:t>
      </w:r>
      <w:r w:rsidR="0085557E">
        <w:rPr>
          <w:rFonts w:asciiTheme="majorBidi" w:hAnsiTheme="majorBidi" w:cstheme="majorBidi"/>
        </w:rPr>
        <w:t xml:space="preserve"> (</w:t>
      </w:r>
      <w:r w:rsidRPr="00CE0556">
        <w:rPr>
          <w:rFonts w:asciiTheme="majorBidi" w:hAnsiTheme="majorBidi" w:cstheme="majorBidi"/>
        </w:rPr>
        <w:t>200</w:t>
      </w:r>
      <w:r w:rsidR="00246D8C">
        <w:rPr>
          <w:rFonts w:asciiTheme="majorBidi" w:hAnsiTheme="majorBidi" w:cstheme="majorBidi"/>
        </w:rPr>
        <w:t>9</w:t>
      </w:r>
      <w:r w:rsidR="0085557E">
        <w:rPr>
          <w:rFonts w:asciiTheme="majorBidi" w:hAnsiTheme="majorBidi" w:cstheme="majorBidi"/>
        </w:rPr>
        <w:t>)</w:t>
      </w:r>
      <w:r w:rsidRPr="00CE0556">
        <w:rPr>
          <w:rFonts w:asciiTheme="majorBidi" w:hAnsiTheme="majorBidi" w:cstheme="majorBidi"/>
        </w:rPr>
        <w:t xml:space="preserve">. Acute cannabis use causes increased psychotomimetic experiences in individuals prone to psychosis. </w:t>
      </w:r>
      <w:r w:rsidRPr="0085557E">
        <w:rPr>
          <w:rFonts w:asciiTheme="majorBidi" w:hAnsiTheme="majorBidi" w:cstheme="majorBidi"/>
          <w:i/>
          <w:iCs/>
        </w:rPr>
        <w:t>Psychological Medicine</w:t>
      </w:r>
      <w:r w:rsidR="0085557E">
        <w:rPr>
          <w:rFonts w:asciiTheme="majorBidi" w:hAnsiTheme="majorBidi" w:cstheme="majorBidi"/>
          <w:i/>
          <w:iCs/>
        </w:rPr>
        <w:t>,</w:t>
      </w:r>
      <w:r w:rsidRPr="0085557E">
        <w:rPr>
          <w:rFonts w:asciiTheme="majorBidi" w:hAnsiTheme="majorBidi" w:cstheme="majorBidi"/>
          <w:i/>
          <w:iCs/>
        </w:rPr>
        <w:t xml:space="preserve"> 39</w:t>
      </w:r>
      <w:r w:rsidRPr="00CE0556">
        <w:rPr>
          <w:rFonts w:asciiTheme="majorBidi" w:hAnsiTheme="majorBidi" w:cstheme="majorBidi"/>
        </w:rPr>
        <w:t>(6) 951-956.</w:t>
      </w:r>
    </w:p>
    <w:p w14:paraId="4A65E141" w14:textId="43116FC9" w:rsidR="00246D8C" w:rsidRDefault="00246D8C" w:rsidP="00477685">
      <w:pPr>
        <w:spacing w:line="480" w:lineRule="auto"/>
        <w:rPr>
          <w:rFonts w:asciiTheme="majorBidi" w:hAnsiTheme="majorBidi" w:cstheme="majorBidi"/>
          <w:lang w:val="en"/>
        </w:rPr>
      </w:pPr>
      <w:r>
        <w:rPr>
          <w:rFonts w:asciiTheme="majorBidi" w:hAnsiTheme="majorBidi" w:cstheme="majorBidi"/>
          <w:lang w:val="en"/>
        </w:rPr>
        <w:t xml:space="preserve">Morgan, C., </w:t>
      </w:r>
      <w:r w:rsidR="00151FC7">
        <w:rPr>
          <w:rFonts w:asciiTheme="majorBidi" w:hAnsiTheme="majorBidi" w:cstheme="majorBidi"/>
          <w:lang w:val="en"/>
        </w:rPr>
        <w:t xml:space="preserve">&amp; </w:t>
      </w:r>
      <w:r>
        <w:rPr>
          <w:rFonts w:asciiTheme="majorBidi" w:hAnsiTheme="majorBidi" w:cstheme="majorBidi"/>
          <w:lang w:val="en"/>
        </w:rPr>
        <w:t>Gayer-Anderson, C.</w:t>
      </w:r>
      <w:r w:rsidR="0085557E">
        <w:rPr>
          <w:rFonts w:asciiTheme="majorBidi" w:hAnsiTheme="majorBidi" w:cstheme="majorBidi"/>
          <w:lang w:val="en"/>
        </w:rPr>
        <w:t xml:space="preserve"> (</w:t>
      </w:r>
      <w:r>
        <w:rPr>
          <w:rFonts w:asciiTheme="majorBidi" w:hAnsiTheme="majorBidi" w:cstheme="majorBidi"/>
          <w:lang w:val="en"/>
        </w:rPr>
        <w:t>2016</w:t>
      </w:r>
      <w:r w:rsidR="0085557E">
        <w:rPr>
          <w:rFonts w:asciiTheme="majorBidi" w:hAnsiTheme="majorBidi" w:cstheme="majorBidi"/>
          <w:lang w:val="en"/>
        </w:rPr>
        <w:t>)</w:t>
      </w:r>
      <w:r w:rsidR="007B07A7">
        <w:rPr>
          <w:rFonts w:asciiTheme="majorBidi" w:hAnsiTheme="majorBidi" w:cstheme="majorBidi"/>
          <w:lang w:val="en"/>
        </w:rPr>
        <w:t>.</w:t>
      </w:r>
      <w:r>
        <w:rPr>
          <w:rFonts w:asciiTheme="majorBidi" w:hAnsiTheme="majorBidi" w:cstheme="majorBidi"/>
          <w:lang w:val="en"/>
        </w:rPr>
        <w:t xml:space="preserve"> Childhood adversities and psychosis: </w:t>
      </w:r>
      <w:r w:rsidR="007B07A7">
        <w:rPr>
          <w:rFonts w:asciiTheme="majorBidi" w:hAnsiTheme="majorBidi" w:cstheme="majorBidi"/>
          <w:lang w:val="en"/>
        </w:rPr>
        <w:t>E</w:t>
      </w:r>
      <w:r>
        <w:rPr>
          <w:rFonts w:asciiTheme="majorBidi" w:hAnsiTheme="majorBidi" w:cstheme="majorBidi"/>
          <w:lang w:val="en"/>
        </w:rPr>
        <w:t xml:space="preserve">vidence, challenges, implications. </w:t>
      </w:r>
      <w:r w:rsidRPr="0085557E">
        <w:rPr>
          <w:rFonts w:asciiTheme="majorBidi" w:hAnsiTheme="majorBidi" w:cstheme="majorBidi"/>
          <w:i/>
          <w:iCs/>
          <w:lang w:val="en"/>
        </w:rPr>
        <w:t>World Psychiatry</w:t>
      </w:r>
      <w:r w:rsidR="0085557E" w:rsidRPr="0085557E">
        <w:rPr>
          <w:rFonts w:asciiTheme="majorBidi" w:hAnsiTheme="majorBidi" w:cstheme="majorBidi"/>
          <w:i/>
          <w:iCs/>
          <w:lang w:val="en"/>
        </w:rPr>
        <w:t>,</w:t>
      </w:r>
      <w:r w:rsidRPr="0085557E">
        <w:rPr>
          <w:rFonts w:asciiTheme="majorBidi" w:hAnsiTheme="majorBidi" w:cstheme="majorBidi"/>
          <w:i/>
          <w:iCs/>
          <w:lang w:val="en"/>
        </w:rPr>
        <w:t xml:space="preserve"> 15</w:t>
      </w:r>
      <w:r>
        <w:rPr>
          <w:rFonts w:asciiTheme="majorBidi" w:hAnsiTheme="majorBidi" w:cstheme="majorBidi"/>
          <w:lang w:val="en"/>
        </w:rPr>
        <w:t>(2) 93-102.</w:t>
      </w:r>
    </w:p>
    <w:p w14:paraId="1531424F" w14:textId="30F2A2FA" w:rsidR="002B63BF" w:rsidRPr="002B63BF" w:rsidRDefault="002B63BF" w:rsidP="00477685">
      <w:pPr>
        <w:spacing w:line="480" w:lineRule="auto"/>
        <w:rPr>
          <w:rFonts w:asciiTheme="majorBidi" w:hAnsiTheme="majorBidi" w:cstheme="majorBidi"/>
        </w:rPr>
      </w:pPr>
      <w:r w:rsidRPr="002B63BF">
        <w:rPr>
          <w:rFonts w:asciiTheme="majorBidi" w:hAnsiTheme="majorBidi" w:cstheme="majorBidi"/>
        </w:rPr>
        <w:t xml:space="preserve">Moritz, S., </w:t>
      </w:r>
      <w:r w:rsidR="00151FC7">
        <w:rPr>
          <w:rFonts w:asciiTheme="majorBidi" w:hAnsiTheme="majorBidi" w:cstheme="majorBidi"/>
        </w:rPr>
        <w:t xml:space="preserve">&amp; </w:t>
      </w:r>
      <w:r w:rsidRPr="002B63BF">
        <w:rPr>
          <w:rFonts w:asciiTheme="majorBidi" w:hAnsiTheme="majorBidi" w:cstheme="majorBidi"/>
        </w:rPr>
        <w:t>Lysaker, P. H. (2018). Metacognition–what did James H. Flavell really say and the implications for the conceptualization and design of metacognitive interventions. </w:t>
      </w:r>
      <w:r w:rsidRPr="002B63BF">
        <w:rPr>
          <w:rFonts w:asciiTheme="majorBidi" w:hAnsiTheme="majorBidi" w:cstheme="majorBidi"/>
          <w:i/>
          <w:iCs/>
        </w:rPr>
        <w:t>Schizophrenia Research</w:t>
      </w:r>
      <w:r w:rsidRPr="002B63BF">
        <w:rPr>
          <w:rFonts w:asciiTheme="majorBidi" w:hAnsiTheme="majorBidi" w:cstheme="majorBidi"/>
        </w:rPr>
        <w:t>, </w:t>
      </w:r>
      <w:r w:rsidRPr="002B63BF">
        <w:rPr>
          <w:rFonts w:asciiTheme="majorBidi" w:hAnsiTheme="majorBidi" w:cstheme="majorBidi"/>
          <w:i/>
          <w:iCs/>
        </w:rPr>
        <w:t>201</w:t>
      </w:r>
      <w:r w:rsidRPr="002B63BF">
        <w:rPr>
          <w:rFonts w:asciiTheme="majorBidi" w:hAnsiTheme="majorBidi" w:cstheme="majorBidi"/>
        </w:rPr>
        <w:t>, 20-26.</w:t>
      </w:r>
    </w:p>
    <w:p w14:paraId="5C1A4CEE" w14:textId="61D8AD88" w:rsidR="002B63BF" w:rsidRPr="001667FF" w:rsidRDefault="006451D3" w:rsidP="00477685">
      <w:pPr>
        <w:autoSpaceDE w:val="0"/>
        <w:autoSpaceDN w:val="0"/>
        <w:adjustRightInd w:val="0"/>
        <w:spacing w:line="480" w:lineRule="auto"/>
        <w:rPr>
          <w:rFonts w:asciiTheme="majorBidi" w:hAnsiTheme="majorBidi"/>
        </w:rPr>
      </w:pPr>
      <w:r w:rsidRPr="00CE0556">
        <w:rPr>
          <w:rFonts w:asciiTheme="majorBidi" w:hAnsiTheme="majorBidi" w:cstheme="majorBidi"/>
          <w:lang w:val="en"/>
        </w:rPr>
        <w:t xml:space="preserve">Morrison, P. D., </w:t>
      </w:r>
      <w:proofErr w:type="spellStart"/>
      <w:r w:rsidRPr="00CE0556">
        <w:rPr>
          <w:rFonts w:asciiTheme="majorBidi" w:hAnsiTheme="majorBidi" w:cstheme="majorBidi"/>
          <w:lang w:val="en"/>
        </w:rPr>
        <w:t>Zois</w:t>
      </w:r>
      <w:proofErr w:type="spellEnd"/>
      <w:r w:rsidRPr="00CE0556">
        <w:rPr>
          <w:rFonts w:asciiTheme="majorBidi" w:hAnsiTheme="majorBidi" w:cstheme="majorBidi"/>
          <w:lang w:val="en"/>
        </w:rPr>
        <w:t xml:space="preserve">, V., McKeown, D. A., </w:t>
      </w:r>
      <w:r w:rsidR="00151FC7">
        <w:rPr>
          <w:rFonts w:asciiTheme="majorBidi" w:hAnsiTheme="majorBidi" w:cstheme="majorBidi"/>
          <w:lang w:val="en"/>
        </w:rPr>
        <w:t xml:space="preserve">&amp; </w:t>
      </w:r>
      <w:r w:rsidRPr="00CE0556">
        <w:rPr>
          <w:rFonts w:asciiTheme="majorBidi" w:hAnsiTheme="majorBidi" w:cstheme="majorBidi"/>
          <w:lang w:val="en"/>
        </w:rPr>
        <w:t>Lee, T. D.</w:t>
      </w:r>
      <w:r w:rsidR="0085557E">
        <w:rPr>
          <w:rFonts w:asciiTheme="majorBidi" w:hAnsiTheme="majorBidi" w:cstheme="majorBidi"/>
          <w:lang w:val="en"/>
        </w:rPr>
        <w:t xml:space="preserve"> (</w:t>
      </w:r>
      <w:r w:rsidRPr="00CE0556">
        <w:rPr>
          <w:rFonts w:asciiTheme="majorBidi" w:hAnsiTheme="majorBidi" w:cstheme="majorBidi"/>
          <w:lang w:val="en"/>
        </w:rPr>
        <w:t>2009</w:t>
      </w:r>
      <w:r w:rsidR="0085557E">
        <w:rPr>
          <w:rFonts w:asciiTheme="majorBidi" w:hAnsiTheme="majorBidi" w:cstheme="majorBidi"/>
          <w:lang w:val="en"/>
        </w:rPr>
        <w:t>)</w:t>
      </w:r>
      <w:r w:rsidRPr="00CE0556">
        <w:rPr>
          <w:rFonts w:asciiTheme="majorBidi" w:hAnsiTheme="majorBidi" w:cstheme="majorBidi"/>
          <w:lang w:val="en"/>
        </w:rPr>
        <w:t xml:space="preserve">. The acute effects of synthesis intravenous </w:t>
      </w:r>
      <w:r w:rsidRPr="00CE0556">
        <w:rPr>
          <w:rFonts w:ascii="Cambria Math" w:hAnsi="Cambria Math" w:cs="Cambria Math"/>
          <w:lang w:val="en"/>
        </w:rPr>
        <w:t>△</w:t>
      </w:r>
      <w:r w:rsidRPr="00CE0556">
        <w:rPr>
          <w:rFonts w:asciiTheme="majorBidi" w:hAnsiTheme="majorBidi" w:cstheme="majorBidi"/>
          <w:vertAlign w:val="superscript"/>
          <w:lang w:val="en"/>
        </w:rPr>
        <w:t>9</w:t>
      </w:r>
      <w:r w:rsidRPr="00CE0556">
        <w:rPr>
          <w:rFonts w:asciiTheme="majorBidi" w:hAnsiTheme="majorBidi" w:cstheme="majorBidi"/>
          <w:lang w:val="en"/>
        </w:rPr>
        <w:t>-tetrahydrocannabinol on psychosis, mood and cognitive function.</w:t>
      </w:r>
      <w:r w:rsidRPr="0085557E">
        <w:rPr>
          <w:rFonts w:asciiTheme="majorBidi" w:hAnsiTheme="majorBidi" w:cstheme="majorBidi"/>
          <w:i/>
          <w:iCs/>
          <w:lang w:val="en"/>
        </w:rPr>
        <w:t xml:space="preserve"> </w:t>
      </w:r>
      <w:r w:rsidRPr="0085557E">
        <w:rPr>
          <w:rFonts w:asciiTheme="majorBidi" w:hAnsiTheme="majorBidi"/>
          <w:i/>
          <w:iCs/>
        </w:rPr>
        <w:t>Psychological Medicine</w:t>
      </w:r>
      <w:r w:rsidR="0085557E" w:rsidRPr="0085557E">
        <w:rPr>
          <w:rFonts w:asciiTheme="majorBidi" w:hAnsiTheme="majorBidi"/>
          <w:i/>
          <w:iCs/>
        </w:rPr>
        <w:t>,</w:t>
      </w:r>
      <w:r w:rsidRPr="0085557E">
        <w:rPr>
          <w:rFonts w:asciiTheme="majorBidi" w:hAnsiTheme="majorBidi"/>
          <w:i/>
          <w:iCs/>
        </w:rPr>
        <w:t xml:space="preserve"> 39</w:t>
      </w:r>
      <w:r w:rsidRPr="001667FF">
        <w:rPr>
          <w:rFonts w:asciiTheme="majorBidi" w:hAnsiTheme="majorBidi"/>
        </w:rPr>
        <w:t>(10) 1607-1616.</w:t>
      </w:r>
    </w:p>
    <w:p w14:paraId="38873EE3" w14:textId="44D46EC3" w:rsidR="006451D3" w:rsidRDefault="006451D3" w:rsidP="009062E6">
      <w:pPr>
        <w:autoSpaceDE w:val="0"/>
        <w:autoSpaceDN w:val="0"/>
        <w:adjustRightInd w:val="0"/>
        <w:spacing w:after="120" w:line="480" w:lineRule="auto"/>
        <w:rPr>
          <w:rFonts w:asciiTheme="majorBidi" w:hAnsiTheme="majorBidi" w:cstheme="majorBidi"/>
        </w:rPr>
      </w:pPr>
      <w:proofErr w:type="spellStart"/>
      <w:r w:rsidRPr="00637F63">
        <w:rPr>
          <w:rFonts w:asciiTheme="majorBidi" w:hAnsiTheme="majorBidi" w:cstheme="majorBidi"/>
          <w:lang w:val="de-DE"/>
        </w:rPr>
        <w:t>Plonsker</w:t>
      </w:r>
      <w:proofErr w:type="spellEnd"/>
      <w:r w:rsidRPr="00637F63">
        <w:rPr>
          <w:rFonts w:asciiTheme="majorBidi" w:hAnsiTheme="majorBidi" w:cstheme="majorBidi"/>
          <w:lang w:val="de-DE"/>
        </w:rPr>
        <w:t xml:space="preserve">, R., Biran, D. G., Zvielli, A., </w:t>
      </w:r>
      <w:r w:rsidR="00151FC7">
        <w:rPr>
          <w:rFonts w:asciiTheme="majorBidi" w:hAnsiTheme="majorBidi" w:cstheme="majorBidi"/>
          <w:lang w:val="de-DE"/>
        </w:rPr>
        <w:t>&amp;</w:t>
      </w:r>
      <w:r w:rsidR="0085557E">
        <w:rPr>
          <w:rFonts w:asciiTheme="majorBidi" w:hAnsiTheme="majorBidi" w:cstheme="majorBidi"/>
          <w:lang w:val="de-DE"/>
        </w:rPr>
        <w:t xml:space="preserve"> </w:t>
      </w:r>
      <w:r w:rsidRPr="00637F63">
        <w:rPr>
          <w:rFonts w:asciiTheme="majorBidi" w:hAnsiTheme="majorBidi" w:cstheme="majorBidi"/>
          <w:lang w:val="de-DE"/>
        </w:rPr>
        <w:t>Bernstein, A.</w:t>
      </w:r>
      <w:r w:rsidR="0085557E">
        <w:rPr>
          <w:rFonts w:asciiTheme="majorBidi" w:hAnsiTheme="majorBidi" w:cstheme="majorBidi"/>
          <w:lang w:val="de-DE"/>
        </w:rPr>
        <w:t xml:space="preserve"> (</w:t>
      </w:r>
      <w:r w:rsidRPr="00637F63">
        <w:rPr>
          <w:rFonts w:asciiTheme="majorBidi" w:hAnsiTheme="majorBidi" w:cstheme="majorBidi"/>
          <w:lang w:val="de-DE"/>
        </w:rPr>
        <w:t>2017</w:t>
      </w:r>
      <w:r w:rsidR="0085557E">
        <w:rPr>
          <w:rFonts w:asciiTheme="majorBidi" w:hAnsiTheme="majorBidi" w:cstheme="majorBidi"/>
          <w:lang w:val="de-DE"/>
        </w:rPr>
        <w:t>)</w:t>
      </w:r>
      <w:r w:rsidRPr="00637F63">
        <w:rPr>
          <w:rFonts w:asciiTheme="majorBidi" w:hAnsiTheme="majorBidi" w:cstheme="majorBidi"/>
          <w:lang w:val="de-DE"/>
        </w:rPr>
        <w:t xml:space="preserve">. </w:t>
      </w:r>
      <w:r w:rsidRPr="00CE0556">
        <w:rPr>
          <w:rFonts w:asciiTheme="majorBidi" w:hAnsiTheme="majorBidi" w:cstheme="majorBidi"/>
        </w:rPr>
        <w:t xml:space="preserve">Cognitive fusion and emotion differentiation: </w:t>
      </w:r>
      <w:r w:rsidR="00A4491B">
        <w:rPr>
          <w:rFonts w:asciiTheme="majorBidi" w:hAnsiTheme="majorBidi" w:cstheme="majorBidi"/>
        </w:rPr>
        <w:t>D</w:t>
      </w:r>
      <w:r w:rsidRPr="00CE0556">
        <w:rPr>
          <w:rFonts w:asciiTheme="majorBidi" w:hAnsiTheme="majorBidi" w:cstheme="majorBidi"/>
        </w:rPr>
        <w:t>oes getting entangled with our thoughts dysregulate the generation, experi</w:t>
      </w:r>
      <w:r>
        <w:rPr>
          <w:rFonts w:asciiTheme="majorBidi" w:hAnsiTheme="majorBidi" w:cstheme="majorBidi"/>
        </w:rPr>
        <w:t>ence and regulation of emotion?</w:t>
      </w:r>
      <w:r w:rsidRPr="00CE0556">
        <w:rPr>
          <w:rFonts w:asciiTheme="majorBidi" w:hAnsiTheme="majorBidi" w:cstheme="majorBidi"/>
        </w:rPr>
        <w:t xml:space="preserve"> </w:t>
      </w:r>
      <w:r w:rsidRPr="0085557E">
        <w:rPr>
          <w:rFonts w:asciiTheme="majorBidi" w:hAnsiTheme="majorBidi" w:cstheme="majorBidi"/>
          <w:i/>
          <w:iCs/>
        </w:rPr>
        <w:t>Cognitive and Emotion</w:t>
      </w:r>
      <w:r w:rsidR="0085557E" w:rsidRPr="0085557E">
        <w:rPr>
          <w:rFonts w:asciiTheme="majorBidi" w:hAnsiTheme="majorBidi" w:cstheme="majorBidi"/>
          <w:i/>
          <w:iCs/>
        </w:rPr>
        <w:t xml:space="preserve">, </w:t>
      </w:r>
      <w:r w:rsidRPr="0085557E">
        <w:rPr>
          <w:rFonts w:asciiTheme="majorBidi" w:hAnsiTheme="majorBidi" w:cstheme="majorBidi"/>
          <w:i/>
          <w:iCs/>
        </w:rPr>
        <w:t>31</w:t>
      </w:r>
      <w:r w:rsidRPr="00CE0556">
        <w:rPr>
          <w:rFonts w:asciiTheme="majorBidi" w:hAnsiTheme="majorBidi" w:cstheme="majorBidi"/>
        </w:rPr>
        <w:t>(6) 1286-1293.</w:t>
      </w:r>
    </w:p>
    <w:p w14:paraId="2111B335" w14:textId="51AEF5D5" w:rsidR="009F4424" w:rsidRDefault="009F4424" w:rsidP="009F4424">
      <w:pPr>
        <w:spacing w:after="120" w:line="480" w:lineRule="auto"/>
        <w:contextualSpacing/>
        <w:rPr>
          <w:rFonts w:eastAsia="SimSun"/>
          <w:b/>
          <w:color w:val="000000"/>
          <w:lang w:eastAsia="zh-CN"/>
        </w:rPr>
      </w:pPr>
      <w:r w:rsidRPr="00477685">
        <w:t xml:space="preserve">Newman-Taylor, K., </w:t>
      </w:r>
      <w:r w:rsidR="00FD7A2E" w:rsidRPr="00BE2C86">
        <w:t xml:space="preserve">Richardson, T., </w:t>
      </w:r>
      <w:r w:rsidRPr="00477685">
        <w:t xml:space="preserve">Sood, M., </w:t>
      </w:r>
      <w:proofErr w:type="spellStart"/>
      <w:r w:rsidRPr="00477685">
        <w:t>Sopp</w:t>
      </w:r>
      <w:proofErr w:type="spellEnd"/>
      <w:r w:rsidRPr="00477685">
        <w:t>, M</w:t>
      </w:r>
      <w:r>
        <w:t>.,</w:t>
      </w:r>
      <w:r w:rsidRPr="00BE2C86">
        <w:t xml:space="preserve"> </w:t>
      </w:r>
      <w:r w:rsidR="00477685" w:rsidRPr="00BE2C86">
        <w:t xml:space="preserve">Perry, E., Bolderston, H. </w:t>
      </w:r>
      <w:r>
        <w:rPr>
          <w:rFonts w:asciiTheme="majorBidi" w:hAnsiTheme="majorBidi" w:cstheme="majorBidi"/>
        </w:rPr>
        <w:t>(</w:t>
      </w:r>
      <w:r w:rsidR="00151FC7">
        <w:rPr>
          <w:rFonts w:asciiTheme="majorBidi" w:hAnsiTheme="majorBidi" w:cstheme="majorBidi"/>
        </w:rPr>
        <w:t>2020</w:t>
      </w:r>
      <w:r>
        <w:rPr>
          <w:rFonts w:asciiTheme="majorBidi" w:hAnsiTheme="majorBidi" w:cstheme="majorBidi"/>
        </w:rPr>
        <w:t xml:space="preserve">). </w:t>
      </w:r>
      <w:r w:rsidRPr="007E1C37">
        <w:rPr>
          <w:rFonts w:eastAsia="SimSun"/>
          <w:color w:val="000000"/>
          <w:lang w:eastAsia="zh-CN"/>
        </w:rPr>
        <w:t>Cognitive mechanisms in cannabis-related paranoia;</w:t>
      </w:r>
      <w:r>
        <w:rPr>
          <w:rFonts w:eastAsia="SimSun"/>
          <w:color w:val="000000"/>
          <w:lang w:eastAsia="zh-CN"/>
        </w:rPr>
        <w:t xml:space="preserve"> </w:t>
      </w:r>
      <w:r w:rsidRPr="007E1C37">
        <w:rPr>
          <w:rFonts w:eastAsia="SimSun"/>
          <w:color w:val="000000"/>
          <w:lang w:eastAsia="zh-CN"/>
        </w:rPr>
        <w:t>Initial testing and model proposal</w:t>
      </w:r>
      <w:r>
        <w:rPr>
          <w:rFonts w:eastAsia="SimSun"/>
          <w:color w:val="000000"/>
          <w:lang w:eastAsia="zh-CN"/>
        </w:rPr>
        <w:t xml:space="preserve">. </w:t>
      </w:r>
      <w:r w:rsidR="00151FC7" w:rsidRPr="00151FC7">
        <w:rPr>
          <w:rFonts w:eastAsia="SimSun"/>
          <w:i/>
          <w:iCs/>
          <w:color w:val="000000"/>
          <w:lang w:eastAsia="zh-CN"/>
        </w:rPr>
        <w:t>Psychosis</w:t>
      </w:r>
      <w:r w:rsidR="00151FC7">
        <w:rPr>
          <w:rFonts w:eastAsia="SimSun"/>
          <w:color w:val="000000"/>
          <w:lang w:eastAsia="zh-CN"/>
        </w:rPr>
        <w:t>, 1-14.</w:t>
      </w:r>
    </w:p>
    <w:p w14:paraId="09DAE0D1" w14:textId="1294CD8A" w:rsidR="00B709DA" w:rsidRPr="00477685" w:rsidRDefault="00B709DA" w:rsidP="00B709DA">
      <w:pPr>
        <w:autoSpaceDE w:val="0"/>
        <w:autoSpaceDN w:val="0"/>
        <w:adjustRightInd w:val="0"/>
        <w:spacing w:line="480" w:lineRule="auto"/>
        <w:jc w:val="both"/>
      </w:pPr>
      <w:r w:rsidRPr="00B709DA">
        <w:t xml:space="preserve">Shevlin, M., Murphy, J., Houston, J. E., </w:t>
      </w:r>
      <w:r w:rsidR="00151FC7">
        <w:t xml:space="preserve">&amp; </w:t>
      </w:r>
      <w:r w:rsidRPr="00B709DA">
        <w:t>Adamson, G.</w:t>
      </w:r>
      <w:r w:rsidR="0085557E">
        <w:t xml:space="preserve"> (</w:t>
      </w:r>
      <w:r w:rsidRPr="00B709DA">
        <w:t>2009</w:t>
      </w:r>
      <w:r w:rsidR="0085557E">
        <w:t>)</w:t>
      </w:r>
      <w:r w:rsidRPr="00B709DA">
        <w:t xml:space="preserve">. Childhood sexual abuse, early cannabis use, and psychosis: Testing the effects of different temporal orderings based on the National Comorbidity Survey. </w:t>
      </w:r>
      <w:r w:rsidRPr="0085557E">
        <w:rPr>
          <w:i/>
          <w:iCs/>
        </w:rPr>
        <w:t>Psychosis</w:t>
      </w:r>
      <w:r w:rsidR="0085557E" w:rsidRPr="0085557E">
        <w:rPr>
          <w:i/>
          <w:iCs/>
        </w:rPr>
        <w:t>,</w:t>
      </w:r>
      <w:r w:rsidRPr="0085557E">
        <w:rPr>
          <w:i/>
          <w:iCs/>
        </w:rPr>
        <w:t xml:space="preserve"> 1</w:t>
      </w:r>
      <w:r w:rsidRPr="00B709DA">
        <w:t>(1) 19-28.</w:t>
      </w:r>
    </w:p>
    <w:p w14:paraId="69CE81CA" w14:textId="5111B63F" w:rsidR="004027EC" w:rsidRDefault="004027EC" w:rsidP="004027EC">
      <w:pPr>
        <w:spacing w:after="120" w:line="480" w:lineRule="auto"/>
        <w:rPr>
          <w:rFonts w:asciiTheme="majorBidi" w:hAnsiTheme="majorBidi" w:cstheme="majorBidi"/>
        </w:rPr>
      </w:pPr>
      <w:r w:rsidRPr="004027EC">
        <w:rPr>
          <w:rFonts w:asciiTheme="majorBidi" w:hAnsiTheme="majorBidi" w:cstheme="majorBidi"/>
        </w:rPr>
        <w:t xml:space="preserve">Shrivastava, A., Johnston, M., Terpstra, K., </w:t>
      </w:r>
      <w:r w:rsidR="00151FC7">
        <w:rPr>
          <w:rFonts w:asciiTheme="majorBidi" w:hAnsiTheme="majorBidi" w:cstheme="majorBidi"/>
        </w:rPr>
        <w:t xml:space="preserve">&amp; </w:t>
      </w:r>
      <w:r w:rsidRPr="004027EC">
        <w:rPr>
          <w:rFonts w:asciiTheme="majorBidi" w:hAnsiTheme="majorBidi" w:cstheme="majorBidi"/>
        </w:rPr>
        <w:t>Bureau, Y.</w:t>
      </w:r>
      <w:r w:rsidR="0085557E">
        <w:rPr>
          <w:rFonts w:asciiTheme="majorBidi" w:hAnsiTheme="majorBidi" w:cstheme="majorBidi"/>
        </w:rPr>
        <w:t xml:space="preserve"> (</w:t>
      </w:r>
      <w:r w:rsidRPr="004027EC">
        <w:rPr>
          <w:rFonts w:asciiTheme="majorBidi" w:hAnsiTheme="majorBidi" w:cstheme="majorBidi"/>
        </w:rPr>
        <w:t>2014</w:t>
      </w:r>
      <w:r w:rsidR="0085557E">
        <w:rPr>
          <w:rFonts w:asciiTheme="majorBidi" w:hAnsiTheme="majorBidi" w:cstheme="majorBidi"/>
        </w:rPr>
        <w:t>)</w:t>
      </w:r>
      <w:r w:rsidRPr="004027EC">
        <w:rPr>
          <w:rFonts w:asciiTheme="majorBidi" w:hAnsiTheme="majorBidi" w:cstheme="majorBidi"/>
        </w:rPr>
        <w:t xml:space="preserve">. Cannabis and psychosis: Neurobiology. </w:t>
      </w:r>
      <w:r w:rsidRPr="0085557E">
        <w:rPr>
          <w:rFonts w:asciiTheme="majorBidi" w:hAnsiTheme="majorBidi" w:cstheme="majorBidi"/>
          <w:i/>
          <w:iCs/>
        </w:rPr>
        <w:t>Indian J</w:t>
      </w:r>
      <w:r w:rsidR="0085557E" w:rsidRPr="0085557E">
        <w:rPr>
          <w:rFonts w:asciiTheme="majorBidi" w:hAnsiTheme="majorBidi" w:cstheme="majorBidi"/>
          <w:i/>
          <w:iCs/>
        </w:rPr>
        <w:t>ournal of</w:t>
      </w:r>
      <w:r w:rsidRPr="0085557E">
        <w:rPr>
          <w:rFonts w:asciiTheme="majorBidi" w:hAnsiTheme="majorBidi" w:cstheme="majorBidi"/>
          <w:i/>
          <w:iCs/>
        </w:rPr>
        <w:t xml:space="preserve"> Psychiatry</w:t>
      </w:r>
      <w:r w:rsidR="0085557E" w:rsidRPr="0085557E">
        <w:rPr>
          <w:rFonts w:asciiTheme="majorBidi" w:hAnsiTheme="majorBidi" w:cstheme="majorBidi"/>
          <w:i/>
          <w:iCs/>
        </w:rPr>
        <w:t>,</w:t>
      </w:r>
      <w:r w:rsidRPr="0085557E">
        <w:rPr>
          <w:rFonts w:asciiTheme="majorBidi" w:hAnsiTheme="majorBidi" w:cstheme="majorBidi"/>
          <w:i/>
          <w:iCs/>
        </w:rPr>
        <w:t xml:space="preserve"> 56</w:t>
      </w:r>
      <w:r w:rsidRPr="004027EC">
        <w:rPr>
          <w:rFonts w:asciiTheme="majorBidi" w:hAnsiTheme="majorBidi" w:cstheme="majorBidi"/>
        </w:rPr>
        <w:t>(1)</w:t>
      </w:r>
      <w:r>
        <w:rPr>
          <w:rFonts w:asciiTheme="majorBidi" w:hAnsiTheme="majorBidi" w:cstheme="majorBidi"/>
        </w:rPr>
        <w:t xml:space="preserve"> 8-16.</w:t>
      </w:r>
    </w:p>
    <w:p w14:paraId="0B8EF7D9" w14:textId="56E5425E" w:rsidR="009A61D6" w:rsidRDefault="009A61D6" w:rsidP="00C45CD8">
      <w:pPr>
        <w:spacing w:after="120" w:line="480" w:lineRule="auto"/>
        <w:rPr>
          <w:rFonts w:asciiTheme="majorBidi" w:hAnsiTheme="majorBidi" w:cstheme="majorBidi"/>
        </w:rPr>
      </w:pPr>
      <w:proofErr w:type="spellStart"/>
      <w:r>
        <w:rPr>
          <w:rFonts w:asciiTheme="majorBidi" w:hAnsiTheme="majorBidi" w:cstheme="majorBidi"/>
        </w:rPr>
        <w:t>Spinhoven</w:t>
      </w:r>
      <w:proofErr w:type="spellEnd"/>
      <w:r>
        <w:rPr>
          <w:rFonts w:asciiTheme="majorBidi" w:hAnsiTheme="majorBidi" w:cstheme="majorBidi"/>
        </w:rPr>
        <w:t xml:space="preserve">, P., </w:t>
      </w:r>
      <w:proofErr w:type="spellStart"/>
      <w:r>
        <w:rPr>
          <w:rFonts w:asciiTheme="majorBidi" w:hAnsiTheme="majorBidi" w:cstheme="majorBidi"/>
        </w:rPr>
        <w:t>Penninx</w:t>
      </w:r>
      <w:proofErr w:type="spellEnd"/>
      <w:r>
        <w:rPr>
          <w:rFonts w:asciiTheme="majorBidi" w:hAnsiTheme="majorBidi" w:cstheme="majorBidi"/>
        </w:rPr>
        <w:t xml:space="preserve">, B. W., </w:t>
      </w:r>
      <w:proofErr w:type="spellStart"/>
      <w:r>
        <w:rPr>
          <w:rFonts w:asciiTheme="majorBidi" w:hAnsiTheme="majorBidi" w:cstheme="majorBidi"/>
        </w:rPr>
        <w:t>Hickendorff</w:t>
      </w:r>
      <w:proofErr w:type="spellEnd"/>
      <w:r>
        <w:rPr>
          <w:rFonts w:asciiTheme="majorBidi" w:hAnsiTheme="majorBidi" w:cstheme="majorBidi"/>
        </w:rPr>
        <w:t xml:space="preserve">, M., </w:t>
      </w:r>
      <w:r w:rsidR="00325E55">
        <w:rPr>
          <w:rFonts w:asciiTheme="majorBidi" w:hAnsiTheme="majorBidi" w:cstheme="majorBidi"/>
        </w:rPr>
        <w:t xml:space="preserve">&amp; </w:t>
      </w:r>
      <w:proofErr w:type="spellStart"/>
      <w:r>
        <w:rPr>
          <w:rFonts w:asciiTheme="majorBidi" w:hAnsiTheme="majorBidi" w:cstheme="majorBidi"/>
        </w:rPr>
        <w:t>Hemert</w:t>
      </w:r>
      <w:proofErr w:type="spellEnd"/>
      <w:r>
        <w:rPr>
          <w:rFonts w:asciiTheme="majorBidi" w:hAnsiTheme="majorBidi" w:cstheme="majorBidi"/>
        </w:rPr>
        <w:t>, A. M.</w:t>
      </w:r>
      <w:r w:rsidR="0085557E">
        <w:rPr>
          <w:rFonts w:asciiTheme="majorBidi" w:hAnsiTheme="majorBidi" w:cstheme="majorBidi"/>
        </w:rPr>
        <w:t xml:space="preserve"> (</w:t>
      </w:r>
      <w:r>
        <w:rPr>
          <w:rFonts w:asciiTheme="majorBidi" w:hAnsiTheme="majorBidi" w:cstheme="majorBidi"/>
        </w:rPr>
        <w:t>2014</w:t>
      </w:r>
      <w:r w:rsidR="0085557E">
        <w:rPr>
          <w:rFonts w:asciiTheme="majorBidi" w:hAnsiTheme="majorBidi" w:cstheme="majorBidi"/>
        </w:rPr>
        <w:t>)</w:t>
      </w:r>
      <w:r>
        <w:rPr>
          <w:rFonts w:asciiTheme="majorBidi" w:hAnsiTheme="majorBidi" w:cstheme="majorBidi"/>
        </w:rPr>
        <w:t xml:space="preserve">. Childhood Trauma Questionnaire: Factor </w:t>
      </w:r>
      <w:r w:rsidR="00A4491B">
        <w:rPr>
          <w:rFonts w:asciiTheme="majorBidi" w:hAnsiTheme="majorBidi" w:cstheme="majorBidi"/>
        </w:rPr>
        <w:t>s</w:t>
      </w:r>
      <w:r>
        <w:rPr>
          <w:rFonts w:asciiTheme="majorBidi" w:hAnsiTheme="majorBidi" w:cstheme="majorBidi"/>
        </w:rPr>
        <w:t xml:space="preserve">tructure, </w:t>
      </w:r>
      <w:r w:rsidR="00A4491B">
        <w:rPr>
          <w:rFonts w:asciiTheme="majorBidi" w:hAnsiTheme="majorBidi" w:cstheme="majorBidi"/>
        </w:rPr>
        <w:t>m</w:t>
      </w:r>
      <w:r>
        <w:rPr>
          <w:rFonts w:asciiTheme="majorBidi" w:hAnsiTheme="majorBidi" w:cstheme="majorBidi"/>
        </w:rPr>
        <w:t xml:space="preserve">easurement </w:t>
      </w:r>
      <w:r w:rsidR="00A4491B">
        <w:rPr>
          <w:rFonts w:asciiTheme="majorBidi" w:hAnsiTheme="majorBidi" w:cstheme="majorBidi"/>
        </w:rPr>
        <w:t>i</w:t>
      </w:r>
      <w:r>
        <w:rPr>
          <w:rFonts w:asciiTheme="majorBidi" w:hAnsiTheme="majorBidi" w:cstheme="majorBidi"/>
        </w:rPr>
        <w:t xml:space="preserve">nvariance, and </w:t>
      </w:r>
      <w:r w:rsidR="00A4491B">
        <w:rPr>
          <w:rFonts w:asciiTheme="majorBidi" w:hAnsiTheme="majorBidi" w:cstheme="majorBidi"/>
        </w:rPr>
        <w:t>v</w:t>
      </w:r>
      <w:r>
        <w:rPr>
          <w:rFonts w:asciiTheme="majorBidi" w:hAnsiTheme="majorBidi" w:cstheme="majorBidi"/>
        </w:rPr>
        <w:t xml:space="preserve">alidity </w:t>
      </w:r>
      <w:r w:rsidR="00A4491B">
        <w:rPr>
          <w:rFonts w:asciiTheme="majorBidi" w:hAnsiTheme="majorBidi" w:cstheme="majorBidi"/>
        </w:rPr>
        <w:t>a</w:t>
      </w:r>
      <w:r>
        <w:rPr>
          <w:rFonts w:asciiTheme="majorBidi" w:hAnsiTheme="majorBidi" w:cstheme="majorBidi"/>
        </w:rPr>
        <w:t xml:space="preserve">cross </w:t>
      </w:r>
      <w:r w:rsidR="00A4491B">
        <w:rPr>
          <w:rFonts w:asciiTheme="majorBidi" w:hAnsiTheme="majorBidi" w:cstheme="majorBidi"/>
        </w:rPr>
        <w:t>e</w:t>
      </w:r>
      <w:r>
        <w:rPr>
          <w:rFonts w:asciiTheme="majorBidi" w:hAnsiTheme="majorBidi" w:cstheme="majorBidi"/>
        </w:rPr>
        <w:t xml:space="preserve">motional </w:t>
      </w:r>
      <w:r w:rsidR="00A4491B">
        <w:rPr>
          <w:rFonts w:asciiTheme="majorBidi" w:hAnsiTheme="majorBidi" w:cstheme="majorBidi"/>
        </w:rPr>
        <w:t>d</w:t>
      </w:r>
      <w:r>
        <w:rPr>
          <w:rFonts w:asciiTheme="majorBidi" w:hAnsiTheme="majorBidi" w:cstheme="majorBidi"/>
        </w:rPr>
        <w:t xml:space="preserve">isorders. </w:t>
      </w:r>
      <w:r w:rsidRPr="0085557E">
        <w:rPr>
          <w:rFonts w:asciiTheme="majorBidi" w:hAnsiTheme="majorBidi" w:cstheme="majorBidi"/>
          <w:i/>
          <w:iCs/>
        </w:rPr>
        <w:t>Psychological Assessment</w:t>
      </w:r>
      <w:r w:rsidR="0085557E" w:rsidRPr="0085557E">
        <w:rPr>
          <w:rFonts w:asciiTheme="majorBidi" w:hAnsiTheme="majorBidi" w:cstheme="majorBidi"/>
          <w:i/>
          <w:iCs/>
        </w:rPr>
        <w:t xml:space="preserve">, </w:t>
      </w:r>
      <w:r w:rsidR="00A4491B" w:rsidRPr="0085557E">
        <w:rPr>
          <w:rFonts w:asciiTheme="majorBidi" w:hAnsiTheme="majorBidi" w:cstheme="majorBidi"/>
          <w:i/>
          <w:iCs/>
        </w:rPr>
        <w:t>26</w:t>
      </w:r>
      <w:r w:rsidR="00A4491B" w:rsidRPr="00A4491B">
        <w:rPr>
          <w:rFonts w:asciiTheme="majorBidi" w:hAnsiTheme="majorBidi" w:cstheme="majorBidi"/>
        </w:rPr>
        <w:t>(3)</w:t>
      </w:r>
      <w:r w:rsidR="00A4491B">
        <w:rPr>
          <w:rFonts w:asciiTheme="majorBidi" w:hAnsiTheme="majorBidi" w:cstheme="majorBidi"/>
        </w:rPr>
        <w:t xml:space="preserve"> </w:t>
      </w:r>
      <w:r w:rsidR="00A4491B" w:rsidRPr="00A4491B">
        <w:rPr>
          <w:rFonts w:asciiTheme="majorBidi" w:hAnsiTheme="majorBidi" w:cstheme="majorBidi"/>
        </w:rPr>
        <w:t>717-</w:t>
      </w:r>
      <w:r w:rsidR="00A4491B">
        <w:rPr>
          <w:rFonts w:asciiTheme="majorBidi" w:hAnsiTheme="majorBidi" w:cstheme="majorBidi"/>
        </w:rPr>
        <w:t>7</w:t>
      </w:r>
      <w:r w:rsidR="00A4491B" w:rsidRPr="00A4491B">
        <w:rPr>
          <w:rFonts w:asciiTheme="majorBidi" w:hAnsiTheme="majorBidi" w:cstheme="majorBidi"/>
        </w:rPr>
        <w:t>29</w:t>
      </w:r>
      <w:r w:rsidR="00A4491B">
        <w:rPr>
          <w:rFonts w:asciiTheme="majorBidi" w:hAnsiTheme="majorBidi" w:cstheme="majorBidi"/>
        </w:rPr>
        <w:t>.</w:t>
      </w:r>
    </w:p>
    <w:p w14:paraId="3784679A" w14:textId="2FC2A2F8" w:rsidR="006451D3" w:rsidRPr="00CE0556" w:rsidRDefault="006451D3" w:rsidP="006451D3">
      <w:pPr>
        <w:spacing w:after="120" w:line="480" w:lineRule="auto"/>
        <w:rPr>
          <w:rFonts w:asciiTheme="majorBidi" w:hAnsiTheme="majorBidi" w:cstheme="majorBidi"/>
        </w:rPr>
      </w:pPr>
      <w:proofErr w:type="spellStart"/>
      <w:r w:rsidRPr="00CE0556">
        <w:rPr>
          <w:rFonts w:asciiTheme="majorBidi" w:hAnsiTheme="majorBidi" w:cstheme="majorBidi"/>
        </w:rPr>
        <w:t>Spriggens</w:t>
      </w:r>
      <w:proofErr w:type="spellEnd"/>
      <w:r w:rsidRPr="00CE0556">
        <w:rPr>
          <w:rFonts w:asciiTheme="majorBidi" w:hAnsiTheme="majorBidi" w:cstheme="majorBidi"/>
        </w:rPr>
        <w:t xml:space="preserve">, L., </w:t>
      </w:r>
      <w:r w:rsidR="00325E55">
        <w:rPr>
          <w:rFonts w:asciiTheme="majorBidi" w:hAnsiTheme="majorBidi" w:cstheme="majorBidi"/>
        </w:rPr>
        <w:t xml:space="preserve">&amp; </w:t>
      </w:r>
      <w:r w:rsidRPr="00CE0556">
        <w:rPr>
          <w:rFonts w:asciiTheme="majorBidi" w:hAnsiTheme="majorBidi" w:cstheme="majorBidi"/>
        </w:rPr>
        <w:t>Hides, L.</w:t>
      </w:r>
      <w:r w:rsidR="0085557E">
        <w:rPr>
          <w:rFonts w:asciiTheme="majorBidi" w:hAnsiTheme="majorBidi" w:cstheme="majorBidi"/>
        </w:rPr>
        <w:t xml:space="preserve"> (</w:t>
      </w:r>
      <w:r w:rsidRPr="00CE0556">
        <w:rPr>
          <w:rFonts w:asciiTheme="majorBidi" w:hAnsiTheme="majorBidi" w:cstheme="majorBidi"/>
        </w:rPr>
        <w:t>2015</w:t>
      </w:r>
      <w:r w:rsidR="0085557E">
        <w:rPr>
          <w:rFonts w:asciiTheme="majorBidi" w:hAnsiTheme="majorBidi" w:cstheme="majorBidi"/>
        </w:rPr>
        <w:t>)</w:t>
      </w:r>
      <w:r w:rsidRPr="00CE0556">
        <w:rPr>
          <w:rFonts w:asciiTheme="majorBidi" w:hAnsiTheme="majorBidi" w:cstheme="majorBidi"/>
        </w:rPr>
        <w:t>. Patterns of cannabis use, psychotic-like experiences and personality styles in young cannabis</w:t>
      </w:r>
      <w:r w:rsidR="00C05487">
        <w:rPr>
          <w:rFonts w:asciiTheme="majorBidi" w:hAnsiTheme="majorBidi" w:cstheme="majorBidi"/>
        </w:rPr>
        <w:t>-</w:t>
      </w:r>
      <w:r w:rsidRPr="00CE0556">
        <w:rPr>
          <w:rFonts w:asciiTheme="majorBidi" w:hAnsiTheme="majorBidi" w:cstheme="majorBidi"/>
        </w:rPr>
        <w:t xml:space="preserve">users. </w:t>
      </w:r>
      <w:r w:rsidRPr="0085557E">
        <w:rPr>
          <w:rFonts w:asciiTheme="majorBidi" w:hAnsiTheme="majorBidi" w:cstheme="majorBidi"/>
          <w:i/>
          <w:iCs/>
        </w:rPr>
        <w:t>Schizophrenia Research</w:t>
      </w:r>
      <w:r w:rsidR="0085557E">
        <w:rPr>
          <w:rFonts w:asciiTheme="majorBidi" w:hAnsiTheme="majorBidi" w:cstheme="majorBidi"/>
          <w:i/>
          <w:iCs/>
        </w:rPr>
        <w:t>,</w:t>
      </w:r>
      <w:r w:rsidRPr="0085557E">
        <w:rPr>
          <w:rFonts w:asciiTheme="majorBidi" w:hAnsiTheme="majorBidi" w:cstheme="majorBidi"/>
          <w:i/>
          <w:iCs/>
        </w:rPr>
        <w:t xml:space="preserve"> 165</w:t>
      </w:r>
      <w:r w:rsidRPr="00CE0556">
        <w:rPr>
          <w:rFonts w:asciiTheme="majorBidi" w:hAnsiTheme="majorBidi" w:cstheme="majorBidi"/>
        </w:rPr>
        <w:t>(1) 3-8.</w:t>
      </w:r>
    </w:p>
    <w:p w14:paraId="6D875051" w14:textId="74B533F9" w:rsidR="006451D3" w:rsidRPr="00CE0556" w:rsidRDefault="006451D3" w:rsidP="006451D3">
      <w:pPr>
        <w:spacing w:after="120" w:line="480" w:lineRule="auto"/>
        <w:rPr>
          <w:rFonts w:asciiTheme="majorBidi" w:hAnsiTheme="majorBidi" w:cstheme="majorBidi"/>
          <w:lang w:val="en"/>
        </w:rPr>
      </w:pPr>
      <w:r w:rsidRPr="00CE0556">
        <w:rPr>
          <w:rFonts w:asciiTheme="majorBidi" w:hAnsiTheme="majorBidi" w:cstheme="majorBidi"/>
          <w:lang w:val="en"/>
        </w:rPr>
        <w:t xml:space="preserve">Stirling, J., </w:t>
      </w:r>
      <w:proofErr w:type="spellStart"/>
      <w:r w:rsidRPr="00CE0556">
        <w:rPr>
          <w:rFonts w:asciiTheme="majorBidi" w:hAnsiTheme="majorBidi" w:cstheme="majorBidi"/>
          <w:lang w:val="en"/>
        </w:rPr>
        <w:t>Barkus</w:t>
      </w:r>
      <w:proofErr w:type="spellEnd"/>
      <w:r w:rsidRPr="00CE0556">
        <w:rPr>
          <w:rFonts w:asciiTheme="majorBidi" w:hAnsiTheme="majorBidi" w:cstheme="majorBidi"/>
          <w:lang w:val="en"/>
        </w:rPr>
        <w:t xml:space="preserve">, E., </w:t>
      </w:r>
      <w:proofErr w:type="spellStart"/>
      <w:r w:rsidRPr="00CE0556">
        <w:rPr>
          <w:rFonts w:asciiTheme="majorBidi" w:hAnsiTheme="majorBidi" w:cstheme="majorBidi"/>
          <w:lang w:val="en"/>
        </w:rPr>
        <w:t>Nabosi</w:t>
      </w:r>
      <w:proofErr w:type="spellEnd"/>
      <w:r w:rsidRPr="00CE0556">
        <w:rPr>
          <w:rFonts w:asciiTheme="majorBidi" w:hAnsiTheme="majorBidi" w:cstheme="majorBidi"/>
          <w:lang w:val="en"/>
        </w:rPr>
        <w:t xml:space="preserve">, L., Irshad, S., Roemer, G., </w:t>
      </w:r>
      <w:proofErr w:type="spellStart"/>
      <w:r w:rsidRPr="00CE0556">
        <w:rPr>
          <w:rFonts w:asciiTheme="majorBidi" w:hAnsiTheme="majorBidi" w:cstheme="majorBidi"/>
          <w:lang w:val="en"/>
        </w:rPr>
        <w:t>Schreudergoidheijt</w:t>
      </w:r>
      <w:proofErr w:type="spellEnd"/>
      <w:r w:rsidRPr="00CE0556">
        <w:rPr>
          <w:rFonts w:asciiTheme="majorBidi" w:hAnsiTheme="majorBidi" w:cstheme="majorBidi"/>
          <w:lang w:val="en"/>
        </w:rPr>
        <w:t xml:space="preserve">, B., </w:t>
      </w:r>
      <w:r w:rsidR="00325E55">
        <w:rPr>
          <w:rFonts w:asciiTheme="majorBidi" w:hAnsiTheme="majorBidi" w:cstheme="majorBidi"/>
          <w:lang w:val="en"/>
        </w:rPr>
        <w:t xml:space="preserve">&amp; </w:t>
      </w:r>
      <w:r w:rsidRPr="00CE0556">
        <w:rPr>
          <w:rFonts w:asciiTheme="majorBidi" w:hAnsiTheme="majorBidi" w:cstheme="majorBidi"/>
          <w:lang w:val="en"/>
        </w:rPr>
        <w:t>Lewis, S.</w:t>
      </w:r>
      <w:r w:rsidR="0085557E">
        <w:rPr>
          <w:rFonts w:asciiTheme="majorBidi" w:hAnsiTheme="majorBidi" w:cstheme="majorBidi"/>
          <w:lang w:val="en"/>
        </w:rPr>
        <w:t xml:space="preserve"> (</w:t>
      </w:r>
      <w:r w:rsidRPr="00CE0556">
        <w:rPr>
          <w:rFonts w:asciiTheme="majorBidi" w:hAnsiTheme="majorBidi" w:cstheme="majorBidi"/>
          <w:lang w:val="en"/>
        </w:rPr>
        <w:t>2008</w:t>
      </w:r>
      <w:r w:rsidR="0085557E">
        <w:rPr>
          <w:rFonts w:asciiTheme="majorBidi" w:hAnsiTheme="majorBidi" w:cstheme="majorBidi"/>
          <w:lang w:val="en"/>
        </w:rPr>
        <w:t>)</w:t>
      </w:r>
      <w:r w:rsidRPr="00CE0556">
        <w:rPr>
          <w:rFonts w:asciiTheme="majorBidi" w:hAnsiTheme="majorBidi" w:cstheme="majorBidi"/>
          <w:lang w:val="en"/>
        </w:rPr>
        <w:t>. Cannabis-induced psychotic-like experiences are predicted by high schizotypy</w:t>
      </w:r>
      <w:r w:rsidR="00A4491B">
        <w:rPr>
          <w:rFonts w:asciiTheme="majorBidi" w:hAnsiTheme="majorBidi" w:cstheme="majorBidi"/>
          <w:lang w:val="en"/>
        </w:rPr>
        <w:t>:</w:t>
      </w:r>
      <w:r w:rsidRPr="00CE0556">
        <w:rPr>
          <w:rFonts w:asciiTheme="majorBidi" w:hAnsiTheme="majorBidi" w:cstheme="majorBidi"/>
          <w:lang w:val="en"/>
        </w:rPr>
        <w:t xml:space="preserve"> Confirmation of preliminary results in a large cohort. </w:t>
      </w:r>
      <w:r w:rsidRPr="0085557E">
        <w:rPr>
          <w:rFonts w:asciiTheme="majorBidi" w:hAnsiTheme="majorBidi" w:cstheme="majorBidi"/>
          <w:i/>
          <w:iCs/>
          <w:lang w:val="en"/>
        </w:rPr>
        <w:t>Psychopathology</w:t>
      </w:r>
      <w:r w:rsidR="0085557E">
        <w:rPr>
          <w:rFonts w:asciiTheme="majorBidi" w:hAnsiTheme="majorBidi" w:cstheme="majorBidi"/>
          <w:i/>
          <w:iCs/>
          <w:lang w:val="en"/>
        </w:rPr>
        <w:t>,</w:t>
      </w:r>
      <w:r w:rsidRPr="0085557E">
        <w:rPr>
          <w:rFonts w:asciiTheme="majorBidi" w:hAnsiTheme="majorBidi" w:cstheme="majorBidi"/>
          <w:i/>
          <w:iCs/>
          <w:lang w:val="en"/>
        </w:rPr>
        <w:t xml:space="preserve"> 41</w:t>
      </w:r>
      <w:r w:rsidRPr="00CE0556">
        <w:rPr>
          <w:rFonts w:asciiTheme="majorBidi" w:hAnsiTheme="majorBidi" w:cstheme="majorBidi"/>
          <w:lang w:val="en"/>
        </w:rPr>
        <w:t>(1) 371-378.</w:t>
      </w:r>
    </w:p>
    <w:p w14:paraId="3F87EA1F" w14:textId="67FD39CD" w:rsidR="006451D3" w:rsidRPr="00CE0556" w:rsidRDefault="006451D3" w:rsidP="006451D3">
      <w:pPr>
        <w:spacing w:after="120" w:line="480" w:lineRule="auto"/>
        <w:rPr>
          <w:rFonts w:asciiTheme="majorBidi" w:hAnsiTheme="majorBidi" w:cstheme="majorBidi"/>
        </w:rPr>
      </w:pPr>
      <w:proofErr w:type="spellStart"/>
      <w:r w:rsidRPr="00CE0556">
        <w:rPr>
          <w:rFonts w:asciiTheme="majorBidi" w:hAnsiTheme="majorBidi" w:cstheme="majorBidi"/>
          <w:lang w:val="en"/>
        </w:rPr>
        <w:t>Szoke</w:t>
      </w:r>
      <w:proofErr w:type="spellEnd"/>
      <w:r w:rsidRPr="00CE0556">
        <w:rPr>
          <w:rFonts w:asciiTheme="majorBidi" w:hAnsiTheme="majorBidi" w:cstheme="majorBidi"/>
          <w:lang w:val="en"/>
        </w:rPr>
        <w:t xml:space="preserve">, A., Galliot, A. M., Richard, J. R., </w:t>
      </w:r>
      <w:proofErr w:type="spellStart"/>
      <w:r w:rsidRPr="00CE0556">
        <w:rPr>
          <w:rFonts w:asciiTheme="majorBidi" w:hAnsiTheme="majorBidi" w:cstheme="majorBidi"/>
          <w:lang w:val="en"/>
        </w:rPr>
        <w:t>Ferchiou</w:t>
      </w:r>
      <w:proofErr w:type="spellEnd"/>
      <w:r w:rsidRPr="00CE0556">
        <w:rPr>
          <w:rFonts w:asciiTheme="majorBidi" w:hAnsiTheme="majorBidi" w:cstheme="majorBidi"/>
          <w:lang w:val="en"/>
        </w:rPr>
        <w:t xml:space="preserve">, A., </w:t>
      </w:r>
      <w:proofErr w:type="spellStart"/>
      <w:r w:rsidRPr="00CE0556">
        <w:rPr>
          <w:rFonts w:asciiTheme="majorBidi" w:hAnsiTheme="majorBidi" w:cstheme="majorBidi"/>
          <w:lang w:val="en"/>
        </w:rPr>
        <w:t>Baudin</w:t>
      </w:r>
      <w:proofErr w:type="spellEnd"/>
      <w:r w:rsidRPr="00CE0556">
        <w:rPr>
          <w:rFonts w:asciiTheme="majorBidi" w:hAnsiTheme="majorBidi" w:cstheme="majorBidi"/>
          <w:lang w:val="en"/>
        </w:rPr>
        <w:t xml:space="preserve">, G., Leboyer, M., </w:t>
      </w:r>
      <w:r w:rsidR="00325E55">
        <w:rPr>
          <w:rFonts w:asciiTheme="majorBidi" w:hAnsiTheme="majorBidi" w:cstheme="majorBidi"/>
          <w:lang w:val="en"/>
        </w:rPr>
        <w:t xml:space="preserve">&amp; </w:t>
      </w:r>
      <w:r w:rsidRPr="00CE0556">
        <w:rPr>
          <w:rFonts w:asciiTheme="majorBidi" w:hAnsiTheme="majorBidi" w:cstheme="majorBidi"/>
          <w:lang w:val="en"/>
        </w:rPr>
        <w:t>Sch</w:t>
      </w:r>
      <w:proofErr w:type="spellStart"/>
      <w:r w:rsidRPr="00CE0556">
        <w:rPr>
          <w:rFonts w:asciiTheme="majorBidi" w:hAnsiTheme="majorBidi" w:cstheme="majorBidi"/>
        </w:rPr>
        <w:t>ürhoff</w:t>
      </w:r>
      <w:proofErr w:type="spellEnd"/>
      <w:r w:rsidR="00BA15FD">
        <w:rPr>
          <w:rFonts w:asciiTheme="majorBidi" w:hAnsiTheme="majorBidi" w:cstheme="majorBidi"/>
        </w:rPr>
        <w:t xml:space="preserve">, F. </w:t>
      </w:r>
      <w:r w:rsidR="0085557E">
        <w:rPr>
          <w:rFonts w:asciiTheme="majorBidi" w:hAnsiTheme="majorBidi" w:cstheme="majorBidi"/>
        </w:rPr>
        <w:t>(</w:t>
      </w:r>
      <w:r w:rsidRPr="00CE0556">
        <w:rPr>
          <w:rFonts w:asciiTheme="majorBidi" w:hAnsiTheme="majorBidi" w:cstheme="majorBidi"/>
        </w:rPr>
        <w:t>2014</w:t>
      </w:r>
      <w:r w:rsidR="0085557E">
        <w:rPr>
          <w:rFonts w:asciiTheme="majorBidi" w:hAnsiTheme="majorBidi" w:cstheme="majorBidi"/>
        </w:rPr>
        <w:t>)</w:t>
      </w:r>
      <w:r w:rsidRPr="00CE0556">
        <w:rPr>
          <w:rFonts w:asciiTheme="majorBidi" w:hAnsiTheme="majorBidi" w:cstheme="majorBidi"/>
        </w:rPr>
        <w:t>. Association between cannabis use and schizotypal dimensions</w:t>
      </w:r>
      <w:r w:rsidR="00A4491B">
        <w:rPr>
          <w:rFonts w:asciiTheme="majorBidi" w:hAnsiTheme="majorBidi" w:cstheme="majorBidi"/>
        </w:rPr>
        <w:t xml:space="preserve">: </w:t>
      </w:r>
      <w:r w:rsidRPr="00CE0556">
        <w:rPr>
          <w:rFonts w:asciiTheme="majorBidi" w:hAnsiTheme="majorBidi" w:cstheme="majorBidi"/>
        </w:rPr>
        <w:t xml:space="preserve">A meta-analysis of cross-sectional studies. </w:t>
      </w:r>
      <w:r w:rsidRPr="0085557E">
        <w:rPr>
          <w:rFonts w:asciiTheme="majorBidi" w:hAnsiTheme="majorBidi" w:cstheme="majorBidi"/>
          <w:i/>
          <w:iCs/>
        </w:rPr>
        <w:t>Psychiatry Research</w:t>
      </w:r>
      <w:r w:rsidR="0085557E" w:rsidRPr="0085557E">
        <w:rPr>
          <w:rFonts w:asciiTheme="majorBidi" w:hAnsiTheme="majorBidi" w:cstheme="majorBidi"/>
          <w:i/>
          <w:iCs/>
        </w:rPr>
        <w:t xml:space="preserve">, </w:t>
      </w:r>
      <w:r w:rsidRPr="0085557E">
        <w:rPr>
          <w:rFonts w:asciiTheme="majorBidi" w:hAnsiTheme="majorBidi" w:cstheme="majorBidi"/>
          <w:i/>
          <w:iCs/>
        </w:rPr>
        <w:t>219</w:t>
      </w:r>
      <w:r w:rsidRPr="00CE0556">
        <w:rPr>
          <w:rFonts w:asciiTheme="majorBidi" w:hAnsiTheme="majorBidi" w:cstheme="majorBidi"/>
        </w:rPr>
        <w:t>(1) 58-66.</w:t>
      </w:r>
    </w:p>
    <w:p w14:paraId="5DCDECDC" w14:textId="1399218E" w:rsidR="003E1089" w:rsidRPr="00637F63" w:rsidRDefault="003E1089" w:rsidP="003E1089">
      <w:pPr>
        <w:spacing w:after="120" w:line="480" w:lineRule="auto"/>
        <w:rPr>
          <w:rFonts w:asciiTheme="majorBidi" w:hAnsiTheme="majorBidi"/>
        </w:rPr>
      </w:pPr>
      <w:r w:rsidRPr="00637F63">
        <w:rPr>
          <w:rFonts w:asciiTheme="majorBidi" w:hAnsiTheme="majorBidi"/>
        </w:rPr>
        <w:t>Teasdale, J.</w:t>
      </w:r>
      <w:r w:rsidR="00BA15FD" w:rsidRPr="009062E6">
        <w:rPr>
          <w:rFonts w:asciiTheme="majorBidi" w:hAnsiTheme="majorBidi" w:cstheme="majorBidi"/>
        </w:rPr>
        <w:t xml:space="preserve"> </w:t>
      </w:r>
      <w:r w:rsidRPr="00637F63">
        <w:rPr>
          <w:rFonts w:asciiTheme="majorBidi" w:hAnsiTheme="majorBidi"/>
        </w:rPr>
        <w:t xml:space="preserve">D., Moore, R.G., Hayhurst, H., Pope, M., Williams, S., </w:t>
      </w:r>
      <w:r w:rsidR="00325E55">
        <w:rPr>
          <w:rFonts w:asciiTheme="majorBidi" w:hAnsiTheme="majorBidi"/>
        </w:rPr>
        <w:t xml:space="preserve">&amp; </w:t>
      </w:r>
      <w:r w:rsidRPr="00637F63">
        <w:rPr>
          <w:rFonts w:asciiTheme="majorBidi" w:hAnsiTheme="majorBidi"/>
        </w:rPr>
        <w:t>Segal, Z.V.</w:t>
      </w:r>
      <w:r w:rsidR="0085557E">
        <w:rPr>
          <w:rFonts w:asciiTheme="majorBidi" w:hAnsiTheme="majorBidi"/>
        </w:rPr>
        <w:t xml:space="preserve"> (</w:t>
      </w:r>
      <w:r w:rsidRPr="00637F63">
        <w:rPr>
          <w:rFonts w:asciiTheme="majorBidi" w:hAnsiTheme="majorBidi"/>
        </w:rPr>
        <w:t>2002</w:t>
      </w:r>
      <w:r w:rsidR="0085557E">
        <w:rPr>
          <w:rFonts w:asciiTheme="majorBidi" w:hAnsiTheme="majorBidi"/>
        </w:rPr>
        <w:t>)</w:t>
      </w:r>
      <w:r w:rsidRPr="00637F63">
        <w:rPr>
          <w:rFonts w:asciiTheme="majorBidi" w:hAnsiTheme="majorBidi"/>
        </w:rPr>
        <w:t>. Metacognitive awareness and prevention of relapse in depression: Empirical evidence.</w:t>
      </w:r>
    </w:p>
    <w:p w14:paraId="77452336" w14:textId="096578A5" w:rsidR="003E1089" w:rsidRDefault="003E1089" w:rsidP="003E1089">
      <w:pPr>
        <w:spacing w:after="120" w:line="480" w:lineRule="auto"/>
        <w:rPr>
          <w:rFonts w:asciiTheme="majorBidi" w:hAnsiTheme="majorBidi" w:cstheme="majorBidi"/>
          <w:lang w:val="de-DE"/>
        </w:rPr>
      </w:pPr>
      <w:r w:rsidRPr="0085557E">
        <w:rPr>
          <w:rFonts w:asciiTheme="majorBidi" w:hAnsiTheme="majorBidi"/>
          <w:i/>
          <w:iCs/>
        </w:rPr>
        <w:t>Journal of Consulting and Clinical Psychology</w:t>
      </w:r>
      <w:r w:rsidR="0085557E">
        <w:rPr>
          <w:rFonts w:asciiTheme="majorBidi" w:hAnsiTheme="majorBidi"/>
          <w:i/>
          <w:iCs/>
        </w:rPr>
        <w:t>,</w:t>
      </w:r>
      <w:r w:rsidRPr="0085557E">
        <w:rPr>
          <w:rFonts w:asciiTheme="majorBidi" w:hAnsiTheme="majorBidi"/>
          <w:i/>
          <w:iCs/>
        </w:rPr>
        <w:t xml:space="preserve"> </w:t>
      </w:r>
      <w:r w:rsidRPr="0085557E">
        <w:rPr>
          <w:rFonts w:asciiTheme="majorBidi" w:hAnsiTheme="majorBidi" w:cstheme="majorBidi"/>
          <w:i/>
          <w:iCs/>
          <w:lang w:val="de-DE"/>
        </w:rPr>
        <w:t>70</w:t>
      </w:r>
      <w:r w:rsidRPr="003E1089">
        <w:rPr>
          <w:rFonts w:asciiTheme="majorBidi" w:hAnsiTheme="majorBidi" w:cstheme="majorBidi"/>
          <w:lang w:val="de-DE"/>
        </w:rPr>
        <w:t>(2)</w:t>
      </w:r>
      <w:r>
        <w:rPr>
          <w:rFonts w:asciiTheme="majorBidi" w:hAnsiTheme="majorBidi" w:cstheme="majorBidi"/>
          <w:lang w:val="de-DE"/>
        </w:rPr>
        <w:t xml:space="preserve"> </w:t>
      </w:r>
      <w:r w:rsidRPr="003E1089">
        <w:rPr>
          <w:rFonts w:asciiTheme="majorBidi" w:hAnsiTheme="majorBidi" w:cstheme="majorBidi"/>
          <w:lang w:val="de-DE"/>
        </w:rPr>
        <w:t>275-</w:t>
      </w:r>
      <w:r>
        <w:rPr>
          <w:rFonts w:asciiTheme="majorBidi" w:hAnsiTheme="majorBidi" w:cstheme="majorBidi"/>
          <w:lang w:val="de-DE"/>
        </w:rPr>
        <w:t>2</w:t>
      </w:r>
      <w:r w:rsidRPr="003E1089">
        <w:rPr>
          <w:rFonts w:asciiTheme="majorBidi" w:hAnsiTheme="majorBidi" w:cstheme="majorBidi"/>
          <w:lang w:val="de-DE"/>
        </w:rPr>
        <w:t>87.</w:t>
      </w:r>
    </w:p>
    <w:p w14:paraId="5C2D788F" w14:textId="10B195F4" w:rsidR="006451D3" w:rsidRDefault="006451D3" w:rsidP="006451D3">
      <w:pPr>
        <w:spacing w:after="120" w:line="480" w:lineRule="auto"/>
        <w:rPr>
          <w:rFonts w:asciiTheme="majorBidi" w:hAnsiTheme="majorBidi" w:cstheme="majorBidi"/>
          <w:lang w:val="de-DE"/>
        </w:rPr>
      </w:pPr>
      <w:r w:rsidRPr="00CE0556">
        <w:rPr>
          <w:rFonts w:asciiTheme="majorBidi" w:hAnsiTheme="majorBidi" w:cstheme="majorBidi"/>
          <w:lang w:val="de-DE"/>
        </w:rPr>
        <w:t xml:space="preserve">Volkow, N. D., </w:t>
      </w:r>
      <w:r w:rsidRPr="00637F63">
        <w:rPr>
          <w:rFonts w:asciiTheme="majorBidi" w:hAnsiTheme="majorBidi" w:cstheme="majorBidi"/>
          <w:lang w:val="de-DE"/>
        </w:rPr>
        <w:t>Baler</w:t>
      </w:r>
      <w:r w:rsidRPr="00CE0556">
        <w:rPr>
          <w:rFonts w:asciiTheme="majorBidi" w:hAnsiTheme="majorBidi" w:cstheme="majorBidi"/>
          <w:lang w:val="de-DE"/>
        </w:rPr>
        <w:t xml:space="preserve">, R. D., Compton, W. M., </w:t>
      </w:r>
      <w:r w:rsidR="00325E55">
        <w:rPr>
          <w:rFonts w:asciiTheme="majorBidi" w:hAnsiTheme="majorBidi" w:cstheme="majorBidi"/>
          <w:lang w:val="de-DE"/>
        </w:rPr>
        <w:t xml:space="preserve">&amp; </w:t>
      </w:r>
      <w:proofErr w:type="spellStart"/>
      <w:r w:rsidRPr="00637F63">
        <w:rPr>
          <w:rFonts w:asciiTheme="majorBidi" w:hAnsiTheme="majorBidi" w:cstheme="majorBidi"/>
          <w:lang w:val="de-DE"/>
        </w:rPr>
        <w:t>Weiss</w:t>
      </w:r>
      <w:proofErr w:type="spellEnd"/>
      <w:r w:rsidRPr="00CE0556">
        <w:rPr>
          <w:rFonts w:asciiTheme="majorBidi" w:hAnsiTheme="majorBidi" w:cstheme="majorBidi"/>
          <w:lang w:val="de-DE"/>
        </w:rPr>
        <w:t>, S. R. B.</w:t>
      </w:r>
      <w:r w:rsidR="0085557E">
        <w:rPr>
          <w:rFonts w:asciiTheme="majorBidi" w:hAnsiTheme="majorBidi" w:cstheme="majorBidi"/>
          <w:lang w:val="de-DE"/>
        </w:rPr>
        <w:t xml:space="preserve"> (</w:t>
      </w:r>
      <w:r w:rsidRPr="00CE0556">
        <w:rPr>
          <w:rFonts w:asciiTheme="majorBidi" w:hAnsiTheme="majorBidi" w:cstheme="majorBidi"/>
          <w:lang w:val="de-DE"/>
        </w:rPr>
        <w:t>2014</w:t>
      </w:r>
      <w:r w:rsidR="0085557E">
        <w:rPr>
          <w:rFonts w:asciiTheme="majorBidi" w:hAnsiTheme="majorBidi" w:cstheme="majorBidi"/>
          <w:lang w:val="de-DE"/>
        </w:rPr>
        <w:t>)</w:t>
      </w:r>
      <w:r w:rsidRPr="00CE0556">
        <w:rPr>
          <w:rFonts w:asciiTheme="majorBidi" w:hAnsiTheme="majorBidi" w:cstheme="majorBidi"/>
          <w:lang w:val="de-DE"/>
        </w:rPr>
        <w:t xml:space="preserve">. </w:t>
      </w:r>
      <w:r w:rsidRPr="00CE0556">
        <w:rPr>
          <w:rFonts w:asciiTheme="majorBidi" w:hAnsiTheme="majorBidi" w:cstheme="majorBidi"/>
          <w:lang w:val="en-US"/>
        </w:rPr>
        <w:t>Adverse</w:t>
      </w:r>
      <w:r w:rsidRPr="00637F63">
        <w:rPr>
          <w:rFonts w:asciiTheme="majorBidi" w:hAnsiTheme="majorBidi"/>
        </w:rPr>
        <w:t xml:space="preserve"> </w:t>
      </w:r>
      <w:r w:rsidR="00A4491B">
        <w:rPr>
          <w:rFonts w:asciiTheme="majorBidi" w:hAnsiTheme="majorBidi" w:cstheme="majorBidi"/>
          <w:lang w:val="en-US"/>
        </w:rPr>
        <w:t>h</w:t>
      </w:r>
      <w:r w:rsidRPr="00CE0556">
        <w:rPr>
          <w:rFonts w:asciiTheme="majorBidi" w:hAnsiTheme="majorBidi" w:cstheme="majorBidi"/>
          <w:lang w:val="en-US"/>
        </w:rPr>
        <w:t>ealth</w:t>
      </w:r>
      <w:r w:rsidRPr="00637F63">
        <w:rPr>
          <w:rFonts w:asciiTheme="majorBidi" w:hAnsiTheme="majorBidi"/>
        </w:rPr>
        <w:t xml:space="preserve"> </w:t>
      </w:r>
      <w:r w:rsidR="00A4491B">
        <w:rPr>
          <w:rFonts w:asciiTheme="majorBidi" w:hAnsiTheme="majorBidi" w:cstheme="majorBidi"/>
          <w:lang w:val="en-US"/>
        </w:rPr>
        <w:t>e</w:t>
      </w:r>
      <w:r w:rsidRPr="00CE0556">
        <w:rPr>
          <w:rFonts w:asciiTheme="majorBidi" w:hAnsiTheme="majorBidi" w:cstheme="majorBidi"/>
          <w:lang w:val="en-US"/>
        </w:rPr>
        <w:t>ffects</w:t>
      </w:r>
      <w:r w:rsidRPr="00637F63">
        <w:rPr>
          <w:rFonts w:asciiTheme="majorBidi" w:hAnsiTheme="majorBidi"/>
        </w:rPr>
        <w:t xml:space="preserve"> </w:t>
      </w:r>
      <w:r w:rsidRPr="00CE0556">
        <w:rPr>
          <w:rFonts w:asciiTheme="majorBidi" w:hAnsiTheme="majorBidi" w:cstheme="majorBidi"/>
        </w:rPr>
        <w:t>of</w:t>
      </w:r>
      <w:r w:rsidRPr="00637F63">
        <w:rPr>
          <w:rFonts w:asciiTheme="majorBidi" w:hAnsiTheme="majorBidi"/>
        </w:rPr>
        <w:t xml:space="preserve"> </w:t>
      </w:r>
      <w:r w:rsidR="00A4491B">
        <w:rPr>
          <w:rFonts w:asciiTheme="majorBidi" w:hAnsiTheme="majorBidi"/>
        </w:rPr>
        <w:t>m</w:t>
      </w:r>
      <w:r w:rsidRPr="00637F63">
        <w:rPr>
          <w:rFonts w:asciiTheme="majorBidi" w:hAnsiTheme="majorBidi"/>
        </w:rPr>
        <w:t xml:space="preserve">arijuana </w:t>
      </w:r>
      <w:r w:rsidR="00A4491B">
        <w:rPr>
          <w:rFonts w:asciiTheme="majorBidi" w:hAnsiTheme="majorBidi" w:cstheme="majorBidi"/>
          <w:lang w:val="en-US"/>
        </w:rPr>
        <w:t>u</w:t>
      </w:r>
      <w:r w:rsidRPr="00CE0556">
        <w:rPr>
          <w:rFonts w:asciiTheme="majorBidi" w:hAnsiTheme="majorBidi" w:cstheme="majorBidi"/>
          <w:lang w:val="en-US"/>
        </w:rPr>
        <w:t>se</w:t>
      </w:r>
      <w:r w:rsidRPr="00637F63">
        <w:rPr>
          <w:rFonts w:asciiTheme="majorBidi" w:hAnsiTheme="majorBidi"/>
        </w:rPr>
        <w:t xml:space="preserve">. </w:t>
      </w:r>
      <w:r w:rsidRPr="0085557E">
        <w:rPr>
          <w:rFonts w:asciiTheme="majorBidi" w:hAnsiTheme="majorBidi"/>
          <w:i/>
          <w:iCs/>
        </w:rPr>
        <w:t xml:space="preserve">The New England Journal </w:t>
      </w:r>
      <w:r w:rsidRPr="0085557E">
        <w:rPr>
          <w:rFonts w:asciiTheme="majorBidi" w:hAnsiTheme="majorBidi" w:cstheme="majorBidi"/>
          <w:i/>
          <w:iCs/>
        </w:rPr>
        <w:t>of</w:t>
      </w:r>
      <w:r w:rsidRPr="0085557E">
        <w:rPr>
          <w:rFonts w:asciiTheme="majorBidi" w:hAnsiTheme="majorBidi"/>
          <w:i/>
          <w:iCs/>
        </w:rPr>
        <w:t xml:space="preserve"> </w:t>
      </w:r>
      <w:r w:rsidRPr="0085557E">
        <w:rPr>
          <w:rFonts w:asciiTheme="majorBidi" w:hAnsiTheme="majorBidi" w:cstheme="majorBidi"/>
          <w:i/>
          <w:iCs/>
        </w:rPr>
        <w:t>Medicine</w:t>
      </w:r>
      <w:r w:rsidR="0085557E">
        <w:rPr>
          <w:rFonts w:asciiTheme="majorBidi" w:hAnsiTheme="majorBidi"/>
          <w:i/>
          <w:iCs/>
        </w:rPr>
        <w:t>,</w:t>
      </w:r>
      <w:r w:rsidRPr="0085557E">
        <w:rPr>
          <w:rFonts w:asciiTheme="majorBidi" w:hAnsiTheme="majorBidi"/>
          <w:i/>
          <w:iCs/>
        </w:rPr>
        <w:t xml:space="preserve"> </w:t>
      </w:r>
      <w:r w:rsidRPr="0085557E">
        <w:rPr>
          <w:rFonts w:asciiTheme="majorBidi" w:hAnsiTheme="majorBidi" w:cstheme="majorBidi"/>
          <w:i/>
          <w:iCs/>
          <w:lang w:val="de-DE"/>
        </w:rPr>
        <w:t>370</w:t>
      </w:r>
      <w:r w:rsidRPr="00CE0556">
        <w:rPr>
          <w:rFonts w:asciiTheme="majorBidi" w:hAnsiTheme="majorBidi" w:cstheme="majorBidi"/>
          <w:lang w:val="de-DE"/>
        </w:rPr>
        <w:t>(23) 2219-2227.</w:t>
      </w:r>
    </w:p>
    <w:p w14:paraId="7809F61A" w14:textId="31333FFA" w:rsidR="003A1C5A" w:rsidRDefault="003A1C5A">
      <w:pPr>
        <w:spacing w:after="200" w:line="276" w:lineRule="auto"/>
        <w:rPr>
          <w:rFonts w:asciiTheme="majorBidi" w:hAnsiTheme="majorBidi" w:cstheme="majorBidi"/>
          <w:lang w:val="de-DE"/>
        </w:rPr>
      </w:pPr>
      <w:r>
        <w:rPr>
          <w:rFonts w:asciiTheme="majorBidi" w:hAnsiTheme="majorBidi" w:cstheme="majorBidi"/>
          <w:lang w:val="de-DE"/>
        </w:rPr>
        <w:br w:type="page"/>
      </w:r>
    </w:p>
    <w:p w14:paraId="162A2F51" w14:textId="6B65F391" w:rsidR="003A1C5A" w:rsidRDefault="003A1C5A" w:rsidP="003A1C5A">
      <w:pPr>
        <w:spacing w:after="120" w:line="276" w:lineRule="auto"/>
        <w:rPr>
          <w:rFonts w:asciiTheme="majorBidi" w:hAnsiTheme="majorBidi" w:cstheme="majorBidi"/>
          <w:b/>
          <w:bCs/>
          <w:lang w:val="de-DE"/>
        </w:rPr>
      </w:pPr>
      <w:r w:rsidRPr="003A1C5A">
        <w:rPr>
          <w:rFonts w:asciiTheme="majorBidi" w:hAnsiTheme="majorBidi" w:cstheme="majorBidi"/>
          <w:b/>
          <w:bCs/>
          <w:lang w:val="de-DE"/>
        </w:rPr>
        <w:t>Table 1</w:t>
      </w:r>
    </w:p>
    <w:p w14:paraId="6FC92979" w14:textId="77777777" w:rsidR="004A3167" w:rsidRPr="003A1C5A" w:rsidRDefault="004A3167" w:rsidP="003A1C5A">
      <w:pPr>
        <w:spacing w:after="120" w:line="276" w:lineRule="auto"/>
        <w:rPr>
          <w:rFonts w:asciiTheme="majorBidi" w:hAnsiTheme="majorBidi" w:cstheme="majorBidi"/>
          <w:b/>
          <w:bCs/>
          <w:lang w:val="de-DE"/>
        </w:rPr>
      </w:pPr>
    </w:p>
    <w:tbl>
      <w:tblPr>
        <w:tblStyle w:val="TableGrid"/>
        <w:tblW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9"/>
        <w:gridCol w:w="1879"/>
      </w:tblGrid>
      <w:tr w:rsidR="003A1C5A" w:rsidRPr="003A1C5A" w14:paraId="0297851A" w14:textId="682FD1DA" w:rsidTr="004A3167">
        <w:tc>
          <w:tcPr>
            <w:tcW w:w="5637" w:type="dxa"/>
            <w:gridSpan w:val="3"/>
            <w:tcBorders>
              <w:bottom w:val="single" w:sz="4" w:space="0" w:color="auto"/>
            </w:tcBorders>
          </w:tcPr>
          <w:p w14:paraId="0D928F1C" w14:textId="3272FC09" w:rsidR="003A1C5A" w:rsidRPr="004A3167" w:rsidRDefault="003A1C5A" w:rsidP="003A1C5A">
            <w:pPr>
              <w:spacing w:after="120" w:line="276" w:lineRule="auto"/>
              <w:rPr>
                <w:rFonts w:asciiTheme="majorBidi" w:hAnsiTheme="majorBidi" w:cstheme="majorBidi"/>
                <w:bCs/>
                <w:i/>
                <w:iCs/>
              </w:rPr>
            </w:pPr>
            <w:r w:rsidRPr="004A3167">
              <w:rPr>
                <w:rFonts w:asciiTheme="majorBidi" w:hAnsiTheme="majorBidi" w:cstheme="majorBidi"/>
                <w:bCs/>
                <w:i/>
                <w:iCs/>
              </w:rPr>
              <w:t xml:space="preserve">Mean concentrations of THC and metabolites in plasma (ng/ml) 150 minutes after THC administration </w:t>
            </w:r>
          </w:p>
        </w:tc>
      </w:tr>
      <w:tr w:rsidR="003A1C5A" w:rsidRPr="003A1C5A" w14:paraId="6980AF69" w14:textId="4A88E2C3" w:rsidTr="004A3167">
        <w:tc>
          <w:tcPr>
            <w:tcW w:w="1879" w:type="dxa"/>
            <w:tcBorders>
              <w:top w:val="single" w:sz="4" w:space="0" w:color="auto"/>
              <w:bottom w:val="single" w:sz="4" w:space="0" w:color="auto"/>
            </w:tcBorders>
          </w:tcPr>
          <w:p w14:paraId="09D9E654" w14:textId="77777777" w:rsidR="003A1C5A" w:rsidRPr="003A1C5A" w:rsidRDefault="003A1C5A" w:rsidP="003A1C5A">
            <w:pPr>
              <w:spacing w:after="120" w:line="276" w:lineRule="auto"/>
              <w:rPr>
                <w:rFonts w:asciiTheme="majorBidi" w:hAnsiTheme="majorBidi" w:cstheme="majorBidi"/>
                <w:sz w:val="20"/>
                <w:szCs w:val="20"/>
              </w:rPr>
            </w:pPr>
          </w:p>
        </w:tc>
        <w:tc>
          <w:tcPr>
            <w:tcW w:w="1879" w:type="dxa"/>
            <w:tcBorders>
              <w:top w:val="single" w:sz="4" w:space="0" w:color="auto"/>
              <w:bottom w:val="single" w:sz="4" w:space="0" w:color="auto"/>
            </w:tcBorders>
          </w:tcPr>
          <w:p w14:paraId="0765DA9F" w14:textId="01D7A6A0" w:rsidR="003A1C5A" w:rsidRPr="003A1C5A" w:rsidRDefault="003A1C5A" w:rsidP="003A1C5A">
            <w:pPr>
              <w:spacing w:after="120" w:line="276" w:lineRule="auto"/>
              <w:rPr>
                <w:rFonts w:asciiTheme="majorBidi" w:hAnsiTheme="majorBidi" w:cstheme="majorBidi"/>
                <w:bCs/>
                <w:i/>
                <w:iCs/>
                <w:sz w:val="20"/>
                <w:szCs w:val="20"/>
              </w:rPr>
            </w:pPr>
            <w:r w:rsidRPr="003A1C5A">
              <w:rPr>
                <w:rFonts w:asciiTheme="majorBidi" w:hAnsiTheme="majorBidi" w:cstheme="majorBidi"/>
                <w:bCs/>
                <w:i/>
                <w:iCs/>
                <w:sz w:val="20"/>
                <w:szCs w:val="20"/>
              </w:rPr>
              <w:t>M</w:t>
            </w:r>
          </w:p>
        </w:tc>
        <w:tc>
          <w:tcPr>
            <w:tcW w:w="1879" w:type="dxa"/>
            <w:tcBorders>
              <w:top w:val="single" w:sz="4" w:space="0" w:color="auto"/>
              <w:bottom w:val="single" w:sz="4" w:space="0" w:color="auto"/>
            </w:tcBorders>
          </w:tcPr>
          <w:p w14:paraId="00703886" w14:textId="5FC0D0A9" w:rsidR="003A1C5A" w:rsidRPr="003A1C5A" w:rsidRDefault="003A1C5A" w:rsidP="003A1C5A">
            <w:pPr>
              <w:spacing w:after="120" w:line="276" w:lineRule="auto"/>
              <w:rPr>
                <w:rFonts w:asciiTheme="majorBidi" w:hAnsiTheme="majorBidi" w:cstheme="majorBidi"/>
                <w:bCs/>
                <w:i/>
                <w:iCs/>
                <w:sz w:val="20"/>
                <w:szCs w:val="20"/>
              </w:rPr>
            </w:pPr>
            <w:r w:rsidRPr="003A1C5A">
              <w:rPr>
                <w:rFonts w:asciiTheme="majorBidi" w:hAnsiTheme="majorBidi" w:cstheme="majorBidi"/>
                <w:bCs/>
                <w:i/>
                <w:iCs/>
                <w:sz w:val="20"/>
                <w:szCs w:val="20"/>
              </w:rPr>
              <w:t>SE</w:t>
            </w:r>
          </w:p>
        </w:tc>
      </w:tr>
      <w:tr w:rsidR="003A1C5A" w:rsidRPr="003A1C5A" w14:paraId="7F39492F" w14:textId="6C350C72" w:rsidTr="004A3167">
        <w:tc>
          <w:tcPr>
            <w:tcW w:w="1879" w:type="dxa"/>
            <w:tcBorders>
              <w:top w:val="single" w:sz="4" w:space="0" w:color="auto"/>
            </w:tcBorders>
          </w:tcPr>
          <w:p w14:paraId="08D63FCB" w14:textId="77777777" w:rsidR="003A1C5A" w:rsidRPr="003A1C5A" w:rsidRDefault="003A1C5A" w:rsidP="003A1C5A">
            <w:pPr>
              <w:spacing w:after="120" w:line="276" w:lineRule="auto"/>
              <w:rPr>
                <w:rFonts w:asciiTheme="majorBidi" w:hAnsiTheme="majorBidi" w:cstheme="majorBidi"/>
                <w:sz w:val="20"/>
                <w:szCs w:val="20"/>
              </w:rPr>
            </w:pPr>
            <w:r w:rsidRPr="003A1C5A">
              <w:rPr>
                <w:rFonts w:asciiTheme="majorBidi" w:hAnsiTheme="majorBidi" w:cstheme="majorBidi"/>
                <w:sz w:val="20"/>
                <w:szCs w:val="20"/>
              </w:rPr>
              <w:t>THC</w:t>
            </w:r>
          </w:p>
        </w:tc>
        <w:tc>
          <w:tcPr>
            <w:tcW w:w="1879" w:type="dxa"/>
            <w:tcBorders>
              <w:top w:val="single" w:sz="4" w:space="0" w:color="auto"/>
            </w:tcBorders>
          </w:tcPr>
          <w:p w14:paraId="1E5A09DE" w14:textId="69F300E7" w:rsidR="003A1C5A" w:rsidRPr="003A1C5A" w:rsidRDefault="003A1C5A" w:rsidP="003A1C5A">
            <w:pPr>
              <w:spacing w:after="120" w:line="276" w:lineRule="auto"/>
              <w:rPr>
                <w:rFonts w:asciiTheme="majorBidi" w:hAnsiTheme="majorBidi" w:cstheme="majorBidi"/>
                <w:sz w:val="20"/>
                <w:szCs w:val="20"/>
              </w:rPr>
            </w:pPr>
            <w:r w:rsidRPr="003A1C5A">
              <w:rPr>
                <w:rFonts w:asciiTheme="majorBidi" w:hAnsiTheme="majorBidi" w:cstheme="majorBidi"/>
                <w:sz w:val="20"/>
                <w:szCs w:val="20"/>
              </w:rPr>
              <w:t xml:space="preserve">2.27 </w:t>
            </w:r>
          </w:p>
        </w:tc>
        <w:tc>
          <w:tcPr>
            <w:tcW w:w="1879" w:type="dxa"/>
            <w:tcBorders>
              <w:top w:val="single" w:sz="4" w:space="0" w:color="auto"/>
            </w:tcBorders>
          </w:tcPr>
          <w:p w14:paraId="4A2B7237" w14:textId="239B1A27" w:rsidR="003A1C5A" w:rsidRPr="003A1C5A" w:rsidRDefault="008C0CA7" w:rsidP="003A1C5A">
            <w:pPr>
              <w:spacing w:after="120" w:line="276" w:lineRule="auto"/>
              <w:rPr>
                <w:rFonts w:asciiTheme="majorBidi" w:hAnsiTheme="majorBidi" w:cstheme="majorBidi"/>
                <w:sz w:val="20"/>
                <w:szCs w:val="20"/>
              </w:rPr>
            </w:pPr>
            <w:r>
              <w:rPr>
                <w:rFonts w:asciiTheme="majorBidi" w:hAnsiTheme="majorBidi" w:cstheme="majorBidi"/>
                <w:sz w:val="20"/>
                <w:szCs w:val="20"/>
              </w:rPr>
              <w:t>0.49</w:t>
            </w:r>
          </w:p>
        </w:tc>
      </w:tr>
      <w:tr w:rsidR="003A1C5A" w:rsidRPr="003A1C5A" w14:paraId="7E6DBDBD" w14:textId="7FC9967F" w:rsidTr="004A3167">
        <w:tc>
          <w:tcPr>
            <w:tcW w:w="1879" w:type="dxa"/>
          </w:tcPr>
          <w:p w14:paraId="53B99179" w14:textId="77777777" w:rsidR="003A1C5A" w:rsidRPr="003A1C5A" w:rsidRDefault="003A1C5A" w:rsidP="003A1C5A">
            <w:pPr>
              <w:spacing w:after="120" w:line="276" w:lineRule="auto"/>
              <w:rPr>
                <w:rFonts w:asciiTheme="majorBidi" w:hAnsiTheme="majorBidi" w:cstheme="majorBidi"/>
                <w:sz w:val="20"/>
                <w:szCs w:val="20"/>
              </w:rPr>
            </w:pPr>
            <w:r w:rsidRPr="003A1C5A">
              <w:rPr>
                <w:rFonts w:asciiTheme="majorBidi" w:hAnsiTheme="majorBidi" w:cstheme="majorBidi"/>
                <w:sz w:val="20"/>
                <w:szCs w:val="20"/>
              </w:rPr>
              <w:t>THC-OH</w:t>
            </w:r>
          </w:p>
        </w:tc>
        <w:tc>
          <w:tcPr>
            <w:tcW w:w="1879" w:type="dxa"/>
          </w:tcPr>
          <w:p w14:paraId="110EC379" w14:textId="793610BA" w:rsidR="003A1C5A" w:rsidRPr="003A1C5A" w:rsidRDefault="003A1C5A" w:rsidP="003A1C5A">
            <w:pPr>
              <w:spacing w:after="120" w:line="276" w:lineRule="auto"/>
              <w:rPr>
                <w:rFonts w:asciiTheme="majorBidi" w:hAnsiTheme="majorBidi" w:cstheme="majorBidi"/>
                <w:sz w:val="20"/>
                <w:szCs w:val="20"/>
              </w:rPr>
            </w:pPr>
            <w:r w:rsidRPr="003A1C5A">
              <w:rPr>
                <w:rFonts w:asciiTheme="majorBidi" w:hAnsiTheme="majorBidi" w:cstheme="majorBidi"/>
                <w:sz w:val="20"/>
                <w:szCs w:val="20"/>
              </w:rPr>
              <w:t xml:space="preserve">7.03 </w:t>
            </w:r>
          </w:p>
        </w:tc>
        <w:tc>
          <w:tcPr>
            <w:tcW w:w="1879" w:type="dxa"/>
          </w:tcPr>
          <w:p w14:paraId="739F8344" w14:textId="104700CB" w:rsidR="003A1C5A" w:rsidRPr="003A1C5A" w:rsidRDefault="008C0CA7" w:rsidP="003A1C5A">
            <w:pPr>
              <w:spacing w:after="120" w:line="276" w:lineRule="auto"/>
              <w:rPr>
                <w:rFonts w:asciiTheme="majorBidi" w:hAnsiTheme="majorBidi" w:cstheme="majorBidi"/>
                <w:sz w:val="20"/>
                <w:szCs w:val="20"/>
              </w:rPr>
            </w:pPr>
            <w:r>
              <w:rPr>
                <w:rFonts w:asciiTheme="majorBidi" w:hAnsiTheme="majorBidi" w:cstheme="majorBidi"/>
                <w:sz w:val="20"/>
                <w:szCs w:val="20"/>
              </w:rPr>
              <w:t>1.46</w:t>
            </w:r>
          </w:p>
        </w:tc>
      </w:tr>
      <w:tr w:rsidR="003A1C5A" w:rsidRPr="003A1C5A" w14:paraId="4A64907A" w14:textId="497BAE94" w:rsidTr="004A3167">
        <w:tc>
          <w:tcPr>
            <w:tcW w:w="1879" w:type="dxa"/>
            <w:tcBorders>
              <w:bottom w:val="single" w:sz="4" w:space="0" w:color="auto"/>
            </w:tcBorders>
          </w:tcPr>
          <w:p w14:paraId="5314F21F" w14:textId="77777777" w:rsidR="003A1C5A" w:rsidRPr="003A1C5A" w:rsidRDefault="003A1C5A" w:rsidP="003A1C5A">
            <w:pPr>
              <w:spacing w:after="120" w:line="276" w:lineRule="auto"/>
              <w:rPr>
                <w:rFonts w:asciiTheme="majorBidi" w:hAnsiTheme="majorBidi" w:cstheme="majorBidi"/>
                <w:sz w:val="20"/>
                <w:szCs w:val="20"/>
              </w:rPr>
            </w:pPr>
            <w:r w:rsidRPr="003A1C5A">
              <w:rPr>
                <w:rFonts w:asciiTheme="majorBidi" w:hAnsiTheme="majorBidi" w:cstheme="majorBidi"/>
                <w:sz w:val="20"/>
                <w:szCs w:val="20"/>
              </w:rPr>
              <w:t>THC-COOH</w:t>
            </w:r>
          </w:p>
        </w:tc>
        <w:tc>
          <w:tcPr>
            <w:tcW w:w="1879" w:type="dxa"/>
            <w:tcBorders>
              <w:bottom w:val="single" w:sz="4" w:space="0" w:color="auto"/>
            </w:tcBorders>
          </w:tcPr>
          <w:p w14:paraId="65996FD8" w14:textId="27DA5B9B" w:rsidR="003A1C5A" w:rsidRPr="003A1C5A" w:rsidRDefault="003A1C5A" w:rsidP="003A1C5A">
            <w:pPr>
              <w:spacing w:after="120" w:line="276" w:lineRule="auto"/>
              <w:rPr>
                <w:rFonts w:asciiTheme="majorBidi" w:hAnsiTheme="majorBidi" w:cstheme="majorBidi"/>
                <w:sz w:val="20"/>
                <w:szCs w:val="20"/>
              </w:rPr>
            </w:pPr>
            <w:r w:rsidRPr="003A1C5A">
              <w:rPr>
                <w:rFonts w:asciiTheme="majorBidi" w:hAnsiTheme="majorBidi" w:cstheme="majorBidi"/>
                <w:sz w:val="20"/>
                <w:szCs w:val="20"/>
              </w:rPr>
              <w:t xml:space="preserve">64.09 </w:t>
            </w:r>
          </w:p>
        </w:tc>
        <w:tc>
          <w:tcPr>
            <w:tcW w:w="1879" w:type="dxa"/>
            <w:tcBorders>
              <w:bottom w:val="single" w:sz="4" w:space="0" w:color="auto"/>
            </w:tcBorders>
          </w:tcPr>
          <w:p w14:paraId="28E54CBE" w14:textId="0EF62F2F" w:rsidR="003A1C5A" w:rsidRPr="003A1C5A" w:rsidRDefault="008C0CA7" w:rsidP="003A1C5A">
            <w:pPr>
              <w:spacing w:after="120" w:line="276" w:lineRule="auto"/>
              <w:rPr>
                <w:rFonts w:asciiTheme="majorBidi" w:hAnsiTheme="majorBidi" w:cstheme="majorBidi"/>
                <w:sz w:val="20"/>
                <w:szCs w:val="20"/>
              </w:rPr>
            </w:pPr>
            <w:r>
              <w:rPr>
                <w:rFonts w:asciiTheme="majorBidi" w:hAnsiTheme="majorBidi" w:cstheme="majorBidi"/>
                <w:sz w:val="20"/>
                <w:szCs w:val="20"/>
              </w:rPr>
              <w:t>11.40</w:t>
            </w:r>
          </w:p>
        </w:tc>
      </w:tr>
      <w:tr w:rsidR="003A1C5A" w:rsidRPr="003A1C5A" w14:paraId="2D8ACB5C" w14:textId="7FBDDADA" w:rsidTr="004A3167">
        <w:tc>
          <w:tcPr>
            <w:tcW w:w="5637" w:type="dxa"/>
            <w:gridSpan w:val="3"/>
            <w:tcBorders>
              <w:top w:val="single" w:sz="4" w:space="0" w:color="auto"/>
            </w:tcBorders>
          </w:tcPr>
          <w:p w14:paraId="3181E87D" w14:textId="51512E88" w:rsidR="003A1C5A" w:rsidRPr="004A3167" w:rsidRDefault="003A1C5A" w:rsidP="003A1C5A">
            <w:pPr>
              <w:spacing w:after="120" w:line="276" w:lineRule="auto"/>
              <w:rPr>
                <w:rFonts w:asciiTheme="majorBidi" w:hAnsiTheme="majorBidi" w:cstheme="majorBidi"/>
                <w:i/>
                <w:iCs/>
                <w:sz w:val="20"/>
                <w:szCs w:val="20"/>
              </w:rPr>
            </w:pPr>
            <w:r w:rsidRPr="004A3167">
              <w:rPr>
                <w:rFonts w:asciiTheme="majorBidi" w:hAnsiTheme="majorBidi" w:cstheme="majorBidi"/>
                <w:i/>
                <w:iCs/>
                <w:sz w:val="20"/>
                <w:szCs w:val="20"/>
              </w:rPr>
              <w:t>THC = Δ</w:t>
            </w:r>
            <w:r w:rsidRPr="004A3167">
              <w:rPr>
                <w:rFonts w:asciiTheme="majorBidi" w:hAnsiTheme="majorBidi" w:cstheme="majorBidi"/>
                <w:i/>
                <w:iCs/>
                <w:sz w:val="20"/>
                <w:szCs w:val="20"/>
                <w:vertAlign w:val="superscript"/>
              </w:rPr>
              <w:t>9</w:t>
            </w:r>
            <w:r w:rsidRPr="004A3167">
              <w:rPr>
                <w:rFonts w:asciiTheme="majorBidi" w:hAnsiTheme="majorBidi" w:cstheme="majorBidi"/>
                <w:i/>
                <w:iCs/>
                <w:sz w:val="20"/>
                <w:szCs w:val="20"/>
              </w:rPr>
              <w:t>-tetrahydrocannabinol; THC-OH = 11-Hydroxy-Δ</w:t>
            </w:r>
            <w:r w:rsidRPr="004A3167">
              <w:rPr>
                <w:rFonts w:asciiTheme="majorBidi" w:hAnsiTheme="majorBidi" w:cstheme="majorBidi"/>
                <w:i/>
                <w:iCs/>
                <w:sz w:val="20"/>
                <w:szCs w:val="20"/>
                <w:vertAlign w:val="superscript"/>
              </w:rPr>
              <w:t>9</w:t>
            </w:r>
            <w:r w:rsidRPr="004A3167">
              <w:rPr>
                <w:rFonts w:asciiTheme="majorBidi" w:hAnsiTheme="majorBidi" w:cstheme="majorBidi"/>
                <w:i/>
                <w:iCs/>
                <w:sz w:val="20"/>
                <w:szCs w:val="20"/>
              </w:rPr>
              <w:t>-tetrahydrocannabinol; 11-Nor-9-carboxy-Δ</w:t>
            </w:r>
            <w:r w:rsidRPr="004A3167">
              <w:rPr>
                <w:rFonts w:ascii="Cambria Math" w:hAnsi="Cambria Math" w:cs="Cambria Math"/>
                <w:i/>
                <w:iCs/>
                <w:sz w:val="20"/>
                <w:szCs w:val="20"/>
              </w:rPr>
              <w:t>⁹</w:t>
            </w:r>
            <w:r w:rsidRPr="004A3167">
              <w:rPr>
                <w:rFonts w:asciiTheme="majorBidi" w:hAnsiTheme="majorBidi" w:cstheme="majorBidi"/>
                <w:i/>
                <w:iCs/>
                <w:sz w:val="20"/>
                <w:szCs w:val="20"/>
              </w:rPr>
              <w:t xml:space="preserve">-tetrahydrocannabinol </w:t>
            </w:r>
          </w:p>
        </w:tc>
      </w:tr>
    </w:tbl>
    <w:p w14:paraId="40A84A22" w14:textId="77777777" w:rsidR="003A1C5A" w:rsidRPr="003A1C5A" w:rsidRDefault="003A1C5A" w:rsidP="003A1C5A">
      <w:pPr>
        <w:spacing w:after="120" w:line="276" w:lineRule="auto"/>
        <w:rPr>
          <w:rFonts w:asciiTheme="majorBidi" w:hAnsiTheme="majorBidi" w:cstheme="majorBidi"/>
        </w:rPr>
      </w:pPr>
    </w:p>
    <w:p w14:paraId="413DE3E8" w14:textId="77777777" w:rsidR="003A1C5A" w:rsidRPr="003A1C5A" w:rsidRDefault="003A1C5A" w:rsidP="003A1C5A">
      <w:pPr>
        <w:spacing w:after="120" w:line="276" w:lineRule="auto"/>
        <w:rPr>
          <w:rFonts w:asciiTheme="majorBidi" w:hAnsiTheme="majorBidi" w:cstheme="majorBidi"/>
          <w:b/>
          <w:bCs/>
        </w:rPr>
      </w:pPr>
    </w:p>
    <w:p w14:paraId="7E5D1A36" w14:textId="77777777" w:rsidR="003A1C5A" w:rsidRPr="003A1C5A" w:rsidRDefault="003A1C5A" w:rsidP="003A1C5A">
      <w:pPr>
        <w:spacing w:after="120" w:line="276" w:lineRule="auto"/>
        <w:rPr>
          <w:rFonts w:asciiTheme="majorBidi" w:hAnsiTheme="majorBidi" w:cstheme="majorBidi"/>
          <w:b/>
          <w:bCs/>
        </w:rPr>
      </w:pPr>
    </w:p>
    <w:p w14:paraId="54C38F23" w14:textId="77777777" w:rsidR="003A1C5A" w:rsidRPr="003A1C5A" w:rsidRDefault="003A1C5A" w:rsidP="003A1C5A">
      <w:pPr>
        <w:spacing w:after="120" w:line="276" w:lineRule="auto"/>
        <w:rPr>
          <w:rFonts w:asciiTheme="majorBidi" w:hAnsiTheme="majorBidi" w:cstheme="majorBidi"/>
          <w:b/>
          <w:bCs/>
        </w:rPr>
      </w:pPr>
    </w:p>
    <w:p w14:paraId="7284827E" w14:textId="608F09B1" w:rsidR="00222AA7" w:rsidRDefault="00222AA7">
      <w:r>
        <w:br w:type="page"/>
      </w:r>
    </w:p>
    <w:p w14:paraId="6071590B" w14:textId="77777777" w:rsidR="004B4214" w:rsidRDefault="004B4214" w:rsidP="00C36A1A">
      <w:pPr>
        <w:spacing w:line="360" w:lineRule="auto"/>
        <w:jc w:val="both"/>
        <w:rPr>
          <w:b/>
        </w:rPr>
        <w:sectPr w:rsidR="004B4214" w:rsidSect="002F6242">
          <w:headerReference w:type="default" r:id="rId18"/>
          <w:footerReference w:type="even" r:id="rId19"/>
          <w:footerReference w:type="default" r:id="rId20"/>
          <w:pgSz w:w="11906" w:h="16838"/>
          <w:pgMar w:top="1304" w:right="1077" w:bottom="1304" w:left="1077" w:header="709" w:footer="709" w:gutter="0"/>
          <w:cols w:space="708"/>
          <w:titlePg/>
          <w:docGrid w:linePitch="360"/>
        </w:sectPr>
      </w:pPr>
    </w:p>
    <w:p w14:paraId="591F809A" w14:textId="347784DC" w:rsidR="00222AA7" w:rsidRDefault="004A3167" w:rsidP="00C36A1A">
      <w:pPr>
        <w:spacing w:line="360" w:lineRule="auto"/>
        <w:jc w:val="both"/>
        <w:rPr>
          <w:b/>
        </w:rPr>
      </w:pPr>
      <w:r>
        <w:rPr>
          <w:b/>
        </w:rPr>
        <w:t>Table 2</w:t>
      </w:r>
    </w:p>
    <w:p w14:paraId="392BE213" w14:textId="77777777" w:rsidR="007D248A" w:rsidRPr="007D248A" w:rsidRDefault="007D248A" w:rsidP="00C36A1A">
      <w:pPr>
        <w:spacing w:line="360" w:lineRule="auto"/>
        <w:jc w:val="both"/>
        <w:rPr>
          <w:b/>
        </w:rPr>
      </w:pPr>
    </w:p>
    <w:tbl>
      <w:tblPr>
        <w:tblStyle w:val="TableGrid"/>
        <w:tblW w:w="13113" w:type="dxa"/>
        <w:tblInd w:w="-7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049"/>
        <w:gridCol w:w="914"/>
        <w:gridCol w:w="915"/>
        <w:gridCol w:w="915"/>
        <w:gridCol w:w="915"/>
        <w:gridCol w:w="915"/>
        <w:gridCol w:w="915"/>
        <w:gridCol w:w="915"/>
        <w:gridCol w:w="915"/>
        <w:gridCol w:w="915"/>
        <w:gridCol w:w="271"/>
        <w:gridCol w:w="644"/>
        <w:gridCol w:w="915"/>
      </w:tblGrid>
      <w:tr w:rsidR="00645297" w:rsidRPr="00645297" w14:paraId="65E0885D" w14:textId="4C4599E9" w:rsidTr="004B4214">
        <w:trPr>
          <w:gridAfter w:val="2"/>
          <w:wAfter w:w="1559" w:type="dxa"/>
        </w:trPr>
        <w:tc>
          <w:tcPr>
            <w:tcW w:w="11554" w:type="dxa"/>
            <w:gridSpan w:val="11"/>
          </w:tcPr>
          <w:p w14:paraId="252E5BE2" w14:textId="343BEA23" w:rsidR="00645297" w:rsidRPr="004B4214" w:rsidRDefault="00645297" w:rsidP="00C36A1A">
            <w:pPr>
              <w:spacing w:line="360" w:lineRule="auto"/>
              <w:jc w:val="both"/>
              <w:rPr>
                <w:i/>
                <w:iCs/>
              </w:rPr>
            </w:pPr>
            <w:r w:rsidRPr="004B4214">
              <w:rPr>
                <w:i/>
                <w:iCs/>
              </w:rPr>
              <w:t xml:space="preserve">Descriptive statistics and inter-correlations </w:t>
            </w:r>
            <w:r w:rsidR="00D275DA" w:rsidRPr="00D275DA">
              <w:rPr>
                <w:i/>
                <w:iCs/>
                <w:highlight w:val="yellow"/>
              </w:rPr>
              <w:t>(Pearson 1-tailed)</w:t>
            </w:r>
            <w:r w:rsidR="00D275DA">
              <w:rPr>
                <w:i/>
                <w:iCs/>
              </w:rPr>
              <w:t xml:space="preserve"> </w:t>
            </w:r>
            <w:r w:rsidRPr="004B4214">
              <w:rPr>
                <w:i/>
                <w:iCs/>
              </w:rPr>
              <w:t>for study variables</w:t>
            </w:r>
          </w:p>
        </w:tc>
      </w:tr>
      <w:tr w:rsidR="00345B10" w:rsidRPr="00645297" w14:paraId="0A0CAC35" w14:textId="7E87B794" w:rsidTr="004B4214">
        <w:tc>
          <w:tcPr>
            <w:tcW w:w="3049" w:type="dxa"/>
          </w:tcPr>
          <w:p w14:paraId="12D3D42D" w14:textId="77777777" w:rsidR="00345B10" w:rsidRPr="00645297" w:rsidRDefault="00345B10" w:rsidP="00C36A1A">
            <w:pPr>
              <w:spacing w:line="360" w:lineRule="auto"/>
              <w:jc w:val="both"/>
              <w:rPr>
                <w:sz w:val="20"/>
                <w:szCs w:val="20"/>
              </w:rPr>
            </w:pPr>
          </w:p>
        </w:tc>
        <w:tc>
          <w:tcPr>
            <w:tcW w:w="914" w:type="dxa"/>
          </w:tcPr>
          <w:p w14:paraId="637F8E40" w14:textId="23373543" w:rsidR="00345B10" w:rsidRPr="00645297" w:rsidRDefault="00345B10" w:rsidP="00C36A1A">
            <w:pPr>
              <w:spacing w:line="360" w:lineRule="auto"/>
              <w:jc w:val="both"/>
              <w:rPr>
                <w:i/>
                <w:sz w:val="20"/>
                <w:szCs w:val="20"/>
              </w:rPr>
            </w:pPr>
            <w:r w:rsidRPr="00645297">
              <w:rPr>
                <w:i/>
                <w:sz w:val="20"/>
                <w:szCs w:val="20"/>
              </w:rPr>
              <w:t>M</w:t>
            </w:r>
          </w:p>
        </w:tc>
        <w:tc>
          <w:tcPr>
            <w:tcW w:w="915" w:type="dxa"/>
          </w:tcPr>
          <w:p w14:paraId="2F81072A" w14:textId="1803142C" w:rsidR="00345B10" w:rsidRPr="00645297" w:rsidRDefault="00345B10" w:rsidP="00C36A1A">
            <w:pPr>
              <w:spacing w:line="360" w:lineRule="auto"/>
              <w:jc w:val="both"/>
              <w:rPr>
                <w:i/>
                <w:sz w:val="20"/>
                <w:szCs w:val="20"/>
              </w:rPr>
            </w:pPr>
            <w:r w:rsidRPr="00645297">
              <w:rPr>
                <w:i/>
                <w:sz w:val="20"/>
                <w:szCs w:val="20"/>
              </w:rPr>
              <w:t>SD</w:t>
            </w:r>
          </w:p>
        </w:tc>
        <w:tc>
          <w:tcPr>
            <w:tcW w:w="915" w:type="dxa"/>
          </w:tcPr>
          <w:p w14:paraId="03FCAEE7" w14:textId="4929A4BD" w:rsidR="00345B10" w:rsidRPr="00645297" w:rsidRDefault="00345B10" w:rsidP="00C36A1A">
            <w:pPr>
              <w:spacing w:line="360" w:lineRule="auto"/>
              <w:jc w:val="both"/>
              <w:rPr>
                <w:sz w:val="20"/>
                <w:szCs w:val="20"/>
              </w:rPr>
            </w:pPr>
            <w:r w:rsidRPr="00645297">
              <w:rPr>
                <w:sz w:val="20"/>
                <w:szCs w:val="20"/>
              </w:rPr>
              <w:t>(1)</w:t>
            </w:r>
          </w:p>
        </w:tc>
        <w:tc>
          <w:tcPr>
            <w:tcW w:w="915" w:type="dxa"/>
          </w:tcPr>
          <w:p w14:paraId="0FCE82D4" w14:textId="5DA1CECF" w:rsidR="00345B10" w:rsidRPr="00645297" w:rsidRDefault="00345B10" w:rsidP="00C36A1A">
            <w:pPr>
              <w:spacing w:line="360" w:lineRule="auto"/>
              <w:jc w:val="both"/>
              <w:rPr>
                <w:sz w:val="20"/>
                <w:szCs w:val="20"/>
              </w:rPr>
            </w:pPr>
            <w:r w:rsidRPr="00645297">
              <w:rPr>
                <w:sz w:val="20"/>
                <w:szCs w:val="20"/>
              </w:rPr>
              <w:t>(2)</w:t>
            </w:r>
          </w:p>
        </w:tc>
        <w:tc>
          <w:tcPr>
            <w:tcW w:w="915" w:type="dxa"/>
          </w:tcPr>
          <w:p w14:paraId="007DA742" w14:textId="4AD6FF25" w:rsidR="00345B10" w:rsidRPr="00645297" w:rsidRDefault="00345B10" w:rsidP="00C36A1A">
            <w:pPr>
              <w:spacing w:line="360" w:lineRule="auto"/>
              <w:jc w:val="both"/>
              <w:rPr>
                <w:sz w:val="20"/>
                <w:szCs w:val="20"/>
              </w:rPr>
            </w:pPr>
            <w:r w:rsidRPr="00645297">
              <w:rPr>
                <w:sz w:val="20"/>
                <w:szCs w:val="20"/>
              </w:rPr>
              <w:t>(3a)</w:t>
            </w:r>
          </w:p>
        </w:tc>
        <w:tc>
          <w:tcPr>
            <w:tcW w:w="915" w:type="dxa"/>
          </w:tcPr>
          <w:p w14:paraId="6F8630D7" w14:textId="13039C98" w:rsidR="00345B10" w:rsidRPr="00645297" w:rsidRDefault="00345B10" w:rsidP="00C36A1A">
            <w:pPr>
              <w:spacing w:line="360" w:lineRule="auto"/>
              <w:jc w:val="both"/>
              <w:rPr>
                <w:sz w:val="20"/>
                <w:szCs w:val="20"/>
              </w:rPr>
            </w:pPr>
            <w:r w:rsidRPr="00645297">
              <w:rPr>
                <w:sz w:val="20"/>
                <w:szCs w:val="20"/>
              </w:rPr>
              <w:t>(3b)</w:t>
            </w:r>
          </w:p>
        </w:tc>
        <w:tc>
          <w:tcPr>
            <w:tcW w:w="915" w:type="dxa"/>
          </w:tcPr>
          <w:p w14:paraId="49A3B513" w14:textId="60F62E78" w:rsidR="00345B10" w:rsidRPr="00645297" w:rsidRDefault="00345B10" w:rsidP="00C36A1A">
            <w:pPr>
              <w:spacing w:line="360" w:lineRule="auto"/>
              <w:jc w:val="both"/>
              <w:rPr>
                <w:sz w:val="20"/>
                <w:szCs w:val="20"/>
              </w:rPr>
            </w:pPr>
            <w:r w:rsidRPr="00645297">
              <w:rPr>
                <w:sz w:val="20"/>
                <w:szCs w:val="20"/>
              </w:rPr>
              <w:t>(3c)</w:t>
            </w:r>
          </w:p>
        </w:tc>
        <w:tc>
          <w:tcPr>
            <w:tcW w:w="915" w:type="dxa"/>
          </w:tcPr>
          <w:p w14:paraId="6F41B06B" w14:textId="69CBC725" w:rsidR="00345B10" w:rsidRPr="00645297" w:rsidRDefault="00345B10" w:rsidP="00C36A1A">
            <w:pPr>
              <w:spacing w:line="360" w:lineRule="auto"/>
              <w:jc w:val="both"/>
              <w:rPr>
                <w:sz w:val="20"/>
                <w:szCs w:val="20"/>
              </w:rPr>
            </w:pPr>
            <w:r w:rsidRPr="00645297">
              <w:rPr>
                <w:sz w:val="20"/>
                <w:szCs w:val="20"/>
              </w:rPr>
              <w:t>(4a)</w:t>
            </w:r>
          </w:p>
        </w:tc>
        <w:tc>
          <w:tcPr>
            <w:tcW w:w="915" w:type="dxa"/>
          </w:tcPr>
          <w:p w14:paraId="6888AFDA" w14:textId="3AA923FD" w:rsidR="00345B10" w:rsidRPr="00645297" w:rsidRDefault="00345B10" w:rsidP="00C36A1A">
            <w:pPr>
              <w:spacing w:line="360" w:lineRule="auto"/>
              <w:jc w:val="both"/>
              <w:rPr>
                <w:sz w:val="20"/>
                <w:szCs w:val="20"/>
              </w:rPr>
            </w:pPr>
            <w:r w:rsidRPr="00645297">
              <w:rPr>
                <w:sz w:val="20"/>
                <w:szCs w:val="20"/>
              </w:rPr>
              <w:t>(4b)</w:t>
            </w:r>
          </w:p>
        </w:tc>
        <w:tc>
          <w:tcPr>
            <w:tcW w:w="915" w:type="dxa"/>
            <w:gridSpan w:val="2"/>
          </w:tcPr>
          <w:p w14:paraId="657D5180" w14:textId="66995CC5" w:rsidR="00345B10" w:rsidRPr="00645297" w:rsidRDefault="00345B10" w:rsidP="00C36A1A">
            <w:pPr>
              <w:spacing w:line="360" w:lineRule="auto"/>
              <w:jc w:val="both"/>
              <w:rPr>
                <w:sz w:val="20"/>
                <w:szCs w:val="20"/>
              </w:rPr>
            </w:pPr>
            <w:r w:rsidRPr="00645297">
              <w:rPr>
                <w:sz w:val="20"/>
                <w:szCs w:val="20"/>
              </w:rPr>
              <w:t>(4c)</w:t>
            </w:r>
          </w:p>
        </w:tc>
        <w:tc>
          <w:tcPr>
            <w:tcW w:w="915" w:type="dxa"/>
          </w:tcPr>
          <w:p w14:paraId="379A97BC" w14:textId="62E0CF4B" w:rsidR="00345B10" w:rsidRPr="00645297" w:rsidRDefault="00345B10" w:rsidP="00C36A1A">
            <w:pPr>
              <w:spacing w:line="360" w:lineRule="auto"/>
              <w:jc w:val="both"/>
              <w:rPr>
                <w:sz w:val="20"/>
                <w:szCs w:val="20"/>
              </w:rPr>
            </w:pPr>
            <w:r w:rsidRPr="00645297">
              <w:rPr>
                <w:sz w:val="20"/>
                <w:szCs w:val="20"/>
              </w:rPr>
              <w:t>(5)</w:t>
            </w:r>
          </w:p>
        </w:tc>
      </w:tr>
      <w:tr w:rsidR="00345B10" w:rsidRPr="00645297" w14:paraId="5530C2A2" w14:textId="40BBE196" w:rsidTr="004B4214">
        <w:tc>
          <w:tcPr>
            <w:tcW w:w="3049" w:type="dxa"/>
          </w:tcPr>
          <w:p w14:paraId="71DC4733" w14:textId="0A6CD898" w:rsidR="00345B10" w:rsidRPr="00645297" w:rsidRDefault="00345B10" w:rsidP="00C36A1A">
            <w:pPr>
              <w:spacing w:line="360" w:lineRule="auto"/>
              <w:rPr>
                <w:sz w:val="20"/>
                <w:szCs w:val="20"/>
              </w:rPr>
            </w:pPr>
            <w:r w:rsidRPr="00645297">
              <w:rPr>
                <w:sz w:val="20"/>
                <w:szCs w:val="20"/>
              </w:rPr>
              <w:t>(1) Childhood Trauma Questionnaire</w:t>
            </w:r>
          </w:p>
        </w:tc>
        <w:tc>
          <w:tcPr>
            <w:tcW w:w="914" w:type="dxa"/>
          </w:tcPr>
          <w:p w14:paraId="2AA4738D" w14:textId="77777777" w:rsidR="00345B10" w:rsidRPr="00645297" w:rsidRDefault="0072571C" w:rsidP="00C36A1A">
            <w:pPr>
              <w:spacing w:line="360" w:lineRule="auto"/>
              <w:jc w:val="both"/>
              <w:rPr>
                <w:sz w:val="20"/>
                <w:szCs w:val="20"/>
              </w:rPr>
            </w:pPr>
            <w:r w:rsidRPr="00645297">
              <w:rPr>
                <w:sz w:val="20"/>
                <w:szCs w:val="20"/>
              </w:rPr>
              <w:t>3.84</w:t>
            </w:r>
          </w:p>
        </w:tc>
        <w:tc>
          <w:tcPr>
            <w:tcW w:w="915" w:type="dxa"/>
          </w:tcPr>
          <w:p w14:paraId="01F1C42A" w14:textId="77777777" w:rsidR="00345B10" w:rsidRPr="00645297" w:rsidRDefault="0072571C" w:rsidP="00C36A1A">
            <w:pPr>
              <w:spacing w:line="360" w:lineRule="auto"/>
              <w:jc w:val="both"/>
              <w:rPr>
                <w:sz w:val="20"/>
                <w:szCs w:val="20"/>
              </w:rPr>
            </w:pPr>
            <w:r w:rsidRPr="00645297">
              <w:rPr>
                <w:sz w:val="20"/>
                <w:szCs w:val="20"/>
              </w:rPr>
              <w:t>4.84</w:t>
            </w:r>
          </w:p>
        </w:tc>
        <w:tc>
          <w:tcPr>
            <w:tcW w:w="915" w:type="dxa"/>
          </w:tcPr>
          <w:p w14:paraId="32FF2DDD" w14:textId="77777777" w:rsidR="00345B10" w:rsidRPr="00645297" w:rsidRDefault="0072571C" w:rsidP="00C36A1A">
            <w:pPr>
              <w:spacing w:line="360" w:lineRule="auto"/>
              <w:jc w:val="both"/>
              <w:rPr>
                <w:sz w:val="20"/>
                <w:szCs w:val="20"/>
              </w:rPr>
            </w:pPr>
            <w:r w:rsidRPr="00645297">
              <w:rPr>
                <w:sz w:val="20"/>
                <w:szCs w:val="20"/>
              </w:rPr>
              <w:t>1</w:t>
            </w:r>
          </w:p>
        </w:tc>
        <w:tc>
          <w:tcPr>
            <w:tcW w:w="915" w:type="dxa"/>
          </w:tcPr>
          <w:p w14:paraId="028F5062" w14:textId="77777777" w:rsidR="00345B10" w:rsidRPr="00645297" w:rsidRDefault="0072571C" w:rsidP="00C36A1A">
            <w:pPr>
              <w:spacing w:line="360" w:lineRule="auto"/>
              <w:jc w:val="both"/>
              <w:rPr>
                <w:sz w:val="20"/>
                <w:szCs w:val="20"/>
              </w:rPr>
            </w:pPr>
            <w:r w:rsidRPr="00645297">
              <w:rPr>
                <w:sz w:val="20"/>
                <w:szCs w:val="20"/>
              </w:rPr>
              <w:t>.469*</w:t>
            </w:r>
          </w:p>
        </w:tc>
        <w:tc>
          <w:tcPr>
            <w:tcW w:w="915" w:type="dxa"/>
          </w:tcPr>
          <w:p w14:paraId="4F0B6298" w14:textId="77777777" w:rsidR="00345B10" w:rsidRPr="00645297" w:rsidRDefault="002C21B4" w:rsidP="00C36A1A">
            <w:pPr>
              <w:spacing w:line="360" w:lineRule="auto"/>
              <w:jc w:val="both"/>
              <w:rPr>
                <w:sz w:val="20"/>
                <w:szCs w:val="20"/>
              </w:rPr>
            </w:pPr>
            <w:r w:rsidRPr="00645297">
              <w:rPr>
                <w:sz w:val="20"/>
                <w:szCs w:val="20"/>
              </w:rPr>
              <w:t>.457</w:t>
            </w:r>
          </w:p>
        </w:tc>
        <w:tc>
          <w:tcPr>
            <w:tcW w:w="915" w:type="dxa"/>
          </w:tcPr>
          <w:p w14:paraId="02D23465" w14:textId="77777777" w:rsidR="00345B10" w:rsidRPr="00645297" w:rsidRDefault="002C21B4" w:rsidP="00C36A1A">
            <w:pPr>
              <w:spacing w:line="360" w:lineRule="auto"/>
              <w:jc w:val="both"/>
              <w:rPr>
                <w:sz w:val="20"/>
                <w:szCs w:val="20"/>
              </w:rPr>
            </w:pPr>
            <w:r w:rsidRPr="00645297">
              <w:rPr>
                <w:sz w:val="20"/>
                <w:szCs w:val="20"/>
              </w:rPr>
              <w:t>.453</w:t>
            </w:r>
          </w:p>
        </w:tc>
        <w:tc>
          <w:tcPr>
            <w:tcW w:w="915" w:type="dxa"/>
          </w:tcPr>
          <w:p w14:paraId="7FD19667" w14:textId="77777777" w:rsidR="00345B10" w:rsidRPr="00645297" w:rsidRDefault="009F0072" w:rsidP="00C36A1A">
            <w:pPr>
              <w:spacing w:line="360" w:lineRule="auto"/>
              <w:jc w:val="both"/>
              <w:rPr>
                <w:sz w:val="20"/>
                <w:szCs w:val="20"/>
              </w:rPr>
            </w:pPr>
            <w:r w:rsidRPr="00645297">
              <w:rPr>
                <w:sz w:val="20"/>
                <w:szCs w:val="20"/>
              </w:rPr>
              <w:t>.520*</w:t>
            </w:r>
          </w:p>
        </w:tc>
        <w:tc>
          <w:tcPr>
            <w:tcW w:w="915" w:type="dxa"/>
          </w:tcPr>
          <w:p w14:paraId="6A19BD51" w14:textId="2866838E" w:rsidR="00345B10" w:rsidRPr="00645297" w:rsidRDefault="002C21B4" w:rsidP="00C36A1A">
            <w:pPr>
              <w:spacing w:line="360" w:lineRule="auto"/>
              <w:jc w:val="both"/>
              <w:rPr>
                <w:sz w:val="20"/>
                <w:szCs w:val="20"/>
              </w:rPr>
            </w:pPr>
            <w:r w:rsidRPr="00645297">
              <w:rPr>
                <w:sz w:val="20"/>
                <w:szCs w:val="20"/>
              </w:rPr>
              <w:t>.243</w:t>
            </w:r>
          </w:p>
        </w:tc>
        <w:tc>
          <w:tcPr>
            <w:tcW w:w="915" w:type="dxa"/>
          </w:tcPr>
          <w:p w14:paraId="4BBCCD37" w14:textId="77777777" w:rsidR="00345B10" w:rsidRPr="00645297" w:rsidRDefault="002C21B4" w:rsidP="00C36A1A">
            <w:pPr>
              <w:spacing w:line="360" w:lineRule="auto"/>
              <w:jc w:val="both"/>
              <w:rPr>
                <w:sz w:val="20"/>
                <w:szCs w:val="20"/>
              </w:rPr>
            </w:pPr>
            <w:r w:rsidRPr="00645297">
              <w:rPr>
                <w:sz w:val="20"/>
                <w:szCs w:val="20"/>
              </w:rPr>
              <w:t>.555*</w:t>
            </w:r>
          </w:p>
        </w:tc>
        <w:tc>
          <w:tcPr>
            <w:tcW w:w="915" w:type="dxa"/>
            <w:gridSpan w:val="2"/>
          </w:tcPr>
          <w:p w14:paraId="5E8AE952" w14:textId="77777777" w:rsidR="00345B10" w:rsidRPr="00645297" w:rsidRDefault="009F0072" w:rsidP="00C36A1A">
            <w:pPr>
              <w:spacing w:line="360" w:lineRule="auto"/>
              <w:jc w:val="both"/>
              <w:rPr>
                <w:sz w:val="20"/>
                <w:szCs w:val="20"/>
              </w:rPr>
            </w:pPr>
            <w:r w:rsidRPr="00645297">
              <w:rPr>
                <w:sz w:val="20"/>
                <w:szCs w:val="20"/>
              </w:rPr>
              <w:t>.511*</w:t>
            </w:r>
          </w:p>
        </w:tc>
        <w:tc>
          <w:tcPr>
            <w:tcW w:w="915" w:type="dxa"/>
          </w:tcPr>
          <w:p w14:paraId="02CA0C9D" w14:textId="13AC92DD" w:rsidR="00345B10" w:rsidRPr="00645297" w:rsidRDefault="00E454D1" w:rsidP="00C36A1A">
            <w:pPr>
              <w:spacing w:line="360" w:lineRule="auto"/>
              <w:jc w:val="both"/>
              <w:rPr>
                <w:sz w:val="20"/>
                <w:szCs w:val="20"/>
              </w:rPr>
            </w:pPr>
            <w:r w:rsidRPr="00645297">
              <w:rPr>
                <w:sz w:val="20"/>
                <w:szCs w:val="20"/>
              </w:rPr>
              <w:t>.526*</w:t>
            </w:r>
          </w:p>
        </w:tc>
      </w:tr>
      <w:tr w:rsidR="00345B10" w:rsidRPr="00645297" w14:paraId="6AE7503E" w14:textId="1C52A3B3" w:rsidTr="004B4214">
        <w:tc>
          <w:tcPr>
            <w:tcW w:w="3049" w:type="dxa"/>
          </w:tcPr>
          <w:p w14:paraId="4AA7A6AE" w14:textId="3B9ED272" w:rsidR="00345B10" w:rsidRPr="00645297" w:rsidRDefault="00345B10" w:rsidP="00C36A1A">
            <w:pPr>
              <w:spacing w:line="360" w:lineRule="auto"/>
              <w:rPr>
                <w:sz w:val="20"/>
                <w:szCs w:val="20"/>
              </w:rPr>
            </w:pPr>
            <w:r w:rsidRPr="00645297">
              <w:rPr>
                <w:sz w:val="20"/>
                <w:szCs w:val="20"/>
              </w:rPr>
              <w:t>(2) Oxford-Liverpool Inventory of Feelings and Experiences</w:t>
            </w:r>
          </w:p>
        </w:tc>
        <w:tc>
          <w:tcPr>
            <w:tcW w:w="914" w:type="dxa"/>
          </w:tcPr>
          <w:p w14:paraId="1CB24C49" w14:textId="77777777" w:rsidR="00345B10" w:rsidRPr="00645297" w:rsidRDefault="0072571C" w:rsidP="00C36A1A">
            <w:pPr>
              <w:spacing w:line="360" w:lineRule="auto"/>
              <w:jc w:val="both"/>
              <w:rPr>
                <w:sz w:val="20"/>
                <w:szCs w:val="20"/>
              </w:rPr>
            </w:pPr>
            <w:r w:rsidRPr="00645297">
              <w:rPr>
                <w:sz w:val="20"/>
                <w:szCs w:val="20"/>
              </w:rPr>
              <w:t>7.20</w:t>
            </w:r>
          </w:p>
        </w:tc>
        <w:tc>
          <w:tcPr>
            <w:tcW w:w="915" w:type="dxa"/>
          </w:tcPr>
          <w:p w14:paraId="7F2555A5" w14:textId="77777777" w:rsidR="00345B10" w:rsidRPr="00645297" w:rsidRDefault="0072571C" w:rsidP="00C36A1A">
            <w:pPr>
              <w:spacing w:line="360" w:lineRule="auto"/>
              <w:jc w:val="both"/>
              <w:rPr>
                <w:sz w:val="20"/>
                <w:szCs w:val="20"/>
              </w:rPr>
            </w:pPr>
            <w:r w:rsidRPr="00645297">
              <w:rPr>
                <w:sz w:val="20"/>
                <w:szCs w:val="20"/>
              </w:rPr>
              <w:t>4.73</w:t>
            </w:r>
          </w:p>
        </w:tc>
        <w:tc>
          <w:tcPr>
            <w:tcW w:w="915" w:type="dxa"/>
          </w:tcPr>
          <w:p w14:paraId="5653A5EF" w14:textId="77777777" w:rsidR="00345B10" w:rsidRPr="00645297" w:rsidRDefault="002C21B4" w:rsidP="00C36A1A">
            <w:pPr>
              <w:spacing w:line="360" w:lineRule="auto"/>
              <w:jc w:val="both"/>
              <w:rPr>
                <w:sz w:val="20"/>
                <w:szCs w:val="20"/>
              </w:rPr>
            </w:pPr>
            <w:r w:rsidRPr="00645297">
              <w:rPr>
                <w:sz w:val="20"/>
                <w:szCs w:val="20"/>
              </w:rPr>
              <w:t>.469*</w:t>
            </w:r>
          </w:p>
        </w:tc>
        <w:tc>
          <w:tcPr>
            <w:tcW w:w="915" w:type="dxa"/>
          </w:tcPr>
          <w:p w14:paraId="62119990" w14:textId="77777777" w:rsidR="00345B10" w:rsidRPr="00645297" w:rsidRDefault="0072571C" w:rsidP="00C36A1A">
            <w:pPr>
              <w:spacing w:line="360" w:lineRule="auto"/>
              <w:jc w:val="both"/>
              <w:rPr>
                <w:sz w:val="20"/>
                <w:szCs w:val="20"/>
              </w:rPr>
            </w:pPr>
            <w:r w:rsidRPr="00645297">
              <w:rPr>
                <w:sz w:val="20"/>
                <w:szCs w:val="20"/>
              </w:rPr>
              <w:t>1</w:t>
            </w:r>
          </w:p>
        </w:tc>
        <w:tc>
          <w:tcPr>
            <w:tcW w:w="915" w:type="dxa"/>
          </w:tcPr>
          <w:p w14:paraId="583D1E0D" w14:textId="77777777" w:rsidR="00345B10" w:rsidRPr="00645297" w:rsidRDefault="002C21B4" w:rsidP="00C36A1A">
            <w:pPr>
              <w:spacing w:line="360" w:lineRule="auto"/>
              <w:jc w:val="both"/>
              <w:rPr>
                <w:sz w:val="20"/>
                <w:szCs w:val="20"/>
              </w:rPr>
            </w:pPr>
            <w:r w:rsidRPr="00645297">
              <w:rPr>
                <w:sz w:val="20"/>
                <w:szCs w:val="20"/>
              </w:rPr>
              <w:t>.711**</w:t>
            </w:r>
          </w:p>
        </w:tc>
        <w:tc>
          <w:tcPr>
            <w:tcW w:w="915" w:type="dxa"/>
          </w:tcPr>
          <w:p w14:paraId="3BB6B26A" w14:textId="77777777" w:rsidR="00345B10" w:rsidRPr="00645297" w:rsidRDefault="002C21B4" w:rsidP="00C36A1A">
            <w:pPr>
              <w:spacing w:line="360" w:lineRule="auto"/>
              <w:jc w:val="both"/>
              <w:rPr>
                <w:sz w:val="20"/>
                <w:szCs w:val="20"/>
              </w:rPr>
            </w:pPr>
            <w:r w:rsidRPr="00645297">
              <w:rPr>
                <w:sz w:val="20"/>
                <w:szCs w:val="20"/>
              </w:rPr>
              <w:t>.640**</w:t>
            </w:r>
          </w:p>
        </w:tc>
        <w:tc>
          <w:tcPr>
            <w:tcW w:w="915" w:type="dxa"/>
          </w:tcPr>
          <w:p w14:paraId="301A0919" w14:textId="77777777" w:rsidR="00345B10" w:rsidRPr="00645297" w:rsidRDefault="009F0072" w:rsidP="00C36A1A">
            <w:pPr>
              <w:spacing w:line="360" w:lineRule="auto"/>
              <w:jc w:val="both"/>
              <w:rPr>
                <w:sz w:val="20"/>
                <w:szCs w:val="20"/>
              </w:rPr>
            </w:pPr>
            <w:r w:rsidRPr="00645297">
              <w:rPr>
                <w:sz w:val="20"/>
                <w:szCs w:val="20"/>
              </w:rPr>
              <w:t>.502*</w:t>
            </w:r>
          </w:p>
        </w:tc>
        <w:tc>
          <w:tcPr>
            <w:tcW w:w="915" w:type="dxa"/>
          </w:tcPr>
          <w:p w14:paraId="0084AAAC" w14:textId="2683F9FC" w:rsidR="00345B10" w:rsidRPr="00645297" w:rsidRDefault="002C21B4" w:rsidP="00C36A1A">
            <w:pPr>
              <w:spacing w:line="360" w:lineRule="auto"/>
              <w:jc w:val="both"/>
              <w:rPr>
                <w:sz w:val="20"/>
                <w:szCs w:val="20"/>
              </w:rPr>
            </w:pPr>
            <w:r w:rsidRPr="00645297">
              <w:rPr>
                <w:sz w:val="20"/>
                <w:szCs w:val="20"/>
              </w:rPr>
              <w:t>.128</w:t>
            </w:r>
          </w:p>
        </w:tc>
        <w:tc>
          <w:tcPr>
            <w:tcW w:w="915" w:type="dxa"/>
          </w:tcPr>
          <w:p w14:paraId="607F5DD7" w14:textId="77777777" w:rsidR="00345B10" w:rsidRPr="00645297" w:rsidRDefault="002C21B4" w:rsidP="00C36A1A">
            <w:pPr>
              <w:spacing w:line="360" w:lineRule="auto"/>
              <w:jc w:val="both"/>
              <w:rPr>
                <w:sz w:val="20"/>
                <w:szCs w:val="20"/>
              </w:rPr>
            </w:pPr>
            <w:r w:rsidRPr="00645297">
              <w:rPr>
                <w:sz w:val="20"/>
                <w:szCs w:val="20"/>
              </w:rPr>
              <w:t>.510*</w:t>
            </w:r>
          </w:p>
        </w:tc>
        <w:tc>
          <w:tcPr>
            <w:tcW w:w="915" w:type="dxa"/>
            <w:gridSpan w:val="2"/>
          </w:tcPr>
          <w:p w14:paraId="525FEE30" w14:textId="77777777" w:rsidR="00345B10" w:rsidRPr="00645297" w:rsidRDefault="009F0072" w:rsidP="00C36A1A">
            <w:pPr>
              <w:spacing w:line="360" w:lineRule="auto"/>
              <w:jc w:val="both"/>
              <w:rPr>
                <w:sz w:val="20"/>
                <w:szCs w:val="20"/>
              </w:rPr>
            </w:pPr>
            <w:r w:rsidRPr="00645297">
              <w:rPr>
                <w:sz w:val="20"/>
                <w:szCs w:val="20"/>
              </w:rPr>
              <w:t>.491*</w:t>
            </w:r>
          </w:p>
        </w:tc>
        <w:tc>
          <w:tcPr>
            <w:tcW w:w="915" w:type="dxa"/>
          </w:tcPr>
          <w:p w14:paraId="295EDA81" w14:textId="1225E21B" w:rsidR="00345B10" w:rsidRPr="00645297" w:rsidRDefault="00E454D1" w:rsidP="00C36A1A">
            <w:pPr>
              <w:spacing w:line="360" w:lineRule="auto"/>
              <w:jc w:val="both"/>
              <w:rPr>
                <w:sz w:val="20"/>
                <w:szCs w:val="20"/>
              </w:rPr>
            </w:pPr>
            <w:r w:rsidRPr="00645297">
              <w:rPr>
                <w:sz w:val="20"/>
                <w:szCs w:val="20"/>
              </w:rPr>
              <w:t>.658**</w:t>
            </w:r>
          </w:p>
        </w:tc>
      </w:tr>
      <w:tr w:rsidR="00345B10" w:rsidRPr="00645297" w14:paraId="2F327C65" w14:textId="36F1547D" w:rsidTr="004B4214">
        <w:tc>
          <w:tcPr>
            <w:tcW w:w="3049" w:type="dxa"/>
          </w:tcPr>
          <w:p w14:paraId="46FE3C28" w14:textId="28EF498C" w:rsidR="00345B10" w:rsidRPr="00645297" w:rsidRDefault="00345B10" w:rsidP="002537E3">
            <w:pPr>
              <w:spacing w:line="360" w:lineRule="auto"/>
              <w:rPr>
                <w:sz w:val="20"/>
                <w:szCs w:val="20"/>
              </w:rPr>
            </w:pPr>
            <w:r w:rsidRPr="00645297">
              <w:rPr>
                <w:sz w:val="20"/>
                <w:szCs w:val="20"/>
              </w:rPr>
              <w:t xml:space="preserve">(3a) Psychotomimetic States Inventory </w:t>
            </w:r>
            <w:r w:rsidR="002537E3" w:rsidRPr="00645297">
              <w:rPr>
                <w:sz w:val="20"/>
                <w:szCs w:val="20"/>
              </w:rPr>
              <w:t xml:space="preserve">– total </w:t>
            </w:r>
            <w:r w:rsidRPr="00645297">
              <w:rPr>
                <w:sz w:val="20"/>
                <w:szCs w:val="20"/>
              </w:rPr>
              <w:t>(T1)</w:t>
            </w:r>
          </w:p>
        </w:tc>
        <w:tc>
          <w:tcPr>
            <w:tcW w:w="914" w:type="dxa"/>
          </w:tcPr>
          <w:p w14:paraId="22569816" w14:textId="77777777" w:rsidR="00345B10" w:rsidRPr="00645297" w:rsidRDefault="0072571C" w:rsidP="00C36A1A">
            <w:pPr>
              <w:spacing w:line="360" w:lineRule="auto"/>
              <w:jc w:val="both"/>
              <w:rPr>
                <w:sz w:val="20"/>
                <w:szCs w:val="20"/>
              </w:rPr>
            </w:pPr>
            <w:r w:rsidRPr="00645297">
              <w:rPr>
                <w:sz w:val="20"/>
                <w:szCs w:val="20"/>
              </w:rPr>
              <w:t>6.63</w:t>
            </w:r>
          </w:p>
        </w:tc>
        <w:tc>
          <w:tcPr>
            <w:tcW w:w="915" w:type="dxa"/>
          </w:tcPr>
          <w:p w14:paraId="6F153764" w14:textId="77777777" w:rsidR="00345B10" w:rsidRPr="00645297" w:rsidRDefault="0072571C" w:rsidP="00C36A1A">
            <w:pPr>
              <w:spacing w:line="360" w:lineRule="auto"/>
              <w:jc w:val="both"/>
              <w:rPr>
                <w:sz w:val="20"/>
                <w:szCs w:val="20"/>
              </w:rPr>
            </w:pPr>
            <w:r w:rsidRPr="00645297">
              <w:rPr>
                <w:sz w:val="20"/>
                <w:szCs w:val="20"/>
              </w:rPr>
              <w:t>4.68</w:t>
            </w:r>
          </w:p>
        </w:tc>
        <w:tc>
          <w:tcPr>
            <w:tcW w:w="915" w:type="dxa"/>
          </w:tcPr>
          <w:p w14:paraId="1BFAE866" w14:textId="77777777" w:rsidR="00345B10" w:rsidRPr="00645297" w:rsidRDefault="002C21B4" w:rsidP="00C36A1A">
            <w:pPr>
              <w:spacing w:line="360" w:lineRule="auto"/>
              <w:jc w:val="both"/>
              <w:rPr>
                <w:sz w:val="20"/>
                <w:szCs w:val="20"/>
              </w:rPr>
            </w:pPr>
            <w:r w:rsidRPr="00645297">
              <w:rPr>
                <w:sz w:val="20"/>
                <w:szCs w:val="20"/>
              </w:rPr>
              <w:t>.457</w:t>
            </w:r>
          </w:p>
        </w:tc>
        <w:tc>
          <w:tcPr>
            <w:tcW w:w="915" w:type="dxa"/>
          </w:tcPr>
          <w:p w14:paraId="03B24848" w14:textId="77777777" w:rsidR="00345B10" w:rsidRPr="00645297" w:rsidRDefault="0072571C" w:rsidP="00C36A1A">
            <w:pPr>
              <w:spacing w:line="360" w:lineRule="auto"/>
              <w:jc w:val="both"/>
              <w:rPr>
                <w:sz w:val="20"/>
                <w:szCs w:val="20"/>
              </w:rPr>
            </w:pPr>
            <w:r w:rsidRPr="00645297">
              <w:rPr>
                <w:sz w:val="20"/>
                <w:szCs w:val="20"/>
              </w:rPr>
              <w:t>.711**</w:t>
            </w:r>
          </w:p>
        </w:tc>
        <w:tc>
          <w:tcPr>
            <w:tcW w:w="915" w:type="dxa"/>
          </w:tcPr>
          <w:p w14:paraId="698BA09C" w14:textId="77777777" w:rsidR="00345B10" w:rsidRPr="00645297" w:rsidRDefault="0072571C" w:rsidP="00C36A1A">
            <w:pPr>
              <w:spacing w:line="360" w:lineRule="auto"/>
              <w:jc w:val="both"/>
              <w:rPr>
                <w:sz w:val="20"/>
                <w:szCs w:val="20"/>
              </w:rPr>
            </w:pPr>
            <w:r w:rsidRPr="00645297">
              <w:rPr>
                <w:sz w:val="20"/>
                <w:szCs w:val="20"/>
              </w:rPr>
              <w:t>1</w:t>
            </w:r>
          </w:p>
        </w:tc>
        <w:tc>
          <w:tcPr>
            <w:tcW w:w="915" w:type="dxa"/>
          </w:tcPr>
          <w:p w14:paraId="2C9D7231" w14:textId="77777777" w:rsidR="00345B10" w:rsidRPr="00645297" w:rsidRDefault="002C21B4" w:rsidP="00C36A1A">
            <w:pPr>
              <w:spacing w:line="360" w:lineRule="auto"/>
              <w:jc w:val="both"/>
              <w:rPr>
                <w:sz w:val="20"/>
                <w:szCs w:val="20"/>
              </w:rPr>
            </w:pPr>
            <w:r w:rsidRPr="00645297">
              <w:rPr>
                <w:sz w:val="20"/>
                <w:szCs w:val="20"/>
              </w:rPr>
              <w:t>.538*</w:t>
            </w:r>
          </w:p>
        </w:tc>
        <w:tc>
          <w:tcPr>
            <w:tcW w:w="915" w:type="dxa"/>
          </w:tcPr>
          <w:p w14:paraId="16A1C92A" w14:textId="77777777" w:rsidR="00345B10" w:rsidRPr="00645297" w:rsidRDefault="009F0072" w:rsidP="00C36A1A">
            <w:pPr>
              <w:spacing w:line="360" w:lineRule="auto"/>
              <w:jc w:val="both"/>
              <w:rPr>
                <w:sz w:val="20"/>
                <w:szCs w:val="20"/>
              </w:rPr>
            </w:pPr>
            <w:r w:rsidRPr="00645297">
              <w:rPr>
                <w:sz w:val="20"/>
                <w:szCs w:val="20"/>
              </w:rPr>
              <w:t>.315</w:t>
            </w:r>
          </w:p>
        </w:tc>
        <w:tc>
          <w:tcPr>
            <w:tcW w:w="915" w:type="dxa"/>
          </w:tcPr>
          <w:p w14:paraId="5E515817" w14:textId="71DBC1AC" w:rsidR="00345B10" w:rsidRPr="00645297" w:rsidRDefault="002C21B4" w:rsidP="00C36A1A">
            <w:pPr>
              <w:spacing w:line="360" w:lineRule="auto"/>
              <w:jc w:val="both"/>
              <w:rPr>
                <w:sz w:val="20"/>
                <w:szCs w:val="20"/>
              </w:rPr>
            </w:pPr>
            <w:r w:rsidRPr="00645297">
              <w:rPr>
                <w:sz w:val="20"/>
                <w:szCs w:val="20"/>
              </w:rPr>
              <w:t>.325</w:t>
            </w:r>
          </w:p>
        </w:tc>
        <w:tc>
          <w:tcPr>
            <w:tcW w:w="915" w:type="dxa"/>
          </w:tcPr>
          <w:p w14:paraId="5AF5B99E" w14:textId="77777777" w:rsidR="00345B10" w:rsidRPr="00645297" w:rsidRDefault="002C21B4" w:rsidP="00C36A1A">
            <w:pPr>
              <w:spacing w:line="360" w:lineRule="auto"/>
              <w:jc w:val="both"/>
              <w:rPr>
                <w:sz w:val="20"/>
                <w:szCs w:val="20"/>
              </w:rPr>
            </w:pPr>
            <w:r w:rsidRPr="00645297">
              <w:rPr>
                <w:sz w:val="20"/>
                <w:szCs w:val="20"/>
              </w:rPr>
              <w:t>.455</w:t>
            </w:r>
          </w:p>
        </w:tc>
        <w:tc>
          <w:tcPr>
            <w:tcW w:w="915" w:type="dxa"/>
            <w:gridSpan w:val="2"/>
          </w:tcPr>
          <w:p w14:paraId="7FB573AF" w14:textId="77777777" w:rsidR="00345B10" w:rsidRPr="00645297" w:rsidRDefault="009F0072" w:rsidP="00C36A1A">
            <w:pPr>
              <w:spacing w:line="360" w:lineRule="auto"/>
              <w:jc w:val="both"/>
              <w:rPr>
                <w:sz w:val="20"/>
                <w:szCs w:val="20"/>
              </w:rPr>
            </w:pPr>
            <w:r w:rsidRPr="00645297">
              <w:rPr>
                <w:sz w:val="20"/>
                <w:szCs w:val="20"/>
              </w:rPr>
              <w:t>.376</w:t>
            </w:r>
          </w:p>
        </w:tc>
        <w:tc>
          <w:tcPr>
            <w:tcW w:w="915" w:type="dxa"/>
          </w:tcPr>
          <w:p w14:paraId="63432024" w14:textId="4541931C" w:rsidR="00345B10" w:rsidRPr="00645297" w:rsidRDefault="00E454D1" w:rsidP="00C36A1A">
            <w:pPr>
              <w:spacing w:line="360" w:lineRule="auto"/>
              <w:jc w:val="both"/>
              <w:rPr>
                <w:sz w:val="20"/>
                <w:szCs w:val="20"/>
              </w:rPr>
            </w:pPr>
            <w:r w:rsidRPr="00645297">
              <w:rPr>
                <w:sz w:val="20"/>
                <w:szCs w:val="20"/>
              </w:rPr>
              <w:t>.417</w:t>
            </w:r>
          </w:p>
        </w:tc>
      </w:tr>
      <w:tr w:rsidR="00345B10" w:rsidRPr="00645297" w14:paraId="53F550D5" w14:textId="2134F207" w:rsidTr="004B4214">
        <w:tc>
          <w:tcPr>
            <w:tcW w:w="3049" w:type="dxa"/>
          </w:tcPr>
          <w:p w14:paraId="7D191439" w14:textId="3EE2E2E2" w:rsidR="00345B10" w:rsidRPr="00645297" w:rsidRDefault="00345B10" w:rsidP="00C36A1A">
            <w:pPr>
              <w:spacing w:line="360" w:lineRule="auto"/>
              <w:rPr>
                <w:sz w:val="20"/>
                <w:szCs w:val="20"/>
              </w:rPr>
            </w:pPr>
            <w:r w:rsidRPr="00645297">
              <w:rPr>
                <w:sz w:val="20"/>
                <w:szCs w:val="20"/>
              </w:rPr>
              <w:t xml:space="preserve">(3b) Psychotomimetic States Inventory </w:t>
            </w:r>
            <w:r w:rsidR="002537E3" w:rsidRPr="00645297">
              <w:rPr>
                <w:sz w:val="20"/>
                <w:szCs w:val="20"/>
              </w:rPr>
              <w:t xml:space="preserve">– total </w:t>
            </w:r>
            <w:r w:rsidRPr="00645297">
              <w:rPr>
                <w:sz w:val="20"/>
                <w:szCs w:val="20"/>
              </w:rPr>
              <w:t>(T2)</w:t>
            </w:r>
          </w:p>
        </w:tc>
        <w:tc>
          <w:tcPr>
            <w:tcW w:w="914" w:type="dxa"/>
          </w:tcPr>
          <w:p w14:paraId="4629CF5C" w14:textId="77777777" w:rsidR="00345B10" w:rsidRPr="00645297" w:rsidRDefault="0072571C" w:rsidP="00C36A1A">
            <w:pPr>
              <w:spacing w:line="360" w:lineRule="auto"/>
              <w:jc w:val="both"/>
              <w:rPr>
                <w:sz w:val="20"/>
                <w:szCs w:val="20"/>
              </w:rPr>
            </w:pPr>
            <w:r w:rsidRPr="00645297">
              <w:rPr>
                <w:sz w:val="20"/>
                <w:szCs w:val="20"/>
              </w:rPr>
              <w:t>19.06</w:t>
            </w:r>
          </w:p>
        </w:tc>
        <w:tc>
          <w:tcPr>
            <w:tcW w:w="915" w:type="dxa"/>
          </w:tcPr>
          <w:p w14:paraId="4D04D19D" w14:textId="77777777" w:rsidR="00345B10" w:rsidRPr="00645297" w:rsidRDefault="0072571C" w:rsidP="00C36A1A">
            <w:pPr>
              <w:spacing w:line="360" w:lineRule="auto"/>
              <w:jc w:val="both"/>
              <w:rPr>
                <w:sz w:val="20"/>
                <w:szCs w:val="20"/>
              </w:rPr>
            </w:pPr>
            <w:r w:rsidRPr="00645297">
              <w:rPr>
                <w:sz w:val="20"/>
                <w:szCs w:val="20"/>
              </w:rPr>
              <w:t>19.64</w:t>
            </w:r>
          </w:p>
        </w:tc>
        <w:tc>
          <w:tcPr>
            <w:tcW w:w="915" w:type="dxa"/>
          </w:tcPr>
          <w:p w14:paraId="4CEA6208" w14:textId="77777777" w:rsidR="00345B10" w:rsidRPr="00645297" w:rsidRDefault="002C21B4" w:rsidP="00C36A1A">
            <w:pPr>
              <w:spacing w:line="360" w:lineRule="auto"/>
              <w:jc w:val="both"/>
              <w:rPr>
                <w:sz w:val="20"/>
                <w:szCs w:val="20"/>
              </w:rPr>
            </w:pPr>
            <w:r w:rsidRPr="00645297">
              <w:rPr>
                <w:sz w:val="20"/>
                <w:szCs w:val="20"/>
              </w:rPr>
              <w:t>.453</w:t>
            </w:r>
          </w:p>
        </w:tc>
        <w:tc>
          <w:tcPr>
            <w:tcW w:w="915" w:type="dxa"/>
          </w:tcPr>
          <w:p w14:paraId="56BF9942" w14:textId="77777777" w:rsidR="00345B10" w:rsidRPr="00645297" w:rsidRDefault="002C21B4" w:rsidP="00C36A1A">
            <w:pPr>
              <w:spacing w:line="360" w:lineRule="auto"/>
              <w:jc w:val="both"/>
              <w:rPr>
                <w:sz w:val="20"/>
                <w:szCs w:val="20"/>
              </w:rPr>
            </w:pPr>
            <w:r w:rsidRPr="00645297">
              <w:rPr>
                <w:sz w:val="20"/>
                <w:szCs w:val="20"/>
              </w:rPr>
              <w:t>.640**</w:t>
            </w:r>
          </w:p>
        </w:tc>
        <w:tc>
          <w:tcPr>
            <w:tcW w:w="915" w:type="dxa"/>
          </w:tcPr>
          <w:p w14:paraId="0F675657" w14:textId="77777777" w:rsidR="00345B10" w:rsidRPr="00645297" w:rsidRDefault="002C21B4" w:rsidP="00C36A1A">
            <w:pPr>
              <w:spacing w:line="360" w:lineRule="auto"/>
              <w:jc w:val="both"/>
              <w:rPr>
                <w:sz w:val="20"/>
                <w:szCs w:val="20"/>
              </w:rPr>
            </w:pPr>
            <w:r w:rsidRPr="00645297">
              <w:rPr>
                <w:sz w:val="20"/>
                <w:szCs w:val="20"/>
              </w:rPr>
              <w:t>.538*</w:t>
            </w:r>
          </w:p>
        </w:tc>
        <w:tc>
          <w:tcPr>
            <w:tcW w:w="915" w:type="dxa"/>
          </w:tcPr>
          <w:p w14:paraId="0A680786" w14:textId="77777777" w:rsidR="00345B10" w:rsidRPr="00645297" w:rsidRDefault="0072571C" w:rsidP="00C36A1A">
            <w:pPr>
              <w:spacing w:line="360" w:lineRule="auto"/>
              <w:jc w:val="both"/>
              <w:rPr>
                <w:sz w:val="20"/>
                <w:szCs w:val="20"/>
              </w:rPr>
            </w:pPr>
            <w:r w:rsidRPr="00645297">
              <w:rPr>
                <w:sz w:val="20"/>
                <w:szCs w:val="20"/>
              </w:rPr>
              <w:t>1</w:t>
            </w:r>
          </w:p>
        </w:tc>
        <w:tc>
          <w:tcPr>
            <w:tcW w:w="915" w:type="dxa"/>
          </w:tcPr>
          <w:p w14:paraId="72FDB4A2" w14:textId="77777777" w:rsidR="00345B10" w:rsidRPr="00645297" w:rsidRDefault="009F0072" w:rsidP="00C36A1A">
            <w:pPr>
              <w:spacing w:line="360" w:lineRule="auto"/>
              <w:jc w:val="both"/>
              <w:rPr>
                <w:sz w:val="20"/>
                <w:szCs w:val="20"/>
              </w:rPr>
            </w:pPr>
            <w:r w:rsidRPr="00645297">
              <w:rPr>
                <w:sz w:val="20"/>
                <w:szCs w:val="20"/>
              </w:rPr>
              <w:t>.969***</w:t>
            </w:r>
          </w:p>
        </w:tc>
        <w:tc>
          <w:tcPr>
            <w:tcW w:w="915" w:type="dxa"/>
          </w:tcPr>
          <w:p w14:paraId="211DACD1" w14:textId="57AF1677" w:rsidR="00345B10" w:rsidRPr="00645297" w:rsidRDefault="002C21B4" w:rsidP="00C36A1A">
            <w:pPr>
              <w:spacing w:line="360" w:lineRule="auto"/>
              <w:jc w:val="both"/>
              <w:rPr>
                <w:sz w:val="20"/>
                <w:szCs w:val="20"/>
              </w:rPr>
            </w:pPr>
            <w:r w:rsidRPr="00645297">
              <w:rPr>
                <w:sz w:val="20"/>
                <w:szCs w:val="20"/>
              </w:rPr>
              <w:t>.113</w:t>
            </w:r>
          </w:p>
        </w:tc>
        <w:tc>
          <w:tcPr>
            <w:tcW w:w="915" w:type="dxa"/>
          </w:tcPr>
          <w:p w14:paraId="4121683A" w14:textId="77777777" w:rsidR="00345B10" w:rsidRPr="00645297" w:rsidRDefault="002C21B4" w:rsidP="00C36A1A">
            <w:pPr>
              <w:spacing w:line="360" w:lineRule="auto"/>
              <w:jc w:val="both"/>
              <w:rPr>
                <w:sz w:val="20"/>
                <w:szCs w:val="20"/>
              </w:rPr>
            </w:pPr>
            <w:r w:rsidRPr="00645297">
              <w:rPr>
                <w:sz w:val="20"/>
                <w:szCs w:val="20"/>
              </w:rPr>
              <w:t>.804***</w:t>
            </w:r>
          </w:p>
        </w:tc>
        <w:tc>
          <w:tcPr>
            <w:tcW w:w="915" w:type="dxa"/>
            <w:gridSpan w:val="2"/>
          </w:tcPr>
          <w:p w14:paraId="4FEBCA52" w14:textId="77777777" w:rsidR="00345B10" w:rsidRPr="00645297" w:rsidRDefault="009F0072" w:rsidP="00C36A1A">
            <w:pPr>
              <w:spacing w:line="360" w:lineRule="auto"/>
              <w:jc w:val="both"/>
              <w:rPr>
                <w:sz w:val="20"/>
                <w:szCs w:val="20"/>
              </w:rPr>
            </w:pPr>
            <w:r w:rsidRPr="00645297">
              <w:rPr>
                <w:sz w:val="20"/>
                <w:szCs w:val="20"/>
              </w:rPr>
              <w:t>.795***</w:t>
            </w:r>
          </w:p>
        </w:tc>
        <w:tc>
          <w:tcPr>
            <w:tcW w:w="915" w:type="dxa"/>
          </w:tcPr>
          <w:p w14:paraId="0735AE12" w14:textId="6F23EA98" w:rsidR="00345B10" w:rsidRPr="00645297" w:rsidRDefault="00E454D1" w:rsidP="00C36A1A">
            <w:pPr>
              <w:spacing w:line="360" w:lineRule="auto"/>
              <w:jc w:val="both"/>
              <w:rPr>
                <w:sz w:val="20"/>
                <w:szCs w:val="20"/>
              </w:rPr>
            </w:pPr>
            <w:r w:rsidRPr="00645297">
              <w:rPr>
                <w:sz w:val="20"/>
                <w:szCs w:val="20"/>
              </w:rPr>
              <w:t>.832***</w:t>
            </w:r>
          </w:p>
        </w:tc>
      </w:tr>
      <w:tr w:rsidR="00345B10" w:rsidRPr="00645297" w14:paraId="56139A48" w14:textId="77777777" w:rsidTr="004B4214">
        <w:tc>
          <w:tcPr>
            <w:tcW w:w="3049" w:type="dxa"/>
          </w:tcPr>
          <w:p w14:paraId="341039B6" w14:textId="1BBC4B3D" w:rsidR="00345B10" w:rsidRPr="00645297" w:rsidRDefault="00345B10" w:rsidP="00345B10">
            <w:pPr>
              <w:spacing w:line="360" w:lineRule="auto"/>
              <w:rPr>
                <w:sz w:val="20"/>
                <w:szCs w:val="20"/>
              </w:rPr>
            </w:pPr>
            <w:r w:rsidRPr="00645297">
              <w:rPr>
                <w:sz w:val="20"/>
                <w:szCs w:val="20"/>
              </w:rPr>
              <w:t>(3c) Psychotomimetic States Inventory – change (T2-T1)</w:t>
            </w:r>
          </w:p>
        </w:tc>
        <w:tc>
          <w:tcPr>
            <w:tcW w:w="914" w:type="dxa"/>
          </w:tcPr>
          <w:p w14:paraId="6D82D029" w14:textId="77777777" w:rsidR="00345B10" w:rsidRPr="00645297" w:rsidRDefault="009F0072" w:rsidP="00C36A1A">
            <w:pPr>
              <w:spacing w:line="360" w:lineRule="auto"/>
              <w:jc w:val="both"/>
              <w:rPr>
                <w:sz w:val="20"/>
                <w:szCs w:val="20"/>
              </w:rPr>
            </w:pPr>
            <w:r w:rsidRPr="00645297">
              <w:rPr>
                <w:sz w:val="20"/>
                <w:szCs w:val="20"/>
              </w:rPr>
              <w:t>10.53</w:t>
            </w:r>
          </w:p>
        </w:tc>
        <w:tc>
          <w:tcPr>
            <w:tcW w:w="915" w:type="dxa"/>
          </w:tcPr>
          <w:p w14:paraId="4E7894F4" w14:textId="77777777" w:rsidR="00345B10" w:rsidRPr="00645297" w:rsidRDefault="009F0072" w:rsidP="00C36A1A">
            <w:pPr>
              <w:spacing w:line="360" w:lineRule="auto"/>
              <w:jc w:val="both"/>
              <w:rPr>
                <w:sz w:val="20"/>
                <w:szCs w:val="20"/>
              </w:rPr>
            </w:pPr>
            <w:r w:rsidRPr="00645297">
              <w:rPr>
                <w:sz w:val="20"/>
                <w:szCs w:val="20"/>
              </w:rPr>
              <w:t>16.80</w:t>
            </w:r>
          </w:p>
        </w:tc>
        <w:tc>
          <w:tcPr>
            <w:tcW w:w="915" w:type="dxa"/>
          </w:tcPr>
          <w:p w14:paraId="02F72963" w14:textId="77777777" w:rsidR="00345B10" w:rsidRPr="00645297" w:rsidRDefault="009F0072" w:rsidP="00C36A1A">
            <w:pPr>
              <w:spacing w:line="360" w:lineRule="auto"/>
              <w:jc w:val="both"/>
              <w:rPr>
                <w:sz w:val="20"/>
                <w:szCs w:val="20"/>
              </w:rPr>
            </w:pPr>
            <w:r w:rsidRPr="00645297">
              <w:rPr>
                <w:sz w:val="20"/>
                <w:szCs w:val="20"/>
              </w:rPr>
              <w:t>.520*</w:t>
            </w:r>
          </w:p>
        </w:tc>
        <w:tc>
          <w:tcPr>
            <w:tcW w:w="915" w:type="dxa"/>
          </w:tcPr>
          <w:p w14:paraId="5EFB7F26" w14:textId="77777777" w:rsidR="00345B10" w:rsidRPr="00645297" w:rsidRDefault="009F0072" w:rsidP="00C36A1A">
            <w:pPr>
              <w:spacing w:line="360" w:lineRule="auto"/>
              <w:jc w:val="both"/>
              <w:rPr>
                <w:sz w:val="20"/>
                <w:szCs w:val="20"/>
              </w:rPr>
            </w:pPr>
            <w:r w:rsidRPr="00645297">
              <w:rPr>
                <w:sz w:val="20"/>
                <w:szCs w:val="20"/>
              </w:rPr>
              <w:t>.502*</w:t>
            </w:r>
          </w:p>
        </w:tc>
        <w:tc>
          <w:tcPr>
            <w:tcW w:w="915" w:type="dxa"/>
          </w:tcPr>
          <w:p w14:paraId="7149B9E2" w14:textId="77777777" w:rsidR="00345B10" w:rsidRPr="00645297" w:rsidRDefault="009F0072" w:rsidP="00C36A1A">
            <w:pPr>
              <w:spacing w:line="360" w:lineRule="auto"/>
              <w:jc w:val="both"/>
              <w:rPr>
                <w:sz w:val="20"/>
                <w:szCs w:val="20"/>
              </w:rPr>
            </w:pPr>
            <w:r w:rsidRPr="00645297">
              <w:rPr>
                <w:sz w:val="20"/>
                <w:szCs w:val="20"/>
              </w:rPr>
              <w:t>.315</w:t>
            </w:r>
          </w:p>
        </w:tc>
        <w:tc>
          <w:tcPr>
            <w:tcW w:w="915" w:type="dxa"/>
          </w:tcPr>
          <w:p w14:paraId="346D0538" w14:textId="77777777" w:rsidR="00345B10" w:rsidRPr="00645297" w:rsidRDefault="009F0072" w:rsidP="00C36A1A">
            <w:pPr>
              <w:spacing w:line="360" w:lineRule="auto"/>
              <w:jc w:val="both"/>
              <w:rPr>
                <w:sz w:val="20"/>
                <w:szCs w:val="20"/>
              </w:rPr>
            </w:pPr>
            <w:r w:rsidRPr="00645297">
              <w:rPr>
                <w:sz w:val="20"/>
                <w:szCs w:val="20"/>
              </w:rPr>
              <w:t>.969***</w:t>
            </w:r>
          </w:p>
        </w:tc>
        <w:tc>
          <w:tcPr>
            <w:tcW w:w="915" w:type="dxa"/>
          </w:tcPr>
          <w:p w14:paraId="63FD8109" w14:textId="77777777" w:rsidR="00345B10" w:rsidRPr="00645297" w:rsidRDefault="009F0072" w:rsidP="00C36A1A">
            <w:pPr>
              <w:spacing w:line="360" w:lineRule="auto"/>
              <w:jc w:val="both"/>
              <w:rPr>
                <w:sz w:val="20"/>
                <w:szCs w:val="20"/>
              </w:rPr>
            </w:pPr>
            <w:r w:rsidRPr="00645297">
              <w:rPr>
                <w:sz w:val="20"/>
                <w:szCs w:val="20"/>
              </w:rPr>
              <w:t>1</w:t>
            </w:r>
          </w:p>
        </w:tc>
        <w:tc>
          <w:tcPr>
            <w:tcW w:w="915" w:type="dxa"/>
          </w:tcPr>
          <w:p w14:paraId="556E0165" w14:textId="0A07B027" w:rsidR="00345B10" w:rsidRPr="00645297" w:rsidRDefault="009F0072" w:rsidP="00C36A1A">
            <w:pPr>
              <w:spacing w:line="360" w:lineRule="auto"/>
              <w:jc w:val="both"/>
              <w:rPr>
                <w:sz w:val="20"/>
                <w:szCs w:val="20"/>
              </w:rPr>
            </w:pPr>
            <w:r w:rsidRPr="00645297">
              <w:rPr>
                <w:sz w:val="20"/>
                <w:szCs w:val="20"/>
              </w:rPr>
              <w:t>.002</w:t>
            </w:r>
          </w:p>
        </w:tc>
        <w:tc>
          <w:tcPr>
            <w:tcW w:w="915" w:type="dxa"/>
          </w:tcPr>
          <w:p w14:paraId="7838678A" w14:textId="77777777" w:rsidR="00345B10" w:rsidRPr="00645297" w:rsidRDefault="009F0072" w:rsidP="00C36A1A">
            <w:pPr>
              <w:spacing w:line="360" w:lineRule="auto"/>
              <w:jc w:val="both"/>
              <w:rPr>
                <w:sz w:val="20"/>
                <w:szCs w:val="20"/>
              </w:rPr>
            </w:pPr>
            <w:r w:rsidRPr="00645297">
              <w:rPr>
                <w:sz w:val="20"/>
                <w:szCs w:val="20"/>
              </w:rPr>
              <w:t>.759***</w:t>
            </w:r>
          </w:p>
        </w:tc>
        <w:tc>
          <w:tcPr>
            <w:tcW w:w="915" w:type="dxa"/>
            <w:gridSpan w:val="2"/>
          </w:tcPr>
          <w:p w14:paraId="388E453B" w14:textId="77777777" w:rsidR="00345B10" w:rsidRPr="00645297" w:rsidRDefault="009F0072" w:rsidP="00C36A1A">
            <w:pPr>
              <w:spacing w:line="360" w:lineRule="auto"/>
              <w:jc w:val="both"/>
              <w:rPr>
                <w:sz w:val="20"/>
                <w:szCs w:val="20"/>
              </w:rPr>
            </w:pPr>
            <w:r w:rsidRPr="00645297">
              <w:rPr>
                <w:sz w:val="20"/>
                <w:szCs w:val="20"/>
              </w:rPr>
              <w:t>.774***</w:t>
            </w:r>
          </w:p>
        </w:tc>
        <w:tc>
          <w:tcPr>
            <w:tcW w:w="915" w:type="dxa"/>
          </w:tcPr>
          <w:p w14:paraId="26E90FE5" w14:textId="23BD846E" w:rsidR="00345B10" w:rsidRPr="00645297" w:rsidRDefault="009F0072" w:rsidP="00C36A1A">
            <w:pPr>
              <w:spacing w:line="360" w:lineRule="auto"/>
              <w:jc w:val="both"/>
              <w:rPr>
                <w:sz w:val="20"/>
                <w:szCs w:val="20"/>
              </w:rPr>
            </w:pPr>
            <w:r w:rsidRPr="00645297">
              <w:rPr>
                <w:sz w:val="20"/>
                <w:szCs w:val="20"/>
              </w:rPr>
              <w:t>.806***</w:t>
            </w:r>
          </w:p>
        </w:tc>
      </w:tr>
      <w:tr w:rsidR="00345B10" w:rsidRPr="00645297" w14:paraId="1F838C3E" w14:textId="31638C82" w:rsidTr="004B4214">
        <w:tc>
          <w:tcPr>
            <w:tcW w:w="3049" w:type="dxa"/>
          </w:tcPr>
          <w:p w14:paraId="3EDB0A2E" w14:textId="2126C342" w:rsidR="00345B10" w:rsidRPr="00645297" w:rsidRDefault="00345B10" w:rsidP="00C36A1A">
            <w:pPr>
              <w:spacing w:line="360" w:lineRule="auto"/>
              <w:rPr>
                <w:sz w:val="20"/>
                <w:szCs w:val="20"/>
              </w:rPr>
            </w:pPr>
            <w:r w:rsidRPr="00645297">
              <w:rPr>
                <w:sz w:val="20"/>
                <w:szCs w:val="20"/>
              </w:rPr>
              <w:t xml:space="preserve">(4a) Positive and Negative Symptom Scale </w:t>
            </w:r>
            <w:r w:rsidR="002537E3" w:rsidRPr="00645297">
              <w:rPr>
                <w:sz w:val="20"/>
                <w:szCs w:val="20"/>
              </w:rPr>
              <w:t xml:space="preserve">– total </w:t>
            </w:r>
            <w:r w:rsidRPr="00645297">
              <w:rPr>
                <w:sz w:val="20"/>
                <w:szCs w:val="20"/>
              </w:rPr>
              <w:t>(T1)</w:t>
            </w:r>
          </w:p>
        </w:tc>
        <w:tc>
          <w:tcPr>
            <w:tcW w:w="914" w:type="dxa"/>
          </w:tcPr>
          <w:p w14:paraId="7422583B" w14:textId="77777777" w:rsidR="00345B10" w:rsidRPr="00645297" w:rsidRDefault="002C21B4" w:rsidP="00C36A1A">
            <w:pPr>
              <w:spacing w:line="360" w:lineRule="auto"/>
              <w:jc w:val="both"/>
              <w:rPr>
                <w:sz w:val="20"/>
                <w:szCs w:val="20"/>
              </w:rPr>
            </w:pPr>
            <w:r w:rsidRPr="00645297">
              <w:rPr>
                <w:sz w:val="20"/>
                <w:szCs w:val="20"/>
              </w:rPr>
              <w:t>30.90</w:t>
            </w:r>
          </w:p>
        </w:tc>
        <w:tc>
          <w:tcPr>
            <w:tcW w:w="915" w:type="dxa"/>
          </w:tcPr>
          <w:p w14:paraId="649FC13F" w14:textId="77777777" w:rsidR="00345B10" w:rsidRPr="00645297" w:rsidRDefault="002C21B4" w:rsidP="00C36A1A">
            <w:pPr>
              <w:spacing w:line="360" w:lineRule="auto"/>
              <w:jc w:val="both"/>
              <w:rPr>
                <w:sz w:val="20"/>
                <w:szCs w:val="20"/>
              </w:rPr>
            </w:pPr>
            <w:r w:rsidRPr="00645297">
              <w:rPr>
                <w:sz w:val="20"/>
                <w:szCs w:val="20"/>
              </w:rPr>
              <w:t>1.25</w:t>
            </w:r>
          </w:p>
        </w:tc>
        <w:tc>
          <w:tcPr>
            <w:tcW w:w="915" w:type="dxa"/>
          </w:tcPr>
          <w:p w14:paraId="5FC58ACA" w14:textId="77777777" w:rsidR="00345B10" w:rsidRPr="00645297" w:rsidRDefault="002C21B4" w:rsidP="00C36A1A">
            <w:pPr>
              <w:spacing w:line="360" w:lineRule="auto"/>
              <w:jc w:val="both"/>
              <w:rPr>
                <w:sz w:val="20"/>
                <w:szCs w:val="20"/>
              </w:rPr>
            </w:pPr>
            <w:r w:rsidRPr="00645297">
              <w:rPr>
                <w:sz w:val="20"/>
                <w:szCs w:val="20"/>
              </w:rPr>
              <w:t>.243</w:t>
            </w:r>
          </w:p>
        </w:tc>
        <w:tc>
          <w:tcPr>
            <w:tcW w:w="915" w:type="dxa"/>
          </w:tcPr>
          <w:p w14:paraId="386A5FB8" w14:textId="77777777" w:rsidR="00345B10" w:rsidRPr="00645297" w:rsidRDefault="002C21B4" w:rsidP="00C36A1A">
            <w:pPr>
              <w:spacing w:line="360" w:lineRule="auto"/>
              <w:jc w:val="both"/>
              <w:rPr>
                <w:sz w:val="20"/>
                <w:szCs w:val="20"/>
              </w:rPr>
            </w:pPr>
            <w:r w:rsidRPr="00645297">
              <w:rPr>
                <w:sz w:val="20"/>
                <w:szCs w:val="20"/>
              </w:rPr>
              <w:t>.128</w:t>
            </w:r>
          </w:p>
        </w:tc>
        <w:tc>
          <w:tcPr>
            <w:tcW w:w="915" w:type="dxa"/>
          </w:tcPr>
          <w:p w14:paraId="63E6E4BE" w14:textId="77777777" w:rsidR="00345B10" w:rsidRPr="00645297" w:rsidRDefault="002C21B4" w:rsidP="00C36A1A">
            <w:pPr>
              <w:spacing w:line="360" w:lineRule="auto"/>
              <w:jc w:val="both"/>
              <w:rPr>
                <w:sz w:val="20"/>
                <w:szCs w:val="20"/>
              </w:rPr>
            </w:pPr>
            <w:r w:rsidRPr="00645297">
              <w:rPr>
                <w:sz w:val="20"/>
                <w:szCs w:val="20"/>
              </w:rPr>
              <w:t>.325</w:t>
            </w:r>
          </w:p>
        </w:tc>
        <w:tc>
          <w:tcPr>
            <w:tcW w:w="915" w:type="dxa"/>
          </w:tcPr>
          <w:p w14:paraId="2BE23121" w14:textId="77777777" w:rsidR="00345B10" w:rsidRPr="00645297" w:rsidRDefault="002C21B4" w:rsidP="00C36A1A">
            <w:pPr>
              <w:spacing w:line="360" w:lineRule="auto"/>
              <w:jc w:val="both"/>
              <w:rPr>
                <w:sz w:val="20"/>
                <w:szCs w:val="20"/>
              </w:rPr>
            </w:pPr>
            <w:r w:rsidRPr="00645297">
              <w:rPr>
                <w:sz w:val="20"/>
                <w:szCs w:val="20"/>
              </w:rPr>
              <w:t>.113</w:t>
            </w:r>
          </w:p>
        </w:tc>
        <w:tc>
          <w:tcPr>
            <w:tcW w:w="915" w:type="dxa"/>
          </w:tcPr>
          <w:p w14:paraId="790C3A8D" w14:textId="77777777" w:rsidR="00345B10" w:rsidRPr="00645297" w:rsidRDefault="009F0072" w:rsidP="00C36A1A">
            <w:pPr>
              <w:spacing w:line="360" w:lineRule="auto"/>
              <w:jc w:val="both"/>
              <w:rPr>
                <w:sz w:val="20"/>
                <w:szCs w:val="20"/>
              </w:rPr>
            </w:pPr>
            <w:r w:rsidRPr="00645297">
              <w:rPr>
                <w:sz w:val="20"/>
                <w:szCs w:val="20"/>
              </w:rPr>
              <w:t>.002</w:t>
            </w:r>
          </w:p>
        </w:tc>
        <w:tc>
          <w:tcPr>
            <w:tcW w:w="915" w:type="dxa"/>
          </w:tcPr>
          <w:p w14:paraId="441C64AB" w14:textId="0F4C314E" w:rsidR="00345B10" w:rsidRPr="00645297" w:rsidRDefault="002C21B4" w:rsidP="00C36A1A">
            <w:pPr>
              <w:spacing w:line="360" w:lineRule="auto"/>
              <w:jc w:val="both"/>
              <w:rPr>
                <w:sz w:val="20"/>
                <w:szCs w:val="20"/>
              </w:rPr>
            </w:pPr>
            <w:r w:rsidRPr="00645297">
              <w:rPr>
                <w:sz w:val="20"/>
                <w:szCs w:val="20"/>
              </w:rPr>
              <w:t>1</w:t>
            </w:r>
          </w:p>
        </w:tc>
        <w:tc>
          <w:tcPr>
            <w:tcW w:w="915" w:type="dxa"/>
          </w:tcPr>
          <w:p w14:paraId="07E398F1" w14:textId="77777777" w:rsidR="00345B10" w:rsidRPr="00645297" w:rsidRDefault="002C21B4" w:rsidP="00C36A1A">
            <w:pPr>
              <w:spacing w:line="360" w:lineRule="auto"/>
              <w:jc w:val="both"/>
              <w:rPr>
                <w:sz w:val="20"/>
                <w:szCs w:val="20"/>
              </w:rPr>
            </w:pPr>
            <w:r w:rsidRPr="00645297">
              <w:rPr>
                <w:sz w:val="20"/>
                <w:szCs w:val="20"/>
              </w:rPr>
              <w:t>.188</w:t>
            </w:r>
          </w:p>
        </w:tc>
        <w:tc>
          <w:tcPr>
            <w:tcW w:w="915" w:type="dxa"/>
            <w:gridSpan w:val="2"/>
          </w:tcPr>
          <w:p w14:paraId="14349C81" w14:textId="77777777" w:rsidR="00345B10" w:rsidRPr="00645297" w:rsidRDefault="009F0072" w:rsidP="00C36A1A">
            <w:pPr>
              <w:spacing w:line="360" w:lineRule="auto"/>
              <w:jc w:val="both"/>
              <w:rPr>
                <w:sz w:val="20"/>
                <w:szCs w:val="20"/>
              </w:rPr>
            </w:pPr>
            <w:r w:rsidRPr="00645297">
              <w:rPr>
                <w:sz w:val="20"/>
                <w:szCs w:val="20"/>
              </w:rPr>
              <w:t>-.028</w:t>
            </w:r>
          </w:p>
        </w:tc>
        <w:tc>
          <w:tcPr>
            <w:tcW w:w="915" w:type="dxa"/>
          </w:tcPr>
          <w:p w14:paraId="59BB929B" w14:textId="77777777" w:rsidR="002C21B4" w:rsidRPr="00645297" w:rsidRDefault="002C21B4" w:rsidP="00C36A1A">
            <w:pPr>
              <w:spacing w:line="360" w:lineRule="auto"/>
              <w:jc w:val="both"/>
              <w:rPr>
                <w:sz w:val="20"/>
                <w:szCs w:val="20"/>
              </w:rPr>
            </w:pPr>
          </w:p>
          <w:p w14:paraId="531211E5" w14:textId="4502B709" w:rsidR="00345B10" w:rsidRPr="00645297" w:rsidRDefault="00E454D1" w:rsidP="00C36A1A">
            <w:pPr>
              <w:spacing w:line="360" w:lineRule="auto"/>
              <w:jc w:val="both"/>
              <w:rPr>
                <w:sz w:val="20"/>
                <w:szCs w:val="20"/>
              </w:rPr>
            </w:pPr>
            <w:r w:rsidRPr="00645297">
              <w:rPr>
                <w:sz w:val="20"/>
                <w:szCs w:val="20"/>
              </w:rPr>
              <w:t>.141</w:t>
            </w:r>
          </w:p>
        </w:tc>
      </w:tr>
      <w:tr w:rsidR="00345B10" w:rsidRPr="00645297" w14:paraId="485CB6C0" w14:textId="774560A5" w:rsidTr="004B4214">
        <w:tc>
          <w:tcPr>
            <w:tcW w:w="3049" w:type="dxa"/>
          </w:tcPr>
          <w:p w14:paraId="0725FCDA" w14:textId="671D7592" w:rsidR="00345B10" w:rsidRPr="00645297" w:rsidRDefault="00345B10" w:rsidP="00C36A1A">
            <w:pPr>
              <w:spacing w:line="360" w:lineRule="auto"/>
              <w:rPr>
                <w:sz w:val="20"/>
                <w:szCs w:val="20"/>
              </w:rPr>
            </w:pPr>
            <w:r w:rsidRPr="00645297">
              <w:rPr>
                <w:sz w:val="20"/>
                <w:szCs w:val="20"/>
              </w:rPr>
              <w:t xml:space="preserve">(4b) Positive and Negative Symptom Scale </w:t>
            </w:r>
            <w:r w:rsidR="002537E3" w:rsidRPr="00645297">
              <w:rPr>
                <w:sz w:val="20"/>
                <w:szCs w:val="20"/>
              </w:rPr>
              <w:t xml:space="preserve">– total </w:t>
            </w:r>
            <w:r w:rsidRPr="00645297">
              <w:rPr>
                <w:sz w:val="20"/>
                <w:szCs w:val="20"/>
              </w:rPr>
              <w:t>(T2)</w:t>
            </w:r>
          </w:p>
        </w:tc>
        <w:tc>
          <w:tcPr>
            <w:tcW w:w="914" w:type="dxa"/>
          </w:tcPr>
          <w:p w14:paraId="5761EC78" w14:textId="77777777" w:rsidR="00345B10" w:rsidRPr="00645297" w:rsidRDefault="002C21B4" w:rsidP="00C36A1A">
            <w:pPr>
              <w:spacing w:line="360" w:lineRule="auto"/>
              <w:jc w:val="both"/>
              <w:rPr>
                <w:sz w:val="20"/>
                <w:szCs w:val="20"/>
              </w:rPr>
            </w:pPr>
            <w:r w:rsidRPr="00645297">
              <w:rPr>
                <w:sz w:val="20"/>
                <w:szCs w:val="20"/>
              </w:rPr>
              <w:t>34.00</w:t>
            </w:r>
          </w:p>
        </w:tc>
        <w:tc>
          <w:tcPr>
            <w:tcW w:w="915" w:type="dxa"/>
          </w:tcPr>
          <w:p w14:paraId="62B9970D" w14:textId="77777777" w:rsidR="00345B10" w:rsidRPr="00645297" w:rsidRDefault="002C21B4" w:rsidP="00C36A1A">
            <w:pPr>
              <w:spacing w:line="360" w:lineRule="auto"/>
              <w:jc w:val="both"/>
              <w:rPr>
                <w:sz w:val="20"/>
                <w:szCs w:val="20"/>
              </w:rPr>
            </w:pPr>
            <w:r w:rsidRPr="00645297">
              <w:rPr>
                <w:sz w:val="20"/>
                <w:szCs w:val="20"/>
              </w:rPr>
              <w:t>5.80</w:t>
            </w:r>
          </w:p>
        </w:tc>
        <w:tc>
          <w:tcPr>
            <w:tcW w:w="915" w:type="dxa"/>
          </w:tcPr>
          <w:p w14:paraId="04E4B74D" w14:textId="77777777" w:rsidR="00345B10" w:rsidRPr="00645297" w:rsidRDefault="002C21B4" w:rsidP="00C36A1A">
            <w:pPr>
              <w:spacing w:line="360" w:lineRule="auto"/>
              <w:jc w:val="both"/>
              <w:rPr>
                <w:sz w:val="20"/>
                <w:szCs w:val="20"/>
              </w:rPr>
            </w:pPr>
            <w:r w:rsidRPr="00645297">
              <w:rPr>
                <w:sz w:val="20"/>
                <w:szCs w:val="20"/>
              </w:rPr>
              <w:t>.555*</w:t>
            </w:r>
          </w:p>
        </w:tc>
        <w:tc>
          <w:tcPr>
            <w:tcW w:w="915" w:type="dxa"/>
          </w:tcPr>
          <w:p w14:paraId="5558B5D3" w14:textId="77777777" w:rsidR="00345B10" w:rsidRPr="00645297" w:rsidRDefault="002C21B4" w:rsidP="00C36A1A">
            <w:pPr>
              <w:spacing w:line="360" w:lineRule="auto"/>
              <w:jc w:val="both"/>
              <w:rPr>
                <w:sz w:val="20"/>
                <w:szCs w:val="20"/>
              </w:rPr>
            </w:pPr>
            <w:r w:rsidRPr="00645297">
              <w:rPr>
                <w:sz w:val="20"/>
                <w:szCs w:val="20"/>
              </w:rPr>
              <w:t>.510*</w:t>
            </w:r>
          </w:p>
        </w:tc>
        <w:tc>
          <w:tcPr>
            <w:tcW w:w="915" w:type="dxa"/>
          </w:tcPr>
          <w:p w14:paraId="474449FA" w14:textId="77777777" w:rsidR="00345B10" w:rsidRPr="00645297" w:rsidRDefault="002C21B4" w:rsidP="00C36A1A">
            <w:pPr>
              <w:spacing w:line="360" w:lineRule="auto"/>
              <w:jc w:val="both"/>
              <w:rPr>
                <w:sz w:val="20"/>
                <w:szCs w:val="20"/>
              </w:rPr>
            </w:pPr>
            <w:r w:rsidRPr="00645297">
              <w:rPr>
                <w:sz w:val="20"/>
                <w:szCs w:val="20"/>
              </w:rPr>
              <w:t>.455</w:t>
            </w:r>
          </w:p>
        </w:tc>
        <w:tc>
          <w:tcPr>
            <w:tcW w:w="915" w:type="dxa"/>
          </w:tcPr>
          <w:p w14:paraId="21D6CBFF" w14:textId="77777777" w:rsidR="00345B10" w:rsidRPr="00645297" w:rsidRDefault="002C21B4" w:rsidP="00C36A1A">
            <w:pPr>
              <w:spacing w:line="360" w:lineRule="auto"/>
              <w:jc w:val="both"/>
              <w:rPr>
                <w:sz w:val="20"/>
                <w:szCs w:val="20"/>
              </w:rPr>
            </w:pPr>
            <w:r w:rsidRPr="00645297">
              <w:rPr>
                <w:sz w:val="20"/>
                <w:szCs w:val="20"/>
              </w:rPr>
              <w:t>.804***</w:t>
            </w:r>
          </w:p>
        </w:tc>
        <w:tc>
          <w:tcPr>
            <w:tcW w:w="915" w:type="dxa"/>
          </w:tcPr>
          <w:p w14:paraId="5B6235F9" w14:textId="77777777" w:rsidR="00345B10" w:rsidRPr="00645297" w:rsidRDefault="009F0072" w:rsidP="00C36A1A">
            <w:pPr>
              <w:spacing w:line="360" w:lineRule="auto"/>
              <w:jc w:val="both"/>
              <w:rPr>
                <w:sz w:val="20"/>
                <w:szCs w:val="20"/>
              </w:rPr>
            </w:pPr>
            <w:r w:rsidRPr="00645297">
              <w:rPr>
                <w:sz w:val="20"/>
                <w:szCs w:val="20"/>
              </w:rPr>
              <w:t>.759***</w:t>
            </w:r>
          </w:p>
        </w:tc>
        <w:tc>
          <w:tcPr>
            <w:tcW w:w="915" w:type="dxa"/>
          </w:tcPr>
          <w:p w14:paraId="3BEF54A4" w14:textId="652F1C6C" w:rsidR="00345B10" w:rsidRPr="00645297" w:rsidRDefault="002C21B4" w:rsidP="00C36A1A">
            <w:pPr>
              <w:spacing w:line="360" w:lineRule="auto"/>
              <w:jc w:val="both"/>
              <w:rPr>
                <w:sz w:val="20"/>
                <w:szCs w:val="20"/>
              </w:rPr>
            </w:pPr>
            <w:r w:rsidRPr="00645297">
              <w:rPr>
                <w:sz w:val="20"/>
                <w:szCs w:val="20"/>
              </w:rPr>
              <w:t>.188</w:t>
            </w:r>
          </w:p>
        </w:tc>
        <w:tc>
          <w:tcPr>
            <w:tcW w:w="915" w:type="dxa"/>
          </w:tcPr>
          <w:p w14:paraId="5E5AC4F3" w14:textId="77777777" w:rsidR="00345B10" w:rsidRPr="00645297" w:rsidRDefault="002C21B4" w:rsidP="00C36A1A">
            <w:pPr>
              <w:spacing w:line="360" w:lineRule="auto"/>
              <w:jc w:val="both"/>
              <w:rPr>
                <w:sz w:val="20"/>
                <w:szCs w:val="20"/>
              </w:rPr>
            </w:pPr>
            <w:r w:rsidRPr="00645297">
              <w:rPr>
                <w:sz w:val="20"/>
                <w:szCs w:val="20"/>
              </w:rPr>
              <w:t>1</w:t>
            </w:r>
          </w:p>
        </w:tc>
        <w:tc>
          <w:tcPr>
            <w:tcW w:w="915" w:type="dxa"/>
            <w:gridSpan w:val="2"/>
          </w:tcPr>
          <w:p w14:paraId="4FFCB88D" w14:textId="77777777" w:rsidR="00345B10" w:rsidRPr="00645297" w:rsidRDefault="009F0072" w:rsidP="00C36A1A">
            <w:pPr>
              <w:spacing w:line="360" w:lineRule="auto"/>
              <w:jc w:val="both"/>
              <w:rPr>
                <w:sz w:val="20"/>
                <w:szCs w:val="20"/>
              </w:rPr>
            </w:pPr>
            <w:r w:rsidRPr="00645297">
              <w:rPr>
                <w:sz w:val="20"/>
                <w:szCs w:val="20"/>
              </w:rPr>
              <w:t>.976***</w:t>
            </w:r>
          </w:p>
        </w:tc>
        <w:tc>
          <w:tcPr>
            <w:tcW w:w="915" w:type="dxa"/>
          </w:tcPr>
          <w:p w14:paraId="3B998DB5" w14:textId="4164B83C" w:rsidR="00345B10" w:rsidRPr="00645297" w:rsidRDefault="00E454D1" w:rsidP="00C36A1A">
            <w:pPr>
              <w:spacing w:line="360" w:lineRule="auto"/>
              <w:jc w:val="both"/>
              <w:rPr>
                <w:sz w:val="20"/>
                <w:szCs w:val="20"/>
              </w:rPr>
            </w:pPr>
            <w:r w:rsidRPr="00645297">
              <w:rPr>
                <w:sz w:val="20"/>
                <w:szCs w:val="20"/>
              </w:rPr>
              <w:t>.795***</w:t>
            </w:r>
          </w:p>
        </w:tc>
      </w:tr>
      <w:tr w:rsidR="00345B10" w:rsidRPr="00645297" w14:paraId="3ADCF460" w14:textId="77777777" w:rsidTr="004B4214">
        <w:tc>
          <w:tcPr>
            <w:tcW w:w="3049" w:type="dxa"/>
          </w:tcPr>
          <w:p w14:paraId="2F93BA7E" w14:textId="1D8CA9EE" w:rsidR="00345B10" w:rsidRPr="00645297" w:rsidRDefault="00345B10" w:rsidP="00C36A1A">
            <w:pPr>
              <w:spacing w:line="360" w:lineRule="auto"/>
              <w:rPr>
                <w:sz w:val="20"/>
                <w:szCs w:val="20"/>
              </w:rPr>
            </w:pPr>
            <w:r w:rsidRPr="00645297">
              <w:rPr>
                <w:sz w:val="20"/>
                <w:szCs w:val="20"/>
              </w:rPr>
              <w:t>(4c) Positive and Negative Symptom Scale – change (T2-T1)</w:t>
            </w:r>
          </w:p>
        </w:tc>
        <w:tc>
          <w:tcPr>
            <w:tcW w:w="914" w:type="dxa"/>
          </w:tcPr>
          <w:p w14:paraId="51663556" w14:textId="77777777" w:rsidR="00345B10" w:rsidRPr="00645297" w:rsidRDefault="009F0072" w:rsidP="00C36A1A">
            <w:pPr>
              <w:spacing w:line="360" w:lineRule="auto"/>
              <w:jc w:val="both"/>
              <w:rPr>
                <w:sz w:val="20"/>
                <w:szCs w:val="20"/>
              </w:rPr>
            </w:pPr>
            <w:r w:rsidRPr="00645297">
              <w:rPr>
                <w:sz w:val="20"/>
                <w:szCs w:val="20"/>
              </w:rPr>
              <w:t>3.10</w:t>
            </w:r>
          </w:p>
        </w:tc>
        <w:tc>
          <w:tcPr>
            <w:tcW w:w="915" w:type="dxa"/>
          </w:tcPr>
          <w:p w14:paraId="5918FB9B" w14:textId="77777777" w:rsidR="00345B10" w:rsidRPr="00645297" w:rsidRDefault="009F0072" w:rsidP="00C36A1A">
            <w:pPr>
              <w:spacing w:line="360" w:lineRule="auto"/>
              <w:jc w:val="both"/>
              <w:rPr>
                <w:sz w:val="20"/>
                <w:szCs w:val="20"/>
              </w:rPr>
            </w:pPr>
            <w:r w:rsidRPr="00645297">
              <w:rPr>
                <w:sz w:val="20"/>
                <w:szCs w:val="20"/>
              </w:rPr>
              <w:t>5.70</w:t>
            </w:r>
          </w:p>
        </w:tc>
        <w:tc>
          <w:tcPr>
            <w:tcW w:w="915" w:type="dxa"/>
          </w:tcPr>
          <w:p w14:paraId="2E796192" w14:textId="77777777" w:rsidR="00345B10" w:rsidRPr="00645297" w:rsidRDefault="009F0072" w:rsidP="00C36A1A">
            <w:pPr>
              <w:spacing w:line="360" w:lineRule="auto"/>
              <w:jc w:val="both"/>
              <w:rPr>
                <w:sz w:val="20"/>
                <w:szCs w:val="20"/>
              </w:rPr>
            </w:pPr>
            <w:r w:rsidRPr="00645297">
              <w:rPr>
                <w:sz w:val="20"/>
                <w:szCs w:val="20"/>
              </w:rPr>
              <w:t>.511*</w:t>
            </w:r>
          </w:p>
        </w:tc>
        <w:tc>
          <w:tcPr>
            <w:tcW w:w="915" w:type="dxa"/>
          </w:tcPr>
          <w:p w14:paraId="01A0E5F9" w14:textId="77777777" w:rsidR="00345B10" w:rsidRPr="00645297" w:rsidRDefault="009F0072" w:rsidP="00C36A1A">
            <w:pPr>
              <w:spacing w:line="360" w:lineRule="auto"/>
              <w:jc w:val="both"/>
              <w:rPr>
                <w:sz w:val="20"/>
                <w:szCs w:val="20"/>
              </w:rPr>
            </w:pPr>
            <w:r w:rsidRPr="00645297">
              <w:rPr>
                <w:sz w:val="20"/>
                <w:szCs w:val="20"/>
              </w:rPr>
              <w:t>.491*</w:t>
            </w:r>
          </w:p>
        </w:tc>
        <w:tc>
          <w:tcPr>
            <w:tcW w:w="915" w:type="dxa"/>
          </w:tcPr>
          <w:p w14:paraId="14A34352" w14:textId="77777777" w:rsidR="00345B10" w:rsidRPr="00645297" w:rsidRDefault="009F0072" w:rsidP="00C36A1A">
            <w:pPr>
              <w:spacing w:line="360" w:lineRule="auto"/>
              <w:jc w:val="both"/>
              <w:rPr>
                <w:sz w:val="20"/>
                <w:szCs w:val="20"/>
              </w:rPr>
            </w:pPr>
            <w:r w:rsidRPr="00645297">
              <w:rPr>
                <w:sz w:val="20"/>
                <w:szCs w:val="20"/>
              </w:rPr>
              <w:t>.376</w:t>
            </w:r>
          </w:p>
        </w:tc>
        <w:tc>
          <w:tcPr>
            <w:tcW w:w="915" w:type="dxa"/>
          </w:tcPr>
          <w:p w14:paraId="565A6DAA" w14:textId="77777777" w:rsidR="00345B10" w:rsidRPr="00645297" w:rsidRDefault="009F0072" w:rsidP="00C36A1A">
            <w:pPr>
              <w:spacing w:line="360" w:lineRule="auto"/>
              <w:jc w:val="both"/>
              <w:rPr>
                <w:sz w:val="20"/>
                <w:szCs w:val="20"/>
              </w:rPr>
            </w:pPr>
            <w:r w:rsidRPr="00645297">
              <w:rPr>
                <w:sz w:val="20"/>
                <w:szCs w:val="20"/>
              </w:rPr>
              <w:t>.795***</w:t>
            </w:r>
          </w:p>
        </w:tc>
        <w:tc>
          <w:tcPr>
            <w:tcW w:w="915" w:type="dxa"/>
          </w:tcPr>
          <w:p w14:paraId="3A99367B" w14:textId="77777777" w:rsidR="00345B10" w:rsidRPr="00645297" w:rsidRDefault="009F0072" w:rsidP="00C36A1A">
            <w:pPr>
              <w:spacing w:line="360" w:lineRule="auto"/>
              <w:jc w:val="both"/>
              <w:rPr>
                <w:sz w:val="20"/>
                <w:szCs w:val="20"/>
              </w:rPr>
            </w:pPr>
            <w:r w:rsidRPr="00645297">
              <w:rPr>
                <w:sz w:val="20"/>
                <w:szCs w:val="20"/>
              </w:rPr>
              <w:t>.774***</w:t>
            </w:r>
          </w:p>
        </w:tc>
        <w:tc>
          <w:tcPr>
            <w:tcW w:w="915" w:type="dxa"/>
          </w:tcPr>
          <w:p w14:paraId="662E0608" w14:textId="61BD6A05" w:rsidR="00345B10" w:rsidRPr="00645297" w:rsidRDefault="009F0072" w:rsidP="00C36A1A">
            <w:pPr>
              <w:spacing w:line="360" w:lineRule="auto"/>
              <w:jc w:val="both"/>
              <w:rPr>
                <w:sz w:val="20"/>
                <w:szCs w:val="20"/>
              </w:rPr>
            </w:pPr>
            <w:r w:rsidRPr="00645297">
              <w:rPr>
                <w:sz w:val="20"/>
                <w:szCs w:val="20"/>
              </w:rPr>
              <w:t>-.028</w:t>
            </w:r>
          </w:p>
        </w:tc>
        <w:tc>
          <w:tcPr>
            <w:tcW w:w="915" w:type="dxa"/>
          </w:tcPr>
          <w:p w14:paraId="0EAA5F63" w14:textId="77777777" w:rsidR="00345B10" w:rsidRPr="00645297" w:rsidRDefault="009F0072" w:rsidP="00C36A1A">
            <w:pPr>
              <w:spacing w:line="360" w:lineRule="auto"/>
              <w:jc w:val="both"/>
              <w:rPr>
                <w:sz w:val="20"/>
                <w:szCs w:val="20"/>
              </w:rPr>
            </w:pPr>
            <w:r w:rsidRPr="00645297">
              <w:rPr>
                <w:sz w:val="20"/>
                <w:szCs w:val="20"/>
              </w:rPr>
              <w:t>.976***</w:t>
            </w:r>
          </w:p>
        </w:tc>
        <w:tc>
          <w:tcPr>
            <w:tcW w:w="915" w:type="dxa"/>
            <w:gridSpan w:val="2"/>
          </w:tcPr>
          <w:p w14:paraId="2D3E03D8" w14:textId="77777777" w:rsidR="00345B10" w:rsidRPr="00645297" w:rsidRDefault="002C21B4" w:rsidP="00C36A1A">
            <w:pPr>
              <w:spacing w:line="360" w:lineRule="auto"/>
              <w:jc w:val="both"/>
              <w:rPr>
                <w:sz w:val="20"/>
                <w:szCs w:val="20"/>
              </w:rPr>
            </w:pPr>
            <w:r w:rsidRPr="00645297">
              <w:rPr>
                <w:sz w:val="20"/>
                <w:szCs w:val="20"/>
              </w:rPr>
              <w:t>1</w:t>
            </w:r>
          </w:p>
        </w:tc>
        <w:tc>
          <w:tcPr>
            <w:tcW w:w="915" w:type="dxa"/>
          </w:tcPr>
          <w:p w14:paraId="391A23D2" w14:textId="2D40E280" w:rsidR="00345B10" w:rsidRPr="00645297" w:rsidRDefault="009F0072" w:rsidP="00C36A1A">
            <w:pPr>
              <w:spacing w:line="360" w:lineRule="auto"/>
              <w:jc w:val="both"/>
              <w:rPr>
                <w:sz w:val="20"/>
                <w:szCs w:val="20"/>
              </w:rPr>
            </w:pPr>
            <w:r w:rsidRPr="00645297">
              <w:rPr>
                <w:sz w:val="20"/>
                <w:szCs w:val="20"/>
              </w:rPr>
              <w:t>.779***</w:t>
            </w:r>
          </w:p>
        </w:tc>
      </w:tr>
      <w:tr w:rsidR="00345B10" w:rsidRPr="00645297" w14:paraId="1CCA43EC" w14:textId="0CDE24A9" w:rsidTr="004B4214">
        <w:tc>
          <w:tcPr>
            <w:tcW w:w="3049" w:type="dxa"/>
          </w:tcPr>
          <w:p w14:paraId="14A7E46B" w14:textId="56FC28FE" w:rsidR="00345B10" w:rsidRPr="00645297" w:rsidRDefault="00345B10" w:rsidP="00C36A1A">
            <w:pPr>
              <w:spacing w:line="360" w:lineRule="auto"/>
              <w:rPr>
                <w:sz w:val="20"/>
                <w:szCs w:val="20"/>
              </w:rPr>
            </w:pPr>
            <w:r w:rsidRPr="00645297">
              <w:rPr>
                <w:sz w:val="20"/>
                <w:szCs w:val="20"/>
              </w:rPr>
              <w:t>(5) State Cognitive Fusion Questionnaire</w:t>
            </w:r>
          </w:p>
        </w:tc>
        <w:tc>
          <w:tcPr>
            <w:tcW w:w="914" w:type="dxa"/>
          </w:tcPr>
          <w:p w14:paraId="07F291B3" w14:textId="77777777" w:rsidR="00345B10" w:rsidRPr="00645297" w:rsidRDefault="002C21B4" w:rsidP="00C36A1A">
            <w:pPr>
              <w:spacing w:line="360" w:lineRule="auto"/>
              <w:jc w:val="both"/>
              <w:rPr>
                <w:sz w:val="20"/>
                <w:szCs w:val="20"/>
              </w:rPr>
            </w:pPr>
            <w:r w:rsidRPr="00645297">
              <w:rPr>
                <w:sz w:val="20"/>
                <w:szCs w:val="20"/>
              </w:rPr>
              <w:t>12.15</w:t>
            </w:r>
          </w:p>
        </w:tc>
        <w:tc>
          <w:tcPr>
            <w:tcW w:w="915" w:type="dxa"/>
          </w:tcPr>
          <w:p w14:paraId="7FCC35AC" w14:textId="77777777" w:rsidR="00345B10" w:rsidRPr="00645297" w:rsidRDefault="002C21B4" w:rsidP="00C36A1A">
            <w:pPr>
              <w:spacing w:line="360" w:lineRule="auto"/>
              <w:jc w:val="both"/>
              <w:rPr>
                <w:sz w:val="20"/>
                <w:szCs w:val="20"/>
              </w:rPr>
            </w:pPr>
            <w:r w:rsidRPr="00645297">
              <w:rPr>
                <w:sz w:val="20"/>
                <w:szCs w:val="20"/>
              </w:rPr>
              <w:t>6.64</w:t>
            </w:r>
          </w:p>
        </w:tc>
        <w:tc>
          <w:tcPr>
            <w:tcW w:w="915" w:type="dxa"/>
          </w:tcPr>
          <w:p w14:paraId="583409C9" w14:textId="77777777" w:rsidR="00345B10" w:rsidRPr="00645297" w:rsidRDefault="002C21B4" w:rsidP="00C36A1A">
            <w:pPr>
              <w:spacing w:line="360" w:lineRule="auto"/>
              <w:jc w:val="both"/>
              <w:rPr>
                <w:sz w:val="20"/>
                <w:szCs w:val="20"/>
              </w:rPr>
            </w:pPr>
            <w:r w:rsidRPr="00645297">
              <w:rPr>
                <w:sz w:val="20"/>
                <w:szCs w:val="20"/>
              </w:rPr>
              <w:t>.526*</w:t>
            </w:r>
          </w:p>
        </w:tc>
        <w:tc>
          <w:tcPr>
            <w:tcW w:w="915" w:type="dxa"/>
          </w:tcPr>
          <w:p w14:paraId="5F683910" w14:textId="77777777" w:rsidR="00345B10" w:rsidRPr="00645297" w:rsidRDefault="002C21B4" w:rsidP="00C36A1A">
            <w:pPr>
              <w:spacing w:line="360" w:lineRule="auto"/>
              <w:jc w:val="both"/>
              <w:rPr>
                <w:sz w:val="20"/>
                <w:szCs w:val="20"/>
              </w:rPr>
            </w:pPr>
            <w:r w:rsidRPr="00645297">
              <w:rPr>
                <w:sz w:val="20"/>
                <w:szCs w:val="20"/>
              </w:rPr>
              <w:t>.658**</w:t>
            </w:r>
          </w:p>
        </w:tc>
        <w:tc>
          <w:tcPr>
            <w:tcW w:w="915" w:type="dxa"/>
          </w:tcPr>
          <w:p w14:paraId="3C61FADF" w14:textId="77777777" w:rsidR="00345B10" w:rsidRPr="00645297" w:rsidRDefault="002C21B4" w:rsidP="00C36A1A">
            <w:pPr>
              <w:spacing w:line="360" w:lineRule="auto"/>
              <w:jc w:val="both"/>
              <w:rPr>
                <w:sz w:val="20"/>
                <w:szCs w:val="20"/>
              </w:rPr>
            </w:pPr>
            <w:r w:rsidRPr="00645297">
              <w:rPr>
                <w:sz w:val="20"/>
                <w:szCs w:val="20"/>
              </w:rPr>
              <w:t>.417</w:t>
            </w:r>
          </w:p>
        </w:tc>
        <w:tc>
          <w:tcPr>
            <w:tcW w:w="915" w:type="dxa"/>
          </w:tcPr>
          <w:p w14:paraId="15E2119C" w14:textId="77777777" w:rsidR="00345B10" w:rsidRPr="00645297" w:rsidRDefault="002C21B4" w:rsidP="00C36A1A">
            <w:pPr>
              <w:spacing w:line="360" w:lineRule="auto"/>
              <w:jc w:val="both"/>
              <w:rPr>
                <w:sz w:val="20"/>
                <w:szCs w:val="20"/>
              </w:rPr>
            </w:pPr>
            <w:r w:rsidRPr="00645297">
              <w:rPr>
                <w:sz w:val="20"/>
                <w:szCs w:val="20"/>
              </w:rPr>
              <w:t>.832***</w:t>
            </w:r>
          </w:p>
        </w:tc>
        <w:tc>
          <w:tcPr>
            <w:tcW w:w="915" w:type="dxa"/>
          </w:tcPr>
          <w:p w14:paraId="024660A4" w14:textId="77777777" w:rsidR="00345B10" w:rsidRPr="00645297" w:rsidRDefault="009F0072" w:rsidP="00C36A1A">
            <w:pPr>
              <w:spacing w:line="360" w:lineRule="auto"/>
              <w:jc w:val="both"/>
              <w:rPr>
                <w:sz w:val="20"/>
                <w:szCs w:val="20"/>
              </w:rPr>
            </w:pPr>
            <w:r w:rsidRPr="00645297">
              <w:rPr>
                <w:sz w:val="20"/>
                <w:szCs w:val="20"/>
              </w:rPr>
              <w:t>.806***</w:t>
            </w:r>
          </w:p>
        </w:tc>
        <w:tc>
          <w:tcPr>
            <w:tcW w:w="915" w:type="dxa"/>
          </w:tcPr>
          <w:p w14:paraId="71186FD1" w14:textId="22CBDF68" w:rsidR="00345B10" w:rsidRPr="00645297" w:rsidRDefault="002C21B4" w:rsidP="00C36A1A">
            <w:pPr>
              <w:spacing w:line="360" w:lineRule="auto"/>
              <w:jc w:val="both"/>
              <w:rPr>
                <w:sz w:val="20"/>
                <w:szCs w:val="20"/>
              </w:rPr>
            </w:pPr>
            <w:r w:rsidRPr="00645297">
              <w:rPr>
                <w:sz w:val="20"/>
                <w:szCs w:val="20"/>
              </w:rPr>
              <w:t>.141</w:t>
            </w:r>
          </w:p>
        </w:tc>
        <w:tc>
          <w:tcPr>
            <w:tcW w:w="915" w:type="dxa"/>
          </w:tcPr>
          <w:p w14:paraId="24EC3030" w14:textId="77777777" w:rsidR="00345B10" w:rsidRPr="00645297" w:rsidRDefault="00E454D1" w:rsidP="00C36A1A">
            <w:pPr>
              <w:spacing w:line="360" w:lineRule="auto"/>
              <w:jc w:val="both"/>
              <w:rPr>
                <w:sz w:val="20"/>
                <w:szCs w:val="20"/>
              </w:rPr>
            </w:pPr>
            <w:r w:rsidRPr="00645297">
              <w:rPr>
                <w:sz w:val="20"/>
                <w:szCs w:val="20"/>
              </w:rPr>
              <w:t>.795***</w:t>
            </w:r>
          </w:p>
        </w:tc>
        <w:tc>
          <w:tcPr>
            <w:tcW w:w="915" w:type="dxa"/>
            <w:gridSpan w:val="2"/>
          </w:tcPr>
          <w:p w14:paraId="3AEE64AF" w14:textId="77777777" w:rsidR="00345B10" w:rsidRPr="00645297" w:rsidRDefault="009F0072" w:rsidP="00C36A1A">
            <w:pPr>
              <w:spacing w:line="360" w:lineRule="auto"/>
              <w:jc w:val="both"/>
              <w:rPr>
                <w:sz w:val="20"/>
                <w:szCs w:val="20"/>
              </w:rPr>
            </w:pPr>
            <w:r w:rsidRPr="00645297">
              <w:rPr>
                <w:sz w:val="20"/>
                <w:szCs w:val="20"/>
              </w:rPr>
              <w:t>.779***</w:t>
            </w:r>
          </w:p>
        </w:tc>
        <w:tc>
          <w:tcPr>
            <w:tcW w:w="915" w:type="dxa"/>
          </w:tcPr>
          <w:p w14:paraId="41311AF2" w14:textId="3F2649EA" w:rsidR="00345B10" w:rsidRPr="00645297" w:rsidRDefault="002C21B4" w:rsidP="00C36A1A">
            <w:pPr>
              <w:spacing w:line="360" w:lineRule="auto"/>
              <w:jc w:val="both"/>
              <w:rPr>
                <w:sz w:val="20"/>
                <w:szCs w:val="20"/>
              </w:rPr>
            </w:pPr>
            <w:r w:rsidRPr="00645297">
              <w:rPr>
                <w:sz w:val="20"/>
                <w:szCs w:val="20"/>
              </w:rPr>
              <w:t>1</w:t>
            </w:r>
          </w:p>
        </w:tc>
      </w:tr>
      <w:tr w:rsidR="004A3167" w:rsidRPr="00645297" w14:paraId="666B0752" w14:textId="77777777" w:rsidTr="004A3167">
        <w:trPr>
          <w:trHeight w:val="457"/>
        </w:trPr>
        <w:tc>
          <w:tcPr>
            <w:tcW w:w="13113" w:type="dxa"/>
            <w:gridSpan w:val="13"/>
          </w:tcPr>
          <w:p w14:paraId="060E1C94" w14:textId="328A6F0E" w:rsidR="004A3167" w:rsidRPr="004A3167" w:rsidRDefault="004A3167" w:rsidP="004A3167">
            <w:pPr>
              <w:spacing w:after="120" w:line="480" w:lineRule="auto"/>
              <w:jc w:val="both"/>
              <w:rPr>
                <w:sz w:val="20"/>
                <w:szCs w:val="20"/>
              </w:rPr>
            </w:pPr>
            <w:r w:rsidRPr="004A3167">
              <w:rPr>
                <w:sz w:val="20"/>
                <w:szCs w:val="20"/>
              </w:rPr>
              <w:t>*</w:t>
            </w:r>
            <w:r w:rsidRPr="004A3167">
              <w:rPr>
                <w:i/>
                <w:iCs/>
                <w:sz w:val="20"/>
                <w:szCs w:val="20"/>
              </w:rPr>
              <w:t xml:space="preserve">p </w:t>
            </w:r>
            <w:r w:rsidRPr="004A3167">
              <w:rPr>
                <w:sz w:val="20"/>
                <w:szCs w:val="20"/>
              </w:rPr>
              <w:t>&lt; .05; **</w:t>
            </w:r>
            <w:r w:rsidRPr="004A3167">
              <w:rPr>
                <w:i/>
                <w:iCs/>
                <w:sz w:val="20"/>
                <w:szCs w:val="20"/>
              </w:rPr>
              <w:t xml:space="preserve">p </w:t>
            </w:r>
            <w:r w:rsidRPr="004A3167">
              <w:rPr>
                <w:sz w:val="20"/>
                <w:szCs w:val="20"/>
              </w:rPr>
              <w:t>&lt; .01; ***</w:t>
            </w:r>
            <w:r w:rsidRPr="004A3167">
              <w:rPr>
                <w:i/>
                <w:iCs/>
                <w:sz w:val="20"/>
                <w:szCs w:val="20"/>
              </w:rPr>
              <w:t xml:space="preserve">p </w:t>
            </w:r>
            <w:r w:rsidRPr="004A3167">
              <w:rPr>
                <w:sz w:val="20"/>
                <w:szCs w:val="20"/>
              </w:rPr>
              <w:t>&lt; .001</w:t>
            </w:r>
          </w:p>
        </w:tc>
      </w:tr>
    </w:tbl>
    <w:p w14:paraId="0B1E9C72" w14:textId="5B2B9A2A" w:rsidR="007171B3" w:rsidRPr="00E35622" w:rsidRDefault="007171B3" w:rsidP="004A3167">
      <w:pPr>
        <w:spacing w:after="120" w:line="480" w:lineRule="auto"/>
        <w:jc w:val="both"/>
      </w:pPr>
    </w:p>
    <w:sectPr w:rsidR="007171B3" w:rsidRPr="00E35622" w:rsidSect="004B421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79653" w14:textId="77777777" w:rsidR="009C03B0" w:rsidRDefault="009C03B0" w:rsidP="00EF464E">
      <w:r>
        <w:separator/>
      </w:r>
    </w:p>
  </w:endnote>
  <w:endnote w:type="continuationSeparator" w:id="0">
    <w:p w14:paraId="0AB85BCF" w14:textId="77777777" w:rsidR="009C03B0" w:rsidRDefault="009C03B0" w:rsidP="00EF464E">
      <w:r>
        <w:continuationSeparator/>
      </w:r>
    </w:p>
  </w:endnote>
  <w:endnote w:type="continuationNotice" w:id="1">
    <w:p w14:paraId="609ABCCA" w14:textId="77777777" w:rsidR="009C03B0" w:rsidRDefault="009C0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8459836"/>
      <w:docPartObj>
        <w:docPartGallery w:val="Page Numbers (Bottom of Page)"/>
        <w:docPartUnique/>
      </w:docPartObj>
    </w:sdtPr>
    <w:sdtEndPr>
      <w:rPr>
        <w:rStyle w:val="PageNumber"/>
      </w:rPr>
    </w:sdtEndPr>
    <w:sdtContent>
      <w:p w14:paraId="6A13F5F4" w14:textId="2806BE0C" w:rsidR="00F13995" w:rsidRDefault="00F13995" w:rsidP="003D59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27CDEE" w14:textId="77777777" w:rsidR="00F13995" w:rsidRDefault="00F13995" w:rsidP="004D07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8521310"/>
      <w:docPartObj>
        <w:docPartGallery w:val="Page Numbers (Bottom of Page)"/>
        <w:docPartUnique/>
      </w:docPartObj>
    </w:sdtPr>
    <w:sdtEndPr>
      <w:rPr>
        <w:rStyle w:val="PageNumber"/>
      </w:rPr>
    </w:sdtEndPr>
    <w:sdtContent>
      <w:p w14:paraId="45C2F9C8" w14:textId="11AFC999" w:rsidR="00F13995" w:rsidRDefault="00F13995" w:rsidP="003D59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F7387">
          <w:rPr>
            <w:rStyle w:val="PageNumber"/>
            <w:noProof/>
          </w:rPr>
          <w:t>5</w:t>
        </w:r>
        <w:r>
          <w:rPr>
            <w:rStyle w:val="PageNumber"/>
          </w:rPr>
          <w:fldChar w:fldCharType="end"/>
        </w:r>
      </w:p>
    </w:sdtContent>
  </w:sdt>
  <w:p w14:paraId="60520627" w14:textId="77777777" w:rsidR="00F13995" w:rsidRDefault="00F13995" w:rsidP="004D07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DF95F" w14:textId="77777777" w:rsidR="009C03B0" w:rsidRDefault="009C03B0" w:rsidP="00EF464E">
      <w:r>
        <w:separator/>
      </w:r>
    </w:p>
  </w:footnote>
  <w:footnote w:type="continuationSeparator" w:id="0">
    <w:p w14:paraId="02537543" w14:textId="77777777" w:rsidR="009C03B0" w:rsidRDefault="009C03B0" w:rsidP="00EF464E">
      <w:r>
        <w:continuationSeparator/>
      </w:r>
    </w:p>
  </w:footnote>
  <w:footnote w:type="continuationNotice" w:id="1">
    <w:p w14:paraId="0BC127FF" w14:textId="77777777" w:rsidR="009C03B0" w:rsidRDefault="009C03B0"/>
  </w:footnote>
  <w:footnote w:id="2">
    <w:p w14:paraId="64742248" w14:textId="354C6A09" w:rsidR="00151FC7" w:rsidRPr="00151FC7" w:rsidRDefault="00151FC7" w:rsidP="00151FC7">
      <w:pPr>
        <w:widowControl w:val="0"/>
        <w:spacing w:after="120" w:line="276" w:lineRule="auto"/>
        <w:jc w:val="both"/>
        <w:rPr>
          <w:sz w:val="20"/>
          <w:szCs w:val="20"/>
        </w:rPr>
      </w:pPr>
      <w:r>
        <w:rPr>
          <w:rStyle w:val="FootnoteReference"/>
        </w:rPr>
        <w:footnoteRef/>
      </w:r>
      <w:r w:rsidRPr="00151FC7">
        <w:rPr>
          <w:sz w:val="20"/>
          <w:szCs w:val="20"/>
        </w:rPr>
        <w:t xml:space="preserve">The study was linked to research examining neurobiological mechanisms of the impact of THC on psychotic experiences; for full details see Bloomfield et al. (in </w:t>
      </w:r>
      <w:r w:rsidR="00FD7A2E">
        <w:rPr>
          <w:sz w:val="20"/>
          <w:szCs w:val="20"/>
        </w:rPr>
        <w:t>review</w:t>
      </w:r>
      <w:r w:rsidRPr="00151FC7">
        <w:rPr>
          <w:sz w:val="20"/>
          <w:szCs w:val="20"/>
        </w:rPr>
        <w:t>)</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A8AF" w14:textId="7B1AF894" w:rsidR="00F13995" w:rsidRDefault="00477EC4">
    <w:pPr>
      <w:pStyle w:val="Header"/>
    </w:pPr>
    <w:r w:rsidRPr="002753E2">
      <w:rPr>
        <w:color w:val="000000"/>
      </w:rPr>
      <w:t>Cognitive fusion</w:t>
    </w:r>
    <w:r>
      <w:rPr>
        <w:color w:val="000000"/>
      </w:rPr>
      <w:t>,</w:t>
    </w:r>
    <w:r w:rsidRPr="002753E2">
      <w:rPr>
        <w:color w:val="000000"/>
      </w:rPr>
      <w:t xml:space="preserve"> psychotic experience</w:t>
    </w:r>
    <w:r>
      <w:rPr>
        <w:color w:val="000000"/>
      </w:rPr>
      <w:t xml:space="preserve"> &amp; THC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20D53"/>
    <w:multiLevelType w:val="hybridMultilevel"/>
    <w:tmpl w:val="F8A6A832"/>
    <w:lvl w:ilvl="0" w:tplc="5FA004F2">
      <w:start w:val="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ED94449"/>
    <w:multiLevelType w:val="multilevel"/>
    <w:tmpl w:val="D7C07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96"/>
    <w:rsid w:val="00010BB1"/>
    <w:rsid w:val="00011C8B"/>
    <w:rsid w:val="00015D45"/>
    <w:rsid w:val="00015DFE"/>
    <w:rsid w:val="00020F49"/>
    <w:rsid w:val="000215F4"/>
    <w:rsid w:val="00021B8F"/>
    <w:rsid w:val="0002430C"/>
    <w:rsid w:val="00024EFE"/>
    <w:rsid w:val="00030546"/>
    <w:rsid w:val="00033FA0"/>
    <w:rsid w:val="000343DD"/>
    <w:rsid w:val="00035D1E"/>
    <w:rsid w:val="000413E7"/>
    <w:rsid w:val="0004169A"/>
    <w:rsid w:val="00044494"/>
    <w:rsid w:val="00045117"/>
    <w:rsid w:val="00045D99"/>
    <w:rsid w:val="0005103C"/>
    <w:rsid w:val="00052600"/>
    <w:rsid w:val="0006340D"/>
    <w:rsid w:val="00071B6A"/>
    <w:rsid w:val="00072317"/>
    <w:rsid w:val="000775F5"/>
    <w:rsid w:val="00081133"/>
    <w:rsid w:val="00092293"/>
    <w:rsid w:val="00093C27"/>
    <w:rsid w:val="00097BB9"/>
    <w:rsid w:val="000A556D"/>
    <w:rsid w:val="000A5D2F"/>
    <w:rsid w:val="000B00B5"/>
    <w:rsid w:val="000C6A17"/>
    <w:rsid w:val="000C70C3"/>
    <w:rsid w:val="000D0164"/>
    <w:rsid w:val="000E4B16"/>
    <w:rsid w:val="000E62BF"/>
    <w:rsid w:val="000F5C90"/>
    <w:rsid w:val="0010113C"/>
    <w:rsid w:val="00105917"/>
    <w:rsid w:val="00111B1F"/>
    <w:rsid w:val="00122FA5"/>
    <w:rsid w:val="00123F49"/>
    <w:rsid w:val="00126925"/>
    <w:rsid w:val="00126BE8"/>
    <w:rsid w:val="001500B5"/>
    <w:rsid w:val="001507D4"/>
    <w:rsid w:val="00151FC7"/>
    <w:rsid w:val="0016406D"/>
    <w:rsid w:val="001667FF"/>
    <w:rsid w:val="001702B5"/>
    <w:rsid w:val="0017349D"/>
    <w:rsid w:val="001869C4"/>
    <w:rsid w:val="00191EFC"/>
    <w:rsid w:val="001927D5"/>
    <w:rsid w:val="00194ECF"/>
    <w:rsid w:val="001A1910"/>
    <w:rsid w:val="001B2312"/>
    <w:rsid w:val="001B3591"/>
    <w:rsid w:val="001B35D5"/>
    <w:rsid w:val="001B661F"/>
    <w:rsid w:val="001B780B"/>
    <w:rsid w:val="001C21B7"/>
    <w:rsid w:val="001C57C4"/>
    <w:rsid w:val="001D1E61"/>
    <w:rsid w:val="001D2F31"/>
    <w:rsid w:val="001E040F"/>
    <w:rsid w:val="001E576F"/>
    <w:rsid w:val="001E5A58"/>
    <w:rsid w:val="001E7AE3"/>
    <w:rsid w:val="001F5F58"/>
    <w:rsid w:val="00200AC3"/>
    <w:rsid w:val="00214E20"/>
    <w:rsid w:val="002174E5"/>
    <w:rsid w:val="00221101"/>
    <w:rsid w:val="00222AA7"/>
    <w:rsid w:val="002238EE"/>
    <w:rsid w:val="00227B7F"/>
    <w:rsid w:val="0023362C"/>
    <w:rsid w:val="0023370C"/>
    <w:rsid w:val="00237184"/>
    <w:rsid w:val="0024018B"/>
    <w:rsid w:val="00243A59"/>
    <w:rsid w:val="00246112"/>
    <w:rsid w:val="00246D8C"/>
    <w:rsid w:val="0025354C"/>
    <w:rsid w:val="002537E3"/>
    <w:rsid w:val="00253D18"/>
    <w:rsid w:val="00254902"/>
    <w:rsid w:val="002579FB"/>
    <w:rsid w:val="0026196E"/>
    <w:rsid w:val="00266621"/>
    <w:rsid w:val="0027453E"/>
    <w:rsid w:val="00283455"/>
    <w:rsid w:val="00287C02"/>
    <w:rsid w:val="002A2188"/>
    <w:rsid w:val="002A21D6"/>
    <w:rsid w:val="002A4DCC"/>
    <w:rsid w:val="002A6220"/>
    <w:rsid w:val="002B062D"/>
    <w:rsid w:val="002B10B3"/>
    <w:rsid w:val="002B42CE"/>
    <w:rsid w:val="002B63BF"/>
    <w:rsid w:val="002B67AB"/>
    <w:rsid w:val="002C21B4"/>
    <w:rsid w:val="002C49F0"/>
    <w:rsid w:val="002C5195"/>
    <w:rsid w:val="002D1C46"/>
    <w:rsid w:val="002E1236"/>
    <w:rsid w:val="002E2D4F"/>
    <w:rsid w:val="002E6734"/>
    <w:rsid w:val="002F2CD0"/>
    <w:rsid w:val="002F4891"/>
    <w:rsid w:val="002F6242"/>
    <w:rsid w:val="00301692"/>
    <w:rsid w:val="00306A8B"/>
    <w:rsid w:val="00313FA2"/>
    <w:rsid w:val="0031473B"/>
    <w:rsid w:val="00325E55"/>
    <w:rsid w:val="00327067"/>
    <w:rsid w:val="003277E6"/>
    <w:rsid w:val="00333FB5"/>
    <w:rsid w:val="00335AA9"/>
    <w:rsid w:val="00335C19"/>
    <w:rsid w:val="003365DD"/>
    <w:rsid w:val="00341518"/>
    <w:rsid w:val="003447B3"/>
    <w:rsid w:val="00345262"/>
    <w:rsid w:val="00345B10"/>
    <w:rsid w:val="003461E2"/>
    <w:rsid w:val="0035132B"/>
    <w:rsid w:val="0035541D"/>
    <w:rsid w:val="003605F0"/>
    <w:rsid w:val="003607CF"/>
    <w:rsid w:val="00360E8E"/>
    <w:rsid w:val="00364B14"/>
    <w:rsid w:val="0036749B"/>
    <w:rsid w:val="00367E84"/>
    <w:rsid w:val="00371434"/>
    <w:rsid w:val="00376055"/>
    <w:rsid w:val="003814DD"/>
    <w:rsid w:val="003857F4"/>
    <w:rsid w:val="00390D1C"/>
    <w:rsid w:val="0039580F"/>
    <w:rsid w:val="003A1C5A"/>
    <w:rsid w:val="003B0704"/>
    <w:rsid w:val="003B5146"/>
    <w:rsid w:val="003C7B1F"/>
    <w:rsid w:val="003D1EA1"/>
    <w:rsid w:val="003D3263"/>
    <w:rsid w:val="003D417C"/>
    <w:rsid w:val="003D5984"/>
    <w:rsid w:val="003D625C"/>
    <w:rsid w:val="003E1089"/>
    <w:rsid w:val="003E48B1"/>
    <w:rsid w:val="003F4C10"/>
    <w:rsid w:val="004009D0"/>
    <w:rsid w:val="004027EC"/>
    <w:rsid w:val="00406E60"/>
    <w:rsid w:val="00407E99"/>
    <w:rsid w:val="00420690"/>
    <w:rsid w:val="004226F6"/>
    <w:rsid w:val="004254C4"/>
    <w:rsid w:val="00433623"/>
    <w:rsid w:val="00437925"/>
    <w:rsid w:val="00440A26"/>
    <w:rsid w:val="00442495"/>
    <w:rsid w:val="004530B5"/>
    <w:rsid w:val="00460E20"/>
    <w:rsid w:val="00461F8E"/>
    <w:rsid w:val="0046259B"/>
    <w:rsid w:val="00462D0C"/>
    <w:rsid w:val="0047157F"/>
    <w:rsid w:val="0047212C"/>
    <w:rsid w:val="0047612C"/>
    <w:rsid w:val="00477685"/>
    <w:rsid w:val="00477EC4"/>
    <w:rsid w:val="004822CB"/>
    <w:rsid w:val="00482D91"/>
    <w:rsid w:val="00485DD2"/>
    <w:rsid w:val="00487F96"/>
    <w:rsid w:val="004A3167"/>
    <w:rsid w:val="004A51D5"/>
    <w:rsid w:val="004A61CC"/>
    <w:rsid w:val="004B184C"/>
    <w:rsid w:val="004B4214"/>
    <w:rsid w:val="004C06B1"/>
    <w:rsid w:val="004C3470"/>
    <w:rsid w:val="004D077E"/>
    <w:rsid w:val="004D132A"/>
    <w:rsid w:val="004D46F6"/>
    <w:rsid w:val="004D4E73"/>
    <w:rsid w:val="004D7E55"/>
    <w:rsid w:val="004E3EA3"/>
    <w:rsid w:val="004E59D9"/>
    <w:rsid w:val="004E5BDB"/>
    <w:rsid w:val="0050266C"/>
    <w:rsid w:val="005056C6"/>
    <w:rsid w:val="00514837"/>
    <w:rsid w:val="00517D79"/>
    <w:rsid w:val="005221AC"/>
    <w:rsid w:val="0053365F"/>
    <w:rsid w:val="00536611"/>
    <w:rsid w:val="00544545"/>
    <w:rsid w:val="00547A4B"/>
    <w:rsid w:val="00551C07"/>
    <w:rsid w:val="005523F2"/>
    <w:rsid w:val="00552B25"/>
    <w:rsid w:val="0055364F"/>
    <w:rsid w:val="005553EC"/>
    <w:rsid w:val="00565AE0"/>
    <w:rsid w:val="00567BA7"/>
    <w:rsid w:val="00571A41"/>
    <w:rsid w:val="00581B20"/>
    <w:rsid w:val="0058446A"/>
    <w:rsid w:val="00587DB4"/>
    <w:rsid w:val="00587FE4"/>
    <w:rsid w:val="00592DF7"/>
    <w:rsid w:val="00596CFC"/>
    <w:rsid w:val="005A09D0"/>
    <w:rsid w:val="005B02CC"/>
    <w:rsid w:val="005B0580"/>
    <w:rsid w:val="005B4B76"/>
    <w:rsid w:val="005B66EE"/>
    <w:rsid w:val="005C1D88"/>
    <w:rsid w:val="005C58AE"/>
    <w:rsid w:val="005C7F7B"/>
    <w:rsid w:val="005D4660"/>
    <w:rsid w:val="005D7478"/>
    <w:rsid w:val="005E6FC4"/>
    <w:rsid w:val="005E79DE"/>
    <w:rsid w:val="005F0D52"/>
    <w:rsid w:val="0060189E"/>
    <w:rsid w:val="0060373F"/>
    <w:rsid w:val="00606ED0"/>
    <w:rsid w:val="00606FC3"/>
    <w:rsid w:val="00611CA7"/>
    <w:rsid w:val="00615F81"/>
    <w:rsid w:val="0061621E"/>
    <w:rsid w:val="00620994"/>
    <w:rsid w:val="00621253"/>
    <w:rsid w:val="0062562C"/>
    <w:rsid w:val="0063168D"/>
    <w:rsid w:val="00637F63"/>
    <w:rsid w:val="00641A38"/>
    <w:rsid w:val="006451D3"/>
    <w:rsid w:val="00645297"/>
    <w:rsid w:val="00647BCB"/>
    <w:rsid w:val="0065138D"/>
    <w:rsid w:val="006529B0"/>
    <w:rsid w:val="00654210"/>
    <w:rsid w:val="00667CFA"/>
    <w:rsid w:val="006722C3"/>
    <w:rsid w:val="00676260"/>
    <w:rsid w:val="00686BF2"/>
    <w:rsid w:val="00695607"/>
    <w:rsid w:val="0069577B"/>
    <w:rsid w:val="0069780A"/>
    <w:rsid w:val="006A2293"/>
    <w:rsid w:val="006A5DDA"/>
    <w:rsid w:val="006B091B"/>
    <w:rsid w:val="006B1CFD"/>
    <w:rsid w:val="006B33B0"/>
    <w:rsid w:val="006B5B43"/>
    <w:rsid w:val="006B6685"/>
    <w:rsid w:val="006C092B"/>
    <w:rsid w:val="006C35EC"/>
    <w:rsid w:val="007078E2"/>
    <w:rsid w:val="007101B6"/>
    <w:rsid w:val="00714A39"/>
    <w:rsid w:val="007171B3"/>
    <w:rsid w:val="0072425F"/>
    <w:rsid w:val="007244E5"/>
    <w:rsid w:val="0072571C"/>
    <w:rsid w:val="00730BF3"/>
    <w:rsid w:val="00737DA4"/>
    <w:rsid w:val="00743BBA"/>
    <w:rsid w:val="00746C35"/>
    <w:rsid w:val="00746C98"/>
    <w:rsid w:val="00751510"/>
    <w:rsid w:val="007524CB"/>
    <w:rsid w:val="007540CE"/>
    <w:rsid w:val="00754C6A"/>
    <w:rsid w:val="00755199"/>
    <w:rsid w:val="00777CC5"/>
    <w:rsid w:val="00782B5D"/>
    <w:rsid w:val="007851EB"/>
    <w:rsid w:val="007867D9"/>
    <w:rsid w:val="00790662"/>
    <w:rsid w:val="007A040C"/>
    <w:rsid w:val="007A7EEC"/>
    <w:rsid w:val="007B0233"/>
    <w:rsid w:val="007B07A7"/>
    <w:rsid w:val="007B6B42"/>
    <w:rsid w:val="007C36C2"/>
    <w:rsid w:val="007C3F20"/>
    <w:rsid w:val="007C4C76"/>
    <w:rsid w:val="007D248A"/>
    <w:rsid w:val="007E0A66"/>
    <w:rsid w:val="007E3322"/>
    <w:rsid w:val="007E66F2"/>
    <w:rsid w:val="007F5C80"/>
    <w:rsid w:val="0080099D"/>
    <w:rsid w:val="00802994"/>
    <w:rsid w:val="00804879"/>
    <w:rsid w:val="008049F1"/>
    <w:rsid w:val="0080506A"/>
    <w:rsid w:val="00805A19"/>
    <w:rsid w:val="0080742F"/>
    <w:rsid w:val="00815845"/>
    <w:rsid w:val="00817E34"/>
    <w:rsid w:val="00823509"/>
    <w:rsid w:val="00842D9B"/>
    <w:rsid w:val="00844F14"/>
    <w:rsid w:val="00846B4B"/>
    <w:rsid w:val="0084749A"/>
    <w:rsid w:val="0085353C"/>
    <w:rsid w:val="0085557E"/>
    <w:rsid w:val="00856FF0"/>
    <w:rsid w:val="00862730"/>
    <w:rsid w:val="00863843"/>
    <w:rsid w:val="00863A66"/>
    <w:rsid w:val="008657E6"/>
    <w:rsid w:val="0086714C"/>
    <w:rsid w:val="00872B38"/>
    <w:rsid w:val="00873245"/>
    <w:rsid w:val="008820BE"/>
    <w:rsid w:val="008906F5"/>
    <w:rsid w:val="00894576"/>
    <w:rsid w:val="00894FF6"/>
    <w:rsid w:val="008956E9"/>
    <w:rsid w:val="008B00E6"/>
    <w:rsid w:val="008B5C5B"/>
    <w:rsid w:val="008C0CA7"/>
    <w:rsid w:val="008C20C9"/>
    <w:rsid w:val="008C4BC4"/>
    <w:rsid w:val="008D11D7"/>
    <w:rsid w:val="008D647C"/>
    <w:rsid w:val="008E049E"/>
    <w:rsid w:val="008E734D"/>
    <w:rsid w:val="008F1BE5"/>
    <w:rsid w:val="008F6EB7"/>
    <w:rsid w:val="00901ECE"/>
    <w:rsid w:val="00902337"/>
    <w:rsid w:val="009062E6"/>
    <w:rsid w:val="00927F14"/>
    <w:rsid w:val="00933444"/>
    <w:rsid w:val="00933494"/>
    <w:rsid w:val="00940D2D"/>
    <w:rsid w:val="00941C0D"/>
    <w:rsid w:val="00943DB6"/>
    <w:rsid w:val="00947B7A"/>
    <w:rsid w:val="00953774"/>
    <w:rsid w:val="00976A67"/>
    <w:rsid w:val="00981BEC"/>
    <w:rsid w:val="00987231"/>
    <w:rsid w:val="009A3042"/>
    <w:rsid w:val="009A54D0"/>
    <w:rsid w:val="009A61D6"/>
    <w:rsid w:val="009C03B0"/>
    <w:rsid w:val="009C0882"/>
    <w:rsid w:val="009C17CB"/>
    <w:rsid w:val="009C1D11"/>
    <w:rsid w:val="009C2B6E"/>
    <w:rsid w:val="009C5123"/>
    <w:rsid w:val="009D0E82"/>
    <w:rsid w:val="009D0FF5"/>
    <w:rsid w:val="009D47C0"/>
    <w:rsid w:val="009E62D3"/>
    <w:rsid w:val="009E6373"/>
    <w:rsid w:val="009F0072"/>
    <w:rsid w:val="009F4424"/>
    <w:rsid w:val="00A00D47"/>
    <w:rsid w:val="00A02547"/>
    <w:rsid w:val="00A02B9B"/>
    <w:rsid w:val="00A04CEB"/>
    <w:rsid w:val="00A06516"/>
    <w:rsid w:val="00A10610"/>
    <w:rsid w:val="00A111A8"/>
    <w:rsid w:val="00A14D47"/>
    <w:rsid w:val="00A16D0B"/>
    <w:rsid w:val="00A235F4"/>
    <w:rsid w:val="00A25A27"/>
    <w:rsid w:val="00A303F5"/>
    <w:rsid w:val="00A3549F"/>
    <w:rsid w:val="00A420B0"/>
    <w:rsid w:val="00A43C2A"/>
    <w:rsid w:val="00A4491B"/>
    <w:rsid w:val="00A458F3"/>
    <w:rsid w:val="00A6106B"/>
    <w:rsid w:val="00A626FE"/>
    <w:rsid w:val="00A66FCC"/>
    <w:rsid w:val="00A80AF1"/>
    <w:rsid w:val="00A82552"/>
    <w:rsid w:val="00A833DB"/>
    <w:rsid w:val="00A91E0D"/>
    <w:rsid w:val="00A95397"/>
    <w:rsid w:val="00AC1883"/>
    <w:rsid w:val="00AC285D"/>
    <w:rsid w:val="00AC405D"/>
    <w:rsid w:val="00AC4510"/>
    <w:rsid w:val="00AC581D"/>
    <w:rsid w:val="00AD67DD"/>
    <w:rsid w:val="00AE0604"/>
    <w:rsid w:val="00AF45F5"/>
    <w:rsid w:val="00AF6B13"/>
    <w:rsid w:val="00AF6F04"/>
    <w:rsid w:val="00B02210"/>
    <w:rsid w:val="00B065FC"/>
    <w:rsid w:val="00B153CC"/>
    <w:rsid w:val="00B2385C"/>
    <w:rsid w:val="00B23E2B"/>
    <w:rsid w:val="00B334B1"/>
    <w:rsid w:val="00B3450A"/>
    <w:rsid w:val="00B3484E"/>
    <w:rsid w:val="00B34EF4"/>
    <w:rsid w:val="00B43C73"/>
    <w:rsid w:val="00B5547D"/>
    <w:rsid w:val="00B622E8"/>
    <w:rsid w:val="00B6296C"/>
    <w:rsid w:val="00B709DA"/>
    <w:rsid w:val="00B71F31"/>
    <w:rsid w:val="00B72179"/>
    <w:rsid w:val="00B74BBD"/>
    <w:rsid w:val="00B83E49"/>
    <w:rsid w:val="00B8470C"/>
    <w:rsid w:val="00B94C80"/>
    <w:rsid w:val="00B95300"/>
    <w:rsid w:val="00B979A9"/>
    <w:rsid w:val="00BA15E0"/>
    <w:rsid w:val="00BA15FD"/>
    <w:rsid w:val="00BA1CA6"/>
    <w:rsid w:val="00BA3B17"/>
    <w:rsid w:val="00BB06BE"/>
    <w:rsid w:val="00BB0A23"/>
    <w:rsid w:val="00BB14CA"/>
    <w:rsid w:val="00BB2CF0"/>
    <w:rsid w:val="00BB60F3"/>
    <w:rsid w:val="00BB66E0"/>
    <w:rsid w:val="00BB7E59"/>
    <w:rsid w:val="00BD32D1"/>
    <w:rsid w:val="00BD38EA"/>
    <w:rsid w:val="00BD54CA"/>
    <w:rsid w:val="00BE17CA"/>
    <w:rsid w:val="00BE40A1"/>
    <w:rsid w:val="00BF3363"/>
    <w:rsid w:val="00BF789E"/>
    <w:rsid w:val="00C05487"/>
    <w:rsid w:val="00C0781C"/>
    <w:rsid w:val="00C14F05"/>
    <w:rsid w:val="00C156EE"/>
    <w:rsid w:val="00C17EDF"/>
    <w:rsid w:val="00C34791"/>
    <w:rsid w:val="00C36A1A"/>
    <w:rsid w:val="00C37EE1"/>
    <w:rsid w:val="00C40C27"/>
    <w:rsid w:val="00C44000"/>
    <w:rsid w:val="00C45CD8"/>
    <w:rsid w:val="00C51CB0"/>
    <w:rsid w:val="00C527A2"/>
    <w:rsid w:val="00C619B9"/>
    <w:rsid w:val="00C620C3"/>
    <w:rsid w:val="00C63E00"/>
    <w:rsid w:val="00C70B22"/>
    <w:rsid w:val="00C74B22"/>
    <w:rsid w:val="00C751C3"/>
    <w:rsid w:val="00C81994"/>
    <w:rsid w:val="00C85624"/>
    <w:rsid w:val="00C8613A"/>
    <w:rsid w:val="00C871C8"/>
    <w:rsid w:val="00C92C63"/>
    <w:rsid w:val="00C937BC"/>
    <w:rsid w:val="00C94F61"/>
    <w:rsid w:val="00C9723B"/>
    <w:rsid w:val="00C97ACC"/>
    <w:rsid w:val="00CA160A"/>
    <w:rsid w:val="00CA4DF3"/>
    <w:rsid w:val="00CA7B72"/>
    <w:rsid w:val="00CB482C"/>
    <w:rsid w:val="00CC12AF"/>
    <w:rsid w:val="00CC14A1"/>
    <w:rsid w:val="00CC3116"/>
    <w:rsid w:val="00CC489D"/>
    <w:rsid w:val="00CC48A3"/>
    <w:rsid w:val="00CC538B"/>
    <w:rsid w:val="00CD3A34"/>
    <w:rsid w:val="00CD3F40"/>
    <w:rsid w:val="00CD50D3"/>
    <w:rsid w:val="00CD60C3"/>
    <w:rsid w:val="00CE6D1F"/>
    <w:rsid w:val="00CF223B"/>
    <w:rsid w:val="00CF42FF"/>
    <w:rsid w:val="00D058E4"/>
    <w:rsid w:val="00D20785"/>
    <w:rsid w:val="00D23EBB"/>
    <w:rsid w:val="00D245AE"/>
    <w:rsid w:val="00D2486B"/>
    <w:rsid w:val="00D275DA"/>
    <w:rsid w:val="00D3275E"/>
    <w:rsid w:val="00D32901"/>
    <w:rsid w:val="00D34A2A"/>
    <w:rsid w:val="00D35ADC"/>
    <w:rsid w:val="00D40683"/>
    <w:rsid w:val="00D41AD0"/>
    <w:rsid w:val="00D45293"/>
    <w:rsid w:val="00D57F5C"/>
    <w:rsid w:val="00D6238F"/>
    <w:rsid w:val="00D81F5D"/>
    <w:rsid w:val="00D82FED"/>
    <w:rsid w:val="00D830AA"/>
    <w:rsid w:val="00D8496C"/>
    <w:rsid w:val="00D85DFC"/>
    <w:rsid w:val="00D863AD"/>
    <w:rsid w:val="00D87BB4"/>
    <w:rsid w:val="00D916B3"/>
    <w:rsid w:val="00D928AA"/>
    <w:rsid w:val="00D975BE"/>
    <w:rsid w:val="00D9768A"/>
    <w:rsid w:val="00DA455F"/>
    <w:rsid w:val="00DB08F6"/>
    <w:rsid w:val="00DB42D9"/>
    <w:rsid w:val="00DB671F"/>
    <w:rsid w:val="00DC0B84"/>
    <w:rsid w:val="00DD535E"/>
    <w:rsid w:val="00DE0131"/>
    <w:rsid w:val="00DF30CB"/>
    <w:rsid w:val="00DF5341"/>
    <w:rsid w:val="00DF7387"/>
    <w:rsid w:val="00E05AF9"/>
    <w:rsid w:val="00E140E8"/>
    <w:rsid w:val="00E1411B"/>
    <w:rsid w:val="00E17BED"/>
    <w:rsid w:val="00E234F3"/>
    <w:rsid w:val="00E262AE"/>
    <w:rsid w:val="00E31EB8"/>
    <w:rsid w:val="00E32BCC"/>
    <w:rsid w:val="00E33CE2"/>
    <w:rsid w:val="00E35622"/>
    <w:rsid w:val="00E40D74"/>
    <w:rsid w:val="00E415B9"/>
    <w:rsid w:val="00E454D1"/>
    <w:rsid w:val="00E576C2"/>
    <w:rsid w:val="00E626D4"/>
    <w:rsid w:val="00E62812"/>
    <w:rsid w:val="00E6337A"/>
    <w:rsid w:val="00E66569"/>
    <w:rsid w:val="00E8489E"/>
    <w:rsid w:val="00EA095E"/>
    <w:rsid w:val="00EA1D63"/>
    <w:rsid w:val="00EA1EFD"/>
    <w:rsid w:val="00EA64DE"/>
    <w:rsid w:val="00EB09AC"/>
    <w:rsid w:val="00EB4C5E"/>
    <w:rsid w:val="00EC2648"/>
    <w:rsid w:val="00EC7033"/>
    <w:rsid w:val="00ED3B15"/>
    <w:rsid w:val="00ED4163"/>
    <w:rsid w:val="00ED4D11"/>
    <w:rsid w:val="00EE21ED"/>
    <w:rsid w:val="00EE3495"/>
    <w:rsid w:val="00EE6FFB"/>
    <w:rsid w:val="00EF464E"/>
    <w:rsid w:val="00EF5566"/>
    <w:rsid w:val="00F0171D"/>
    <w:rsid w:val="00F02BC7"/>
    <w:rsid w:val="00F055C0"/>
    <w:rsid w:val="00F12F3A"/>
    <w:rsid w:val="00F136C1"/>
    <w:rsid w:val="00F13995"/>
    <w:rsid w:val="00F14738"/>
    <w:rsid w:val="00F202AC"/>
    <w:rsid w:val="00F218E0"/>
    <w:rsid w:val="00F24B40"/>
    <w:rsid w:val="00F25B07"/>
    <w:rsid w:val="00F30AF9"/>
    <w:rsid w:val="00F30E90"/>
    <w:rsid w:val="00F3148F"/>
    <w:rsid w:val="00F31B19"/>
    <w:rsid w:val="00F34D38"/>
    <w:rsid w:val="00F37B53"/>
    <w:rsid w:val="00F42A55"/>
    <w:rsid w:val="00F434D7"/>
    <w:rsid w:val="00F6236C"/>
    <w:rsid w:val="00F64EC4"/>
    <w:rsid w:val="00F6682D"/>
    <w:rsid w:val="00F73890"/>
    <w:rsid w:val="00F92298"/>
    <w:rsid w:val="00FA28E1"/>
    <w:rsid w:val="00FA59F7"/>
    <w:rsid w:val="00FB396A"/>
    <w:rsid w:val="00FB6493"/>
    <w:rsid w:val="00FB6610"/>
    <w:rsid w:val="00FB6CCA"/>
    <w:rsid w:val="00FC2881"/>
    <w:rsid w:val="00FC4D2C"/>
    <w:rsid w:val="00FC4E34"/>
    <w:rsid w:val="00FD3ACB"/>
    <w:rsid w:val="00FD7A2E"/>
    <w:rsid w:val="00FE25DE"/>
    <w:rsid w:val="00FE28D5"/>
    <w:rsid w:val="00FE4E7F"/>
    <w:rsid w:val="00FE6782"/>
    <w:rsid w:val="00FE7E54"/>
    <w:rsid w:val="00FF5E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E53"/>
  <w15:docId w15:val="{40E35645-1B7B-8E49-87E7-20CB0AC7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7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4169A"/>
    <w:rPr>
      <w:rFonts w:cs="Times New Roman"/>
      <w:color w:val="0000FF"/>
      <w:u w:val="single"/>
    </w:rPr>
  </w:style>
  <w:style w:type="paragraph" w:customStyle="1" w:styleId="Contents">
    <w:name w:val="Contents"/>
    <w:next w:val="Normal"/>
    <w:qFormat/>
    <w:rsid w:val="0004169A"/>
    <w:pPr>
      <w:spacing w:after="240" w:line="240" w:lineRule="auto"/>
      <w:outlineLvl w:val="0"/>
    </w:pPr>
    <w:rPr>
      <w:rFonts w:ascii="Lucida Sans" w:eastAsia="Times New Roman" w:hAnsi="Lucida Sans" w:cs="Arial"/>
      <w:b/>
      <w:bCs/>
      <w:kern w:val="32"/>
      <w:sz w:val="36"/>
      <w:szCs w:val="32"/>
    </w:rPr>
  </w:style>
  <w:style w:type="paragraph" w:styleId="BalloonText">
    <w:name w:val="Balloon Text"/>
    <w:basedOn w:val="Normal"/>
    <w:link w:val="BalloonTextChar"/>
    <w:uiPriority w:val="99"/>
    <w:semiHidden/>
    <w:unhideWhenUsed/>
    <w:rsid w:val="0004169A"/>
    <w:rPr>
      <w:rFonts w:ascii="Tahoma" w:hAnsi="Tahoma" w:cs="Tahoma"/>
      <w:sz w:val="16"/>
      <w:szCs w:val="16"/>
    </w:rPr>
  </w:style>
  <w:style w:type="character" w:customStyle="1" w:styleId="BalloonTextChar">
    <w:name w:val="Balloon Text Char"/>
    <w:basedOn w:val="DefaultParagraphFont"/>
    <w:link w:val="BalloonText"/>
    <w:uiPriority w:val="99"/>
    <w:semiHidden/>
    <w:rsid w:val="0004169A"/>
    <w:rPr>
      <w:rFonts w:ascii="Tahoma" w:eastAsiaTheme="minorEastAsia" w:hAnsi="Tahoma" w:cs="Tahoma"/>
      <w:sz w:val="16"/>
      <w:szCs w:val="16"/>
      <w:lang w:eastAsia="zh-CN"/>
    </w:rPr>
  </w:style>
  <w:style w:type="paragraph" w:styleId="ListParagraph">
    <w:name w:val="List Paragraph"/>
    <w:basedOn w:val="Normal"/>
    <w:uiPriority w:val="34"/>
    <w:qFormat/>
    <w:rsid w:val="00482D91"/>
    <w:pPr>
      <w:ind w:left="720"/>
    </w:pPr>
    <w:rPr>
      <w:rFonts w:ascii="Calibri" w:hAnsi="Calibri"/>
      <w:lang w:eastAsia="en-US"/>
    </w:rPr>
  </w:style>
  <w:style w:type="paragraph" w:styleId="PlainText">
    <w:name w:val="Plain Text"/>
    <w:basedOn w:val="Normal"/>
    <w:link w:val="PlainTextChar"/>
    <w:uiPriority w:val="99"/>
    <w:unhideWhenUsed/>
    <w:rsid w:val="00B065FC"/>
    <w:pPr>
      <w:spacing w:line="273" w:lineRule="auto"/>
    </w:pPr>
    <w:rPr>
      <w:rFonts w:ascii="Calibri" w:eastAsia="Times New Roman" w:hAnsi="Calibri"/>
      <w:color w:val="000000"/>
      <w:kern w:val="28"/>
      <w:szCs w:val="21"/>
      <w14:ligatures w14:val="standard"/>
      <w14:cntxtAlts/>
    </w:rPr>
  </w:style>
  <w:style w:type="character" w:customStyle="1" w:styleId="PlainTextChar">
    <w:name w:val="Plain Text Char"/>
    <w:basedOn w:val="DefaultParagraphFont"/>
    <w:link w:val="PlainText"/>
    <w:uiPriority w:val="99"/>
    <w:rsid w:val="00B065FC"/>
    <w:rPr>
      <w:rFonts w:ascii="Calibri" w:eastAsia="Times New Roman" w:hAnsi="Calibri" w:cs="Times New Roman"/>
      <w:color w:val="000000"/>
      <w:kern w:val="28"/>
      <w:szCs w:val="21"/>
      <w:lang w:eastAsia="en-GB"/>
      <w14:ligatures w14:val="standard"/>
      <w14:cntxtAlts/>
    </w:rPr>
  </w:style>
  <w:style w:type="character" w:styleId="CommentReference">
    <w:name w:val="annotation reference"/>
    <w:basedOn w:val="DefaultParagraphFont"/>
    <w:uiPriority w:val="99"/>
    <w:semiHidden/>
    <w:unhideWhenUsed/>
    <w:rsid w:val="00BE40A1"/>
    <w:rPr>
      <w:sz w:val="18"/>
      <w:szCs w:val="18"/>
    </w:rPr>
  </w:style>
  <w:style w:type="paragraph" w:styleId="CommentText">
    <w:name w:val="annotation text"/>
    <w:basedOn w:val="Normal"/>
    <w:link w:val="CommentTextChar"/>
    <w:uiPriority w:val="99"/>
    <w:unhideWhenUsed/>
    <w:rsid w:val="00BE40A1"/>
  </w:style>
  <w:style w:type="character" w:customStyle="1" w:styleId="CommentTextChar">
    <w:name w:val="Comment Text Char"/>
    <w:basedOn w:val="DefaultParagraphFont"/>
    <w:link w:val="CommentText"/>
    <w:uiPriority w:val="99"/>
    <w:rsid w:val="00BE40A1"/>
    <w:rPr>
      <w:rFonts w:eastAsiaTheme="minorEastAsia"/>
      <w:sz w:val="24"/>
      <w:szCs w:val="24"/>
      <w:lang w:eastAsia="zh-CN"/>
    </w:rPr>
  </w:style>
  <w:style w:type="paragraph" w:styleId="CommentSubject">
    <w:name w:val="annotation subject"/>
    <w:basedOn w:val="CommentText"/>
    <w:next w:val="CommentText"/>
    <w:link w:val="CommentSubjectChar"/>
    <w:uiPriority w:val="99"/>
    <w:semiHidden/>
    <w:unhideWhenUsed/>
    <w:rsid w:val="00BE40A1"/>
    <w:rPr>
      <w:b/>
      <w:bCs/>
      <w:sz w:val="20"/>
      <w:szCs w:val="20"/>
    </w:rPr>
  </w:style>
  <w:style w:type="character" w:customStyle="1" w:styleId="CommentSubjectChar">
    <w:name w:val="Comment Subject Char"/>
    <w:basedOn w:val="CommentTextChar"/>
    <w:link w:val="CommentSubject"/>
    <w:uiPriority w:val="99"/>
    <w:semiHidden/>
    <w:rsid w:val="00BE40A1"/>
    <w:rPr>
      <w:rFonts w:eastAsiaTheme="minorEastAsia"/>
      <w:b/>
      <w:bCs/>
      <w:sz w:val="20"/>
      <w:szCs w:val="20"/>
      <w:lang w:eastAsia="zh-CN"/>
    </w:rPr>
  </w:style>
  <w:style w:type="paragraph" w:styleId="Header">
    <w:name w:val="header"/>
    <w:basedOn w:val="Normal"/>
    <w:link w:val="HeaderChar"/>
    <w:uiPriority w:val="99"/>
    <w:unhideWhenUsed/>
    <w:rsid w:val="00EF464E"/>
    <w:pPr>
      <w:tabs>
        <w:tab w:val="center" w:pos="4513"/>
        <w:tab w:val="right" w:pos="9026"/>
      </w:tabs>
    </w:pPr>
  </w:style>
  <w:style w:type="character" w:customStyle="1" w:styleId="HeaderChar">
    <w:name w:val="Header Char"/>
    <w:basedOn w:val="DefaultParagraphFont"/>
    <w:link w:val="Header"/>
    <w:uiPriority w:val="99"/>
    <w:rsid w:val="00EF464E"/>
    <w:rPr>
      <w:rFonts w:eastAsiaTheme="minorEastAsia"/>
      <w:lang w:eastAsia="zh-CN"/>
    </w:rPr>
  </w:style>
  <w:style w:type="paragraph" w:styleId="Footer">
    <w:name w:val="footer"/>
    <w:basedOn w:val="Normal"/>
    <w:link w:val="FooterChar"/>
    <w:uiPriority w:val="99"/>
    <w:unhideWhenUsed/>
    <w:rsid w:val="00EF464E"/>
    <w:pPr>
      <w:tabs>
        <w:tab w:val="center" w:pos="4513"/>
        <w:tab w:val="right" w:pos="9026"/>
      </w:tabs>
    </w:pPr>
  </w:style>
  <w:style w:type="character" w:customStyle="1" w:styleId="FooterChar">
    <w:name w:val="Footer Char"/>
    <w:basedOn w:val="DefaultParagraphFont"/>
    <w:link w:val="Footer"/>
    <w:uiPriority w:val="99"/>
    <w:rsid w:val="00EF464E"/>
    <w:rPr>
      <w:rFonts w:eastAsiaTheme="minorEastAsia"/>
      <w:lang w:eastAsia="zh-CN"/>
    </w:rPr>
  </w:style>
  <w:style w:type="paragraph" w:styleId="FootnoteText">
    <w:name w:val="footnote text"/>
    <w:basedOn w:val="Normal"/>
    <w:link w:val="FootnoteTextChar"/>
    <w:uiPriority w:val="99"/>
    <w:unhideWhenUsed/>
    <w:rsid w:val="00695607"/>
  </w:style>
  <w:style w:type="character" w:customStyle="1" w:styleId="FootnoteTextChar">
    <w:name w:val="Footnote Text Char"/>
    <w:basedOn w:val="DefaultParagraphFont"/>
    <w:link w:val="FootnoteText"/>
    <w:uiPriority w:val="99"/>
    <w:rsid w:val="00695607"/>
    <w:rPr>
      <w:rFonts w:eastAsiaTheme="minorEastAsia"/>
      <w:sz w:val="24"/>
      <w:szCs w:val="24"/>
      <w:lang w:eastAsia="zh-CN"/>
    </w:rPr>
  </w:style>
  <w:style w:type="character" w:styleId="FootnoteReference">
    <w:name w:val="footnote reference"/>
    <w:basedOn w:val="DefaultParagraphFont"/>
    <w:uiPriority w:val="99"/>
    <w:unhideWhenUsed/>
    <w:rsid w:val="00695607"/>
    <w:rPr>
      <w:vertAlign w:val="superscript"/>
    </w:rPr>
  </w:style>
  <w:style w:type="paragraph" w:styleId="NormalWeb">
    <w:name w:val="Normal (Web)"/>
    <w:basedOn w:val="Normal"/>
    <w:uiPriority w:val="99"/>
    <w:semiHidden/>
    <w:unhideWhenUsed/>
    <w:rsid w:val="005553EC"/>
    <w:pPr>
      <w:spacing w:before="100" w:beforeAutospacing="1" w:after="100" w:afterAutospacing="1"/>
    </w:pPr>
  </w:style>
  <w:style w:type="table" w:styleId="TableGrid">
    <w:name w:val="Table Grid"/>
    <w:basedOn w:val="TableNormal"/>
    <w:uiPriority w:val="39"/>
    <w:rsid w:val="0022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
    <w:name w:val="text2"/>
    <w:basedOn w:val="DefaultParagraphFont"/>
    <w:rsid w:val="00BB0A23"/>
  </w:style>
  <w:style w:type="paragraph" w:styleId="Revision">
    <w:name w:val="Revision"/>
    <w:hidden/>
    <w:uiPriority w:val="99"/>
    <w:semiHidden/>
    <w:rsid w:val="008E049E"/>
    <w:pPr>
      <w:spacing w:after="0" w:line="240" w:lineRule="auto"/>
    </w:pPr>
    <w:rPr>
      <w:rFonts w:ascii="Times New Roman" w:hAnsi="Times New Roman" w:cs="Times New Roman"/>
      <w:sz w:val="24"/>
      <w:szCs w:val="24"/>
      <w:lang w:eastAsia="en-GB"/>
    </w:rPr>
  </w:style>
  <w:style w:type="character" w:customStyle="1" w:styleId="selectable">
    <w:name w:val="selectable"/>
    <w:basedOn w:val="DefaultParagraphFont"/>
    <w:rsid w:val="006451D3"/>
  </w:style>
  <w:style w:type="paragraph" w:customStyle="1" w:styleId="EndNoteBibliography">
    <w:name w:val="EndNote Bibliography"/>
    <w:basedOn w:val="Normal"/>
    <w:link w:val="EndNoteBibliographyChar"/>
    <w:rsid w:val="00266621"/>
    <w:pPr>
      <w:spacing w:after="200"/>
    </w:pPr>
    <w:rPr>
      <w:rFonts w:ascii="Calibri" w:eastAsiaTheme="minorEastAsia" w:hAnsi="Calibri"/>
      <w:noProof/>
      <w:sz w:val="22"/>
      <w:szCs w:val="22"/>
      <w:lang w:eastAsia="zh-CN"/>
    </w:rPr>
  </w:style>
  <w:style w:type="character" w:customStyle="1" w:styleId="EndNoteBibliographyChar">
    <w:name w:val="EndNote Bibliography Char"/>
    <w:basedOn w:val="DefaultParagraphFont"/>
    <w:link w:val="EndNoteBibliography"/>
    <w:rsid w:val="00266621"/>
    <w:rPr>
      <w:rFonts w:ascii="Calibri" w:eastAsiaTheme="minorEastAsia" w:hAnsi="Calibri" w:cs="Times New Roman"/>
      <w:noProof/>
      <w:lang w:eastAsia="zh-CN"/>
    </w:rPr>
  </w:style>
  <w:style w:type="character" w:customStyle="1" w:styleId="abstract">
    <w:name w:val="abstract"/>
    <w:basedOn w:val="DefaultParagraphFont"/>
    <w:rsid w:val="0039580F"/>
  </w:style>
  <w:style w:type="character" w:styleId="PageNumber">
    <w:name w:val="page number"/>
    <w:basedOn w:val="DefaultParagraphFont"/>
    <w:uiPriority w:val="99"/>
    <w:semiHidden/>
    <w:unhideWhenUsed/>
    <w:rsid w:val="004D077E"/>
  </w:style>
  <w:style w:type="character" w:customStyle="1" w:styleId="UnresolvedMention1">
    <w:name w:val="Unresolved Mention1"/>
    <w:basedOn w:val="DefaultParagraphFont"/>
    <w:uiPriority w:val="99"/>
    <w:semiHidden/>
    <w:unhideWhenUsed/>
    <w:rsid w:val="00376055"/>
    <w:rPr>
      <w:color w:val="605E5C"/>
      <w:shd w:val="clear" w:color="auto" w:fill="E1DFDD"/>
    </w:rPr>
  </w:style>
  <w:style w:type="character" w:styleId="FollowedHyperlink">
    <w:name w:val="FollowedHyperlink"/>
    <w:basedOn w:val="DefaultParagraphFont"/>
    <w:uiPriority w:val="99"/>
    <w:semiHidden/>
    <w:unhideWhenUsed/>
    <w:rsid w:val="00D87B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87002">
      <w:bodyDiv w:val="1"/>
      <w:marLeft w:val="0"/>
      <w:marRight w:val="0"/>
      <w:marTop w:val="0"/>
      <w:marBottom w:val="0"/>
      <w:divBdr>
        <w:top w:val="none" w:sz="0" w:space="0" w:color="auto"/>
        <w:left w:val="none" w:sz="0" w:space="0" w:color="auto"/>
        <w:bottom w:val="none" w:sz="0" w:space="0" w:color="auto"/>
        <w:right w:val="none" w:sz="0" w:space="0" w:color="auto"/>
      </w:divBdr>
      <w:divsChild>
        <w:div w:id="207766393">
          <w:marLeft w:val="0"/>
          <w:marRight w:val="0"/>
          <w:marTop w:val="0"/>
          <w:marBottom w:val="0"/>
          <w:divBdr>
            <w:top w:val="none" w:sz="0" w:space="0" w:color="auto"/>
            <w:left w:val="none" w:sz="0" w:space="0" w:color="auto"/>
            <w:bottom w:val="none" w:sz="0" w:space="0" w:color="auto"/>
            <w:right w:val="none" w:sz="0" w:space="0" w:color="auto"/>
          </w:divBdr>
          <w:divsChild>
            <w:div w:id="503210685">
              <w:marLeft w:val="0"/>
              <w:marRight w:val="0"/>
              <w:marTop w:val="0"/>
              <w:marBottom w:val="0"/>
              <w:divBdr>
                <w:top w:val="none" w:sz="0" w:space="0" w:color="auto"/>
                <w:left w:val="none" w:sz="0" w:space="0" w:color="auto"/>
                <w:bottom w:val="none" w:sz="0" w:space="0" w:color="auto"/>
                <w:right w:val="none" w:sz="0" w:space="0" w:color="auto"/>
              </w:divBdr>
              <w:divsChild>
                <w:div w:id="3888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33302">
      <w:bodyDiv w:val="1"/>
      <w:marLeft w:val="0"/>
      <w:marRight w:val="0"/>
      <w:marTop w:val="0"/>
      <w:marBottom w:val="0"/>
      <w:divBdr>
        <w:top w:val="none" w:sz="0" w:space="0" w:color="auto"/>
        <w:left w:val="none" w:sz="0" w:space="0" w:color="auto"/>
        <w:bottom w:val="none" w:sz="0" w:space="0" w:color="auto"/>
        <w:right w:val="none" w:sz="0" w:space="0" w:color="auto"/>
      </w:divBdr>
      <w:divsChild>
        <w:div w:id="1119685720">
          <w:marLeft w:val="0"/>
          <w:marRight w:val="0"/>
          <w:marTop w:val="0"/>
          <w:marBottom w:val="0"/>
          <w:divBdr>
            <w:top w:val="none" w:sz="0" w:space="0" w:color="auto"/>
            <w:left w:val="none" w:sz="0" w:space="0" w:color="auto"/>
            <w:bottom w:val="none" w:sz="0" w:space="0" w:color="auto"/>
            <w:right w:val="none" w:sz="0" w:space="0" w:color="auto"/>
          </w:divBdr>
          <w:divsChild>
            <w:div w:id="199823243">
              <w:marLeft w:val="0"/>
              <w:marRight w:val="0"/>
              <w:marTop w:val="0"/>
              <w:marBottom w:val="0"/>
              <w:divBdr>
                <w:top w:val="none" w:sz="0" w:space="0" w:color="auto"/>
                <w:left w:val="none" w:sz="0" w:space="0" w:color="auto"/>
                <w:bottom w:val="none" w:sz="0" w:space="0" w:color="auto"/>
                <w:right w:val="none" w:sz="0" w:space="0" w:color="auto"/>
              </w:divBdr>
              <w:divsChild>
                <w:div w:id="3419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59023">
      <w:bodyDiv w:val="1"/>
      <w:marLeft w:val="0"/>
      <w:marRight w:val="0"/>
      <w:marTop w:val="0"/>
      <w:marBottom w:val="0"/>
      <w:divBdr>
        <w:top w:val="none" w:sz="0" w:space="0" w:color="auto"/>
        <w:left w:val="none" w:sz="0" w:space="0" w:color="auto"/>
        <w:bottom w:val="none" w:sz="0" w:space="0" w:color="auto"/>
        <w:right w:val="none" w:sz="0" w:space="0" w:color="auto"/>
      </w:divBdr>
    </w:div>
    <w:div w:id="403072406">
      <w:bodyDiv w:val="1"/>
      <w:marLeft w:val="0"/>
      <w:marRight w:val="0"/>
      <w:marTop w:val="0"/>
      <w:marBottom w:val="0"/>
      <w:divBdr>
        <w:top w:val="none" w:sz="0" w:space="0" w:color="auto"/>
        <w:left w:val="none" w:sz="0" w:space="0" w:color="auto"/>
        <w:bottom w:val="none" w:sz="0" w:space="0" w:color="auto"/>
        <w:right w:val="none" w:sz="0" w:space="0" w:color="auto"/>
      </w:divBdr>
    </w:div>
    <w:div w:id="406615323">
      <w:bodyDiv w:val="1"/>
      <w:marLeft w:val="0"/>
      <w:marRight w:val="0"/>
      <w:marTop w:val="0"/>
      <w:marBottom w:val="0"/>
      <w:divBdr>
        <w:top w:val="none" w:sz="0" w:space="0" w:color="auto"/>
        <w:left w:val="none" w:sz="0" w:space="0" w:color="auto"/>
        <w:bottom w:val="none" w:sz="0" w:space="0" w:color="auto"/>
        <w:right w:val="none" w:sz="0" w:space="0" w:color="auto"/>
      </w:divBdr>
      <w:divsChild>
        <w:div w:id="80876222">
          <w:marLeft w:val="0"/>
          <w:marRight w:val="0"/>
          <w:marTop w:val="0"/>
          <w:marBottom w:val="0"/>
          <w:divBdr>
            <w:top w:val="none" w:sz="0" w:space="0" w:color="auto"/>
            <w:left w:val="none" w:sz="0" w:space="0" w:color="auto"/>
            <w:bottom w:val="none" w:sz="0" w:space="0" w:color="auto"/>
            <w:right w:val="none" w:sz="0" w:space="0" w:color="auto"/>
          </w:divBdr>
          <w:divsChild>
            <w:div w:id="1417941403">
              <w:marLeft w:val="0"/>
              <w:marRight w:val="0"/>
              <w:marTop w:val="0"/>
              <w:marBottom w:val="0"/>
              <w:divBdr>
                <w:top w:val="none" w:sz="0" w:space="0" w:color="auto"/>
                <w:left w:val="none" w:sz="0" w:space="0" w:color="auto"/>
                <w:bottom w:val="none" w:sz="0" w:space="0" w:color="auto"/>
                <w:right w:val="none" w:sz="0" w:space="0" w:color="auto"/>
              </w:divBdr>
              <w:divsChild>
                <w:div w:id="108930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6739">
      <w:bodyDiv w:val="1"/>
      <w:marLeft w:val="0"/>
      <w:marRight w:val="0"/>
      <w:marTop w:val="0"/>
      <w:marBottom w:val="0"/>
      <w:divBdr>
        <w:top w:val="none" w:sz="0" w:space="0" w:color="auto"/>
        <w:left w:val="none" w:sz="0" w:space="0" w:color="auto"/>
        <w:bottom w:val="none" w:sz="0" w:space="0" w:color="auto"/>
        <w:right w:val="none" w:sz="0" w:space="0" w:color="auto"/>
      </w:divBdr>
    </w:div>
    <w:div w:id="489947387">
      <w:bodyDiv w:val="1"/>
      <w:marLeft w:val="0"/>
      <w:marRight w:val="0"/>
      <w:marTop w:val="0"/>
      <w:marBottom w:val="0"/>
      <w:divBdr>
        <w:top w:val="none" w:sz="0" w:space="0" w:color="auto"/>
        <w:left w:val="none" w:sz="0" w:space="0" w:color="auto"/>
        <w:bottom w:val="none" w:sz="0" w:space="0" w:color="auto"/>
        <w:right w:val="none" w:sz="0" w:space="0" w:color="auto"/>
      </w:divBdr>
      <w:divsChild>
        <w:div w:id="1665742502">
          <w:marLeft w:val="0"/>
          <w:marRight w:val="0"/>
          <w:marTop w:val="0"/>
          <w:marBottom w:val="0"/>
          <w:divBdr>
            <w:top w:val="none" w:sz="0" w:space="0" w:color="auto"/>
            <w:left w:val="none" w:sz="0" w:space="0" w:color="auto"/>
            <w:bottom w:val="none" w:sz="0" w:space="0" w:color="auto"/>
            <w:right w:val="none" w:sz="0" w:space="0" w:color="auto"/>
          </w:divBdr>
          <w:divsChild>
            <w:div w:id="344527382">
              <w:marLeft w:val="0"/>
              <w:marRight w:val="0"/>
              <w:marTop w:val="0"/>
              <w:marBottom w:val="0"/>
              <w:divBdr>
                <w:top w:val="none" w:sz="0" w:space="0" w:color="auto"/>
                <w:left w:val="none" w:sz="0" w:space="0" w:color="auto"/>
                <w:bottom w:val="none" w:sz="0" w:space="0" w:color="auto"/>
                <w:right w:val="none" w:sz="0" w:space="0" w:color="auto"/>
              </w:divBdr>
              <w:divsChild>
                <w:div w:id="17822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3172">
      <w:bodyDiv w:val="1"/>
      <w:marLeft w:val="0"/>
      <w:marRight w:val="0"/>
      <w:marTop w:val="0"/>
      <w:marBottom w:val="0"/>
      <w:divBdr>
        <w:top w:val="none" w:sz="0" w:space="0" w:color="auto"/>
        <w:left w:val="none" w:sz="0" w:space="0" w:color="auto"/>
        <w:bottom w:val="none" w:sz="0" w:space="0" w:color="auto"/>
        <w:right w:val="none" w:sz="0" w:space="0" w:color="auto"/>
      </w:divBdr>
    </w:div>
    <w:div w:id="597757579">
      <w:bodyDiv w:val="1"/>
      <w:marLeft w:val="0"/>
      <w:marRight w:val="0"/>
      <w:marTop w:val="0"/>
      <w:marBottom w:val="0"/>
      <w:divBdr>
        <w:top w:val="none" w:sz="0" w:space="0" w:color="auto"/>
        <w:left w:val="none" w:sz="0" w:space="0" w:color="auto"/>
        <w:bottom w:val="none" w:sz="0" w:space="0" w:color="auto"/>
        <w:right w:val="none" w:sz="0" w:space="0" w:color="auto"/>
      </w:divBdr>
    </w:div>
    <w:div w:id="621687224">
      <w:bodyDiv w:val="1"/>
      <w:marLeft w:val="0"/>
      <w:marRight w:val="0"/>
      <w:marTop w:val="0"/>
      <w:marBottom w:val="0"/>
      <w:divBdr>
        <w:top w:val="none" w:sz="0" w:space="0" w:color="auto"/>
        <w:left w:val="none" w:sz="0" w:space="0" w:color="auto"/>
        <w:bottom w:val="none" w:sz="0" w:space="0" w:color="auto"/>
        <w:right w:val="none" w:sz="0" w:space="0" w:color="auto"/>
      </w:divBdr>
    </w:div>
    <w:div w:id="756903062">
      <w:bodyDiv w:val="1"/>
      <w:marLeft w:val="0"/>
      <w:marRight w:val="0"/>
      <w:marTop w:val="0"/>
      <w:marBottom w:val="0"/>
      <w:divBdr>
        <w:top w:val="none" w:sz="0" w:space="0" w:color="auto"/>
        <w:left w:val="none" w:sz="0" w:space="0" w:color="auto"/>
        <w:bottom w:val="none" w:sz="0" w:space="0" w:color="auto"/>
        <w:right w:val="none" w:sz="0" w:space="0" w:color="auto"/>
      </w:divBdr>
    </w:div>
    <w:div w:id="880945688">
      <w:bodyDiv w:val="1"/>
      <w:marLeft w:val="0"/>
      <w:marRight w:val="0"/>
      <w:marTop w:val="0"/>
      <w:marBottom w:val="0"/>
      <w:divBdr>
        <w:top w:val="none" w:sz="0" w:space="0" w:color="auto"/>
        <w:left w:val="none" w:sz="0" w:space="0" w:color="auto"/>
        <w:bottom w:val="none" w:sz="0" w:space="0" w:color="auto"/>
        <w:right w:val="none" w:sz="0" w:space="0" w:color="auto"/>
      </w:divBdr>
      <w:divsChild>
        <w:div w:id="1858038856">
          <w:marLeft w:val="0"/>
          <w:marRight w:val="0"/>
          <w:marTop w:val="0"/>
          <w:marBottom w:val="0"/>
          <w:divBdr>
            <w:top w:val="none" w:sz="0" w:space="0" w:color="auto"/>
            <w:left w:val="none" w:sz="0" w:space="0" w:color="auto"/>
            <w:bottom w:val="none" w:sz="0" w:space="0" w:color="auto"/>
            <w:right w:val="none" w:sz="0" w:space="0" w:color="auto"/>
          </w:divBdr>
          <w:divsChild>
            <w:div w:id="1479612310">
              <w:marLeft w:val="0"/>
              <w:marRight w:val="0"/>
              <w:marTop w:val="0"/>
              <w:marBottom w:val="0"/>
              <w:divBdr>
                <w:top w:val="none" w:sz="0" w:space="0" w:color="auto"/>
                <w:left w:val="none" w:sz="0" w:space="0" w:color="auto"/>
                <w:bottom w:val="none" w:sz="0" w:space="0" w:color="auto"/>
                <w:right w:val="none" w:sz="0" w:space="0" w:color="auto"/>
              </w:divBdr>
              <w:divsChild>
                <w:div w:id="15248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7822">
      <w:bodyDiv w:val="1"/>
      <w:marLeft w:val="0"/>
      <w:marRight w:val="0"/>
      <w:marTop w:val="0"/>
      <w:marBottom w:val="0"/>
      <w:divBdr>
        <w:top w:val="none" w:sz="0" w:space="0" w:color="auto"/>
        <w:left w:val="none" w:sz="0" w:space="0" w:color="auto"/>
        <w:bottom w:val="none" w:sz="0" w:space="0" w:color="auto"/>
        <w:right w:val="none" w:sz="0" w:space="0" w:color="auto"/>
      </w:divBdr>
    </w:div>
    <w:div w:id="891579444">
      <w:bodyDiv w:val="1"/>
      <w:marLeft w:val="0"/>
      <w:marRight w:val="0"/>
      <w:marTop w:val="0"/>
      <w:marBottom w:val="0"/>
      <w:divBdr>
        <w:top w:val="none" w:sz="0" w:space="0" w:color="auto"/>
        <w:left w:val="none" w:sz="0" w:space="0" w:color="auto"/>
        <w:bottom w:val="none" w:sz="0" w:space="0" w:color="auto"/>
        <w:right w:val="none" w:sz="0" w:space="0" w:color="auto"/>
      </w:divBdr>
    </w:div>
    <w:div w:id="958678603">
      <w:bodyDiv w:val="1"/>
      <w:marLeft w:val="0"/>
      <w:marRight w:val="0"/>
      <w:marTop w:val="0"/>
      <w:marBottom w:val="0"/>
      <w:divBdr>
        <w:top w:val="none" w:sz="0" w:space="0" w:color="auto"/>
        <w:left w:val="none" w:sz="0" w:space="0" w:color="auto"/>
        <w:bottom w:val="none" w:sz="0" w:space="0" w:color="auto"/>
        <w:right w:val="none" w:sz="0" w:space="0" w:color="auto"/>
      </w:divBdr>
    </w:div>
    <w:div w:id="1034116552">
      <w:bodyDiv w:val="1"/>
      <w:marLeft w:val="0"/>
      <w:marRight w:val="0"/>
      <w:marTop w:val="0"/>
      <w:marBottom w:val="0"/>
      <w:divBdr>
        <w:top w:val="none" w:sz="0" w:space="0" w:color="auto"/>
        <w:left w:val="none" w:sz="0" w:space="0" w:color="auto"/>
        <w:bottom w:val="none" w:sz="0" w:space="0" w:color="auto"/>
        <w:right w:val="none" w:sz="0" w:space="0" w:color="auto"/>
      </w:divBdr>
    </w:div>
    <w:div w:id="1058018446">
      <w:bodyDiv w:val="1"/>
      <w:marLeft w:val="0"/>
      <w:marRight w:val="0"/>
      <w:marTop w:val="0"/>
      <w:marBottom w:val="0"/>
      <w:divBdr>
        <w:top w:val="none" w:sz="0" w:space="0" w:color="auto"/>
        <w:left w:val="none" w:sz="0" w:space="0" w:color="auto"/>
        <w:bottom w:val="none" w:sz="0" w:space="0" w:color="auto"/>
        <w:right w:val="none" w:sz="0" w:space="0" w:color="auto"/>
      </w:divBdr>
    </w:div>
    <w:div w:id="1118451592">
      <w:bodyDiv w:val="1"/>
      <w:marLeft w:val="0"/>
      <w:marRight w:val="0"/>
      <w:marTop w:val="0"/>
      <w:marBottom w:val="0"/>
      <w:divBdr>
        <w:top w:val="none" w:sz="0" w:space="0" w:color="auto"/>
        <w:left w:val="none" w:sz="0" w:space="0" w:color="auto"/>
        <w:bottom w:val="none" w:sz="0" w:space="0" w:color="auto"/>
        <w:right w:val="none" w:sz="0" w:space="0" w:color="auto"/>
      </w:divBdr>
    </w:div>
    <w:div w:id="1157260577">
      <w:bodyDiv w:val="1"/>
      <w:marLeft w:val="0"/>
      <w:marRight w:val="0"/>
      <w:marTop w:val="0"/>
      <w:marBottom w:val="0"/>
      <w:divBdr>
        <w:top w:val="none" w:sz="0" w:space="0" w:color="auto"/>
        <w:left w:val="none" w:sz="0" w:space="0" w:color="auto"/>
        <w:bottom w:val="none" w:sz="0" w:space="0" w:color="auto"/>
        <w:right w:val="none" w:sz="0" w:space="0" w:color="auto"/>
      </w:divBdr>
      <w:divsChild>
        <w:div w:id="1502811853">
          <w:marLeft w:val="0"/>
          <w:marRight w:val="0"/>
          <w:marTop w:val="0"/>
          <w:marBottom w:val="0"/>
          <w:divBdr>
            <w:top w:val="none" w:sz="0" w:space="0" w:color="auto"/>
            <w:left w:val="none" w:sz="0" w:space="0" w:color="auto"/>
            <w:bottom w:val="none" w:sz="0" w:space="0" w:color="auto"/>
            <w:right w:val="none" w:sz="0" w:space="0" w:color="auto"/>
          </w:divBdr>
          <w:divsChild>
            <w:div w:id="1651788711">
              <w:marLeft w:val="0"/>
              <w:marRight w:val="0"/>
              <w:marTop w:val="0"/>
              <w:marBottom w:val="0"/>
              <w:divBdr>
                <w:top w:val="none" w:sz="0" w:space="0" w:color="auto"/>
                <w:left w:val="none" w:sz="0" w:space="0" w:color="auto"/>
                <w:bottom w:val="none" w:sz="0" w:space="0" w:color="auto"/>
                <w:right w:val="none" w:sz="0" w:space="0" w:color="auto"/>
              </w:divBdr>
              <w:divsChild>
                <w:div w:id="9020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09286">
      <w:bodyDiv w:val="1"/>
      <w:marLeft w:val="0"/>
      <w:marRight w:val="0"/>
      <w:marTop w:val="0"/>
      <w:marBottom w:val="0"/>
      <w:divBdr>
        <w:top w:val="none" w:sz="0" w:space="0" w:color="auto"/>
        <w:left w:val="none" w:sz="0" w:space="0" w:color="auto"/>
        <w:bottom w:val="none" w:sz="0" w:space="0" w:color="auto"/>
        <w:right w:val="none" w:sz="0" w:space="0" w:color="auto"/>
      </w:divBdr>
    </w:div>
    <w:div w:id="1185826320">
      <w:bodyDiv w:val="1"/>
      <w:marLeft w:val="0"/>
      <w:marRight w:val="0"/>
      <w:marTop w:val="0"/>
      <w:marBottom w:val="0"/>
      <w:divBdr>
        <w:top w:val="none" w:sz="0" w:space="0" w:color="auto"/>
        <w:left w:val="none" w:sz="0" w:space="0" w:color="auto"/>
        <w:bottom w:val="none" w:sz="0" w:space="0" w:color="auto"/>
        <w:right w:val="none" w:sz="0" w:space="0" w:color="auto"/>
      </w:divBdr>
      <w:divsChild>
        <w:div w:id="1695616276">
          <w:marLeft w:val="0"/>
          <w:marRight w:val="0"/>
          <w:marTop w:val="0"/>
          <w:marBottom w:val="0"/>
          <w:divBdr>
            <w:top w:val="none" w:sz="0" w:space="0" w:color="auto"/>
            <w:left w:val="none" w:sz="0" w:space="0" w:color="auto"/>
            <w:bottom w:val="none" w:sz="0" w:space="0" w:color="auto"/>
            <w:right w:val="none" w:sz="0" w:space="0" w:color="auto"/>
          </w:divBdr>
          <w:divsChild>
            <w:div w:id="1900752285">
              <w:marLeft w:val="0"/>
              <w:marRight w:val="0"/>
              <w:marTop w:val="0"/>
              <w:marBottom w:val="0"/>
              <w:divBdr>
                <w:top w:val="none" w:sz="0" w:space="0" w:color="auto"/>
                <w:left w:val="none" w:sz="0" w:space="0" w:color="auto"/>
                <w:bottom w:val="none" w:sz="0" w:space="0" w:color="auto"/>
                <w:right w:val="none" w:sz="0" w:space="0" w:color="auto"/>
              </w:divBdr>
              <w:divsChild>
                <w:div w:id="13192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9289">
      <w:bodyDiv w:val="1"/>
      <w:marLeft w:val="0"/>
      <w:marRight w:val="0"/>
      <w:marTop w:val="0"/>
      <w:marBottom w:val="0"/>
      <w:divBdr>
        <w:top w:val="none" w:sz="0" w:space="0" w:color="auto"/>
        <w:left w:val="none" w:sz="0" w:space="0" w:color="auto"/>
        <w:bottom w:val="none" w:sz="0" w:space="0" w:color="auto"/>
        <w:right w:val="none" w:sz="0" w:space="0" w:color="auto"/>
      </w:divBdr>
    </w:div>
    <w:div w:id="1307473500">
      <w:bodyDiv w:val="1"/>
      <w:marLeft w:val="0"/>
      <w:marRight w:val="0"/>
      <w:marTop w:val="0"/>
      <w:marBottom w:val="0"/>
      <w:divBdr>
        <w:top w:val="none" w:sz="0" w:space="0" w:color="auto"/>
        <w:left w:val="none" w:sz="0" w:space="0" w:color="auto"/>
        <w:bottom w:val="none" w:sz="0" w:space="0" w:color="auto"/>
        <w:right w:val="none" w:sz="0" w:space="0" w:color="auto"/>
      </w:divBdr>
    </w:div>
    <w:div w:id="1380471332">
      <w:bodyDiv w:val="1"/>
      <w:marLeft w:val="0"/>
      <w:marRight w:val="0"/>
      <w:marTop w:val="0"/>
      <w:marBottom w:val="0"/>
      <w:divBdr>
        <w:top w:val="none" w:sz="0" w:space="0" w:color="auto"/>
        <w:left w:val="none" w:sz="0" w:space="0" w:color="auto"/>
        <w:bottom w:val="none" w:sz="0" w:space="0" w:color="auto"/>
        <w:right w:val="none" w:sz="0" w:space="0" w:color="auto"/>
      </w:divBdr>
    </w:div>
    <w:div w:id="1409502976">
      <w:bodyDiv w:val="1"/>
      <w:marLeft w:val="0"/>
      <w:marRight w:val="0"/>
      <w:marTop w:val="0"/>
      <w:marBottom w:val="0"/>
      <w:divBdr>
        <w:top w:val="none" w:sz="0" w:space="0" w:color="auto"/>
        <w:left w:val="none" w:sz="0" w:space="0" w:color="auto"/>
        <w:bottom w:val="none" w:sz="0" w:space="0" w:color="auto"/>
        <w:right w:val="none" w:sz="0" w:space="0" w:color="auto"/>
      </w:divBdr>
    </w:div>
    <w:div w:id="1448936827">
      <w:bodyDiv w:val="1"/>
      <w:marLeft w:val="0"/>
      <w:marRight w:val="0"/>
      <w:marTop w:val="0"/>
      <w:marBottom w:val="0"/>
      <w:divBdr>
        <w:top w:val="none" w:sz="0" w:space="0" w:color="auto"/>
        <w:left w:val="none" w:sz="0" w:space="0" w:color="auto"/>
        <w:bottom w:val="none" w:sz="0" w:space="0" w:color="auto"/>
        <w:right w:val="none" w:sz="0" w:space="0" w:color="auto"/>
      </w:divBdr>
      <w:divsChild>
        <w:div w:id="288440680">
          <w:marLeft w:val="0"/>
          <w:marRight w:val="0"/>
          <w:marTop w:val="120"/>
          <w:marBottom w:val="0"/>
          <w:divBdr>
            <w:top w:val="none" w:sz="0" w:space="0" w:color="auto"/>
            <w:left w:val="none" w:sz="0" w:space="0" w:color="auto"/>
            <w:bottom w:val="none" w:sz="0" w:space="0" w:color="auto"/>
            <w:right w:val="none" w:sz="0" w:space="0" w:color="auto"/>
          </w:divBdr>
        </w:div>
        <w:div w:id="1330526157">
          <w:marLeft w:val="0"/>
          <w:marRight w:val="0"/>
          <w:marTop w:val="120"/>
          <w:marBottom w:val="0"/>
          <w:divBdr>
            <w:top w:val="none" w:sz="0" w:space="0" w:color="auto"/>
            <w:left w:val="none" w:sz="0" w:space="0" w:color="auto"/>
            <w:bottom w:val="none" w:sz="0" w:space="0" w:color="auto"/>
            <w:right w:val="none" w:sz="0" w:space="0" w:color="auto"/>
          </w:divBdr>
        </w:div>
      </w:divsChild>
    </w:div>
    <w:div w:id="1453936106">
      <w:bodyDiv w:val="1"/>
      <w:marLeft w:val="0"/>
      <w:marRight w:val="0"/>
      <w:marTop w:val="0"/>
      <w:marBottom w:val="0"/>
      <w:divBdr>
        <w:top w:val="none" w:sz="0" w:space="0" w:color="auto"/>
        <w:left w:val="none" w:sz="0" w:space="0" w:color="auto"/>
        <w:bottom w:val="none" w:sz="0" w:space="0" w:color="auto"/>
        <w:right w:val="none" w:sz="0" w:space="0" w:color="auto"/>
      </w:divBdr>
    </w:div>
    <w:div w:id="1541552897">
      <w:bodyDiv w:val="1"/>
      <w:marLeft w:val="0"/>
      <w:marRight w:val="0"/>
      <w:marTop w:val="0"/>
      <w:marBottom w:val="0"/>
      <w:divBdr>
        <w:top w:val="none" w:sz="0" w:space="0" w:color="auto"/>
        <w:left w:val="none" w:sz="0" w:space="0" w:color="auto"/>
        <w:bottom w:val="none" w:sz="0" w:space="0" w:color="auto"/>
        <w:right w:val="none" w:sz="0" w:space="0" w:color="auto"/>
      </w:divBdr>
    </w:div>
    <w:div w:id="1584872092">
      <w:bodyDiv w:val="1"/>
      <w:marLeft w:val="0"/>
      <w:marRight w:val="0"/>
      <w:marTop w:val="0"/>
      <w:marBottom w:val="0"/>
      <w:divBdr>
        <w:top w:val="none" w:sz="0" w:space="0" w:color="auto"/>
        <w:left w:val="none" w:sz="0" w:space="0" w:color="auto"/>
        <w:bottom w:val="none" w:sz="0" w:space="0" w:color="auto"/>
        <w:right w:val="none" w:sz="0" w:space="0" w:color="auto"/>
      </w:divBdr>
    </w:div>
    <w:div w:id="1641812468">
      <w:bodyDiv w:val="1"/>
      <w:marLeft w:val="0"/>
      <w:marRight w:val="0"/>
      <w:marTop w:val="0"/>
      <w:marBottom w:val="0"/>
      <w:divBdr>
        <w:top w:val="none" w:sz="0" w:space="0" w:color="auto"/>
        <w:left w:val="none" w:sz="0" w:space="0" w:color="auto"/>
        <w:bottom w:val="none" w:sz="0" w:space="0" w:color="auto"/>
        <w:right w:val="none" w:sz="0" w:space="0" w:color="auto"/>
      </w:divBdr>
    </w:div>
    <w:div w:id="1668678266">
      <w:bodyDiv w:val="1"/>
      <w:marLeft w:val="0"/>
      <w:marRight w:val="0"/>
      <w:marTop w:val="0"/>
      <w:marBottom w:val="0"/>
      <w:divBdr>
        <w:top w:val="none" w:sz="0" w:space="0" w:color="auto"/>
        <w:left w:val="none" w:sz="0" w:space="0" w:color="auto"/>
        <w:bottom w:val="none" w:sz="0" w:space="0" w:color="auto"/>
        <w:right w:val="none" w:sz="0" w:space="0" w:color="auto"/>
      </w:divBdr>
      <w:divsChild>
        <w:div w:id="649942948">
          <w:marLeft w:val="0"/>
          <w:marRight w:val="0"/>
          <w:marTop w:val="0"/>
          <w:marBottom w:val="0"/>
          <w:divBdr>
            <w:top w:val="none" w:sz="0" w:space="0" w:color="auto"/>
            <w:left w:val="none" w:sz="0" w:space="0" w:color="auto"/>
            <w:bottom w:val="none" w:sz="0" w:space="0" w:color="auto"/>
            <w:right w:val="none" w:sz="0" w:space="0" w:color="auto"/>
          </w:divBdr>
          <w:divsChild>
            <w:div w:id="2115899434">
              <w:marLeft w:val="0"/>
              <w:marRight w:val="0"/>
              <w:marTop w:val="0"/>
              <w:marBottom w:val="0"/>
              <w:divBdr>
                <w:top w:val="none" w:sz="0" w:space="0" w:color="auto"/>
                <w:left w:val="none" w:sz="0" w:space="0" w:color="auto"/>
                <w:bottom w:val="none" w:sz="0" w:space="0" w:color="auto"/>
                <w:right w:val="none" w:sz="0" w:space="0" w:color="auto"/>
              </w:divBdr>
              <w:divsChild>
                <w:div w:id="1817381722">
                  <w:marLeft w:val="0"/>
                  <w:marRight w:val="0"/>
                  <w:marTop w:val="0"/>
                  <w:marBottom w:val="0"/>
                  <w:divBdr>
                    <w:top w:val="none" w:sz="0" w:space="0" w:color="auto"/>
                    <w:left w:val="none" w:sz="0" w:space="0" w:color="auto"/>
                    <w:bottom w:val="none" w:sz="0" w:space="0" w:color="auto"/>
                    <w:right w:val="none" w:sz="0" w:space="0" w:color="auto"/>
                  </w:divBdr>
                  <w:divsChild>
                    <w:div w:id="8012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389008">
      <w:bodyDiv w:val="1"/>
      <w:marLeft w:val="0"/>
      <w:marRight w:val="0"/>
      <w:marTop w:val="0"/>
      <w:marBottom w:val="0"/>
      <w:divBdr>
        <w:top w:val="none" w:sz="0" w:space="0" w:color="auto"/>
        <w:left w:val="none" w:sz="0" w:space="0" w:color="auto"/>
        <w:bottom w:val="none" w:sz="0" w:space="0" w:color="auto"/>
        <w:right w:val="none" w:sz="0" w:space="0" w:color="auto"/>
      </w:divBdr>
    </w:div>
    <w:div w:id="1937857228">
      <w:bodyDiv w:val="1"/>
      <w:marLeft w:val="0"/>
      <w:marRight w:val="0"/>
      <w:marTop w:val="0"/>
      <w:marBottom w:val="0"/>
      <w:divBdr>
        <w:top w:val="none" w:sz="0" w:space="0" w:color="auto"/>
        <w:left w:val="none" w:sz="0" w:space="0" w:color="auto"/>
        <w:bottom w:val="none" w:sz="0" w:space="0" w:color="auto"/>
        <w:right w:val="none" w:sz="0" w:space="0" w:color="auto"/>
      </w:divBdr>
    </w:div>
    <w:div w:id="1986546488">
      <w:bodyDiv w:val="1"/>
      <w:marLeft w:val="0"/>
      <w:marRight w:val="0"/>
      <w:marTop w:val="0"/>
      <w:marBottom w:val="0"/>
      <w:divBdr>
        <w:top w:val="none" w:sz="0" w:space="0" w:color="auto"/>
        <w:left w:val="none" w:sz="0" w:space="0" w:color="auto"/>
        <w:bottom w:val="none" w:sz="0" w:space="0" w:color="auto"/>
        <w:right w:val="none" w:sz="0" w:space="0" w:color="auto"/>
      </w:divBdr>
    </w:div>
    <w:div w:id="2038387088">
      <w:bodyDiv w:val="1"/>
      <w:marLeft w:val="0"/>
      <w:marRight w:val="0"/>
      <w:marTop w:val="0"/>
      <w:marBottom w:val="0"/>
      <w:divBdr>
        <w:top w:val="none" w:sz="0" w:space="0" w:color="auto"/>
        <w:left w:val="none" w:sz="0" w:space="0" w:color="auto"/>
        <w:bottom w:val="none" w:sz="0" w:space="0" w:color="auto"/>
        <w:right w:val="none" w:sz="0" w:space="0" w:color="auto"/>
      </w:divBdr>
    </w:div>
    <w:div w:id="2042242062">
      <w:bodyDiv w:val="1"/>
      <w:marLeft w:val="0"/>
      <w:marRight w:val="0"/>
      <w:marTop w:val="0"/>
      <w:marBottom w:val="0"/>
      <w:divBdr>
        <w:top w:val="none" w:sz="0" w:space="0" w:color="auto"/>
        <w:left w:val="none" w:sz="0" w:space="0" w:color="auto"/>
        <w:bottom w:val="none" w:sz="0" w:space="0" w:color="auto"/>
        <w:right w:val="none" w:sz="0" w:space="0" w:color="auto"/>
      </w:divBdr>
      <w:divsChild>
        <w:div w:id="742337602">
          <w:marLeft w:val="0"/>
          <w:marRight w:val="0"/>
          <w:marTop w:val="0"/>
          <w:marBottom w:val="0"/>
          <w:divBdr>
            <w:top w:val="none" w:sz="0" w:space="0" w:color="auto"/>
            <w:left w:val="none" w:sz="0" w:space="0" w:color="auto"/>
            <w:bottom w:val="none" w:sz="0" w:space="0" w:color="auto"/>
            <w:right w:val="none" w:sz="0" w:space="0" w:color="auto"/>
          </w:divBdr>
          <w:divsChild>
            <w:div w:id="118452346">
              <w:marLeft w:val="0"/>
              <w:marRight w:val="0"/>
              <w:marTop w:val="0"/>
              <w:marBottom w:val="0"/>
              <w:divBdr>
                <w:top w:val="none" w:sz="0" w:space="0" w:color="auto"/>
                <w:left w:val="none" w:sz="0" w:space="0" w:color="auto"/>
                <w:bottom w:val="none" w:sz="0" w:space="0" w:color="auto"/>
                <w:right w:val="none" w:sz="0" w:space="0" w:color="auto"/>
              </w:divBdr>
              <w:divsChild>
                <w:div w:id="5625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t@soton.ac.uk" TargetMode="External"/><Relationship Id="rId13" Type="http://schemas.openxmlformats.org/officeDocument/2006/relationships/hyperlink" Target="mailto:tom.freeman@kcl.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indocha@ucl.ac.uk" TargetMode="External"/><Relationship Id="rId17" Type="http://schemas.openxmlformats.org/officeDocument/2006/relationships/hyperlink" Target="mailto:thomas.richardson@solent.nhs.uk" TargetMode="External"/><Relationship Id="rId2" Type="http://schemas.openxmlformats.org/officeDocument/2006/relationships/numbering" Target="numbering.xml"/><Relationship Id="rId16" Type="http://schemas.openxmlformats.org/officeDocument/2006/relationships/hyperlink" Target="mailto:t.p.freeman@bath.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petrilli@ucl.ac.uk" TargetMode="External"/><Relationship Id="rId5" Type="http://schemas.openxmlformats.org/officeDocument/2006/relationships/webSettings" Target="webSettings.xml"/><Relationship Id="rId15" Type="http://schemas.openxmlformats.org/officeDocument/2006/relationships/hyperlink" Target="mailto:m.bloomfield@ucl.ac.uk" TargetMode="External"/><Relationship Id="rId10" Type="http://schemas.openxmlformats.org/officeDocument/2006/relationships/hyperlink" Target="mailto:rachel.lees@ucl.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omas.richardson@solent.nhs.uk" TargetMode="External"/><Relationship Id="rId14" Type="http://schemas.openxmlformats.org/officeDocument/2006/relationships/hyperlink" Target="mailto:hbolderston@bournemouth.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D9E5-B4A9-9A44-AC34-17512320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4862</Words>
  <Characters>27716</Characters>
  <Application>Microsoft Office Word</Application>
  <DocSecurity>0</DocSecurity>
  <Lines>230</Lines>
  <Paragraphs>65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Cognitive fusion as a candidate psychological vulnerability factor for psychosis</vt:lpstr>
      <vt:lpstr>An experimental study of acute ∆9-tetrahydrocannabinol (THC) intoxication</vt:lpstr>
      <vt:lpstr/>
      <vt:lpstr>Abstract</vt:lpstr>
    </vt:vector>
  </TitlesOfParts>
  <Company>Solent</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Thomas - Principal Clinical Psychologist</dc:creator>
  <cp:lastModifiedBy>Katherine Newman-Taylor</cp:lastModifiedBy>
  <cp:revision>2</cp:revision>
  <dcterms:created xsi:type="dcterms:W3CDTF">2021-01-07T17:05:00Z</dcterms:created>
  <dcterms:modified xsi:type="dcterms:W3CDTF">2021-01-07T17:05:00Z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