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285ED" w14:textId="7B72FF44" w:rsidR="005246A3" w:rsidRPr="002B5BF5" w:rsidRDefault="005246A3" w:rsidP="005246A3">
      <w:pPr>
        <w:spacing w:line="360" w:lineRule="auto"/>
        <w:ind w:right="-514"/>
        <w:rPr>
          <w:rFonts w:ascii="Times New Roman" w:hAnsi="Times New Roman" w:cs="Times New Roman"/>
          <w:b/>
          <w:bCs/>
          <w:sz w:val="28"/>
          <w:szCs w:val="28"/>
          <w:lang w:val="en-AU"/>
        </w:rPr>
      </w:pPr>
      <w:bookmarkStart w:id="0" w:name="_Hlk34646793"/>
      <w:bookmarkStart w:id="1" w:name="_Hlk10138013"/>
      <w:r w:rsidRPr="002B5BF5">
        <w:rPr>
          <w:rFonts w:ascii="Times New Roman" w:hAnsi="Times New Roman" w:cs="Times New Roman"/>
          <w:b/>
          <w:bCs/>
          <w:sz w:val="28"/>
          <w:szCs w:val="28"/>
        </w:rPr>
        <w:t>Home-Based Intervention to Test and Start (HITS): A community-randomized controlled trial to increase HIV testing uptake among men in rural South Africa</w:t>
      </w:r>
    </w:p>
    <w:bookmarkEnd w:id="0"/>
    <w:p w14:paraId="5FE3D75C" w14:textId="53410704" w:rsidR="00FC5DBC" w:rsidRPr="002B5BF5" w:rsidRDefault="00FC5DBC" w:rsidP="00FC5DBC">
      <w:pPr>
        <w:spacing w:line="360" w:lineRule="auto"/>
        <w:jc w:val="both"/>
        <w:rPr>
          <w:rFonts w:ascii="Times New Roman" w:hAnsi="Times New Roman" w:cs="Times New Roman"/>
          <w:vertAlign w:val="superscript"/>
        </w:rPr>
      </w:pPr>
      <w:r w:rsidRPr="002B5BF5">
        <w:rPr>
          <w:rFonts w:ascii="Times New Roman" w:hAnsi="Times New Roman" w:cs="Times New Roman"/>
        </w:rPr>
        <w:t>Frank C Tanser</w:t>
      </w:r>
      <w:r w:rsidRPr="002B5BF5">
        <w:rPr>
          <w:rFonts w:ascii="Times New Roman" w:hAnsi="Times New Roman" w:cs="Times New Roman"/>
          <w:vertAlign w:val="superscript"/>
        </w:rPr>
        <w:t>1,2,3,4</w:t>
      </w:r>
      <w:r w:rsidR="00AA1D59" w:rsidRPr="002B5BF5">
        <w:t>*</w:t>
      </w:r>
      <w:r w:rsidR="00AA1D59" w:rsidRPr="002B5BF5">
        <w:rPr>
          <w:vertAlign w:val="superscript"/>
        </w:rPr>
        <w:t>§</w:t>
      </w:r>
      <w:r w:rsidRPr="002B5BF5">
        <w:rPr>
          <w:rFonts w:ascii="Times New Roman" w:hAnsi="Times New Roman" w:cs="Times New Roman"/>
        </w:rPr>
        <w:t>, Hae-Young Kim</w:t>
      </w:r>
      <w:r w:rsidR="005A54FA" w:rsidRPr="002B5BF5">
        <w:rPr>
          <w:rFonts w:ascii="Times New Roman" w:hAnsi="Times New Roman" w:cs="Times New Roman"/>
          <w:vertAlign w:val="superscript"/>
        </w:rPr>
        <w:t>1</w:t>
      </w:r>
      <w:r w:rsidRPr="002B5BF5">
        <w:rPr>
          <w:rFonts w:ascii="Times New Roman" w:hAnsi="Times New Roman" w:cs="Times New Roman"/>
          <w:vertAlign w:val="superscript"/>
        </w:rPr>
        <w:t>,5,6</w:t>
      </w:r>
      <w:r w:rsidR="00AA1D59" w:rsidRPr="002B5BF5">
        <w:t>*</w:t>
      </w:r>
      <w:r w:rsidRPr="002B5BF5">
        <w:rPr>
          <w:rFonts w:ascii="Times New Roman" w:hAnsi="Times New Roman" w:cs="Times New Roman"/>
        </w:rPr>
        <w:t>, Thulile Mathenjwa</w:t>
      </w:r>
      <w:r w:rsidR="005A54FA" w:rsidRPr="002B5BF5">
        <w:rPr>
          <w:rFonts w:ascii="Times New Roman" w:hAnsi="Times New Roman" w:cs="Times New Roman"/>
          <w:vertAlign w:val="superscript"/>
        </w:rPr>
        <w:t>1</w:t>
      </w:r>
      <w:r w:rsidRPr="002B5BF5">
        <w:rPr>
          <w:rFonts w:ascii="Times New Roman" w:hAnsi="Times New Roman" w:cs="Times New Roman"/>
        </w:rPr>
        <w:t>, Maryam Shahmanesh</w:t>
      </w:r>
      <w:r w:rsidR="005A54FA" w:rsidRPr="002B5BF5">
        <w:rPr>
          <w:rFonts w:ascii="Times New Roman" w:hAnsi="Times New Roman" w:cs="Times New Roman"/>
          <w:vertAlign w:val="superscript"/>
        </w:rPr>
        <w:t>1</w:t>
      </w:r>
      <w:r w:rsidRPr="002B5BF5">
        <w:rPr>
          <w:rFonts w:ascii="Times New Roman" w:hAnsi="Times New Roman" w:cs="Times New Roman"/>
          <w:vertAlign w:val="superscript"/>
        </w:rPr>
        <w:t>,7</w:t>
      </w:r>
      <w:r w:rsidRPr="002B5BF5">
        <w:rPr>
          <w:rFonts w:ascii="Times New Roman" w:hAnsi="Times New Roman" w:cs="Times New Roman"/>
        </w:rPr>
        <w:t>, Janet Seeley</w:t>
      </w:r>
      <w:r w:rsidR="005A54FA" w:rsidRPr="002B5BF5">
        <w:rPr>
          <w:rFonts w:ascii="Times New Roman" w:hAnsi="Times New Roman" w:cs="Times New Roman"/>
          <w:vertAlign w:val="superscript"/>
        </w:rPr>
        <w:t>1</w:t>
      </w:r>
      <w:r w:rsidRPr="002B5BF5">
        <w:rPr>
          <w:rFonts w:ascii="Times New Roman" w:hAnsi="Times New Roman" w:cs="Times New Roman"/>
          <w:vertAlign w:val="superscript"/>
        </w:rPr>
        <w:t>,8</w:t>
      </w:r>
      <w:r w:rsidRPr="002B5BF5">
        <w:rPr>
          <w:rFonts w:ascii="Times New Roman" w:hAnsi="Times New Roman" w:cs="Times New Roman"/>
        </w:rPr>
        <w:t xml:space="preserve">, </w:t>
      </w:r>
      <w:proofErr w:type="spellStart"/>
      <w:r w:rsidRPr="002B5BF5">
        <w:rPr>
          <w:rFonts w:ascii="Times New Roman" w:hAnsi="Times New Roman" w:cs="Times New Roman"/>
        </w:rPr>
        <w:t>P</w:t>
      </w:r>
      <w:r w:rsidR="00613974" w:rsidRPr="002B5BF5">
        <w:rPr>
          <w:rFonts w:ascii="Times New Roman" w:hAnsi="Times New Roman" w:cs="Times New Roman"/>
        </w:rPr>
        <w:t>h</w:t>
      </w:r>
      <w:r w:rsidRPr="002B5BF5">
        <w:rPr>
          <w:rFonts w:ascii="Times New Roman" w:hAnsi="Times New Roman" w:cs="Times New Roman"/>
        </w:rPr>
        <w:t>illippa</w:t>
      </w:r>
      <w:proofErr w:type="spellEnd"/>
      <w:r w:rsidRPr="002B5BF5">
        <w:rPr>
          <w:rFonts w:ascii="Times New Roman" w:hAnsi="Times New Roman" w:cs="Times New Roman"/>
        </w:rPr>
        <w:t xml:space="preserve"> Matthews</w:t>
      </w:r>
      <w:r w:rsidR="005A54FA" w:rsidRPr="002B5BF5">
        <w:rPr>
          <w:rFonts w:ascii="Times New Roman" w:hAnsi="Times New Roman" w:cs="Times New Roman"/>
          <w:vertAlign w:val="superscript"/>
        </w:rPr>
        <w:t>1</w:t>
      </w:r>
      <w:r w:rsidRPr="002B5BF5">
        <w:rPr>
          <w:rFonts w:ascii="Times New Roman" w:hAnsi="Times New Roman" w:cs="Times New Roman"/>
        </w:rPr>
        <w:t>, Sally Wyke</w:t>
      </w:r>
      <w:r w:rsidRPr="002B5BF5">
        <w:rPr>
          <w:rFonts w:ascii="Times New Roman" w:hAnsi="Times New Roman" w:cs="Times New Roman"/>
          <w:vertAlign w:val="superscript"/>
        </w:rPr>
        <w:t>9</w:t>
      </w:r>
      <w:r w:rsidRPr="002B5BF5">
        <w:rPr>
          <w:rFonts w:ascii="Times New Roman" w:hAnsi="Times New Roman" w:cs="Times New Roman"/>
        </w:rPr>
        <w:t>, Nuala McGrath</w:t>
      </w:r>
      <w:r w:rsidR="005A54FA" w:rsidRPr="002B5BF5">
        <w:rPr>
          <w:rFonts w:ascii="Times New Roman" w:hAnsi="Times New Roman" w:cs="Times New Roman"/>
          <w:vertAlign w:val="superscript"/>
        </w:rPr>
        <w:t>1</w:t>
      </w:r>
      <w:r w:rsidRPr="002B5BF5">
        <w:rPr>
          <w:rFonts w:ascii="Times New Roman" w:hAnsi="Times New Roman" w:cs="Times New Roman"/>
          <w:vertAlign w:val="superscript"/>
        </w:rPr>
        <w:t>,10</w:t>
      </w:r>
      <w:r w:rsidRPr="002B5BF5">
        <w:rPr>
          <w:rFonts w:ascii="Times New Roman" w:hAnsi="Times New Roman" w:cs="Times New Roman"/>
        </w:rPr>
        <w:t xml:space="preserve">, </w:t>
      </w:r>
      <w:r w:rsidR="00BD14B4">
        <w:rPr>
          <w:rFonts w:ascii="Times New Roman" w:hAnsi="Times New Roman" w:cs="Times New Roman"/>
        </w:rPr>
        <w:t xml:space="preserve">Oluwafemi </w:t>
      </w:r>
      <w:r w:rsidR="00BD14B4" w:rsidRPr="00E438D2">
        <w:rPr>
          <w:rFonts w:ascii="Times New Roman" w:hAnsi="Times New Roman" w:cs="Times New Roman"/>
          <w:lang w:val="en-GB"/>
        </w:rPr>
        <w:t>Adeagbo</w:t>
      </w:r>
      <w:r w:rsidR="00BD14B4">
        <w:rPr>
          <w:rFonts w:ascii="Times New Roman" w:hAnsi="Times New Roman" w:cs="Times New Roman"/>
          <w:vertAlign w:val="superscript"/>
        </w:rPr>
        <w:t>1</w:t>
      </w:r>
      <w:r w:rsidR="00BD14B4" w:rsidRPr="00E438D2">
        <w:rPr>
          <w:rFonts w:ascii="Times New Roman" w:hAnsi="Times New Roman" w:cs="Times New Roman"/>
          <w:vertAlign w:val="superscript"/>
        </w:rPr>
        <w:t>,11</w:t>
      </w:r>
      <w:r w:rsidR="00BD14B4">
        <w:rPr>
          <w:rFonts w:ascii="Times New Roman" w:hAnsi="Times New Roman" w:cs="Times New Roman"/>
          <w:vertAlign w:val="superscript"/>
        </w:rPr>
        <w:t>,12</w:t>
      </w:r>
      <w:r w:rsidR="00BD14B4" w:rsidRPr="00E438D2">
        <w:rPr>
          <w:rFonts w:ascii="Times New Roman" w:hAnsi="Times New Roman" w:cs="Times New Roman"/>
        </w:rPr>
        <w:t>,</w:t>
      </w:r>
      <w:r w:rsidR="00BD14B4">
        <w:rPr>
          <w:rFonts w:ascii="Times New Roman" w:hAnsi="Times New Roman" w:cs="Times New Roman"/>
        </w:rPr>
        <w:t xml:space="preserve"> Benn</w:t>
      </w:r>
      <w:r w:rsidR="00BD14B4" w:rsidRPr="00E438D2">
        <w:rPr>
          <w:rFonts w:ascii="Times New Roman" w:hAnsi="Times New Roman" w:cs="Times New Roman"/>
        </w:rPr>
        <w:t xml:space="preserve"> Sartorius</w:t>
      </w:r>
      <w:r w:rsidR="00BD14B4" w:rsidRPr="00E438D2">
        <w:rPr>
          <w:rFonts w:ascii="Times New Roman" w:hAnsi="Times New Roman" w:cs="Times New Roman"/>
          <w:vertAlign w:val="superscript"/>
        </w:rPr>
        <w:t>3,8</w:t>
      </w:r>
      <w:r w:rsidR="00BD14B4" w:rsidRPr="00E438D2">
        <w:rPr>
          <w:rFonts w:ascii="Times New Roman" w:hAnsi="Times New Roman" w:cs="Times New Roman"/>
        </w:rPr>
        <w:t xml:space="preserve">, </w:t>
      </w:r>
      <w:proofErr w:type="spellStart"/>
      <w:r w:rsidR="00BD14B4" w:rsidRPr="00E438D2">
        <w:rPr>
          <w:rFonts w:ascii="Times New Roman" w:hAnsi="Times New Roman" w:cs="Times New Roman"/>
        </w:rPr>
        <w:t>Handurugamage</w:t>
      </w:r>
      <w:proofErr w:type="spellEnd"/>
      <w:r w:rsidR="00BD14B4">
        <w:rPr>
          <w:rFonts w:ascii="Times New Roman" w:hAnsi="Times New Roman" w:cs="Times New Roman"/>
        </w:rPr>
        <w:t xml:space="preserve"> Manisha </w:t>
      </w:r>
      <w:r w:rsidR="00BD14B4" w:rsidRPr="00E438D2">
        <w:rPr>
          <w:rFonts w:ascii="Times New Roman" w:hAnsi="Times New Roman" w:cs="Times New Roman"/>
        </w:rPr>
        <w:t>Yapa</w:t>
      </w:r>
      <w:r w:rsidR="00BD14B4">
        <w:rPr>
          <w:rFonts w:ascii="Times New Roman" w:hAnsi="Times New Roman" w:cs="Times New Roman"/>
          <w:vertAlign w:val="superscript"/>
        </w:rPr>
        <w:t>1</w:t>
      </w:r>
      <w:r w:rsidR="00BD14B4" w:rsidRPr="00E438D2">
        <w:rPr>
          <w:rFonts w:ascii="Times New Roman" w:hAnsi="Times New Roman" w:cs="Times New Roman"/>
          <w:vertAlign w:val="superscript"/>
        </w:rPr>
        <w:t>,1</w:t>
      </w:r>
      <w:r w:rsidR="00BD14B4">
        <w:rPr>
          <w:rFonts w:ascii="Times New Roman" w:hAnsi="Times New Roman" w:cs="Times New Roman"/>
          <w:vertAlign w:val="superscript"/>
        </w:rPr>
        <w:t>3</w:t>
      </w:r>
      <w:r w:rsidR="00BD14B4" w:rsidRPr="00E438D2">
        <w:rPr>
          <w:rFonts w:ascii="Times New Roman" w:hAnsi="Times New Roman" w:cs="Times New Roman"/>
        </w:rPr>
        <w:t>, Thembelihl</w:t>
      </w:r>
      <w:r w:rsidR="00BD14B4">
        <w:rPr>
          <w:rFonts w:ascii="Times New Roman" w:hAnsi="Times New Roman" w:cs="Times New Roman"/>
        </w:rPr>
        <w:t xml:space="preserve">e </w:t>
      </w:r>
      <w:r w:rsidR="00BD14B4" w:rsidRPr="00E438D2">
        <w:rPr>
          <w:rFonts w:ascii="Times New Roman" w:hAnsi="Times New Roman" w:cs="Times New Roman"/>
        </w:rPr>
        <w:t>Zuma</w:t>
      </w:r>
      <w:r w:rsidR="00BD14B4">
        <w:rPr>
          <w:rFonts w:ascii="Times New Roman" w:hAnsi="Times New Roman" w:cs="Times New Roman"/>
          <w:vertAlign w:val="superscript"/>
        </w:rPr>
        <w:t>1</w:t>
      </w:r>
      <w:r w:rsidR="00BD14B4" w:rsidRPr="00E438D2">
        <w:rPr>
          <w:rFonts w:ascii="Times New Roman" w:hAnsi="Times New Roman" w:cs="Times New Roman"/>
        </w:rPr>
        <w:t xml:space="preserve">, </w:t>
      </w:r>
      <w:r w:rsidR="00BD14B4">
        <w:rPr>
          <w:rFonts w:ascii="Times New Roman" w:hAnsi="Times New Roman" w:cs="Times New Roman"/>
        </w:rPr>
        <w:t xml:space="preserve">Anya </w:t>
      </w:r>
      <w:r w:rsidR="00BD14B4" w:rsidRPr="00E438D2">
        <w:rPr>
          <w:rFonts w:ascii="Times New Roman" w:hAnsi="Times New Roman" w:cs="Times New Roman"/>
        </w:rPr>
        <w:t>Zeitlin</w:t>
      </w:r>
      <w:r w:rsidR="00BD14B4" w:rsidRPr="00E438D2">
        <w:rPr>
          <w:rFonts w:ascii="Times New Roman" w:hAnsi="Times New Roman" w:cs="Times New Roman"/>
          <w:vertAlign w:val="superscript"/>
        </w:rPr>
        <w:t>7</w:t>
      </w:r>
      <w:r w:rsidR="00BD14B4" w:rsidRPr="00E438D2">
        <w:rPr>
          <w:rFonts w:ascii="Times New Roman" w:hAnsi="Times New Roman" w:cs="Times New Roman"/>
        </w:rPr>
        <w:t xml:space="preserve">, </w:t>
      </w:r>
      <w:r w:rsidR="00BD14B4">
        <w:rPr>
          <w:rFonts w:ascii="Times New Roman" w:hAnsi="Times New Roman" w:cs="Times New Roman"/>
        </w:rPr>
        <w:t xml:space="preserve">Ann </w:t>
      </w:r>
      <w:r w:rsidR="00BD14B4" w:rsidRPr="00E438D2">
        <w:rPr>
          <w:rFonts w:ascii="Times New Roman" w:hAnsi="Times New Roman" w:cs="Times New Roman"/>
        </w:rPr>
        <w:t>Blandford</w:t>
      </w:r>
      <w:r w:rsidR="00BD14B4" w:rsidRPr="00E438D2">
        <w:rPr>
          <w:rFonts w:ascii="Times New Roman" w:hAnsi="Times New Roman" w:cs="Times New Roman"/>
          <w:vertAlign w:val="superscript"/>
        </w:rPr>
        <w:t>1</w:t>
      </w:r>
      <w:r w:rsidR="00BD14B4">
        <w:rPr>
          <w:rFonts w:ascii="Times New Roman" w:hAnsi="Times New Roman" w:cs="Times New Roman"/>
          <w:vertAlign w:val="superscript"/>
        </w:rPr>
        <w:t>4</w:t>
      </w:r>
      <w:r w:rsidR="00BD14B4" w:rsidRPr="00E438D2">
        <w:rPr>
          <w:rFonts w:ascii="Times New Roman" w:hAnsi="Times New Roman" w:cs="Times New Roman"/>
        </w:rPr>
        <w:t xml:space="preserve">, </w:t>
      </w:r>
      <w:r w:rsidR="00BD14B4">
        <w:rPr>
          <w:rFonts w:ascii="Times New Roman" w:hAnsi="Times New Roman" w:cs="Times New Roman"/>
        </w:rPr>
        <w:t xml:space="preserve">Adrian </w:t>
      </w:r>
      <w:r w:rsidR="00BD14B4" w:rsidRPr="00E438D2">
        <w:rPr>
          <w:rFonts w:ascii="Times New Roman" w:hAnsi="Times New Roman" w:cs="Times New Roman"/>
        </w:rPr>
        <w:t>Dobra</w:t>
      </w:r>
      <w:r w:rsidR="00BD14B4" w:rsidRPr="00E438D2">
        <w:rPr>
          <w:rFonts w:ascii="Times New Roman" w:hAnsi="Times New Roman" w:cs="Times New Roman"/>
          <w:vertAlign w:val="superscript"/>
        </w:rPr>
        <w:t>1</w:t>
      </w:r>
      <w:r w:rsidR="00BD14B4">
        <w:rPr>
          <w:rFonts w:ascii="Times New Roman" w:hAnsi="Times New Roman" w:cs="Times New Roman"/>
          <w:vertAlign w:val="superscript"/>
        </w:rPr>
        <w:t>5</w:t>
      </w:r>
      <w:r w:rsidR="00BD14B4" w:rsidRPr="00E438D2">
        <w:rPr>
          <w:rFonts w:ascii="Times New Roman" w:hAnsi="Times New Roman" w:cs="Times New Roman"/>
        </w:rPr>
        <w:t xml:space="preserve">, </w:t>
      </w:r>
      <w:r w:rsidR="00BD14B4">
        <w:rPr>
          <w:rFonts w:ascii="Times New Roman" w:hAnsi="Times New Roman" w:cs="Times New Roman"/>
        </w:rPr>
        <w:t xml:space="preserve">Till </w:t>
      </w:r>
      <w:r w:rsidR="00BD14B4" w:rsidRPr="00E438D2">
        <w:rPr>
          <w:rFonts w:ascii="Times New Roman" w:hAnsi="Times New Roman" w:cs="Times New Roman"/>
        </w:rPr>
        <w:t>Bärnighausen</w:t>
      </w:r>
      <w:r w:rsidR="00BD14B4">
        <w:rPr>
          <w:rFonts w:ascii="Times New Roman" w:hAnsi="Times New Roman" w:cs="Times New Roman"/>
          <w:vertAlign w:val="superscript"/>
        </w:rPr>
        <w:t>1</w:t>
      </w:r>
      <w:r w:rsidR="00BD14B4" w:rsidRPr="00E438D2">
        <w:rPr>
          <w:rFonts w:ascii="Times New Roman" w:hAnsi="Times New Roman" w:cs="Times New Roman"/>
          <w:vertAlign w:val="superscript"/>
        </w:rPr>
        <w:t>,1</w:t>
      </w:r>
      <w:r w:rsidR="00BD14B4">
        <w:rPr>
          <w:rFonts w:ascii="Times New Roman" w:hAnsi="Times New Roman" w:cs="Times New Roman"/>
          <w:vertAlign w:val="superscript"/>
        </w:rPr>
        <w:t>6</w:t>
      </w:r>
    </w:p>
    <w:p w14:paraId="769B5A44" w14:textId="2924B0F0" w:rsidR="005A54FA" w:rsidRPr="002B5BF5" w:rsidRDefault="000C4A8C" w:rsidP="004B1675">
      <w:pPr>
        <w:jc w:val="both"/>
        <w:rPr>
          <w:rFonts w:ascii="Times New Roman" w:hAnsi="Times New Roman" w:cs="Times New Roman"/>
        </w:rPr>
      </w:pPr>
      <w:r w:rsidRPr="002B5BF5">
        <w:rPr>
          <w:rFonts w:ascii="Times New Roman" w:hAnsi="Times New Roman" w:cs="Times New Roman"/>
          <w:vertAlign w:val="superscript"/>
        </w:rPr>
        <w:t>1</w:t>
      </w:r>
      <w:r w:rsidRPr="002B5BF5">
        <w:rPr>
          <w:rFonts w:ascii="Times New Roman" w:hAnsi="Times New Roman" w:cs="Times New Roman"/>
        </w:rPr>
        <w:t xml:space="preserve"> </w:t>
      </w:r>
      <w:r w:rsidR="005A54FA" w:rsidRPr="002B5BF5">
        <w:rPr>
          <w:rFonts w:ascii="Times New Roman" w:hAnsi="Times New Roman" w:cs="Times New Roman"/>
        </w:rPr>
        <w:t>Africa Health Research Institute, KwaZulu-Natal, South Africa</w:t>
      </w:r>
    </w:p>
    <w:p w14:paraId="1E6F03B3" w14:textId="1E4D6B3C" w:rsidR="004B1675" w:rsidRPr="002B5BF5" w:rsidRDefault="005A54FA" w:rsidP="004B1675">
      <w:pPr>
        <w:jc w:val="both"/>
        <w:rPr>
          <w:rFonts w:ascii="Times New Roman" w:hAnsi="Times New Roman" w:cs="Times New Roman"/>
        </w:rPr>
      </w:pPr>
      <w:r w:rsidRPr="002B5BF5">
        <w:rPr>
          <w:rFonts w:ascii="Times New Roman" w:hAnsi="Times New Roman" w:cs="Times New Roman"/>
          <w:vertAlign w:val="superscript"/>
        </w:rPr>
        <w:t xml:space="preserve">2 </w:t>
      </w:r>
      <w:r w:rsidR="004B1675" w:rsidRPr="002B5BF5">
        <w:rPr>
          <w:rFonts w:ascii="Times New Roman" w:hAnsi="Times New Roman" w:cs="Times New Roman"/>
        </w:rPr>
        <w:t xml:space="preserve">Lincoln </w:t>
      </w:r>
      <w:r w:rsidR="00BD257B" w:rsidRPr="002B5BF5">
        <w:rPr>
          <w:rFonts w:ascii="Times New Roman" w:hAnsi="Times New Roman" w:cs="Times New Roman"/>
        </w:rPr>
        <w:t xml:space="preserve">International </w:t>
      </w:r>
      <w:r w:rsidR="004B1675" w:rsidRPr="002B5BF5">
        <w:rPr>
          <w:rFonts w:ascii="Times New Roman" w:hAnsi="Times New Roman" w:cs="Times New Roman"/>
        </w:rPr>
        <w:t xml:space="preserve">Institute </w:t>
      </w:r>
      <w:r w:rsidR="00F147A1" w:rsidRPr="002B5BF5">
        <w:rPr>
          <w:rFonts w:ascii="Times New Roman" w:hAnsi="Times New Roman" w:cs="Times New Roman"/>
        </w:rPr>
        <w:t>for</w:t>
      </w:r>
      <w:r w:rsidR="004B1675" w:rsidRPr="002B5BF5">
        <w:rPr>
          <w:rFonts w:ascii="Times New Roman" w:hAnsi="Times New Roman" w:cs="Times New Roman"/>
        </w:rPr>
        <w:t xml:space="preserve"> Rural Health, University of Lincoln, Lincoln, United Kingdom</w:t>
      </w:r>
    </w:p>
    <w:p w14:paraId="6CBE339F" w14:textId="77777777" w:rsidR="000C4A8C" w:rsidRPr="002B5BF5" w:rsidRDefault="000C4A8C" w:rsidP="000C4A8C">
      <w:pPr>
        <w:jc w:val="both"/>
        <w:rPr>
          <w:rFonts w:ascii="Times New Roman" w:hAnsi="Times New Roman" w:cs="Times New Roman"/>
        </w:rPr>
      </w:pPr>
      <w:r w:rsidRPr="002B5BF5">
        <w:rPr>
          <w:rFonts w:ascii="Times New Roman" w:hAnsi="Times New Roman" w:cs="Times New Roman"/>
          <w:vertAlign w:val="superscript"/>
        </w:rPr>
        <w:t>3</w:t>
      </w:r>
      <w:r w:rsidRPr="002B5BF5">
        <w:rPr>
          <w:rFonts w:ascii="Times New Roman" w:hAnsi="Times New Roman" w:cs="Times New Roman"/>
        </w:rPr>
        <w:t xml:space="preserve"> School of Nursing and Public Health, University of KwaZulu-Natal, Durban, South Africa</w:t>
      </w:r>
    </w:p>
    <w:p w14:paraId="57CF4456" w14:textId="48447CF1" w:rsidR="000C4A8C" w:rsidRPr="002B5BF5" w:rsidRDefault="000C4A8C" w:rsidP="000C4A8C">
      <w:pPr>
        <w:ind w:left="90" w:hanging="90"/>
        <w:jc w:val="both"/>
        <w:rPr>
          <w:rFonts w:ascii="Times New Roman" w:hAnsi="Times New Roman" w:cs="Times New Roman"/>
        </w:rPr>
      </w:pPr>
      <w:r w:rsidRPr="002B5BF5">
        <w:rPr>
          <w:rFonts w:ascii="Times New Roman" w:hAnsi="Times New Roman" w:cs="Times New Roman"/>
          <w:vertAlign w:val="superscript"/>
        </w:rPr>
        <w:t>4</w:t>
      </w:r>
      <w:r w:rsidRPr="002B5BF5">
        <w:rPr>
          <w:rFonts w:ascii="Times New Roman" w:hAnsi="Times New Roman" w:cs="Times New Roman"/>
        </w:rPr>
        <w:t xml:space="preserve"> Centre for the AIDS Programme of Research in South Africa (CAPRISA), University of KwaZulu-Natal, Durban, South Africa</w:t>
      </w:r>
    </w:p>
    <w:p w14:paraId="60B2F028" w14:textId="5EC0DEDA" w:rsidR="006933D1" w:rsidRPr="002B5BF5" w:rsidRDefault="000C4A8C" w:rsidP="000C4A8C">
      <w:pPr>
        <w:jc w:val="both"/>
        <w:rPr>
          <w:rFonts w:ascii="Times New Roman" w:hAnsi="Times New Roman" w:cs="Times New Roman"/>
          <w:vertAlign w:val="superscript"/>
        </w:rPr>
      </w:pPr>
      <w:r w:rsidRPr="002B5BF5">
        <w:rPr>
          <w:rFonts w:ascii="Times New Roman" w:hAnsi="Times New Roman" w:cs="Times New Roman"/>
          <w:vertAlign w:val="superscript"/>
        </w:rPr>
        <w:t xml:space="preserve">5 </w:t>
      </w:r>
      <w:r w:rsidR="006933D1" w:rsidRPr="002B5BF5">
        <w:rPr>
          <w:rFonts w:ascii="Times New Roman" w:hAnsi="Times New Roman" w:cs="Times New Roman"/>
        </w:rPr>
        <w:t>Department of Population Health, New York University School of Medicine, New York, USA</w:t>
      </w:r>
    </w:p>
    <w:p w14:paraId="780648B2" w14:textId="226EA382" w:rsidR="000C4A8C" w:rsidRPr="002B5BF5" w:rsidRDefault="000C4A8C" w:rsidP="000C4A8C">
      <w:pPr>
        <w:jc w:val="both"/>
        <w:rPr>
          <w:rFonts w:ascii="Times New Roman" w:hAnsi="Times New Roman" w:cs="Times New Roman"/>
        </w:rPr>
      </w:pPr>
      <w:r w:rsidRPr="002B5BF5">
        <w:rPr>
          <w:rFonts w:ascii="Times New Roman" w:hAnsi="Times New Roman" w:cs="Times New Roman"/>
          <w:vertAlign w:val="superscript"/>
        </w:rPr>
        <w:t xml:space="preserve">6 </w:t>
      </w:r>
      <w:r w:rsidR="006933D1" w:rsidRPr="002B5BF5">
        <w:rPr>
          <w:rFonts w:ascii="Times New Roman" w:hAnsi="Times New Roman" w:cs="Times New Roman"/>
        </w:rPr>
        <w:t>KwaZulu-Natal Innovation and Sequencing Platform, KwaZulu-Natal, South Africa</w:t>
      </w:r>
    </w:p>
    <w:p w14:paraId="241FC715" w14:textId="77777777" w:rsidR="000C4A8C" w:rsidRPr="002B5BF5" w:rsidRDefault="000C4A8C" w:rsidP="000C4A8C">
      <w:pPr>
        <w:jc w:val="both"/>
        <w:rPr>
          <w:rFonts w:ascii="Times New Roman" w:hAnsi="Times New Roman" w:cs="Times New Roman"/>
        </w:rPr>
      </w:pPr>
      <w:r w:rsidRPr="002B5BF5">
        <w:rPr>
          <w:rFonts w:ascii="Times New Roman" w:hAnsi="Times New Roman" w:cs="Times New Roman"/>
          <w:vertAlign w:val="superscript"/>
        </w:rPr>
        <w:t>7</w:t>
      </w:r>
      <w:r w:rsidRPr="002B5BF5">
        <w:rPr>
          <w:rFonts w:ascii="Times New Roman" w:hAnsi="Times New Roman" w:cs="Times New Roman"/>
        </w:rPr>
        <w:t xml:space="preserve"> Institute for Global Health, University College London, London, United Kingdom</w:t>
      </w:r>
    </w:p>
    <w:p w14:paraId="72253230" w14:textId="77777777" w:rsidR="000C4A8C" w:rsidRPr="002B5BF5" w:rsidRDefault="000C4A8C" w:rsidP="000C4A8C">
      <w:pPr>
        <w:jc w:val="both"/>
        <w:rPr>
          <w:rFonts w:ascii="Times New Roman" w:hAnsi="Times New Roman" w:cs="Times New Roman"/>
        </w:rPr>
      </w:pPr>
      <w:r w:rsidRPr="002B5BF5">
        <w:rPr>
          <w:rFonts w:ascii="Times New Roman" w:hAnsi="Times New Roman" w:cs="Times New Roman"/>
          <w:vertAlign w:val="superscript"/>
        </w:rPr>
        <w:t xml:space="preserve">8 </w:t>
      </w:r>
      <w:r w:rsidRPr="002B5BF5">
        <w:rPr>
          <w:rFonts w:ascii="Times New Roman" w:hAnsi="Times New Roman" w:cs="Times New Roman"/>
        </w:rPr>
        <w:t>London School of Hygiene and Tropical Medicine, London, United Kingdom</w:t>
      </w:r>
    </w:p>
    <w:p w14:paraId="1803592C" w14:textId="77777777" w:rsidR="000C4A8C" w:rsidRPr="002B5BF5" w:rsidRDefault="000C4A8C" w:rsidP="000C4A8C">
      <w:pPr>
        <w:jc w:val="both"/>
        <w:rPr>
          <w:rFonts w:ascii="Times New Roman" w:hAnsi="Times New Roman" w:cs="Times New Roman"/>
        </w:rPr>
      </w:pPr>
      <w:r w:rsidRPr="002B5BF5">
        <w:rPr>
          <w:rFonts w:ascii="Times New Roman" w:hAnsi="Times New Roman" w:cs="Times New Roman"/>
          <w:vertAlign w:val="superscript"/>
        </w:rPr>
        <w:t xml:space="preserve">9 </w:t>
      </w:r>
      <w:r w:rsidRPr="002B5BF5">
        <w:rPr>
          <w:rFonts w:ascii="Times New Roman" w:hAnsi="Times New Roman" w:cs="Times New Roman"/>
        </w:rPr>
        <w:t>University of Glasgow, Glasgow, United Kingdom</w:t>
      </w:r>
    </w:p>
    <w:p w14:paraId="538098AB" w14:textId="77777777" w:rsidR="000C4A8C" w:rsidRPr="002B5BF5" w:rsidRDefault="000C4A8C" w:rsidP="000C4A8C">
      <w:pPr>
        <w:jc w:val="both"/>
        <w:rPr>
          <w:rFonts w:ascii="Times New Roman" w:hAnsi="Times New Roman" w:cs="Times New Roman"/>
        </w:rPr>
      </w:pPr>
      <w:r w:rsidRPr="002B5BF5">
        <w:rPr>
          <w:rFonts w:ascii="Times New Roman" w:hAnsi="Times New Roman" w:cs="Times New Roman"/>
          <w:vertAlign w:val="superscript"/>
        </w:rPr>
        <w:t>10</w:t>
      </w:r>
      <w:r w:rsidRPr="002B5BF5">
        <w:rPr>
          <w:rFonts w:ascii="Times New Roman" w:hAnsi="Times New Roman" w:cs="Times New Roman"/>
        </w:rPr>
        <w:t xml:space="preserve"> University of Southampton, Southampton, United Kingdom</w:t>
      </w:r>
    </w:p>
    <w:p w14:paraId="076DADFE" w14:textId="77777777" w:rsidR="000C4A8C" w:rsidRPr="002B5BF5" w:rsidRDefault="000C4A8C" w:rsidP="000C4A8C">
      <w:pPr>
        <w:jc w:val="both"/>
        <w:rPr>
          <w:rFonts w:ascii="Times New Roman" w:hAnsi="Times New Roman" w:cs="Times New Roman"/>
        </w:rPr>
      </w:pPr>
      <w:r w:rsidRPr="002B5BF5">
        <w:rPr>
          <w:rFonts w:ascii="Times New Roman" w:hAnsi="Times New Roman" w:cs="Times New Roman"/>
          <w:vertAlign w:val="superscript"/>
        </w:rPr>
        <w:t xml:space="preserve">11 </w:t>
      </w:r>
      <w:r w:rsidRPr="002B5BF5">
        <w:rPr>
          <w:rFonts w:ascii="Times New Roman" w:hAnsi="Times New Roman" w:cs="Times New Roman"/>
        </w:rPr>
        <w:t>Department of Sociology, University of Johannesburg, Johannesburg, South Africa</w:t>
      </w:r>
    </w:p>
    <w:p w14:paraId="23BA3801" w14:textId="77777777" w:rsidR="00BD14B4" w:rsidRPr="00EB4FBC" w:rsidRDefault="00BD14B4" w:rsidP="00BD14B4">
      <w:pPr>
        <w:tabs>
          <w:tab w:val="left" w:pos="270"/>
        </w:tabs>
        <w:ind w:left="180" w:hanging="180"/>
        <w:jc w:val="both"/>
        <w:rPr>
          <w:rFonts w:ascii="Times New Roman" w:hAnsi="Times New Roman" w:cs="Times New Roman"/>
        </w:rPr>
      </w:pPr>
      <w:r>
        <w:rPr>
          <w:rFonts w:ascii="Times New Roman" w:hAnsi="Times New Roman" w:cs="Times New Roman"/>
          <w:vertAlign w:val="superscript"/>
        </w:rPr>
        <w:t>12</w:t>
      </w:r>
      <w:r>
        <w:rPr>
          <w:rFonts w:ascii="Times New Roman" w:hAnsi="Times New Roman" w:cs="Times New Roman"/>
        </w:rPr>
        <w:t xml:space="preserve"> </w:t>
      </w:r>
      <w:r w:rsidRPr="00EB4FBC">
        <w:rPr>
          <w:rFonts w:ascii="Times New Roman" w:hAnsi="Times New Roman" w:cs="Times New Roman"/>
        </w:rPr>
        <w:t xml:space="preserve">Department of Health Promotion, Education and Behaviour, University of South Carolina, </w:t>
      </w:r>
      <w:r>
        <w:rPr>
          <w:rFonts w:ascii="Times New Roman" w:hAnsi="Times New Roman" w:cs="Times New Roman"/>
        </w:rPr>
        <w:t xml:space="preserve">South Carolina, </w:t>
      </w:r>
      <w:r w:rsidRPr="00EB4FBC">
        <w:rPr>
          <w:rFonts w:ascii="Times New Roman" w:hAnsi="Times New Roman" w:cs="Times New Roman"/>
        </w:rPr>
        <w:t>USA</w:t>
      </w:r>
    </w:p>
    <w:p w14:paraId="3A034B8A" w14:textId="77777777" w:rsidR="00BD14B4" w:rsidRPr="00FC5DBC" w:rsidRDefault="00BD14B4" w:rsidP="00BD14B4">
      <w:pPr>
        <w:jc w:val="both"/>
        <w:rPr>
          <w:rFonts w:ascii="Times New Roman" w:hAnsi="Times New Roman" w:cs="Times New Roman"/>
        </w:rPr>
      </w:pPr>
      <w:r w:rsidRPr="00FC5DBC">
        <w:rPr>
          <w:rFonts w:ascii="Times New Roman" w:hAnsi="Times New Roman" w:cs="Times New Roman"/>
          <w:vertAlign w:val="superscript"/>
        </w:rPr>
        <w:t>1</w:t>
      </w:r>
      <w:r>
        <w:rPr>
          <w:rFonts w:ascii="Times New Roman" w:hAnsi="Times New Roman" w:cs="Times New Roman"/>
          <w:vertAlign w:val="superscript"/>
        </w:rPr>
        <w:t>3</w:t>
      </w:r>
      <w:r w:rsidRPr="00FC5DBC">
        <w:rPr>
          <w:rFonts w:ascii="Times New Roman" w:hAnsi="Times New Roman" w:cs="Times New Roman"/>
        </w:rPr>
        <w:t xml:space="preserve"> The Kirby Institute, University of New South Wales, Sydney, Australia</w:t>
      </w:r>
    </w:p>
    <w:p w14:paraId="2B75CA6C" w14:textId="77777777" w:rsidR="00BD14B4" w:rsidRPr="00FC5DBC" w:rsidRDefault="00BD14B4" w:rsidP="00BD14B4">
      <w:pPr>
        <w:jc w:val="both"/>
        <w:rPr>
          <w:rFonts w:ascii="Times New Roman" w:hAnsi="Times New Roman" w:cs="Times New Roman"/>
        </w:rPr>
      </w:pPr>
      <w:r w:rsidRPr="00FC5DBC">
        <w:rPr>
          <w:rFonts w:ascii="Times New Roman" w:hAnsi="Times New Roman" w:cs="Times New Roman"/>
          <w:vertAlign w:val="superscript"/>
        </w:rPr>
        <w:t>1</w:t>
      </w:r>
      <w:r>
        <w:rPr>
          <w:rFonts w:ascii="Times New Roman" w:hAnsi="Times New Roman" w:cs="Times New Roman"/>
          <w:vertAlign w:val="superscript"/>
        </w:rPr>
        <w:t>4</w:t>
      </w:r>
      <w:r w:rsidRPr="00FC5DBC">
        <w:rPr>
          <w:rFonts w:ascii="Times New Roman" w:hAnsi="Times New Roman" w:cs="Times New Roman"/>
        </w:rPr>
        <w:t xml:space="preserve"> University College London Interaction Centre, University College London, London, United Kingdom</w:t>
      </w:r>
    </w:p>
    <w:p w14:paraId="60E34A2E" w14:textId="77777777" w:rsidR="00BD14B4" w:rsidRPr="00FC5DBC" w:rsidRDefault="00BD14B4" w:rsidP="00BD14B4">
      <w:pPr>
        <w:jc w:val="both"/>
        <w:rPr>
          <w:rFonts w:ascii="Times New Roman" w:hAnsi="Times New Roman" w:cs="Times New Roman"/>
        </w:rPr>
      </w:pPr>
      <w:r w:rsidRPr="00FC5DBC">
        <w:rPr>
          <w:rFonts w:ascii="Times New Roman" w:hAnsi="Times New Roman" w:cs="Times New Roman"/>
          <w:vertAlign w:val="superscript"/>
        </w:rPr>
        <w:t>1</w:t>
      </w:r>
      <w:r>
        <w:rPr>
          <w:rFonts w:ascii="Times New Roman" w:hAnsi="Times New Roman" w:cs="Times New Roman"/>
          <w:vertAlign w:val="superscript"/>
        </w:rPr>
        <w:t>5</w:t>
      </w:r>
      <w:r w:rsidRPr="00FC5DBC">
        <w:rPr>
          <w:rFonts w:ascii="Times New Roman" w:hAnsi="Times New Roman" w:cs="Times New Roman"/>
          <w:vertAlign w:val="superscript"/>
        </w:rPr>
        <w:t xml:space="preserve"> </w:t>
      </w:r>
      <w:r w:rsidRPr="00FC5DBC">
        <w:rPr>
          <w:rFonts w:ascii="Times New Roman" w:hAnsi="Times New Roman" w:cs="Times New Roman"/>
        </w:rPr>
        <w:t xml:space="preserve">University of Washington, Washington, USA </w:t>
      </w:r>
    </w:p>
    <w:p w14:paraId="0AA1A25A" w14:textId="77777777" w:rsidR="00BD14B4" w:rsidRPr="00FC5DBC" w:rsidRDefault="00BD14B4" w:rsidP="00BD14B4">
      <w:pPr>
        <w:jc w:val="both"/>
        <w:rPr>
          <w:rFonts w:ascii="Times New Roman" w:hAnsi="Times New Roman" w:cs="Times New Roman"/>
        </w:rPr>
      </w:pPr>
      <w:r w:rsidRPr="00FC5DBC">
        <w:rPr>
          <w:rFonts w:ascii="Times New Roman" w:hAnsi="Times New Roman" w:cs="Times New Roman"/>
          <w:vertAlign w:val="superscript"/>
        </w:rPr>
        <w:t>1</w:t>
      </w:r>
      <w:r>
        <w:rPr>
          <w:rFonts w:ascii="Times New Roman" w:hAnsi="Times New Roman" w:cs="Times New Roman"/>
          <w:vertAlign w:val="superscript"/>
        </w:rPr>
        <w:t>6</w:t>
      </w:r>
      <w:r w:rsidRPr="00FC5DBC">
        <w:rPr>
          <w:rFonts w:ascii="Times New Roman" w:hAnsi="Times New Roman" w:cs="Times New Roman"/>
        </w:rPr>
        <w:t xml:space="preserve"> Heidelberg Institute of Global Health, University of Heidelberg, Heidelberg, Germany</w:t>
      </w:r>
    </w:p>
    <w:p w14:paraId="798EAD39" w14:textId="77777777" w:rsidR="00A8026E" w:rsidRPr="002B5BF5" w:rsidRDefault="00A8026E" w:rsidP="001C6BFE">
      <w:pPr>
        <w:jc w:val="both"/>
        <w:rPr>
          <w:rFonts w:ascii="Times New Roman" w:hAnsi="Times New Roman" w:cs="Times New Roman"/>
        </w:rPr>
      </w:pPr>
    </w:p>
    <w:p w14:paraId="38558810" w14:textId="51B52368" w:rsidR="00AA1D59" w:rsidRPr="002B5BF5" w:rsidRDefault="00AA1D59" w:rsidP="00FC5DBC">
      <w:pPr>
        <w:jc w:val="both"/>
        <w:rPr>
          <w:rFonts w:ascii="Times New Roman" w:hAnsi="Times New Roman" w:cs="Times New Roman"/>
        </w:rPr>
      </w:pPr>
      <w:r w:rsidRPr="002B5BF5">
        <w:rPr>
          <w:rFonts w:ascii="Times New Roman" w:hAnsi="Times New Roman" w:cs="Times New Roman"/>
          <w:vertAlign w:val="superscript"/>
        </w:rPr>
        <w:t>§</w:t>
      </w:r>
      <w:r w:rsidRPr="002B5BF5">
        <w:rPr>
          <w:rFonts w:ascii="Times New Roman" w:hAnsi="Times New Roman" w:cs="Times New Roman"/>
        </w:rPr>
        <w:t xml:space="preserve"> Corresponding author</w:t>
      </w:r>
      <w:r w:rsidR="00FC5DBC" w:rsidRPr="002B5BF5">
        <w:rPr>
          <w:rFonts w:ascii="Times New Roman" w:hAnsi="Times New Roman" w:cs="Times New Roman"/>
        </w:rPr>
        <w:t xml:space="preserve">:  Frank Tanser </w:t>
      </w:r>
    </w:p>
    <w:p w14:paraId="2462C35D" w14:textId="20D13B16" w:rsidR="00AA1D59" w:rsidRPr="002B5BF5" w:rsidRDefault="00691F73" w:rsidP="00AA1D59">
      <w:pPr>
        <w:spacing w:after="0"/>
        <w:jc w:val="both"/>
        <w:rPr>
          <w:rFonts w:ascii="Times New Roman" w:hAnsi="Times New Roman" w:cs="Times New Roman"/>
        </w:rPr>
      </w:pPr>
      <w:r w:rsidRPr="002B5BF5">
        <w:rPr>
          <w:rFonts w:ascii="Times New Roman" w:hAnsi="Times New Roman" w:cs="Times New Roman"/>
        </w:rPr>
        <w:t>Africa Health Research Institute</w:t>
      </w:r>
    </w:p>
    <w:p w14:paraId="514FD39F" w14:textId="1D22CC99" w:rsidR="00AA1D59" w:rsidRPr="002B5BF5" w:rsidRDefault="00AA1D59" w:rsidP="00AA1D59">
      <w:pPr>
        <w:spacing w:after="0"/>
        <w:jc w:val="both"/>
        <w:rPr>
          <w:rFonts w:ascii="Times New Roman" w:hAnsi="Times New Roman" w:cs="Times New Roman"/>
        </w:rPr>
      </w:pPr>
      <w:r w:rsidRPr="002B5BF5">
        <w:rPr>
          <w:rFonts w:ascii="Times New Roman" w:hAnsi="Times New Roman" w:cs="Times New Roman"/>
        </w:rPr>
        <w:t xml:space="preserve">719 </w:t>
      </w:r>
      <w:proofErr w:type="spellStart"/>
      <w:r w:rsidRPr="002B5BF5">
        <w:rPr>
          <w:rFonts w:ascii="Times New Roman" w:hAnsi="Times New Roman" w:cs="Times New Roman"/>
        </w:rPr>
        <w:t>Umbilo</w:t>
      </w:r>
      <w:proofErr w:type="spellEnd"/>
      <w:r w:rsidRPr="002B5BF5">
        <w:rPr>
          <w:rFonts w:ascii="Times New Roman" w:hAnsi="Times New Roman" w:cs="Times New Roman"/>
        </w:rPr>
        <w:t xml:space="preserve"> Road, </w:t>
      </w:r>
      <w:r w:rsidR="00691F73" w:rsidRPr="002B5BF5">
        <w:rPr>
          <w:rFonts w:ascii="Times New Roman" w:hAnsi="Times New Roman" w:cs="Times New Roman"/>
        </w:rPr>
        <w:t>KwaZulu-Natal, South Africa</w:t>
      </w:r>
    </w:p>
    <w:p w14:paraId="71583A6C" w14:textId="0B81CE07" w:rsidR="00FC5DBC" w:rsidRPr="002B5BF5" w:rsidRDefault="00AA1D59" w:rsidP="00AA1D59">
      <w:pPr>
        <w:spacing w:after="0"/>
        <w:jc w:val="both"/>
        <w:rPr>
          <w:rFonts w:ascii="Times New Roman" w:hAnsi="Times New Roman" w:cs="Times New Roman"/>
        </w:rPr>
      </w:pPr>
      <w:r w:rsidRPr="002B5BF5">
        <w:rPr>
          <w:rFonts w:ascii="Times New Roman" w:hAnsi="Times New Roman" w:cs="Times New Roman"/>
        </w:rPr>
        <w:t>FTanser@ahri.org; FTanser@lincoln.ac.uk</w:t>
      </w:r>
    </w:p>
    <w:p w14:paraId="663C2971" w14:textId="77777777" w:rsidR="00AA1D59" w:rsidRPr="002B5BF5" w:rsidRDefault="00AA1D59" w:rsidP="00AA1D59">
      <w:pPr>
        <w:spacing w:after="0"/>
        <w:jc w:val="both"/>
        <w:rPr>
          <w:rFonts w:ascii="Times New Roman" w:hAnsi="Times New Roman" w:cs="Times New Roman"/>
        </w:rPr>
      </w:pPr>
    </w:p>
    <w:p w14:paraId="60C62D5B" w14:textId="68787333" w:rsidR="00FC5DBC" w:rsidRPr="002B5BF5" w:rsidRDefault="00AA1D59" w:rsidP="00FC5DBC">
      <w:pPr>
        <w:jc w:val="both"/>
        <w:rPr>
          <w:rFonts w:ascii="Times New Roman" w:hAnsi="Times New Roman" w:cs="Times New Roman"/>
        </w:rPr>
      </w:pPr>
      <w:r w:rsidRPr="002B5BF5">
        <w:rPr>
          <w:rFonts w:ascii="Times New Roman" w:hAnsi="Times New Roman" w:cs="Times New Roman"/>
        </w:rPr>
        <w:t>*These authors have contributed equally to the work.</w:t>
      </w:r>
    </w:p>
    <w:p w14:paraId="14B5D6F9" w14:textId="77777777" w:rsidR="00AA1D59" w:rsidRPr="002B5BF5" w:rsidRDefault="00AA1D59" w:rsidP="00FC5DBC">
      <w:pPr>
        <w:jc w:val="both"/>
        <w:rPr>
          <w:rFonts w:ascii="Times New Roman" w:hAnsi="Times New Roman" w:cs="Times New Roman"/>
        </w:rPr>
      </w:pPr>
    </w:p>
    <w:p w14:paraId="5040E75C" w14:textId="100E6E9B" w:rsidR="00AA1D59" w:rsidRPr="002B5BF5" w:rsidRDefault="00AA1D59" w:rsidP="00FC5DBC">
      <w:pPr>
        <w:jc w:val="both"/>
        <w:rPr>
          <w:rFonts w:ascii="Times New Roman" w:hAnsi="Times New Roman" w:cs="Times New Roman"/>
        </w:rPr>
      </w:pPr>
      <w:r w:rsidRPr="002B5BF5">
        <w:rPr>
          <w:rFonts w:ascii="Times New Roman" w:hAnsi="Times New Roman" w:cs="Times New Roman"/>
        </w:rPr>
        <w:t xml:space="preserve">E-mail addresses of authors: </w:t>
      </w:r>
    </w:p>
    <w:p w14:paraId="3C28D1A6" w14:textId="4BD7BB88" w:rsidR="00AA1D59" w:rsidRPr="002B5BF5" w:rsidRDefault="00AA1D59" w:rsidP="00AA1D59">
      <w:pPr>
        <w:ind w:left="720"/>
        <w:jc w:val="both"/>
        <w:rPr>
          <w:rFonts w:ascii="Times New Roman" w:hAnsi="Times New Roman" w:cs="Times New Roman"/>
        </w:rPr>
      </w:pPr>
      <w:r w:rsidRPr="002B5BF5">
        <w:rPr>
          <w:rFonts w:ascii="Times New Roman" w:hAnsi="Times New Roman" w:cs="Times New Roman"/>
        </w:rPr>
        <w:lastRenderedPageBreak/>
        <w:t>FT: FTanser@lincoln.ac.uk</w:t>
      </w:r>
    </w:p>
    <w:p w14:paraId="36FC66BF" w14:textId="1EE96521" w:rsidR="00AA1D59" w:rsidRPr="002B5BF5" w:rsidRDefault="00AA1D59" w:rsidP="00AA1D59">
      <w:pPr>
        <w:ind w:firstLine="720"/>
        <w:jc w:val="both"/>
        <w:rPr>
          <w:rFonts w:ascii="Times New Roman" w:hAnsi="Times New Roman" w:cs="Times New Roman"/>
        </w:rPr>
      </w:pPr>
      <w:r w:rsidRPr="002B5BF5">
        <w:rPr>
          <w:rFonts w:ascii="Times New Roman" w:hAnsi="Times New Roman" w:cs="Times New Roman"/>
        </w:rPr>
        <w:t xml:space="preserve">H-YK: hae-young.kim@nyulangone.org </w:t>
      </w:r>
    </w:p>
    <w:p w14:paraId="04FF8F9F" w14:textId="353AA721" w:rsidR="00AA1D59" w:rsidRPr="002B5BF5" w:rsidRDefault="00AA1D59" w:rsidP="00AA1D59">
      <w:pPr>
        <w:ind w:firstLine="720"/>
        <w:jc w:val="both"/>
        <w:rPr>
          <w:rFonts w:ascii="Times New Roman" w:hAnsi="Times New Roman" w:cs="Times New Roman"/>
        </w:rPr>
      </w:pPr>
      <w:r w:rsidRPr="002B5BF5">
        <w:rPr>
          <w:rFonts w:ascii="Times New Roman" w:hAnsi="Times New Roman" w:cs="Times New Roman"/>
        </w:rPr>
        <w:t>TM: Thulile.Mathenjwa@ahri.org</w:t>
      </w:r>
    </w:p>
    <w:p w14:paraId="5B3570B8" w14:textId="67C14081" w:rsidR="00AA1D59" w:rsidRPr="002B5BF5" w:rsidRDefault="00AA1D59" w:rsidP="00AA1D59">
      <w:pPr>
        <w:ind w:left="720"/>
        <w:jc w:val="both"/>
        <w:rPr>
          <w:rFonts w:ascii="Times New Roman" w:hAnsi="Times New Roman" w:cs="Times New Roman"/>
        </w:rPr>
      </w:pPr>
      <w:r w:rsidRPr="002B5BF5">
        <w:rPr>
          <w:rFonts w:ascii="Times New Roman" w:hAnsi="Times New Roman" w:cs="Times New Roman"/>
        </w:rPr>
        <w:t>MS: m.shahmanesh@ucl.ac.uk</w:t>
      </w:r>
    </w:p>
    <w:p w14:paraId="2C323842" w14:textId="680364EF" w:rsidR="00AA1D59" w:rsidRPr="002B5BF5" w:rsidRDefault="00AA1D59" w:rsidP="00AA1D59">
      <w:pPr>
        <w:ind w:left="720"/>
        <w:jc w:val="both"/>
        <w:rPr>
          <w:rFonts w:ascii="Times New Roman" w:hAnsi="Times New Roman" w:cs="Times New Roman"/>
        </w:rPr>
      </w:pPr>
      <w:r w:rsidRPr="002B5BF5">
        <w:rPr>
          <w:rFonts w:ascii="Times New Roman" w:hAnsi="Times New Roman" w:cs="Times New Roman"/>
        </w:rPr>
        <w:t>JS: janet.seeley@lshtm.ac.uk</w:t>
      </w:r>
    </w:p>
    <w:p w14:paraId="1DA507A8" w14:textId="6A6FE4D2" w:rsidR="00AA1D59" w:rsidRPr="002B5BF5" w:rsidRDefault="00AA1D59" w:rsidP="00AA1D59">
      <w:pPr>
        <w:ind w:left="720"/>
        <w:jc w:val="both"/>
        <w:rPr>
          <w:rFonts w:ascii="Times New Roman" w:hAnsi="Times New Roman" w:cs="Times New Roman"/>
        </w:rPr>
      </w:pPr>
      <w:r w:rsidRPr="002B5BF5">
        <w:rPr>
          <w:rFonts w:ascii="Times New Roman" w:hAnsi="Times New Roman" w:cs="Times New Roman"/>
        </w:rPr>
        <w:t>PM: Philippa.Matthews@ahri.org</w:t>
      </w:r>
    </w:p>
    <w:p w14:paraId="5F237D0A" w14:textId="504708EB" w:rsidR="00AA1D59" w:rsidRPr="002B5BF5" w:rsidRDefault="00AA1D59" w:rsidP="00AA1D59">
      <w:pPr>
        <w:ind w:left="720"/>
        <w:jc w:val="both"/>
        <w:rPr>
          <w:rFonts w:ascii="Times New Roman" w:hAnsi="Times New Roman" w:cs="Times New Roman"/>
        </w:rPr>
      </w:pPr>
      <w:r w:rsidRPr="002B5BF5">
        <w:rPr>
          <w:rFonts w:ascii="Times New Roman" w:hAnsi="Times New Roman" w:cs="Times New Roman"/>
        </w:rPr>
        <w:t>SW: sally.wyke@glasgow.ac.uk</w:t>
      </w:r>
    </w:p>
    <w:p w14:paraId="6F80CDA2" w14:textId="1FBFE7ED" w:rsidR="00AA1D59" w:rsidRPr="002B5BF5" w:rsidRDefault="00AA1D59" w:rsidP="00AA1D59">
      <w:pPr>
        <w:ind w:left="720"/>
        <w:jc w:val="both"/>
        <w:rPr>
          <w:rFonts w:ascii="Times New Roman" w:hAnsi="Times New Roman" w:cs="Times New Roman"/>
        </w:rPr>
      </w:pPr>
      <w:r w:rsidRPr="002B5BF5">
        <w:rPr>
          <w:rFonts w:ascii="Times New Roman" w:hAnsi="Times New Roman" w:cs="Times New Roman"/>
        </w:rPr>
        <w:t>NM: n.mcgrath@soton.ac.uk</w:t>
      </w:r>
    </w:p>
    <w:p w14:paraId="3B5DBA5C" w14:textId="57351E33" w:rsidR="00AA1D59" w:rsidRPr="002B5BF5" w:rsidRDefault="00AA1D59" w:rsidP="00AA1D59">
      <w:pPr>
        <w:ind w:left="720"/>
        <w:jc w:val="both"/>
        <w:rPr>
          <w:rFonts w:ascii="Times New Roman" w:hAnsi="Times New Roman" w:cs="Times New Roman"/>
        </w:rPr>
      </w:pPr>
      <w:r w:rsidRPr="002B5BF5">
        <w:rPr>
          <w:rFonts w:ascii="Times New Roman" w:hAnsi="Times New Roman" w:cs="Times New Roman"/>
        </w:rPr>
        <w:t>OA: Oluwafemi.Adeagbo@ahri.org</w:t>
      </w:r>
    </w:p>
    <w:p w14:paraId="15C334AA" w14:textId="4D17D632" w:rsidR="00AA1D59" w:rsidRPr="002B5BF5" w:rsidRDefault="00AA1D59" w:rsidP="00AA1D59">
      <w:pPr>
        <w:ind w:left="720"/>
        <w:jc w:val="both"/>
        <w:rPr>
          <w:rFonts w:ascii="Times New Roman" w:hAnsi="Times New Roman" w:cs="Times New Roman"/>
        </w:rPr>
      </w:pPr>
      <w:r w:rsidRPr="002B5BF5">
        <w:rPr>
          <w:rFonts w:ascii="Times New Roman" w:hAnsi="Times New Roman" w:cs="Times New Roman"/>
        </w:rPr>
        <w:t>BS: Benn.Sartorius1@lshtm.ac.uk</w:t>
      </w:r>
    </w:p>
    <w:p w14:paraId="7CC81E0B" w14:textId="4A44DE2B" w:rsidR="00AA1D59" w:rsidRPr="002B5BF5" w:rsidRDefault="00AA1D59" w:rsidP="00AA1D59">
      <w:pPr>
        <w:ind w:left="720"/>
        <w:jc w:val="both"/>
        <w:rPr>
          <w:rFonts w:ascii="Times New Roman" w:hAnsi="Times New Roman" w:cs="Times New Roman"/>
        </w:rPr>
      </w:pPr>
      <w:r w:rsidRPr="002B5BF5">
        <w:rPr>
          <w:rFonts w:ascii="Times New Roman" w:hAnsi="Times New Roman" w:cs="Times New Roman"/>
        </w:rPr>
        <w:t>HMY: myapa@kirby.unsw.edu.au</w:t>
      </w:r>
    </w:p>
    <w:p w14:paraId="2435865B" w14:textId="2F9EAEEB" w:rsidR="00AA1D59" w:rsidRPr="002B5BF5" w:rsidRDefault="00AA1D59" w:rsidP="00AA1D59">
      <w:pPr>
        <w:ind w:left="720"/>
        <w:jc w:val="both"/>
        <w:rPr>
          <w:rFonts w:ascii="Times New Roman" w:hAnsi="Times New Roman" w:cs="Times New Roman"/>
        </w:rPr>
      </w:pPr>
      <w:r w:rsidRPr="002B5BF5">
        <w:rPr>
          <w:rFonts w:ascii="Times New Roman" w:hAnsi="Times New Roman" w:cs="Times New Roman"/>
        </w:rPr>
        <w:t>TZ: Thembelihle.Zuma@ahri.org</w:t>
      </w:r>
    </w:p>
    <w:p w14:paraId="34701C5D" w14:textId="27923A27" w:rsidR="00AA1D59" w:rsidRPr="002B5BF5" w:rsidRDefault="00AA1D59" w:rsidP="00AA1D59">
      <w:pPr>
        <w:ind w:left="720"/>
        <w:jc w:val="both"/>
        <w:rPr>
          <w:rFonts w:ascii="Times New Roman" w:hAnsi="Times New Roman" w:cs="Times New Roman"/>
        </w:rPr>
      </w:pPr>
      <w:r w:rsidRPr="002B5BF5">
        <w:rPr>
          <w:rFonts w:ascii="Times New Roman" w:hAnsi="Times New Roman" w:cs="Times New Roman"/>
        </w:rPr>
        <w:t>AZ: anya.zeitlin.16@ucl.ac.uk</w:t>
      </w:r>
    </w:p>
    <w:p w14:paraId="4BFCE451" w14:textId="4F590FED" w:rsidR="00AA1D59" w:rsidRPr="002B5BF5" w:rsidRDefault="00AA1D59" w:rsidP="00AA1D59">
      <w:pPr>
        <w:ind w:left="720"/>
        <w:jc w:val="both"/>
        <w:rPr>
          <w:rFonts w:ascii="Times New Roman" w:hAnsi="Times New Roman" w:cs="Times New Roman"/>
        </w:rPr>
      </w:pPr>
      <w:r w:rsidRPr="002B5BF5">
        <w:rPr>
          <w:rFonts w:ascii="Times New Roman" w:hAnsi="Times New Roman" w:cs="Times New Roman"/>
        </w:rPr>
        <w:t>AB: a.blandford@ucl.ac.uk</w:t>
      </w:r>
    </w:p>
    <w:p w14:paraId="3FCFCAAC" w14:textId="3012896F" w:rsidR="00AA1D59" w:rsidRPr="002B5BF5" w:rsidRDefault="00AA1D59" w:rsidP="00AA1D59">
      <w:pPr>
        <w:ind w:left="720"/>
        <w:jc w:val="both"/>
        <w:rPr>
          <w:rFonts w:ascii="Times New Roman" w:hAnsi="Times New Roman" w:cs="Times New Roman"/>
        </w:rPr>
      </w:pPr>
      <w:r w:rsidRPr="002B5BF5">
        <w:rPr>
          <w:rFonts w:ascii="Times New Roman" w:hAnsi="Times New Roman" w:cs="Times New Roman"/>
        </w:rPr>
        <w:t>AD: adobra@uw.edu</w:t>
      </w:r>
    </w:p>
    <w:p w14:paraId="391E7B4A" w14:textId="44244797" w:rsidR="00AA1D59" w:rsidRPr="002B5BF5" w:rsidRDefault="00AA1D59" w:rsidP="00AA1D59">
      <w:pPr>
        <w:ind w:left="720"/>
        <w:jc w:val="both"/>
        <w:rPr>
          <w:rFonts w:ascii="Times New Roman" w:hAnsi="Times New Roman" w:cs="Times New Roman"/>
        </w:rPr>
      </w:pPr>
      <w:r w:rsidRPr="002B5BF5">
        <w:rPr>
          <w:rFonts w:ascii="Times New Roman" w:hAnsi="Times New Roman" w:cs="Times New Roman"/>
        </w:rPr>
        <w:t>TB: till.baernighausen@uni-heidelberg.de</w:t>
      </w:r>
    </w:p>
    <w:p w14:paraId="70E9D318" w14:textId="77777777" w:rsidR="00AA1D59" w:rsidRPr="002B5BF5" w:rsidRDefault="00AA1D59" w:rsidP="00FC5DBC">
      <w:pPr>
        <w:jc w:val="both"/>
        <w:rPr>
          <w:rFonts w:ascii="Times New Roman" w:hAnsi="Times New Roman" w:cs="Times New Roman"/>
        </w:rPr>
      </w:pPr>
    </w:p>
    <w:p w14:paraId="066E1153" w14:textId="0210412F" w:rsidR="00AE0FEE" w:rsidRPr="002B5BF5" w:rsidRDefault="00FC5DBC" w:rsidP="00AE0FEE">
      <w:pPr>
        <w:jc w:val="both"/>
        <w:rPr>
          <w:rFonts w:ascii="Times New Roman" w:hAnsi="Times New Roman" w:cs="Times New Roman"/>
        </w:rPr>
      </w:pPr>
      <w:r w:rsidRPr="002B5BF5">
        <w:rPr>
          <w:rFonts w:ascii="Times New Roman" w:hAnsi="Times New Roman" w:cs="Times New Roman"/>
        </w:rPr>
        <w:t xml:space="preserve">Keywords: Home-based HIV testing, men, financial incentives, counselling, mHealth, </w:t>
      </w:r>
      <w:r w:rsidR="00132FE7" w:rsidRPr="002B5BF5">
        <w:rPr>
          <w:rFonts w:ascii="Times New Roman" w:hAnsi="Times New Roman" w:cs="Times New Roman"/>
        </w:rPr>
        <w:t xml:space="preserve">randomized controlled trial, </w:t>
      </w:r>
      <w:r w:rsidRPr="002B5BF5">
        <w:rPr>
          <w:rFonts w:ascii="Times New Roman" w:hAnsi="Times New Roman" w:cs="Times New Roman"/>
        </w:rPr>
        <w:t>South Africa</w:t>
      </w:r>
    </w:p>
    <w:p w14:paraId="1CA23C70" w14:textId="77777777" w:rsidR="00AA1D59" w:rsidRPr="002B5BF5" w:rsidRDefault="00AA1D59" w:rsidP="00AA1D59">
      <w:pPr>
        <w:jc w:val="both"/>
        <w:rPr>
          <w:rFonts w:ascii="Times New Roman" w:hAnsi="Times New Roman" w:cs="Times New Roman"/>
        </w:rPr>
      </w:pPr>
      <w:r w:rsidRPr="002B5BF5">
        <w:rPr>
          <w:rFonts w:ascii="Times New Roman" w:hAnsi="Times New Roman" w:cs="Times New Roman"/>
          <w:u w:val="single"/>
        </w:rPr>
        <w:t>Word count:</w:t>
      </w:r>
      <w:r w:rsidRPr="002B5BF5">
        <w:rPr>
          <w:rFonts w:ascii="Times New Roman" w:hAnsi="Times New Roman" w:cs="Times New Roman"/>
        </w:rPr>
        <w:t xml:space="preserve"> </w:t>
      </w:r>
    </w:p>
    <w:p w14:paraId="13EBAD6E" w14:textId="03B563D3" w:rsidR="00AA1D59" w:rsidRPr="002B5BF5" w:rsidRDefault="00AA1D59" w:rsidP="00AA1D59">
      <w:pPr>
        <w:jc w:val="both"/>
        <w:rPr>
          <w:rFonts w:ascii="Times New Roman" w:hAnsi="Times New Roman" w:cs="Times New Roman"/>
        </w:rPr>
      </w:pPr>
      <w:r w:rsidRPr="002B5BF5">
        <w:rPr>
          <w:rFonts w:ascii="Times New Roman" w:hAnsi="Times New Roman" w:cs="Times New Roman"/>
        </w:rPr>
        <w:t>Abstract: 3</w:t>
      </w:r>
      <w:r w:rsidR="00593AC7" w:rsidRPr="002B5BF5">
        <w:rPr>
          <w:rFonts w:ascii="Times New Roman" w:hAnsi="Times New Roman" w:cs="Times New Roman"/>
        </w:rPr>
        <w:t>79</w:t>
      </w:r>
      <w:r w:rsidRPr="002B5BF5">
        <w:rPr>
          <w:rFonts w:ascii="Times New Roman" w:hAnsi="Times New Roman" w:cs="Times New Roman"/>
        </w:rPr>
        <w:t>/350</w:t>
      </w:r>
    </w:p>
    <w:p w14:paraId="2D769665" w14:textId="7EB2CE9E" w:rsidR="00AE0FEE" w:rsidRPr="002B5BF5" w:rsidRDefault="00AA1D59" w:rsidP="003B71A6">
      <w:pPr>
        <w:jc w:val="both"/>
        <w:rPr>
          <w:rFonts w:ascii="Times New Roman" w:hAnsi="Times New Roman" w:cs="Times New Roman"/>
          <w:lang w:val="en-US"/>
        </w:rPr>
      </w:pPr>
      <w:r w:rsidRPr="002B5BF5">
        <w:rPr>
          <w:rFonts w:ascii="Times New Roman" w:hAnsi="Times New Roman" w:cs="Times New Roman"/>
        </w:rPr>
        <w:t xml:space="preserve">Main text: </w:t>
      </w:r>
      <w:r w:rsidR="003F7BEE" w:rsidRPr="002B5BF5">
        <w:rPr>
          <w:rFonts w:ascii="Times New Roman" w:hAnsi="Times New Roman" w:cs="Times New Roman"/>
        </w:rPr>
        <w:t>3</w:t>
      </w:r>
      <w:r w:rsidR="00593AC7" w:rsidRPr="002B5BF5">
        <w:rPr>
          <w:rFonts w:ascii="Times New Roman" w:hAnsi="Times New Roman" w:cs="Times New Roman"/>
        </w:rPr>
        <w:t>838</w:t>
      </w:r>
      <w:r w:rsidRPr="002B5BF5">
        <w:rPr>
          <w:rFonts w:ascii="Times New Roman" w:hAnsi="Times New Roman" w:cs="Times New Roman"/>
        </w:rPr>
        <w:t>/3500</w:t>
      </w:r>
      <w:r w:rsidR="00AE0FEE" w:rsidRPr="002B5BF5">
        <w:rPr>
          <w:rFonts w:ascii="Times New Roman" w:hAnsi="Times New Roman" w:cs="Times New Roman"/>
        </w:rPr>
        <w:br w:type="page"/>
      </w:r>
    </w:p>
    <w:p w14:paraId="048547A2" w14:textId="479B5772" w:rsidR="005847FC" w:rsidRPr="002B5BF5" w:rsidRDefault="005847FC" w:rsidP="00AE0FEE">
      <w:pPr>
        <w:jc w:val="both"/>
        <w:rPr>
          <w:rFonts w:ascii="Times New Roman" w:hAnsi="Times New Roman" w:cs="Times New Roman"/>
        </w:rPr>
      </w:pPr>
      <w:r w:rsidRPr="002B5BF5">
        <w:rPr>
          <w:rFonts w:ascii="Times New Roman" w:hAnsi="Times New Roman" w:cs="Times New Roman"/>
          <w:b/>
        </w:rPr>
        <w:lastRenderedPageBreak/>
        <w:t>Abstract</w:t>
      </w:r>
    </w:p>
    <w:bookmarkEnd w:id="1"/>
    <w:p w14:paraId="14CEC924" w14:textId="70E1AA26" w:rsidR="00AE0FEE" w:rsidRPr="002B5BF5" w:rsidRDefault="00AE0FEE" w:rsidP="00C75768">
      <w:pPr>
        <w:spacing w:line="360" w:lineRule="auto"/>
        <w:jc w:val="both"/>
        <w:rPr>
          <w:rFonts w:ascii="Times New Roman" w:hAnsi="Times New Roman" w:cs="Times New Roman"/>
        </w:rPr>
      </w:pPr>
      <w:r w:rsidRPr="002B5BF5">
        <w:rPr>
          <w:rFonts w:ascii="Times New Roman" w:hAnsi="Times New Roman" w:cs="Times New Roman"/>
          <w:b/>
          <w:bCs/>
        </w:rPr>
        <w:t>Introduction:</w:t>
      </w:r>
      <w:r w:rsidRPr="002B5BF5">
        <w:rPr>
          <w:rFonts w:ascii="Times New Roman" w:hAnsi="Times New Roman" w:cs="Times New Roman"/>
        </w:rPr>
        <w:t xml:space="preserve">  </w:t>
      </w:r>
      <w:r w:rsidR="00FC5DBC" w:rsidRPr="002B5BF5">
        <w:rPr>
          <w:rFonts w:ascii="Times New Roman" w:hAnsi="Times New Roman" w:cs="Times New Roman"/>
        </w:rPr>
        <w:t>The uptake of HIV testing and linkage to care remain low among men, contributing to high HIV incidence in women in South Africa. We conducted the “Home-Based Intervention to Test and Start” (HITS) in a 2x2 factorial cluster randomized controlled trial in rural South Africa</w:t>
      </w:r>
      <w:r w:rsidR="00A50F3C">
        <w:rPr>
          <w:rFonts w:ascii="Times New Roman" w:hAnsi="Times New Roman" w:cs="Times New Roman"/>
        </w:rPr>
        <w:t xml:space="preserve"> to increase HIV testing </w:t>
      </w:r>
      <w:r w:rsidR="00FC5DBC" w:rsidRPr="002B5BF5">
        <w:rPr>
          <w:rFonts w:ascii="Times New Roman" w:hAnsi="Times New Roman" w:cs="Times New Roman"/>
        </w:rPr>
        <w:t>enhancing both intrinsic and extrinsic motivations</w:t>
      </w:r>
      <w:r w:rsidR="00A50F3C">
        <w:rPr>
          <w:rFonts w:ascii="Times New Roman" w:hAnsi="Times New Roman" w:cs="Times New Roman"/>
        </w:rPr>
        <w:t>.</w:t>
      </w:r>
    </w:p>
    <w:p w14:paraId="73571BA7" w14:textId="23AD54D2" w:rsidR="007C1054" w:rsidRPr="002B5BF5" w:rsidRDefault="00AE0FEE" w:rsidP="00C75768">
      <w:pPr>
        <w:spacing w:line="360" w:lineRule="auto"/>
        <w:jc w:val="both"/>
        <w:rPr>
          <w:rFonts w:ascii="Times New Roman" w:hAnsi="Times New Roman" w:cs="Times New Roman"/>
        </w:rPr>
      </w:pPr>
      <w:r w:rsidRPr="002B5BF5">
        <w:rPr>
          <w:rFonts w:ascii="Times New Roman" w:hAnsi="Times New Roman" w:cs="Times New Roman"/>
          <w:b/>
          <w:bCs/>
        </w:rPr>
        <w:t>Methods:</w:t>
      </w:r>
      <w:r w:rsidRPr="002B5BF5">
        <w:rPr>
          <w:rFonts w:ascii="Times New Roman" w:hAnsi="Times New Roman" w:cs="Times New Roman"/>
        </w:rPr>
        <w:t xml:space="preserve"> </w:t>
      </w:r>
      <w:bookmarkStart w:id="2" w:name="_Hlk54193251"/>
      <w:r w:rsidR="00461BBE">
        <w:rPr>
          <w:rFonts w:ascii="Times New Roman" w:hAnsi="Times New Roman" w:cs="Times New Roman"/>
        </w:rPr>
        <w:t>B</w:t>
      </w:r>
      <w:r w:rsidR="00461BBE" w:rsidRPr="002B5BF5">
        <w:rPr>
          <w:rFonts w:ascii="Times New Roman" w:hAnsi="Times New Roman" w:cs="Times New Roman"/>
        </w:rPr>
        <w:t>etween February and December 2018</w:t>
      </w:r>
      <w:bookmarkEnd w:id="2"/>
      <w:r w:rsidR="00461BBE">
        <w:rPr>
          <w:rFonts w:ascii="Times New Roman" w:hAnsi="Times New Roman" w:cs="Times New Roman"/>
        </w:rPr>
        <w:t xml:space="preserve">, </w:t>
      </w:r>
      <w:r w:rsidR="00FC5DBC" w:rsidRPr="002B5BF5">
        <w:rPr>
          <w:rFonts w:ascii="Times New Roman" w:hAnsi="Times New Roman" w:cs="Times New Roman"/>
        </w:rPr>
        <w:t xml:space="preserve">we randomly assigned 45 communities (clusters) (n=13,838 residents) </w:t>
      </w:r>
      <w:r w:rsidR="00022C8C">
        <w:rPr>
          <w:rFonts w:ascii="Times New Roman" w:hAnsi="Times New Roman" w:cs="Times New Roman"/>
        </w:rPr>
        <w:t>i</w:t>
      </w:r>
      <w:r w:rsidR="00022C8C" w:rsidRPr="002B5BF5">
        <w:rPr>
          <w:rFonts w:ascii="Times New Roman" w:hAnsi="Times New Roman" w:cs="Times New Roman"/>
        </w:rPr>
        <w:t xml:space="preserve">n the uMkhanyakude district of KwaZulu-Natal </w:t>
      </w:r>
      <w:r w:rsidR="00FC5DBC" w:rsidRPr="002B5BF5">
        <w:rPr>
          <w:rFonts w:ascii="Times New Roman" w:hAnsi="Times New Roman" w:cs="Times New Roman"/>
        </w:rPr>
        <w:t xml:space="preserve">to one of the four arms: (i) financial incentives for home-based HIV testing and linkage to care (R50 [$3] food voucher each); (ii) male-targeted HIV-specific decision support application, called EPIC-HIV; (iii) both financial incentives and male-targeted HIV-specific decision support application; and (iv) standard of care (SoC). EPIC-HIV was developed to encourage and serve as an intrinsic motivator for HIV testing and linkage to care, and individually offered to men via a tablet device. </w:t>
      </w:r>
      <w:r w:rsidR="00EC123B" w:rsidRPr="002B5BF5">
        <w:rPr>
          <w:rFonts w:ascii="Times New Roman" w:hAnsi="Times New Roman" w:cs="Times New Roman"/>
        </w:rPr>
        <w:t xml:space="preserve">Financial incentives were offered to both men and women. </w:t>
      </w:r>
      <w:r w:rsidR="00FC5DBC" w:rsidRPr="002B5BF5">
        <w:rPr>
          <w:rFonts w:ascii="Times New Roman" w:hAnsi="Times New Roman" w:cs="Times New Roman"/>
        </w:rPr>
        <w:t xml:space="preserve">Here we report the effect of the interventions on uptake of home-based HIV testing among men. Intention-to-treat (ITT) analysis was performed using modified Poisson regression with adjustment for clustering of standard errors at the cluster levels. </w:t>
      </w:r>
    </w:p>
    <w:p w14:paraId="739A48C0" w14:textId="305A65CA" w:rsidR="00AE0FEE" w:rsidRPr="002B5BF5" w:rsidRDefault="007C1054" w:rsidP="00C75768">
      <w:pPr>
        <w:spacing w:line="360" w:lineRule="auto"/>
        <w:jc w:val="both"/>
        <w:rPr>
          <w:rFonts w:ascii="Times New Roman" w:hAnsi="Times New Roman" w:cs="Times New Roman"/>
        </w:rPr>
      </w:pPr>
      <w:r w:rsidRPr="002B5BF5">
        <w:rPr>
          <w:rFonts w:ascii="Times New Roman" w:hAnsi="Times New Roman" w:cs="Times New Roman"/>
          <w:b/>
          <w:bCs/>
        </w:rPr>
        <w:t xml:space="preserve">Results: </w:t>
      </w:r>
      <w:r w:rsidR="00FC5DBC" w:rsidRPr="002B5BF5">
        <w:rPr>
          <w:rFonts w:ascii="Times New Roman" w:hAnsi="Times New Roman" w:cs="Times New Roman"/>
        </w:rPr>
        <w:t xml:space="preserve">Among all 13,838 men ≥15 years living in the 45 communities, </w:t>
      </w:r>
      <w:r w:rsidR="00EC123B" w:rsidRPr="002B5BF5">
        <w:rPr>
          <w:rFonts w:ascii="Times New Roman" w:hAnsi="Times New Roman" w:cs="Times New Roman"/>
        </w:rPr>
        <w:t xml:space="preserve">the overall population </w:t>
      </w:r>
      <w:r w:rsidR="00022C8C">
        <w:rPr>
          <w:rFonts w:ascii="Times New Roman" w:hAnsi="Times New Roman" w:cs="Times New Roman"/>
        </w:rPr>
        <w:t xml:space="preserve">coverage </w:t>
      </w:r>
      <w:r w:rsidR="00AD41A2" w:rsidRPr="002B5BF5">
        <w:rPr>
          <w:rFonts w:ascii="Times New Roman" w:hAnsi="Times New Roman" w:cs="Times New Roman"/>
        </w:rPr>
        <w:t xml:space="preserve">during </w:t>
      </w:r>
      <w:r w:rsidR="00574BDC" w:rsidRPr="002B5BF5">
        <w:rPr>
          <w:rFonts w:ascii="Times New Roman" w:hAnsi="Times New Roman" w:cs="Times New Roman"/>
        </w:rPr>
        <w:t>a</w:t>
      </w:r>
      <w:r w:rsidR="00AD41A2" w:rsidRPr="002B5BF5">
        <w:rPr>
          <w:rFonts w:ascii="Times New Roman" w:hAnsi="Times New Roman" w:cs="Times New Roman"/>
        </w:rPr>
        <w:t xml:space="preserve"> single round </w:t>
      </w:r>
      <w:r w:rsidR="00EC123B" w:rsidRPr="002B5BF5">
        <w:rPr>
          <w:rFonts w:ascii="Times New Roman" w:hAnsi="Times New Roman" w:cs="Times New Roman"/>
        </w:rPr>
        <w:t xml:space="preserve">of </w:t>
      </w:r>
      <w:r w:rsidR="00AD41A2" w:rsidRPr="002B5BF5">
        <w:rPr>
          <w:rFonts w:ascii="Times New Roman" w:hAnsi="Times New Roman" w:cs="Times New Roman"/>
        </w:rPr>
        <w:t xml:space="preserve">home-based </w:t>
      </w:r>
      <w:r w:rsidR="00EC123B" w:rsidRPr="002B5BF5">
        <w:rPr>
          <w:rFonts w:ascii="Times New Roman" w:hAnsi="Times New Roman" w:cs="Times New Roman"/>
        </w:rPr>
        <w:t>HIV testing was 20.7%. The uptake of HIV testing was 27.5% (683/2481) in the financial incentives arm, 17.1% (433/2534) in the EPIC-HIV arm, 26.8% (568/2120) in the arm receiving both interventions, and 17.8% in the SoC arm. T</w:t>
      </w:r>
      <w:r w:rsidR="00FC5DBC" w:rsidRPr="002B5BF5">
        <w:rPr>
          <w:rFonts w:ascii="Times New Roman" w:hAnsi="Times New Roman" w:cs="Times New Roman"/>
        </w:rPr>
        <w:t xml:space="preserve">he probability of HIV testing increased substantially by 55% in the financial incentives arm (risk ratio (RR)=1.55, 95% CI: 1.31-1.82, p&lt;0.001) and 51% in the arm receiving both interventions (RR=1.51, 95% CI: 1.21-1.87 p&lt;0.001), compared to the SoC arm. </w:t>
      </w:r>
      <w:r w:rsidR="00022C8C">
        <w:rPr>
          <w:rFonts w:ascii="Times New Roman" w:hAnsi="Times New Roman" w:cs="Times New Roman"/>
        </w:rPr>
        <w:t>It</w:t>
      </w:r>
      <w:r w:rsidR="00FC5DBC" w:rsidRPr="002B5BF5">
        <w:rPr>
          <w:rFonts w:ascii="Times New Roman" w:hAnsi="Times New Roman" w:cs="Times New Roman"/>
        </w:rPr>
        <w:t xml:space="preserve"> did not significantly differ in the EPIC-HIV arm (RR=0.96, 95% CI: 0.76-1.20, p=0.70). </w:t>
      </w:r>
    </w:p>
    <w:p w14:paraId="3F5E2D8E" w14:textId="451425A7" w:rsidR="00613974" w:rsidRPr="002B5BF5" w:rsidRDefault="00AE0FEE" w:rsidP="00C75768">
      <w:pPr>
        <w:spacing w:line="360" w:lineRule="auto"/>
        <w:jc w:val="both"/>
        <w:rPr>
          <w:rFonts w:ascii="Times New Roman" w:hAnsi="Times New Roman" w:cs="Times New Roman"/>
        </w:rPr>
      </w:pPr>
      <w:r w:rsidRPr="002B5BF5">
        <w:rPr>
          <w:rFonts w:ascii="Times New Roman" w:hAnsi="Times New Roman" w:cs="Times New Roman"/>
          <w:b/>
          <w:bCs/>
        </w:rPr>
        <w:t>Conclusions:</w:t>
      </w:r>
      <w:r w:rsidRPr="002B5BF5">
        <w:rPr>
          <w:rFonts w:ascii="Times New Roman" w:hAnsi="Times New Roman" w:cs="Times New Roman"/>
        </w:rPr>
        <w:t xml:space="preserve"> </w:t>
      </w:r>
      <w:r w:rsidR="00FC5DBC" w:rsidRPr="002B5BF5">
        <w:rPr>
          <w:rFonts w:ascii="Times New Roman" w:hAnsi="Times New Roman" w:cs="Times New Roman"/>
        </w:rPr>
        <w:t xml:space="preserve">The provision of a small financial incentive acted as powerful extrinsic motivator </w:t>
      </w:r>
      <w:r w:rsidR="00022C8C">
        <w:rPr>
          <w:rFonts w:ascii="Times New Roman" w:hAnsi="Times New Roman" w:cs="Times New Roman"/>
        </w:rPr>
        <w:t>for</w:t>
      </w:r>
      <w:r w:rsidR="00FC5DBC" w:rsidRPr="002B5BF5">
        <w:rPr>
          <w:rFonts w:ascii="Times New Roman" w:hAnsi="Times New Roman" w:cs="Times New Roman"/>
        </w:rPr>
        <w:t xml:space="preserve"> home-based HIV testing among men in rural South Africa.  By contrast, the counselling and testing application did not increase the uptake of home-based testing</w:t>
      </w:r>
      <w:r w:rsidR="00022C8C">
        <w:rPr>
          <w:rFonts w:ascii="Times New Roman" w:hAnsi="Times New Roman" w:cs="Times New Roman"/>
        </w:rPr>
        <w:t xml:space="preserve"> at the time of testing offer</w:t>
      </w:r>
      <w:r w:rsidR="00FC5DBC" w:rsidRPr="002B5BF5">
        <w:rPr>
          <w:rFonts w:ascii="Times New Roman" w:hAnsi="Times New Roman" w:cs="Times New Roman"/>
        </w:rPr>
        <w:t xml:space="preserve">. </w:t>
      </w:r>
      <w:r w:rsidR="006011E7" w:rsidRPr="002B5BF5">
        <w:rPr>
          <w:rFonts w:ascii="Times New Roman" w:hAnsi="Times New Roman" w:cs="Times New Roman"/>
        </w:rPr>
        <w:t xml:space="preserve">       </w:t>
      </w:r>
    </w:p>
    <w:p w14:paraId="5F0CA349" w14:textId="77777777" w:rsidR="00613974" w:rsidRPr="002B5BF5" w:rsidRDefault="00613974" w:rsidP="00C75768">
      <w:pPr>
        <w:spacing w:line="360" w:lineRule="auto"/>
        <w:jc w:val="both"/>
        <w:rPr>
          <w:rFonts w:ascii="Times New Roman" w:hAnsi="Times New Roman" w:cs="Times New Roman"/>
        </w:rPr>
      </w:pPr>
    </w:p>
    <w:p w14:paraId="6A2447F5" w14:textId="4C30CB9A" w:rsidR="00105E3A" w:rsidRPr="002B5BF5" w:rsidRDefault="00AA1D59" w:rsidP="00C75768">
      <w:pPr>
        <w:spacing w:line="360" w:lineRule="auto"/>
        <w:jc w:val="both"/>
        <w:rPr>
          <w:rFonts w:ascii="Times New Roman" w:hAnsi="Times New Roman" w:cs="Times New Roman"/>
        </w:rPr>
      </w:pPr>
      <w:r w:rsidRPr="002B5BF5">
        <w:rPr>
          <w:rFonts w:ascii="Times New Roman" w:hAnsi="Times New Roman" w:cs="Times New Roman"/>
        </w:rPr>
        <w:t>Clinical Trial Number</w:t>
      </w:r>
      <w:r w:rsidR="00613974" w:rsidRPr="002B5BF5">
        <w:rPr>
          <w:rFonts w:ascii="Times New Roman" w:hAnsi="Times New Roman" w:cs="Times New Roman"/>
        </w:rPr>
        <w:t>: ClinicalTrials.gov # NCT03757104</w:t>
      </w:r>
      <w:r w:rsidR="00105E3A" w:rsidRPr="002B5BF5">
        <w:rPr>
          <w:rFonts w:ascii="Times New Roman" w:hAnsi="Times New Roman" w:cs="Times New Roman"/>
          <w:b/>
          <w:bCs/>
        </w:rPr>
        <w:br w:type="page"/>
      </w:r>
    </w:p>
    <w:p w14:paraId="56C07F65" w14:textId="0B8A84E0" w:rsidR="00FF1568" w:rsidRPr="002B5BF5" w:rsidRDefault="00FF1568" w:rsidP="001C6BFE">
      <w:pPr>
        <w:spacing w:line="360" w:lineRule="auto"/>
        <w:jc w:val="both"/>
        <w:rPr>
          <w:rFonts w:ascii="Times New Roman" w:hAnsi="Times New Roman" w:cs="Times New Roman"/>
          <w:b/>
        </w:rPr>
      </w:pPr>
      <w:r w:rsidRPr="002B5BF5">
        <w:rPr>
          <w:rFonts w:ascii="Times New Roman" w:hAnsi="Times New Roman" w:cs="Times New Roman"/>
          <w:b/>
        </w:rPr>
        <w:lastRenderedPageBreak/>
        <w:t xml:space="preserve">Introduction </w:t>
      </w:r>
    </w:p>
    <w:p w14:paraId="6EF593B6" w14:textId="0FC0C87B" w:rsidR="00F5532D" w:rsidRPr="002B5BF5" w:rsidRDefault="005C0731" w:rsidP="001C6BFE">
      <w:pPr>
        <w:spacing w:line="360" w:lineRule="auto"/>
        <w:jc w:val="both"/>
        <w:rPr>
          <w:rFonts w:ascii="Times New Roman" w:hAnsi="Times New Roman" w:cs="Times New Roman"/>
          <w:lang w:val="en-AU"/>
        </w:rPr>
      </w:pPr>
      <w:r w:rsidRPr="002B5BF5">
        <w:rPr>
          <w:rFonts w:ascii="Times New Roman" w:hAnsi="Times New Roman" w:cs="Times New Roman"/>
        </w:rPr>
        <w:t>Despite the successes and implementation of population-wide HIV prevention and treatment programs,</w:t>
      </w:r>
      <w:r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{"citationItems":[{"id":"ITEM-1","itemData":{"DOI":"10.1126/science.1230413","ISSN":"1095-9203","PMID":"23430655","abstract":"The scale-up of antiretroviral therapy (ART) is expected to raise adult life expectancy in populations with high HIV prevalence. Using data from a population cohort of over 101,000 individuals in rural KwaZulu-Natal, South Africa, we measured changes in adult life expectancy for 2000-2011. In 2003, the year before ART became available in the public-sector health system, adult life expectancy was 49.2 years; by 2011, adult life expectancy had increased to 60.5 years--an 11.3-year gain. Based on standard monetary valuation of life, the survival benefits of ART far outweigh the costs of providing treatment in this community. These gains in adult life expectancy signify the social value of ART and have implications for the investment decisions of individuals, governments, and donors.","author":[{"dropping-particle":"","family":"Bor","given":"Jacob","non-dropping-particle":"","parse-names":false,"suffix":""},{"dropping-particle":"","family":"Herbst","given":"Abraham J","non-dropping-particle":"","parse-names":false,"suffix":""},{"dropping-particle":"","family":"Newell","given":"Marie-Louise","non-dropping-particle":"","parse-names":false,"suffix":""},{"dropping-particle":"","family":"Bärnighausen","given":"Till","non-dropping-particle":"","parse-names":false,"suffix":""}],"container-title":"Science (New York, N.Y.)","id":"ITEM-1","issue":"6122","issued":{"date-parts":[["2013","2","22"]]},"page":"961-5","title":"Increases in adult life expectancy in rural South Africa: valuing the scale-up of HIV treatment.","type":"article-journal","volume":"339"},"uris":["http://www.mendeley.com/documents/?uuid=af02f1ae-6469-3072-85ca-727bd3f319b1"]},{"id":"ITEM-2","itemData":{"DOI":"10.1126/science.1228160","ISSN":"1095-9203","PMID":"23430656","abstract":"The landmark HIV Prevention Trials Network (HPTN) 052 trial in HIV-discordant couples demonstrated unequivocally that treatment with antiretroviral therapy (ART) substantially lowers the probability of HIV transmission to the HIV-uninfected partner. However, it has been vigorously debated whether substantial population-level reductions in the rate of new HIV infections could be achieved in \"real-world\" sub-Saharan African settings where stable, cohabiting couples are often not the norm and where considerable operational challenges exist to the successful and sustainable delivery of treatment and care to large numbers of patients. We used data from one of Africa's largest population-based prospective cohort studies (in rural KwaZulu-Natal, South Africa) to follow up a total of 16,667 individuals who were HIV-uninfected at baseline, observing individual HIV seroconversions over the period 2004 to 2011. Holding other key HIV risk factors constant, individual HIV acquisition risk declined significantly with increasing ART coverage in the surrounding local community. For example, an HIV-uninfected individual living in a community with high ART coverage (30 to 40% of all HIV-infected individuals on ART) was 38% less likely to acquire HIV than someone living in a community where ART coverage was low (&lt;10% of all HIV-infected individuals on ART).","author":[{"dropping-particle":"","family":"Tanser","given":"Frank","non-dropping-particle":"","parse-names":false,"suffix":""},{"dropping-particle":"","family":"Bärnighausen","given":"Till","non-dropping-particle":"","parse-names":false,"suffix":""},{"dropping-particle":"","family":"Grapsa","given":"Erofili","non-dropping-particle":"","parse-names":false,"suffix":""},{"dropping-particle":"","family":"Zaidi","given":"Jaffer","non-dropping-particle":"","parse-names":false,"suffix":""},{"dropping-particle":"","family":"Newell","given":"Marie-Louise","non-dropping-particle":"","parse-names":false,"suffix":""}],"container-title":"Science (New York, N.Y.)","id":"ITEM-2","issue":"6122","issued":{"date-parts":[["2013","2","22"]]},"page":"966-71","publisher":"NIH Public Access","title":"High coverage of ART associated with decline in risk of HIV acquisition in rural KwaZulu-Natal, South Africa.","type":"article-journal","volume":"339"},"uris":["http://www.mendeley.com/documents/?uuid=48c19cbe-ed01-3315-a1c9-dd34011be61d"]}],"mendeley":{"formattedCitation":"&lt;sup&gt;1,2&lt;/sup&gt;","plainTextFormattedCitation":"1,2","previouslyFormattedCitation":"&lt;sup&gt;1,2&lt;/sup&gt;"},"properties":{"noteIndex":0},"schema":"https://github.com/citation-style-language/schema/raw/master/csl-citation.json"}</w:instrText>
      </w:r>
      <w:r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1,2</w:t>
      </w:r>
      <w:r w:rsidRPr="002B5BF5">
        <w:rPr>
          <w:rFonts w:ascii="Times New Roman" w:hAnsi="Times New Roman" w:cs="Times New Roman"/>
        </w:rPr>
        <w:fldChar w:fldCharType="end"/>
      </w:r>
      <w:r w:rsidRPr="002B5BF5">
        <w:rPr>
          <w:rFonts w:ascii="Times New Roman" w:hAnsi="Times New Roman" w:cs="Times New Roman"/>
        </w:rPr>
        <w:t xml:space="preserve"> </w:t>
      </w:r>
      <w:r w:rsidR="009545E7" w:rsidRPr="002B5BF5">
        <w:rPr>
          <w:rFonts w:ascii="Times New Roman" w:hAnsi="Times New Roman" w:cs="Times New Roman"/>
        </w:rPr>
        <w:t>female</w:t>
      </w:r>
      <w:r w:rsidR="00EA304B" w:rsidRPr="002B5BF5">
        <w:rPr>
          <w:rFonts w:ascii="Times New Roman" w:hAnsi="Times New Roman" w:cs="Times New Roman"/>
        </w:rPr>
        <w:t xml:space="preserve"> adolescents and young </w:t>
      </w:r>
      <w:r w:rsidR="009545E7" w:rsidRPr="002B5BF5">
        <w:rPr>
          <w:rFonts w:ascii="Times New Roman" w:hAnsi="Times New Roman" w:cs="Times New Roman"/>
        </w:rPr>
        <w:t xml:space="preserve">women </w:t>
      </w:r>
      <w:r w:rsidR="00EA304B" w:rsidRPr="002B5BF5">
        <w:rPr>
          <w:rFonts w:ascii="Times New Roman" w:hAnsi="Times New Roman" w:cs="Times New Roman"/>
        </w:rPr>
        <w:t>have</w:t>
      </w:r>
      <w:r w:rsidR="00B252DE" w:rsidRPr="002B5BF5">
        <w:rPr>
          <w:rFonts w:ascii="Times New Roman" w:hAnsi="Times New Roman" w:cs="Times New Roman"/>
        </w:rPr>
        <w:t xml:space="preserve"> consistently faced </w:t>
      </w:r>
      <w:r w:rsidR="00EA304B" w:rsidRPr="002B5BF5">
        <w:rPr>
          <w:rFonts w:ascii="Times New Roman" w:hAnsi="Times New Roman" w:cs="Times New Roman"/>
        </w:rPr>
        <w:t>a high</w:t>
      </w:r>
      <w:r w:rsidR="00807E9E" w:rsidRPr="002B5BF5">
        <w:rPr>
          <w:rFonts w:ascii="Times New Roman" w:hAnsi="Times New Roman" w:cs="Times New Roman"/>
        </w:rPr>
        <w:t xml:space="preserve"> risk of</w:t>
      </w:r>
      <w:r w:rsidR="00EA304B" w:rsidRPr="002B5BF5">
        <w:rPr>
          <w:rFonts w:ascii="Times New Roman" w:hAnsi="Times New Roman" w:cs="Times New Roman"/>
        </w:rPr>
        <w:t xml:space="preserve"> HIV </w:t>
      </w:r>
      <w:r w:rsidR="00807E9E" w:rsidRPr="002B5BF5">
        <w:rPr>
          <w:rFonts w:ascii="Times New Roman" w:hAnsi="Times New Roman" w:cs="Times New Roman"/>
        </w:rPr>
        <w:t>infection</w:t>
      </w:r>
      <w:r w:rsidR="00EA304B" w:rsidRPr="002B5BF5">
        <w:rPr>
          <w:rFonts w:ascii="Times New Roman" w:hAnsi="Times New Roman" w:cs="Times New Roman"/>
        </w:rPr>
        <w:t xml:space="preserve"> while HIV incidence steadily decreased among males</w:t>
      </w:r>
      <w:r w:rsidR="001F36FB" w:rsidRPr="002B5BF5">
        <w:rPr>
          <w:rFonts w:ascii="Times New Roman" w:hAnsi="Times New Roman" w:cs="Times New Roman"/>
        </w:rPr>
        <w:t>, widening the gender gap in many generalized HIV epidemic settings</w:t>
      </w:r>
      <w:r w:rsidR="00EA304B" w:rsidRPr="002B5BF5">
        <w:rPr>
          <w:rFonts w:ascii="Times New Roman" w:hAnsi="Times New Roman" w:cs="Times New Roman"/>
        </w:rPr>
        <w:t>.</w:t>
      </w:r>
      <w:r w:rsidR="00AA1D59"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{"citationItems":[{"id":"ITEM-1","itemData":{"DOI":"10.1093/IJE/DYX257","ISSN":"14643685","PMID":"29300904","abstract":"Background: In the context of a severe generalized African HIV epidemic, the value of geographically targeted prevention interventions has only recently been given serious consideration. However, to date no study has performed a population-based analysis of the micro-geographical clustering of HIV incident infections, limiting the evidential sup-port for such a strategy. Methods: We followed 17 984 HIV-uninfected individuals aged 15–54 in a population-based cohort in rural KwaZulu-Natal, South Africa, and observed individual HIV sero-conversions between 2004 and 2014. We geo-located all individuals to an exact homestead of residence (accuracy &lt;2 m). We then employed a two-dimensional Gaussian kernel of radius 3 km to produce robust estimates of HIV incidence which vary across continuous geographical space. We also applied Tango's flexibly shaped spatial scan statistic to identify irregularly shaped clusters of high HIV incidence. Results: Between 2004 and 2014, we observed a total of 2 311 HIV sero-conversions over 70 534 person-years of observation, at an overall incidence of 3.3 [95% confidence interval (CI), 3.1-3.4] per 100 person-years. Three large irregularly-shaped clusters of new HIV infec-tions (relative risk ¼ 1.6, 1.7 and 2.3) were identified in two adjacent peri-urban commun-ities near the National Road (P ¼ 0.001, 0.015) as well as in a rural node bordering a recent coal mine development (P ¼ 0.020), respectively. Together the clusters had a significantly higher age-sex standardized incidence of 5.1 (95% CI, 4.7-5.6) per 100 person-years com-pared with a standardized incidence of 3.0 per 100 person-years (95% CI, 2.9-3.2) in the re-mainder of the study area. Though these clusters comprise just 6.8% of the study area, they account for one out of every four sero-conversions observed over the study period. Conclusions: Our study has revealed clear 'corridors of transmission' in this typical rural, hyper-endemic population. Even in a severely affected rural African population, an ap-proach that seeks to provide preventive interventions to the most vulnerable geogra-phies could be more effective and cost-effective in reducing the overall rate of new HIV infections. There is an urgent need to develop and test such interventions as part of an overall combination prevention approach.","author":[{"dropping-particle":"","family":"Tanser","given":"Frank","non-dropping-particle":"","parse-names":false,"suffix":""},{"dropping-particle":"","family":"Bärnighausen","given":"Till","non-dropping-particle":"","parse-names":false,"suffix":""},{"dropping-particle":"","family":"Dobra","given":"Adrian","non-dropping-particle":"","parse-names":false,"suffix":""},{"dropping-particle":"","family":"Sartorius","given":"Benn","non-dropping-particle":"","parse-names":false,"suffix":""}],"container-title":"International Journal of Epidemiology","id":"ITEM-1","issue":"2","issued":{"date-parts":[["2018"]]},"page":"537-549","title":"Identifying 'corridors of HIV transmission' in a severely affected rural South African population: A case for a shift toward targeted prevention strategies","type":"article-journal","volume":"47"},"uris":["http://www.mendeley.com/documents/?uuid=08ee2989-bf0c-4383-bc7e-cc2fbcebe67f"]},{"id":"ITEM-2","itemData":{"DOI":"10.1371/journal.pone.0203193","ISSN":"1932-6203","abstract":"Background Adolescent girls and young women (AGYW) bear the brunt of the HIV epidemic in South Africa. ‘DREAMS’ aims to reduce HIV incidence through multi-level combination prevention. We describe HIV incidence and uptake of HIV and sexual reproductive health (SRH) by AGYW in KwaZulu-Natal (KZN), prior to DREAMS.   Methods Longitudinal and cross-sectional analysis of women (15–24 year old) in a population-based HIV incidence cohort within a demographic surveillance site in KZN. Observation time for HIV incidence was person-years at risk while resident. “Current use of contraceptives” and “having an HIV test in the past 12 months” was compared between 2011 and 2015.   Results In 2015, HIV prevalence was 11.0% and 34.1% and HIV incidence (2011–2015) was 4.54% (95%CI:3.89–5.30) and 7.45% (95%CI:6.51–8.51) per year in 15–19 and 20–24 year olds respectively, with no significant decline compared to 2006–2010. In 2015, 90.7% of 20-24-year-olds were unemployed, 36.4% and 51.7% of 15–19 and 20–24 year olds reported recent migration; 20.9% and 72.6% of 15–19 and 20–24 year olds had ever been pregnant. In 2015, less than 50% reported condom-use at last sex, 15.0% of 15–19 year olds and 48.9% of 20–24 year olds were currently using contraception and 32.0% and 66.7% of 15–19 and 20–24 year olds had tested for HIV in the past 12 months. There had been no improvement compared to 2011. Factors associated with AGYW testing for HIV in the past 12 months were, survey year—2011 more likely than 2015 (aOR = 0.50), number of partners (aOR = 3.25), ever been pregnant (aOR = 2.47) and knowing where to find ART (aOR = 1.54). Factors associated with contraception use were being older (aOR = 4.83); ever been pregnant (aOR = 12.62); knowing where to get ART (aOR = 1.79) and having had an HIV test in past 12 months (aOR = 1.74).   Conclusion Prior to DREAMS, HIV incidence in AGYW was high. HIV and SRH service uptake did not improve and was suboptimal. Findings highlight the need for combination HIV prevention programmes for AGYW in this economically vulnerable area.","author":[{"dropping-particle":"","family":"Chimbindi","given":"Natsayi","non-dropping-particle":"","parse-names":false,"suffix":""},{"dropping-particle":"","family":"Mthiyane","given":"Nondumiso","non-dropping-particle":"","parse-names":false,"suffix":""},{"dropping-particle":"","family":"Birdthistle","given":"Isolde","non-dropping-particle":"","parse-names":false,"suffix":""},{"dropping-particle":"","family":"Floyd","given":"Sian","non-dropping-particle":"","parse-names":false,"suffix":""},{"dropping-particle":"","family":"McGrath","given":"Nuala","non-dropping-particle":"","parse-names":false,"suffix":""},{"dropping-particle":"","family":"Pillay","given":"Deenan","non-dropping-particle":"","parse-names":false,"suffix":""},{"dropping-particle":"","family":"Seeley","given":"Janet","non-dropping-particle":"","parse-names":false,"suffix":""},{"dropping-particle":"","family":"Zuma","given":"Thembelihle","non-dropping-particle":"","parse-names":false,"suffix":""},{"dropping-particle":"","family":"Dreyer","given":"Jaco","non-dropping-particle":"","parse-names":false,"suffix":""},{"dropping-particle":"","family":"Gareta","given":"Dickman","non-dropping-particle":"","parse-names":false,"suffix":""},{"dropping-particle":"","family":"Mutevedzi","given":"Tinofa","non-dropping-particle":"","parse-names":false,"suffix":""},{"dropping-particle":"","family":"Fenty","given":"Justin","non-dropping-particle":"","parse-names":false,"suffix":""},{"dropping-particle":"","family":"Herbst","given":"Kobus","non-dropping-particle":"","parse-names":false,"suffix":""},{"dropping-particle":"","family":"Smit","given":"Theresa","non-dropping-particle":"","parse-names":false,"suffix":""},{"dropping-particle":"","family":"Baisley","given":"Kathy","non-dropping-particle":"","parse-names":false,"suffix":""},{"dropping-particle":"","family":"Shahmanesh","given":"Maryam","non-dropping-particle":"","parse-names":false,"suffix":""}],"container-title":"PLOS ONE","editor":[{"dropping-particle":"","family":"Laga","given":"Marie","non-dropping-particle":"","parse-names":false,"suffix":""}],"id":"ITEM-2","issue":"10","issued":{"date-parts":[["2018","10","16"]]},"page":"e0203193","publisher":"Public Library of Science","title":"Persistently high incidence of HIV and poor service uptake in adolescent girls and young women in rural KwaZulu-Natal, South Africa prior to DREAMS","type":"article-journal","volume":"13"},"uris":["http://www.mendeley.com/documents/?uuid=e3cdfb5e-d0e9-3914-8d97-30a8223382e0"]},{"id":"ITEM-3","itemData":{"ISSN":"2214-109X","PMID":"31607465","author":[{"dropping-particle":"","family":"Birdthistle","given":"Isolde","non-dropping-particle":"","parse-names":false,"suffix":""},{"dropping-particle":"","family":"Tanton","given":"Clare","non-dropping-particle":"","parse-names":false,"suffix":""},{"dropping-particle":"","family":"Tomita","given":"Andrew","non-dropping-particle":"","parse-names":false,"suffix":""},{"dropping-particle":"","family":"Graaf","given":"Kristen","non-dropping-particle":"de","parse-names":false,"suffix":""},{"dropping-particle":"","family":"Schaffnit","given":"Susan","non-dropping-particle":"","parse-names":false,"suffix":""},{"dropping-particle":"","family":"Tanser","given":"Frank","non-dropping-particle":"","parse-names":false,"suffix":""},{"dropping-particle":"","family":"Slaymaker","given":"Emma","non-dropping-particle":"","parse-names":false,"suffix":""}],"container-title":"The Lancet Global Health","id":"ITEM-3","issue":"11","issued":{"date-parts":[["2019"]]},"page":"E1521-1540","title":"Recent levels and trends in HIV incidence rates among adolescent girls and young women in high-prevalence countries: A systematic review and meta-analysis","type":"article-journal","volume":"7"},"uris":["http://www.mendeley.com/documents/?uuid=cbee94bb-e6a5-3dcc-8a8b-ca2a3c7460ac"]},{"id":"ITEM-4","itemData":{"DOI":"10.1371/journal.pmed.1001905","ISSN":"1549-1676","author":[{"dropping-particle":"","family":"Bor","given":"Jacob","non-dropping-particle":"","parse-names":false,"suffix":""},{"dropping-particle":"","family":"Rosen","given":"Sydney","non-dropping-particle":"","parse-names":false,"suffix":""},{"dropping-particle":"","family":"Chimbindi","given":"Natsayi","non-dropping-particle":"","parse-names":false,"suffix":""},{"dropping-particle":"","family":"Haber","given":"Noah","non-dropping-particle":"","parse-names":false,"suffix":""},{"dropping-particle":"","family":"Herbst","given":"Kobus","non-dropping-particle":"","parse-names":false,"suffix":""},{"dropping-particle":"","family":"Mutevedzi","given":"Tinofa","non-dropping-particle":"","parse-names":false,"suffix":""},{"dropping-particle":"","family":"Tanser","given":"Frank","non-dropping-particle":"","parse-names":false,"suffix":""},{"dropping-particle":"","family":"Pillay","given":"Deenan","non-dropping-particle":"","parse-names":false,"suffix":""},{"dropping-particle":"","family":"Bärnighausen","given":"Till","non-dropping-particle":"","parse-names":false,"suffix":""}],"container-title":"PLOS Medicine","editor":[{"dropping-particle":"","family":"Tsai","given":"Alexander C.","non-dropping-particle":"","parse-names":false,"suffix":""}],"id":"ITEM-4","issue":"11","issued":{"date-parts":[["2015","11","24"]]},"page":"e1001905","publisher":"Public Library of Science","title":"Mass HIV Treatment and Sex Disparities in Life Expectancy: Demographic Surveillance in Rural South Africa","type":"article-journal","volume":"12"},"uris":["http://www.mendeley.com/documents/?uuid=a914f8ad-a454-331b-afd6-b154c86dfdf9"]}],"mendeley":{"formattedCitation":"&lt;sup&gt;3–6&lt;/sup&gt;","plainTextFormattedCitation":"3–6","previouslyFormattedCitation":"&lt;sup&gt;3–6&lt;/sup&gt;"},"properties":{"noteIndex":0},"schema":"https://github.com/citation-style-language/schema/raw/master/csl-citation.json"}</w:instrText>
      </w:r>
      <w:r w:rsidR="00AA1D59"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3–6</w:t>
      </w:r>
      <w:r w:rsidR="00AA1D59" w:rsidRPr="002B5BF5">
        <w:rPr>
          <w:rFonts w:ascii="Times New Roman" w:hAnsi="Times New Roman" w:cs="Times New Roman"/>
        </w:rPr>
        <w:fldChar w:fldCharType="end"/>
      </w:r>
      <w:r w:rsidR="001F36FB" w:rsidRPr="002B5BF5">
        <w:rPr>
          <w:rFonts w:ascii="Times New Roman" w:hAnsi="Times New Roman" w:cs="Times New Roman"/>
        </w:rPr>
        <w:t xml:space="preserve"> </w:t>
      </w:r>
      <w:r w:rsidR="00E34166" w:rsidRPr="002B5BF5">
        <w:rPr>
          <w:rFonts w:ascii="Times New Roman" w:hAnsi="Times New Roman" w:cs="Times New Roman"/>
        </w:rPr>
        <w:t xml:space="preserve"> M</w:t>
      </w:r>
      <w:r w:rsidR="00EA304B" w:rsidRPr="002B5BF5">
        <w:rPr>
          <w:rFonts w:ascii="Times New Roman" w:hAnsi="Times New Roman" w:cs="Times New Roman"/>
        </w:rPr>
        <w:t xml:space="preserve">en </w:t>
      </w:r>
      <w:r w:rsidR="00E04234" w:rsidRPr="002B5BF5">
        <w:rPr>
          <w:rFonts w:ascii="Times New Roman" w:hAnsi="Times New Roman" w:cs="Times New Roman"/>
        </w:rPr>
        <w:t xml:space="preserve">are </w:t>
      </w:r>
      <w:r w:rsidR="009545E7" w:rsidRPr="002B5BF5">
        <w:rPr>
          <w:rFonts w:ascii="Times New Roman" w:hAnsi="Times New Roman" w:cs="Times New Roman"/>
        </w:rPr>
        <w:t>less</w:t>
      </w:r>
      <w:r w:rsidR="00E04234" w:rsidRPr="002B5BF5">
        <w:rPr>
          <w:rFonts w:ascii="Times New Roman" w:hAnsi="Times New Roman" w:cs="Times New Roman"/>
        </w:rPr>
        <w:t xml:space="preserve"> likely to </w:t>
      </w:r>
      <w:r w:rsidR="00807E9E" w:rsidRPr="002B5BF5">
        <w:rPr>
          <w:rFonts w:ascii="Times New Roman" w:hAnsi="Times New Roman" w:cs="Times New Roman"/>
        </w:rPr>
        <w:t>test for HIV</w:t>
      </w:r>
      <w:r w:rsidR="00EA304B" w:rsidRPr="002B5BF5">
        <w:rPr>
          <w:rFonts w:ascii="Times New Roman" w:hAnsi="Times New Roman" w:cs="Times New Roman"/>
        </w:rPr>
        <w:t xml:space="preserve"> and link to care once tested positive</w:t>
      </w:r>
      <w:r w:rsidR="00BC526C" w:rsidRPr="002B5BF5">
        <w:rPr>
          <w:rFonts w:ascii="Times New Roman" w:hAnsi="Times New Roman" w:cs="Times New Roman"/>
        </w:rPr>
        <w:t>, leading to</w:t>
      </w:r>
      <w:r w:rsidR="009545E7" w:rsidRPr="002B5BF5">
        <w:rPr>
          <w:rFonts w:ascii="Times New Roman" w:hAnsi="Times New Roman" w:cs="Times New Roman"/>
        </w:rPr>
        <w:t xml:space="preserve"> worse</w:t>
      </w:r>
      <w:r w:rsidR="00E04234" w:rsidRPr="002B5BF5">
        <w:rPr>
          <w:rFonts w:ascii="Times New Roman" w:hAnsi="Times New Roman" w:cs="Times New Roman"/>
        </w:rPr>
        <w:t xml:space="preserve"> long-term health outcomes </w:t>
      </w:r>
      <w:r w:rsidR="009E28E5" w:rsidRPr="002B5BF5">
        <w:rPr>
          <w:rFonts w:ascii="Times New Roman" w:hAnsi="Times New Roman" w:cs="Times New Roman"/>
        </w:rPr>
        <w:t>such as unsuppressed</w:t>
      </w:r>
      <w:r w:rsidR="009545E7" w:rsidRPr="002B5BF5">
        <w:rPr>
          <w:rFonts w:ascii="Times New Roman" w:hAnsi="Times New Roman" w:cs="Times New Roman"/>
        </w:rPr>
        <w:t xml:space="preserve"> </w:t>
      </w:r>
      <w:r w:rsidR="00E04234" w:rsidRPr="002B5BF5">
        <w:rPr>
          <w:rFonts w:ascii="Times New Roman" w:hAnsi="Times New Roman" w:cs="Times New Roman"/>
        </w:rPr>
        <w:t>v</w:t>
      </w:r>
      <w:r w:rsidR="00EA304B" w:rsidRPr="002B5BF5">
        <w:rPr>
          <w:rFonts w:ascii="Times New Roman" w:hAnsi="Times New Roman" w:cs="Times New Roman"/>
        </w:rPr>
        <w:t>iral</w:t>
      </w:r>
      <w:r w:rsidR="009E28E5" w:rsidRPr="002B5BF5">
        <w:rPr>
          <w:rFonts w:ascii="Times New Roman" w:hAnsi="Times New Roman" w:cs="Times New Roman"/>
        </w:rPr>
        <w:t xml:space="preserve"> load </w:t>
      </w:r>
      <w:r w:rsidR="00E04234" w:rsidRPr="002B5BF5">
        <w:rPr>
          <w:rFonts w:ascii="Times New Roman" w:hAnsi="Times New Roman" w:cs="Times New Roman"/>
        </w:rPr>
        <w:t>and</w:t>
      </w:r>
      <w:r w:rsidR="00807E9E" w:rsidRPr="002B5BF5">
        <w:rPr>
          <w:rFonts w:ascii="Times New Roman" w:hAnsi="Times New Roman" w:cs="Times New Roman"/>
        </w:rPr>
        <w:t xml:space="preserve"> </w:t>
      </w:r>
      <w:r w:rsidR="009E28E5" w:rsidRPr="002B5BF5">
        <w:rPr>
          <w:rFonts w:ascii="Times New Roman" w:hAnsi="Times New Roman" w:cs="Times New Roman"/>
        </w:rPr>
        <w:t xml:space="preserve">higher </w:t>
      </w:r>
      <w:r w:rsidR="00807E9E" w:rsidRPr="002B5BF5">
        <w:rPr>
          <w:rFonts w:ascii="Times New Roman" w:hAnsi="Times New Roman" w:cs="Times New Roman"/>
        </w:rPr>
        <w:t>HIV-related mortality</w:t>
      </w:r>
      <w:r w:rsidR="00F5532D" w:rsidRPr="002B5BF5">
        <w:rPr>
          <w:rFonts w:ascii="Times New Roman" w:hAnsi="Times New Roman" w:cs="Times New Roman"/>
        </w:rPr>
        <w:t xml:space="preserve"> </w:t>
      </w:r>
      <w:r w:rsidR="00AA1D59" w:rsidRPr="002B5BF5">
        <w:rPr>
          <w:rFonts w:ascii="Times New Roman" w:hAnsi="Times New Roman" w:cs="Times New Roman"/>
        </w:rPr>
        <w:t xml:space="preserve">among males </w:t>
      </w:r>
      <w:r w:rsidR="00F5532D" w:rsidRPr="002B5BF5">
        <w:rPr>
          <w:rFonts w:ascii="Times New Roman" w:hAnsi="Times New Roman" w:cs="Times New Roman"/>
        </w:rPr>
        <w:t>and reciprocally</w:t>
      </w:r>
      <w:r w:rsidR="00BC526C" w:rsidRPr="002B5BF5">
        <w:rPr>
          <w:rFonts w:ascii="Times New Roman" w:hAnsi="Times New Roman" w:cs="Times New Roman"/>
        </w:rPr>
        <w:t xml:space="preserve"> </w:t>
      </w:r>
      <w:r w:rsidR="00F5532D" w:rsidRPr="002B5BF5">
        <w:rPr>
          <w:rFonts w:ascii="Times New Roman" w:hAnsi="Times New Roman" w:cs="Times New Roman"/>
        </w:rPr>
        <w:t>high HIV incidence among females.</w:t>
      </w:r>
      <w:r w:rsidR="008401FA"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{"citationItems":[{"id":"ITEM-1","itemData":{"DOI":"10.1126/science.1230413","ISSN":"1095-9203","PMID":"23430655","abstract":"The scale-up of antiretroviral therapy (ART) is expected to raise adult life expectancy in populations with high HIV prevalence. Using data from a population cohort of over 101,000 individuals in rural KwaZulu-Natal, South Africa, we measured changes in adult life expectancy for 2000-2011. In 2003, the year before ART became available in the public-sector health system, adult life expectancy was 49.2 years; by 2011, adult life expectancy had increased to 60.5 years--an 11.3-year gain. Based on standard monetary valuation of life, the survival benefits of ART far outweigh the costs of providing treatment in this community. These gains in adult life expectancy signify the social value of ART and have implications for the investment decisions of individuals, governments, and donors.","author":[{"dropping-particle":"","family":"Bor","given":"Jacob","non-dropping-particle":"","parse-names":false,"suffix":""},{"dropping-particle":"","family":"Herbst","given":"Abraham J","non-dropping-particle":"","parse-names":false,"suffix":""},{"dropping-particle":"","family":"Newell","given":"Marie-Louise","non-dropping-particle":"","parse-names":false,"suffix":""},{"dropping-particle":"","family":"Bärnighausen","given":"Till","non-dropping-particle":"","parse-names":false,"suffix":""}],"container-title":"Science (New York, N.Y.)","id":"ITEM-1","issue":"6122","issued":{"date-parts":[["2013","2","22"]]},"page":"961-5","title":"Increases in adult life expectancy in rural South Africa: valuing the scale-up of HIV treatment.","type":"article-journal","volume":"339"},"uris":["http://www.mendeley.com/documents/?uuid=af02f1ae-6469-3072-85ca-727bd3f319b1"]},{"id":"ITEM-2","itemData":{"DOI":"10.1007/s10461-014-0866-0","ISSN":"1090-7165","author":[{"dropping-particle":"","family":"Hensen","given":"B.","non-dropping-particle":"","parse-names":false,"suffix":""},{"dropping-particle":"","family":"Lewis","given":"J. J.","non-dropping-particle":"","parse-names":false,"suffix":""},{"dropping-particle":"","family":"Schaap","given":"A.","non-dropping-particle":"","parse-names":false,"suffix":""},{"dropping-particle":"","family":"Tembo","given":"M.","non-dropping-particle":"","parse-names":false,"suffix":""},{"dropping-particle":"","family":"Mutale","given":"W.","non-dropping-particle":"","parse-names":false,"suffix":""},{"dropping-particle":"","family":"Weiss","given":"H. A.","non-dropping-particle":"","parse-names":false,"suffix":""},{"dropping-particle":"","family":"Hargreaves","given":"J.","non-dropping-particle":"","parse-names":false,"suffix":""},{"dropping-particle":"","family":"Ayles","given":"H.","non-dropping-particle":"","parse-names":false,"suffix":""}],"container-title":"AIDS and Behavior","id":"ITEM-2","issue":"3","issued":{"date-parts":[["2015","3","6"]]},"page":"492-504","publisher":"Springer US","title":"Factors Associated with HIV-Testing and Acceptance of an Offer of Home-Based Testing by Men in Rural Zambia","type":"article-journal","volume":"19"},"uris":["http://www.mendeley.com/documents/?uuid=e4c0cd4d-d4d3-3362-8638-68e11237fbd9"]}],"mendeley":{"formattedCitation":"&lt;sup&gt;1,7&lt;/sup&gt;","plainTextFormattedCitation":"1,7","previouslyFormattedCitation":"&lt;sup&gt;1,7&lt;/sup&gt;"},"properties":{"noteIndex":0},"schema":"https://github.com/citation-style-language/schema/raw/master/csl-citation.json"}</w:instrText>
      </w:r>
      <w:r w:rsidR="008401FA"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1,7</w:t>
      </w:r>
      <w:r w:rsidR="008401FA" w:rsidRPr="002B5BF5">
        <w:rPr>
          <w:rFonts w:ascii="Times New Roman" w:hAnsi="Times New Roman" w:cs="Times New Roman"/>
        </w:rPr>
        <w:fldChar w:fldCharType="end"/>
      </w:r>
      <w:r w:rsidR="00EA304B" w:rsidRPr="002B5BF5">
        <w:rPr>
          <w:rFonts w:ascii="Times New Roman" w:hAnsi="Times New Roman" w:cs="Times New Roman"/>
        </w:rPr>
        <w:t xml:space="preserve"> </w:t>
      </w:r>
      <w:bookmarkStart w:id="3" w:name="_Hlk54879768"/>
      <w:r w:rsidR="006C0AF3" w:rsidRPr="002B5BF5">
        <w:rPr>
          <w:rFonts w:ascii="Times New Roman" w:hAnsi="Times New Roman" w:cs="Times New Roman"/>
        </w:rPr>
        <w:t xml:space="preserve">In rural South Africa, once antiretroviral therapy (ART) coverage </w:t>
      </w:r>
      <w:r w:rsidR="0082499F" w:rsidRPr="002B5BF5">
        <w:rPr>
          <w:rFonts w:ascii="Times New Roman" w:hAnsi="Times New Roman" w:cs="Times New Roman"/>
        </w:rPr>
        <w:t xml:space="preserve">among </w:t>
      </w:r>
      <w:r w:rsidR="004C3E2B" w:rsidRPr="002B5BF5">
        <w:rPr>
          <w:rFonts w:ascii="Times New Roman" w:hAnsi="Times New Roman" w:cs="Times New Roman"/>
        </w:rPr>
        <w:t>males</w:t>
      </w:r>
      <w:r w:rsidR="0082499F" w:rsidRPr="002B5BF5">
        <w:rPr>
          <w:rFonts w:ascii="Times New Roman" w:hAnsi="Times New Roman" w:cs="Times New Roman"/>
        </w:rPr>
        <w:t xml:space="preserve"> </w:t>
      </w:r>
      <w:r w:rsidR="006C0AF3" w:rsidRPr="002B5BF5">
        <w:rPr>
          <w:rFonts w:ascii="Times New Roman" w:hAnsi="Times New Roman" w:cs="Times New Roman"/>
        </w:rPr>
        <w:t xml:space="preserve">surpassed 35% in 2014, </w:t>
      </w:r>
      <w:r w:rsidR="004C3E2B" w:rsidRPr="002B5BF5">
        <w:rPr>
          <w:rFonts w:ascii="Times New Roman" w:hAnsi="Times New Roman" w:cs="Times New Roman"/>
        </w:rPr>
        <w:t xml:space="preserve">population-level </w:t>
      </w:r>
      <w:r w:rsidR="006C0AF3" w:rsidRPr="002B5BF5">
        <w:rPr>
          <w:rFonts w:ascii="Times New Roman" w:hAnsi="Times New Roman" w:cs="Times New Roman"/>
        </w:rPr>
        <w:t xml:space="preserve">HIV incidence </w:t>
      </w:r>
      <w:r w:rsidR="004C3E2B" w:rsidRPr="002B5BF5">
        <w:rPr>
          <w:rFonts w:ascii="Times New Roman" w:hAnsi="Times New Roman" w:cs="Times New Roman"/>
        </w:rPr>
        <w:t xml:space="preserve">among females </w:t>
      </w:r>
      <w:r w:rsidR="006C0AF3" w:rsidRPr="002B5BF5">
        <w:rPr>
          <w:rFonts w:ascii="Times New Roman" w:hAnsi="Times New Roman" w:cs="Times New Roman"/>
        </w:rPr>
        <w:t xml:space="preserve">significantly </w:t>
      </w:r>
      <w:r w:rsidR="0082499F" w:rsidRPr="002B5BF5">
        <w:rPr>
          <w:rFonts w:ascii="Times New Roman" w:hAnsi="Times New Roman" w:cs="Times New Roman"/>
        </w:rPr>
        <w:t>declined</w:t>
      </w:r>
      <w:r w:rsidR="006C0AF3" w:rsidRPr="002B5BF5">
        <w:rPr>
          <w:rFonts w:ascii="Times New Roman" w:hAnsi="Times New Roman" w:cs="Times New Roman"/>
        </w:rPr>
        <w:t>.</w:t>
      </w:r>
      <w:r w:rsidR="006C0AF3"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author":[{"dropping-particle":"","family":"Vandormael","given":"A","non-dropping-particle":"","parse-names":false,"suffix":""},{"dropping-particle":"","family":"Akullian","given":"A","non-dropping-particle":"","parse-names":false,"suffix":""},{"dropping-particle":"","family":"Siedner","given":"M","non-dropping-particle":"","parse-names":false,"suffix":""},{"dropping-particle":"","family":"Bärnighausen","given":"T","non-dropping-particle":"","parse-names":false,"suffix":""},{"dropping-particle":"","family":"Oliveira","given":"T","non-dropping-particle":"de","parse-names":false,"suffix":""},{"dropping-particle":"","family":"Tanser","given":"F","non-dropping-particle":"","parse-names":false,"suffix":""}],"container-title":"Nature Communications","id":"ITEM-1","issued":{"date-parts":[["2019"]]},"page":"5482","title":"Declines in HIV incidence among men and women in a South African population-based cohort","type":"article-journal","volume":"10"},"uris":["http://www.mendeley.com/documents/?uuid=bfc00dc0-5b45-49af-a25e-833a1a102d6d"]}],"mendeley":{"formattedCitation":"&lt;sup&gt;8&lt;/sup&gt;","plainTextFormattedCitation":"8","previouslyFormattedCitation":"&lt;sup&gt;8&lt;/sup&gt;"},"properties":{"noteIndex":0},"schema":"https://github.com/citation-style-language/schema/raw/master/csl-citation.json"}</w:instrText>
      </w:r>
      <w:r w:rsidR="006C0AF3"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8</w:t>
      </w:r>
      <w:r w:rsidR="006C0AF3" w:rsidRPr="002B5BF5">
        <w:rPr>
          <w:rFonts w:ascii="Times New Roman" w:hAnsi="Times New Roman" w:cs="Times New Roman"/>
        </w:rPr>
        <w:fldChar w:fldCharType="end"/>
      </w:r>
      <w:r w:rsidR="00B81D4D" w:rsidRPr="002B5BF5">
        <w:rPr>
          <w:rFonts w:ascii="Times New Roman" w:hAnsi="Times New Roman" w:cs="Times New Roman"/>
        </w:rPr>
        <w:t xml:space="preserve"> </w:t>
      </w:r>
    </w:p>
    <w:bookmarkEnd w:id="3"/>
    <w:p w14:paraId="2EF555A2" w14:textId="29134A75" w:rsidR="00DD2C89" w:rsidRPr="002B5BF5" w:rsidRDefault="00DB617A">
      <w:pPr>
        <w:spacing w:line="360" w:lineRule="auto"/>
        <w:jc w:val="both"/>
        <w:rPr>
          <w:rFonts w:ascii="Times New Roman" w:hAnsi="Times New Roman" w:cs="Times New Roman"/>
        </w:rPr>
      </w:pPr>
      <w:r w:rsidRPr="002B5BF5">
        <w:rPr>
          <w:rFonts w:ascii="Times New Roman" w:hAnsi="Times New Roman" w:cs="Times New Roman"/>
        </w:rPr>
        <w:t xml:space="preserve">Recent </w:t>
      </w:r>
      <w:r w:rsidR="00043E3D" w:rsidRPr="002B5BF5">
        <w:rPr>
          <w:rFonts w:ascii="Times New Roman" w:hAnsi="Times New Roman" w:cs="Times New Roman"/>
        </w:rPr>
        <w:t>community-based trials of univers</w:t>
      </w:r>
      <w:r w:rsidR="00AE0FA2" w:rsidRPr="002B5BF5">
        <w:rPr>
          <w:rFonts w:ascii="Times New Roman" w:hAnsi="Times New Roman" w:cs="Times New Roman"/>
        </w:rPr>
        <w:t>a</w:t>
      </w:r>
      <w:r w:rsidR="00043E3D" w:rsidRPr="002B5BF5">
        <w:rPr>
          <w:rFonts w:ascii="Times New Roman" w:hAnsi="Times New Roman" w:cs="Times New Roman"/>
        </w:rPr>
        <w:t xml:space="preserve">l testing and treatment </w:t>
      </w:r>
      <w:r w:rsidR="00221BFC" w:rsidRPr="002B5BF5">
        <w:rPr>
          <w:rFonts w:ascii="Times New Roman" w:hAnsi="Times New Roman" w:cs="Times New Roman"/>
        </w:rPr>
        <w:t xml:space="preserve">(UTT) </w:t>
      </w:r>
      <w:r w:rsidR="00043E3D" w:rsidRPr="002B5BF5">
        <w:rPr>
          <w:rFonts w:ascii="Times New Roman" w:hAnsi="Times New Roman" w:cs="Times New Roman"/>
        </w:rPr>
        <w:t xml:space="preserve">including </w:t>
      </w:r>
      <w:r w:rsidR="00B23F4E" w:rsidRPr="002B5BF5">
        <w:rPr>
          <w:rFonts w:ascii="Times New Roman" w:hAnsi="Times New Roman" w:cs="Times New Roman"/>
        </w:rPr>
        <w:t xml:space="preserve">our </w:t>
      </w:r>
      <w:r w:rsidRPr="002B5BF5">
        <w:rPr>
          <w:rFonts w:ascii="Times New Roman" w:hAnsi="Times New Roman" w:cs="Times New Roman"/>
        </w:rPr>
        <w:t>Test-as-Prevention (</w:t>
      </w:r>
      <w:proofErr w:type="spellStart"/>
      <w:r w:rsidRPr="002B5BF5">
        <w:rPr>
          <w:rFonts w:ascii="Times New Roman" w:hAnsi="Times New Roman" w:cs="Times New Roman"/>
        </w:rPr>
        <w:t>TasP</w:t>
      </w:r>
      <w:proofErr w:type="spellEnd"/>
      <w:r w:rsidRPr="002B5BF5">
        <w:rPr>
          <w:rFonts w:ascii="Times New Roman" w:hAnsi="Times New Roman" w:cs="Times New Roman"/>
        </w:rPr>
        <w:t>) trial (ANRS 12249)</w:t>
      </w:r>
      <w:r w:rsidR="00B23F4E" w:rsidRPr="002B5BF5">
        <w:rPr>
          <w:rFonts w:ascii="Times New Roman" w:hAnsi="Times New Roman" w:cs="Times New Roman"/>
        </w:rPr>
        <w:t xml:space="preserve"> in</w:t>
      </w:r>
      <w:r w:rsidR="00043E3D" w:rsidRPr="002B5BF5">
        <w:rPr>
          <w:rFonts w:ascii="Times New Roman" w:hAnsi="Times New Roman" w:cs="Times New Roman"/>
        </w:rPr>
        <w:t xml:space="preserve"> </w:t>
      </w:r>
      <w:r w:rsidR="00EA304B" w:rsidRPr="002B5BF5">
        <w:rPr>
          <w:rFonts w:ascii="Times New Roman" w:hAnsi="Times New Roman" w:cs="Times New Roman"/>
        </w:rPr>
        <w:t>rural South Africa</w:t>
      </w:r>
      <w:r w:rsidR="00043E3D" w:rsidRPr="002B5BF5">
        <w:rPr>
          <w:rStyle w:val="CommentReference"/>
          <w:rFonts w:ascii="Times New Roman" w:eastAsia="Times New Roman" w:hAnsi="Times New Roman" w:cs="Times New Roman"/>
          <w:sz w:val="22"/>
          <w:szCs w:val="22"/>
          <w:lang w:val="en-AU" w:eastAsia="en-AU"/>
        </w:rPr>
        <w:t xml:space="preserve"> </w:t>
      </w:r>
      <w:r w:rsidRPr="002B5BF5">
        <w:rPr>
          <w:rFonts w:ascii="Times New Roman" w:hAnsi="Times New Roman" w:cs="Times New Roman"/>
        </w:rPr>
        <w:t>achieved no</w:t>
      </w:r>
      <w:r w:rsidR="00807E9E" w:rsidRPr="002B5BF5">
        <w:rPr>
          <w:rFonts w:ascii="Times New Roman" w:hAnsi="Times New Roman" w:cs="Times New Roman"/>
        </w:rPr>
        <w:t xml:space="preserve"> </w:t>
      </w:r>
      <w:r w:rsidR="00043E3D" w:rsidRPr="002B5BF5">
        <w:rPr>
          <w:rFonts w:ascii="Times New Roman" w:hAnsi="Times New Roman" w:cs="Times New Roman"/>
        </w:rPr>
        <w:t>significant</w:t>
      </w:r>
      <w:r w:rsidRPr="002B5BF5">
        <w:rPr>
          <w:rFonts w:ascii="Times New Roman" w:hAnsi="Times New Roman" w:cs="Times New Roman"/>
        </w:rPr>
        <w:t xml:space="preserve"> or somewhat modest</w:t>
      </w:r>
      <w:r w:rsidR="00043E3D" w:rsidRPr="002B5BF5">
        <w:rPr>
          <w:rFonts w:ascii="Times New Roman" w:hAnsi="Times New Roman" w:cs="Times New Roman"/>
        </w:rPr>
        <w:t xml:space="preserve"> </w:t>
      </w:r>
      <w:r w:rsidR="00807E9E" w:rsidRPr="002B5BF5">
        <w:rPr>
          <w:rFonts w:ascii="Times New Roman" w:hAnsi="Times New Roman" w:cs="Times New Roman"/>
        </w:rPr>
        <w:t xml:space="preserve">reduction in </w:t>
      </w:r>
      <w:r w:rsidR="00567299" w:rsidRPr="002B5BF5">
        <w:rPr>
          <w:rFonts w:ascii="Times New Roman" w:hAnsi="Times New Roman" w:cs="Times New Roman"/>
        </w:rPr>
        <w:t xml:space="preserve">HIV incidence at </w:t>
      </w:r>
      <w:r w:rsidR="008A163C" w:rsidRPr="002B5BF5">
        <w:rPr>
          <w:rFonts w:ascii="Times New Roman" w:hAnsi="Times New Roman" w:cs="Times New Roman"/>
        </w:rPr>
        <w:t xml:space="preserve">the </w:t>
      </w:r>
      <w:r w:rsidR="00567299" w:rsidRPr="002B5BF5">
        <w:rPr>
          <w:rFonts w:ascii="Times New Roman" w:hAnsi="Times New Roman" w:cs="Times New Roman"/>
        </w:rPr>
        <w:t>population</w:t>
      </w:r>
      <w:r w:rsidR="003B3495" w:rsidRPr="002B5BF5">
        <w:rPr>
          <w:rFonts w:ascii="Times New Roman" w:hAnsi="Times New Roman" w:cs="Times New Roman"/>
        </w:rPr>
        <w:t xml:space="preserve"> </w:t>
      </w:r>
      <w:r w:rsidR="00567299" w:rsidRPr="002B5BF5">
        <w:rPr>
          <w:rFonts w:ascii="Times New Roman" w:hAnsi="Times New Roman" w:cs="Times New Roman"/>
        </w:rPr>
        <w:t>level</w:t>
      </w:r>
      <w:r w:rsidR="00AE0FA2" w:rsidRPr="002B5BF5">
        <w:rPr>
          <w:rFonts w:ascii="Times New Roman" w:hAnsi="Times New Roman" w:cs="Times New Roman"/>
        </w:rPr>
        <w:t>.</w:t>
      </w:r>
      <w:r w:rsidR="00877D90"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{"citationItems":[{"id":"ITEM-1","itemData":{"DOI":"10.1056/NEJMoa1809866","ISSN":"0028-4793","abstract":"Abstract Background Universal antiretroviral therapy (ART) with annual population testing and a multidisease, patient-centered strategy could reduce new human immunodeficiency virus (HIV) infection...","author":[{"dropping-particle":"V.","family":"Havlir","given":"Diane","non-dropping-particle":"","parse-names":false,"suffix":""},{"dropping-particle":"","family":"Balzer","given":"Laura B.","non-dropping-particle":"","parse-names":false,"suffix":""},{"dropping-particle":"","family":"Charlebois","given":"Edwin D.","non-dropping-particle":"","parse-names":false,"suffix":""},{"dropping-particle":"","family":"Clark","given":"Tamara D.","non-dropping-particle":"","parse-names":false,"suffix":""},{"dropping-particle":"","family":"Kwarisiima","given":"Dalsone","non-dropping-particle":"","parse-names":false,"suffix":""},{"dropping-particle":"","family":"Ayieko","given":"James","non-dropping-particle":"","parse-names":false,"suffix":""},{"dropping-particle":"","family":"Kabami","given":"Jane","non-dropping-particle":"","parse-names":false,"suffix":""},{"dropping-particle":"","family":"Sang","given":"Norton","non-dropping-particle":"","parse-names":false,"suffix":""},{"dropping-particle":"","family":"Liegler","given":"Teri","non-dropping-particle":"","parse-names":false,"suffix":""},{"dropping-particle":"","family":"Chamie","given":"Gabriel","non-dropping-particle":"","parse-names":false,"suffix":""},{"dropping-particle":"","family":"Camlin","given":"Carol S.","non-dropping-particle":"","parse-names":false,"suffix":""},{"dropping-particle":"","family":"Jain","given":"Vivek","non-dropping-particle":"","parse-names":false,"suffix":""},{"dropping-particle":"","family":"Kadede","given":"Kevin","non-dropping-particle":"","parse-names":false,"suffix":""},{"dropping-particle":"","family":"Atukunda","given":"Mucunguzi","non-dropping-particle":"","parse-names":false,"suffix":""},{"dropping-particle":"","family":"Ruel","given":"Theodore","non-dropping-particle":"","parse-names":false,"suffix":""},{"dropping-particle":"","family":"Shade","given":"Starley B.","non-dropping-particle":"","parse-names":false,"suffix":""},{"dropping-particle":"","family":"Ssemmondo","given":"Emmanuel","non-dropping-particle":"","parse-names":false,"suffix":""},{"dropping-particle":"","family":"Byonanebye","given":"Dathan M.","non-dropping-particle":"","parse-names":false,"suffix":""},{"dropping-particle":"","family":"Mwangwa","given":"Florence","non-dropping-particle":"","parse-names":false,"suffix":""},{"dropping-particle":"","family":"Owaraganise","given":"Asiphas","non-dropping-particle":"","parse-names":false,"suffix":""},{"dropping-particle":"","family":"Olilo","given":"Winter","non-dropping-particle":"","parse-names":false,"suffix":""},{"dropping-particle":"","family":"Black","given":"Douglas","non-dropping-particle":"","parse-names":false,"suffix":""},{"dropping-particle":"","family":"Snyman","given":"Katherine","non-dropping-particle":"","parse-names":false,"suffix":""},{"dropping-particle":"","family":"Burger","given":"Rachel","non-dropping-particle":"","parse-names":false,"suffix":""},{"dropping-particle":"","family":"Getahun","given":"Monica","non-dropping-particle":"","parse-names":false,"suffix":""},{"dropping-particle":"","family":"Achando","given":"Jackson","non-dropping-particle":"","parse-names":false,"suffix":""},{"dropping-particle":"","family":"Awuonda","given":"Benard","non-dropping-particle":"","parse-names":false,"suffix":""},{"dropping-particle":"","family":"Nakato","given":"Hellen","non-dropping-particle":"","parse-names":false,"suffix":""},{"dropping-particle":"","family":"Kironde","given":"Joel","non-dropping-particle":"","parse-names":false,"suffix":""},{"dropping-particle":"","family":"Okiror","given":"Samuel","non-dropping-particle":"","parse-names":false,"suffix":""},{"dropping-particle":"","family":"Thirumurthy","given":"Harsha","non-dropping-particle":"","parse-names":false,"suffix":""},{"dropping-particle":"","family":"Koss","given":"Catherine","non-dropping-particle":"","parse-names":false,"suffix":""},{"dropping-particle":"","family":"Brown","given":"Lillian","non-dropping-particle":"","parse-names":false,"suffix":""},{"dropping-particle":"","family":"Marquez","given":"Carina","non-dropping-particle":"","parse-names":false,"suffix":""},{"dropping-particle":"","family":"Schwab","given":"Joshua","non-dropping-particle":"","parse-names":false,"suffix":""},{"dropping-particle":"","family":"Lavoy","given":"Geoff","non-dropping-particle":"","parse-names":false,"suffix":""},{"dropping-particle":"","family":"Plenty","given":"Albert","non-dropping-particle":"","parse-names":false,"suffix":""},{"dropping-particle":"","family":"Mugoma Wafula","given":"Erick","non-dropping-particle":"","parse-names":false,"suffix":""},{"dropping-particle":"","family":"Omanya","given":"Patrick","non-dropping-particle":"","parse-names":false,"suffix":""},{"dropping-particle":"","family":"Chen","given":"Yea-Hung","non-dropping-particle":"","parse-names":false,"suffix":""},{"dropping-particle":"","family":"Rooney","given":"James F.","non-dropping-particle":"","parse-names":false,"suffix":""},{"dropping-particle":"","family":"Bacon","given":"Melanie","non-dropping-particle":"","parse-names":false,"suffix":""},{"dropping-particle":"","family":"Laan","given":"Mark","non-dropping-particle":"van der","parse-names":false,"suffix":""},{"dropping-particle":"","family":"Cohen","given":"Craig R.","non-dropping-particle":"","parse-names":false,"suffix":""},{"dropping-particle":"","family":"Bukusi","given":"Elizabeth","non-dropping-particle":"","parse-names":false,"suffix":""},{"dropping-particle":"","family":"Kamya","given":"Moses R.","non-dropping-particle":"","parse-names":false,"suffix":""},{"dropping-particle":"","family":"Petersen","given":"Maya","non-dropping-particle":"","parse-names":false,"suffix":""}],"container-title":"New England Journal of Medicine","id":"ITEM-1","issue":"3","issued":{"date-parts":[["2019","7","18"]]},"page":"219-229","publisher":"Massachusetts Medical Society","title":"HIV Testing and Treatment with the Use of a Community Health Approach in Rural Africa","type":"article-journal","volume":"381"},"uris":["http://www.mendeley.com/documents/?uuid=93797b9c-6ebe-3a3b-82d4-1aeafd292635"]},{"id":"ITEM-2","itemData":{"DOI":"10.1056/NEJMoa1812281","ISSN":"0028-4793","abstract":"Abstract Background The feasibility of reducing the population-level incidence of human immunodeficiency virus (HIV) infection by increasing community coverage of antiretroviral therapy (ART) and m...","author":[{"dropping-particle":"","family":"Makhema","given":"Joseph","non-dropping-particle":"","parse-names":false,"suffix":""},{"dropping-particle":"","family":"Wirth","given":"Kathleen E.","non-dropping-particle":"","parse-names":false,"suffix":""},{"dropping-particle":"","family":"Pretorius Holme","given":"Molly","non-dropping-particle":"","parse-names":false,"suffix":""},{"dropping-particle":"","family":"Gaolathe","given":"Tendani","non-dropping-particle":"","parse-names":false,"suffix":""},{"dropping-particle":"","family":"Mmalane","given":"Mompati","non-dropping-particle":"","parse-names":false,"suffix":""},{"dropping-particle":"","family":"Kadima","given":"Etienne","non-dropping-particle":"","parse-names":false,"suffix":""},{"dropping-particle":"","family":"Chakalisa","given":"Unoda","non-dropping-particle":"","parse-names":false,"suffix":""},{"dropping-particle":"","family":"Bennett","given":"Kara","non-dropping-particle":"","parse-names":false,"suffix":""},{"dropping-particle":"","family":"Leidner","given":"Jean","non-dropping-particle":"","parse-names":false,"suffix":""},{"dropping-particle":"","family":"Manyake","given":"Kutlo","non-dropping-particle":"","parse-names":false,"suffix":""},{"dropping-particle":"","family":"Mbikiwa","given":"Atang M.","non-dropping-particle":"","parse-names":false,"suffix":""},{"dropping-particle":"V.","family":"Simon","given":"Selebaleng","non-dropping-particle":"","parse-names":false,"suffix":""},{"dropping-particle":"","family":"Letlhogile","given":"Rona","non-dropping-particle":"","parse-names":false,"suffix":""},{"dropping-particle":"","family":"Mukokomani","given":"Kutlwano","non-dropping-particle":"","parse-names":false,"suffix":""},{"dropping-particle":"","family":"Widenfelt","given":"Erik","non-dropping-particle":"van","parse-names":false,"suffix":""},{"dropping-particle":"","family":"Moyo","given":"Sikhulile","non-dropping-particle":"","parse-names":false,"suffix":""},{"dropping-particle":"","family":"Lebelonyane","given":"Refeletswe","non-dropping-particle":"","parse-names":false,"suffix":""},{"dropping-particle":"","family":"Alwano","given":"Mary G.","non-dropping-particle":"","parse-names":false,"suffix":""},{"dropping-particle":"","family":"Powis","given":"Kathleen M.","non-dropping-particle":"","parse-names":false,"suffix":""},{"dropping-particle":"","family":"Dryden-Peterson","given":"Scott L.","non-dropping-particle":"","parse-names":false,"suffix":""},{"dropping-particle":"","family":"Kgathi","given":"Coulson","non-dropping-particle":"","parse-names":false,"suffix":""},{"dropping-particle":"","family":"Novitsky","given":"Vlad","non-dropping-particle":"","parse-names":false,"suffix":""},{"dropping-particle":"","family":"Moore","given":"Janet","non-dropping-particle":"","parse-names":false,"suffix":""},{"dropping-particle":"","family":"Bachanas","given":"Pamela","non-dropping-particle":"","parse-names":false,"suffix":""},{"dropping-particle":"","family":"Abrams","given":"William","non-dropping-particle":"","parse-names":false,"suffix":""},{"dropping-particle":"","family":"Block","given":"Lisa","non-dropping-particle":"","parse-names":false,"suffix":""},{"dropping-particle":"","family":"El-Halabi","given":"Shenaaz","non-dropping-particle":"","parse-names":false,"suffix":""},{"dropping-particle":"","family":"Marukutira","given":"Tafireyi","non-dropping-particle":"","parse-names":false,"suffix":""},{"dropping-particle":"","family":"Mills","given":"Lisa A.","non-dropping-particle":"","parse-names":false,"suffix":""},{"dropping-particle":"","family":"Sexton","given":"Connie","non-dropping-particle":"","parse-names":false,"suffix":""},{"dropping-particle":"","family":"Raizes","given":"Elliot","non-dropping-particle":"","parse-names":false,"suffix":""},{"dropping-particle":"","family":"Gaseitsiwe","given":"Simani","non-dropping-particle":"","parse-names":false,"suffix":""},{"dropping-particle":"","family":"Bussmann","given":"Hermann","non-dropping-particle":"","parse-names":false,"suffix":""},{"dropping-particle":"","family":"Okui","given":"Lillian","non-dropping-particle":"","parse-names":false,"suffix":""},{"dropping-particle":"","family":"John","given":"Oaitse","non-dropping-particle":"","parse-names":false,"suffix":""},{"dropping-particle":"","family":"Shapiro","given":"Roger L.","non-dropping-particle":"","parse-names":false,"suffix":""},{"dropping-particle":"","family":"Pals","given":"Sherri","non-dropping-particle":"","parse-names":false,"suffix":""},{"dropping-particle":"","family":"Michael","given":"Haben","non-dropping-particle":"","parse-names":false,"suffix":""},{"dropping-particle":"","family":"Roland","given":"Michelle","non-dropping-particle":"","parse-names":false,"suffix":""},{"dropping-particle":"","family":"DeGruttola","given":"Victor","non-dropping-particle":"","parse-names":false,"suffix":""},{"dropping-particle":"","family":"Lei","given":"Quanhong","non-dropping-particle":"","parse-names":false,"suffix":""},{"dropping-particle":"","family":"Wang","given":"Rui","non-dropping-particle":"","parse-names":false,"suffix":""},{"dropping-particle":"","family":"Tchetgen Tchetgen","given":"Eric","non-dropping-particle":"","parse-names":false,"suffix":""},{"dropping-particle":"","family":"Essex","given":"M.","non-dropping-particle":"","parse-names":false,"suffix":""},{"dropping-particle":"","family":"Lockman","given":"Shahin","non-dropping-particle":"","parse-names":false,"suffix":""}],"container-title":"New England Journal of Medicine","id":"ITEM-2","issue":"3","issued":{"date-parts":[["2019","7","18"]]},"page":"230-242","publisher":"Massachusetts Medical Society","title":"Universal Testing, Expanded Treatment, and Incidence of HIV Infection in Botswana","type":"article-journal","volume":"381"},"uris":["http://www.mendeley.com/documents/?uuid=7d73dfa3-709b-369f-aca5-514d20c5d871"]},{"id":"ITEM-3","itemData":{"DOI":"10.1056/NEJMoa1814556","ISSN":"0028-4793","abstract":"Abstract Background A universal testing and treatment strategy is a potential approach to reduce the incidence of human immunodeficiency virus (HIV) infection, yet previous trial results are incons...","author":[{"dropping-particle":"","family":"Hayes","given":"Richard J.","non-dropping-particle":"","parse-names":false,"suffix":""},{"dropping-particle":"","family":"Donnell","given":"Deborah","non-dropping-particle":"","parse-names":false,"suffix":""},{"dropping-particle":"","family":"Floyd","given":"Sian","non-dropping-particle":"","parse-names":false,"suffix":""},{"dropping-particle":"","family":"Mandla","given":"Nomtha","non-dropping-particle":"","parse-names":false,"suffix":""},{"dropping-particle":"","family":"Bwalya","given":"Justin","non-dropping-particle":"","parse-names":false,"suffix":""},{"dropping-particle":"","family":"Sabapathy","given":"Kalpana","non-dropping-particle":"","parse-names":false,"suffix":""},{"dropping-particle":"","family":"Yang","given":"Blia","non-dropping-particle":"","parse-names":false,"suffix":""},{"dropping-particle":"","family":"Phiri","given":"Mwelwa","non-dropping-particle":"","parse-names":false,"suffix":""},{"dropping-particle":"","family":"Schaap","given":"Ab","non-dropping-particle":"","parse-names":false,"suffix":""},{"dropping-particle":"","family":"Eshleman","given":"Susan H.","non-dropping-particle":"","parse-names":false,"suffix":""},{"dropping-particle":"","family":"Piwowar-Manning","given":"Estelle","non-dropping-particle":"","parse-names":false,"suffix":""},{"dropping-particle":"","family":"Kosloff","given":"Barry","non-dropping-particle":"","parse-names":false,"suffix":""},{"dropping-particle":"","family":"James","given":"Anelet","non-dropping-particle":"","parse-names":false,"suffix":""},{"dropping-particle":"","family":"Skalland","given":"Timothy","non-dropping-particle":"","parse-names":false,"suffix":""},{"dropping-particle":"","family":"Wilson","given":"Ethan","non-dropping-particle":"","parse-names":false,"suffix":""},{"dropping-particle":"","family":"Emel","given":"Lynda","non-dropping-particle":"","parse-names":false,"suffix":""},{"dropping-particle":"","family":"Macleod","given":"David","non-dropping-particle":"","parse-names":false,"suffix":""},{"dropping-particle":"","family":"Dunbar","given":"Rory","non-dropping-particle":"","parse-names":false,"suffix":""},{"dropping-particle":"","family":"Simwinga","given":"Musonda","non-dropping-particle":"","parse-names":false,"suffix":""},{"dropping-particle":"","family":"Makola","given":"Nozizwe","non-dropping-particle":"","parse-names":false,"suffix":""},{"dropping-particle":"","family":"Bond","given":"Virginia","non-dropping-particle":"","parse-names":false,"suffix":""},{"dropping-particle":"","family":"Hoddinott","given":"Graeme","non-dropping-particle":"","parse-names":false,"suffix":""},{"dropping-particle":"","family":"Moore","given":"Ayana","non-dropping-particle":"","parse-names":false,"suffix":""},{"dropping-particle":"","family":"Griffith","given":"Sam","non-dropping-particle":"","parse-names":false,"suffix":""},{"dropping-particle":"","family":"Deshmane Sista","given":"Nirupama","non-dropping-particle":"","parse-names":false,"suffix":""},{"dropping-particle":"","family":"Vermund","given":"Sten H.","non-dropping-particle":"","parse-names":false,"suffix":""},{"dropping-particle":"","family":"El-Sadr","given":"Wafaa","non-dropping-particle":"","parse-names":false,"suffix":""},{"dropping-particle":"","family":"Burns","given":"David N.","non-dropping-particle":"","parse-names":false,"suffix":""},{"dropping-particle":"","family":"Hargreaves","given":"James R.","non-dropping-particle":"","parse-names":false,"suffix":""},{"dropping-particle":"","family":"Hauck","given":"Katharina","non-dropping-particle":"","parse-names":false,"suffix":""},{"dropping-particle":"","family":"Fraser","given":"Christophe","non-dropping-particle":"","parse-names":false,"suffix":""},{"dropping-particle":"","family":"Shanaube","given":"Kwame","non-dropping-particle":"","parse-names":false,"suffix":""},{"dropping-particle":"","family":"Bock","given":"Peter","non-dropping-particle":"","parse-names":false,"suffix":""},{"dropping-particle":"","family":"Beyers","given":"Nulda","non-dropping-particle":"","parse-names":false,"suffix":""},{"dropping-particle":"","family":"Ayles","given":"Helen","non-dropping-particle":"","parse-names":false,"suffix":""},{"dropping-particle":"","family":"Fidler","given":"Sarah","non-dropping-particle":"","parse-names":false,"suffix":""}],"container-title":"New England Journal of Medicine","id":"ITEM-3","issue":"3","issued":{"date-parts":[["2019","7","18"]]},"page":"207-218","publisher":"Massachusetts Medical Society","title":"Effect of Universal Testing and Treatment on HIV Incidence — HPTN 071 (PopART)","type":"article-journal","volume":"381"},"uris":["http://www.mendeley.com/documents/?uuid=da7ba6bc-cc01-3cfc-81f5-eb5567acecbb"]},{"id":"ITEM-4","itemData":{"DOI":"10.1016/S2352-3018(17)30205-9","ISBN":"2352-3018","ISSN":"23523018","PMID":"12191471","abstract":"Background: Universal antiretroviral therapy (ART), as per the 2015 WHO recommendations, might reduce population HIV incidence. We investigated the effect of universal test and treat on HIV acquisition at population level in a high prevalence rural region of South Africa. Methods: We did a phase 4, open-label, cluster randomised trial of 22 communities in rural KwaZulu-Natal, South Africa. We included individuals residing in the communities who were aged 16 years or older. The clusters were composed of aggregated local areas (neighbourhoods) that had been identified in a previous study in the Hlabisa subdistrict. The study statisticians randomly assigned clusters (1:1) with MapInfo Pro (version 11.0) to either the control or intervention communities, stratified on the basis of antenatal HIV prevalence. We offered residents repeated rapid HIV testing during home-based visits every 6 months for about 4 years in four clusters, 3 years in six clusters, and 2 years in 12 clusters (58 cluster-years) and referred HIV-positive participants to trial clinics for ART (fixed-dose combination of tenofovir, emtricitabine, and efavirenz) regardless of CD4 cell count (</w:instrText>
      </w:r>
      <w:r w:rsidR="00AA1D59" w:rsidRPr="002B5BF5">
        <w:rPr>
          <w:rFonts w:ascii="Times New Roman" w:hAnsi="Times New Roman" w:cs="Times New Roman" w:hint="eastAsia"/>
        </w:rPr>
        <w:instrText xml:space="preserve">intervention) or according to national guidelines (initially </w:instrText>
      </w:r>
      <w:r w:rsidR="00AA1D59" w:rsidRPr="002B5BF5">
        <w:rPr>
          <w:rFonts w:ascii="Times New Roman" w:hAnsi="Times New Roman" w:cs="Times New Roman" w:hint="eastAsia"/>
        </w:rPr>
        <w:instrText>≤</w:instrText>
      </w:r>
      <w:r w:rsidR="00AA1D59" w:rsidRPr="002B5BF5">
        <w:rPr>
          <w:rFonts w:ascii="Times New Roman" w:hAnsi="Times New Roman" w:cs="Times New Roman" w:hint="eastAsia"/>
        </w:rPr>
        <w:instrText xml:space="preserve">350 cells per </w:instrText>
      </w:r>
      <w:r w:rsidR="00AA1D59" w:rsidRPr="002B5BF5">
        <w:rPr>
          <w:rFonts w:ascii="Times New Roman" w:hAnsi="Times New Roman" w:cs="Times New Roman" w:hint="eastAsia"/>
        </w:rPr>
        <w:instrText>μ</w:instrText>
      </w:r>
      <w:r w:rsidR="00AA1D59" w:rsidRPr="002B5BF5">
        <w:rPr>
          <w:rFonts w:ascii="Times New Roman" w:hAnsi="Times New Roman" w:cs="Times New Roman" w:hint="eastAsia"/>
        </w:rPr>
        <w:instrText xml:space="preserve">L and &lt;500 cells per </w:instrText>
      </w:r>
      <w:r w:rsidR="00AA1D59" w:rsidRPr="002B5BF5">
        <w:rPr>
          <w:rFonts w:ascii="Times New Roman" w:hAnsi="Times New Roman" w:cs="Times New Roman" w:hint="eastAsia"/>
        </w:rPr>
        <w:instrText>μ</w:instrText>
      </w:r>
      <w:r w:rsidR="00AA1D59" w:rsidRPr="002B5BF5">
        <w:rPr>
          <w:rFonts w:ascii="Times New Roman" w:hAnsi="Times New Roman" w:cs="Times New Roman" w:hint="eastAsia"/>
        </w:rPr>
        <w:instrText>L from January, 2015; control). Participants and investigators were not masked to treatment allocation. We used dried blood spots once every 6 months provid</w:instrText>
      </w:r>
      <w:r w:rsidR="00AA1D59" w:rsidRPr="002B5BF5">
        <w:rPr>
          <w:rFonts w:ascii="Times New Roman" w:hAnsi="Times New Roman" w:cs="Times New Roman"/>
        </w:rPr>
        <w:instrText>ed by participants who were HIV negative at baseline to estimate the primary outcome of HIV incidence with cluster-adjusted Poisson generalised estimated equations in the intention-to-treat population after 58 cluster-years of follow-up. This study is registered with ClinicalTrials.gov, number NCT01509508, and the South African National Clinical Trials Register, number DOH-27-0512-3974. Findings: Between March 9, 2012, and June 30, 2016, we contacted 26 518 (93%) of 28 419 eligible individuals. Of 17 808 (67%) individuals with a first negative dried blood spot test, 14 223 (80%) had subsequent dried blood spot tests, of whom 503 seroconverted after follow-up of 22 891 person-years. Estimated HIV incidence was 2·11 per 100 person-years (95% CI 1·84–2·39) in the intervention group and 2·27 per 100 person-years (2·00–2·54) in the control group (adjusted hazard ratio 1·01, 95% CI 0·87–1·17; p=0·89). We documented one case of suicidal attempt in a woman following HIV seroconversion. 128 patients on ART had 189 life-threatening or grade 4 clinical events: 69 (4…","author":[{"dropping-particle":"","family":"Iwuji","given":"Collins C.","non-dropping-particle":"","parse-names":false,"suffix":""},{"dropping-particle":"","family":"Orne-Gliemann","given":"Joanna","non-dropping-particle":"","parse-names":false,"suffix":""},{"dropping-particle":"","family":"Larmarange","given":"Joseph","non-dropping-particle":"","parse-names":false,"suffix":""},{"dropping-particle":"","family":"Balestre","given":"Eric","non-dropping-particle":"","parse-names":false,"suffix":""},{"dropping-particle":"","family":"Thiebaut","given":"Rodolphe","non-dropping-particle":"","parse-names":false,"suffix":""},{"dropping-particle":"","family":"Tanser","given":"Frank","non-dropping-particle":"","parse-names":false,"suffix":""},{"dropping-particle":"","family":"Okesola","given":"Nonhlanhla","non-dropping-particle":"","parse-names":false,"suffix":""},{"dropping-particle":"","family":"Makowa","given":"Thembisa","non-dropping-particle":"","parse-names":false,"suffix":""},{"dropping-particle":"","family":"Dreyer","given":"Jaco","non-dropping-particle":"","parse-names":false,"suffix":""},{"dropping-particle":"","family":"Herbst","given":"Kobus","non-dropping-particle":"","parse-names":false,"suffix":""},{"dropping-particle":"","family":"McGrath","given":"Nuala","non-dropping-particle":"","parse-names":false,"suffix":""},{"dropping-particle":"","family":"Bärnighausen","given":"Till","non-dropping-particle":"","parse-names":false,"suffix":""},{"dropping-particle":"","family":"Boyer","given":"Sylvie","non-dropping-particle":"","parse-names":false,"suffix":""},{"dropping-particle":"","family":"Oliveira","given":"Tulio","non-dropping-particle":"De","parse-names":false,"suffix":""},{"dropping-particle":"","family":"Rekacewicz","given":"Claire","non-dropping-particle":"","parse-names":false,"suffix":""},{"dropping-particle":"","family":"Bazin","given":"Brigitte","non-dropping-particle":"","parse-names":false,"suffix":""},{"dropping-particle":"","family":"Newell","given":"Marie Louise","non-dropping-particle":"","parse-names":false,"suffix":""},{"dropping-particle":"","family":"Pillay","given":"Deenan","non-dropping-particle":"","parse-names":false,"suffix":""},{"dropping-particle":"","family":"Dabis","given":"François","non-dropping-particle":"","parse-names":false,"suffix":""},{"dropping-particle":"","family":"Iwuji","given":"Collins","non-dropping-particle":"","parse-names":false,"suffix":""},{"dropping-particle":"","family":"Naidu","given":"Kevi","non-dropping-particle":"","parse-names":false,"suffix":""},{"dropping-particle":"","family":"Rochat","given":"Tamsen","non-dropping-particle":"","parse-names":false,"suffix":""},{"dropping-particle":"","family":"Viljoen","given":"Johannes","non-dropping-particle":"","parse-names":false,"suffix":""},{"dropping-particle":"","family":"Zuma","given":"Thembelihle","non-dropping-particle":"","parse-names":false,"suffix":""},{"dropping-particle":"","family":"Karcher","given":"Sophie","non-dropping-particle":"","parse-names":false,"suffix":""},{"dropping-particle":"","family":"Plazy","given":"Melanie","non-dropping-particle":"","parse-names":false,"suffix":""},{"dropping-particle":"","family":"Prague","given":"Mélanie","non-dropping-particle":"","parse-names":false,"suffix":""},{"dropping-particle":"","family":"Thiébaut","given":"Rodolphe","non-dropping-particle":"","parse-names":false,"suffix":""},{"dropping-particle":"","family":"Tiendrebeogo","given":"Thierry","non-dropping-particle":"","parse-names":false,"suffix":""},{"dropping-particle":"","family":"Donfouet","given":"Hermann","non-dropping-particle":"","parse-names":false,"suffix":""},{"dropping-particle":"","family":"Gosset","given":"Andrea","non-dropping-particle":"","parse-names":false,"suffix":""},{"dropping-particle":"","family":"March","given":"Laura","non-dropping-particle":"","parse-names":false,"suffix":""},{"dropping-particle":"","family":"Protopopescu","given":"Camelia","non-dropping-particle":"","parse-names":false,"suffix":""},{"dropping-particle":"","family":"Spire","given":"Bruno","non-dropping-particle":"","parse-names":false,"suffix":""},{"dropping-particle":"","family":"Calmy","given":"Alexandra","non-dropping-particle":"","parse-names":false,"suffix":""},{"dropping-particle":"","family":"Inghels","given":"Maxime","non-dropping-particle":"","parse-names":false,"suffix":""},{"dropping-particle":"","family":"Diallo","given":"Hassimiou","non-dropping-particle":"","parse-names":false,"suffix":""},{"dropping-particle":"","family":"Calvez","given":"Vincent","non-dropping-particle":"","parse-names":false,"suffix":""},{"dropping-particle":"","family":"Derache","given":"Anne","non-dropping-particle":"","parse-names":false,"suffix":""},{"dropping-particle":"","family":"Marcelin","given":"Anne Geneviève","non-dropping-particle":"","parse-names":false,"suffix":""},{"dropping-particle":"","family":"Dray-Spira","given":"Rosemary","non-dropping-particle":"","parse-names":false,"suffix":""},{"dropping-particle":"","family":"Lert","given":"France","non-dropping-particle":"","parse-names":false,"suffix":""},{"dropping-particle":"","family":"Farouki","given":"Kamal","non-dropping-particle":"El","parse-names":false,"suffix":""},{"dropping-particle":"","family":"Lessells","given":"Richard","non-dropping-particle":"","parse-names":false,"suffix":""},{"dropping-particle":"","family":"Freedberg","given":"Kenneth","non-dropping-particle":"","parse-names":false,"suffix":""},{"dropping-particle":"","family":"Imrie","given":"John","non-dropping-particle":"","parse-names":false,"suffix":""},{"dropping-particle":"","family":"Chaix","given":"Marie Laure","non-dropping-particle":"","parse-names":false,"suffix":""},{"dropping-particle":"","family":"Newell","given":"Colin","non-dropping-particle":"","parse-names":false,"suffix":""},{"dropping-particle":"","family":"Hontelez","given":"Jan","non-dropping-particle":"","parse-names":false,"suffix":""}],"container-title":"The Lancet HIV","id":"ITEM-4","issue":"3","issued":{"date-parts":[["2018"]]},"page":"e116-e125","title":"Universal test and treat and the HIV epidemic in rural South Africa: a phase 4, open-label, community cluster randomised trial","type":"article-journal","volume":"5"},"uris":["http://www.mendeley.com/documents/?uuid=61840636-91a9-4176-a4eb-643e62fcb12c"]}],"mendeley":{"formattedCitation":"&lt;sup&gt;9–12&lt;/sup&gt;","plainTextFormattedCitation":"9–12","previouslyFormattedCitation":"&lt;sup&gt;9–12&lt;/sup&gt;"},"properties":{"noteIndex":0},"schema":"https://github.com/citation-style-language/schema/raw/master/csl-citation.json"}</w:instrText>
      </w:r>
      <w:r w:rsidR="00877D90"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9–12</w:t>
      </w:r>
      <w:r w:rsidR="00877D90" w:rsidRPr="002B5BF5">
        <w:rPr>
          <w:rFonts w:ascii="Times New Roman" w:hAnsi="Times New Roman" w:cs="Times New Roman"/>
        </w:rPr>
        <w:fldChar w:fldCharType="end"/>
      </w:r>
      <w:r w:rsidR="00AE0FA2" w:rsidRPr="002B5BF5">
        <w:rPr>
          <w:rFonts w:ascii="Times New Roman" w:hAnsi="Times New Roman" w:cs="Times New Roman"/>
        </w:rPr>
        <w:t xml:space="preserve"> </w:t>
      </w:r>
      <w:r w:rsidR="00BC2A03" w:rsidRPr="002B5BF5">
        <w:rPr>
          <w:rFonts w:ascii="Times New Roman" w:hAnsi="Times New Roman" w:cs="Times New Roman"/>
        </w:rPr>
        <w:t xml:space="preserve">One of the </w:t>
      </w:r>
      <w:r w:rsidR="00AE0FA2" w:rsidRPr="002B5BF5">
        <w:rPr>
          <w:rFonts w:ascii="Times New Roman" w:hAnsi="Times New Roman" w:cs="Times New Roman"/>
        </w:rPr>
        <w:t xml:space="preserve">key challenges </w:t>
      </w:r>
      <w:r w:rsidR="00EB3977" w:rsidRPr="002B5BF5">
        <w:rPr>
          <w:rFonts w:ascii="Times New Roman" w:hAnsi="Times New Roman" w:cs="Times New Roman"/>
        </w:rPr>
        <w:t xml:space="preserve">consistent </w:t>
      </w:r>
      <w:r w:rsidR="00AE0FA2" w:rsidRPr="002B5BF5">
        <w:rPr>
          <w:rFonts w:ascii="Times New Roman" w:hAnsi="Times New Roman" w:cs="Times New Roman"/>
        </w:rPr>
        <w:t xml:space="preserve">across </w:t>
      </w:r>
      <w:r w:rsidR="00BC2A03" w:rsidRPr="002B5BF5">
        <w:rPr>
          <w:rFonts w:ascii="Times New Roman" w:hAnsi="Times New Roman" w:cs="Times New Roman"/>
        </w:rPr>
        <w:t xml:space="preserve">these </w:t>
      </w:r>
      <w:r w:rsidR="00AE0FA2" w:rsidRPr="002B5BF5">
        <w:rPr>
          <w:rFonts w:ascii="Times New Roman" w:hAnsi="Times New Roman" w:cs="Times New Roman"/>
        </w:rPr>
        <w:t>trials</w:t>
      </w:r>
      <w:r w:rsidR="00BC2A03" w:rsidRPr="002B5BF5">
        <w:rPr>
          <w:rFonts w:ascii="Times New Roman" w:hAnsi="Times New Roman" w:cs="Times New Roman"/>
        </w:rPr>
        <w:t xml:space="preserve"> was missing men and young people - who were disproportionally reached</w:t>
      </w:r>
      <w:r w:rsidR="00221BFC" w:rsidRPr="002B5BF5">
        <w:rPr>
          <w:rFonts w:ascii="Times New Roman" w:hAnsi="Times New Roman" w:cs="Times New Roman"/>
        </w:rPr>
        <w:t xml:space="preserve"> and</w:t>
      </w:r>
      <w:r w:rsidR="00BC2A03" w:rsidRPr="002B5BF5">
        <w:rPr>
          <w:rFonts w:ascii="Times New Roman" w:hAnsi="Times New Roman" w:cs="Times New Roman"/>
        </w:rPr>
        <w:t xml:space="preserve"> consent </w:t>
      </w:r>
      <w:r w:rsidR="00221BFC" w:rsidRPr="002B5BF5">
        <w:rPr>
          <w:rFonts w:ascii="Times New Roman" w:hAnsi="Times New Roman" w:cs="Times New Roman"/>
        </w:rPr>
        <w:t>for</w:t>
      </w:r>
      <w:r w:rsidR="00BC2A03" w:rsidRPr="002B5BF5">
        <w:rPr>
          <w:rFonts w:ascii="Times New Roman" w:hAnsi="Times New Roman" w:cs="Times New Roman"/>
        </w:rPr>
        <w:t xml:space="preserve"> HIV testing, and less likely </w:t>
      </w:r>
      <w:r w:rsidR="00AE0FA2" w:rsidRPr="002B5BF5">
        <w:rPr>
          <w:rFonts w:ascii="Times New Roman" w:hAnsi="Times New Roman" w:cs="Times New Roman"/>
        </w:rPr>
        <w:t xml:space="preserve">to link </w:t>
      </w:r>
      <w:r w:rsidR="00221BFC" w:rsidRPr="002B5BF5">
        <w:rPr>
          <w:rFonts w:ascii="Times New Roman" w:hAnsi="Times New Roman" w:cs="Times New Roman"/>
        </w:rPr>
        <w:t xml:space="preserve">to </w:t>
      </w:r>
      <w:r w:rsidR="00AE0FA2" w:rsidRPr="002B5BF5">
        <w:rPr>
          <w:rFonts w:ascii="Times New Roman" w:hAnsi="Times New Roman" w:cs="Times New Roman"/>
        </w:rPr>
        <w:t>and remain in care</w:t>
      </w:r>
      <w:r w:rsidR="00807E9E" w:rsidRPr="002B5BF5">
        <w:rPr>
          <w:rFonts w:ascii="Times New Roman" w:hAnsi="Times New Roman" w:cs="Times New Roman"/>
        </w:rPr>
        <w:t>.</w:t>
      </w:r>
      <w:r w:rsidR="00567299"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{"citationItems":[{"id":"ITEM-1","itemData":{"DOI":"10.1016/S2352-3018(17)30205-9","ISBN":"2352-3018","ISSN":"23523018","PMID":"12191471","abstract":"Background: Universal antiretroviral therapy (ART), as per the 2015 WHO recommendations, might reduce population HIV incidence. We investigated the effect of universal test and treat on HIV acquisition at population level in a high prevalence rural region of South Africa. Methods: We did a phase 4, open-label, cluster randomised trial of 22 communities in rural KwaZulu-Natal, South Africa. We included individuals residing in the communities who were aged 16 years or older. The clusters were composed of aggregated local areas (neighbourhoods) that had been identified in a previous study in the Hlabisa subdistrict. The study statisticians randomly assigned clusters (1:1) with MapInfo Pro (version 11.0) to either the control or intervention communities, stratified on the basis of antenatal HIV prevalence. We offered residents repeated rapid HIV testing during home-based visits every 6 months for about 4 years in four clusters, 3 years in six clusters, and 2 years in 12 clusters (58 cluster-years) and referred HIV-positive participants to trial clinics for ART (fixed-dose combination of tenofo</w:instrText>
      </w:r>
      <w:r w:rsidR="00AA1D59" w:rsidRPr="002B5BF5">
        <w:rPr>
          <w:rFonts w:ascii="Times New Roman" w:hAnsi="Times New Roman" w:cs="Times New Roman" w:hint="eastAsia"/>
        </w:rPr>
        <w:instrText xml:space="preserve">vir, emtricitabine, and efavirenz) regardless of CD4 cell count (intervention) or according to national guidelines (initially </w:instrText>
      </w:r>
      <w:r w:rsidR="00AA1D59" w:rsidRPr="002B5BF5">
        <w:rPr>
          <w:rFonts w:ascii="Times New Roman" w:hAnsi="Times New Roman" w:cs="Times New Roman" w:hint="eastAsia"/>
        </w:rPr>
        <w:instrText>≤</w:instrText>
      </w:r>
      <w:r w:rsidR="00AA1D59" w:rsidRPr="002B5BF5">
        <w:rPr>
          <w:rFonts w:ascii="Times New Roman" w:hAnsi="Times New Roman" w:cs="Times New Roman" w:hint="eastAsia"/>
        </w:rPr>
        <w:instrText xml:space="preserve">350 cells per </w:instrText>
      </w:r>
      <w:r w:rsidR="00AA1D59" w:rsidRPr="002B5BF5">
        <w:rPr>
          <w:rFonts w:ascii="Times New Roman" w:hAnsi="Times New Roman" w:cs="Times New Roman" w:hint="eastAsia"/>
        </w:rPr>
        <w:instrText>μ</w:instrText>
      </w:r>
      <w:r w:rsidR="00AA1D59" w:rsidRPr="002B5BF5">
        <w:rPr>
          <w:rFonts w:ascii="Times New Roman" w:hAnsi="Times New Roman" w:cs="Times New Roman" w:hint="eastAsia"/>
        </w:rPr>
        <w:instrText xml:space="preserve">L and &lt;500 cells per </w:instrText>
      </w:r>
      <w:r w:rsidR="00AA1D59" w:rsidRPr="002B5BF5">
        <w:rPr>
          <w:rFonts w:ascii="Times New Roman" w:hAnsi="Times New Roman" w:cs="Times New Roman" w:hint="eastAsia"/>
        </w:rPr>
        <w:instrText>μ</w:instrText>
      </w:r>
      <w:r w:rsidR="00AA1D59" w:rsidRPr="002B5BF5">
        <w:rPr>
          <w:rFonts w:ascii="Times New Roman" w:hAnsi="Times New Roman" w:cs="Times New Roman" w:hint="eastAsia"/>
        </w:rPr>
        <w:instrText>L from January, 2015; control). Participants and investigators were not masked to treatment</w:instrText>
      </w:r>
      <w:r w:rsidR="00AA1D59" w:rsidRPr="002B5BF5">
        <w:rPr>
          <w:rFonts w:ascii="Times New Roman" w:hAnsi="Times New Roman" w:cs="Times New Roman"/>
        </w:rPr>
        <w:instrText xml:space="preserve"> allocation. We used dried blood spots once every 6 months provided by participants who were HIV negative at baseline to estimate the primary outcome of HIV incidence with cluster-adjusted Poisson generalised estimated equations in the intention-to-treat population after 58 cluster-years of follow-up. This study is registered with ClinicalTrials.gov, number NCT01509508, and the South African National Clinical Trials Register, number DOH-27-0512-3974. Findings: Between March 9, 2012, and June 30, 2016, we contacted 26 518 (93%) of 28 419 eligible individuals. Of 17 808 (67%) individuals with a first negative dried blood spot test, 14 223 (80%) had subsequent dried blood spot tests, of whom 503 seroconverted after follow-up of 22 891 person-years. Estimated HIV incidence was 2·11 per 100 person-years (95% CI 1·84–2·39) in the intervention group and 2·27 per 100 person-years (2·00–2·54) in the control group (adjusted hazard ratio 1·01, 95% CI 0·87–1·17; p=0·89). We documented one case of suicidal attempt in a woman following HIV seroconversion. 128 patients on ART had 189 life-threatening or grade 4 clinical events: 69 (4…","author":[{"dropping-particle":"","family":"Iwuji","given":"Collins C.","non-dropping-particle":"","parse-names":false,"suffix":""},{"dropping-particle":"","family":"Orne-Gliemann","given":"Joanna","non-dropping-particle":"","parse-names":false,"suffix":""},{"dropping-particle":"","family":"Larmarange","given":"Joseph","non-dropping-particle":"","parse-names":false,"suffix":""},{"dropping-particle":"","family":"Balestre","given":"Eric","non-dropping-particle":"","parse-names":false,"suffix":""},{"dropping-particle":"","family":"Thiebaut","given":"Rodolphe","non-dropping-particle":"","parse-names":false,"suffix":""},{"dropping-particle":"","family":"Tanser","given":"Frank","non-dropping-particle":"","parse-names":false,"suffix":""},{"dropping-particle":"","family":"Okesola","given":"Nonhlanhla","non-dropping-particle":"","parse-names":false,"suffix":""},{"dropping-particle":"","family":"Makowa","given":"Thembisa","non-dropping-particle":"","parse-names":false,"suffix":""},{"dropping-particle":"","family":"Dreyer","given":"Jaco","non-dropping-particle":"","parse-names":false,"suffix":""},{"dropping-particle":"","family":"Herbst","given":"Kobus","non-dropping-particle":"","parse-names":false,"suffix":""},{"dropping-particle":"","family":"McGrath","given":"Nuala","non-dropping-particle":"","parse-names":false,"suffix":""},{"dropping-particle":"","family":"Bärnighausen","given":"Till","non-dropping-particle":"","parse-names":false,"suffix":""},{"dropping-particle":"","family":"Boyer","given":"Sylvie","non-dropping-particle":"","parse-names":false,"suffix":""},{"dropping-particle":"","family":"Oliveira","given":"Tulio","non-dropping-particle":"De","parse-names":false,"suffix":""},{"dropping-particle":"","family":"Rekacewicz","given":"Claire","non-dropping-particle":"","parse-names":false,"suffix":""},{"dropping-particle":"","family":"Bazin","given":"Brigitte","non-dropping-particle":"","parse-names":false,"suffix":""},{"dropping-particle":"","family":"Newell","given":"Marie Louise","non-dropping-particle":"","parse-names":false,"suffix":""},{"dropping-particle":"","family":"Pillay","given":"Deenan","non-dropping-particle":"","parse-names":false,"suffix":""},{"dropping-particle":"","family":"Dabis","given":"François","non-dropping-particle":"","parse-names":false,"suffix":""},{"dropping-particle":"","family":"Iwuji","given":"Collins","non-dropping-particle":"","parse-names":false,"suffix":""},{"dropping-particle":"","family":"Naidu","given":"Kevi","non-dropping-particle":"","parse-names":false,"suffix":""},{"dropping-particle":"","family":"Rochat","given":"Tamsen","non-dropping-particle":"","parse-names":false,"suffix":""},{"dropping-particle":"","family":"Viljoen","given":"Johannes","non-dropping-particle":"","parse-names":false,"suffix":""},{"dropping-particle":"","family":"Zuma","given":"Thembelihle","non-dropping-particle":"","parse-names":false,"suffix":""},{"dropping-particle":"","family":"Karcher","given":"Sophie","non-dropping-particle":"","parse-names":false,"suffix":""},{"dropping-particle":"","family":"Plazy","given":"Melanie","non-dropping-particle":"","parse-names":false,"suffix":""},{"dropping-particle":"","family":"Prague","given":"Mélanie","non-dropping-particle":"","parse-names":false,"suffix":""},{"dropping-particle":"","family":"Thiébaut","given":"Rodolphe","non-dropping-particle":"","parse-names":false,"suffix":""},{"dropping-particle":"","family":"Tiendrebeogo","given":"Thierry","non-dropping-particle":"","parse-names":false,"suffix":""},{"dropping-particle":"","family":"Donfouet","given":"Hermann","non-dropping-particle":"","parse-names":false,"suffix":""},{"dropping-particle":"","family":"Gosset","given":"Andrea","non-dropping-particle":"","parse-names":false,"suffix":""},{"dropping-particle":"","family":"March","given":"Laura","non-dropping-particle":"","parse-names":false,"suffix":""},{"dropping-particle":"","family":"Protopopescu","given":"Camelia","non-dropping-particle":"","parse-names":false,"suffix":""},{"dropping-particle":"","family":"Spire","given":"Bruno","non-dropping-particle":"","parse-names":false,"suffix":""},{"dropping-particle":"","family":"Calmy","given":"Alexandra","non-dropping-particle":"","parse-names":false,"suffix":""},{"dropping-particle":"","family":"Inghels","given":"Maxime","non-dropping-particle":"","parse-names":false,"suffix":""},{"dropping-particle":"","family":"Diallo","given":"Hassimiou","non-dropping-particle":"","parse-names":false,"suffix":""},{"dropping-particle":"","family":"Calvez","given":"Vincent","non-dropping-particle":"","parse-names":false,"suffix":""},{"dropping-particle":"","family":"Derache","given":"Anne","non-dropping-particle":"","parse-names":false,"suffix":""},{"dropping-particle":"","family":"Marcelin","given":"Anne Geneviève","non-dropping-particle":"","parse-names":false,"suffix":""},{"dropping-particle":"","family":"Dray-Spira","given":"Rosemary","non-dropping-particle":"","parse-names":false,"suffix":""},{"dropping-particle":"","family":"Lert","given":"France","non-dropping-particle":"","parse-names":false,"suffix":""},{"dropping-particle":"","family":"Farouki","given":"Kamal","non-dropping-particle":"El","parse-names":false,"suffix":""},{"dropping-particle":"","family":"Lessells","given":"Richard","non-dropping-particle":"","parse-names":false,"suffix":""},{"dropping-particle":"","family":"Freedberg","given":"Kenneth","non-dropping-particle":"","parse-names":false,"suffix":""},{"dropping-particle":"","family":"Imrie","given":"John","non-dropping-particle":"","parse-names":false,"suffix":""},{"dropping-particle":"","family":"Chaix","given":"Marie Laure","non-dropping-particle":"","parse-names":false,"suffix":""},{"dropping-particle":"","family":"Newell","given":"Colin","non-dropping-particle":"","parse-names":false,"suffix":""},{"dropping-particle":"","family":"Hontelez","given":"Jan","non-dropping-particle":"","parse-names":false,"suffix":""}],"container-title":"The Lancet HIV","id":"ITEM-1","issue":"3","issued":{"date-parts":[["2018"]]},"page":"e116-e125","title":"Universal test and treat and the HIV epidemic in rural South Africa: a phase 4, open-label, community cluster randomised trial","type":"article-journal","volume":"5"},"uris":["http://www.mendeley.com/documents/?uuid=61840636-91a9-4176-a4eb-643e62fcb12c"]}],"mendeley":{"formattedCitation":"&lt;sup&gt;12&lt;/sup&gt;","plainTextFormattedCitation":"12","previouslyFormattedCitation":"&lt;sup&gt;12&lt;/sup&gt;"},"properties":{"noteIndex":0},"schema":"https://github.com/citation-style-language/schema/raw/master/csl-citation.json"}</w:instrText>
      </w:r>
      <w:r w:rsidR="00567299"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12</w:t>
      </w:r>
      <w:r w:rsidR="00567299" w:rsidRPr="002B5BF5">
        <w:rPr>
          <w:rFonts w:ascii="Times New Roman" w:hAnsi="Times New Roman" w:cs="Times New Roman"/>
        </w:rPr>
        <w:fldChar w:fldCharType="end"/>
      </w:r>
      <w:r w:rsidR="008F6D09" w:rsidRPr="002B5BF5">
        <w:rPr>
          <w:rFonts w:ascii="Times New Roman" w:hAnsi="Times New Roman" w:cs="Times New Roman"/>
        </w:rPr>
        <w:t xml:space="preserve"> </w:t>
      </w:r>
      <w:r w:rsidR="00BC2A03" w:rsidRPr="002B5BF5">
        <w:rPr>
          <w:rFonts w:ascii="Times New Roman" w:hAnsi="Times New Roman" w:cs="Times New Roman"/>
        </w:rPr>
        <w:t>The trials</w:t>
      </w:r>
      <w:r w:rsidR="00F91AB0" w:rsidRPr="002B5BF5">
        <w:rPr>
          <w:rFonts w:ascii="Times New Roman" w:hAnsi="Times New Roman" w:cs="Times New Roman"/>
        </w:rPr>
        <w:t xml:space="preserve"> highlighted that it </w:t>
      </w:r>
      <w:r w:rsidR="00EA304B" w:rsidRPr="002B5BF5">
        <w:rPr>
          <w:rFonts w:ascii="Times New Roman" w:hAnsi="Times New Roman" w:cs="Times New Roman"/>
        </w:rPr>
        <w:t xml:space="preserve">is not sufficient to </w:t>
      </w:r>
      <w:r w:rsidR="009E28E5" w:rsidRPr="002B5BF5">
        <w:rPr>
          <w:rFonts w:ascii="Times New Roman" w:hAnsi="Times New Roman" w:cs="Times New Roman"/>
        </w:rPr>
        <w:t xml:space="preserve">merely </w:t>
      </w:r>
      <w:r w:rsidR="00EA304B" w:rsidRPr="002B5BF5">
        <w:rPr>
          <w:rFonts w:ascii="Times New Roman" w:hAnsi="Times New Roman" w:cs="Times New Roman"/>
        </w:rPr>
        <w:t xml:space="preserve">provide </w:t>
      </w:r>
      <w:r w:rsidR="009E28E5" w:rsidRPr="002B5BF5">
        <w:rPr>
          <w:rFonts w:ascii="Times New Roman" w:hAnsi="Times New Roman" w:cs="Times New Roman"/>
        </w:rPr>
        <w:t>h</w:t>
      </w:r>
      <w:r w:rsidR="00EA304B" w:rsidRPr="002B5BF5">
        <w:rPr>
          <w:rFonts w:ascii="Times New Roman" w:hAnsi="Times New Roman" w:cs="Times New Roman"/>
        </w:rPr>
        <w:t xml:space="preserve">ome-based HIV </w:t>
      </w:r>
      <w:r w:rsidR="00D70A38" w:rsidRPr="002B5BF5">
        <w:rPr>
          <w:rFonts w:ascii="Times New Roman" w:hAnsi="Times New Roman" w:cs="Times New Roman"/>
        </w:rPr>
        <w:t xml:space="preserve">counselling and testing </w:t>
      </w:r>
      <w:r w:rsidR="00567299" w:rsidRPr="002B5BF5">
        <w:rPr>
          <w:rFonts w:ascii="Times New Roman" w:hAnsi="Times New Roman" w:cs="Times New Roman"/>
        </w:rPr>
        <w:t>and universal treatment</w:t>
      </w:r>
      <w:r w:rsidR="003B3495" w:rsidRPr="002B5BF5">
        <w:rPr>
          <w:rFonts w:ascii="Times New Roman" w:hAnsi="Times New Roman" w:cs="Times New Roman"/>
        </w:rPr>
        <w:t>,</w:t>
      </w:r>
      <w:r w:rsidR="00F91AB0" w:rsidRPr="002B5BF5">
        <w:rPr>
          <w:rFonts w:ascii="Times New Roman" w:hAnsi="Times New Roman" w:cs="Times New Roman"/>
        </w:rPr>
        <w:t xml:space="preserve"> </w:t>
      </w:r>
      <w:r w:rsidR="00E04234" w:rsidRPr="002B5BF5">
        <w:rPr>
          <w:rFonts w:ascii="Times New Roman" w:hAnsi="Times New Roman" w:cs="Times New Roman"/>
        </w:rPr>
        <w:t xml:space="preserve">but </w:t>
      </w:r>
      <w:r w:rsidR="00EA304B" w:rsidRPr="002B5BF5">
        <w:rPr>
          <w:rFonts w:ascii="Times New Roman" w:hAnsi="Times New Roman" w:cs="Times New Roman"/>
        </w:rPr>
        <w:t xml:space="preserve">effective strategies </w:t>
      </w:r>
      <w:r w:rsidR="009E28E5" w:rsidRPr="002B5BF5">
        <w:rPr>
          <w:rFonts w:ascii="Times New Roman" w:hAnsi="Times New Roman" w:cs="Times New Roman"/>
        </w:rPr>
        <w:t>must be accompanied</w:t>
      </w:r>
      <w:r w:rsidR="00EB3977" w:rsidRPr="002B5BF5">
        <w:rPr>
          <w:rFonts w:ascii="Times New Roman" w:hAnsi="Times New Roman" w:cs="Times New Roman"/>
        </w:rPr>
        <w:t xml:space="preserve"> </w:t>
      </w:r>
      <w:r w:rsidR="00D70A38" w:rsidRPr="002B5BF5">
        <w:rPr>
          <w:rFonts w:ascii="Times New Roman" w:hAnsi="Times New Roman" w:cs="Times New Roman"/>
        </w:rPr>
        <w:t xml:space="preserve">to increase </w:t>
      </w:r>
      <w:r w:rsidR="009E28E5" w:rsidRPr="002B5BF5">
        <w:rPr>
          <w:rFonts w:ascii="Times New Roman" w:hAnsi="Times New Roman" w:cs="Times New Roman"/>
        </w:rPr>
        <w:t xml:space="preserve">the </w:t>
      </w:r>
      <w:r w:rsidR="00807E9E" w:rsidRPr="002B5BF5">
        <w:rPr>
          <w:rFonts w:ascii="Times New Roman" w:hAnsi="Times New Roman" w:cs="Times New Roman"/>
        </w:rPr>
        <w:t xml:space="preserve">uptake of </w:t>
      </w:r>
      <w:r w:rsidR="00847B0D" w:rsidRPr="002B5BF5">
        <w:rPr>
          <w:rFonts w:ascii="Times New Roman" w:hAnsi="Times New Roman" w:cs="Times New Roman"/>
        </w:rPr>
        <w:t>HIV counselling and testing (</w:t>
      </w:r>
      <w:r w:rsidR="00D70A38" w:rsidRPr="002B5BF5">
        <w:rPr>
          <w:rFonts w:ascii="Times New Roman" w:hAnsi="Times New Roman" w:cs="Times New Roman"/>
        </w:rPr>
        <w:t>HCT</w:t>
      </w:r>
      <w:r w:rsidR="00847B0D" w:rsidRPr="002B5BF5">
        <w:rPr>
          <w:rFonts w:ascii="Times New Roman" w:hAnsi="Times New Roman" w:cs="Times New Roman"/>
        </w:rPr>
        <w:t>)</w:t>
      </w:r>
      <w:r w:rsidR="00807E9E" w:rsidRPr="002B5BF5">
        <w:rPr>
          <w:rFonts w:ascii="Times New Roman" w:hAnsi="Times New Roman" w:cs="Times New Roman"/>
        </w:rPr>
        <w:t xml:space="preserve"> </w:t>
      </w:r>
      <w:r w:rsidR="00252B6B" w:rsidRPr="002B5BF5">
        <w:rPr>
          <w:rFonts w:ascii="Times New Roman" w:hAnsi="Times New Roman" w:cs="Times New Roman"/>
        </w:rPr>
        <w:t>and</w:t>
      </w:r>
      <w:r w:rsidR="00EB3977" w:rsidRPr="002B5BF5">
        <w:rPr>
          <w:rFonts w:ascii="Times New Roman" w:hAnsi="Times New Roman" w:cs="Times New Roman"/>
        </w:rPr>
        <w:t xml:space="preserve"> </w:t>
      </w:r>
      <w:r w:rsidR="00EA304B" w:rsidRPr="002B5BF5">
        <w:rPr>
          <w:rFonts w:ascii="Times New Roman" w:hAnsi="Times New Roman" w:cs="Times New Roman"/>
        </w:rPr>
        <w:t>linkage to care</w:t>
      </w:r>
      <w:r w:rsidR="00D70A38" w:rsidRPr="002B5BF5">
        <w:rPr>
          <w:rFonts w:ascii="Times New Roman" w:hAnsi="Times New Roman" w:cs="Times New Roman"/>
        </w:rPr>
        <w:t xml:space="preserve"> at clinics</w:t>
      </w:r>
      <w:r w:rsidR="00EA304B" w:rsidRPr="002B5BF5">
        <w:rPr>
          <w:rFonts w:ascii="Times New Roman" w:hAnsi="Times New Roman" w:cs="Times New Roman"/>
        </w:rPr>
        <w:t>.</w:t>
      </w:r>
      <w:r w:rsidR="00F5532D" w:rsidRPr="002B5BF5">
        <w:rPr>
          <w:rFonts w:ascii="Times New Roman" w:hAnsi="Times New Roman" w:cs="Times New Roman"/>
        </w:rPr>
        <w:t xml:space="preserve"> </w:t>
      </w:r>
    </w:p>
    <w:p w14:paraId="7A96C6BA" w14:textId="27EC3535" w:rsidR="00EA304B" w:rsidRPr="002B5BF5" w:rsidRDefault="004F5C5E" w:rsidP="00222731">
      <w:pPr>
        <w:spacing w:line="360" w:lineRule="auto"/>
        <w:jc w:val="both"/>
        <w:rPr>
          <w:rFonts w:ascii="Times New Roman" w:hAnsi="Times New Roman" w:cs="Times New Roman"/>
        </w:rPr>
      </w:pPr>
      <w:r w:rsidRPr="002B5BF5">
        <w:rPr>
          <w:rFonts w:ascii="Times New Roman" w:hAnsi="Times New Roman" w:cs="Times New Roman"/>
        </w:rPr>
        <w:t xml:space="preserve">Financial </w:t>
      </w:r>
      <w:r w:rsidR="00EA304B" w:rsidRPr="002B5BF5">
        <w:rPr>
          <w:rFonts w:ascii="Times New Roman" w:hAnsi="Times New Roman" w:cs="Times New Roman"/>
        </w:rPr>
        <w:t xml:space="preserve">incentives have been used to promote </w:t>
      </w:r>
      <w:r w:rsidR="00F91AB0" w:rsidRPr="002B5BF5">
        <w:rPr>
          <w:rFonts w:ascii="Times New Roman" w:hAnsi="Times New Roman" w:cs="Times New Roman"/>
        </w:rPr>
        <w:t>various</w:t>
      </w:r>
      <w:r w:rsidR="00EA304B" w:rsidRPr="002B5BF5">
        <w:rPr>
          <w:rFonts w:ascii="Times New Roman" w:hAnsi="Times New Roman" w:cs="Times New Roman"/>
        </w:rPr>
        <w:t xml:space="preserve"> healthy behaviours such as medication adherence</w:t>
      </w:r>
      <w:r w:rsidR="003C1F2F" w:rsidRPr="002B5BF5">
        <w:rPr>
          <w:rFonts w:ascii="Times New Roman" w:hAnsi="Times New Roman" w:cs="Times New Roman"/>
        </w:rPr>
        <w:t>,</w:t>
      </w:r>
      <w:r w:rsidR="0007451C"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10.1007/s10461-013-0415-2","ISSN":"1090-7165","author":[{"dropping-particle":"","family":"Galárraga","given":"Omar","non-dropping-particle":"","parse-names":false,"suffix":""},{"dropping-particle":"","family":"Genberg","given":"Becky L.","non-dropping-particle":"","parse-names":false,"suffix":""},{"dropping-particle":"","family":"Martin","given":"Rosemarie A.","non-dropping-particle":"","parse-names":false,"suffix":""},{"dropping-particle":"","family":"Barton Laws","given":"M.","non-dropping-particle":"","parse-names":false,"suffix":""},{"dropping-particle":"","family":"Wilson","given":"Ira B.","non-dropping-particle":"","parse-names":false,"suffix":""}],"container-title":"AIDS and Behavior","id":"ITEM-1","issue":"7","issued":{"date-parts":[["2013","9"]]},"page":"2283-2292","publisher":"Springer US","title":"Conditional Economic Incentives to Improve HIV Treatment Adherence: Literature Review and Theoretical Considerations","type":"article-journal","volume":"17"},"uris":["http://www.mendeley.com/documents/?uuid=a513d79b-2bfd-39a1-85c1-93a468b00266"]}],"mendeley":{"formattedCitation":"&lt;sup&gt;13&lt;/sup&gt;","plainTextFormattedCitation":"13","previouslyFormattedCitation":"&lt;sup&gt;13&lt;/sup&gt;"},"properties":{"noteIndex":0},"schema":"https://github.com/citation-style-language/schema/raw/master/csl-citation.json"}</w:instrText>
      </w:r>
      <w:r w:rsidR="0007451C"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13</w:t>
      </w:r>
      <w:r w:rsidR="0007451C" w:rsidRPr="002B5BF5">
        <w:rPr>
          <w:rFonts w:ascii="Times New Roman" w:hAnsi="Times New Roman" w:cs="Times New Roman"/>
        </w:rPr>
        <w:fldChar w:fldCharType="end"/>
      </w:r>
      <w:r w:rsidR="004F4831" w:rsidRPr="002B5BF5">
        <w:rPr>
          <w:rFonts w:ascii="Times New Roman" w:hAnsi="Times New Roman" w:cs="Times New Roman"/>
        </w:rPr>
        <w:t xml:space="preserve"> </w:t>
      </w:r>
      <w:r w:rsidR="004C32E3" w:rsidRPr="002B5BF5">
        <w:rPr>
          <w:rFonts w:ascii="Times New Roman" w:hAnsi="Times New Roman" w:cs="Times New Roman"/>
        </w:rPr>
        <w:t xml:space="preserve">reduction of substance </w:t>
      </w:r>
      <w:r w:rsidR="0047417D" w:rsidRPr="002B5BF5">
        <w:rPr>
          <w:rFonts w:ascii="Times New Roman" w:hAnsi="Times New Roman" w:cs="Times New Roman"/>
        </w:rPr>
        <w:t>misuse</w:t>
      </w:r>
      <w:r w:rsidR="003C1F2F" w:rsidRPr="002B5BF5">
        <w:rPr>
          <w:rFonts w:ascii="Times New Roman" w:hAnsi="Times New Roman" w:cs="Times New Roman"/>
        </w:rPr>
        <w:t>,</w:t>
      </w:r>
      <w:r w:rsidR="00F356A9"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{"citationItems":[{"id":"ITEM-1","itemData":{"DOI":"10.1001/jama.2016.8914","ISSN":"1538-3598 (Electronic)","PMID":"27404184","abstract":"IMPORTANCE: Substance use is a major driver of the HIV epidemic and is associated with poor HIV care outcomes. Patient navigation (care coordination with case management) and the use of financial incentives for achieving predetermined outcomes are interventions increasingly promoted to engage patients in substance use disorders treatment and HIV care, but there is little evidence for their efficacy in improving HIV-1 viral suppression rates. OBJECTIVE: To assess the effect of a structured patient navigation intervention with or without financial incentives to improve HIV-1 viral suppression rates among patients with elevated HIV-1 viral loads and substance use recruited as hospital inpatients. DESIGN, SETTING, AND PARTICIPANTS: From July 2012 through January 2014, 801 patients with HIV infection and substance use from 11 hospitals across the United States were randomly assigned to receive patient navigation alone (n = 266), patient navigation plus financial incentives (n = 271), or treatment as usual (n = 264). HIV-1 plasma viral load was measured at baseline and at 6 and 12 months. INTERVENTIONS: Patient navigation included up to 11 sessions of care coordination with case management and motivational interviewing techniques over 6 months. Financial incentives (up to $1160) were provided for achieving targeted behaviors aimed at reducing substance use, increasing engagement in HIV care, and improving HIV outcomes. Treatment as usual was the standard practice at each hospital for linking hospitalized patients to outpatient HIV care and substance use disorders treatment. MAIN OUTCOMES AND MEASURES: The primary outcome was HIV viral suppression (&lt;/=200 copies/mL) relative to viral nonsuppression or death at the 12-month follow-up. RESULTS: Of 801 patients randomized, 261 (32.6%) were women (mean [SD] age, 44.6 years [10.0 years]). There were no differences in rates of HIV viral suppression versus nonsuppression or death among the 3 groups at 12 months. Eighty-five of 249 patients (34.1%) in the usual-treatment group experienced treatment success compared with 89 of 249 patients (35.7%) in the navigation-only group for a treatment difference of 1.6% (95% CI, -6.8% to 10.0%; P = .80) and compared with 98 of 254 patients (38.6%) in the navigation-plus-incentives group for a treatment difference of 4.5% (95% CI -4.0% to 12.8%; P = .68). The treatment difference between the navigation-only and the navigation-plus-incentives group was -2.8% (95% CI, -11.3% to 5.6…","author":[{"dropping-particle":"","family":"Metsch","given":"Lisa R","non-dropping-particle":"","parse-names":false,"suffix":""},{"dropping-particle":"","family":"Feaster","given":"Daniel J","non-dropping-particle":"","parse-names":false,"suffix":""},{"dropping-particle":"","family":"Gooden","given":"Lauren","non-dropping-particle":"","parse-names":false,"suffix":""},{"dropping-particle":"","family":"Matheson","given":"Tim","non-dropping-particle":"","parse-names":false,"suffix":""},{"dropping-particle":"","family":"Stitzer","given":"Maxine","non-dropping-particle":"","parse-names":false,"suffix":""},{"dropping-particle":"","family":"Das","given":"Moupali","non-dropping-particle":"","parse-names":false,"suffix":""},{"dropping-particle":"","family":"Jain","given":"Mamta K","non-dropping-particle":"","parse-names":false,"suffix":""},{"dropping-particle":"","family":"Rodriguez","given":"Allan E","non-dropping-particle":"","parse-names":false,"suffix":""},{"dropping-particle":"","family":"Armstrong","given":"Wendy S","non-dropping-particle":"","parse-names":false,"suffix":""},{"dropping-particle":"","family":"Lucas","given":"Gregory M","non-dropping-particle":"","parse-names":false,"suffix":""},{"dropping-particle":"","family":"Nijhawan","given":"Ank E","non-dropping-particle":"","parse-names":false,"suffix":""},{"dropping-particle":"","family":"Drainoni","given":"Mari-Lynn","non-dropping-particle":"","parse-names":false,"suffix":""},{"dropping-particle":"","family":"Herrera","given":"Patricia","non-dropping-particle":"","parse-names":false,"suffix":""},{"dropping-particle":"","family":"Vergara-Rodriguez","given":"Pamela","non-dropping-particle":"","parse-names":false,"suffix":""},{"dropping-particle":"","family":"Jacobson","given":"Jeffrey M","non-dropping-particle":"","parse-names":false,"suffix":""},{"dropping-particle":"","family":"Mugavero","given":"Michael J","non-dropping-particle":"","parse-names":false,"suffix":""},{"dropping-particle":"","family":"Sullivan","given":"Meg","non-dropping-particle":"","parse-names":false,"suffix":""},{"dropping-particle":"","family":"Daar","given":"Eric S","non-dropping-particle":"","parse-names":false,"suffix":""},{"dropping-particle":"","family":"McMahon","given":"Deborah K","non-dropping-particle":"","parse-names":false,"suffix":""},{"dropping-particle":"","family":"Ferris","given":"David C","non-dropping-particle":"","parse-names":false,"suffix":""},{"dropping-particle":"","family":"Lindblad","given":"Robert","non-dropping-particle":"","parse-names":false,"suffix":""},{"dropping-particle":"","family":"VanVeldhuisen","given":"Paul","non-dropping-particle":"","parse-names":false,"suffix":""},{"dropping-particle":"","family":"Oden","given":"Neal","non-dropping-particle":"","parse-names":false,"suffix":""},{"dropping-particle":"","family":"Castellon","given":"Pedro C","non-dropping-particle":"","parse-names":false,"suffix":""},{"dropping-particle":"","family":"Tross","given":"Susan","non-dropping-particle":"","parse-names":false,"suffix":""},{"dropping-particle":"","family":"Haynes","given":"Louise F","non-dropping-particle":"","parse-names":false,"suffix":""},{"dropping-particle":"","family":"Douaihy","given":"Antoine","non-dropping-particle":"","parse-names":false,"suffix":""},{"dropping-particle":"","family":"Sorensen","given":"James L","non-dropping-particle":"","parse-names":false,"suffix":""},{"dropping-particle":"","family":"Metzger","given":"David S","non-dropping-particle":"","parse-names":false,"suffix":""},{"dropping-particle":"","family":"Mandler","given":"Raul N","non-dropping-particle":"","parse-names":false,"suffix":""},{"dropping-particle":"","family":"Colfax","given":"Grant N","non-dropping-particle":"","parse-names":false,"suffix":""},{"dropping-particle":"","family":"Rio","given":"Carlos","non-dropping-particle":"del","parse-names":false,"suffix":""}],"container-title":"JAMA","id":"ITEM-1","issue":"2","issued":{"date-parts":[["2016","7"]]},"language":"eng","page":"156-170","publisher-place":"United States","title":"Effect of Patient Navigation With or Without Financial Incentives on Viral Suppression Among Hospitalized Patients With HIV Infection and Substance Use: A Randomized Clinical Trial.","type":"article-journal","volume":"316"},"uris":["http://www.mendeley.com/documents/?uuid=f735227c-1a9d-42dc-ab52-cc3d5cd5cd14"]}],"mendeley":{"formattedCitation":"&lt;sup&gt;14&lt;/sup&gt;","plainTextFormattedCitation":"14","previouslyFormattedCitation":"&lt;sup&gt;14&lt;/sup&gt;"},"properties":{"noteIndex":0},"schema":"https://github.com/citation-style-language/schema/raw/master/csl-citation.json"}</w:instrText>
      </w:r>
      <w:r w:rsidR="00F356A9"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14</w:t>
      </w:r>
      <w:r w:rsidR="00F356A9" w:rsidRPr="002B5BF5">
        <w:rPr>
          <w:rFonts w:ascii="Times New Roman" w:hAnsi="Times New Roman" w:cs="Times New Roman"/>
        </w:rPr>
        <w:fldChar w:fldCharType="end"/>
      </w:r>
      <w:r w:rsidR="0047417D" w:rsidRPr="002B5BF5">
        <w:rPr>
          <w:rFonts w:ascii="Times New Roman" w:hAnsi="Times New Roman" w:cs="Times New Roman"/>
        </w:rPr>
        <w:t xml:space="preserve"> </w:t>
      </w:r>
      <w:r w:rsidR="003C1F2F" w:rsidRPr="002B5BF5">
        <w:rPr>
          <w:rFonts w:ascii="Times New Roman" w:hAnsi="Times New Roman" w:cs="Times New Roman"/>
        </w:rPr>
        <w:t>or</w:t>
      </w:r>
      <w:r w:rsidR="0047417D" w:rsidRPr="002B5BF5">
        <w:rPr>
          <w:rFonts w:ascii="Times New Roman" w:hAnsi="Times New Roman" w:cs="Times New Roman"/>
        </w:rPr>
        <w:t xml:space="preserve"> use of preventive services including voluntary </w:t>
      </w:r>
      <w:r w:rsidR="003C1F2F" w:rsidRPr="002B5BF5">
        <w:rPr>
          <w:rFonts w:ascii="Times New Roman" w:hAnsi="Times New Roman" w:cs="Times New Roman"/>
        </w:rPr>
        <w:t xml:space="preserve">medical </w:t>
      </w:r>
      <w:r w:rsidR="0047417D" w:rsidRPr="002B5BF5">
        <w:rPr>
          <w:rFonts w:ascii="Times New Roman" w:hAnsi="Times New Roman" w:cs="Times New Roman"/>
        </w:rPr>
        <w:t>male circumcision</w:t>
      </w:r>
      <w:r w:rsidR="00847B0D" w:rsidRPr="002B5BF5">
        <w:rPr>
          <w:rFonts w:ascii="Times New Roman" w:hAnsi="Times New Roman" w:cs="Times New Roman"/>
        </w:rPr>
        <w:t>,</w:t>
      </w:r>
      <w:r w:rsidR="00AA1D59"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{"citationItems":[{"id":"ITEM-1","itemData":{"DOI":"10.1001/jama.2014.9087","ISSN":"1538-3598 (Electronic)","PMID":"25042290","abstract":"IMPORTANCE: Novel strategies are needed to increase the uptake of voluntary medical male circumcision (VMMC) in sub-Saharan Africa and enhance the effectiveness of male circumcision as an HIV prevention strategy. OBJECTIVE: To determine whether small economic incentives could increase circumcision prevalence by addressing reported economic barriers to VMMC and behavioral factors such as present-biased decision making. DESIGN, SETTING, AND PARTICIPANTS: Randomized clinical trial conducted between June 22, 2013, and February 4, 2014, among 1504 uncircumcised men aged 25 to 49 years in Nyanza region, Kenya. VMMC services were provided free of charge and participants were randomized to 1 of 3 intervention groups or a control group. INTERVENTIONS: Participants in the 3 intervention groups received varying amounts of compensation conditional on undergoing circumcision at 1 of 9 study clinics within 2 months of enrollment. Compensation took the form of food vouchers worth 200 Kenya shillings ( approximately US $2.50), 700 Kenya shillings ( approximately US $8.75), or 1200 Kenya shillings ( approximately US $15.00), which reflected a portion of transportation costs and lost wages associated with getting circumcised. The control group received no compensation. MAIN OUTCOMES AND MEASURES: VMMC uptake within 2 months. RESULTS: Analysis of data for 1502 participants with complete data showed that VMMC uptake within 2 months was higher in the US $8.75 group (6.6%; 95% CI, 4.3%-9.5% [25 of 381]) and the US $15.00 group (9.0%; 95% CI, 6.3%-12.4% [34 of 377]) than in the US $2.50 group (1.9%; 95% CI, 0.8%-3.8% [7 of 374]) and the control group (1.6%; 95% CI, 0.6%-3.5% [6 of 370]). In logistic regression analysis, the US $8.75 group had significantly higher VMMC uptake than the control group (adjusted odds ratio [AOR] 4.3; 95% CI, 1.7-10.7), as did the US $15.00 group (AOR 6.2; 95% CI, 2.6-15.0). Effect sizes for the US $8.75 and US $15.00 groups did not differ significantly (P = .20). CONCLUSIONS AND RELEVANCE: Among uncircumcised men in Kenya, compensation in the form of food vouchers worth approximately US $8.75 or US $15.00, compared with lesser or no compensation, resulted in a modest increase in the prevalence of circumcision after 2 months. The effects of more intense promotion or longer implementation require further investigation. TRIAL REGISTRATION: clinicaltrials.gov Identifier: NCT01857700.","author":[{"dropping-particle":"","family":"Thirumurthy","given":"Harsha","non-dropping-particle":"","parse-names":false,"suffix":""},{"dropping-particle":"","family":"Masters","given":"Samuel H","non-dropping-particle":"","parse-names":false,"suffix":""},{"dropping-particle":"","family":"Rao","given":"Samwel","non-dropping-particle":"","parse-names":false,"suffix":""},{"dropping-particle":"","family":"Bronson","given":"Megan A","non-dropping-particle":"","parse-names":false,"suffix":""},{"dropping-particle":"","family":"Lanham","given":"Michele","non-dropping-particle":"","parse-names":false,"suffix":""},{"dropping-particle":"","family":"Omanga","given":"Eunice","non-dropping-particle":"","parse-names":false,"suffix":""},{"dropping-particle":"","family":"Evens","given":"Emily","non-dropping-particle":"","parse-names":false,"suffix":""},{"dropping-particle":"","family":"Agot","given":"Kawango","non-dropping-particle":"","parse-names":false,"suffix":""}],"container-title":"JAMA","id":"ITEM-1","issue":"7","issued":{"date-parts":[["2014","8"]]},"language":"eng","page":"703-711","publisher-place":"United States","title":"Effect of providing conditional economic compensation on uptake of voluntary medical male circumcision in Kenya: a randomized clinical trial.","type":"article-journal","volume":"312"},"uris":["http://www.mendeley.com/documents/?uuid=5983b306-36d0-409f-8088-bf34ede7ac20"]},{"id":"ITEM-2","itemData":{"DOI":"10.1080/19439341003646188","ISSN":"1943-9342","abstract":"This paper investigates whether conditional cash transfer (CCT) programmes that include health and nutrition components improve health and nutritional outcomes, and if so, which components of the programmes, or combination thereof, are important in achieving these improvements. Using evidence from Latin America, Africa, Asia and the Middle East, the paper adopts a theory-based approach that spells out the assumptions behind the expectation that the CCT interventions will have a measurable impact on health and nutrition outcomes. CCT impact evaluations provide unambiguous evidence that financial incentives work to increase utilisation of those key health services by the poor upon which the cash transfer is conditioned, if the beneficiaries have knowledge of this condition. However, results are mixed with respect to nutrition and health outcomes, suggesting that encouraging utilisation when the pertinence of services is unknown or of poor quality may not produce the expected effects. Incipient results from ...","author":[{"dropping-particle":"","family":"Gaarder","given":"Marie M.","non-dropping-particle":"","parse-names":false,"suffix":""},{"dropping-particle":"","family":"Glassman","given":"Amanda","non-dropping-particle":"","parse-names":false,"suffix":""},{"dropping-particle":"","family":"Todd","given":"Jessica E.","non-dropping-particle":"","parse-names":false,"suffix":""}],"container-title":"Journal of Development Effectiveness","id":"ITEM-2","issue":"1","issued":{"date-parts":[["2010","4","13"]]},"page":"6-50","publisher":" Taylor &amp; Francis ","title":"Conditional cash transfers and health: unpacking the causal chain","type":"article-journal","volume":"2"},"uris":["http://www.mendeley.com/documents/?uuid=a2b25c4d-c2d0-396c-857d-c84fa73ec98a"]},{"id":"ITEM-3","itemData":{"DOI":"10.1001/jama.298.16.1900","ISSN":"00987484","PMID":"17954541","abstract":"Context: Cash transfers conditional on certain behaviors, intended to provide access to social services, have been introduced in several developing countries. The effectiveness of these strategies in different contexts has not previously been the subject of a systematic review. Objective: To assess the effectiveness of conditional monetary transfers in improving access to and use of health services, as well as improving health outcomes, in low- and middle-income countries. Data Sources: Relevant publications were identified via electronic medical and social science databases from inception to April 2006 (PubMED, EMBASE, POPLINE, CAB Direct, Healthcare Management Information Consortium, WHOLIS (World Health Organization Library Database), African Healthline, International Bibliography of the Social Sciences (IBSS), Eldis, British Library for Development Studies (BLDS), ID21, Journal Storage (Jstor), Inter-Science, ScienceDirect, Internet Documents in Economics Access Service (Research Papers in Economics) (IDEAS[Repec]), Latin American and Caribbean Health Sciences Literature (LILACS), MEDCARIB, Virtual Library in Health (ADOLEC), Pan American Health Organization (PAHO), FRANCIS, The Cochrane Central Register of Controlled Trials, the Database of Abstracts of Reviews of Effectiveness, and the Effective Practice and Organization of Care Group (EPOC) Register. Reference lists of relevant papers and \"gray\" literature resources were also searched. Study Selection: To be included, a paper had to meet study design criteria (randomized controlled trial, interrupted time series analysis, and controlled before and after study) and include a measure of at least 1 of the following outcomes: health care utilization, health expenditure, or health outcomes. Twenty-eight papers were retrieved for assessment and 10 were included in this review. Data Extraction: Methodological details and outcomes were extracted by 2 reviewers who independently assessed the quality of the papers. Results: Overall, the evidence suggests that conditional cash transfer programs are effective in increasing the use of preventive services and sometimes improving health status. Conclusions: Further research is needed to clarify the cost effectiveness of conditional cash transfer programs and better understand which components play a critical role. The potential success and desirability of such programs in low-income settings, with more limited health system capacity, also deserves more investig…","author":[{"dropping-particle":"","family":"Lagarde","given":"Mylene","non-dropping-particle":"","parse-names":false,"suffix":""},{"dropping-particle":"","family":"Haines","given":"Andy","non-dropping-particle":"","parse-names":false,"suffix":""},{"dropping-particle":"","family":"Palmer","given":"Natasha","non-dropping-particle":"","parse-names":false,"suffix":""}],"container-title":"JAMA","id":"ITEM-3","issue":"16","issued":{"date-parts":[["2007","10","24"]]},"page":"1900-1910","title":"Conditional cash transfers for improving uptake of health interventions in low- and middle-income countries: A systematic review","type":"article","volume":"298"},"uris":["http://www.mendeley.com/documents/?uuid=465ca364-bee7-3256-ac3c-18d340eee3f6"]}],"mendeley":{"formattedCitation":"&lt;sup&gt;15–17&lt;/sup&gt;","plainTextFormattedCitation":"15–17","previouslyFormattedCitation":"&lt;sup&gt;15–17&lt;/sup&gt;"},"properties":{"noteIndex":0},"schema":"https://github.com/citation-style-language/schema/raw/master/csl-citation.json"}</w:instrText>
      </w:r>
      <w:r w:rsidR="00AA1D59"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15–17</w:t>
      </w:r>
      <w:r w:rsidR="00AA1D59" w:rsidRPr="002B5BF5">
        <w:rPr>
          <w:rFonts w:ascii="Times New Roman" w:hAnsi="Times New Roman" w:cs="Times New Roman"/>
        </w:rPr>
        <w:fldChar w:fldCharType="end"/>
      </w:r>
      <w:r w:rsidR="0047417D" w:rsidRPr="002B5BF5">
        <w:rPr>
          <w:rFonts w:ascii="Times New Roman" w:hAnsi="Times New Roman" w:cs="Times New Roman"/>
        </w:rPr>
        <w:t xml:space="preserve"> Recently, s</w:t>
      </w:r>
      <w:r w:rsidR="00EA304B" w:rsidRPr="002B5BF5">
        <w:rPr>
          <w:rFonts w:ascii="Times New Roman" w:hAnsi="Times New Roman" w:cs="Times New Roman"/>
        </w:rPr>
        <w:t>everal clinical trial</w:t>
      </w:r>
      <w:r w:rsidR="00567299" w:rsidRPr="002B5BF5">
        <w:rPr>
          <w:rFonts w:ascii="Times New Roman" w:hAnsi="Times New Roman" w:cs="Times New Roman"/>
        </w:rPr>
        <w:t xml:space="preserve">s </w:t>
      </w:r>
      <w:r w:rsidR="00EA304B" w:rsidRPr="002B5BF5">
        <w:rPr>
          <w:rFonts w:ascii="Times New Roman" w:hAnsi="Times New Roman" w:cs="Times New Roman"/>
        </w:rPr>
        <w:t xml:space="preserve">showed promising results that financial incentives </w:t>
      </w:r>
      <w:r w:rsidR="00567299" w:rsidRPr="002B5BF5">
        <w:rPr>
          <w:rFonts w:ascii="Times New Roman" w:hAnsi="Times New Roman" w:cs="Times New Roman"/>
        </w:rPr>
        <w:t xml:space="preserve">could </w:t>
      </w:r>
      <w:r w:rsidR="00EA304B" w:rsidRPr="002B5BF5">
        <w:rPr>
          <w:rFonts w:ascii="Times New Roman" w:hAnsi="Times New Roman" w:cs="Times New Roman"/>
        </w:rPr>
        <w:t>increase</w:t>
      </w:r>
      <w:r w:rsidR="00567299" w:rsidRPr="002B5BF5">
        <w:rPr>
          <w:rFonts w:ascii="Times New Roman" w:hAnsi="Times New Roman" w:cs="Times New Roman"/>
        </w:rPr>
        <w:t xml:space="preserve"> </w:t>
      </w:r>
      <w:r w:rsidR="006C0959" w:rsidRPr="002B5BF5">
        <w:rPr>
          <w:rFonts w:ascii="Times New Roman" w:hAnsi="Times New Roman" w:cs="Times New Roman"/>
        </w:rPr>
        <w:t xml:space="preserve">the </w:t>
      </w:r>
      <w:r w:rsidR="00EA304B" w:rsidRPr="002B5BF5">
        <w:rPr>
          <w:rFonts w:ascii="Times New Roman" w:hAnsi="Times New Roman" w:cs="Times New Roman"/>
        </w:rPr>
        <w:t xml:space="preserve">uptake of HIV testing </w:t>
      </w:r>
      <w:r w:rsidR="0047417D" w:rsidRPr="002B5BF5">
        <w:rPr>
          <w:rFonts w:ascii="Times New Roman" w:hAnsi="Times New Roman" w:cs="Times New Roman"/>
        </w:rPr>
        <w:t xml:space="preserve">as well as </w:t>
      </w:r>
      <w:r w:rsidR="00EA304B" w:rsidRPr="002B5BF5">
        <w:rPr>
          <w:rFonts w:ascii="Times New Roman" w:hAnsi="Times New Roman" w:cs="Times New Roman"/>
        </w:rPr>
        <w:t xml:space="preserve">linkage to care </w:t>
      </w:r>
      <w:r w:rsidR="0047417D" w:rsidRPr="002B5BF5">
        <w:rPr>
          <w:rFonts w:ascii="Times New Roman" w:hAnsi="Times New Roman" w:cs="Times New Roman"/>
        </w:rPr>
        <w:t>and viral load suppression</w:t>
      </w:r>
      <w:r w:rsidR="00287E6C" w:rsidRPr="002B5BF5">
        <w:rPr>
          <w:rFonts w:ascii="Times New Roman" w:hAnsi="Times New Roman" w:cs="Times New Roman"/>
        </w:rPr>
        <w:t xml:space="preserve"> </w:t>
      </w:r>
      <w:r w:rsidR="00983284" w:rsidRPr="002B5BF5">
        <w:rPr>
          <w:rFonts w:ascii="Times New Roman" w:hAnsi="Times New Roman" w:cs="Times New Roman"/>
        </w:rPr>
        <w:t>but the efficacy has been varying</w:t>
      </w:r>
      <w:r w:rsidR="00AA1D59" w:rsidRPr="002B5BF5">
        <w:rPr>
          <w:rFonts w:ascii="Times New Roman" w:hAnsi="Times New Roman" w:cs="Times New Roman"/>
        </w:rPr>
        <w:t>.</w:t>
      </w:r>
      <w:r w:rsidR="00AA1D59" w:rsidRPr="002B5BF5">
        <w:rPr>
          <w:rFonts w:ascii="Times New Roman" w:hAnsi="Times New Roman" w:cs="Times New Roman"/>
        </w:rPr>
        <w:fldChar w:fldCharType="begin" w:fldLock="1"/>
      </w:r>
      <w:r w:rsidR="000F2ED6" w:rsidRPr="002B5BF5">
        <w:rPr>
          <w:rFonts w:ascii="Times New Roman" w:hAnsi="Times New Roman" w:cs="Times New Roman"/>
        </w:rPr>
        <w:instrText>ADDIN CSL_CITATION {"citationItems":[{"id":"ITEM-1","itemData":{"DOI":"10.1097/COH.0000000000000196","ISSN":"1746-6318","PMID":"26371461","abstract":"PURPOSE OF REVIEW We reviewed recent literature on conditional and unconditional financial incentives for their impact on improving movement through the HIV care cascade and HIV prevention. RECENT FINDINGS Concepts from behavioral economics may help improve engagement in HIV care by addressing upstream structural risk factors for HIV, such as poverty, or providing conditional rewards for immediate, measurable outcomes related to HIV care. Incentives have been shown to increase uptake of HIV testing. Yet, few studies to date focus on linkage to care: one large USA-based randomized trial failed to show an effect of incentives; and a smaller trial showed improved linkage to care among drug users, but no difference in virologic suppression. Several small USA-based studies have shown an impact of financial incentives on antiretroviral therapy adherence, but without durability beyond the incentive period. HIV prevention has the most robust evidence for decreasing HIV risk-taking behavior among adolescents and may serve as a model for research on the care cascade. SUMMARY Financial incentives show promise for improving engagement in HIV testing, care, and prevention. Understanding the durability, scalability, ease of implementation, and cost-effectiveness of these different approaches will be critical for maximizing the impact of incentives in curtailing the HIV epidemic.","author":[{"dropping-particle":"V","family":"Bassett","given":"Ingrid","non-dropping-particle":"","parse-names":false,"suffix":""},{"dropping-particle":"","family":"Wilson","given":"David","non-dropping-particle":"","parse-names":false,"suffix":""},{"dropping-particle":"","family":"Taaffe","given":"Jessica","non-dropping-particle":"","parse-names":false,"suffix":""},{"dropping-particle":"","family":"Freedberg","given":"Kenneth A","non-dropping-particle":"","parse-names":false,"suffix":""}],"container-title":"Current opinion in HIV and AIDS","id":"ITEM-1","issue":"6","issued":{"date-parts":[["2015","11"]]},"page":"451-63","publisher":"NIH Public Access","title":"Financial incentives to improve progression through the HIV treatment cascade.","type":"article-journal","volume":"10"},"uris":["http://www.mendeley.com/documents/?uuid=de323b48-3b1f-39c6-a0a0-fce161b67174"]},{"id":"ITEM-2","itemData":{"DOI":"10.1371/journal.pmed.1002719","ISSN":"1549-1676","author":[{"dropping-particle":"","family":"Choko","given":"Augustine T.","non-dropping-particle":"","parse-names":false,"suffix":""},{"dropping-particle":"","family":"Corbett","given":"Elizabeth L.","non-dropping-particle":"","parse-names":false,"suffix":""},{"dropping-particle":"","family":"Stallard","given":"Nigel","non-dropping-particle":"","parse-names":false,"suffix":""},{"dropping-particle":"","family":"Maheswaran","given":"Hendramoorthy","non-dropping-particle":"","parse-names":false,"suffix":""},{"dropping-particle":"","family":"Lepine","given":"Aurelia","non-dropping-particle":"","parse-names":false,"suffix":""},{"dropping-particle":"","family":"Johnson","given":"Cheryl C.","non-dropping-particle":"","parse-names":false,"suffix":""},{"dropping-particle":"","family":"Sakala","given":"Doreen","non-dropping-particle":"","parse-names":false,"suffix":""},{"dropping-particle":"","family":"Kalua","given":"Thokozani","non-dropping-particle":"","parse-names":false,"suffix":""},{"dropping-particle":"","family":"Kumwenda","given":"Moses","non-dropping-particle":"","parse-names":false,"suffix":""},{"dropping-particle":"","family":"Hayes","given":"Richard","non-dropping-particle":"","parse-names":false,"suffix":""},{"dropping-particle":"","family":"Fielding","given":"Katherine","non-dropping-particle":"","parse-names":false,"suffix":""}],"container-title":"PLoS Medicine","editor":[{"dropping-particle":"","family":"Geng","given":"Elvin H.","non-dropping-particle":"","parse-names":false,"suffix":""}],"id":"ITEM-2","issue":"1","issued":{"date-parts":[["2019","1","2"]]},"page":"e1002719","title":"HIV self-testing alone or with additional interventions, including financial incentives, and linkage to care or prevention among male partners of antenatal care clinic attendees in Malawi: An adaptive multi-arm, multi-stage cluster randomised trial","type":"article-journal","volume":"16"},"uris":["http://www.mendeley.com/documents/?uuid=f1d77008-8155-3deb-ac2d-31e43c4aedc8"]},{"id":"ITEM-3","itemData":{"DOI":"10.1016/S2352-3018(17)30176-5","ISSN":"2352-3018","PMID":"29170030","abstract":"BACKGROUND HIV testing is the important entry point for HIV care and prevention service, but uptake of HIV testing and thus coverage of antiretroviral therapy are much lower in older children and adolescents than in adults. We investigated the effect of economic incentives provided to caregivers of children aged 8-17 years on uptake of HIV testing and counselling in Harare, Zimbabwe. METHODS This randomised controlled trial was nested within a household HIV prevalence survey of children aged 8-17 years in Harare. Households with one or more survey participants whose HIV status was unknown were eligible to participate in the trial. Eligible households were randomly assigned (1:1:1) to either receive no incentive, receive a fixed US$2 incentive, or participate in a lottery for $5 or $10 if the participant presented for HIV testing and counselling at a local primary health-care centre. The survey fieldworkers who enrolled participants were not blinded to trial arm allocation, but the statistician was blinded for analysis of outcome. The primary outcome was the proportion of households in which at least one child had an HIV test within 4 weeks of enrolment. HIV test uptake in the incentivised groups was compared with uptake in the non-incentivised group using logistic regression, adjusting for community and number of children as fixed effects and research assistant as a random effect. All analyses were by intention to treat. The trial is registered with the Pan African Clinical Trials Registry, number PACTR201605001615280. FINDINGS Between Aug 4, and Dec 18, 2015, 2050 eligible households were enrolled in the prevalence survey. 649 (32%) households were assigned no incentive, 740 (34%) households were assigned a $2 incentive, and 661 (32%) households were assigned to lottery participation. Children were unavailable in 148 households in the no-incentive group, 63 households in the $2 incentive group, and 81 households in the lottery group. 1688 households had at least one child with unknown HIV status and were enrolled into the trial. 22 households had no undiagnosed child, and one household refused consent. The primary outcome of HIV testing was assessed in 472 (28%) households in the no-incentive group, 654 (39%) households in the $2 incentive group, and 562 (33%) households in the lottery group. At least one child was HIV tested in 93 (20%) households in the no-incentive group, in 316 (48%) households in the $2 incentive group (adjusted odds ratio 3·67, 9…","author":[{"dropping-particle":"","family":"Kranzer","given":"Katharina","non-dropping-particle":"","parse-names":false,"suffix":""},{"dropping-particle":"","family":"Simms","given":"Victoria","non-dropping-particle":"","parse-names":false,"suffix":""},{"dropping-particle":"","family":"Bandason","given":"Tsitsi","non-dropping-particle":"","parse-names":false,"suffix":""},{"dropping-particle":"","family":"Dauya","given":"Ethel","non-dropping-particle":"","parse-names":false,"suffix":""},{"dropping-particle":"","family":"McHugh","given":"Grace","non-dropping-particle":"","parse-names":false,"suffix":""},{"dropping-particle":"","family":"Munyati","given":"Shungu","non-dropping-particle":"","parse-names":false,"suffix":""},{"dropping-particle":"","family":"Chonzi","given":"Prosper","non-dropping-particle":"","parse-names":false,"suffix":""},{"dropping-particle":"","family":"Dakshina","given":"Suba","non-dropping-particle":"","parse-names":false,"suffix":""},{"dropping-particle":"","family":"Mujuru","given":"Hilda","non-dropping-particle":"","parse-names":false,"suffix":""},{"dropping-particle":"","family":"Weiss","given":"Helen A","non-dropping-particle":"","parse-names":false,"suffix":""},{"dropping-particle":"","family":"Ferrand","given":"Rashida A","non-dropping-particle":"","parse-names":false,"suffix":""}],"container-title":"The lancet. HIV","id":"ITEM-3","issue":"2","issued":{"date-parts":[["2018"]]},"page":"e79-e86","publisher":"Elsevier","title":"Economic incentives for HIV testing by adolescents in Zimbabwe: a randomised controlled trial.","type":"article-journal","volume":"5"},"uris":["http://www.mendeley.com/documents/?uuid=ac5914fd-082d-3978-be6d-07a524ef4675"]},{"id":"ITEM-4","itemData":{"ISSN":"15491676","abstract":"Background: Gaps in the HIV care continuum contribute to poor health outcomes and increase HIV transmission. A combination of interventions targeting multiple steps in the continuum is needed to achieve the full beneficial impact of HIV treatment. Methods and findings: Link4Health, a cluster-randomized controlled trial, evaluated the effectiveness of a combination intervention strategy (CIS) versus the standard of care (SOC) on the primary outcome of linkage to care within 1 month plus retention in care at 12 months after HIV-positive testing. Ten clusters of HIV clinics in Swaziland were randomized 1:1 to CIS versus SOC. The CIS included point-of-care CD4+ testing at the time of an HIV-positive test, accelerated antiretroviral therapy (ART) initiation for treatment-eligible participants, mobile phone appointment reminders, health educational packages, and noncash financial incentives. Secondary outcomes included each component of the primary outcome, mean time to linkage, assessment for ART eligibility, ART initiation and time to ART initiation, viral suppressi</w:instrText>
      </w:r>
      <w:r w:rsidR="000F2ED6" w:rsidRPr="002B5BF5">
        <w:rPr>
          <w:rFonts w:ascii="Times New Roman" w:hAnsi="Times New Roman" w:cs="Times New Roman" w:hint="eastAsia"/>
        </w:rPr>
        <w:instrText xml:space="preserve">on defined as HIV-1 RNA &lt; 1,000 copies/mL at 12 months after HIV testing among patients on ART </w:instrText>
      </w:r>
      <w:r w:rsidR="000F2ED6" w:rsidRPr="002B5BF5">
        <w:rPr>
          <w:rFonts w:ascii="Times New Roman" w:hAnsi="Times New Roman" w:cs="Times New Roman" w:hint="eastAsia"/>
        </w:rPr>
        <w:instrText>≥</w:instrText>
      </w:r>
      <w:r w:rsidR="000F2ED6" w:rsidRPr="002B5BF5">
        <w:rPr>
          <w:rFonts w:ascii="Times New Roman" w:hAnsi="Times New Roman" w:cs="Times New Roman" w:hint="eastAsia"/>
        </w:rPr>
        <w:instrText xml:space="preserve">6 months, and loss to follow-up and death at 12 months after HIV testing. A total of 2,197 adults aged </w:instrText>
      </w:r>
      <w:r w:rsidR="000F2ED6" w:rsidRPr="002B5BF5">
        <w:rPr>
          <w:rFonts w:ascii="Times New Roman" w:hAnsi="Times New Roman" w:cs="Times New Roman" w:hint="eastAsia"/>
        </w:rPr>
        <w:instrText>≥</w:instrText>
      </w:r>
      <w:r w:rsidR="000F2ED6" w:rsidRPr="002B5BF5">
        <w:rPr>
          <w:rFonts w:ascii="Times New Roman" w:hAnsi="Times New Roman" w:cs="Times New Roman" w:hint="eastAsia"/>
        </w:rPr>
        <w:instrText>18 years, newly tested HIV positive, were enrolled from</w:instrText>
      </w:r>
      <w:r w:rsidR="000F2ED6" w:rsidRPr="002B5BF5">
        <w:rPr>
          <w:rFonts w:ascii="Times New Roman" w:hAnsi="Times New Roman" w:cs="Times New Roman"/>
        </w:rPr>
        <w:instrText xml:space="preserve"> 19 August 2013 to 21 November 2014 (1,096 CIS arm; 1,101 SOC arm) and followed for 12 months. The median participant age was 31 years (IQR 26–39), and 59% were women. In an intention-to-treat analysis, 64% (705/1,096) of participants at the CIS sites achieved the primary outcome versus 43% (477/1,101) at the SOC sites (adjusted relative risk [RR] 1.52, 95% CI 1.19–1.96, p = 0.002). Participants in the CIS arm versus the SOC arm had the following secondary outcomes: linkage to care regardless of retention at 12 months (RR 1.08, 95% CI 0.97–1.21, p = 0.13), mean time to linkage (2.5 days versus 7.5 days, p = 0.189), retention in care at 12 months regardless of time to linkage (RR 1.48, 95% CI 1.18–1.86, p = 0.002), assessment for ART eligibility (RR 1.20, </w:instrText>
      </w:r>
      <w:r w:rsidR="000F2ED6" w:rsidRPr="002B5BF5">
        <w:rPr>
          <w:rFonts w:ascii="Times New Roman" w:hAnsi="Times New Roman" w:cs="Times New Roman" w:hint="eastAsia"/>
        </w:rPr>
        <w:instrText>95% CI 1.07</w:instrText>
      </w:r>
      <w:r w:rsidR="000F2ED6" w:rsidRPr="002B5BF5">
        <w:rPr>
          <w:rFonts w:ascii="Times New Roman" w:hAnsi="Times New Roman" w:cs="Times New Roman" w:hint="eastAsia"/>
        </w:rPr>
        <w:instrText>–</w:instrText>
      </w:r>
      <w:r w:rsidR="000F2ED6" w:rsidRPr="002B5BF5">
        <w:rPr>
          <w:rFonts w:ascii="Times New Roman" w:hAnsi="Times New Roman" w:cs="Times New Roman" w:hint="eastAsia"/>
        </w:rPr>
        <w:instrText>1.34, p = 0.004), ART initiation (RR 1.16, 95% CI 0.96</w:instrText>
      </w:r>
      <w:r w:rsidR="000F2ED6" w:rsidRPr="002B5BF5">
        <w:rPr>
          <w:rFonts w:ascii="Times New Roman" w:hAnsi="Times New Roman" w:cs="Times New Roman" w:hint="eastAsia"/>
        </w:rPr>
        <w:instrText>–</w:instrText>
      </w:r>
      <w:r w:rsidR="000F2ED6" w:rsidRPr="002B5BF5">
        <w:rPr>
          <w:rFonts w:ascii="Times New Roman" w:hAnsi="Times New Roman" w:cs="Times New Roman" w:hint="eastAsia"/>
        </w:rPr>
        <w:instrText xml:space="preserve">1.40, p = 0.12), mean time to ART initiation from time of HIV testing (7 days versus 14 days, p &lt; 0.001), viral suppression among those on ART for </w:instrText>
      </w:r>
      <w:r w:rsidR="000F2ED6" w:rsidRPr="002B5BF5">
        <w:rPr>
          <w:rFonts w:ascii="Times New Roman" w:hAnsi="Times New Roman" w:cs="Times New Roman" w:hint="eastAsia"/>
        </w:rPr>
        <w:instrText>≥</w:instrText>
      </w:r>
      <w:r w:rsidR="000F2ED6" w:rsidRPr="002B5BF5">
        <w:rPr>
          <w:rFonts w:ascii="Times New Roman" w:hAnsi="Times New Roman" w:cs="Times New Roman" w:hint="eastAsia"/>
        </w:rPr>
        <w:instrText>6 months (RR 0.97, 95% CI 0.88</w:instrText>
      </w:r>
      <w:r w:rsidR="000F2ED6" w:rsidRPr="002B5BF5">
        <w:rPr>
          <w:rFonts w:ascii="Times New Roman" w:hAnsi="Times New Roman" w:cs="Times New Roman" w:hint="eastAsia"/>
        </w:rPr>
        <w:instrText>–</w:instrText>
      </w:r>
      <w:r w:rsidR="000F2ED6" w:rsidRPr="002B5BF5">
        <w:rPr>
          <w:rFonts w:ascii="Times New Roman" w:hAnsi="Times New Roman" w:cs="Times New Roman" w:hint="eastAsia"/>
        </w:rPr>
        <w:instrText>1.07, p =</w:instrText>
      </w:r>
      <w:r w:rsidR="000F2ED6" w:rsidRPr="002B5BF5">
        <w:rPr>
          <w:rFonts w:ascii="Times New Roman" w:hAnsi="Times New Roman" w:cs="Times New Roman"/>
        </w:rPr>
        <w:instrText xml:space="preserve"> 0.55), loss to follow-up at 12 months after HIV testing (RR 0.56, 95% CI 0.40–0.79, p = 0.002), and death (N = 78) within 12 months of HIV test…","author":[{"dropping-particle":"","family":"McNairy","given":"Margaret L.","non-dropping-particle":"","parse-names":false,"suffix":""},{"dropping-particle":"","family":"Lamb","given":"Matthew R.","non-dropping-particle":"","parse-names":false,"suffix":""},{"dropping-particle":"","family":"Gachuhi","given":"Averie B.","non-dropping-particle":"","parse-names":false,"suffix":""},{"dropping-particle":"","family":"Nuwagaba-Biribonwoha","given":"Harriet","non-dropping-particle":"","parse-names":false,"suffix":""},{"dropping-particle":"","family":"Burke","given":"Sean","non-dropping-particle":"","parse-names":false,"suffix":""},{"dropping-particle":"","family":"Mazibuko","given":"Sikhathele","non-dropping-particle":"","parse-names":false,"suffix":""},{"dropping-particle":"","family":"Okello","given":"Velephi","non-dropping-particle":"","parse-names":false,"suffix":""},{"dropping-particle":"","family":"Ehrenkranz","given":"Peter","non-dropping-particle":"","parse-names":false,"suffix":""},{"dropping-particle":"","family":"Sahabo","given":"Ruben","non-dropping-particle":"","parse-names":false,"suffix":""},{"dropping-particle":"","family":"El-Sadr","given":"Wafaa M.","non-dropping-particle":"","parse-names":false,"suffix":""}],"container-title":"PLoS Medicine","id":"ITEM-4","issue":"11","issued":{"date-parts":[["2017","11","1"]]},"publisher":"Public Library of Science","title":"Effectiveness of a combination strategy for linkage and retention in adult HIV care in Swaziland: The Link4Health cluster randomized trial","type":"article-journal","volume":"14"},"uris":["http://www.mendeley.com/documents/?uuid=9b1e9e5a-9633-3378-a27b-3a82b225e4c6"]},{"id":"ITEM-5","itemData":{"DOI":"10.1371/journal.pmed.1002433","ISSN":"1549-1676","abstract":"Background Concerning gaps in the HIV care continuum compromise individual and population health. We evaluated a combination intervention strategy (CIS) targeting prevalent barriers to timely linkage and sustained retention in HIV care in Mozambique.   Methods and findings In this cluster-randomized trial, 10 primary health facilities in the city of Maputo and Inhambane Province were randomly assigned to provide the CIS or the standard of care (SOC). The CIS included point-of-care CD4 testing at the time of diagnosis, accelerated ART initiation, and short message service (SMS) health messages and appointment reminders. A pre–post intervention 2-sample design was nested within the CIS arm to assess the effectiveness of CIS+, an enhanced version of the CIS that additionally included conditional non-cash financial incentives for linkage and retention. The primary outcome was a combined outcome</w:instrText>
      </w:r>
      <w:r w:rsidR="000F2ED6" w:rsidRPr="002B5BF5">
        <w:rPr>
          <w:rFonts w:ascii="Times New Roman" w:hAnsi="Times New Roman" w:cs="Times New Roman" w:hint="eastAsia"/>
        </w:rPr>
        <w:instrText xml:space="preserve"> of linkage to care within 1 month and retention at 12 months after diagnosis. From April 22, 2013, to June 30, 2015, we enrolled 2,004 out of 5,327 adults </w:instrText>
      </w:r>
      <w:r w:rsidR="000F2ED6" w:rsidRPr="002B5BF5">
        <w:rPr>
          <w:rFonts w:ascii="Times New Roman" w:hAnsi="Times New Roman" w:cs="Times New Roman" w:hint="eastAsia"/>
        </w:rPr>
        <w:instrText>≥</w:instrText>
      </w:r>
      <w:r w:rsidR="000F2ED6" w:rsidRPr="002B5BF5">
        <w:rPr>
          <w:rFonts w:ascii="Times New Roman" w:hAnsi="Times New Roman" w:cs="Times New Roman" w:hint="eastAsia"/>
        </w:rPr>
        <w:instrText>18 years of age diagnosed with HIV in the voluntary counseling and testing clinics of participatin</w:instrText>
      </w:r>
      <w:r w:rsidR="000F2ED6" w:rsidRPr="002B5BF5">
        <w:rPr>
          <w:rFonts w:ascii="Times New Roman" w:hAnsi="Times New Roman" w:cs="Times New Roman"/>
        </w:rPr>
        <w:instrText>g health facilities: 744 (37%) in the CIS group, 493 (25%) in the CIS+ group, and 767 (38%) in the SOC group. Fifty-seven percent of the CIS group achieved the primary outcome versus 35% in the SOC group (relative risk [RR]CIS vs SOC = 1.58, 95% CI 1.05–2.39). Eighty-nine percent of the CIS group linked to care on the day of diagnosis versus 16% of the SOC group (RRCIS vs SOC = 9.13, 95% CI 1.65–50.40). There was no significant benefit of adding financial incentives to the CIS in terms of the combined outcome (55% of the CIS+ group achieved the primary outcome, RRCIS+ vs CIS = 0.96, 95% CI 0.81–1.16). Key limitations include the use of existing medical records to assess outcomes, the inability to isolate the effect of each component of the CIS, non-concurrent enrollment of the CIS+ group, and exclusion of many patients newly diagnosed with HIV.   Conclusions The CIS showed promise for making much needed gains in the HIV care continuum in our study, particularly in the critical first step of timely linkage to care following diagnosis.   Trial registration ClinicalTrials.gov NCT01930084","author":[{"dropping-particle":"","family":"Elul","given":"Batya","non-dropping-particle":"","parse-names":false,"suffix":""},{"dropping-particle":"","family":"Lamb","given":"Matthew R.","non-dropping-particle":"","parse-names":false,"suffix":""},{"dropping-particle":"","family":"Lahuerta","given":"Maria","non-dropping-particle":"","parse-names":false,"suffix":""},{"dropping-particle":"","family":"Abacassamo","given":"Fatima","non-dropping-particle":"","parse-names":false,"suffix":""},{"dropping-particle":"","family":"Ahoua","given":"Laurence","non-dropping-particle":"","parse-names":false,"suffix":""},{"dropping-particle":"","family":"Kujawski","given":"Stephanie A.","non-dropping-particle":"","parse-names":false,"suffix":""},{"dropping-particle":"","family":"Tomo","given":"Maria","non-dropping-particle":"","parse-names":false,"suffix":""},{"dropping-particle":"","family":"Jani","given":"Ilesh","non-dropping-particle":"","parse-names":false,"suffix":""}],"container-title":"PLOS Medicine","editor":[{"dropping-particle":"","family":"Lewin","given":"Sharon R.","non-dropping-particle":"","parse-names":false,"suffix":""}],"id":"ITEM-5","issue":"11","issued":{"date-parts":[["2017","11","14"]]},"page":"e1002433","publisher":"Public Library of Science","title":"A combination intervention strategy to improve linkage to and retention in HIV care following diagnosis in Mozambique: A cluster-randomized study","type":"article-journal","volume":"14"},"uris":["http://www.mendeley.com/documents/?uuid=1628df4a-c9c8-3a22-a75b-a2231de382cb"]},{"id":"ITEM-6","itemData":{"DOI":"10.1001/jamainternmed.2017.2158","ISSN":"2168-6106","abstract":"&lt;h3&gt;Importance&lt;/h3&gt;&lt;p&gt;Achieving linkage to care and viral suppression in human immunodeficiency virus (HIV)-positive patients improves their well-being and prevents new infections. Current gaps in the HIV care continuum substantially limit such benefits.&lt;/p&gt;&lt;h3&gt;Objective&lt;/h3&gt;&lt;p&gt;To evaluate the effectiveness of financial incentives on linkage to care and viral suppression in HIV-positive patients.&lt;/p&gt;&lt;h3&gt;Design, Setting, and Participants&lt;/h3&gt;&lt;p&gt;A large community-based clinical trial that randomized 37 HIV test and 39 HIV care sites in the Bronx, New York, and Washington, DC, to financial incentives or standard of care.&lt;/p&gt;&lt;h3&gt;Interventions&lt;/h3&gt;&lt;p&gt;Participants at financial incentive test sites who had positive test results for HIV received coupons redeemable for $125 cash-equivalent gift cards upon linkage to care. HIV-positive patients receiving antiretroviral therapy at financial incentive care sites received $70 gift cards quarterly, if virally suppressed.&lt;/p&gt;&lt;h3&gt;Main Outcomes and Measures&lt;/h3&gt;&lt;p&gt;Linkage to care: proportion of HIV-positive persons at the test site who linked to care within 3 months, as indicated by CD4&lt;sup&gt;+&lt;/sup&gt;and/or viral load test results done at a care site. Viral suppression: proportion of established patients at HIV care sites with suppressed viral load (&amp;lt;400 copies/mL), assessed at each calendar quarter. Outcomes assessed through laboratory test results reported to the National HIV Surveillance System.&lt;/p&gt;&lt;h3&gt;Results&lt;/h3&gt;&lt;p&gt;A total of 1061 coupons were dispensed for linkage to care at 18 financial incentive test sites and 39 359 gift cards were dispensed to 9641 HIV-positive patients eligible for gift cards at 17 financial incentive care sites. Financial incentives did not increase linkage to care (adjusted odds ratio, 1.10; 95% CI, 0.73-1.67;&lt;i&gt;P&lt;/i&gt; = .65). However, financial incentives significantly increased viral suppression. The overall proportion of patients with viral suppression was 3.8% higher (95% CI, 0.7%-6.8%;&lt;i&gt;P&lt;/i&gt; = .01) at financial incentive sites compared with standard of care sites. Among patients not previously consistently virally suppressed, the proportion virally suppressed was 4.9% higher (95% CI, 1.4%-8.5%;&lt;i&gt;P&lt;/i&gt; = .007) at financial incentive sites. In addition, continuity in care was 8.7% higher (95% CI, 4.2%-13.2%;&lt;i&gt;P&lt;/i&gt; &amp;lt; .001) at financial incentive sites.&lt;/p&gt;&lt;h3&gt;Conclusions and Relevance&lt;/h3&gt;&lt;p&gt;Financial incentives, as used in this study (HPTN 065), significantly increased viral suppr…","author":[{"dropping-particle":"","family":"El-Sadr","given":"Wafaa M.","non-dropping-particle":"","parse-names":false,"suffix":""},{"dropping-particle":"","family":"Donnell","given":"Deborah","non-dropping-particle":"","parse-names":false,"suffix":""},{"dropping-particle":"","family":"Beauchamp","given":"Geetha","non-dropping-particle":"","parse-names":false,"suffix":""},{"dropping-particle":"","family":"Hall","given":"H. Irene","non-dropping-particle":"","parse-names":false,"suffix":""},{"dropping-particle":"V.","family":"Torian","given":"Lucia","non-dropping-particle":"","parse-names":false,"suffix":""},{"dropping-particle":"","family":"Zingman","given":"Barry","non-dropping-particle":"","parse-names":false,"suffix":""},{"dropping-particle":"","family":"Lum","given":"Garret","non-dropping-particle":"","parse-names":false,"suffix":""},{"dropping-particle":"","family":"Kharfen","given":"Michael","non-dropping-particle":"","parse-names":false,"suffix":""},{"dropping-particle":"","family":"Elion","given":"Richard","non-dropping-particle":"","parse-names":false,"suffix":""},{"dropping-particle":"","family":"Leider","given":"Jason","non-dropping-particle":"","parse-names":false,"suffix":""},{"dropping-particle":"","family":"Gordin","given":"Fred M.","non-dropping-particle":"","parse-names":false,"suffix":""},{"dropping-particle":"","family":"Elharrar","given":"Vanessa","non-dropping-particle":"","parse-names":false,"suffix":""},{"dropping-particle":"","family":"Burns","given":"David","non-dropping-particle":"","parse-names":false,"suffix":""},{"dropping-particle":"","family":"Zerbe","given":"Allison","non-dropping-particle":"","parse-names":false,"suffix":""},{"dropping-particle":"","family":"Gamble","given":"Theresa","non-dropping-particle":"","parse-names":false,"suffix":""},{"dropping-particle":"","family":"Branson","given":"Bernard","non-dropping-particle":"","parse-names":false,"suffix":""}],"container-title":"JAMA Internal Medicine","id":"ITEM-6","issue":"8","issued":{"date-parts":[["2017","8","1"]]},"page":"1083","publisher":"American Medical Association","title":"Financial Incentives for Linkage to Care and Viral Suppression Among HIV-Positive Patients","type":"article-journal","volume":"177"},"uris":["http://www.mendeley.com/documents/?uuid=95e0cd39-978a-3abc-a840-396d11ecd9db"]},{"id":"ITEM-7","itemData":{"DOI":"10.1016/j.jval.2018.09.001","ISSN":"1524-4733 (Electronic)","PMID":"30711064","abstract":"OBJECTIVE: To evaluate the cost-effectiveness of financial incentives for human immunodeficiency virus (HIV) viral suppression compared to standard of care. STUDY DESIGN: Mathematical model of 2-year intervention offering financial incentives ($70 quarterly) for viral suppression (&lt;400 copies/ml(3)) based on the HPTN 065 clinical trial with HIV patients in the Bronx, NY and Washington, D.C. METHODS: A disease progression model with HIV transmission risk equations was developed following guidelines from the Second Panel on Cost-Effectiveness in Health and Medicine. We used health care sector and societal perspectives, 3% discount rate, and lifetime horizon. Data sources included trial data (baseline N = 16,208 patients), CDC HIV Surveillance data, and published literature. Outcomes were costs (2017 USD), quality-adjusted life years (QALYs), HIV infections prevented, and incremental cost-effectiveness ratio (ICER). RESULTS: Financial incentives for viral suppression were estimated to be cost-saving from a societal perspective and cost-effective ($49,877/QALY) from a health care sector perspective. Compared to the standard of care, financial incentives gain 0.06 QALYs and lower discounted lifetime costs by $4210 per patient. The model estimates that incentivized patients transmit 9% fewer infections than the standard-of-care patients. In the sensitivity analysis, ICER 95% credible intervals ranged from cost-saving to $501,610/QALY with 72% of simulations being cost-effective using a $150,000/QALY threshold. Modeling results are limited by uncertainty in efficacy from the clinical trial. CONCLUSIONS: Financial incentives, as used in HTPN 065, are estimated to improve quality and length of life, reduce HIV transmissions, and save money from a societal perspective. Financial incentives offer a promising option for enhancing the benefits of medication in the United States.","author":[{"dropping-particle":"","family":"Adamson","given":"Blythe","non-dropping-particle":"","parse-names":false,"suffix":""},{"dropping-particle":"","family":"El-Sadr","given":"Wafaa","non-dropping-particle":"","parse-names":false,"suffix":""},{"dropping-particle":"","family":"Dimitrov","given":"Dobromir","non-dropping-particle":"","parse-names":false,"suffix":""},{"dropping-particle":"","family":"Gamble","given":"Theresa","non-dropping-particle":"","parse-names":false,"suffix":""},{"dropping-particle":"","family":"Beauchamp","given":"Geetha","non-dropping-particle":"","parse-names":false,"suffix":""},{"dropping-particle":"","family":"Carlson","given":"Josh J","non-dropping-particle":"","parse-names":false,"suffix":""},{"dropping-particle":"","family":"Garrison","given":"Louis Jr","non-dropping-particle":"","parse-names":false,"suffix":""},{"dropping-particle":"","family":"Donnell","given":"Deborah","non-dropping-particle":"","parse-names":false,"suffix":""}],"container-title":"Value in health","id":"ITEM-7","issue":"2","issued":{"date-parts":[["2019","2"]]},"language":"eng","page":"194-202","publisher-place":"United States","title":"The Cost-Effectiveness of Financial Incentives for Viral Suppression: HPTN 065 Study.","type":"article-journal","volume":"22"},"uris":["http://www.mendeley.com/documents/?uuid=148191d4-2a33-451d-a36f-b4807c291708"]},{"id":"ITEM-8","itemData":{"DOI":"10.1089/apc.2017.0238","ISSN":"1557-7449 (Electronic)","PMID":"29432045","abstract":"Interventions to improve antiretroviral therapy (ART) access are urgently needed  to maximize the multiple benefits from ART. This pilot study examined the effect of a conditional economic incentive on linkage to care and uptake of treatment following ART referral by a mobile health clinic. Between April 2015 and May 2016, 86 individuals (&gt;/=18 years old) referred for ART in a resource-limited setting were randomized (1:1) to a control group or to an incentive: R300 cash ( approximately $23, or 3.5 days minimum wage in the domestic worker sector), conditional upon starting ART within 3 months. Outcome data were obtained from clinic records. The incentive effects on linkage to care (first clinic visit within 3 months) and ART initiation (treatment uptake within 3 months) were assessed using logistic regression. Overall, 67% linked to care and 42% initiated ART within 3 months after referral. No significant differences were found between the incentive and non-incentive group in terms of linkage to care [adjusted odds ratio (aOR): 0.70, 95% confidence interval (CI): 0.26-1.91] and initiation of ART (aOR: 0.67, 95% CI: 0.26-1.78). Ordinary least-squares regression analysis showed that incentivized individuals linked to care in fewer days (-7.9, 95% CI: -18.09 to 2.26) and started treatment in fewer days (-7.3, 95% CI: -27.01 to 12.38), but neither result was statistically significant. Our findings demonstrate poor treatment uptake by both the intervention and control participants and further highlight the challenge in achieving universal early treatment access. Further research is required to understand how economic incentives, which have been shown to have many benefits, can be applied to improve linkage to HIV care and treatment.","author":[{"dropping-particle":"","family":"Maughan-Brown","given":"Brendan","non-dropping-particle":"","parse-names":false,"suffix":""},{"dropping-particle":"","family":"Smith","given":"Philip","non-dropping-particle":"","parse-names":false,"suffix":""},{"dropping-particle":"","family":"Kuo","given":"Caroline","non-dropping-particle":"","parse-names":false,"suffix":""},{"dropping-particle":"","family":"Harrison","given":"Abigail","non-dropping-particle":"","parse-names":false,"suffix":""},{"dropping-particle":"","family":"Lurie","given":"Mark N","non-dropping-particle":"","parse-names":false,"suffix":""},{"dropping-particle":"","family":"Bekker","given":"Linda-Gail","non-dropping-particle":"","parse-names":false,"suffix":""},{"dropping-particle":"","family":"Galarraga","given":"Omar","non-dropping-particle":"","parse-names":false,"suffix":""}],"container-title":"AIDS patient care and STDs","id":"ITEM-8","issue":"2","issued":{"date-parts":[["2018","2"]]},"language":"eng","page":"70-78","publisher-place":"United States","title":"A Conditional Economic Incentive Fails to Improve Linkage to Care and Antiretroviral Therapy Initiation Among HIV-Positive Adults in Cape Town, South Africa.","type":"article-journal","volume":"32"},"uris":["http://www.mendeley.com/documents/?uuid=a1435a43-d859-4fa7-8368-ae70f67c8bef"]},{"id":"ITEM-9","itemData":{"DOI":"10.1007/s10461-017-1960-x","ISSN":"1573-3254 (Electronic)","PMID":"29110216","abstract":"Randomized controlled pilot evaluated effect of conditional economic incentives (CEIs) on number of sex partners, condom use, and incident sexually transmitted infections (STIs) among male sex workers in Mexico City. Incentives were contingent on testing free of new curable STIs and/or clinic attendance. We assessed outcomes for n = 227 participants at 6 and 12 months (during active phase with incentives), and then at 18 months (with incentives removed). We used intention-to-treat and inverse probability weighting for the analysis. During active phase, CEIs increased clinic visits (10-13 percentage points) and increased condom use (10-15 percentage points) for CEI groups relative to controls. The effect on condom use was not sustained once CEIs were removed. CEIs did not have an effect on number of partners or incident STIs. Conditional incentives for male sex workers can increase linkage to care and retention and reduce some HIV/STI risks such as condomless sex, while incentives are in place.","author":[{"dropping-particle":"","family":"Galarraga","given":"Omar","non-dropping-particle":"","parse-names":false,"suffix":""},{"dropping-particle":"","family":"Sosa-Rubi","given":"Sandra G","non-dropping-particle":"","parse-names":false,"suffix":""},{"dropping-particle":"","family":"Kuo","given":"Caroline","non-dropping-particle":"","parse-names":false,"suffix":""},{"dropping-particle":"","family":"Gozalo","given":"Pedro","non-dropping-particle":"","parse-names":false,"suffix":""},{"dropping-particle":"","family":"Gonzalez","given":"Andrea","non-dropping-particle":"","parse-names":false,"suffix":""},{"dropping-particle":"","family":"Saavedra","given":"Biani","non-dropping-particle":"","parse-names":false,"suffix":""},{"dropping-particle":"","family":"Gras-Allain","given":"Nathalie","non-dropping-particle":"","parse-names":false,"suffix":""},{"dropping-particle":"","family":"Conde-Glez","given":"Carlos J","non-dropping-particle":"","parse-names":false,"suffix":""},{"dropping-particle":"","family":"Olamendi-Portugal","given":"Maria","non-dropping-particle":"","parse-names":false,"suffix":""},{"dropping-particle":"","family":"Mayer","given":"Kenneth H","non-dropping-particle":"","parse-names":false,"suffix":""},{"dropping-particle":"","family":"Operario","given":"Don","non-dropping-particle":"","parse-names":false,"suffix":""}],"container-title":"AIDS and behavior","id":"ITEM-9","issue":"12","issued":{"date-parts":[["2017","12"]]},"language":"eng","page":"3440-3456","publisher-place":"United States","title":"Punto Seguro: A Randomized Controlled Pilot Using Conditional Economic Incentives to Reduce Sexually Transmitted Infection Risks in Mexico.","type":"article-journal","volume":"21"},"uris":["http://www.mendeley.com/documents/?uuid=766d1ba9-0011-4556-b2e2-b4ade734a228"]}],"mendeley":{"formattedCitation":"&lt;sup&gt;18–26&lt;/sup&gt;","plainTextFormattedCitation":"18–26","previouslyFormattedCitation":"&lt;sup&gt;18–26&lt;/sup&gt;"},"properties":{"noteIndex":0},"schema":"https://github.com/citation-style-language/schema/raw/master/csl-citation.json"}</w:instrText>
      </w:r>
      <w:r w:rsidR="00AA1D59"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18–26</w:t>
      </w:r>
      <w:r w:rsidR="00AA1D59" w:rsidRPr="002B5BF5">
        <w:rPr>
          <w:rFonts w:ascii="Times New Roman" w:hAnsi="Times New Roman" w:cs="Times New Roman"/>
        </w:rPr>
        <w:fldChar w:fldCharType="end"/>
      </w:r>
      <w:r w:rsidR="00BC526C" w:rsidRPr="002B5BF5">
        <w:rPr>
          <w:rFonts w:ascii="Times New Roman" w:hAnsi="Times New Roman" w:cs="Times New Roman"/>
        </w:rPr>
        <w:t xml:space="preserve"> </w:t>
      </w:r>
      <w:r w:rsidR="00EA304B" w:rsidRPr="002B5BF5">
        <w:rPr>
          <w:rFonts w:ascii="Times New Roman" w:hAnsi="Times New Roman" w:cs="Times New Roman"/>
        </w:rPr>
        <w:t xml:space="preserve">While financial incentives may </w:t>
      </w:r>
      <w:r w:rsidR="00BD07AD" w:rsidRPr="002B5BF5">
        <w:rPr>
          <w:rFonts w:ascii="Times New Roman" w:hAnsi="Times New Roman" w:cs="Times New Roman"/>
        </w:rPr>
        <w:t xml:space="preserve">serve as </w:t>
      </w:r>
      <w:r w:rsidR="00EA304B" w:rsidRPr="002B5BF5">
        <w:rPr>
          <w:rFonts w:ascii="Times New Roman" w:hAnsi="Times New Roman" w:cs="Times New Roman"/>
        </w:rPr>
        <w:t xml:space="preserve">once-off </w:t>
      </w:r>
      <w:r w:rsidR="00E410E4" w:rsidRPr="002B5BF5">
        <w:rPr>
          <w:rFonts w:ascii="Times New Roman" w:hAnsi="Times New Roman" w:cs="Times New Roman"/>
        </w:rPr>
        <w:t xml:space="preserve">extrinsic </w:t>
      </w:r>
      <w:r w:rsidR="00EA304B" w:rsidRPr="002B5BF5">
        <w:rPr>
          <w:rFonts w:ascii="Times New Roman" w:hAnsi="Times New Roman" w:cs="Times New Roman"/>
        </w:rPr>
        <w:t xml:space="preserve">motivation, </w:t>
      </w:r>
      <w:r w:rsidR="00BD07AD" w:rsidRPr="002B5BF5">
        <w:rPr>
          <w:rFonts w:ascii="Times New Roman" w:hAnsi="Times New Roman" w:cs="Times New Roman"/>
        </w:rPr>
        <w:t>providing information specific to individuals’ needs can</w:t>
      </w:r>
      <w:r w:rsidR="00BC526C" w:rsidRPr="002B5BF5">
        <w:rPr>
          <w:rFonts w:ascii="Times New Roman" w:hAnsi="Times New Roman" w:cs="Times New Roman"/>
        </w:rPr>
        <w:t xml:space="preserve"> </w:t>
      </w:r>
      <w:r w:rsidR="00222731" w:rsidRPr="002B5BF5">
        <w:rPr>
          <w:rFonts w:ascii="Times New Roman" w:hAnsi="Times New Roman" w:cs="Times New Roman"/>
        </w:rPr>
        <w:t xml:space="preserve">improve intrinsic motivation and </w:t>
      </w:r>
      <w:r w:rsidR="00807E9E" w:rsidRPr="002B5BF5">
        <w:rPr>
          <w:rFonts w:ascii="Times New Roman" w:hAnsi="Times New Roman" w:cs="Times New Roman"/>
        </w:rPr>
        <w:t xml:space="preserve">empower </w:t>
      </w:r>
      <w:r w:rsidR="009E28E5" w:rsidRPr="002B5BF5">
        <w:rPr>
          <w:rFonts w:ascii="Times New Roman" w:hAnsi="Times New Roman" w:cs="Times New Roman"/>
        </w:rPr>
        <w:t>individuals</w:t>
      </w:r>
      <w:r w:rsidR="00807E9E" w:rsidRPr="002B5BF5">
        <w:rPr>
          <w:rFonts w:ascii="Times New Roman" w:hAnsi="Times New Roman" w:cs="Times New Roman"/>
        </w:rPr>
        <w:t xml:space="preserve"> </w:t>
      </w:r>
      <w:r w:rsidR="00702816" w:rsidRPr="002B5BF5">
        <w:rPr>
          <w:rFonts w:ascii="Times New Roman" w:hAnsi="Times New Roman" w:cs="Times New Roman"/>
        </w:rPr>
        <w:t xml:space="preserve">to make an informed decision </w:t>
      </w:r>
      <w:r w:rsidR="00807E9E" w:rsidRPr="002B5BF5">
        <w:rPr>
          <w:rFonts w:ascii="Times New Roman" w:hAnsi="Times New Roman" w:cs="Times New Roman"/>
        </w:rPr>
        <w:t>to</w:t>
      </w:r>
      <w:r w:rsidR="00652595" w:rsidRPr="002B5BF5">
        <w:rPr>
          <w:rFonts w:ascii="Times New Roman" w:hAnsi="Times New Roman" w:cs="Times New Roman"/>
        </w:rPr>
        <w:t xml:space="preserve"> </w:t>
      </w:r>
      <w:r w:rsidR="00807E9E" w:rsidRPr="002B5BF5">
        <w:rPr>
          <w:rFonts w:ascii="Times New Roman" w:hAnsi="Times New Roman" w:cs="Times New Roman"/>
        </w:rPr>
        <w:t xml:space="preserve">take </w:t>
      </w:r>
      <w:r w:rsidR="004C051E" w:rsidRPr="002B5BF5">
        <w:rPr>
          <w:rFonts w:ascii="Times New Roman" w:hAnsi="Times New Roman" w:cs="Times New Roman"/>
        </w:rPr>
        <w:t>HCT</w:t>
      </w:r>
      <w:r w:rsidR="00222731" w:rsidRPr="002B5BF5">
        <w:rPr>
          <w:rFonts w:ascii="Times New Roman" w:hAnsi="Times New Roman" w:cs="Times New Roman"/>
        </w:rPr>
        <w:t>.</w:t>
      </w:r>
      <w:r w:rsidR="00BC526C"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{"citationItems":[{"id":"ITEM-1","itemData":{"DOI":"10.1080/09540121.2016.1164806","ISSN":"1360-0451","PMID":"27421053","abstract":"Men's uptake of HIV testing is critical to the success of \"test and treat\" strategies in generalized epidemics. This study sought to identify cultural factors and community processes that influence men's HIV testing uptake in the baseline year of an ongoing test-and-treat trial among 334,479 persons in eastern Africa (SEARCH, NCT#01864603). Data were collected using participant observation at mobile community health campaigns (CHCs) (n = 28); focus group discussions (n = 8 groups) with CHC participants; and in-depth interviews with care providers (n = 50), leaders (n = 32), and members (n = 112) of eight communities in Kenya and Uganda. An 8-person research team defined analytical codes and iteratively refined them during data collection using grounded theoretical approaches, and textual data were coded using Atlas.ti software. Structural and cultural barriers, including men's mobility and gender norms valorizing risk-taking and discouraging health-seeking behavior, were observed, and contributed to men's lower participation in HIV testing relative to women. Men's labor opportunities often require extended absences from households: during planting season, men guarded fields from monkeys from dawn until nightfall; lake fishermen traveled long distances and circulated between beaches. Men often tested \"by proxy\", believing their wives' HIV test results to be their status. Debates about HIV risks were vigorous, with many men questioning \"traditional\" masculine gender norms that enhanced risks. The promise of antiretroviral therapy (ART) to prolong health was a motivating factor for many men to participate in testing. Flexibility in operating hours of HIV testing including late evening and weekend times along with multiple convenient locations that moved were cited as facilitating factors enhancing male participating in HIV testing. Mobile testing reduced but did not eliminate barriers to men's participation in a large-scale \"test &amp; treat\" effort. However, transformations in gender norms related to HIV testing and care-seeking are underway in eastern Africa and should be supported.","author":[{"dropping-particle":"","family":"Camlin","given":"Carol S","non-dropping-particle":"","parse-names":false,"suffix":""},{"dropping-particle":"","family":"Ssemmondo","given":"Emmanuel","non-dropping-particle":"","parse-names":false,"suffix":""},{"dropping-particle":"","family":"Chamie","given":"Gabriel","non-dropping-particle":"","parse-names":false,"suffix":""},{"dropping-particle":"","family":"Ayadi","given":"Alison M","non-dropping-particle":"El","parse-names":false,"suffix":""},{"dropping-particle":"","family":"Kwarisiima","given":"Dalsone","non-dropping-particle":"","parse-names":false,"suffix":""},{"dropping-particle":"","family":"Sang","given":"Norton","non-dropping-particle":"","parse-names":false,"suffix":""},{"dropping-particle":"","family":"Kabami","given":"Jane","non-dropping-particle":"","parse-names":false,"suffix":""},{"dropping-particle":"","family":"Charlebois","given":"Edwin","non-dropping-particle":"","parse-names":false,"suffix":""},{"dropping-particle":"","family":"Petersen","given":"Maya","non-dropping-particle":"","parse-names":false,"suffix":""},{"dropping-particle":"","family":"Clark","given":"Tamara D","non-dropping-particle":"","parse-names":false,"suffix":""},{"dropping-particle":"","family":"Bukusi","given":"Elizabeth A","non-dropping-particle":"","parse-names":false,"suffix":""},{"dropping-particle":"","family":"Cohen","given":"Craig R","non-dropping-particle":"","parse-names":false,"suffix":""},{"dropping-particle":"","family":"R Kamya","given":"Moses","non-dropping-particle":"","parse-names":false,"suffix":""},{"dropping-particle":"","family":"Havlir","given":"Diane","non-dropping-particle":"","parse-names":false,"suffix":""},{"dropping-particle":"","family":"SEARCH Collaboration","given":"the SEARCH","non-dropping-particle":"","parse-names":false,"suffix":""}],"container-title":"AIDS care","id":"ITEM-1","issue":"Suppl 3","issued":{"date-parts":[["2016"]]},"page":"67-73","publisher":"NIH Public Access","title":"Men &amp;quot;missing&amp;quot; from population-based HIV testing: insights from qualitative research.","type":"article-journal","volume":"28 Suppl 3"},"uris":["http://www.mendeley.com/documents/?uuid=315af555-2058-3e62-90bd-60b97d37eacd"]},{"id":"ITEM-2","itemData":{"DOI":"10.1097/QAD.0000000000002041","ISSN":"0269-9370","author":[{"dropping-particle":"","family":"Rhead","given":"Rebecca","non-dropping-particle":"","parse-names":false,"suffix":""},{"dropping-particle":"","family":"Skovdal","given":"Morten","non-dropping-particle":"","parse-names":false,"suffix":""},{"dropping-particle":"","family":"Takaruza","given":"Albert","non-dropping-particle":"","parse-names":false,"suffix":""},{"dropping-particle":"","family":"Maswera","given":"Rufurwokuda","non-dropping-particle":"","parse-names":false,"suffix":""},{"dropping-particle":"","family":"Nyamukapa","given":"Constance","non-dropping-particle":"","parse-names":false,"suffix":""},{"dropping-particle":"","family":"Gregson","given":"Simon","non-dropping-particle":"","parse-names":false,"suffix":""}],"container-title":"AIDS","id":"ITEM-2","issue":"3","issued":{"date-parts":[["2019","3"]]},"page":"537-546","title":"The multidimensionality of masculine norms in east Zimbabwe","type":"article-journal","volume":"33"},"uris":["http://www.mendeley.com/documents/?uuid=e784abcc-0477-3bd3-a601-f63cb0b95b4e"]}],"mendeley":{"formattedCitation":"&lt;sup&gt;27,28&lt;/sup&gt;","plainTextFormattedCitation":"27,28","previouslyFormattedCitation":"&lt;sup&gt;27,28&lt;/sup&gt;"},"properties":{"noteIndex":0},"schema":"https://github.com/citation-style-language/schema/raw/master/csl-citation.json"}</w:instrText>
      </w:r>
      <w:r w:rsidR="00BC526C"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27,28</w:t>
      </w:r>
      <w:r w:rsidR="00BC526C" w:rsidRPr="002B5BF5">
        <w:rPr>
          <w:rFonts w:ascii="Times New Roman" w:hAnsi="Times New Roman" w:cs="Times New Roman"/>
        </w:rPr>
        <w:fldChar w:fldCharType="end"/>
      </w:r>
      <w:r w:rsidR="00BC526C" w:rsidRPr="002B5BF5">
        <w:rPr>
          <w:rFonts w:ascii="Times New Roman" w:hAnsi="Times New Roman" w:cs="Times New Roman"/>
        </w:rPr>
        <w:t xml:space="preserve"> </w:t>
      </w:r>
    </w:p>
    <w:p w14:paraId="47CE1E1E" w14:textId="5FAEA053" w:rsidR="00EF06AA" w:rsidRPr="002B5BF5" w:rsidRDefault="00702816" w:rsidP="00EF06AA">
      <w:pPr>
        <w:spacing w:line="360" w:lineRule="auto"/>
        <w:jc w:val="both"/>
        <w:rPr>
          <w:rFonts w:ascii="Times New Roman" w:hAnsi="Times New Roman" w:cs="Times New Roman"/>
        </w:rPr>
      </w:pPr>
      <w:r w:rsidRPr="002B5BF5">
        <w:rPr>
          <w:rFonts w:ascii="Times New Roman" w:hAnsi="Times New Roman" w:cs="Times New Roman"/>
        </w:rPr>
        <w:t>To our knowledge, no study has explicitly quantified the effect of extrinsic vs. intrinsic motivator</w:t>
      </w:r>
      <w:r w:rsidR="00A36BAB" w:rsidRPr="002B5BF5">
        <w:rPr>
          <w:rFonts w:ascii="Times New Roman" w:hAnsi="Times New Roman" w:cs="Times New Roman"/>
        </w:rPr>
        <w:t>s</w:t>
      </w:r>
      <w:r w:rsidRPr="002B5BF5">
        <w:rPr>
          <w:rFonts w:ascii="Times New Roman" w:hAnsi="Times New Roman" w:cs="Times New Roman"/>
        </w:rPr>
        <w:t xml:space="preserve"> </w:t>
      </w:r>
      <w:r w:rsidR="00E34166" w:rsidRPr="002B5BF5">
        <w:rPr>
          <w:rFonts w:ascii="Times New Roman" w:hAnsi="Times New Roman" w:cs="Times New Roman"/>
        </w:rPr>
        <w:t xml:space="preserve">on the uptake of HIV testing. </w:t>
      </w:r>
      <w:r w:rsidR="00877D90" w:rsidRPr="002B5BF5">
        <w:rPr>
          <w:rFonts w:ascii="Times New Roman" w:hAnsi="Times New Roman" w:cs="Times New Roman"/>
        </w:rPr>
        <w:t xml:space="preserve">We conducted </w:t>
      </w:r>
      <w:r w:rsidR="00E410E4" w:rsidRPr="002B5BF5">
        <w:rPr>
          <w:rFonts w:ascii="Times New Roman" w:hAnsi="Times New Roman" w:cs="Times New Roman"/>
        </w:rPr>
        <w:t xml:space="preserve">a </w:t>
      </w:r>
      <w:r w:rsidR="00CF1EC6" w:rsidRPr="002B5BF5">
        <w:rPr>
          <w:rFonts w:ascii="Times New Roman" w:hAnsi="Times New Roman" w:cs="Times New Roman"/>
        </w:rPr>
        <w:t xml:space="preserve">factorial </w:t>
      </w:r>
      <w:r w:rsidR="00E410E4" w:rsidRPr="002B5BF5">
        <w:rPr>
          <w:rFonts w:ascii="Times New Roman" w:hAnsi="Times New Roman" w:cs="Times New Roman"/>
        </w:rPr>
        <w:t>cluster</w:t>
      </w:r>
      <w:r w:rsidR="004F5C5E" w:rsidRPr="002B5BF5">
        <w:rPr>
          <w:rFonts w:ascii="Times New Roman" w:hAnsi="Times New Roman" w:cs="Times New Roman"/>
        </w:rPr>
        <w:t xml:space="preserve"> randomized clinical trial</w:t>
      </w:r>
      <w:r w:rsidR="00DC0430" w:rsidRPr="002B5BF5">
        <w:rPr>
          <w:rFonts w:ascii="Times New Roman" w:hAnsi="Times New Roman" w:cs="Times New Roman"/>
        </w:rPr>
        <w:t xml:space="preserve"> - </w:t>
      </w:r>
      <w:r w:rsidR="00CF1EC6" w:rsidRPr="002B5BF5">
        <w:rPr>
          <w:rFonts w:ascii="Times New Roman" w:hAnsi="Times New Roman" w:cs="Times New Roman"/>
        </w:rPr>
        <w:t>H</w:t>
      </w:r>
      <w:r w:rsidR="00E410E4" w:rsidRPr="002B5BF5">
        <w:rPr>
          <w:rFonts w:ascii="Times New Roman" w:hAnsi="Times New Roman" w:cs="Times New Roman"/>
        </w:rPr>
        <w:t>ome-based</w:t>
      </w:r>
      <w:r w:rsidR="00CF1EC6" w:rsidRPr="002B5BF5">
        <w:rPr>
          <w:rFonts w:ascii="Times New Roman" w:hAnsi="Times New Roman" w:cs="Times New Roman"/>
        </w:rPr>
        <w:t xml:space="preserve"> Intervention to T</w:t>
      </w:r>
      <w:r w:rsidR="00E410E4" w:rsidRPr="002B5BF5">
        <w:rPr>
          <w:rFonts w:ascii="Times New Roman" w:hAnsi="Times New Roman" w:cs="Times New Roman"/>
        </w:rPr>
        <w:t xml:space="preserve">est and </w:t>
      </w:r>
      <w:r w:rsidR="00CF1EC6" w:rsidRPr="002B5BF5">
        <w:rPr>
          <w:rFonts w:ascii="Times New Roman" w:hAnsi="Times New Roman" w:cs="Times New Roman"/>
        </w:rPr>
        <w:t xml:space="preserve">Start </w:t>
      </w:r>
      <w:r w:rsidR="00E410E4" w:rsidRPr="002B5BF5">
        <w:rPr>
          <w:rFonts w:ascii="Times New Roman" w:hAnsi="Times New Roman" w:cs="Times New Roman"/>
        </w:rPr>
        <w:t>(HITS)</w:t>
      </w:r>
      <w:r w:rsidR="00DC0430" w:rsidRPr="002B5BF5">
        <w:rPr>
          <w:rFonts w:ascii="Times New Roman" w:hAnsi="Times New Roman" w:cs="Times New Roman"/>
        </w:rPr>
        <w:t>-</w:t>
      </w:r>
      <w:r w:rsidR="00E410E4" w:rsidRPr="002B5BF5">
        <w:rPr>
          <w:rFonts w:ascii="Times New Roman" w:hAnsi="Times New Roman" w:cs="Times New Roman"/>
        </w:rPr>
        <w:t xml:space="preserve"> </w:t>
      </w:r>
      <w:r w:rsidR="00CB2E7F" w:rsidRPr="002B5BF5">
        <w:rPr>
          <w:rFonts w:ascii="Times New Roman" w:hAnsi="Times New Roman" w:cs="Times New Roman"/>
        </w:rPr>
        <w:t xml:space="preserve">in </w:t>
      </w:r>
      <w:r w:rsidR="00E410E4" w:rsidRPr="002B5BF5">
        <w:rPr>
          <w:rFonts w:ascii="Times New Roman" w:hAnsi="Times New Roman" w:cs="Times New Roman"/>
        </w:rPr>
        <w:t>rural KwaZulu-Natal.</w:t>
      </w:r>
      <w:r w:rsidR="00CB2E7F" w:rsidRPr="002B5BF5">
        <w:rPr>
          <w:rFonts w:ascii="Times New Roman" w:hAnsi="Times New Roman" w:cs="Times New Roman"/>
        </w:rPr>
        <w:t xml:space="preserve"> This trial was built upon the Africa Health Research Institute (AHRI)’s ongoing population-based </w:t>
      </w:r>
      <w:r w:rsidR="00F356A9" w:rsidRPr="002B5BF5">
        <w:rPr>
          <w:rFonts w:ascii="Times New Roman" w:hAnsi="Times New Roman" w:cs="Times New Roman"/>
        </w:rPr>
        <w:t>HIV testing</w:t>
      </w:r>
      <w:r w:rsidR="00CB2E7F" w:rsidRPr="002B5BF5">
        <w:rPr>
          <w:rFonts w:ascii="Times New Roman" w:hAnsi="Times New Roman" w:cs="Times New Roman"/>
        </w:rPr>
        <w:t xml:space="preserve"> platform. </w:t>
      </w:r>
      <w:bookmarkStart w:id="4" w:name="_Hlk54216793"/>
      <w:bookmarkStart w:id="5" w:name="_Hlk54216710"/>
      <w:r w:rsidR="006C762C" w:rsidRPr="002B5BF5">
        <w:rPr>
          <w:rFonts w:ascii="Times New Roman" w:hAnsi="Times New Roman" w:cs="Times New Roman"/>
        </w:rPr>
        <w:t xml:space="preserve">Since 2017, AHRI started offering home-based rapid HIV testing to all eligible individuals during annual HIV surveys. </w:t>
      </w:r>
      <w:bookmarkEnd w:id="4"/>
      <w:r w:rsidR="006C762C" w:rsidRPr="002B5BF5">
        <w:rPr>
          <w:rFonts w:ascii="Times New Roman" w:hAnsi="Times New Roman" w:cs="Times New Roman"/>
        </w:rPr>
        <w:t xml:space="preserve">The uptake of home-based rapid HIV testing </w:t>
      </w:r>
      <w:r w:rsidR="002F11FC" w:rsidRPr="002B5BF5">
        <w:rPr>
          <w:rFonts w:ascii="Times New Roman" w:hAnsi="Times New Roman" w:cs="Times New Roman"/>
        </w:rPr>
        <w:t xml:space="preserve">in 2017 </w:t>
      </w:r>
      <w:r w:rsidR="006C762C" w:rsidRPr="002B5BF5">
        <w:rPr>
          <w:rFonts w:ascii="Times New Roman" w:hAnsi="Times New Roman" w:cs="Times New Roman"/>
        </w:rPr>
        <w:t>was 26.4% in the overall population and 20.0% among men.</w:t>
      </w:r>
      <w:r w:rsidR="006C762C" w:rsidRPr="002B5BF5">
        <w:rPr>
          <w:rFonts w:ascii="Times New Roman" w:hAnsi="Times New Roman" w:cs="Times New Roman"/>
        </w:rPr>
        <w:fldChar w:fldCharType="begin" w:fldLock="1"/>
      </w:r>
      <w:r w:rsidR="002D00B1" w:rsidRPr="002B5BF5">
        <w:rPr>
          <w:rFonts w:ascii="Times New Roman" w:hAnsi="Times New Roman" w:cs="Times New Roman"/>
        </w:rPr>
        <w:instrText>ADDIN CSL_CITATION {"citationItems":[{"id":"ITEM-1","itemData":{"DOI":"10.1111/hiv.12787","ISSN":"14681293","abstract":"Objectives: The aim of the study was to estimate rates of linkage to HIV care and antiretroviral treatment (ART) initiation after the i</w:instrText>
      </w:r>
      <w:r w:rsidR="002D00B1" w:rsidRPr="002B5BF5">
        <w:rPr>
          <w:rFonts w:ascii="Times New Roman" w:hAnsi="Times New Roman" w:cs="Times New Roman" w:hint="eastAsia"/>
        </w:rPr>
        <w:instrText xml:space="preserve">ntroduction of home-based HIV counselling and testing (HBHCT) and telephone-facilitated support for linkage in rural South Africa. Methods: A population-based prospective cohort study was carried out in KwaZulu Natal, South Africa. All residents aged </w:instrText>
      </w:r>
      <w:r w:rsidR="002D00B1" w:rsidRPr="002B5BF5">
        <w:rPr>
          <w:rFonts w:ascii="Times New Roman" w:hAnsi="Times New Roman" w:cs="Times New Roman" w:hint="eastAsia"/>
        </w:rPr>
        <w:instrText>≥</w:instrText>
      </w:r>
      <w:r w:rsidR="002D00B1" w:rsidRPr="002B5BF5">
        <w:rPr>
          <w:rFonts w:ascii="Times New Roman" w:hAnsi="Times New Roman" w:cs="Times New Roman" w:hint="eastAsia"/>
        </w:rPr>
        <w:instrText xml:space="preserve"> 15</w:instrText>
      </w:r>
      <w:r w:rsidR="002D00B1" w:rsidRPr="002B5BF5">
        <w:rPr>
          <w:rFonts w:ascii="Times New Roman" w:hAnsi="Times New Roman" w:cs="Times New Roman"/>
        </w:rPr>
        <w:instrText> years were eligible for HBHCT. Those who tested positive and were not in care were referred for ART at one of 11 public-sector clinics. Individuals who did not attend the clinic within 2 weeks were sent a short message service (SMS) reminder; those who had not attended after a further 2 weeks were telephoned by a nurse counsellor, to discuss concerns and encourage linkage. Kaplan–Meier methods were used to estimate the proportion of newly diagnosed individuals linking to care and initiating ART. Results:</w:instrText>
      </w:r>
      <w:r w:rsidR="002D00B1" w:rsidRPr="002B5BF5">
        <w:rPr>
          <w:rFonts w:ascii="Times New Roman" w:hAnsi="Times New Roman" w:cs="Times New Roman" w:hint="eastAsia"/>
        </w:rPr>
        <w:instrText xml:space="preserve"> Among 38 827 individuals visited, 26% accepted HBHCT. Uptake was higher in women than in men (30% versus 20%, respectively), but similar in people aged &lt; 30 years and </w:instrText>
      </w:r>
      <w:r w:rsidR="002D00B1" w:rsidRPr="002B5BF5">
        <w:rPr>
          <w:rFonts w:ascii="Times New Roman" w:hAnsi="Times New Roman" w:cs="Times New Roman" w:hint="eastAsia"/>
        </w:rPr>
        <w:instrText>≥</w:instrText>
      </w:r>
      <w:r w:rsidR="002D00B1" w:rsidRPr="002B5BF5">
        <w:rPr>
          <w:rFonts w:ascii="Times New Roman" w:hAnsi="Times New Roman" w:cs="Times New Roman" w:hint="eastAsia"/>
        </w:rPr>
        <w:instrText xml:space="preserve"> 30 years (28% versus 26%, respectively). A total of 784 (8%) tested HIV positive, of whom 427 (54%) were newly diagnosed. Within 6 months, 31% of women and 18% of men &lt; 30 years old had linked to care, and 29% and 16%, respectively, had started ART. Among those </w:instrText>
      </w:r>
      <w:r w:rsidR="002D00B1" w:rsidRPr="002B5BF5">
        <w:rPr>
          <w:rFonts w:ascii="Times New Roman" w:hAnsi="Times New Roman" w:cs="Times New Roman" w:hint="eastAsia"/>
        </w:rPr>
        <w:instrText>≥</w:instrText>
      </w:r>
      <w:r w:rsidR="002D00B1" w:rsidRPr="002B5BF5">
        <w:rPr>
          <w:rFonts w:ascii="Times New Roman" w:hAnsi="Times New Roman" w:cs="Times New Roman" w:hint="eastAsia"/>
        </w:rPr>
        <w:instrText xml:space="preserve"> 30 years, 41% of women and 38% of men had linked to care within 6 months, an</w:instrText>
      </w:r>
      <w:r w:rsidR="002D00B1" w:rsidRPr="002B5BF5">
        <w:rPr>
          <w:rFonts w:ascii="Times New Roman" w:hAnsi="Times New Roman" w:cs="Times New Roman"/>
        </w:rPr>
        <w:instrText>d 41% and 35%, respectively, had started ART. Conclusions: Despite facilitated linkage, rates of timely linkage to care and ART initiation after HBHCT were very low, particularly among young men. Innovations are needed to provide effective HIV care and prevention interventions to young people, and thus maximize the benefits of universal test and treat.","author":[{"dropping-particle":"","family":"Baisley","given":"K. J.","non-dropping-particle":"","parse-names":false,"suffix":""},{"dropping-particle":"","family":"Seeley","given":"J.","non-dropping-particle":"","parse-names":false,"suffix":""},{"dropping-particle":"","family":"Siedner","given":"M. J.","non-dropping-particle":"","parse-names":false,"suffix":""},{"dropping-particle":"","family":"Koole","given":"K.","non-dropping-particle":"","parse-names":false,"suffix":""},{"dropping-particle":"","family":"Matthews","given":"P.","non-dropping-particle":"","parse-names":false,"suffix":""},{"dropping-particle":"","family":"Tanser","given":"F.","non-dropping-particle":"","parse-names":false,"suffix":""},{"dropping-particle":"","family":"Bärnighausen","given":"T.","non-dropping-particle":"","parse-names":false,"suffix":""},{"dropping-particle":"","family":"Smit","given":"T.","non-dropping-particle":"","parse-names":false,"suffix":""},{"dropping-particle":"","family":"Gareta","given":"D.","non-dropping-particle":"","parse-names":false,"suffix":""},{"dropping-particle":"","family":"Dlamini","given":"S.","non-dropping-particle":"","parse-names":false,"suffix":""},{"dropping-particle":"","family":"Herbst","given":"K.","non-dropping-particle":"","parse-names":false,"suffix":""},{"dropping-particle":"","family":"Yapa","given":"H. M.","non-dropping-particle":"","parse-names":false,"suffix":""},{"dropping-particle":"","family":"Iwuji","given":"C. C.","non-dropping-particle":"","parse-names":false,"suffix":""},{"dropping-particle":"","family":"Kim","given":"H. Y.","non-dropping-particle":"","parse-names":false,"suffix":""},{"dropping-particle":"","family":"Pillay","given":"D.","non-dropping-particle":"","parse-names":false,"suffix":""},{"dropping-particle":"","family":"Shahmanesh","given":"M.","non-dropping-particle":"","parse-names":false,"suffix":""}],"container-title":"HIV Medicine","id":"ITEM-1","issue":"10","issued":{"date-parts":[["2019"]]},"page":"704-708","title":"Findings from home-based HIV testing and facilitated linkage after scale-up of test and treat in rural South Africa: young people still missing","type":"article-journal","volume":"20"},"uris":["http://www.mendeley.com/documents/?uuid=9f3e04d0-6340-48e0-aa43-acd9fc49cb9a"]}],"mendeley":{"formattedCitation":"&lt;sup&gt;29&lt;/sup&gt;","plainTextFormattedCitation":"29","previouslyFormattedCitation":"&lt;sup&gt;29&lt;/sup&gt;"},"properties":{"noteIndex":0},"schema":"https://github.com/citation-style-language/schema/raw/master/csl-citation.json"}</w:instrText>
      </w:r>
      <w:r w:rsidR="006C762C" w:rsidRPr="002B5BF5">
        <w:rPr>
          <w:rFonts w:ascii="Times New Roman" w:hAnsi="Times New Roman" w:cs="Times New Roman"/>
        </w:rPr>
        <w:fldChar w:fldCharType="separate"/>
      </w:r>
      <w:r w:rsidR="006C762C" w:rsidRPr="002B5BF5">
        <w:rPr>
          <w:rFonts w:ascii="Times New Roman" w:hAnsi="Times New Roman" w:cs="Times New Roman"/>
          <w:noProof/>
          <w:vertAlign w:val="superscript"/>
        </w:rPr>
        <w:t>29</w:t>
      </w:r>
      <w:r w:rsidR="006C762C" w:rsidRPr="002B5BF5">
        <w:rPr>
          <w:rFonts w:ascii="Times New Roman" w:hAnsi="Times New Roman" w:cs="Times New Roman"/>
        </w:rPr>
        <w:fldChar w:fldCharType="end"/>
      </w:r>
      <w:bookmarkEnd w:id="5"/>
      <w:r w:rsidR="006C762C" w:rsidRPr="002B5BF5">
        <w:rPr>
          <w:rFonts w:ascii="Times New Roman" w:hAnsi="Times New Roman" w:cs="Times New Roman"/>
        </w:rPr>
        <w:t xml:space="preserve"> </w:t>
      </w:r>
      <w:r w:rsidR="00877D90" w:rsidRPr="002B5BF5">
        <w:rPr>
          <w:rFonts w:ascii="Times New Roman" w:hAnsi="Times New Roman" w:cs="Times New Roman"/>
        </w:rPr>
        <w:t>The overall aim of the trial</w:t>
      </w:r>
      <w:r w:rsidR="00AC07DB" w:rsidRPr="002B5BF5">
        <w:rPr>
          <w:rFonts w:ascii="Times New Roman" w:hAnsi="Times New Roman" w:cs="Times New Roman"/>
        </w:rPr>
        <w:t xml:space="preserve"> is</w:t>
      </w:r>
      <w:r w:rsidR="0058067F" w:rsidRPr="002B5BF5">
        <w:rPr>
          <w:rFonts w:ascii="Times New Roman" w:hAnsi="Times New Roman" w:cs="Times New Roman"/>
        </w:rPr>
        <w:t xml:space="preserve"> to establish whether the provision of </w:t>
      </w:r>
      <w:r w:rsidR="0086062F" w:rsidRPr="002B5BF5">
        <w:rPr>
          <w:rFonts w:ascii="Times New Roman" w:hAnsi="Times New Roman" w:cs="Times New Roman"/>
        </w:rPr>
        <w:t xml:space="preserve">small once-off </w:t>
      </w:r>
      <w:r w:rsidR="00F356A9" w:rsidRPr="002B5BF5">
        <w:rPr>
          <w:rFonts w:ascii="Times New Roman" w:hAnsi="Times New Roman" w:cs="Times New Roman"/>
        </w:rPr>
        <w:t>financial i</w:t>
      </w:r>
      <w:r w:rsidR="0058067F" w:rsidRPr="002B5BF5">
        <w:rPr>
          <w:rFonts w:ascii="Times New Roman" w:hAnsi="Times New Roman" w:cs="Times New Roman"/>
        </w:rPr>
        <w:t>ncentives and a male-targeted HIV</w:t>
      </w:r>
      <w:r w:rsidR="00F356A9" w:rsidRPr="002B5BF5">
        <w:rPr>
          <w:rFonts w:ascii="Times New Roman" w:hAnsi="Times New Roman" w:cs="Times New Roman"/>
        </w:rPr>
        <w:t>-</w:t>
      </w:r>
      <w:r w:rsidR="0058067F" w:rsidRPr="002B5BF5">
        <w:rPr>
          <w:rFonts w:ascii="Times New Roman" w:hAnsi="Times New Roman" w:cs="Times New Roman"/>
        </w:rPr>
        <w:t>specific decision</w:t>
      </w:r>
      <w:r w:rsidR="00F356A9" w:rsidRPr="002B5BF5">
        <w:rPr>
          <w:rFonts w:ascii="Times New Roman" w:hAnsi="Times New Roman" w:cs="Times New Roman"/>
        </w:rPr>
        <w:t xml:space="preserve"> </w:t>
      </w:r>
      <w:r w:rsidR="0058067F" w:rsidRPr="002B5BF5">
        <w:rPr>
          <w:rFonts w:ascii="Times New Roman" w:hAnsi="Times New Roman" w:cs="Times New Roman"/>
        </w:rPr>
        <w:t>support app</w:t>
      </w:r>
      <w:r w:rsidR="00252B6B" w:rsidRPr="002B5BF5">
        <w:rPr>
          <w:rFonts w:ascii="Times New Roman" w:hAnsi="Times New Roman" w:cs="Times New Roman"/>
        </w:rPr>
        <w:t>lication</w:t>
      </w:r>
      <w:r w:rsidR="0058067F" w:rsidRPr="002B5BF5">
        <w:rPr>
          <w:rFonts w:ascii="Times New Roman" w:hAnsi="Times New Roman" w:cs="Times New Roman"/>
        </w:rPr>
        <w:t xml:space="preserve"> increase</w:t>
      </w:r>
      <w:r w:rsidR="00AC07DB" w:rsidRPr="002B5BF5">
        <w:rPr>
          <w:rFonts w:ascii="Times New Roman" w:hAnsi="Times New Roman" w:cs="Times New Roman"/>
        </w:rPr>
        <w:t>s</w:t>
      </w:r>
      <w:r w:rsidR="0058067F" w:rsidRPr="002B5BF5">
        <w:rPr>
          <w:rFonts w:ascii="Times New Roman" w:hAnsi="Times New Roman" w:cs="Times New Roman"/>
        </w:rPr>
        <w:t xml:space="preserve"> uptake of HIV testing and linkage to HIV care</w:t>
      </w:r>
      <w:r w:rsidR="00F356A9" w:rsidRPr="002B5BF5">
        <w:rPr>
          <w:rFonts w:ascii="Times New Roman" w:hAnsi="Times New Roman" w:cs="Times New Roman"/>
        </w:rPr>
        <w:t>,</w:t>
      </w:r>
      <w:r w:rsidR="0058067F" w:rsidRPr="002B5BF5">
        <w:rPr>
          <w:rFonts w:ascii="Times New Roman" w:hAnsi="Times New Roman" w:cs="Times New Roman"/>
        </w:rPr>
        <w:t xml:space="preserve"> thus ultimately reducing population-level HIV incidence in</w:t>
      </w:r>
      <w:r w:rsidR="00A36BAB" w:rsidRPr="002B5BF5">
        <w:rPr>
          <w:rFonts w:ascii="Times New Roman" w:hAnsi="Times New Roman" w:cs="Times New Roman"/>
        </w:rPr>
        <w:t xml:space="preserve"> (particularly young)</w:t>
      </w:r>
      <w:r w:rsidR="0058067F" w:rsidRPr="002B5BF5">
        <w:rPr>
          <w:rFonts w:ascii="Times New Roman" w:hAnsi="Times New Roman" w:cs="Times New Roman"/>
        </w:rPr>
        <w:t xml:space="preserve"> women. </w:t>
      </w:r>
      <w:r w:rsidR="00AC07DB" w:rsidRPr="002B5BF5">
        <w:rPr>
          <w:rFonts w:ascii="Times New Roman" w:hAnsi="Times New Roman" w:cs="Times New Roman"/>
        </w:rPr>
        <w:t xml:space="preserve">Here we report the uptake of home-based HIV testing among men, the first registered primary endpoint of the HITS trial.  </w:t>
      </w:r>
    </w:p>
    <w:p w14:paraId="5BB3C8A9" w14:textId="77777777" w:rsidR="00222731" w:rsidRPr="002B5BF5" w:rsidRDefault="00222731" w:rsidP="00EF06AA">
      <w:pPr>
        <w:spacing w:line="360" w:lineRule="auto"/>
        <w:jc w:val="both"/>
        <w:rPr>
          <w:rFonts w:ascii="Times New Roman" w:hAnsi="Times New Roman" w:cs="Times New Roman"/>
          <w:b/>
        </w:rPr>
      </w:pPr>
    </w:p>
    <w:p w14:paraId="49663F09" w14:textId="715B6EBA" w:rsidR="00EF06AA" w:rsidRPr="002B5BF5" w:rsidRDefault="00EF06AA" w:rsidP="00EF06AA">
      <w:pPr>
        <w:spacing w:line="360" w:lineRule="auto"/>
        <w:jc w:val="both"/>
        <w:rPr>
          <w:rFonts w:ascii="Times New Roman" w:hAnsi="Times New Roman" w:cs="Times New Roman"/>
          <w:b/>
        </w:rPr>
      </w:pPr>
      <w:r w:rsidRPr="002B5BF5">
        <w:rPr>
          <w:rFonts w:ascii="Times New Roman" w:hAnsi="Times New Roman" w:cs="Times New Roman"/>
          <w:b/>
        </w:rPr>
        <w:t xml:space="preserve">Methods </w:t>
      </w:r>
    </w:p>
    <w:p w14:paraId="430F30F9" w14:textId="77777777" w:rsidR="00EF06AA" w:rsidRPr="002B5BF5" w:rsidRDefault="00EF06AA" w:rsidP="00EF06AA">
      <w:pPr>
        <w:autoSpaceDE w:val="0"/>
        <w:autoSpaceDN w:val="0"/>
        <w:adjustRightInd w:val="0"/>
        <w:spacing w:after="0" w:line="360" w:lineRule="auto"/>
        <w:jc w:val="both"/>
        <w:rPr>
          <w:rFonts w:ascii="Times New Roman" w:hAnsi="Times New Roman" w:cs="Times New Roman"/>
          <w:b/>
          <w:bCs/>
        </w:rPr>
      </w:pPr>
      <w:r w:rsidRPr="002B5BF5">
        <w:rPr>
          <w:rFonts w:ascii="Times New Roman" w:hAnsi="Times New Roman" w:cs="Times New Roman"/>
          <w:b/>
          <w:bCs/>
        </w:rPr>
        <w:t>Setting</w:t>
      </w:r>
    </w:p>
    <w:p w14:paraId="38D68B63" w14:textId="4AB4F46C" w:rsidR="00EF06AA" w:rsidRPr="002B5BF5" w:rsidRDefault="00EF06AA" w:rsidP="002422E5">
      <w:pPr>
        <w:autoSpaceDE w:val="0"/>
        <w:autoSpaceDN w:val="0"/>
        <w:adjustRightInd w:val="0"/>
        <w:spacing w:after="0" w:line="360" w:lineRule="auto"/>
        <w:jc w:val="both"/>
        <w:rPr>
          <w:rFonts w:ascii="Times New Roman" w:hAnsi="Times New Roman" w:cs="Times New Roman"/>
        </w:rPr>
      </w:pPr>
      <w:r w:rsidRPr="002B5BF5">
        <w:rPr>
          <w:rFonts w:ascii="Times New Roman" w:hAnsi="Times New Roman" w:cs="Times New Roman"/>
        </w:rPr>
        <w:t>The trial was nested within the population-based HIV testing platform in uMkhanyakude district of northern KwaZulu Natal.</w:t>
      </w:r>
      <w:r w:rsidRPr="002B5BF5">
        <w:rPr>
          <w:rFonts w:ascii="Times New Roman" w:hAnsi="Times New Roman" w:cs="Times New Roman"/>
        </w:rPr>
        <w:fldChar w:fldCharType="begin" w:fldLock="1"/>
      </w:r>
      <w:r w:rsidR="002D00B1" w:rsidRPr="002B5BF5">
        <w:rPr>
          <w:rFonts w:ascii="Times New Roman" w:hAnsi="Times New Roman" w:cs="Times New Roman"/>
        </w:rPr>
        <w:instrText>ADDIN CSL_CITATION {"citationItems":[{"id":"ITEM-1","itemData":{"DOI":"10.1093/ije/dym211","ISSN":"1464-3685","PMID":"17998242","author":[{"dropping-particle":"","family":"Tanser","given":"Frank","non-dropping-particle":"","parse-names":false,"suffix":""},{"dropping-particle":"","family":"Hosegood","given":"Victoria","non-dropping-particle":"","parse-names":false,"suffix":""},{"dropping-particle":"","family":"Bärnighausen","given":"Till","non-dropping-particle":"","parse-names":false,"suffix":""},{"dropping-particle":"","family":"Herbst","given":"Kobus","non-dropping-particle":"","parse-names":false,"suffix":""},{"dropping-particle":"","family":"Nyirenda","given":"Makandwe","non-dropping-particle":"","parse-names":false,"suffix":""},{"dropping-particle":"","family":"Muhwava","given":"William","non-dropping-particle":"","parse-names":false,"suffix":""},{"dropping-particle":"","family":"Newell","given":"Colin","non-dropping-particle":"","parse-names":false,"suffix":""},{"dropping-particle":"","family":"Viljoen","given":"Johannes","non-dropping-particle":"","parse-names":false,"suffix":""},{"dropping-particle":"","family":"Mutevedzi","given":"Tinofa","non-dropping-particle":"","parse-names":false,"suffix":""},{"dropping-particle":"","family":"Newell","given":"Marie-Louise","non-dropping-particle":"","parse-names":false,"suffix":""}],"container-title":"International journal of epidemiology","id":"ITEM-1","issue":"5","issued":{"date-parts":[["2008","10"]]},"page":"956-62","publisher":"Oxford University Press","title":"Cohort Profile: Africa Centre Demographic Information System (ACDIS) and population-based HIV survey.","type":"article-journal","volume":"37"},"uris":["http://www.mendeley.com/documents/?uuid=b47929ff-8805-36c7-8c04-ad4a5de38f41"]}],"mendeley":{"formattedCitation":"&lt;sup&gt;30&lt;/sup&gt;","plainTextFormattedCitation":"30","previouslyFormattedCitation":"&lt;sup&gt;30&lt;/sup&gt;"},"properties":{"noteIndex":0},"schema":"https://github.com/citation-style-language/schema/raw/master/csl-citation.json"}</w:instrText>
      </w:r>
      <w:r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30</w:t>
      </w:r>
      <w:r w:rsidRPr="002B5BF5">
        <w:rPr>
          <w:rFonts w:ascii="Times New Roman" w:hAnsi="Times New Roman" w:cs="Times New Roman"/>
        </w:rPr>
        <w:fldChar w:fldCharType="end"/>
      </w:r>
      <w:r w:rsidRPr="002B5BF5">
        <w:rPr>
          <w:rFonts w:ascii="Times New Roman" w:hAnsi="Times New Roman" w:cs="Times New Roman"/>
        </w:rPr>
        <w:t xml:space="preserve"> HIV prevalence in the study area was estimated as 36.6% in 2016.</w:t>
      </w:r>
      <w:r w:rsidRPr="002B5BF5">
        <w:rPr>
          <w:rFonts w:ascii="Times New Roman" w:hAnsi="Times New Roman" w:cs="Times New Roman"/>
        </w:rPr>
        <w:fldChar w:fldCharType="begin" w:fldLock="1"/>
      </w:r>
      <w:r w:rsidR="002D00B1" w:rsidRPr="002B5BF5">
        <w:rPr>
          <w:rFonts w:ascii="Times New Roman" w:hAnsi="Times New Roman" w:cs="Times New Roman"/>
        </w:rPr>
        <w:instrText>ADDIN CSL_CITATION {"citationItems":[{"id":"ITEM-1","itemData":{"DOI":"10.1136/jech-2017-209713","ISSN":"14702738","PMID":"29175867","abstract":"BACKGROUND Undiagnosed HIV infections could undermine efforts to reverse the global AIDS epidemic by 2030. In this study, we estimated the percentage of HIV-positive persons who remain undiagnosed within a hyperendemic South African community. METHODS The data come from a population-based surveillance system located in the Umkhanyakude district of the northern KwaZulu-Natal province, South Africa. We annually tested 38 661 adults for HIV between 2005 and 2016. Using the HIV-positive test results of 12 039 (31%) participants, we then back-calculated the incidence of infection and derived the number of undiagnosed cases from this result. RESULTS The percentage of undiagnosed HIV cases decreased from 29.3% in 2005 to 15.8% in 2011. During this period, however, approximately 50% of the participants refused to test for HIV, which lengthened the average time from infection to diagnosis. Consequently, the percentage of undiagnosed HIV cases reversed direction and steadily increased from 16.1% to 18.9% over the 2012-2016 period. CONCLUSIONS Results from this hyperendemic South African setting show that the HIV testing rate is low, with long infection times, and an unsatisfactorily high percentage of undiagnosed cases. A high level of repeat HIV testing is needed to minimise the time from infection to diagnosis if the global AIDS epidemic is to be reversed within the next two decades.","author":[{"dropping-particle":"","family":"Vandormael","given":"Alain","non-dropping-particle":"","parse-names":false,"suffix":""},{"dropping-particle":"","family":"Oliveira","given":"Tulio","non-dropping-particle":"De","parse-names":false,"suffix":""},{"dropping-particle":"","family":"Tanser","given":"Frank","non-dropping-particle":"","parse-names":false,"suffix":""},{"dropping-particle":"","family":"Bärnighausen","given":"Till","non-dropping-particle":"","parse-names":false,"suffix":""},{"dropping-particle":"","family":"Herbeck","given":"Joshua T.","non-dropping-particle":"","parse-names":false,"suffix":""}],"container-title":"Journal of Epidemiology and Community Health","id":"ITEM-1","issue":"2","issued":{"date-parts":[["2018"]]},"page":"168-172","title":"High percentage of undiagnosed HIV cases within a hyperendemic South African community: A population-based study","type":"article-journal","volume":"72"},"uris":["http://www.mendeley.com/documents/?uuid=da06f87c-0b3c-4341-b97e-a1eed8a22f64"]}],"mendeley":{"formattedCitation":"&lt;sup&gt;31&lt;/sup&gt;","plainTextFormattedCitation":"31","previouslyFormattedCitation":"&lt;sup&gt;31&lt;/sup&gt;"},"properties":{"noteIndex":0},"schema":"https://github.com/citation-style-language/schema/raw/master/csl-citation.json"}</w:instrText>
      </w:r>
      <w:r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31</w:t>
      </w:r>
      <w:r w:rsidRPr="002B5BF5">
        <w:rPr>
          <w:rFonts w:ascii="Times New Roman" w:hAnsi="Times New Roman" w:cs="Times New Roman"/>
        </w:rPr>
        <w:fldChar w:fldCharType="end"/>
      </w:r>
      <w:r w:rsidRPr="002B5BF5">
        <w:rPr>
          <w:rFonts w:ascii="Times New Roman" w:hAnsi="Times New Roman" w:cs="Times New Roman"/>
        </w:rPr>
        <w:t xml:space="preserve"> Since 2003, AHRI has conducted ongoing population-based demographic surveillance and </w:t>
      </w:r>
      <w:r w:rsidR="00BE1815" w:rsidRPr="002B5BF5">
        <w:rPr>
          <w:rFonts w:ascii="Times New Roman" w:hAnsi="Times New Roman" w:cs="Times New Roman"/>
        </w:rPr>
        <w:t xml:space="preserve">individual </w:t>
      </w:r>
      <w:r w:rsidRPr="002B5BF5">
        <w:rPr>
          <w:rFonts w:ascii="Times New Roman" w:hAnsi="Times New Roman" w:cs="Times New Roman"/>
        </w:rPr>
        <w:t>HIV testing among members of all households residing in the surveillance area</w:t>
      </w:r>
      <w:bookmarkStart w:id="6" w:name="_Hlk54529520"/>
      <w:r w:rsidRPr="002B5BF5">
        <w:rPr>
          <w:rFonts w:ascii="Times New Roman" w:hAnsi="Times New Roman" w:cs="Times New Roman"/>
        </w:rPr>
        <w:t xml:space="preserve">. </w:t>
      </w:r>
      <w:r w:rsidR="0006665E" w:rsidRPr="002B5BF5">
        <w:rPr>
          <w:rFonts w:ascii="Times New Roman" w:hAnsi="Times New Roman" w:cs="Times New Roman"/>
        </w:rPr>
        <w:t>The demographic surveillance is completed with the key informant, which is often the household head or the most senior household member</w:t>
      </w:r>
      <w:r w:rsidR="00C30C25" w:rsidRPr="002B5BF5">
        <w:rPr>
          <w:rFonts w:ascii="Times New Roman" w:hAnsi="Times New Roman" w:cs="Times New Roman"/>
        </w:rPr>
        <w:t xml:space="preserve"> and collects information on demographics of household members including composition, migration events, mortality and marital status</w:t>
      </w:r>
      <w:r w:rsidR="0006665E" w:rsidRPr="002B5BF5">
        <w:rPr>
          <w:rFonts w:ascii="Times New Roman" w:hAnsi="Times New Roman" w:cs="Times New Roman"/>
        </w:rPr>
        <w:t xml:space="preserve">. </w:t>
      </w:r>
      <w:r w:rsidR="00BE1815" w:rsidRPr="002B5BF5">
        <w:rPr>
          <w:rFonts w:ascii="Times New Roman" w:hAnsi="Times New Roman" w:cs="Times New Roman"/>
        </w:rPr>
        <w:t>The HIV surveillance is annually conducted among all residents aged ≥15 years and collect</w:t>
      </w:r>
      <w:r w:rsidR="002F11FC" w:rsidRPr="002B5BF5">
        <w:rPr>
          <w:rFonts w:ascii="Times New Roman" w:hAnsi="Times New Roman" w:cs="Times New Roman"/>
        </w:rPr>
        <w:t>s</w:t>
      </w:r>
      <w:r w:rsidR="00BE1815" w:rsidRPr="002B5BF5">
        <w:rPr>
          <w:rFonts w:ascii="Times New Roman" w:hAnsi="Times New Roman" w:cs="Times New Roman"/>
        </w:rPr>
        <w:t xml:space="preserve"> data on sexual behavior and general health and dried blood spots (DBS) samples for anonymized HIV testing</w:t>
      </w:r>
      <w:r w:rsidR="008A6532" w:rsidRPr="002B5BF5">
        <w:rPr>
          <w:rFonts w:ascii="Times New Roman" w:hAnsi="Times New Roman" w:cs="Times New Roman"/>
        </w:rPr>
        <w:t xml:space="preserve"> after obtaining informed consent</w:t>
      </w:r>
      <w:r w:rsidR="002D00B1" w:rsidRPr="002B5BF5">
        <w:rPr>
          <w:rFonts w:ascii="Times New Roman" w:hAnsi="Times New Roman" w:cs="Times New Roman"/>
        </w:rPr>
        <w:t>.</w:t>
      </w:r>
      <w:r w:rsidR="002D00B1" w:rsidRPr="002B5BF5">
        <w:rPr>
          <w:rFonts w:ascii="Times New Roman" w:hAnsi="Times New Roman" w:cs="Times New Roman"/>
        </w:rPr>
        <w:fldChar w:fldCharType="begin" w:fldLock="1"/>
      </w:r>
      <w:r w:rsidR="00874154" w:rsidRPr="002B5BF5">
        <w:rPr>
          <w:rFonts w:ascii="Times New Roman" w:hAnsi="Times New Roman" w:cs="Times New Roman"/>
        </w:rPr>
        <w:instrText>ADDIN CSL_CITATION {"citationItems":[{"id":"ITEM-1","itemData":{"DOI":"10.1093/ije/dym211","ISSN":"1464-3685","PMID":"17998242","author":[{"dropping-particle":"","family":"Tanser","given":"Frank","non-dropping-particle":"","parse-names":false,"suffix":""},{"dropping-particle":"","family":"Hosegood","given":"Victoria","non-dropping-particle":"","parse-names":false,"suffix":""},{"dropping-particle":"","family":"Bärnighausen","given":"Till","non-dropping-particle":"","parse-names":false,"suffix":""},{"dropping-particle":"","family":"Herbst","given":"Kobus","non-dropping-particle":"","parse-names":false,"suffix":""},{"dropping-particle":"","family":"Nyirenda","given":"Makandwe","non-dropping-particle":"","parse-names":false,"suffix":""},{"dropping-particle":"","family":"Muhwava","given":"William","non-dropping-particle":"","parse-names":false,"suffix":""},{"dropping-particle":"","family":"Newell","given":"Colin","non-dropping-particle":"","parse-names":false,"suffix":""},{"dropping-particle":"","family":"Viljoen","given":"Johannes","non-dropping-particle":"","parse-names":false,"suffix":""},{"dropping-particle":"","family":"Mutevedzi","given":"Tinofa","non-dropping-particle":"","parse-names":false,"suffix":""},{"dropping-particle":"","family":"Newell","given":"Marie-Louise","non-dropping-particle":"","parse-names":false,"suffix":""}],"container-title":"International journal of epidemiology","id":"ITEM-1","issue":"5","issued":{"date-parts":[["2008","10"]]},"page":"956-62","publisher":"Oxford University Press","title":"Cohort Profile: Africa Centre Demographic Information System (ACDIS) and population-based HIV survey.","type":"article-journal","volume":"37"},"uris":["http://www.mendeley.com/documents/?uuid=b47929ff-8805-36c7-8c04-ad4a5de38f41"]},{"id":"ITEM-2","itemData":{"author":[{"dropping-particle":"","family":"Muhwava","given":"William","non-dropping-particle":"","parse-names":false,"suffix":""},{"dropping-particle":"","family":"Nyirenda","given":"Makandwe","non-dropping-particle":"","parse-names":false,"suffix":""},{"dropping-particle":"","family":"Mutevedzi","given":"Tinofa","non-dropping-particle":"","parse-names":false,"suffix":""},{"dropping-particle":"","family":"Herbst","given":"Abraham","non-dropping-particle":"","parse-names":false,"suffix":""},{"dropping-particle":"","family":"Hosegood","given":"Victoria","non-dropping-particle":"","parse-names":false,"suffix":""}],"id":"ITEM-2","issued":{"date-parts":[["2007","1","1"]]},"title":"Operational and Methodological Procedures of the Africa Centre Demographic Information System","type":"book"},"uris":["http://www.mendeley.com/documents/?uuid=209302fa-0305-42a8-b973-43a76ae51fdc"]}],"mendeley":{"formattedCitation":"&lt;sup&gt;30,32&lt;/sup&gt;","plainTextFormattedCitation":"30,32","previouslyFormattedCitation":"&lt;sup&gt;30,32&lt;/sup&gt;"},"properties":{"noteIndex":0},"schema":"https://github.com/citation-style-language/schema/raw/master/csl-citation.json"}</w:instrText>
      </w:r>
      <w:r w:rsidR="002D00B1"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30,32</w:t>
      </w:r>
      <w:r w:rsidR="002D00B1" w:rsidRPr="002B5BF5">
        <w:rPr>
          <w:rFonts w:ascii="Times New Roman" w:hAnsi="Times New Roman" w:cs="Times New Roman"/>
        </w:rPr>
        <w:fldChar w:fldCharType="end"/>
      </w:r>
      <w:r w:rsidR="00BE1815" w:rsidRPr="002B5BF5">
        <w:rPr>
          <w:rFonts w:ascii="Times New Roman" w:hAnsi="Times New Roman" w:cs="Times New Roman"/>
        </w:rPr>
        <w:t xml:space="preserve"> </w:t>
      </w:r>
      <w:bookmarkStart w:id="7" w:name="_Hlk56387139"/>
      <w:bookmarkEnd w:id="6"/>
      <w:r w:rsidR="002F11FC" w:rsidRPr="002B5BF5">
        <w:rPr>
          <w:rFonts w:ascii="Times New Roman" w:hAnsi="Times New Roman" w:cs="Times New Roman"/>
        </w:rPr>
        <w:t xml:space="preserve">No reimbursement </w:t>
      </w:r>
      <w:r w:rsidR="002F11FC" w:rsidRPr="002B5BF5">
        <w:rPr>
          <w:rFonts w:ascii="Times New Roman" w:hAnsi="Times New Roman" w:cs="Times New Roman"/>
          <w:shd w:val="clear" w:color="auto" w:fill="FFFFFF"/>
        </w:rPr>
        <w:t>is offered for participation in the HIV surveillance</w:t>
      </w:r>
      <w:r w:rsidR="00006A58" w:rsidRPr="002B5BF5">
        <w:rPr>
          <w:rFonts w:ascii="Times New Roman" w:hAnsi="Times New Roman" w:cs="Times New Roman"/>
          <w:shd w:val="clear" w:color="auto" w:fill="FFFFFF"/>
        </w:rPr>
        <w:t>.</w:t>
      </w:r>
      <w:r w:rsidR="00006A58" w:rsidRPr="002B5BF5">
        <w:rPr>
          <w:rFonts w:ascii="Arial" w:hAnsi="Arial" w:cs="Arial"/>
          <w:shd w:val="clear" w:color="auto" w:fill="FFFFFF"/>
        </w:rPr>
        <w:t xml:space="preserve"> </w:t>
      </w:r>
      <w:bookmarkEnd w:id="7"/>
      <w:r w:rsidR="005848B0" w:rsidRPr="002B5BF5">
        <w:rPr>
          <w:rFonts w:ascii="Times New Roman" w:hAnsi="Times New Roman" w:cs="Times New Roman"/>
        </w:rPr>
        <w:t xml:space="preserve">From 2017, rapid HIV testing has been offered as part of the HIV surveillance during household visits. </w:t>
      </w:r>
      <w:r w:rsidRPr="002B5BF5">
        <w:rPr>
          <w:rFonts w:ascii="Times New Roman" w:hAnsi="Times New Roman" w:cs="Times New Roman"/>
        </w:rPr>
        <w:t>The surveillance covers 438 km</w:t>
      </w:r>
      <w:r w:rsidRPr="002B5BF5">
        <w:rPr>
          <w:rFonts w:ascii="Times New Roman" w:hAnsi="Times New Roman" w:cs="Times New Roman"/>
          <w:vertAlign w:val="superscript"/>
        </w:rPr>
        <w:t>2</w:t>
      </w:r>
      <w:r w:rsidRPr="002B5BF5">
        <w:rPr>
          <w:rFonts w:ascii="Times New Roman" w:hAnsi="Times New Roman" w:cs="Times New Roman"/>
        </w:rPr>
        <w:t xml:space="preserve"> geographic area over approximately 90,000 individuals and 60 000 residents at any given time. Through an agreement with the South African Department of Health, the AHRI population-based programme is also linked with the clinical records of patients enrolled in the local public HIV Treatment and Care Programme at the Hlabisa district hospital and 17 primary health care clinics in the Hlabisa health sub-district using the Tier.Net electronic record system since 2004.</w:t>
      </w:r>
      <w:r w:rsidRPr="002B5BF5">
        <w:rPr>
          <w:rFonts w:ascii="Times New Roman" w:hAnsi="Times New Roman" w:cs="Times New Roman"/>
        </w:rPr>
        <w:fldChar w:fldCharType="begin" w:fldLock="1"/>
      </w:r>
      <w:r w:rsidR="002D00B1" w:rsidRPr="002B5BF5">
        <w:rPr>
          <w:rFonts w:ascii="Times New Roman" w:hAnsi="Times New Roman" w:cs="Times New Roman"/>
        </w:rPr>
        <w:instrText>ADDIN CSL_CITATION {"citationItems":[{"id":"ITEM-1","itemData":{"DOI":"10.7448/IAS.17.1.18908","ISSN":"1758-2652","PMID":"24780511","abstract":"The provision of antiretroviral therapy (ART) in low and middle-income countries is a chronic disease intervention of unprecedented magnitude and is the dominant health systems challenge for high-burden countries, many of which rank among the poorest in the world. Substantial external investment, together with the requirement for service evolution to adapt to changing needs, including the constant shift to earlier ART initiation, makes outcome monitoring and reporting particularly important. However, there is growing concern at the inability of many high-burden countries to report on the outcomes of patients who have been in care for various durations, or even the number of patients in care at a particular point in time. In many instances, countries can only report on the number of patients ever started on ART. Despite paper register systems coming under increasing strain, the evolution from paper directly to complex electronic medical record solutions is not viable in many contexts. Implementing a bridging solution, such as a simple offline electronic version of the paper register, can be a pragmatic alternative. This paper describes and recommends a three-tiered monitoring approach in low- and middle-income countries based on the experience implementing such a system in the Western Cape province of South Africa. A three-tier approach allows Ministries of Health to strategically implement one of the tiers in each facility offering ART services. Each tier produces the same nationally required monthly enrolment and quarterly cohort reports so that outputs from the three tiers can be aggregated into a single database at any level of the health system. The choice of tier is based on context and resources at the time of implementation. As resources and infrastructure improve, more facilities will transition to the next highest and more technologically sophisticated tier. Implementing a three-tier monitoring system at country level for pre-antiretroviral wellness, ART, tuberculosis and mother and child health services can be an efficient approach to ensuring system-wide harmonization and accurate monitoring of services, including long term retention in care, during the scale-up of electronic monitoring solutions.","author":[{"dropping-particle":"","family":"Osler","given":"Meg","non-dropping-particle":"","parse-names":false,"suffix":""},{"dropping-particle":"","family":"Hilderbrand","given":"Katherine","non-dropping-particle":"","parse-names":false,"suffix":""},{"dropping-particle":"","family":"Hennessey","given":"Claudine","non-dropping-particle":"","parse-names":false,"suffix":""},{"dropping-particle":"","family":"Arendse","given":"Juanita","non-dropping-particle":"","parse-names":false,"suffix":""},{"dropping-particle":"","family":"Goemaere","given":"Eric","non-dropping-particle":"","parse-names":false,"suffix":""},{"dropping-particle":"","family":"Ford","given":"Nathan","non-dropping-particle":"","parse-names":false,"suffix":""},{"dropping-particle":"","family":"Boulle","given":"Andrew","non-dropping-particle":"","parse-names":false,"suffix":""}],"container-title":"Journal of the International AIDS Society","id":"ITEM-1","issue":"1","issued":{"date-parts":[["2014"]]},"page":"18908","publisher":"Wiley-Blackwell","title":"A three-tier framework for monitoring antiretroviral therapy in high HIV burden settings.","type":"article-journal","volume":"17"},"uris":["http://www.mendeley.com/documents/?uuid=42a8ecc4-5225-3e2d-84ba-518446df539c"]}],"mendeley":{"formattedCitation":"&lt;sup&gt;33&lt;/sup&gt;","plainTextFormattedCitation":"33","previouslyFormattedCitation":"&lt;sup&gt;33&lt;/sup&gt;"},"properties":{"noteIndex":0},"schema":"https://github.com/citation-style-language/schema/raw/master/csl-citation.json"}</w:instrText>
      </w:r>
      <w:r w:rsidRPr="002B5BF5">
        <w:rPr>
          <w:rFonts w:ascii="Times New Roman" w:hAnsi="Times New Roman" w:cs="Times New Roman"/>
        </w:rPr>
        <w:fldChar w:fldCharType="separate"/>
      </w:r>
      <w:r w:rsidR="006C762C" w:rsidRPr="002B5BF5">
        <w:rPr>
          <w:rFonts w:ascii="Times New Roman" w:hAnsi="Times New Roman" w:cs="Times New Roman"/>
          <w:noProof/>
          <w:vertAlign w:val="superscript"/>
        </w:rPr>
        <w:t>33</w:t>
      </w:r>
      <w:r w:rsidRPr="002B5BF5">
        <w:rPr>
          <w:rFonts w:ascii="Times New Roman" w:hAnsi="Times New Roman" w:cs="Times New Roman"/>
        </w:rPr>
        <w:fldChar w:fldCharType="end"/>
      </w:r>
      <w:r w:rsidRPr="002B5BF5">
        <w:rPr>
          <w:rFonts w:ascii="Times New Roman" w:hAnsi="Times New Roman" w:cs="Times New Roman"/>
        </w:rPr>
        <w:t xml:space="preserve"> </w:t>
      </w:r>
      <w:bookmarkStart w:id="8" w:name="_Hlk56631161"/>
      <w:r w:rsidR="00793831" w:rsidRPr="002B5BF5">
        <w:rPr>
          <w:rFonts w:ascii="Times New Roman" w:hAnsi="Times New Roman" w:cs="Times New Roman"/>
        </w:rPr>
        <w:t xml:space="preserve">For </w:t>
      </w:r>
      <w:r w:rsidR="00991535" w:rsidRPr="002B5BF5">
        <w:rPr>
          <w:rFonts w:ascii="Times New Roman" w:hAnsi="Times New Roman" w:cs="Times New Roman"/>
        </w:rPr>
        <w:t xml:space="preserve">the </w:t>
      </w:r>
      <w:r w:rsidR="00793831" w:rsidRPr="002B5BF5">
        <w:rPr>
          <w:rFonts w:ascii="Times New Roman" w:hAnsi="Times New Roman" w:cs="Times New Roman"/>
        </w:rPr>
        <w:t>patients who out-migrate or link to care outside the 17 clinics, the</w:t>
      </w:r>
      <w:r w:rsidR="00991535" w:rsidRPr="002B5BF5">
        <w:rPr>
          <w:rFonts w:ascii="Times New Roman" w:hAnsi="Times New Roman" w:cs="Times New Roman"/>
        </w:rPr>
        <w:t>ir</w:t>
      </w:r>
      <w:r w:rsidR="00793831" w:rsidRPr="002B5BF5">
        <w:rPr>
          <w:rFonts w:ascii="Times New Roman" w:hAnsi="Times New Roman" w:cs="Times New Roman"/>
        </w:rPr>
        <w:t xml:space="preserve"> clinical records could not be captured. </w:t>
      </w:r>
      <w:bookmarkEnd w:id="8"/>
    </w:p>
    <w:p w14:paraId="631093EC" w14:textId="77777777" w:rsidR="00B96FBD" w:rsidRPr="002B5BF5" w:rsidRDefault="00B96FBD" w:rsidP="00B96FBD">
      <w:pPr>
        <w:spacing w:line="360" w:lineRule="auto"/>
        <w:jc w:val="both"/>
        <w:rPr>
          <w:rFonts w:ascii="Times New Roman" w:hAnsi="Times New Roman" w:cs="Times New Roman"/>
          <w:b/>
        </w:rPr>
      </w:pPr>
    </w:p>
    <w:p w14:paraId="4C2DFFAB" w14:textId="7CB0779C" w:rsidR="00B96FBD" w:rsidRPr="002B5BF5" w:rsidRDefault="00B96FBD" w:rsidP="00B96FBD">
      <w:pPr>
        <w:spacing w:line="360" w:lineRule="auto"/>
        <w:jc w:val="both"/>
        <w:rPr>
          <w:rFonts w:ascii="Times New Roman" w:hAnsi="Times New Roman" w:cs="Times New Roman"/>
          <w:b/>
        </w:rPr>
      </w:pPr>
      <w:r w:rsidRPr="002B5BF5">
        <w:rPr>
          <w:rFonts w:ascii="Times New Roman" w:hAnsi="Times New Roman" w:cs="Times New Roman"/>
          <w:b/>
        </w:rPr>
        <w:t xml:space="preserve">Trial </w:t>
      </w:r>
      <w:r w:rsidR="002D162D" w:rsidRPr="002B5BF5">
        <w:rPr>
          <w:rFonts w:ascii="Times New Roman" w:hAnsi="Times New Roman" w:cs="Times New Roman"/>
          <w:b/>
        </w:rPr>
        <w:t>D</w:t>
      </w:r>
      <w:r w:rsidRPr="002B5BF5">
        <w:rPr>
          <w:rFonts w:ascii="Times New Roman" w:hAnsi="Times New Roman" w:cs="Times New Roman"/>
          <w:b/>
        </w:rPr>
        <w:t>esign</w:t>
      </w:r>
    </w:p>
    <w:p w14:paraId="302861C2" w14:textId="3397E993" w:rsidR="00A02260" w:rsidRPr="002B5BF5" w:rsidRDefault="00B96FBD" w:rsidP="000F2ED6">
      <w:pPr>
        <w:autoSpaceDE w:val="0"/>
        <w:autoSpaceDN w:val="0"/>
        <w:adjustRightInd w:val="0"/>
        <w:spacing w:after="0" w:line="360" w:lineRule="auto"/>
        <w:jc w:val="both"/>
        <w:rPr>
          <w:rFonts w:ascii="Times New Roman" w:hAnsi="Times New Roman" w:cs="Times New Roman"/>
        </w:rPr>
      </w:pPr>
      <w:r w:rsidRPr="002B5BF5">
        <w:rPr>
          <w:rFonts w:ascii="Times New Roman" w:hAnsi="Times New Roman" w:cs="Times New Roman"/>
        </w:rPr>
        <w:t xml:space="preserve">This large-scale trial was a 2x2 factorial design delivered to a population of 37,028 residents aged ≥15 years in the four strata with the two interventions, financial micro-incentives and male-targeted HIV-specific decision support, called EPIC-HIV (Empowering People through Informed Choices for HIV), in 45 clusters (“week blocks”) using the AHRI’s ongoing population-based </w:t>
      </w:r>
      <w:r w:rsidR="005D2D81" w:rsidRPr="002B5BF5">
        <w:rPr>
          <w:rFonts w:ascii="Times New Roman" w:hAnsi="Times New Roman" w:cs="Times New Roman"/>
        </w:rPr>
        <w:t xml:space="preserve">annual </w:t>
      </w:r>
      <w:r w:rsidRPr="002B5BF5">
        <w:rPr>
          <w:rFonts w:ascii="Times New Roman" w:hAnsi="Times New Roman" w:cs="Times New Roman"/>
        </w:rPr>
        <w:t>HIV testing platform (Figure 1).</w:t>
      </w:r>
      <w:r w:rsidRPr="002B5BF5">
        <w:rPr>
          <w:rFonts w:ascii="Times New Roman" w:hAnsi="Times New Roman" w:cs="Times New Roman"/>
        </w:rPr>
        <w:fldChar w:fldCharType="begin" w:fldLock="1"/>
      </w:r>
      <w:r w:rsidR="002D00B1" w:rsidRPr="002B5BF5">
        <w:rPr>
          <w:rFonts w:ascii="Times New Roman" w:hAnsi="Times New Roman" w:cs="Times New Roman"/>
        </w:rPr>
        <w:instrText xml:space="preserve">ADDIN CSL_CITATION {"citationItems":[{"id":"ITEM-1","itemData":{"DOI":"10.1186/s12889-019-7277-0","ISSN":"1471-2458","abstract":"To realize the full benefits of treatment as prevention in many hyperendemic African contexts, there is an urgent need to increase uptake of HIV testing and HIV treatment among men to reduce the rate of HIV transmission to (particularly young) women. This trial aims to evaluate the effect of two interventions - micro-incentives and a tablet-based male-targeted HIV decision support application - on increasing home-based HIV testing and linkage to HIV care among men with the ultimate aim of reducing HIV-related mortality in men and HIV incidence in young women. This is a cluster randomized trial of 45 communities (clusters) in a rural area in the uMkhanyakude district of KwaZulu Natal, South Africa (2018–2021). The study is built upon the Africa Health Research Institute (AHRI)‘s HIV testing platform, which offers annual home-based rapid HIV testing to individuals aged 15 years and above. In a 2 × 2 factorial design, individuals aged </w:instrText>
      </w:r>
      <w:r w:rsidR="002D00B1" w:rsidRPr="002B5BF5">
        <w:rPr>
          <w:rFonts w:ascii="Times New Roman" w:hAnsi="Times New Roman" w:cs="Times New Roman" w:hint="eastAsia"/>
        </w:rPr>
        <w:instrText>≥</w:instrText>
      </w:r>
      <w:r w:rsidR="002D00B1" w:rsidRPr="002B5BF5">
        <w:rPr>
          <w:rFonts w:ascii="Times New Roman" w:hAnsi="Times New Roman" w:cs="Times New Roman"/>
        </w:rPr>
        <w:instrText>15 years living in the 45 clusters are randomly assigned to one of four arms: i) a financial micro-incentive (food voucher) (n = 8); ii) male-targeted HIV specific decision support (EPIC-HIV) (n = 8); iii) both the micro incentives and male-targeted decision support (n = 8); and iv) standard of care (n = 21). The EPIC-HIV application is developed and delivered via a tablet to encourage HIV testing and linkage to care among men. A mixed method approach is adopted to supplement the randomized control trial and meet the study aims. The findings of this trial will provide evidence on the feasibility and causal impact of two interventions - micro-incentives and a male-targeted HIV specific decision support - on uptake of home-based HIV testing, linkage to care, as well as population health outcomes including population viral load, HIV related mortality in men, and HIV incidence in young women (15-30 years of age). This trial was registered on 28 November 2018 on, identifier \n                    https://clinicaltrials.gov/\n                    \n                  .","author":[{"dropping-particle":"","family":"Mathenjwa","given":"T.","non-dropping-particle":"","parse-names":false,"suffix":""},{"dropping-particle":"","family":"Kim","given":"H.-Y.","non-dropping-particle":"","parse-names":false,"suffix":""},{"dropping-particle":"","family":"Zuma","given":"T.","non-dropping-particle":"","parse-names":false,"suffix":""},{"dropping-particle":"","family":"Shahmanesh","given":"M.","non-dropping-particle":"","parse-names":false,"suffix":""},{"dropping-particle":"","family":"Seeley","given":"J.","non-dropping-particle":"","parse-names":false,"suffix":""},{"dropping-particle":"","family":"Matthews","given":"P.","non-dropping-particle":"","parse-names":false,"suffix":""},{"dropping-particle":"","family":"Wyke","given":"S.","non-dropping-particle":"","parse-names":false,"suffix":""},{"dropping-particle":"","family":"McGrath","given":"N.","non-dropping-particle":"","parse-names":false,"suffix":""},{"dropping-particle":"","family":"Sartorius","given":"B.","non-dropping-particle":"","parse-names":false,"suffix":""},{"dropping-particle":"","family":"Yapa","given":"H. M.","non-dropping-particle":"","parse-names":false,"suffix":""},{"dropping-particle":"","family":"Adeagbo","given":"O.","non-dropping-particle":"","parse-names":false,"suffix":""},{"dropping-particle":"","family":"Blandford","given":"A.","non-dropping-particle":"","parse-names":false,"suffix":""},{"dropping-particle":"","family":"Dobra","given":"A.","non-dropping-particle":"","parse-names":false,"suffix":""},{"dropping-particle":"","family":"Bäernighausen","given":"T.","non-dropping-particle":"","parse-names":false,"suffix":""},{"dropping-particle":"","family":"Tanser","given":"F.","non-dropping-particle":"","parse-names":false,"suffix":""}],"container-title":"BMC Public Health","id":"ITEM-1","issue":"1","issued":{"date-parts":[["2019","12","19"]]},"page":"969","publisher":"BioMed Central","title":"Home-based intervention to test and start (HITS) protocol: a cluster-randomized controlled trial to reduce HIV-related mortality in men and HIV incidence in women through increased coverage of HIV treatment","type":"article-journal","volume":"19"},"uris":["http://www.mendeley.com/documents/?uuid=3049c142-1f24-3dee-916b-525b98d35668"]}],"mendeley":{"formattedCitation":"&lt;sup&gt;34&lt;/sup&gt;","plainTextFormattedCitation":"34","previouslyFormattedCitation":"&lt;sup&gt;34&lt;/sup&gt;"},"properties":{"noteIndex":0},"schema":"https://github.com/citation-style-language/schema/raw/master/csl-citation.json"}</w:instrText>
      </w:r>
      <w:r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34</w:t>
      </w:r>
      <w:r w:rsidRPr="002B5BF5">
        <w:rPr>
          <w:rFonts w:ascii="Times New Roman" w:hAnsi="Times New Roman" w:cs="Times New Roman"/>
        </w:rPr>
        <w:fldChar w:fldCharType="end"/>
      </w:r>
      <w:r w:rsidRPr="002B5BF5">
        <w:rPr>
          <w:rFonts w:ascii="Times New Roman" w:hAnsi="Times New Roman" w:cs="Times New Roman"/>
        </w:rPr>
        <w:t xml:space="preserve">  </w:t>
      </w:r>
      <w:bookmarkStart w:id="9" w:name="_Hlk54189460"/>
      <w:r w:rsidR="00E43D3A" w:rsidRPr="002B5BF5">
        <w:rPr>
          <w:rFonts w:ascii="Times New Roman" w:hAnsi="Times New Roman" w:cs="Times New Roman"/>
        </w:rPr>
        <w:t>A week block</w:t>
      </w:r>
      <w:r w:rsidR="00384E0A" w:rsidRPr="002B5BF5">
        <w:rPr>
          <w:rFonts w:ascii="Times New Roman" w:hAnsi="Times New Roman" w:cs="Times New Roman"/>
        </w:rPr>
        <w:t xml:space="preserve">  is an area </w:t>
      </w:r>
      <w:r w:rsidR="002F11FC" w:rsidRPr="002B5BF5">
        <w:rPr>
          <w:rFonts w:ascii="Times New Roman" w:hAnsi="Times New Roman" w:cs="Times New Roman"/>
        </w:rPr>
        <w:t>where</w:t>
      </w:r>
      <w:r w:rsidR="00384E0A" w:rsidRPr="002B5BF5">
        <w:rPr>
          <w:rFonts w:ascii="Times New Roman" w:hAnsi="Times New Roman" w:cs="Times New Roman"/>
        </w:rPr>
        <w:t xml:space="preserve"> fieldworkers visit homesteads and complete annual surveys in each week</w:t>
      </w:r>
      <w:r w:rsidR="002F11FC" w:rsidRPr="002B5BF5">
        <w:rPr>
          <w:rFonts w:ascii="Times New Roman" w:hAnsi="Times New Roman" w:cs="Times New Roman"/>
        </w:rPr>
        <w:t>; this</w:t>
      </w:r>
      <w:r w:rsidR="00384E0A" w:rsidRPr="002B5BF5">
        <w:rPr>
          <w:rFonts w:ascii="Times New Roman" w:hAnsi="Times New Roman" w:cs="Times New Roman"/>
        </w:rPr>
        <w:t xml:space="preserve"> was developed using a GPS based methodology to provide equivalent workload to cover the entire surveillance area annually</w:t>
      </w:r>
      <w:r w:rsidR="00E43D3A" w:rsidRPr="002B5BF5">
        <w:rPr>
          <w:rFonts w:ascii="Times New Roman" w:hAnsi="Times New Roman" w:cs="Times New Roman"/>
        </w:rPr>
        <w:t>.</w:t>
      </w:r>
      <w:r w:rsidR="000F2ED6" w:rsidRPr="002B5BF5">
        <w:rPr>
          <w:rFonts w:ascii="Times New Roman" w:hAnsi="Times New Roman" w:cs="Times New Roman"/>
        </w:rPr>
        <w:fldChar w:fldCharType="begin" w:fldLock="1"/>
      </w:r>
      <w:r w:rsidR="002D00B1" w:rsidRPr="002B5BF5">
        <w:rPr>
          <w:rFonts w:ascii="Times New Roman" w:hAnsi="Times New Roman" w:cs="Times New Roman"/>
        </w:rPr>
        <w:instrText>ADDIN CSL_CITATION {"citationItems":[{"id":"ITEM-1","itemData":{"DOI":"10.1046/j.1365-3156.2002.00825.x","ISSN":"13602276","PMID":"11851958","abstract":"A method is presented that has numerous applications to health systems provision in developing countries where limited physical access to primary health care is a major factor contributing to the poor health of populations. An accessibility model within a geographical information system (GIS) is used to predict average inter-homestead walking times and subdivide the study area into units of equal completion time. The method could be used to ergonomically design home-based care and tuberculosis directly observed treatment programmes and inform the siting of health facilities. The paper highlights the use of GIS technology as a powerful tool in developing countries.","author":[{"dropping-particle":"","family":"Tanser","given":"Frank C.","non-dropping-particle":"","parse-names":false,"suffix":""}],"container-title":"Tropical Medicine and International Health","id":"ITEM-1","issue":"1","issued":{"date-parts":[["2002"]]},"page":"80-90","publisher":"Trop Med Int Health","title":"The application of GIS technology to equitably distribute fieldworker workload in a large, rural South African health survey","type":"article-journal","volume":"7"},"uris":["http://www.mendeley.com/documents/?uuid=10fbf1e9-14c3-3ade-bd39-aa6d580d379c"]}],"mendeley":{"formattedCitation":"&lt;sup&gt;35&lt;/sup&gt;","plainTextFormattedCitation":"35","previouslyFormattedCitation":"&lt;sup&gt;35&lt;/sup&gt;"},"properties":{"noteIndex":0},"schema":"https://github.com/citation-style-language/schema/raw/master/csl-citation.json"}</w:instrText>
      </w:r>
      <w:r w:rsidR="000F2ED6"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35</w:t>
      </w:r>
      <w:r w:rsidR="000F2ED6" w:rsidRPr="002B5BF5">
        <w:rPr>
          <w:rFonts w:ascii="Times New Roman" w:hAnsi="Times New Roman" w:cs="Times New Roman"/>
        </w:rPr>
        <w:fldChar w:fldCharType="end"/>
      </w:r>
      <w:r w:rsidR="00E43D3A" w:rsidRPr="002B5BF5">
        <w:rPr>
          <w:rFonts w:ascii="Times New Roman" w:hAnsi="Times New Roman" w:cs="Times New Roman"/>
        </w:rPr>
        <w:t xml:space="preserve"> </w:t>
      </w:r>
      <w:bookmarkEnd w:id="9"/>
      <w:r w:rsidRPr="002B5BF5">
        <w:rPr>
          <w:rFonts w:ascii="Times New Roman" w:hAnsi="Times New Roman" w:cs="Times New Roman"/>
        </w:rPr>
        <w:t xml:space="preserve">Over the entire study duration, 8 communities received only the financial micro-incentives (i.e. financial incentives only arm), 8 communities received only EPIC-HIV (i.e. EPIC-HIV only arm), 8 communities received both interventions (i.e. financial incentives plus EPIC-HIV arm or combined arm), and 21 communities received standard of care (SoC). </w:t>
      </w:r>
      <w:r w:rsidR="003C658C" w:rsidRPr="002B5BF5">
        <w:rPr>
          <w:rFonts w:ascii="Times New Roman" w:hAnsi="Times New Roman" w:cs="Times New Roman"/>
        </w:rPr>
        <w:t xml:space="preserve"> </w:t>
      </w:r>
      <w:bookmarkStart w:id="10" w:name="_Hlk54529600"/>
      <w:r w:rsidR="002A2880" w:rsidRPr="002B5BF5">
        <w:rPr>
          <w:rFonts w:ascii="Times New Roman" w:hAnsi="Times New Roman" w:cs="Times New Roman"/>
        </w:rPr>
        <w:t>Both males and females were eligible to receive the financial incentives but only males were eligible to receive EPIC-HIV</w:t>
      </w:r>
      <w:bookmarkEnd w:id="10"/>
      <w:r w:rsidR="002A2880" w:rsidRPr="002B5BF5">
        <w:rPr>
          <w:rFonts w:ascii="Times New Roman" w:hAnsi="Times New Roman" w:cs="Times New Roman"/>
        </w:rPr>
        <w:t xml:space="preserve">. </w:t>
      </w:r>
      <w:bookmarkStart w:id="11" w:name="_Hlk54879174"/>
      <w:r w:rsidR="00A126D1" w:rsidRPr="002B5BF5">
        <w:rPr>
          <w:rFonts w:ascii="Times New Roman" w:hAnsi="Times New Roman" w:cs="Times New Roman"/>
        </w:rPr>
        <w:t>Implementation and acceptance of the HITS intervention were evaluated using process evaluation</w:t>
      </w:r>
      <w:r w:rsidR="00576FF8" w:rsidRPr="002B5BF5">
        <w:rPr>
          <w:rFonts w:ascii="Times New Roman" w:hAnsi="Times New Roman" w:cs="Times New Roman"/>
        </w:rPr>
        <w:t xml:space="preserve"> through</w:t>
      </w:r>
      <w:r w:rsidR="00A126D1" w:rsidRPr="002B5BF5">
        <w:rPr>
          <w:rFonts w:ascii="Times New Roman" w:hAnsi="Times New Roman" w:cs="Times New Roman"/>
        </w:rPr>
        <w:t xml:space="preserve"> post-intervention satisfaction surveys as well as focus group and in-depth </w:t>
      </w:r>
      <w:r w:rsidR="00A126D1" w:rsidRPr="002B5BF5">
        <w:rPr>
          <w:rFonts w:ascii="Times New Roman" w:hAnsi="Times New Roman" w:cs="Times New Roman"/>
        </w:rPr>
        <w:lastRenderedPageBreak/>
        <w:t>interviews</w:t>
      </w:r>
      <w:r w:rsidR="00576FF8" w:rsidRPr="002B5BF5">
        <w:rPr>
          <w:rFonts w:ascii="Times New Roman" w:hAnsi="Times New Roman" w:cs="Times New Roman"/>
        </w:rPr>
        <w:t xml:space="preserve"> among study participants, fieldworkers, and health professionals</w:t>
      </w:r>
      <w:r w:rsidR="00A126D1" w:rsidRPr="002B5BF5">
        <w:rPr>
          <w:rFonts w:ascii="Times New Roman" w:hAnsi="Times New Roman" w:cs="Times New Roman"/>
        </w:rPr>
        <w:t xml:space="preserve">. </w:t>
      </w:r>
      <w:bookmarkEnd w:id="11"/>
      <w:r w:rsidR="00A02260" w:rsidRPr="002B5BF5">
        <w:rPr>
          <w:rFonts w:ascii="Times New Roman" w:hAnsi="Times New Roman" w:cs="Times New Roman"/>
        </w:rPr>
        <w:t>The trial was registered at the National Institute of Health (ClinicalTrials.gov # NCT03757104), and the full trial protocol was published elsewhere.</w:t>
      </w:r>
      <w:r w:rsidR="00A02260" w:rsidRPr="002B5BF5">
        <w:rPr>
          <w:rFonts w:ascii="Times New Roman" w:hAnsi="Times New Roman" w:cs="Times New Roman"/>
        </w:rPr>
        <w:fldChar w:fldCharType="begin" w:fldLock="1"/>
      </w:r>
      <w:r w:rsidR="002D00B1" w:rsidRPr="002B5BF5">
        <w:rPr>
          <w:rFonts w:ascii="Times New Roman" w:hAnsi="Times New Roman" w:cs="Times New Roman"/>
        </w:rPr>
        <w:instrText xml:space="preserve">ADDIN CSL_CITATION {"citationItems":[{"id":"ITEM-1","itemData":{"DOI":"10.1186/s12889-019-7277-0","ISSN":"1471-2458","abstract":"To realize the full benefits of treatment as prevention in many hyperendemic African contexts, there is an urgent need to increase uptake of HIV testing and HIV treatment among men to reduce the rate of HIV transmission to (particularly young) women. This trial aims to evaluate the effect of two interventions - micro-incentives and a tablet-based male-targeted HIV decision support application - on increasing home-based HIV testing and linkage to HIV care among men with the ultimate aim of reducing HIV-related mortality in men and HIV incidence in young women. This is a cluster randomized trial of 45 communities (clusters) in a rural area in the uMkhanyakude district of KwaZulu Natal, South Africa (2018–2021). The study is built upon the Africa Health Research Institute (AHRI)‘s HIV testing platform, which offers annual home-based rapid HIV testing to individuals aged 15 years and above. In a 2 × 2 factorial design, individuals aged </w:instrText>
      </w:r>
      <w:r w:rsidR="002D00B1" w:rsidRPr="002B5BF5">
        <w:rPr>
          <w:rFonts w:ascii="Times New Roman" w:hAnsi="Times New Roman" w:cs="Times New Roman" w:hint="eastAsia"/>
        </w:rPr>
        <w:instrText>≥</w:instrText>
      </w:r>
      <w:r w:rsidR="002D00B1" w:rsidRPr="002B5BF5">
        <w:rPr>
          <w:rFonts w:ascii="Times New Roman" w:hAnsi="Times New Roman" w:cs="Times New Roman"/>
        </w:rPr>
        <w:instrText>15 years living in the 45 clusters are randomly assigned to one of four arms: i) a financial micro-incentive (food voucher) (n = 8); ii) male-targeted HIV specific decision support (EPIC-HIV) (n = 8); iii) both the micro incentives and male-targeted decision support (n = 8); and iv) standard of care (n = 21). The EPIC-HIV application is developed and delivered via a tablet to encourage HIV testing and linkage to care among men. A mixed method approach is adopted to supplement the randomized control trial and meet the study aims. The findings of this trial will provide evidence on the feasibility and causal impact of two interventions - micro-incentives and a male-targeted HIV specific decision support - on uptake of home-based HIV testing, linkage to care, as well as population health outcomes including population viral load, HIV related mortality in men, and HIV incidence in young women (15-30 years of age). This trial was registered on 28 November 2018 on, identifier \n                    https://clinicaltrials.gov/\n                    \n                  .","author":[{"dropping-particle":"","family":"Mathenjwa","given":"T.","non-dropping-particle":"","parse-names":false,"suffix":""},{"dropping-particle":"","family":"Kim","given":"H.-Y.","non-dropping-particle":"","parse-names":false,"suffix":""},{"dropping-particle":"","family":"Zuma","given":"T.","non-dropping-particle":"","parse-names":false,"suffix":""},{"dropping-particle":"","family":"Shahmanesh","given":"M.","non-dropping-particle":"","parse-names":false,"suffix":""},{"dropping-particle":"","family":"Seeley","given":"J.","non-dropping-particle":"","parse-names":false,"suffix":""},{"dropping-particle":"","family":"Matthews","given":"P.","non-dropping-particle":"","parse-names":false,"suffix":""},{"dropping-particle":"","family":"Wyke","given":"S.","non-dropping-particle":"","parse-names":false,"suffix":""},{"dropping-particle":"","family":"McGrath","given":"N.","non-dropping-particle":"","parse-names":false,"suffix":""},{"dropping-particle":"","family":"Sartorius","given":"B.","non-dropping-particle":"","parse-names":false,"suffix":""},{"dropping-particle":"","family":"Yapa","given":"H. M.","non-dropping-particle":"","parse-names":false,"suffix":""},{"dropping-particle":"","family":"Adeagbo","given":"O.","non-dropping-particle":"","parse-names":false,"suffix":""},{"dropping-particle":"","family":"Blandford","given":"A.","non-dropping-particle":"","parse-names":false,"suffix":""},{"dropping-particle":"","family":"Dobra","given":"A.","non-dropping-particle":"","parse-names":false,"suffix":""},{"dropping-particle":"","family":"Bäernighausen","given":"T.","non-dropping-particle":"","parse-names":false,"suffix":""},{"dropping-particle":"","family":"Tanser","given":"F.","non-dropping-particle":"","parse-names":false,"suffix":""}],"container-title":"BMC Public Health","id":"ITEM-1","issue":"1","issued":{"date-parts":[["2019","12","19"]]},"page":"969","publisher":"BioMed Central","title":"Home-based intervention to test and start (HITS) protocol: a cluster-randomized controlled trial to reduce HIV-related mortality in men and HIV incidence in women through increased coverage of HIV treatment","type":"article-journal","volume":"19"},"uris":["http://www.mendeley.com/documents/?uuid=3049c142-1f24-3dee-916b-525b98d35668"]}],"mendeley":{"formattedCitation":"&lt;sup&gt;34&lt;/sup&gt;","plainTextFormattedCitation":"34","previouslyFormattedCitation":"&lt;sup&gt;34&lt;/sup&gt;"},"properties":{"noteIndex":0},"schema":"https://github.com/citation-style-language/schema/raw/master/csl-citation.json"}</w:instrText>
      </w:r>
      <w:r w:rsidR="00A02260"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34</w:t>
      </w:r>
      <w:r w:rsidR="00A02260" w:rsidRPr="002B5BF5">
        <w:rPr>
          <w:rFonts w:ascii="Times New Roman" w:hAnsi="Times New Roman" w:cs="Times New Roman"/>
        </w:rPr>
        <w:fldChar w:fldCharType="end"/>
      </w:r>
    </w:p>
    <w:p w14:paraId="1F38E8AB" w14:textId="77777777" w:rsidR="00A02260" w:rsidRPr="002B5BF5" w:rsidRDefault="00A02260" w:rsidP="002D162D">
      <w:pPr>
        <w:spacing w:after="0" w:line="360" w:lineRule="auto"/>
        <w:rPr>
          <w:rFonts w:ascii="Times New Roman" w:hAnsi="Times New Roman" w:cs="Times New Roman"/>
          <w:b/>
        </w:rPr>
      </w:pPr>
    </w:p>
    <w:p w14:paraId="02876491" w14:textId="77777777" w:rsidR="000D0661" w:rsidRPr="002B5BF5" w:rsidRDefault="000D0661" w:rsidP="002D162D">
      <w:pPr>
        <w:spacing w:after="0" w:line="360" w:lineRule="auto"/>
        <w:rPr>
          <w:rFonts w:ascii="Times New Roman" w:hAnsi="Times New Roman" w:cs="Times New Roman"/>
          <w:b/>
        </w:rPr>
      </w:pPr>
    </w:p>
    <w:p w14:paraId="451562BC" w14:textId="77777777" w:rsidR="000D0661" w:rsidRPr="002B5BF5" w:rsidRDefault="000D0661" w:rsidP="000D0661">
      <w:pPr>
        <w:autoSpaceDE w:val="0"/>
        <w:autoSpaceDN w:val="0"/>
        <w:adjustRightInd w:val="0"/>
        <w:spacing w:after="0" w:line="360" w:lineRule="auto"/>
        <w:jc w:val="both"/>
        <w:rPr>
          <w:rFonts w:ascii="Times New Roman" w:hAnsi="Times New Roman" w:cs="Times New Roman"/>
          <w:b/>
          <w:bCs/>
        </w:rPr>
      </w:pPr>
      <w:r w:rsidRPr="002B5BF5">
        <w:rPr>
          <w:rFonts w:ascii="Times New Roman" w:hAnsi="Times New Roman" w:cs="Times New Roman"/>
          <w:b/>
          <w:bCs/>
        </w:rPr>
        <w:t>Home-based HIV counselling &amp; testing and facilitated linkage to care</w:t>
      </w:r>
    </w:p>
    <w:p w14:paraId="6079A933" w14:textId="67431269" w:rsidR="000D0661" w:rsidRPr="002B5BF5" w:rsidRDefault="002C52B0" w:rsidP="000D0661">
      <w:pPr>
        <w:autoSpaceDE w:val="0"/>
        <w:autoSpaceDN w:val="0"/>
        <w:adjustRightInd w:val="0"/>
        <w:spacing w:after="0" w:line="360" w:lineRule="auto"/>
        <w:jc w:val="both"/>
        <w:rPr>
          <w:rFonts w:ascii="Times New Roman" w:hAnsi="Times New Roman" w:cs="Times New Roman"/>
        </w:rPr>
      </w:pPr>
      <w:r w:rsidRPr="002B5BF5">
        <w:rPr>
          <w:rFonts w:ascii="Times New Roman" w:hAnsi="Times New Roman" w:cs="Times New Roman"/>
        </w:rPr>
        <w:t>As part of the individual HIV surveillance, a</w:t>
      </w:r>
      <w:r w:rsidR="000D0661" w:rsidRPr="002B5BF5">
        <w:rPr>
          <w:rFonts w:ascii="Times New Roman" w:hAnsi="Times New Roman" w:cs="Times New Roman"/>
        </w:rPr>
        <w:t xml:space="preserve"> rapid point-of-care HIV test </w:t>
      </w:r>
      <w:r w:rsidRPr="002B5BF5">
        <w:rPr>
          <w:rFonts w:ascii="Times New Roman" w:hAnsi="Times New Roman" w:cs="Times New Roman"/>
        </w:rPr>
        <w:t>is</w:t>
      </w:r>
      <w:r w:rsidR="000D0661" w:rsidRPr="002B5BF5">
        <w:rPr>
          <w:rFonts w:ascii="Times New Roman" w:hAnsi="Times New Roman" w:cs="Times New Roman"/>
        </w:rPr>
        <w:t xml:space="preserve"> performed by field workers trained in HCT in accordance with the South African national guidelines. Participants found to be HIV-positive are encouraged to link to care within 7-10 days of the HIV test date, receive a referral slip for an appointment to receive HIV care at their choice of the primary health clinics, and can opt in for facilitated linkage. Individuals who consent for facilitated linkage and have not linked to care within two weeks of the HIV test date receive a single Short Message Service (SMS) message as a reminder. If individuals do not link to care within further two weeks, a trained nurse contacts them by telephone to discuss any concerns and encourage them to link to care. </w:t>
      </w:r>
      <w:bookmarkStart w:id="12" w:name="_Hlk56388574"/>
      <w:r w:rsidRPr="002B5BF5">
        <w:rPr>
          <w:rFonts w:ascii="Times New Roman" w:hAnsi="Times New Roman" w:cs="Times New Roman"/>
        </w:rPr>
        <w:t>I</w:t>
      </w:r>
      <w:r w:rsidR="000D0661" w:rsidRPr="002B5BF5">
        <w:rPr>
          <w:rFonts w:ascii="Times New Roman" w:hAnsi="Times New Roman" w:cs="Times New Roman"/>
        </w:rPr>
        <w:t xml:space="preserve">ndividuals who were not available at the initial attempt of contact </w:t>
      </w:r>
      <w:r w:rsidRPr="002B5BF5">
        <w:rPr>
          <w:rFonts w:ascii="Times New Roman" w:hAnsi="Times New Roman" w:cs="Times New Roman"/>
        </w:rPr>
        <w:t xml:space="preserve">to complete the HIV surveillance </w:t>
      </w:r>
      <w:r w:rsidR="000D0661" w:rsidRPr="002B5BF5">
        <w:rPr>
          <w:rFonts w:ascii="Times New Roman" w:hAnsi="Times New Roman" w:cs="Times New Roman"/>
        </w:rPr>
        <w:t xml:space="preserve">are revisited two more times in the same week during normal working hours and then transferred to a tracking team who then attempts to contact participants and make a home visit for three more times in the evenings or weekends before being considered as missing. </w:t>
      </w:r>
    </w:p>
    <w:bookmarkEnd w:id="12"/>
    <w:p w14:paraId="7BCDEBF3" w14:textId="77777777" w:rsidR="000D0661" w:rsidRPr="002B5BF5" w:rsidRDefault="000D0661" w:rsidP="002D162D">
      <w:pPr>
        <w:spacing w:after="0" w:line="360" w:lineRule="auto"/>
        <w:rPr>
          <w:rFonts w:ascii="Times New Roman" w:hAnsi="Times New Roman" w:cs="Times New Roman"/>
          <w:b/>
        </w:rPr>
      </w:pPr>
    </w:p>
    <w:p w14:paraId="33908B59" w14:textId="0164318F" w:rsidR="00A02260" w:rsidRPr="002B5BF5" w:rsidRDefault="00A02260" w:rsidP="002D162D">
      <w:pPr>
        <w:spacing w:after="0" w:line="360" w:lineRule="auto"/>
        <w:rPr>
          <w:rFonts w:ascii="Times New Roman" w:hAnsi="Times New Roman" w:cs="Times New Roman"/>
        </w:rPr>
      </w:pPr>
      <w:r w:rsidRPr="002B5BF5">
        <w:rPr>
          <w:rFonts w:ascii="Times New Roman" w:hAnsi="Times New Roman" w:cs="Times New Roman"/>
          <w:b/>
        </w:rPr>
        <w:t>Interventions</w:t>
      </w:r>
    </w:p>
    <w:p w14:paraId="0CD7B109" w14:textId="75EFE665" w:rsidR="00B96FBD" w:rsidRPr="002B5BF5" w:rsidRDefault="002D162D" w:rsidP="002D162D">
      <w:pPr>
        <w:spacing w:after="0" w:line="360" w:lineRule="auto"/>
        <w:rPr>
          <w:rFonts w:ascii="Times New Roman" w:hAnsi="Times New Roman" w:cs="Times New Roman"/>
        </w:rPr>
      </w:pPr>
      <w:r w:rsidRPr="002B5BF5">
        <w:rPr>
          <w:rFonts w:ascii="Times New Roman" w:hAnsi="Times New Roman" w:cs="Times New Roman"/>
        </w:rPr>
        <w:t>The interventions were delivered in a two-stage scheme</w:t>
      </w:r>
      <w:r w:rsidR="00A02260" w:rsidRPr="002B5BF5">
        <w:rPr>
          <w:rFonts w:ascii="Times New Roman" w:hAnsi="Times New Roman" w:cs="Times New Roman"/>
        </w:rPr>
        <w:t xml:space="preserve"> for HIV testing and linkage to care. </w:t>
      </w:r>
      <w:r w:rsidR="00B96FBD" w:rsidRPr="002B5BF5">
        <w:rPr>
          <w:rFonts w:ascii="Times New Roman" w:hAnsi="Times New Roman" w:cs="Times New Roman"/>
        </w:rPr>
        <w:t xml:space="preserve">For the financial incentives, participants were first informed and offered a R50 (US </w:t>
      </w:r>
      <w:r w:rsidR="004C3E2B" w:rsidRPr="002B5BF5">
        <w:rPr>
          <w:rFonts w:ascii="Times New Roman" w:hAnsi="Times New Roman" w:cs="Times New Roman"/>
        </w:rPr>
        <w:t>~</w:t>
      </w:r>
      <w:r w:rsidR="00B96FBD" w:rsidRPr="002B5BF5">
        <w:rPr>
          <w:rFonts w:ascii="Times New Roman" w:hAnsi="Times New Roman" w:cs="Times New Roman"/>
        </w:rPr>
        <w:t>$3) food voucher for a local supermarket conditional on their participation in rapid HIV testing. Second, participants tested HIV-positive were offered another R50 food voucher if they visited any of the 17 primary health clinics to seek HIV treatment within 6 weeks of the positive HIV test date.</w:t>
      </w:r>
    </w:p>
    <w:p w14:paraId="650D8C99" w14:textId="0053A22F" w:rsidR="00E5048D" w:rsidRPr="002B5BF5" w:rsidRDefault="00E5048D" w:rsidP="002D162D">
      <w:pPr>
        <w:spacing w:after="0" w:line="360" w:lineRule="auto"/>
        <w:rPr>
          <w:rFonts w:ascii="Times New Roman" w:hAnsi="Times New Roman" w:cs="Times New Roman"/>
        </w:rPr>
      </w:pPr>
    </w:p>
    <w:p w14:paraId="3C468558" w14:textId="77777777" w:rsidR="000D0661" w:rsidRPr="002B5BF5" w:rsidRDefault="00A02260" w:rsidP="00AA1D59">
      <w:pPr>
        <w:spacing w:after="0" w:line="360" w:lineRule="auto"/>
        <w:rPr>
          <w:rFonts w:ascii="Times New Roman" w:hAnsi="Times New Roman" w:cs="Times New Roman"/>
        </w:rPr>
      </w:pPr>
      <w:r w:rsidRPr="002B5BF5">
        <w:rPr>
          <w:rFonts w:ascii="Times New Roman" w:hAnsi="Times New Roman" w:cs="Times New Roman"/>
        </w:rPr>
        <w:t>The male-targeted HIV-specific decision support application was implemented and offered via a tablet</w:t>
      </w:r>
      <w:r w:rsidR="00F27B53" w:rsidRPr="002B5BF5">
        <w:rPr>
          <w:rFonts w:ascii="Times New Roman" w:hAnsi="Times New Roman" w:cs="Times New Roman"/>
        </w:rPr>
        <w:t xml:space="preserve"> and available in two versions (EPIC-HIV 1 and EPIC-HIV 2)</w:t>
      </w:r>
      <w:r w:rsidRPr="002B5BF5">
        <w:rPr>
          <w:rFonts w:ascii="Times New Roman" w:hAnsi="Times New Roman" w:cs="Times New Roman"/>
        </w:rPr>
        <w:t>. The content and design of EPIC-HIV were informed by human behaviour change theory and self-determination theory.</w:t>
      </w:r>
      <w:r w:rsidRPr="002B5BF5">
        <w:rPr>
          <w:rFonts w:ascii="Times New Roman" w:hAnsi="Times New Roman" w:cs="Times New Roman"/>
        </w:rPr>
        <w:fldChar w:fldCharType="begin" w:fldLock="1"/>
      </w:r>
      <w:r w:rsidR="002D00B1" w:rsidRPr="002B5BF5">
        <w:rPr>
          <w:rFonts w:ascii="Times New Roman" w:hAnsi="Times New Roman" w:cs="Times New Roman"/>
        </w:rPr>
        <w:instrText>ADDIN CSL_CITATION {"citationItems":[{"id":"ITEM-1","itemData":{"DOI":"10.2196/jmir.4055","ISSN":"1438-8871","author":[{"dropping-particle":"","family":"Yardley","given":"Lucy","non-dropping-particle":"","parse-names":false,"suffix":""},{"dropping-particle":"","family":"Morrison","given":"Leanne","non-dropping-particle":"","parse-names":false,"suffix":""},{"dropping-particle":"","family":"Bradbury","given":"Katherine","non-dropping-particle":"","parse-names":false,"suffix":""},{"dropping-particle":"","family":"Muller","given":"Ingrid","non-dropping-particle":"","parse-names":false,"suffix":""}],"container-title":"Journal of Medical Internet Research","id":"ITEM-1","issue":"1","issued":{"date-parts":[["2015","1","30"]]},"page":"e30","title":"The Person-Based Approach to Intervention Development: Application to Digital Health-Related Behavior Change Interventions","type":"article-journal","volume":"17"},"uris":["http://www.mendeley.com/documents/?uuid=1e81b87c-017b-3793-a62c-ef004d5f2e9b"]}],"mendeley":{"formattedCitation":"&lt;sup&gt;36&lt;/sup&gt;","plainTextFormattedCitation":"36","previouslyFormattedCitation":"&lt;sup&gt;36&lt;/sup&gt;"},"properties":{"noteIndex":0},"schema":"https://github.com/citation-style-language/schema/raw/master/csl-citation.json"}</w:instrText>
      </w:r>
      <w:r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36</w:t>
      </w:r>
      <w:r w:rsidRPr="002B5BF5">
        <w:rPr>
          <w:rFonts w:ascii="Times New Roman" w:hAnsi="Times New Roman" w:cs="Times New Roman"/>
        </w:rPr>
        <w:fldChar w:fldCharType="end"/>
      </w:r>
      <w:r w:rsidRPr="002B5BF5">
        <w:rPr>
          <w:rFonts w:ascii="Times New Roman" w:hAnsi="Times New Roman" w:cs="Times New Roman"/>
        </w:rPr>
        <w:t xml:space="preserve"> The application development is described in details elsewhere.</w:t>
      </w:r>
      <w:r w:rsidRPr="002B5BF5">
        <w:rPr>
          <w:rFonts w:ascii="Times New Roman" w:hAnsi="Times New Roman" w:cs="Times New Roman"/>
        </w:rPr>
        <w:fldChar w:fldCharType="begin" w:fldLock="1"/>
      </w:r>
      <w:r w:rsidR="002D00B1" w:rsidRPr="002B5BF5">
        <w:rPr>
          <w:rFonts w:ascii="Times New Roman" w:hAnsi="Times New Roman" w:cs="Times New Roman"/>
        </w:rPr>
        <w:instrText xml:space="preserve">ADDIN CSL_CITATION {"citationItems":[{"id":"ITEM-1","itemData":{"DOI":"10.1186/s12889-019-7277-0","ISSN":"1471-2458","abstract":"To realize the full benefits of treatment as prevention in many hyperendemic African contexts, there is an urgent need to increase uptake of HIV testing and HIV treatment among men to reduce the rate of HIV transmission to (particularly young) women. This trial aims to evaluate the effect of two interventions - micro-incentives and a tablet-based male-targeted HIV decision support application - on increasing home-based HIV testing and linkage to HIV care among men with the ultimate aim of reducing HIV-related mortality in men and HIV incidence in young women. This is a cluster randomized trial of 45 communities (clusters) in a rural area in the uMkhanyakude district of KwaZulu Natal, South Africa (2018–2021). The study is built upon the Africa Health Research Institute (AHRI)‘s HIV testing platform, which offers annual home-based rapid HIV testing to individuals aged 15 years and above. In a 2 × 2 factorial design, individuals aged </w:instrText>
      </w:r>
      <w:r w:rsidR="002D00B1" w:rsidRPr="002B5BF5">
        <w:rPr>
          <w:rFonts w:ascii="Times New Roman" w:hAnsi="Times New Roman" w:cs="Times New Roman" w:hint="eastAsia"/>
        </w:rPr>
        <w:instrText>≥</w:instrText>
      </w:r>
      <w:r w:rsidR="002D00B1" w:rsidRPr="002B5BF5">
        <w:rPr>
          <w:rFonts w:ascii="Times New Roman" w:hAnsi="Times New Roman" w:cs="Times New Roman"/>
        </w:rPr>
        <w:instrText>15 years living in the 45 clusters are randomly assigned to one of four arms: i) a financial micro-incentive (food voucher) (n = 8); ii) male-targeted HIV specific decision support (EPIC-HIV) (n = 8); iii) both the micro incentives and male-targeted decision support (n = 8); and iv) standard of care (n = 21). The EPIC-HIV application is developed and delivered via a tablet to encourage HIV testing and linkage to care among men. A mixed method approach is adopted to supplement the randomized control trial and meet the study aims. The findings of this trial will provide evidence on the feasibility and causal impact of two interventions - micro-incentives and a male-targeted HIV specific decision support - on uptake of home-based HIV testing, linkage to care, as well as population health outcomes including population viral load, HIV related mortality in men, and HIV incidence in young women (15-30 years of age). This trial was registered on 28 November 2018 on, identifier \n                    https://clinicaltrials.gov/\n                    \n                  .","author":[{"dropping-particle":"","family":"Mathenjwa","given":"T.","non-dropping-particle":"","parse-names":false,"suffix":""},{"dropping-particle":"","family":"Kim","given":"H.-Y.","non-dropping-particle":"","parse-names":false,"suffix":""},{"dropping-particle":"","family":"Zuma","given":"T.","non-dropping-particle":"","parse-names":false,"suffix":""},{"dropping-particle":"","family":"Shahmanesh","given":"M.","non-dropping-particle":"","parse-names":false,"suffix":""},{"dropping-particle":"","family":"Seeley","given":"J.","non-dropping-particle":"","parse-names":false,"suffix":""},{"dropping-particle":"","family":"Matthews","given":"P.","non-dropping-particle":"","parse-names":false,"suffix":""},{"dropping-particle":"","family":"Wyke","given":"S.","non-dropping-particle":"","parse-names":false,"suffix":""},{"dropping-particle":"","family":"McGrath","given":"N.","non-dropping-particle":"","parse-names":false,"suffix":""},{"dropping-particle":"","family":"Sartorius","given":"B.","non-dropping-particle":"","parse-names":false,"suffix":""},{"dropping-particle":"","family":"Yapa","given":"H. M.","non-dropping-particle":"","parse-names":false,"suffix":""},{"dropping-particle":"","family":"Adeagbo","given":"O.","non-dropping-particle":"","parse-names":false,"suffix":""},{"dropping-particle":"","family":"Blandford","given":"A.","non-dropping-particle":"","parse-names":false,"suffix":""},{"dropping-particle":"","family":"Dobra","given":"A.","non-dropping-particle":"","parse-names":false,"suffix":""},{"dropping-particle":"","family":"Bäernighausen","given":"T.","non-dropping-particle":"","parse-names":false,"suffix":""},{"dropping-particle":"","family":"Tanser","given":"F.","non-dropping-particle":"","parse-names":false,"suffix":""}],"container-title":"BMC Public Health","id":"ITEM-1","issue":"1","issued":{"date-parts":[["2019","12","19"]]},"page":"969","publisher":"BioMed Central","title":"Home-based intervention to test and start (HITS) protocol: a cluster-randomized controlled trial to reduce HIV-related mortality in men and HIV incidence in women through increased coverage of HIV treatment","type":"article-journal","volume":"19"},"uris":["http://www.mendeley.com/documents/?uuid=3049c142-1f24-3dee-916b-525b98d35668"]}],"mendeley":{"formattedCitation":"&lt;sup&gt;34&lt;/sup&gt;","plainTextFormattedCitation":"34","previouslyFormattedCitation":"&lt;sup&gt;34&lt;/sup&gt;"},"properties":{"noteIndex":0},"schema":"https://github.com/citation-style-language/schema/raw/master/csl-citation.json"}</w:instrText>
      </w:r>
      <w:r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34</w:t>
      </w:r>
      <w:r w:rsidRPr="002B5BF5">
        <w:rPr>
          <w:rFonts w:ascii="Times New Roman" w:hAnsi="Times New Roman" w:cs="Times New Roman"/>
        </w:rPr>
        <w:fldChar w:fldCharType="end"/>
      </w:r>
      <w:r w:rsidRPr="002B5BF5">
        <w:rPr>
          <w:rFonts w:ascii="Times New Roman" w:hAnsi="Times New Roman" w:cs="Times New Roman"/>
        </w:rPr>
        <w:t xml:space="preserve"> </w:t>
      </w:r>
      <w:bookmarkStart w:id="13" w:name="_Hlk54530215"/>
      <w:r w:rsidRPr="002B5BF5">
        <w:rPr>
          <w:rFonts w:ascii="Times New Roman" w:hAnsi="Times New Roman" w:cs="Times New Roman"/>
        </w:rPr>
        <w:t xml:space="preserve">EPIC-HIV 1 was delivered to men prior to the HIV test offer to support their decision whether to take a rapid HIV test or not. </w:t>
      </w:r>
      <w:bookmarkStart w:id="14" w:name="_Hlk54543642"/>
      <w:r w:rsidR="006B06FE" w:rsidRPr="002B5BF5">
        <w:rPr>
          <w:rFonts w:ascii="Times New Roman" w:hAnsi="Times New Roman" w:cs="Times New Roman"/>
        </w:rPr>
        <w:t xml:space="preserve">The app was designed to be administered in 5-10 min. </w:t>
      </w:r>
      <w:r w:rsidR="00AC23EF" w:rsidRPr="002B5BF5">
        <w:rPr>
          <w:rFonts w:ascii="Times New Roman" w:hAnsi="Times New Roman" w:cs="Times New Roman"/>
        </w:rPr>
        <w:t xml:space="preserve">Participants were able to </w:t>
      </w:r>
      <w:r w:rsidR="006B06FE" w:rsidRPr="002B5BF5">
        <w:rPr>
          <w:rFonts w:ascii="Times New Roman" w:hAnsi="Times New Roman" w:cs="Times New Roman"/>
        </w:rPr>
        <w:t xml:space="preserve">privately </w:t>
      </w:r>
      <w:r w:rsidR="00AC23EF" w:rsidRPr="002B5BF5">
        <w:rPr>
          <w:rFonts w:ascii="Times New Roman" w:hAnsi="Times New Roman" w:cs="Times New Roman"/>
        </w:rPr>
        <w:t>self-navigate the application</w:t>
      </w:r>
      <w:r w:rsidR="009209A8" w:rsidRPr="002B5BF5">
        <w:rPr>
          <w:rFonts w:ascii="Times New Roman" w:hAnsi="Times New Roman" w:cs="Times New Roman"/>
        </w:rPr>
        <w:t xml:space="preserve"> using a provided earphone</w:t>
      </w:r>
      <w:r w:rsidR="006B06FE" w:rsidRPr="002B5BF5">
        <w:rPr>
          <w:rFonts w:ascii="Times New Roman" w:hAnsi="Times New Roman" w:cs="Times New Roman"/>
        </w:rPr>
        <w:t xml:space="preserve"> </w:t>
      </w:r>
      <w:r w:rsidR="00AC23EF" w:rsidRPr="002B5BF5">
        <w:rPr>
          <w:rFonts w:ascii="Times New Roman" w:hAnsi="Times New Roman" w:cs="Times New Roman"/>
        </w:rPr>
        <w:t xml:space="preserve">and listen to </w:t>
      </w:r>
      <w:r w:rsidR="006B06FE" w:rsidRPr="002B5BF5">
        <w:rPr>
          <w:rFonts w:ascii="Times New Roman" w:hAnsi="Times New Roman" w:cs="Times New Roman"/>
        </w:rPr>
        <w:t xml:space="preserve">the story of a chosen character. </w:t>
      </w:r>
      <w:bookmarkEnd w:id="13"/>
      <w:bookmarkEnd w:id="14"/>
      <w:r w:rsidRPr="002B5BF5">
        <w:rPr>
          <w:rFonts w:ascii="Times New Roman" w:hAnsi="Times New Roman" w:cs="Times New Roman"/>
        </w:rPr>
        <w:t xml:space="preserve">If participants did not link to HIV care within a month of a positive HIV test, a study tracker re-visited and offered them another counselling application (EPIC-HIV 2), which is designed to address barriers to seek HIV treatment and encourage them to link to HIV care. </w:t>
      </w:r>
    </w:p>
    <w:p w14:paraId="4BB48AE8" w14:textId="77777777" w:rsidR="00B96FBD" w:rsidRPr="002B5BF5" w:rsidRDefault="00B96FBD" w:rsidP="00EF06AA">
      <w:pPr>
        <w:autoSpaceDE w:val="0"/>
        <w:autoSpaceDN w:val="0"/>
        <w:adjustRightInd w:val="0"/>
        <w:spacing w:after="0" w:line="360" w:lineRule="auto"/>
        <w:jc w:val="both"/>
        <w:rPr>
          <w:rFonts w:ascii="Times New Roman" w:hAnsi="Times New Roman" w:cs="Times New Roman"/>
        </w:rPr>
      </w:pPr>
    </w:p>
    <w:p w14:paraId="48357E4E" w14:textId="77777777" w:rsidR="00EF06AA" w:rsidRPr="002B5BF5" w:rsidRDefault="00EF06AA" w:rsidP="00EF06AA">
      <w:pPr>
        <w:autoSpaceDE w:val="0"/>
        <w:autoSpaceDN w:val="0"/>
        <w:adjustRightInd w:val="0"/>
        <w:spacing w:after="0" w:line="360" w:lineRule="auto"/>
        <w:jc w:val="both"/>
        <w:rPr>
          <w:rFonts w:ascii="Times New Roman" w:hAnsi="Times New Roman" w:cs="Times New Roman"/>
          <w:b/>
        </w:rPr>
      </w:pPr>
      <w:r w:rsidRPr="002B5BF5">
        <w:rPr>
          <w:rFonts w:ascii="Times New Roman" w:hAnsi="Times New Roman" w:cs="Times New Roman"/>
          <w:b/>
        </w:rPr>
        <w:lastRenderedPageBreak/>
        <w:t>Participants</w:t>
      </w:r>
    </w:p>
    <w:p w14:paraId="570B82A6" w14:textId="7837991C" w:rsidR="006B06FE" w:rsidRPr="002B5BF5" w:rsidRDefault="00EF06AA" w:rsidP="002A2880">
      <w:pPr>
        <w:spacing w:line="360" w:lineRule="auto"/>
        <w:jc w:val="both"/>
        <w:rPr>
          <w:rFonts w:ascii="Times New Roman" w:hAnsi="Times New Roman" w:cs="Times New Roman"/>
        </w:rPr>
      </w:pPr>
      <w:r w:rsidRPr="002B5BF5">
        <w:rPr>
          <w:rFonts w:ascii="Times New Roman" w:hAnsi="Times New Roman" w:cs="Times New Roman"/>
        </w:rPr>
        <w:t>Individuals were eligible if they were aged ≥15 years and residents of the households within the study area in the 45 clusters</w:t>
      </w:r>
      <w:r w:rsidR="002A2880" w:rsidRPr="002B5BF5">
        <w:rPr>
          <w:rFonts w:ascii="Times New Roman" w:hAnsi="Times New Roman" w:cs="Times New Roman"/>
        </w:rPr>
        <w:t xml:space="preserve">, agree to participate in the annual HIV surveillance, and willing to give written informed consent for trial participation. </w:t>
      </w:r>
      <w:r w:rsidRPr="002B5BF5">
        <w:rPr>
          <w:rFonts w:ascii="Times New Roman" w:hAnsi="Times New Roman" w:cs="Times New Roman"/>
          <w:lang w:val="en-AU"/>
        </w:rPr>
        <w:t>At randomization, we estimated that o</w:t>
      </w:r>
      <w:r w:rsidRPr="002B5BF5">
        <w:rPr>
          <w:rFonts w:ascii="Times New Roman" w:hAnsi="Times New Roman" w:cs="Times New Roman"/>
        </w:rPr>
        <w:t>f approximately 37,000 eligible participants in the 45 clusters, a total of 4,667 individuals would receive HITS interventions in the 24 intervention clusters and 4,900 individuals the standard-of-care in the 21 clusters, considering the expected contact rates and participation rates in the annual population-based HIV testing.</w:t>
      </w:r>
      <w:r w:rsidRPr="002B5BF5">
        <w:rPr>
          <w:rFonts w:ascii="Times New Roman" w:hAnsi="Times New Roman" w:cs="Times New Roman"/>
        </w:rPr>
        <w:fldChar w:fldCharType="begin" w:fldLock="1"/>
      </w:r>
      <w:r w:rsidR="002D00B1" w:rsidRPr="002B5BF5">
        <w:rPr>
          <w:rFonts w:ascii="Times New Roman" w:hAnsi="Times New Roman" w:cs="Times New Roman"/>
        </w:rPr>
        <w:instrText xml:space="preserve">ADDIN CSL_CITATION {"citationItems":[{"id":"ITEM-1","itemData":{"DOI":"10.1186/s12889-019-7277-0","ISSN":"1471-2458","abstract":"To realize the full benefits of treatment as prevention in many hyperendemic African contexts, there is an urgent need to increase uptake of HIV testing and HIV treatment among men to reduce the rate of HIV transmission to (particularly young) women. This trial aims to evaluate the effect of two interventions - micro-incentives and a tablet-based male-targeted HIV decision support application - on increasing home-based HIV testing and linkage to HIV care among men with the ultimate aim of reducing HIV-related mortality in men and HIV incidence in young women. This is a cluster randomized trial of 45 communities (clusters) in a rural area in the uMkhanyakude district of KwaZulu Natal, South Africa (2018–2021). The study is built upon the Africa Health Research Institute (AHRI)‘s HIV testing platform, which offers annual home-based rapid HIV testing to individuals aged 15 years and above. In a 2 × 2 factorial design, individuals aged </w:instrText>
      </w:r>
      <w:r w:rsidR="002D00B1" w:rsidRPr="002B5BF5">
        <w:rPr>
          <w:rFonts w:ascii="Times New Roman" w:hAnsi="Times New Roman" w:cs="Times New Roman" w:hint="eastAsia"/>
        </w:rPr>
        <w:instrText>≥</w:instrText>
      </w:r>
      <w:r w:rsidR="002D00B1" w:rsidRPr="002B5BF5">
        <w:rPr>
          <w:rFonts w:ascii="Times New Roman" w:hAnsi="Times New Roman" w:cs="Times New Roman"/>
        </w:rPr>
        <w:instrText>15 years living in the 45 clusters are randomly assigned to one of four arms: i) a financial micro-incentive (food voucher) (n = 8); ii) male-targeted HIV specific decision support (EPIC-HIV) (n = 8); iii) both the micro incentives and male-targeted decision support (n = 8); and iv) standard of care (n = 21). The EPIC-HIV application is developed and delivered via a tablet to encourage HIV testing and linkage to care among men. A mixed method approach is adopted to supplement the randomized control trial and meet the study aims. The findings of this trial will provide evidence on the feasibility and causal impact of two interventions - micro-incentives and a male-targeted HIV specific decision support - on uptake of home-based HIV testing, linkage to care, as well as population health outcomes including population viral load, HIV related mortality in men, and HIV incidence in young women (15-30 years of age). This trial was registered on 28 November 2018 on, identifier \n                    https://clinicaltrials.gov/\n                    \n                  .","author":[{"dropping-particle":"","family":"Mathenjwa","given":"T.","non-dropping-particle":"","parse-names":false,"suffix":""},{"dropping-particle":"","family":"Kim","given":"H.-Y.","non-dropping-particle":"","parse-names":false,"suffix":""},{"dropping-particle":"","family":"Zuma","given":"T.","non-dropping-particle":"","parse-names":false,"suffix":""},{"dropping-particle":"","family":"Shahmanesh","given":"M.","non-dropping-particle":"","parse-names":false,"suffix":""},{"dropping-particle":"","family":"Seeley","given":"J.","non-dropping-particle":"","parse-names":false,"suffix":""},{"dropping-particle":"","family":"Matthews","given":"P.","non-dropping-particle":"","parse-names":false,"suffix":""},{"dropping-particle":"","family":"Wyke","given":"S.","non-dropping-particle":"","parse-names":false,"suffix":""},{"dropping-particle":"","family":"McGrath","given":"N.","non-dropping-particle":"","parse-names":false,"suffix":""},{"dropping-particle":"","family":"Sartorius","given":"B.","non-dropping-particle":"","parse-names":false,"suffix":""},{"dropping-particle":"","family":"Yapa","given":"H. M.","non-dropping-particle":"","parse-names":false,"suffix":""},{"dropping-particle":"","family":"Adeagbo","given":"O.","non-dropping-particle":"","parse-names":false,"suffix":""},{"dropping-particle":"","family":"Blandford","given":"A.","non-dropping-particle":"","parse-names":false,"suffix":""},{"dropping-particle":"","family":"Dobra","given":"A.","non-dropping-particle":"","parse-names":false,"suffix":""},{"dropping-particle":"","family":"Bäernighausen","given":"T.","non-dropping-particle":"","parse-names":false,"suffix":""},{"dropping-particle":"","family":"Tanser","given":"F.","non-dropping-particle":"","parse-names":false,"suffix":""}],"container-title":"BMC Public Health","id":"ITEM-1","issue":"1","issued":{"date-parts":[["2019","12","19"]]},"page":"969","publisher":"BioMed Central","title":"Home-based intervention to test and start (HITS) protocol: a cluster-randomized controlled trial to reduce HIV-related mortality in men and HIV incidence in women through increased coverage of HIV treatment","type":"article-journal","volume":"19"},"uris":["http://www.mendeley.com/documents/?uuid=3049c142-1f24-3dee-916b-525b98d35668"]}],"mendeley":{"formattedCitation":"&lt;sup&gt;34&lt;/sup&gt;","plainTextFormattedCitation":"34","previouslyFormattedCitation":"&lt;sup&gt;34&lt;/sup&gt;"},"properties":{"noteIndex":0},"schema":"https://github.com/citation-style-language/schema/raw/master/csl-citation.json"}</w:instrText>
      </w:r>
      <w:r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34</w:t>
      </w:r>
      <w:r w:rsidRPr="002B5BF5">
        <w:rPr>
          <w:rFonts w:ascii="Times New Roman" w:hAnsi="Times New Roman" w:cs="Times New Roman"/>
        </w:rPr>
        <w:fldChar w:fldCharType="end"/>
      </w:r>
      <w:r w:rsidRPr="002B5BF5">
        <w:rPr>
          <w:rFonts w:ascii="Times New Roman" w:hAnsi="Times New Roman" w:cs="Times New Roman"/>
        </w:rPr>
        <w:t xml:space="preserve">  Written informed consent was sought for trial participation from all eligible individuals ≥18 years, whilst parental/guardian consent with child assent sought for eligible individuals aged 15-17 years. </w:t>
      </w:r>
    </w:p>
    <w:p w14:paraId="473B46BC" w14:textId="3BA8D54B" w:rsidR="00EF06AA" w:rsidRPr="002B5BF5" w:rsidRDefault="00EF06AA" w:rsidP="002A2880">
      <w:pPr>
        <w:spacing w:line="360" w:lineRule="auto"/>
        <w:jc w:val="both"/>
        <w:rPr>
          <w:rFonts w:ascii="Times New Roman" w:hAnsi="Times New Roman" w:cs="Times New Roman"/>
        </w:rPr>
      </w:pPr>
      <w:r w:rsidRPr="002B5BF5">
        <w:rPr>
          <w:rFonts w:ascii="Times New Roman" w:hAnsi="Times New Roman" w:cs="Times New Roman"/>
        </w:rPr>
        <w:t xml:space="preserve">Individuals were excluded from participation in the study if they have refused to participate in the annual population-based HIV testing or report to be already on ART. Individuals who self-reported as HIV-positive but not on ART were eligible to participate. </w:t>
      </w:r>
    </w:p>
    <w:p w14:paraId="48157050" w14:textId="77777777" w:rsidR="00EF06AA" w:rsidRPr="002B5BF5" w:rsidRDefault="00EF06AA" w:rsidP="00EF06AA">
      <w:pPr>
        <w:autoSpaceDE w:val="0"/>
        <w:autoSpaceDN w:val="0"/>
        <w:adjustRightInd w:val="0"/>
        <w:spacing w:after="0" w:line="360" w:lineRule="auto"/>
        <w:jc w:val="both"/>
        <w:rPr>
          <w:rFonts w:ascii="Times New Roman" w:hAnsi="Times New Roman" w:cs="Times New Roman"/>
          <w:b/>
          <w:bCs/>
        </w:rPr>
      </w:pPr>
    </w:p>
    <w:p w14:paraId="35F8DE18" w14:textId="77777777" w:rsidR="00EF06AA" w:rsidRPr="002B5BF5" w:rsidRDefault="00EF06AA" w:rsidP="00EF06AA">
      <w:pPr>
        <w:spacing w:line="360" w:lineRule="auto"/>
        <w:jc w:val="both"/>
        <w:rPr>
          <w:rFonts w:ascii="Times New Roman" w:hAnsi="Times New Roman" w:cs="Times New Roman"/>
        </w:rPr>
      </w:pPr>
    </w:p>
    <w:p w14:paraId="0DDCDDD4" w14:textId="77777777" w:rsidR="00EF06AA" w:rsidRPr="002B5BF5" w:rsidRDefault="00EF06AA" w:rsidP="00EF06AA">
      <w:pPr>
        <w:autoSpaceDE w:val="0"/>
        <w:autoSpaceDN w:val="0"/>
        <w:adjustRightInd w:val="0"/>
        <w:spacing w:after="0" w:line="360" w:lineRule="auto"/>
        <w:jc w:val="both"/>
        <w:rPr>
          <w:rFonts w:ascii="Times New Roman" w:hAnsi="Times New Roman" w:cs="Times New Roman"/>
          <w:b/>
        </w:rPr>
      </w:pPr>
      <w:r w:rsidRPr="002B5BF5">
        <w:rPr>
          <w:rFonts w:ascii="Times New Roman" w:hAnsi="Times New Roman" w:cs="Times New Roman"/>
          <w:b/>
        </w:rPr>
        <w:t xml:space="preserve">Outcomes </w:t>
      </w:r>
    </w:p>
    <w:p w14:paraId="6D36C1B7" w14:textId="77777777" w:rsidR="00EF06AA" w:rsidRPr="002B5BF5" w:rsidRDefault="00EF06AA" w:rsidP="00EF06AA">
      <w:pPr>
        <w:spacing w:line="360" w:lineRule="auto"/>
        <w:jc w:val="both"/>
        <w:rPr>
          <w:rFonts w:ascii="Times New Roman" w:hAnsi="Times New Roman" w:cs="Times New Roman"/>
        </w:rPr>
      </w:pPr>
      <w:r w:rsidRPr="002B5BF5">
        <w:rPr>
          <w:rFonts w:ascii="Times New Roman" w:hAnsi="Times New Roman" w:cs="Times New Roman"/>
        </w:rPr>
        <w:t>We report the uptake of home-based HIV testing among men, the first registered primary endpoint of the HITS trial.  Uptake was defined as acceptance and completion of home-based HIV testing (with the standard pre- and post-test HIV counselling).</w:t>
      </w:r>
    </w:p>
    <w:p w14:paraId="68B2700E" w14:textId="77777777" w:rsidR="00EF06AA" w:rsidRPr="002B5BF5" w:rsidRDefault="00EF06AA" w:rsidP="00EF06AA">
      <w:pPr>
        <w:autoSpaceDE w:val="0"/>
        <w:autoSpaceDN w:val="0"/>
        <w:adjustRightInd w:val="0"/>
        <w:spacing w:after="0" w:line="360" w:lineRule="auto"/>
        <w:jc w:val="both"/>
        <w:rPr>
          <w:rFonts w:ascii="Times New Roman" w:hAnsi="Times New Roman" w:cs="Times New Roman"/>
        </w:rPr>
      </w:pPr>
    </w:p>
    <w:p w14:paraId="2081BC8D" w14:textId="77777777" w:rsidR="00EF06AA" w:rsidRPr="002B5BF5" w:rsidRDefault="00EF06AA" w:rsidP="00EF06AA">
      <w:pPr>
        <w:autoSpaceDE w:val="0"/>
        <w:autoSpaceDN w:val="0"/>
        <w:adjustRightInd w:val="0"/>
        <w:spacing w:after="0" w:line="360" w:lineRule="auto"/>
        <w:jc w:val="both"/>
        <w:rPr>
          <w:rFonts w:ascii="Times New Roman" w:hAnsi="Times New Roman" w:cs="Times New Roman"/>
          <w:b/>
        </w:rPr>
      </w:pPr>
      <w:r w:rsidRPr="002B5BF5">
        <w:rPr>
          <w:rFonts w:ascii="Times New Roman" w:hAnsi="Times New Roman" w:cs="Times New Roman"/>
          <w:b/>
        </w:rPr>
        <w:t>Randomisation and blinding</w:t>
      </w:r>
    </w:p>
    <w:p w14:paraId="2C2B438B" w14:textId="77777777" w:rsidR="00EF06AA" w:rsidRPr="002B5BF5" w:rsidRDefault="00EF06AA" w:rsidP="00EF06AA">
      <w:pPr>
        <w:spacing w:after="0" w:line="360" w:lineRule="auto"/>
        <w:rPr>
          <w:rFonts w:ascii="Times New Roman" w:hAnsi="Times New Roman" w:cs="Times New Roman"/>
        </w:rPr>
      </w:pPr>
      <w:r w:rsidRPr="002B5BF5">
        <w:rPr>
          <w:rFonts w:ascii="Times New Roman" w:hAnsi="Times New Roman" w:cs="Times New Roman"/>
        </w:rPr>
        <w:t>Randomisation was conducted to ensure balance across the arms using stratified sampling at the community-level based on the HIV incidence among young females aged 15-30 years. The 45-week blocks (i.e. community clusters) were divided into four strata according to their HIV incidence rates such that stratum 1 comprised community clusters with the lowest incidence rate, while stratum 4 comprised community clusters with the highest incidence rate.  Each of the intervention arms consisted of two community clusters from each of the four incidence strata (thus a total of eight community clusters per arm). The SoC arm consisted of five community clusters from each of the incidence stratum 1, 2, and 4, and six community clusters from incidence stratum 3 (thus a total of 21 community clusters). The trial was an open-labelled without blinding neither to investigators nor participants.</w:t>
      </w:r>
    </w:p>
    <w:p w14:paraId="12CAE891" w14:textId="77777777" w:rsidR="00EF06AA" w:rsidRPr="002B5BF5" w:rsidRDefault="00EF06AA" w:rsidP="00EF06AA">
      <w:pPr>
        <w:autoSpaceDE w:val="0"/>
        <w:autoSpaceDN w:val="0"/>
        <w:adjustRightInd w:val="0"/>
        <w:spacing w:after="0" w:line="360" w:lineRule="auto"/>
        <w:jc w:val="both"/>
        <w:rPr>
          <w:rFonts w:ascii="Times New Roman" w:hAnsi="Times New Roman" w:cs="Times New Roman"/>
        </w:rPr>
      </w:pPr>
    </w:p>
    <w:p w14:paraId="0D48B794" w14:textId="77777777" w:rsidR="00EF06AA" w:rsidRPr="002B5BF5" w:rsidRDefault="00EF06AA" w:rsidP="00EF06AA">
      <w:pPr>
        <w:autoSpaceDE w:val="0"/>
        <w:autoSpaceDN w:val="0"/>
        <w:adjustRightInd w:val="0"/>
        <w:spacing w:after="0" w:line="360" w:lineRule="auto"/>
        <w:jc w:val="both"/>
        <w:rPr>
          <w:rFonts w:ascii="Times New Roman" w:hAnsi="Times New Roman" w:cs="Times New Roman"/>
          <w:b/>
          <w:bCs/>
        </w:rPr>
      </w:pPr>
      <w:r w:rsidRPr="002B5BF5">
        <w:rPr>
          <w:rFonts w:ascii="Times New Roman" w:hAnsi="Times New Roman" w:cs="Times New Roman"/>
          <w:b/>
          <w:bCs/>
        </w:rPr>
        <w:t xml:space="preserve">Sample size and power calculation </w:t>
      </w:r>
    </w:p>
    <w:p w14:paraId="4AAB35C4" w14:textId="1F68C50D" w:rsidR="001D59C6" w:rsidRPr="002B5BF5" w:rsidRDefault="00EF06AA" w:rsidP="00EF06AA">
      <w:pPr>
        <w:tabs>
          <w:tab w:val="left" w:pos="1508"/>
        </w:tabs>
        <w:autoSpaceDE w:val="0"/>
        <w:autoSpaceDN w:val="0"/>
        <w:adjustRightInd w:val="0"/>
        <w:spacing w:after="0" w:line="360" w:lineRule="auto"/>
        <w:jc w:val="both"/>
        <w:rPr>
          <w:rFonts w:ascii="Times New Roman" w:hAnsi="Times New Roman" w:cs="Times New Roman"/>
        </w:rPr>
      </w:pPr>
      <w:r w:rsidRPr="002B5BF5">
        <w:rPr>
          <w:rFonts w:ascii="Times New Roman" w:hAnsi="Times New Roman" w:cs="Times New Roman"/>
        </w:rPr>
        <w:t xml:space="preserve">The study was powered to achieve a 25% reduction in HIV incidence among females aged 15–30 years in the intervention arms. Using the AHRI’s actual HIV incidence data, we </w:t>
      </w:r>
      <w:r w:rsidR="001D59C6" w:rsidRPr="002B5BF5">
        <w:rPr>
          <w:rFonts w:ascii="Times New Roman" w:hAnsi="Times New Roman" w:cs="Times New Roman"/>
        </w:rPr>
        <w:t>estimated to be able to detect</w:t>
      </w:r>
    </w:p>
    <w:p w14:paraId="39B76562" w14:textId="347DEEDA" w:rsidR="00EF06AA" w:rsidRPr="002B5BF5" w:rsidRDefault="00EF06AA" w:rsidP="00EF06AA">
      <w:pPr>
        <w:tabs>
          <w:tab w:val="left" w:pos="1508"/>
        </w:tabs>
        <w:autoSpaceDE w:val="0"/>
        <w:autoSpaceDN w:val="0"/>
        <w:adjustRightInd w:val="0"/>
        <w:spacing w:after="0" w:line="360" w:lineRule="auto"/>
        <w:jc w:val="both"/>
        <w:rPr>
          <w:rFonts w:ascii="Times New Roman" w:hAnsi="Times New Roman" w:cs="Times New Roman"/>
        </w:rPr>
      </w:pPr>
      <w:r w:rsidRPr="002B5BF5">
        <w:rPr>
          <w:rFonts w:ascii="Times New Roman" w:hAnsi="Times New Roman" w:cs="Times New Roman"/>
        </w:rPr>
        <w:lastRenderedPageBreak/>
        <w:t xml:space="preserve">a 25% reduction in HIV incidence in the financial incentives only arm, 25% reduction in the EPIC-HIV only arm and a 37% reduction in the combined arm after 3-years of follow-up in &gt;80% of power of simulation replicates (p &lt;0.05), accounting for grouping of the clusters in the four arms. Therefore, if we were to introduce the HITS intervention in 2018 and follow young females for at least 3 years post-intervention (i.e. utilize a total of 17 years of incidence from 2004 to 2021), we would expect to be in excess of 90% power to detect such a reduction in incidence among females aged 15-30 years. </w:t>
      </w:r>
    </w:p>
    <w:p w14:paraId="4BB9386B" w14:textId="77777777" w:rsidR="00EF06AA" w:rsidRPr="002B5BF5" w:rsidRDefault="00EF06AA" w:rsidP="00EF06AA">
      <w:pPr>
        <w:spacing w:line="360" w:lineRule="auto"/>
        <w:jc w:val="both"/>
        <w:rPr>
          <w:rFonts w:ascii="Times New Roman" w:hAnsi="Times New Roman" w:cs="Times New Roman"/>
          <w:b/>
        </w:rPr>
      </w:pPr>
    </w:p>
    <w:p w14:paraId="1BB63638" w14:textId="77777777" w:rsidR="00EF06AA" w:rsidRPr="002B5BF5" w:rsidRDefault="00EF06AA" w:rsidP="00EF06AA">
      <w:pPr>
        <w:spacing w:line="360" w:lineRule="auto"/>
        <w:jc w:val="both"/>
        <w:rPr>
          <w:rFonts w:ascii="Times New Roman" w:hAnsi="Times New Roman" w:cs="Times New Roman"/>
          <w:b/>
        </w:rPr>
      </w:pPr>
      <w:r w:rsidRPr="002B5BF5">
        <w:rPr>
          <w:rFonts w:ascii="Times New Roman" w:hAnsi="Times New Roman" w:cs="Times New Roman"/>
          <w:b/>
        </w:rPr>
        <w:t>Implementation</w:t>
      </w:r>
    </w:p>
    <w:p w14:paraId="384AB18D" w14:textId="77777777" w:rsidR="00EF06AA" w:rsidRPr="002B5BF5" w:rsidRDefault="00EF06AA" w:rsidP="00EF06AA">
      <w:pPr>
        <w:spacing w:line="360" w:lineRule="auto"/>
        <w:jc w:val="both"/>
        <w:rPr>
          <w:rFonts w:ascii="Times New Roman" w:hAnsi="Times New Roman" w:cs="Times New Roman"/>
          <w:bCs/>
        </w:rPr>
      </w:pPr>
      <w:r w:rsidRPr="002B5BF5">
        <w:rPr>
          <w:rFonts w:ascii="Times New Roman" w:hAnsi="Times New Roman" w:cs="Times New Roman"/>
          <w:bCs/>
        </w:rPr>
        <w:t xml:space="preserve">The trial statistician (AD) performed the stratified randomization of communities prior to intervention rollout. Fieldwork teams enrolled and offered interventions to participants when eligible. Individual consent was sought after cluster randomization. </w:t>
      </w:r>
    </w:p>
    <w:p w14:paraId="248A3256" w14:textId="77777777" w:rsidR="00EF06AA" w:rsidRPr="002B5BF5" w:rsidRDefault="00EF06AA" w:rsidP="00EF06AA">
      <w:pPr>
        <w:spacing w:line="360" w:lineRule="auto"/>
        <w:jc w:val="both"/>
        <w:rPr>
          <w:rFonts w:ascii="Times New Roman" w:hAnsi="Times New Roman" w:cs="Times New Roman"/>
          <w:b/>
        </w:rPr>
      </w:pPr>
    </w:p>
    <w:p w14:paraId="64B9C4FD" w14:textId="77777777" w:rsidR="00EF06AA" w:rsidRPr="002B5BF5" w:rsidRDefault="00EF06AA" w:rsidP="00EF06AA">
      <w:pPr>
        <w:spacing w:line="360" w:lineRule="auto"/>
        <w:jc w:val="both"/>
        <w:rPr>
          <w:rFonts w:ascii="Times New Roman" w:hAnsi="Times New Roman" w:cs="Times New Roman"/>
          <w:b/>
        </w:rPr>
      </w:pPr>
      <w:r w:rsidRPr="002B5BF5">
        <w:rPr>
          <w:rFonts w:ascii="Times New Roman" w:hAnsi="Times New Roman" w:cs="Times New Roman"/>
          <w:b/>
        </w:rPr>
        <w:t>Statistical methods</w:t>
      </w:r>
    </w:p>
    <w:p w14:paraId="45C6FD25" w14:textId="5513BD90" w:rsidR="00EF06AA" w:rsidRPr="002B5BF5" w:rsidRDefault="00EF06AA" w:rsidP="00EF06AA">
      <w:pPr>
        <w:spacing w:line="360" w:lineRule="auto"/>
        <w:rPr>
          <w:rFonts w:ascii="Times New Roman" w:hAnsi="Times New Roman" w:cs="Times New Roman"/>
        </w:rPr>
      </w:pPr>
      <w:r w:rsidRPr="002B5BF5">
        <w:rPr>
          <w:rFonts w:ascii="Times New Roman" w:hAnsi="Times New Roman" w:cs="Times New Roman"/>
        </w:rPr>
        <w:t>The primary analysis was conducted using the intent-to-treat (ITT) analysis for all men randomized at the community level. We used generalized linear models with Poisson distribution and robust error terms, adjusting for community-level clustering through random effects. We also examined the effect of financial incentives and EPIC-HIV separately in the factorial analysis and interaction effects between the two interventions. We then limited the analysis to those who participated in the population-based annual HIV survey and were offered the interventions. All analyses were conducted in STATA 15.1 (</w:t>
      </w:r>
      <w:proofErr w:type="spellStart"/>
      <w:r w:rsidRPr="002B5BF5">
        <w:rPr>
          <w:rFonts w:ascii="Times New Roman" w:hAnsi="Times New Roman" w:cs="Times New Roman"/>
        </w:rPr>
        <w:t>StataCorp</w:t>
      </w:r>
      <w:proofErr w:type="spellEnd"/>
      <w:r w:rsidRPr="002B5BF5">
        <w:rPr>
          <w:rFonts w:ascii="Times New Roman" w:hAnsi="Times New Roman" w:cs="Times New Roman"/>
        </w:rPr>
        <w:t xml:space="preserve">) and R 3.5.2. The supporting CONSORT checklist and flowchart are available </w:t>
      </w:r>
      <w:r w:rsidR="00E40E5B" w:rsidRPr="002B5BF5">
        <w:rPr>
          <w:rFonts w:ascii="Times New Roman" w:hAnsi="Times New Roman" w:cs="Times New Roman"/>
        </w:rPr>
        <w:t>as supplement</w:t>
      </w:r>
      <w:r w:rsidR="00733B9A" w:rsidRPr="002B5BF5">
        <w:rPr>
          <w:rFonts w:ascii="Times New Roman" w:hAnsi="Times New Roman" w:cs="Times New Roman"/>
        </w:rPr>
        <w:t>al information</w:t>
      </w:r>
      <w:r w:rsidRPr="002B5BF5">
        <w:rPr>
          <w:rFonts w:ascii="Times New Roman" w:hAnsi="Times New Roman" w:cs="Times New Roman"/>
        </w:rPr>
        <w:t xml:space="preserve"> (Figure S1 CONSORT Checklist; Text S1 CONSORT Flowchart). </w:t>
      </w:r>
    </w:p>
    <w:p w14:paraId="3BAA9ACE" w14:textId="77777777" w:rsidR="006C762C" w:rsidRPr="002B5BF5" w:rsidRDefault="006C762C" w:rsidP="006C762C">
      <w:pPr>
        <w:spacing w:line="360" w:lineRule="auto"/>
        <w:jc w:val="both"/>
        <w:rPr>
          <w:rFonts w:ascii="Times New Roman" w:hAnsi="Times New Roman" w:cs="Times New Roman"/>
          <w:b/>
        </w:rPr>
      </w:pPr>
      <w:r w:rsidRPr="002B5BF5">
        <w:rPr>
          <w:rFonts w:ascii="Times New Roman" w:hAnsi="Times New Roman" w:cs="Times New Roman"/>
          <w:b/>
        </w:rPr>
        <w:t>Ethics statement</w:t>
      </w:r>
    </w:p>
    <w:p w14:paraId="1B01983F" w14:textId="34C5D609" w:rsidR="006C762C" w:rsidRPr="002B5BF5" w:rsidRDefault="006C762C" w:rsidP="006C762C">
      <w:pPr>
        <w:spacing w:line="360" w:lineRule="auto"/>
        <w:jc w:val="both"/>
        <w:rPr>
          <w:rFonts w:ascii="Times New Roman" w:hAnsi="Times New Roman" w:cs="Times New Roman"/>
        </w:rPr>
      </w:pPr>
      <w:r w:rsidRPr="002B5BF5">
        <w:rPr>
          <w:rFonts w:ascii="Times New Roman" w:hAnsi="Times New Roman" w:cs="Times New Roman"/>
        </w:rPr>
        <w:t>The study protocols for the AHRI’s population-based HIV testing platform and HITS intervention were approved by the Biomedical Research Ethics Committee of the University of KwaZulu-Natal (BE290/16 and BFC398/16).</w:t>
      </w:r>
      <w:r w:rsidRPr="002B5BF5">
        <w:rPr>
          <w:rFonts w:ascii="Times New Roman" w:hAnsi="Times New Roman" w:cs="Times New Roman"/>
        </w:rPr>
        <w:fldChar w:fldCharType="begin" w:fldLock="1"/>
      </w:r>
      <w:r w:rsidR="002D00B1" w:rsidRPr="002B5BF5">
        <w:rPr>
          <w:rFonts w:ascii="Times New Roman" w:hAnsi="Times New Roman" w:cs="Times New Roman"/>
        </w:rPr>
        <w:instrText xml:space="preserve">ADDIN CSL_CITATION {"citationItems":[{"id":"ITEM-1","itemData":{"DOI":"10.1186/s12889-019-7277-0","ISSN":"1471-2458","abstract":"To realize the full benefits of treatment as prevention in many hyperendemic African contexts, there is an urgent need to increase uptake of HIV testing and HIV treatment among men to reduce the rate of HIV transmission to (particularly young) women. This trial aims to evaluate the effect of two interventions - micro-incentives and a tablet-based male-targeted HIV decision support application - on increasing home-based HIV testing and linkage to HIV care among men with the ultimate aim of reducing HIV-related mortality in men and HIV incidence in young women. This is a cluster randomized trial of 45 communities (clusters) in a rural area in the uMkhanyakude district of KwaZulu Natal, South Africa (2018–2021). The study is built upon the Africa Health Research Institute (AHRI)‘s HIV testing platform, which offers annual home-based rapid HIV testing to individuals aged 15 years and above. In a 2 × 2 factorial design, individuals aged </w:instrText>
      </w:r>
      <w:r w:rsidR="002D00B1" w:rsidRPr="002B5BF5">
        <w:rPr>
          <w:rFonts w:ascii="Times New Roman" w:hAnsi="Times New Roman" w:cs="Times New Roman" w:hint="eastAsia"/>
        </w:rPr>
        <w:instrText>≥</w:instrText>
      </w:r>
      <w:r w:rsidR="002D00B1" w:rsidRPr="002B5BF5">
        <w:rPr>
          <w:rFonts w:ascii="Times New Roman" w:hAnsi="Times New Roman" w:cs="Times New Roman"/>
        </w:rPr>
        <w:instrText>15 years living in the 45 clusters are randomly assigned to one of four arms: i) a financial micro-incentive (food voucher) (n = 8); ii) male-targeted HIV specific decision support (EPIC-HIV) (n = 8); iii) both the micro incentives and male-targeted decision support (n = 8); and iv) standard of care (n = 21). The EPIC-HIV application is developed and delivered via a tablet to encourage HIV testing and linkage to care among men. A mixed method approach is adopted to supplement the randomized control trial and meet the study aims. The findings of this trial will provide evidence on the feasibility and causal impact of two interventions - micro-incentives and a male-targeted HIV specific decision support - on uptake of home-based HIV testing, linkage to care, as well as population health outcomes including population viral load, HIV related mortality in men, and HIV incidence in young women (15-30 years of age). This trial was registered on 28 November 2018 on, identifier \n                    https://clinicaltrials.gov/\n                    \n                  .","author":[{"dropping-particle":"","family":"Mathenjwa","given":"T.","non-dropping-particle":"","parse-names":false,"suffix":""},{"dropping-particle":"","family":"Kim","given":"H.-Y.","non-dropping-particle":"","parse-names":false,"suffix":""},{"dropping-particle":"","family":"Zuma","given":"T.","non-dropping-particle":"","parse-names":false,"suffix":""},{"dropping-particle":"","family":"Shahmanesh","given":"M.","non-dropping-particle":"","parse-names":false,"suffix":""},{"dropping-particle":"","family":"Seeley","given":"J.","non-dropping-particle":"","parse-names":false,"suffix":""},{"dropping-particle":"","family":"Matthews","given":"P.","non-dropping-particle":"","parse-names":false,"suffix":""},{"dropping-particle":"","family":"Wyke","given":"S.","non-dropping-particle":"","parse-names":false,"suffix":""},{"dropping-particle":"","family":"McGrath","given":"N.","non-dropping-particle":"","parse-names":false,"suffix":""},{"dropping-particle":"","family":"Sartorius","given":"B.","non-dropping-particle":"","parse-names":false,"suffix":""},{"dropping-particle":"","family":"Yapa","given":"H. M.","non-dropping-particle":"","parse-names":false,"suffix":""},{"dropping-particle":"","family":"Adeagbo","given":"O.","non-dropping-particle":"","parse-names":false,"suffix":""},{"dropping-particle":"","family":"Blandford","given":"A.","non-dropping-particle":"","parse-names":false,"suffix":""},{"dropping-particle":"","family":"Dobra","given":"A.","non-dropping-particle":"","parse-names":false,"suffix":""},{"dropping-particle":"","family":"Bäernighausen","given":"T.","non-dropping-particle":"","parse-names":false,"suffix":""},{"dropping-particle":"","family":"Tanser","given":"F.","non-dropping-particle":"","parse-names":false,"suffix":""}],"container-title":"BMC Public Health","id":"ITEM-1","issue":"1","issued":{"date-parts":[["2019","12","19"]]},"page":"969","publisher":"BioMed Central","title":"Home-based intervention to test and start (HITS) protocol: a cluster-randomized controlled trial to reduce HIV-related mortality in men and HIV incidence in women through increased coverage of HIV treatment","type":"article-journal","volume":"19"},"uris":["http://www.mendeley.com/documents/?uuid=3049c142-1f24-3dee-916b-525b98d35668"]}],"mendeley":{"formattedCitation":"&lt;sup&gt;34&lt;/sup&gt;","plainTextFormattedCitation":"34","previouslyFormattedCitation":"&lt;sup&gt;34&lt;/sup&gt;"},"properties":{"noteIndex":0},"schema":"https://github.com/citation-style-language/schema/raw/master/csl-citation.json"}</w:instrText>
      </w:r>
      <w:r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34</w:t>
      </w:r>
      <w:r w:rsidRPr="002B5BF5">
        <w:rPr>
          <w:rFonts w:ascii="Times New Roman" w:hAnsi="Times New Roman" w:cs="Times New Roman"/>
        </w:rPr>
        <w:fldChar w:fldCharType="end"/>
      </w:r>
      <w:r w:rsidRPr="002B5BF5">
        <w:rPr>
          <w:rFonts w:ascii="Times New Roman" w:hAnsi="Times New Roman" w:cs="Times New Roman"/>
        </w:rPr>
        <w:t xml:space="preserve"> Permission for the trial was obtained from the KwaZulu-Natal Department of Health, South Africa. </w:t>
      </w:r>
      <w:bookmarkStart w:id="15" w:name="_Hlk54545854"/>
      <w:bookmarkStart w:id="16" w:name="_Hlk54872480"/>
      <w:r w:rsidR="008A6532" w:rsidRPr="002B5BF5">
        <w:rPr>
          <w:rFonts w:ascii="Times New Roman" w:hAnsi="Times New Roman" w:cs="Times New Roman"/>
        </w:rPr>
        <w:t>Participation in the HIV surveillance and HITS trial is completely voluntary</w:t>
      </w:r>
      <w:r w:rsidR="003D6FA8" w:rsidRPr="002B5BF5">
        <w:rPr>
          <w:rFonts w:ascii="Times New Roman" w:hAnsi="Times New Roman" w:cs="Times New Roman"/>
        </w:rPr>
        <w:t xml:space="preserve">. </w:t>
      </w:r>
      <w:r w:rsidR="00E11395" w:rsidRPr="002B5BF5">
        <w:rPr>
          <w:rFonts w:ascii="Times New Roman" w:hAnsi="Times New Roman" w:cs="Times New Roman"/>
        </w:rPr>
        <w:t>Individuals may choose to opt out or refuse to answer any component of the HIV surveillance and to withdraw at any time</w:t>
      </w:r>
      <w:r w:rsidR="008A6532" w:rsidRPr="002B5BF5">
        <w:rPr>
          <w:rFonts w:ascii="Times New Roman" w:hAnsi="Times New Roman" w:cs="Times New Roman"/>
        </w:rPr>
        <w:t>.</w:t>
      </w:r>
      <w:bookmarkEnd w:id="15"/>
      <w:r w:rsidR="008A6532" w:rsidRPr="002B5BF5">
        <w:rPr>
          <w:rFonts w:ascii="Times New Roman" w:hAnsi="Times New Roman" w:cs="Times New Roman"/>
        </w:rPr>
        <w:t xml:space="preserve"> </w:t>
      </w:r>
      <w:bookmarkEnd w:id="16"/>
      <w:r w:rsidRPr="002B5BF5">
        <w:rPr>
          <w:rFonts w:ascii="Times New Roman" w:hAnsi="Times New Roman" w:cs="Times New Roman"/>
        </w:rPr>
        <w:t>Written informed consent was sought from individuals aged ≥ 18 years, and parental or guardian consent with child assent for individuals of 15-17 years old were obtained.</w:t>
      </w:r>
    </w:p>
    <w:p w14:paraId="7DFC32E2" w14:textId="77777777" w:rsidR="00EF06AA" w:rsidRPr="002B5BF5" w:rsidRDefault="00EF06AA" w:rsidP="001C6BFE">
      <w:pPr>
        <w:spacing w:line="360" w:lineRule="auto"/>
        <w:jc w:val="both"/>
        <w:rPr>
          <w:rFonts w:ascii="Times New Roman" w:hAnsi="Times New Roman" w:cs="Times New Roman"/>
        </w:rPr>
      </w:pPr>
    </w:p>
    <w:p w14:paraId="36F78DB8" w14:textId="77777777" w:rsidR="00A74856" w:rsidRPr="002B5BF5" w:rsidRDefault="00FF1568" w:rsidP="00D85DE9">
      <w:pPr>
        <w:spacing w:line="360" w:lineRule="auto"/>
        <w:jc w:val="both"/>
        <w:rPr>
          <w:rFonts w:ascii="Times New Roman" w:hAnsi="Times New Roman" w:cs="Times New Roman"/>
          <w:b/>
        </w:rPr>
      </w:pPr>
      <w:r w:rsidRPr="002B5BF5">
        <w:rPr>
          <w:rFonts w:ascii="Times New Roman" w:hAnsi="Times New Roman" w:cs="Times New Roman"/>
          <w:b/>
        </w:rPr>
        <w:t xml:space="preserve">Results </w:t>
      </w:r>
    </w:p>
    <w:p w14:paraId="6BB2CEFA" w14:textId="3CAA8105" w:rsidR="002A4881" w:rsidRPr="002B5BF5" w:rsidRDefault="00C9206B" w:rsidP="00D85DE9">
      <w:pPr>
        <w:spacing w:line="360" w:lineRule="auto"/>
        <w:jc w:val="both"/>
        <w:rPr>
          <w:rFonts w:ascii="Times New Roman" w:hAnsi="Times New Roman" w:cs="Times New Roman"/>
        </w:rPr>
      </w:pPr>
      <w:r w:rsidRPr="002B5BF5">
        <w:rPr>
          <w:rFonts w:ascii="Times New Roman" w:hAnsi="Times New Roman" w:cs="Times New Roman"/>
        </w:rPr>
        <w:lastRenderedPageBreak/>
        <w:t xml:space="preserve">Overall, </w:t>
      </w:r>
      <w:r w:rsidR="005C2506" w:rsidRPr="002B5BF5">
        <w:rPr>
          <w:rFonts w:ascii="Times New Roman" w:hAnsi="Times New Roman" w:cs="Times New Roman"/>
        </w:rPr>
        <w:t>all</w:t>
      </w:r>
      <w:r w:rsidRPr="002B5BF5">
        <w:rPr>
          <w:rFonts w:ascii="Times New Roman" w:hAnsi="Times New Roman" w:cs="Times New Roman"/>
        </w:rPr>
        <w:t xml:space="preserve"> </w:t>
      </w:r>
      <w:r w:rsidR="00D55E02" w:rsidRPr="002B5BF5">
        <w:rPr>
          <w:rFonts w:ascii="Times New Roman" w:hAnsi="Times New Roman" w:cs="Times New Roman"/>
        </w:rPr>
        <w:t xml:space="preserve">15,488 men </w:t>
      </w:r>
      <w:r w:rsidR="005C2506" w:rsidRPr="002B5BF5">
        <w:rPr>
          <w:rFonts w:ascii="Times New Roman" w:hAnsi="Times New Roman" w:cs="Times New Roman"/>
        </w:rPr>
        <w:t xml:space="preserve">living in the </w:t>
      </w:r>
      <w:r w:rsidR="00D55E02" w:rsidRPr="002B5BF5">
        <w:rPr>
          <w:rFonts w:ascii="Times New Roman" w:hAnsi="Times New Roman" w:cs="Times New Roman"/>
        </w:rPr>
        <w:t>45</w:t>
      </w:r>
      <w:r w:rsidR="005C2506" w:rsidRPr="002B5BF5">
        <w:rPr>
          <w:rFonts w:ascii="Times New Roman" w:hAnsi="Times New Roman" w:cs="Times New Roman"/>
        </w:rPr>
        <w:t xml:space="preserve"> </w:t>
      </w:r>
      <w:r w:rsidR="002A4881" w:rsidRPr="002B5BF5">
        <w:rPr>
          <w:rFonts w:ascii="Times New Roman" w:hAnsi="Times New Roman" w:cs="Times New Roman"/>
        </w:rPr>
        <w:t xml:space="preserve">clusters </w:t>
      </w:r>
      <w:r w:rsidR="005C2506" w:rsidRPr="002B5BF5">
        <w:rPr>
          <w:rFonts w:ascii="Times New Roman" w:hAnsi="Times New Roman" w:cs="Times New Roman"/>
        </w:rPr>
        <w:t xml:space="preserve">in the study area were </w:t>
      </w:r>
      <w:r w:rsidR="0098151F" w:rsidRPr="002B5BF5">
        <w:rPr>
          <w:rFonts w:ascii="Times New Roman" w:hAnsi="Times New Roman" w:cs="Times New Roman"/>
        </w:rPr>
        <w:t xml:space="preserve">initially considered </w:t>
      </w:r>
      <w:r w:rsidR="005C2506" w:rsidRPr="002B5BF5">
        <w:rPr>
          <w:rFonts w:ascii="Times New Roman" w:hAnsi="Times New Roman" w:cs="Times New Roman"/>
        </w:rPr>
        <w:t>eligible for inclusion in the first primary outcome of the trial – uptake of testing among men</w:t>
      </w:r>
      <w:r w:rsidR="00D55E02" w:rsidRPr="002B5BF5">
        <w:rPr>
          <w:rFonts w:ascii="Times New Roman" w:hAnsi="Times New Roman" w:cs="Times New Roman"/>
        </w:rPr>
        <w:t xml:space="preserve">. </w:t>
      </w:r>
      <w:r w:rsidR="00A74856" w:rsidRPr="002B5BF5">
        <w:rPr>
          <w:rFonts w:ascii="Times New Roman" w:hAnsi="Times New Roman" w:cs="Times New Roman"/>
        </w:rPr>
        <w:t xml:space="preserve">Study participants were enrolled from February 2018 to December 2018. </w:t>
      </w:r>
      <w:r w:rsidR="00D55E02" w:rsidRPr="002B5BF5">
        <w:rPr>
          <w:rFonts w:ascii="Times New Roman" w:hAnsi="Times New Roman" w:cs="Times New Roman"/>
        </w:rPr>
        <w:t>Of these, 1</w:t>
      </w:r>
      <w:r w:rsidR="00232661" w:rsidRPr="002B5BF5">
        <w:rPr>
          <w:rFonts w:ascii="Times New Roman" w:hAnsi="Times New Roman" w:cs="Times New Roman"/>
        </w:rPr>
        <w:t>,</w:t>
      </w:r>
      <w:r w:rsidR="00D55E02" w:rsidRPr="002B5BF5">
        <w:rPr>
          <w:rFonts w:ascii="Times New Roman" w:hAnsi="Times New Roman" w:cs="Times New Roman"/>
        </w:rPr>
        <w:t>650 died or out-migrated</w:t>
      </w:r>
      <w:r w:rsidR="00CF54BA" w:rsidRPr="002B5BF5">
        <w:rPr>
          <w:rFonts w:ascii="Times New Roman" w:hAnsi="Times New Roman" w:cs="Times New Roman"/>
        </w:rPr>
        <w:t xml:space="preserve">. Of the </w:t>
      </w:r>
      <w:r w:rsidR="00D55E02" w:rsidRPr="002B5BF5">
        <w:rPr>
          <w:rFonts w:ascii="Times New Roman" w:hAnsi="Times New Roman" w:cs="Times New Roman"/>
        </w:rPr>
        <w:t>13,</w:t>
      </w:r>
      <w:r w:rsidR="008131F5" w:rsidRPr="002B5BF5">
        <w:rPr>
          <w:rFonts w:ascii="Times New Roman" w:hAnsi="Times New Roman" w:cs="Times New Roman"/>
        </w:rPr>
        <w:t>838</w:t>
      </w:r>
      <w:r w:rsidR="00CF54BA" w:rsidRPr="002B5BF5">
        <w:rPr>
          <w:rFonts w:ascii="Times New Roman" w:hAnsi="Times New Roman" w:cs="Times New Roman"/>
        </w:rPr>
        <w:t xml:space="preserve"> </w:t>
      </w:r>
      <w:r w:rsidR="00DA1285" w:rsidRPr="002B5BF5">
        <w:rPr>
          <w:rFonts w:ascii="Times New Roman" w:hAnsi="Times New Roman" w:cs="Times New Roman"/>
        </w:rPr>
        <w:t xml:space="preserve">remaining </w:t>
      </w:r>
      <w:r w:rsidR="002A4881" w:rsidRPr="002B5BF5">
        <w:rPr>
          <w:rFonts w:ascii="Times New Roman" w:hAnsi="Times New Roman" w:cs="Times New Roman"/>
        </w:rPr>
        <w:t xml:space="preserve">eligible </w:t>
      </w:r>
      <w:r w:rsidR="00DA1285" w:rsidRPr="002B5BF5">
        <w:rPr>
          <w:rFonts w:ascii="Times New Roman" w:hAnsi="Times New Roman" w:cs="Times New Roman"/>
        </w:rPr>
        <w:t>men</w:t>
      </w:r>
      <w:r w:rsidR="00D55E02" w:rsidRPr="002B5BF5">
        <w:rPr>
          <w:rFonts w:ascii="Times New Roman" w:hAnsi="Times New Roman" w:cs="Times New Roman"/>
        </w:rPr>
        <w:t xml:space="preserve">, 4,444 </w:t>
      </w:r>
      <w:r w:rsidR="00232661" w:rsidRPr="002B5BF5">
        <w:rPr>
          <w:rFonts w:ascii="Times New Roman" w:hAnsi="Times New Roman" w:cs="Times New Roman"/>
        </w:rPr>
        <w:t>(3</w:t>
      </w:r>
      <w:r w:rsidR="008131F5" w:rsidRPr="002B5BF5">
        <w:rPr>
          <w:rFonts w:ascii="Times New Roman" w:hAnsi="Times New Roman" w:cs="Times New Roman"/>
        </w:rPr>
        <w:t>2</w:t>
      </w:r>
      <w:r w:rsidR="00F75FEB" w:rsidRPr="002B5BF5">
        <w:rPr>
          <w:rFonts w:ascii="Times New Roman" w:hAnsi="Times New Roman" w:cs="Times New Roman"/>
        </w:rPr>
        <w:t>.1</w:t>
      </w:r>
      <w:r w:rsidR="00232661" w:rsidRPr="002B5BF5">
        <w:rPr>
          <w:rFonts w:ascii="Times New Roman" w:hAnsi="Times New Roman" w:cs="Times New Roman"/>
        </w:rPr>
        <w:t xml:space="preserve">%) </w:t>
      </w:r>
      <w:r w:rsidR="00D55E02" w:rsidRPr="002B5BF5">
        <w:rPr>
          <w:rFonts w:ascii="Times New Roman" w:hAnsi="Times New Roman" w:cs="Times New Roman"/>
        </w:rPr>
        <w:t xml:space="preserve">were never contacted </w:t>
      </w:r>
      <w:r w:rsidR="001856FD" w:rsidRPr="002B5BF5">
        <w:rPr>
          <w:rFonts w:ascii="Times New Roman" w:hAnsi="Times New Roman" w:cs="Times New Roman"/>
        </w:rPr>
        <w:t>(mainly due to absen</w:t>
      </w:r>
      <w:r w:rsidR="0001615B" w:rsidRPr="002B5BF5">
        <w:rPr>
          <w:rFonts w:ascii="Times New Roman" w:hAnsi="Times New Roman" w:cs="Times New Roman"/>
        </w:rPr>
        <w:t>c</w:t>
      </w:r>
      <w:r w:rsidR="001856FD" w:rsidRPr="002B5BF5">
        <w:rPr>
          <w:rFonts w:ascii="Times New Roman" w:hAnsi="Times New Roman" w:cs="Times New Roman"/>
        </w:rPr>
        <w:t xml:space="preserve">e at the time of </w:t>
      </w:r>
      <w:r w:rsidR="00A93142" w:rsidRPr="002B5BF5">
        <w:rPr>
          <w:rFonts w:ascii="Times New Roman" w:hAnsi="Times New Roman" w:cs="Times New Roman"/>
        </w:rPr>
        <w:t>HIV testing</w:t>
      </w:r>
      <w:r w:rsidR="0001615B" w:rsidRPr="002B5BF5">
        <w:rPr>
          <w:rFonts w:ascii="Times New Roman" w:hAnsi="Times New Roman" w:cs="Times New Roman"/>
        </w:rPr>
        <w:t xml:space="preserve"> despite several attempts to follow up</w:t>
      </w:r>
      <w:r w:rsidR="001856FD" w:rsidRPr="002B5BF5">
        <w:rPr>
          <w:rFonts w:ascii="Times New Roman" w:hAnsi="Times New Roman" w:cs="Times New Roman"/>
        </w:rPr>
        <w:t xml:space="preserve">), </w:t>
      </w:r>
      <w:r w:rsidR="00D55E02" w:rsidRPr="002B5BF5">
        <w:rPr>
          <w:rFonts w:ascii="Times New Roman" w:hAnsi="Times New Roman" w:cs="Times New Roman"/>
        </w:rPr>
        <w:t xml:space="preserve">4,522 </w:t>
      </w:r>
      <w:r w:rsidR="00232661" w:rsidRPr="002B5BF5">
        <w:rPr>
          <w:rFonts w:ascii="Times New Roman" w:hAnsi="Times New Roman" w:cs="Times New Roman"/>
        </w:rPr>
        <w:t>(3</w:t>
      </w:r>
      <w:r w:rsidR="00F75FEB" w:rsidRPr="002B5BF5">
        <w:rPr>
          <w:rFonts w:ascii="Times New Roman" w:hAnsi="Times New Roman" w:cs="Times New Roman"/>
        </w:rPr>
        <w:t>2.7</w:t>
      </w:r>
      <w:r w:rsidR="00232661" w:rsidRPr="002B5BF5">
        <w:rPr>
          <w:rFonts w:ascii="Times New Roman" w:hAnsi="Times New Roman" w:cs="Times New Roman"/>
        </w:rPr>
        <w:t xml:space="preserve">%) </w:t>
      </w:r>
      <w:r w:rsidR="00DA6A06" w:rsidRPr="002B5BF5">
        <w:rPr>
          <w:rFonts w:ascii="Times New Roman" w:hAnsi="Times New Roman" w:cs="Times New Roman"/>
        </w:rPr>
        <w:t xml:space="preserve">chose </w:t>
      </w:r>
      <w:r w:rsidR="00D10714" w:rsidRPr="002B5BF5">
        <w:rPr>
          <w:rFonts w:ascii="Times New Roman" w:hAnsi="Times New Roman" w:cs="Times New Roman"/>
        </w:rPr>
        <w:t xml:space="preserve">not </w:t>
      </w:r>
      <w:r w:rsidR="00A93142" w:rsidRPr="002B5BF5">
        <w:rPr>
          <w:rFonts w:ascii="Times New Roman" w:hAnsi="Times New Roman" w:cs="Times New Roman"/>
        </w:rPr>
        <w:t xml:space="preserve">to </w:t>
      </w:r>
      <w:r w:rsidR="00D10714" w:rsidRPr="002B5BF5">
        <w:rPr>
          <w:rFonts w:ascii="Times New Roman" w:hAnsi="Times New Roman" w:cs="Times New Roman"/>
        </w:rPr>
        <w:t>participate</w:t>
      </w:r>
      <w:r w:rsidR="00CE689D" w:rsidRPr="002B5BF5">
        <w:rPr>
          <w:rFonts w:ascii="Times New Roman" w:hAnsi="Times New Roman" w:cs="Times New Roman"/>
        </w:rPr>
        <w:t xml:space="preserve"> </w:t>
      </w:r>
      <w:r w:rsidR="00D55E02" w:rsidRPr="002B5BF5">
        <w:rPr>
          <w:rFonts w:ascii="Times New Roman" w:hAnsi="Times New Roman" w:cs="Times New Roman"/>
        </w:rPr>
        <w:t xml:space="preserve">in </w:t>
      </w:r>
      <w:r w:rsidR="005C2506" w:rsidRPr="002B5BF5">
        <w:rPr>
          <w:rFonts w:ascii="Times New Roman" w:hAnsi="Times New Roman" w:cs="Times New Roman"/>
        </w:rPr>
        <w:t xml:space="preserve">the </w:t>
      </w:r>
      <w:r w:rsidR="00CE689D" w:rsidRPr="002B5BF5">
        <w:rPr>
          <w:rFonts w:ascii="Times New Roman" w:hAnsi="Times New Roman" w:cs="Times New Roman"/>
        </w:rPr>
        <w:t xml:space="preserve">annual </w:t>
      </w:r>
      <w:r w:rsidR="005C2506" w:rsidRPr="002B5BF5">
        <w:rPr>
          <w:rFonts w:ascii="Times New Roman" w:hAnsi="Times New Roman" w:cs="Times New Roman"/>
        </w:rPr>
        <w:t xml:space="preserve">population-based </w:t>
      </w:r>
      <w:r w:rsidR="00D55E02" w:rsidRPr="002B5BF5">
        <w:rPr>
          <w:rFonts w:ascii="Times New Roman" w:hAnsi="Times New Roman" w:cs="Times New Roman"/>
        </w:rPr>
        <w:t xml:space="preserve">HIV </w:t>
      </w:r>
      <w:r w:rsidR="005C2506" w:rsidRPr="002B5BF5">
        <w:rPr>
          <w:rFonts w:ascii="Times New Roman" w:hAnsi="Times New Roman" w:cs="Times New Roman"/>
        </w:rPr>
        <w:t>testing</w:t>
      </w:r>
      <w:r w:rsidR="00DA6A06" w:rsidRPr="002B5BF5">
        <w:rPr>
          <w:rFonts w:ascii="Times New Roman" w:hAnsi="Times New Roman" w:cs="Times New Roman"/>
        </w:rPr>
        <w:t xml:space="preserve"> in 2018</w:t>
      </w:r>
      <w:r w:rsidR="008131F5" w:rsidRPr="002B5BF5">
        <w:rPr>
          <w:rFonts w:ascii="Times New Roman" w:hAnsi="Times New Roman" w:cs="Times New Roman"/>
        </w:rPr>
        <w:t>, and 453 (3.3%) reported being on ART</w:t>
      </w:r>
      <w:r w:rsidR="00D55E02" w:rsidRPr="002B5BF5">
        <w:rPr>
          <w:rFonts w:ascii="Times New Roman" w:hAnsi="Times New Roman" w:cs="Times New Roman"/>
        </w:rPr>
        <w:t xml:space="preserve">, </w:t>
      </w:r>
      <w:r w:rsidR="008131F5" w:rsidRPr="002B5BF5">
        <w:rPr>
          <w:rFonts w:ascii="Times New Roman" w:hAnsi="Times New Roman" w:cs="Times New Roman"/>
        </w:rPr>
        <w:t xml:space="preserve">thus </w:t>
      </w:r>
      <w:r w:rsidR="00D55E02" w:rsidRPr="002B5BF5">
        <w:rPr>
          <w:rFonts w:ascii="Times New Roman" w:hAnsi="Times New Roman" w:cs="Times New Roman"/>
        </w:rPr>
        <w:t>resulting in 4,</w:t>
      </w:r>
      <w:r w:rsidR="008D1AF4" w:rsidRPr="002B5BF5">
        <w:rPr>
          <w:rFonts w:ascii="Times New Roman" w:hAnsi="Times New Roman" w:cs="Times New Roman"/>
        </w:rPr>
        <w:t>419</w:t>
      </w:r>
      <w:r w:rsidR="00D55E02" w:rsidRPr="002B5BF5">
        <w:rPr>
          <w:rFonts w:ascii="Times New Roman" w:hAnsi="Times New Roman" w:cs="Times New Roman"/>
        </w:rPr>
        <w:t xml:space="preserve"> (3</w:t>
      </w:r>
      <w:r w:rsidR="00F75FEB" w:rsidRPr="002B5BF5">
        <w:rPr>
          <w:rFonts w:ascii="Times New Roman" w:hAnsi="Times New Roman" w:cs="Times New Roman"/>
        </w:rPr>
        <w:t>1.9</w:t>
      </w:r>
      <w:r w:rsidR="00D55E02" w:rsidRPr="002B5BF5">
        <w:rPr>
          <w:rFonts w:ascii="Times New Roman" w:hAnsi="Times New Roman" w:cs="Times New Roman"/>
        </w:rPr>
        <w:t>%</w:t>
      </w:r>
      <w:r w:rsidR="00D10714" w:rsidRPr="002B5BF5">
        <w:rPr>
          <w:rFonts w:ascii="Times New Roman" w:hAnsi="Times New Roman" w:cs="Times New Roman"/>
        </w:rPr>
        <w:t xml:space="preserve"> of the resident population</w:t>
      </w:r>
      <w:r w:rsidR="00D55E02" w:rsidRPr="002B5BF5">
        <w:rPr>
          <w:rFonts w:ascii="Times New Roman" w:hAnsi="Times New Roman" w:cs="Times New Roman"/>
        </w:rPr>
        <w:t xml:space="preserve">) who participated in the </w:t>
      </w:r>
      <w:r w:rsidR="005C2506" w:rsidRPr="002B5BF5">
        <w:rPr>
          <w:rFonts w:ascii="Times New Roman" w:hAnsi="Times New Roman" w:cs="Times New Roman"/>
        </w:rPr>
        <w:t>population-based HIV testing</w:t>
      </w:r>
      <w:r w:rsidR="004267F5" w:rsidRPr="002B5BF5">
        <w:rPr>
          <w:rFonts w:ascii="Times New Roman" w:hAnsi="Times New Roman" w:cs="Times New Roman"/>
        </w:rPr>
        <w:t xml:space="preserve"> (Figure 1)</w:t>
      </w:r>
      <w:r w:rsidR="00D55E02" w:rsidRPr="002B5BF5">
        <w:rPr>
          <w:rFonts w:ascii="Times New Roman" w:hAnsi="Times New Roman" w:cs="Times New Roman"/>
        </w:rPr>
        <w:t xml:space="preserve">. </w:t>
      </w:r>
      <w:r w:rsidR="00232661" w:rsidRPr="002B5BF5">
        <w:rPr>
          <w:rFonts w:ascii="Times New Roman" w:hAnsi="Times New Roman" w:cs="Times New Roman"/>
        </w:rPr>
        <w:t>Randomization successfully achieved balance</w:t>
      </w:r>
      <w:r w:rsidR="0092552A" w:rsidRPr="002B5BF5">
        <w:rPr>
          <w:rFonts w:ascii="Times New Roman" w:hAnsi="Times New Roman" w:cs="Times New Roman"/>
        </w:rPr>
        <w:t xml:space="preserve"> in respect of HIV prevalence and sociodemographic variables </w:t>
      </w:r>
      <w:r w:rsidR="00D42915" w:rsidRPr="002B5BF5">
        <w:rPr>
          <w:rFonts w:ascii="Times New Roman" w:hAnsi="Times New Roman" w:cs="Times New Roman"/>
        </w:rPr>
        <w:t xml:space="preserve">across the four arms </w:t>
      </w:r>
      <w:r w:rsidR="00A339FC" w:rsidRPr="002B5BF5">
        <w:rPr>
          <w:rFonts w:ascii="Times New Roman" w:hAnsi="Times New Roman" w:cs="Times New Roman"/>
        </w:rPr>
        <w:t xml:space="preserve">except </w:t>
      </w:r>
      <w:r w:rsidR="006745D1" w:rsidRPr="002B5BF5">
        <w:rPr>
          <w:rFonts w:ascii="Times New Roman" w:hAnsi="Times New Roman" w:cs="Times New Roman"/>
        </w:rPr>
        <w:t xml:space="preserve">for </w:t>
      </w:r>
      <w:r w:rsidR="00D62952" w:rsidRPr="002B5BF5">
        <w:rPr>
          <w:rFonts w:ascii="Times New Roman" w:hAnsi="Times New Roman" w:cs="Times New Roman"/>
        </w:rPr>
        <w:t xml:space="preserve">the </w:t>
      </w:r>
      <w:r w:rsidR="00A339FC" w:rsidRPr="002B5BF5">
        <w:rPr>
          <w:rFonts w:ascii="Times New Roman" w:hAnsi="Times New Roman" w:cs="Times New Roman"/>
        </w:rPr>
        <w:t xml:space="preserve">area of residency </w:t>
      </w:r>
      <w:r w:rsidR="00D42915" w:rsidRPr="002B5BF5">
        <w:rPr>
          <w:rFonts w:ascii="Times New Roman" w:hAnsi="Times New Roman" w:cs="Times New Roman"/>
        </w:rPr>
        <w:t xml:space="preserve">(Table 1). </w:t>
      </w:r>
      <w:r w:rsidR="00461BBE" w:rsidRPr="00461BBE">
        <w:rPr>
          <w:rFonts w:ascii="Times New Roman" w:hAnsi="Times New Roman" w:cs="Times New Roman"/>
        </w:rPr>
        <w:t>Those who participated in the population-based HIV testing were significantly younger, compared to those who were never contacted or chose not to participate (Table S1).</w:t>
      </w:r>
    </w:p>
    <w:p w14:paraId="0DC54B82" w14:textId="55614F63" w:rsidR="00C44B6F" w:rsidRPr="002B5BF5" w:rsidRDefault="00147F03" w:rsidP="00D85DE9">
      <w:pPr>
        <w:spacing w:line="360" w:lineRule="auto"/>
        <w:jc w:val="both"/>
        <w:rPr>
          <w:rFonts w:ascii="Times New Roman" w:hAnsi="Times New Roman" w:cs="Times New Roman"/>
        </w:rPr>
      </w:pPr>
      <w:r w:rsidRPr="002B5BF5">
        <w:rPr>
          <w:rFonts w:ascii="Times New Roman" w:hAnsi="Times New Roman" w:cs="Times New Roman"/>
        </w:rPr>
        <w:t xml:space="preserve">Among </w:t>
      </w:r>
      <w:r w:rsidR="002A4881" w:rsidRPr="002B5BF5">
        <w:rPr>
          <w:rFonts w:ascii="Times New Roman" w:hAnsi="Times New Roman" w:cs="Times New Roman"/>
        </w:rPr>
        <w:t xml:space="preserve">all 13,838 </w:t>
      </w:r>
      <w:r w:rsidRPr="002B5BF5">
        <w:rPr>
          <w:rFonts w:ascii="Times New Roman" w:hAnsi="Times New Roman" w:cs="Times New Roman"/>
        </w:rPr>
        <w:t>men ≥15 years living in the 45 communities</w:t>
      </w:r>
      <w:r w:rsidRPr="002B5BF5" w:rsidDel="004E2F76">
        <w:rPr>
          <w:rFonts w:ascii="Times New Roman" w:hAnsi="Times New Roman" w:cs="Times New Roman"/>
        </w:rPr>
        <w:t xml:space="preserve"> </w:t>
      </w:r>
      <w:r w:rsidRPr="002B5BF5">
        <w:rPr>
          <w:rFonts w:ascii="Times New Roman" w:hAnsi="Times New Roman" w:cs="Times New Roman"/>
        </w:rPr>
        <w:t xml:space="preserve">in 2018, </w:t>
      </w:r>
      <w:r w:rsidR="00CE689D" w:rsidRPr="002B5BF5">
        <w:rPr>
          <w:rFonts w:ascii="Times New Roman" w:hAnsi="Times New Roman" w:cs="Times New Roman"/>
        </w:rPr>
        <w:t xml:space="preserve">overall </w:t>
      </w:r>
      <w:r w:rsidRPr="002B5BF5">
        <w:rPr>
          <w:rFonts w:ascii="Times New Roman" w:hAnsi="Times New Roman" w:cs="Times New Roman"/>
        </w:rPr>
        <w:t xml:space="preserve">testing </w:t>
      </w:r>
      <w:r w:rsidR="00CE689D" w:rsidRPr="002B5BF5">
        <w:rPr>
          <w:rFonts w:ascii="Times New Roman" w:hAnsi="Times New Roman" w:cs="Times New Roman"/>
        </w:rPr>
        <w:t xml:space="preserve">coverage </w:t>
      </w:r>
      <w:r w:rsidRPr="002B5BF5">
        <w:rPr>
          <w:rFonts w:ascii="Times New Roman" w:hAnsi="Times New Roman" w:cs="Times New Roman"/>
        </w:rPr>
        <w:t>was 2</w:t>
      </w:r>
      <w:r w:rsidR="00F75FEB" w:rsidRPr="002B5BF5">
        <w:rPr>
          <w:rFonts w:ascii="Times New Roman" w:hAnsi="Times New Roman" w:cs="Times New Roman"/>
        </w:rPr>
        <w:t>7.4</w:t>
      </w:r>
      <w:r w:rsidRPr="002B5BF5">
        <w:rPr>
          <w:rFonts w:ascii="Times New Roman" w:hAnsi="Times New Roman" w:cs="Times New Roman"/>
        </w:rPr>
        <w:t>% (68</w:t>
      </w:r>
      <w:r w:rsidR="00F75FEB" w:rsidRPr="002B5BF5">
        <w:rPr>
          <w:rFonts w:ascii="Times New Roman" w:hAnsi="Times New Roman" w:cs="Times New Roman"/>
        </w:rPr>
        <w:t>0</w:t>
      </w:r>
      <w:r w:rsidRPr="002B5BF5">
        <w:rPr>
          <w:rFonts w:ascii="Times New Roman" w:hAnsi="Times New Roman" w:cs="Times New Roman"/>
        </w:rPr>
        <w:t>/</w:t>
      </w:r>
      <w:r w:rsidR="00F75FEB" w:rsidRPr="002B5BF5">
        <w:rPr>
          <w:rFonts w:ascii="Times New Roman" w:hAnsi="Times New Roman" w:cs="Times New Roman"/>
        </w:rPr>
        <w:t>2481</w:t>
      </w:r>
      <w:r w:rsidRPr="002B5BF5">
        <w:rPr>
          <w:rFonts w:ascii="Times New Roman" w:hAnsi="Times New Roman" w:cs="Times New Roman"/>
        </w:rPr>
        <w:t>) in the</w:t>
      </w:r>
      <w:r w:rsidR="003D1ACA" w:rsidRPr="002B5BF5">
        <w:rPr>
          <w:rFonts w:ascii="Times New Roman" w:hAnsi="Times New Roman" w:cs="Times New Roman"/>
        </w:rPr>
        <w:t xml:space="preserve"> financial </w:t>
      </w:r>
      <w:r w:rsidRPr="002B5BF5">
        <w:rPr>
          <w:rFonts w:ascii="Times New Roman" w:hAnsi="Times New Roman" w:cs="Times New Roman"/>
        </w:rPr>
        <w:t>incentive</w:t>
      </w:r>
      <w:r w:rsidR="003D1ACA" w:rsidRPr="002B5BF5">
        <w:rPr>
          <w:rFonts w:ascii="Times New Roman" w:hAnsi="Times New Roman" w:cs="Times New Roman"/>
        </w:rPr>
        <w:t>s</w:t>
      </w:r>
      <w:r w:rsidRPr="002B5BF5">
        <w:rPr>
          <w:rFonts w:ascii="Times New Roman" w:hAnsi="Times New Roman" w:cs="Times New Roman"/>
        </w:rPr>
        <w:t xml:space="preserve"> </w:t>
      </w:r>
      <w:r w:rsidR="00F10B91" w:rsidRPr="002B5BF5">
        <w:rPr>
          <w:rFonts w:ascii="Times New Roman" w:hAnsi="Times New Roman" w:cs="Times New Roman"/>
        </w:rPr>
        <w:t xml:space="preserve">only </w:t>
      </w:r>
      <w:r w:rsidRPr="002B5BF5">
        <w:rPr>
          <w:rFonts w:ascii="Times New Roman" w:hAnsi="Times New Roman" w:cs="Times New Roman"/>
        </w:rPr>
        <w:t>arm, 1</w:t>
      </w:r>
      <w:r w:rsidR="00F75FEB" w:rsidRPr="002B5BF5">
        <w:rPr>
          <w:rFonts w:ascii="Times New Roman" w:hAnsi="Times New Roman" w:cs="Times New Roman"/>
        </w:rPr>
        <w:t>7.0</w:t>
      </w:r>
      <w:r w:rsidRPr="002B5BF5">
        <w:rPr>
          <w:rFonts w:ascii="Times New Roman" w:hAnsi="Times New Roman" w:cs="Times New Roman"/>
        </w:rPr>
        <w:t>% (43</w:t>
      </w:r>
      <w:r w:rsidR="00CF329E" w:rsidRPr="002B5BF5">
        <w:rPr>
          <w:rFonts w:ascii="Times New Roman" w:hAnsi="Times New Roman" w:cs="Times New Roman"/>
        </w:rPr>
        <w:t>0</w:t>
      </w:r>
      <w:r w:rsidRPr="002B5BF5">
        <w:rPr>
          <w:rFonts w:ascii="Times New Roman" w:hAnsi="Times New Roman" w:cs="Times New Roman"/>
        </w:rPr>
        <w:t>/2</w:t>
      </w:r>
      <w:r w:rsidR="00F75FEB" w:rsidRPr="002B5BF5">
        <w:rPr>
          <w:rFonts w:ascii="Times New Roman" w:hAnsi="Times New Roman" w:cs="Times New Roman"/>
        </w:rPr>
        <w:t>534</w:t>
      </w:r>
      <w:r w:rsidRPr="002B5BF5">
        <w:rPr>
          <w:rFonts w:ascii="Times New Roman" w:hAnsi="Times New Roman" w:cs="Times New Roman"/>
        </w:rPr>
        <w:t>) in the EPIC</w:t>
      </w:r>
      <w:r w:rsidR="003D1ACA" w:rsidRPr="002B5BF5">
        <w:rPr>
          <w:rFonts w:ascii="Times New Roman" w:hAnsi="Times New Roman" w:cs="Times New Roman"/>
        </w:rPr>
        <w:t>-HIV</w:t>
      </w:r>
      <w:r w:rsidRPr="002B5BF5">
        <w:rPr>
          <w:rFonts w:ascii="Times New Roman" w:hAnsi="Times New Roman" w:cs="Times New Roman"/>
        </w:rPr>
        <w:t xml:space="preserve"> </w:t>
      </w:r>
      <w:r w:rsidR="00F10B91" w:rsidRPr="002B5BF5">
        <w:rPr>
          <w:rFonts w:ascii="Times New Roman" w:hAnsi="Times New Roman" w:cs="Times New Roman"/>
        </w:rPr>
        <w:t xml:space="preserve">only </w:t>
      </w:r>
      <w:r w:rsidRPr="002B5BF5">
        <w:rPr>
          <w:rFonts w:ascii="Times New Roman" w:hAnsi="Times New Roman" w:cs="Times New Roman"/>
        </w:rPr>
        <w:t>arm, 2</w:t>
      </w:r>
      <w:r w:rsidR="00F75FEB" w:rsidRPr="002B5BF5">
        <w:rPr>
          <w:rFonts w:ascii="Times New Roman" w:hAnsi="Times New Roman" w:cs="Times New Roman"/>
        </w:rPr>
        <w:t>6.7</w:t>
      </w:r>
      <w:r w:rsidRPr="002B5BF5">
        <w:rPr>
          <w:rFonts w:ascii="Times New Roman" w:hAnsi="Times New Roman" w:cs="Times New Roman"/>
        </w:rPr>
        <w:t>% (56</w:t>
      </w:r>
      <w:r w:rsidR="00CF329E" w:rsidRPr="002B5BF5">
        <w:rPr>
          <w:rFonts w:ascii="Times New Roman" w:hAnsi="Times New Roman" w:cs="Times New Roman"/>
        </w:rPr>
        <w:t>6</w:t>
      </w:r>
      <w:r w:rsidRPr="002B5BF5">
        <w:rPr>
          <w:rFonts w:ascii="Times New Roman" w:hAnsi="Times New Roman" w:cs="Times New Roman"/>
        </w:rPr>
        <w:t>/2</w:t>
      </w:r>
      <w:r w:rsidR="00F75FEB" w:rsidRPr="002B5BF5">
        <w:rPr>
          <w:rFonts w:ascii="Times New Roman" w:hAnsi="Times New Roman" w:cs="Times New Roman"/>
        </w:rPr>
        <w:t>120</w:t>
      </w:r>
      <w:r w:rsidRPr="002B5BF5">
        <w:rPr>
          <w:rFonts w:ascii="Times New Roman" w:hAnsi="Times New Roman" w:cs="Times New Roman"/>
        </w:rPr>
        <w:t>) in the arm receiving both interventions, and 1</w:t>
      </w:r>
      <w:r w:rsidR="00F75FEB" w:rsidRPr="002B5BF5">
        <w:rPr>
          <w:rFonts w:ascii="Times New Roman" w:hAnsi="Times New Roman" w:cs="Times New Roman"/>
        </w:rPr>
        <w:t>7.7</w:t>
      </w:r>
      <w:r w:rsidRPr="002B5BF5">
        <w:rPr>
          <w:rFonts w:ascii="Times New Roman" w:hAnsi="Times New Roman" w:cs="Times New Roman"/>
        </w:rPr>
        <w:t xml:space="preserve">% </w:t>
      </w:r>
      <w:r w:rsidR="00074B6B" w:rsidRPr="002B5BF5">
        <w:rPr>
          <w:rFonts w:ascii="Times New Roman" w:hAnsi="Times New Roman" w:cs="Times New Roman"/>
        </w:rPr>
        <w:t>(11</w:t>
      </w:r>
      <w:r w:rsidR="00F75FEB" w:rsidRPr="002B5BF5">
        <w:rPr>
          <w:rFonts w:ascii="Times New Roman" w:hAnsi="Times New Roman" w:cs="Times New Roman"/>
        </w:rPr>
        <w:t>89</w:t>
      </w:r>
      <w:r w:rsidR="00074B6B" w:rsidRPr="002B5BF5">
        <w:rPr>
          <w:rFonts w:ascii="Times New Roman" w:hAnsi="Times New Roman" w:cs="Times New Roman"/>
        </w:rPr>
        <w:t>/6</w:t>
      </w:r>
      <w:r w:rsidR="00F75FEB" w:rsidRPr="002B5BF5">
        <w:rPr>
          <w:rFonts w:ascii="Times New Roman" w:hAnsi="Times New Roman" w:cs="Times New Roman"/>
        </w:rPr>
        <w:t>7</w:t>
      </w:r>
      <w:r w:rsidR="00074B6B" w:rsidRPr="002B5BF5">
        <w:rPr>
          <w:rFonts w:ascii="Times New Roman" w:hAnsi="Times New Roman" w:cs="Times New Roman"/>
        </w:rPr>
        <w:t xml:space="preserve">03) </w:t>
      </w:r>
      <w:r w:rsidRPr="002B5BF5">
        <w:rPr>
          <w:rFonts w:ascii="Times New Roman" w:hAnsi="Times New Roman" w:cs="Times New Roman"/>
        </w:rPr>
        <w:t>in the</w:t>
      </w:r>
      <w:r w:rsidR="00232661" w:rsidRPr="002B5BF5">
        <w:rPr>
          <w:rFonts w:ascii="Times New Roman" w:hAnsi="Times New Roman" w:cs="Times New Roman"/>
        </w:rPr>
        <w:t xml:space="preserve"> </w:t>
      </w:r>
      <w:r w:rsidRPr="002B5BF5">
        <w:rPr>
          <w:rFonts w:ascii="Times New Roman" w:hAnsi="Times New Roman" w:cs="Times New Roman"/>
        </w:rPr>
        <w:t xml:space="preserve">SoC arm. </w:t>
      </w:r>
      <w:bookmarkStart w:id="17" w:name="_Hlk1386076"/>
      <w:r w:rsidRPr="002B5BF5">
        <w:rPr>
          <w:rFonts w:ascii="Times New Roman" w:hAnsi="Times New Roman" w:cs="Times New Roman"/>
        </w:rPr>
        <w:t xml:space="preserve">In ITT analysis, compared to men in the </w:t>
      </w:r>
      <w:r w:rsidR="00567299" w:rsidRPr="002B5BF5">
        <w:rPr>
          <w:rFonts w:ascii="Times New Roman" w:hAnsi="Times New Roman" w:cs="Times New Roman"/>
        </w:rPr>
        <w:t>SoC</w:t>
      </w:r>
      <w:r w:rsidRPr="002B5BF5">
        <w:rPr>
          <w:rFonts w:ascii="Times New Roman" w:hAnsi="Times New Roman" w:cs="Times New Roman"/>
        </w:rPr>
        <w:t xml:space="preserve"> arm, the probability of HIV testing was 5</w:t>
      </w:r>
      <w:r w:rsidR="00544213" w:rsidRPr="002B5BF5">
        <w:rPr>
          <w:rFonts w:ascii="Times New Roman" w:hAnsi="Times New Roman" w:cs="Times New Roman"/>
        </w:rPr>
        <w:t>5</w:t>
      </w:r>
      <w:r w:rsidRPr="002B5BF5">
        <w:rPr>
          <w:rFonts w:ascii="Times New Roman" w:hAnsi="Times New Roman" w:cs="Times New Roman"/>
        </w:rPr>
        <w:t xml:space="preserve">% higher in the </w:t>
      </w:r>
      <w:r w:rsidR="003D1ACA" w:rsidRPr="002B5BF5">
        <w:rPr>
          <w:rFonts w:ascii="Times New Roman" w:hAnsi="Times New Roman" w:cs="Times New Roman"/>
        </w:rPr>
        <w:t xml:space="preserve">financial </w:t>
      </w:r>
      <w:r w:rsidRPr="002B5BF5">
        <w:rPr>
          <w:rFonts w:ascii="Times New Roman" w:hAnsi="Times New Roman" w:cs="Times New Roman"/>
        </w:rPr>
        <w:t>incentive</w:t>
      </w:r>
      <w:r w:rsidR="003D1ACA" w:rsidRPr="002B5BF5">
        <w:rPr>
          <w:rFonts w:ascii="Times New Roman" w:hAnsi="Times New Roman" w:cs="Times New Roman"/>
        </w:rPr>
        <w:t>s</w:t>
      </w:r>
      <w:r w:rsidRPr="002B5BF5">
        <w:rPr>
          <w:rFonts w:ascii="Times New Roman" w:hAnsi="Times New Roman" w:cs="Times New Roman"/>
        </w:rPr>
        <w:t xml:space="preserve"> </w:t>
      </w:r>
      <w:r w:rsidR="00F10B91" w:rsidRPr="002B5BF5">
        <w:rPr>
          <w:rFonts w:ascii="Times New Roman" w:hAnsi="Times New Roman" w:cs="Times New Roman"/>
        </w:rPr>
        <w:t xml:space="preserve">only </w:t>
      </w:r>
      <w:r w:rsidRPr="002B5BF5">
        <w:rPr>
          <w:rFonts w:ascii="Times New Roman" w:hAnsi="Times New Roman" w:cs="Times New Roman"/>
        </w:rPr>
        <w:t>arm (risk ratio (RR)=1.5</w:t>
      </w:r>
      <w:r w:rsidR="00F75FEB" w:rsidRPr="002B5BF5">
        <w:rPr>
          <w:rFonts w:ascii="Times New Roman" w:hAnsi="Times New Roman" w:cs="Times New Roman"/>
        </w:rPr>
        <w:t>5</w:t>
      </w:r>
      <w:r w:rsidRPr="002B5BF5">
        <w:rPr>
          <w:rFonts w:ascii="Times New Roman" w:hAnsi="Times New Roman" w:cs="Times New Roman"/>
        </w:rPr>
        <w:t>, 95% CI: 1.3</w:t>
      </w:r>
      <w:r w:rsidR="00F75FEB" w:rsidRPr="002B5BF5">
        <w:rPr>
          <w:rFonts w:ascii="Times New Roman" w:hAnsi="Times New Roman" w:cs="Times New Roman"/>
        </w:rPr>
        <w:t>1</w:t>
      </w:r>
      <w:r w:rsidRPr="002B5BF5">
        <w:rPr>
          <w:rFonts w:ascii="Times New Roman" w:hAnsi="Times New Roman" w:cs="Times New Roman"/>
        </w:rPr>
        <w:t>-1.8</w:t>
      </w:r>
      <w:r w:rsidR="00F75FEB" w:rsidRPr="002B5BF5">
        <w:rPr>
          <w:rFonts w:ascii="Times New Roman" w:hAnsi="Times New Roman" w:cs="Times New Roman"/>
        </w:rPr>
        <w:t>2</w:t>
      </w:r>
      <w:r w:rsidRPr="002B5BF5">
        <w:rPr>
          <w:rFonts w:ascii="Times New Roman" w:hAnsi="Times New Roman" w:cs="Times New Roman"/>
        </w:rPr>
        <w:t>, p&lt;0.001) and 5</w:t>
      </w:r>
      <w:r w:rsidR="00544213" w:rsidRPr="002B5BF5">
        <w:rPr>
          <w:rFonts w:ascii="Times New Roman" w:hAnsi="Times New Roman" w:cs="Times New Roman"/>
        </w:rPr>
        <w:t>1</w:t>
      </w:r>
      <w:r w:rsidRPr="002B5BF5">
        <w:rPr>
          <w:rFonts w:ascii="Times New Roman" w:hAnsi="Times New Roman" w:cs="Times New Roman"/>
        </w:rPr>
        <w:t xml:space="preserve">% higher in the </w:t>
      </w:r>
      <w:r w:rsidR="003D1ACA" w:rsidRPr="002B5BF5">
        <w:rPr>
          <w:rFonts w:ascii="Times New Roman" w:hAnsi="Times New Roman" w:cs="Times New Roman"/>
        </w:rPr>
        <w:t xml:space="preserve">financial incentives plus EPIC-HIV </w:t>
      </w:r>
      <w:r w:rsidRPr="002B5BF5">
        <w:rPr>
          <w:rFonts w:ascii="Times New Roman" w:hAnsi="Times New Roman" w:cs="Times New Roman"/>
        </w:rPr>
        <w:t xml:space="preserve">arm </w:t>
      </w:r>
      <w:r w:rsidR="003D1ACA" w:rsidRPr="002B5BF5">
        <w:rPr>
          <w:rFonts w:ascii="Times New Roman" w:hAnsi="Times New Roman" w:cs="Times New Roman"/>
        </w:rPr>
        <w:t>receiving</w:t>
      </w:r>
      <w:r w:rsidRPr="002B5BF5">
        <w:rPr>
          <w:rFonts w:ascii="Times New Roman" w:hAnsi="Times New Roman" w:cs="Times New Roman"/>
        </w:rPr>
        <w:t xml:space="preserve"> both interventions (RR=1.5</w:t>
      </w:r>
      <w:r w:rsidR="00F75FEB" w:rsidRPr="002B5BF5">
        <w:rPr>
          <w:rFonts w:ascii="Times New Roman" w:hAnsi="Times New Roman" w:cs="Times New Roman"/>
        </w:rPr>
        <w:t>1</w:t>
      </w:r>
      <w:r w:rsidRPr="002B5BF5">
        <w:rPr>
          <w:rFonts w:ascii="Times New Roman" w:hAnsi="Times New Roman" w:cs="Times New Roman"/>
        </w:rPr>
        <w:t>, 95% CI: 1.21-1.8</w:t>
      </w:r>
      <w:r w:rsidR="00F75FEB" w:rsidRPr="002B5BF5">
        <w:rPr>
          <w:rFonts w:ascii="Times New Roman" w:hAnsi="Times New Roman" w:cs="Times New Roman"/>
        </w:rPr>
        <w:t>7</w:t>
      </w:r>
      <w:r w:rsidRPr="002B5BF5">
        <w:rPr>
          <w:rFonts w:ascii="Times New Roman" w:hAnsi="Times New Roman" w:cs="Times New Roman"/>
        </w:rPr>
        <w:t>, p&lt;0.001). The probability of HIV testing was not significantly different in the EPIC-HIV</w:t>
      </w:r>
      <w:r w:rsidR="003D1ACA" w:rsidRPr="002B5BF5">
        <w:rPr>
          <w:rFonts w:ascii="Times New Roman" w:hAnsi="Times New Roman" w:cs="Times New Roman"/>
        </w:rPr>
        <w:t xml:space="preserve"> </w:t>
      </w:r>
      <w:r w:rsidR="00F10B91" w:rsidRPr="002B5BF5">
        <w:rPr>
          <w:rFonts w:ascii="Times New Roman" w:hAnsi="Times New Roman" w:cs="Times New Roman"/>
        </w:rPr>
        <w:t xml:space="preserve">only </w:t>
      </w:r>
      <w:r w:rsidRPr="002B5BF5">
        <w:rPr>
          <w:rFonts w:ascii="Times New Roman" w:hAnsi="Times New Roman" w:cs="Times New Roman"/>
        </w:rPr>
        <w:t>arm (RR=0.96, 95% CI: 0.76-1.2</w:t>
      </w:r>
      <w:r w:rsidR="00F75FEB" w:rsidRPr="002B5BF5">
        <w:rPr>
          <w:rFonts w:ascii="Times New Roman" w:hAnsi="Times New Roman" w:cs="Times New Roman"/>
        </w:rPr>
        <w:t>0</w:t>
      </w:r>
      <w:r w:rsidRPr="002B5BF5">
        <w:rPr>
          <w:rFonts w:ascii="Times New Roman" w:hAnsi="Times New Roman" w:cs="Times New Roman"/>
        </w:rPr>
        <w:t>, p=0.7</w:t>
      </w:r>
      <w:r w:rsidR="00F75FEB" w:rsidRPr="002B5BF5">
        <w:rPr>
          <w:rFonts w:ascii="Times New Roman" w:hAnsi="Times New Roman" w:cs="Times New Roman"/>
        </w:rPr>
        <w:t>0</w:t>
      </w:r>
      <w:r w:rsidRPr="002B5BF5">
        <w:rPr>
          <w:rFonts w:ascii="Times New Roman" w:hAnsi="Times New Roman" w:cs="Times New Roman"/>
        </w:rPr>
        <w:t>)</w:t>
      </w:r>
      <w:r w:rsidR="00EE1669" w:rsidRPr="002B5BF5">
        <w:rPr>
          <w:rFonts w:ascii="Times New Roman" w:hAnsi="Times New Roman" w:cs="Times New Roman"/>
        </w:rPr>
        <w:t xml:space="preserve"> </w:t>
      </w:r>
      <w:r w:rsidR="000D6655" w:rsidRPr="002B5BF5">
        <w:rPr>
          <w:rFonts w:ascii="Times New Roman" w:hAnsi="Times New Roman" w:cs="Times New Roman"/>
        </w:rPr>
        <w:t>(Table 2</w:t>
      </w:r>
      <w:r w:rsidR="003E35E7" w:rsidRPr="002B5BF5">
        <w:rPr>
          <w:rFonts w:ascii="Times New Roman" w:hAnsi="Times New Roman" w:cs="Times New Roman"/>
        </w:rPr>
        <w:t>; Figure 2</w:t>
      </w:r>
      <w:r w:rsidR="000D6655" w:rsidRPr="002B5BF5">
        <w:rPr>
          <w:rFonts w:ascii="Times New Roman" w:hAnsi="Times New Roman" w:cs="Times New Roman"/>
        </w:rPr>
        <w:t>)</w:t>
      </w:r>
      <w:r w:rsidRPr="002B5BF5">
        <w:rPr>
          <w:rFonts w:ascii="Times New Roman" w:hAnsi="Times New Roman" w:cs="Times New Roman"/>
        </w:rPr>
        <w:t>.</w:t>
      </w:r>
      <w:r w:rsidR="00692F61" w:rsidRPr="002B5BF5">
        <w:rPr>
          <w:rFonts w:ascii="Times New Roman" w:hAnsi="Times New Roman" w:cs="Times New Roman"/>
        </w:rPr>
        <w:t xml:space="preserve"> </w:t>
      </w:r>
    </w:p>
    <w:bookmarkEnd w:id="17"/>
    <w:p w14:paraId="7B2FA0BC" w14:textId="548A81A2" w:rsidR="00D80B49" w:rsidRPr="002B5BF5" w:rsidRDefault="00692F61" w:rsidP="001D3167">
      <w:pPr>
        <w:spacing w:line="360" w:lineRule="auto"/>
        <w:jc w:val="both"/>
        <w:rPr>
          <w:rFonts w:ascii="Times New Roman" w:hAnsi="Times New Roman" w:cs="Times New Roman"/>
          <w:b/>
        </w:rPr>
      </w:pPr>
      <w:r w:rsidRPr="002B5BF5">
        <w:rPr>
          <w:rFonts w:ascii="Times New Roman" w:hAnsi="Times New Roman" w:cs="Times New Roman"/>
        </w:rPr>
        <w:t xml:space="preserve">When </w:t>
      </w:r>
      <w:r w:rsidR="00B252DE" w:rsidRPr="002B5BF5">
        <w:rPr>
          <w:rFonts w:ascii="Times New Roman" w:hAnsi="Times New Roman" w:cs="Times New Roman"/>
        </w:rPr>
        <w:t>we examined HIV testing uptake by each of the interventions</w:t>
      </w:r>
      <w:r w:rsidR="00544213" w:rsidRPr="002B5BF5">
        <w:rPr>
          <w:rFonts w:ascii="Times New Roman" w:hAnsi="Times New Roman" w:cs="Times New Roman"/>
        </w:rPr>
        <w:t>,</w:t>
      </w:r>
      <w:r w:rsidR="005C2506" w:rsidRPr="002B5BF5">
        <w:rPr>
          <w:rFonts w:ascii="Times New Roman" w:hAnsi="Times New Roman" w:cs="Times New Roman"/>
        </w:rPr>
        <w:t xml:space="preserve"> the provision of </w:t>
      </w:r>
      <w:r w:rsidRPr="002B5BF5">
        <w:rPr>
          <w:rFonts w:ascii="Times New Roman" w:hAnsi="Times New Roman" w:cs="Times New Roman"/>
        </w:rPr>
        <w:t xml:space="preserve">financial incentives </w:t>
      </w:r>
      <w:r w:rsidR="005C2506" w:rsidRPr="002B5BF5">
        <w:rPr>
          <w:rFonts w:ascii="Times New Roman" w:hAnsi="Times New Roman" w:cs="Times New Roman"/>
        </w:rPr>
        <w:t xml:space="preserve">increased the uptake </w:t>
      </w:r>
      <w:r w:rsidR="0098151F" w:rsidRPr="002B5BF5">
        <w:rPr>
          <w:rFonts w:ascii="Times New Roman" w:hAnsi="Times New Roman" w:cs="Times New Roman"/>
        </w:rPr>
        <w:t xml:space="preserve">of home-based HIV testing </w:t>
      </w:r>
      <w:r w:rsidR="005C2506" w:rsidRPr="002B5BF5">
        <w:rPr>
          <w:rFonts w:ascii="Times New Roman" w:hAnsi="Times New Roman" w:cs="Times New Roman"/>
        </w:rPr>
        <w:t>by 5</w:t>
      </w:r>
      <w:r w:rsidR="00A93142" w:rsidRPr="002B5BF5">
        <w:rPr>
          <w:rFonts w:ascii="Times New Roman" w:hAnsi="Times New Roman" w:cs="Times New Roman"/>
        </w:rPr>
        <w:t>5</w:t>
      </w:r>
      <w:r w:rsidR="005C2506" w:rsidRPr="002B5BF5">
        <w:rPr>
          <w:rFonts w:ascii="Times New Roman" w:hAnsi="Times New Roman" w:cs="Times New Roman"/>
        </w:rPr>
        <w:t>%</w:t>
      </w:r>
      <w:r w:rsidR="00A0377C" w:rsidRPr="002B5BF5">
        <w:rPr>
          <w:rFonts w:ascii="Times New Roman" w:hAnsi="Times New Roman" w:cs="Times New Roman"/>
        </w:rPr>
        <w:t xml:space="preserve"> </w:t>
      </w:r>
      <w:r w:rsidRPr="002B5BF5">
        <w:rPr>
          <w:rFonts w:ascii="Times New Roman" w:hAnsi="Times New Roman" w:cs="Times New Roman"/>
        </w:rPr>
        <w:t>(</w:t>
      </w:r>
      <w:r w:rsidR="005C2506" w:rsidRPr="002B5BF5">
        <w:rPr>
          <w:rFonts w:ascii="Times New Roman" w:hAnsi="Times New Roman" w:cs="Times New Roman"/>
        </w:rPr>
        <w:t>RR=1.5</w:t>
      </w:r>
      <w:r w:rsidR="00544213" w:rsidRPr="002B5BF5">
        <w:rPr>
          <w:rFonts w:ascii="Times New Roman" w:hAnsi="Times New Roman" w:cs="Times New Roman"/>
        </w:rPr>
        <w:t>5</w:t>
      </w:r>
      <w:r w:rsidR="005C2506" w:rsidRPr="002B5BF5">
        <w:rPr>
          <w:rFonts w:ascii="Times New Roman" w:hAnsi="Times New Roman" w:cs="Times New Roman"/>
        </w:rPr>
        <w:t xml:space="preserve">, </w:t>
      </w:r>
      <w:r w:rsidRPr="002B5BF5">
        <w:rPr>
          <w:rFonts w:ascii="Times New Roman" w:hAnsi="Times New Roman" w:cs="Times New Roman"/>
        </w:rPr>
        <w:t>95%</w:t>
      </w:r>
      <w:r w:rsidR="00A0377C" w:rsidRPr="002B5BF5">
        <w:rPr>
          <w:rFonts w:ascii="Times New Roman" w:hAnsi="Times New Roman" w:cs="Times New Roman"/>
        </w:rPr>
        <w:t xml:space="preserve"> CI: 1.34-1.</w:t>
      </w:r>
      <w:r w:rsidR="00544213" w:rsidRPr="002B5BF5">
        <w:rPr>
          <w:rFonts w:ascii="Times New Roman" w:hAnsi="Times New Roman" w:cs="Times New Roman"/>
        </w:rPr>
        <w:t>79</w:t>
      </w:r>
      <w:r w:rsidRPr="002B5BF5">
        <w:rPr>
          <w:rFonts w:ascii="Times New Roman" w:hAnsi="Times New Roman" w:cs="Times New Roman"/>
        </w:rPr>
        <w:t xml:space="preserve">). EPIC-HIV </w:t>
      </w:r>
      <w:r w:rsidR="00A0377C" w:rsidRPr="002B5BF5">
        <w:rPr>
          <w:rFonts w:ascii="Times New Roman" w:hAnsi="Times New Roman" w:cs="Times New Roman"/>
        </w:rPr>
        <w:t>did not have any effect on the uptake of HIV testing</w:t>
      </w:r>
      <w:r w:rsidR="003D1ACA" w:rsidRPr="002B5BF5">
        <w:rPr>
          <w:rFonts w:ascii="Times New Roman" w:hAnsi="Times New Roman" w:cs="Times New Roman"/>
        </w:rPr>
        <w:t xml:space="preserve"> at the time of testing offer</w:t>
      </w:r>
      <w:r w:rsidR="00A0377C" w:rsidRPr="002B5BF5">
        <w:rPr>
          <w:rFonts w:ascii="Times New Roman" w:hAnsi="Times New Roman" w:cs="Times New Roman"/>
        </w:rPr>
        <w:t xml:space="preserve"> (RR=1.05, 95% CI: 0.85-1.30, p=0.6</w:t>
      </w:r>
      <w:r w:rsidR="00544213" w:rsidRPr="002B5BF5">
        <w:rPr>
          <w:rFonts w:ascii="Times New Roman" w:hAnsi="Times New Roman" w:cs="Times New Roman"/>
        </w:rPr>
        <w:t>4</w:t>
      </w:r>
      <w:r w:rsidR="00A0377C" w:rsidRPr="002B5BF5">
        <w:rPr>
          <w:rFonts w:ascii="Times New Roman" w:hAnsi="Times New Roman" w:cs="Times New Roman"/>
        </w:rPr>
        <w:t>). There was no interaction between financial incentives and EPIC-HIV (p-value=</w:t>
      </w:r>
      <w:r w:rsidR="000D6383" w:rsidRPr="002B5BF5">
        <w:rPr>
          <w:rFonts w:ascii="Times New Roman" w:hAnsi="Times New Roman" w:cs="Times New Roman"/>
        </w:rPr>
        <w:t>0.9</w:t>
      </w:r>
      <w:r w:rsidR="00544213" w:rsidRPr="002B5BF5">
        <w:rPr>
          <w:rFonts w:ascii="Times New Roman" w:hAnsi="Times New Roman" w:cs="Times New Roman"/>
        </w:rPr>
        <w:t>1</w:t>
      </w:r>
      <w:r w:rsidR="000D6383" w:rsidRPr="002B5BF5">
        <w:rPr>
          <w:rFonts w:ascii="Times New Roman" w:hAnsi="Times New Roman" w:cs="Times New Roman"/>
        </w:rPr>
        <w:t xml:space="preserve">). </w:t>
      </w:r>
    </w:p>
    <w:p w14:paraId="439B306D" w14:textId="73F65222" w:rsidR="00D42915" w:rsidRPr="002B5BF5" w:rsidRDefault="00D42915" w:rsidP="0064558D">
      <w:pPr>
        <w:spacing w:after="0" w:line="360" w:lineRule="auto"/>
        <w:rPr>
          <w:rFonts w:ascii="Times New Roman" w:hAnsi="Times New Roman" w:cs="Times New Roman"/>
        </w:rPr>
      </w:pPr>
      <w:bookmarkStart w:id="18" w:name="_Hlk24363599"/>
      <w:r w:rsidRPr="002B5BF5">
        <w:rPr>
          <w:rFonts w:ascii="Times New Roman" w:hAnsi="Times New Roman" w:cs="Times New Roman"/>
        </w:rPr>
        <w:t xml:space="preserve">When we limited the analysis to those who participated in </w:t>
      </w:r>
      <w:proofErr w:type="gramStart"/>
      <w:r w:rsidRPr="002B5BF5">
        <w:rPr>
          <w:rFonts w:ascii="Times New Roman" w:hAnsi="Times New Roman" w:cs="Times New Roman"/>
        </w:rPr>
        <w:t>the</w:t>
      </w:r>
      <w:r w:rsidR="00074B6B" w:rsidRPr="002B5BF5">
        <w:rPr>
          <w:rFonts w:ascii="Times New Roman" w:hAnsi="Times New Roman" w:cs="Times New Roman"/>
        </w:rPr>
        <w:t xml:space="preserve"> </w:t>
      </w:r>
      <w:r w:rsidR="005C2506" w:rsidRPr="002B5BF5">
        <w:rPr>
          <w:rFonts w:ascii="Times New Roman" w:hAnsi="Times New Roman" w:cs="Times New Roman"/>
        </w:rPr>
        <w:t xml:space="preserve"> </w:t>
      </w:r>
      <w:r w:rsidR="003A11FB" w:rsidRPr="002B5BF5">
        <w:rPr>
          <w:rFonts w:ascii="Times New Roman" w:hAnsi="Times New Roman" w:cs="Times New Roman"/>
        </w:rPr>
        <w:t>ongoing</w:t>
      </w:r>
      <w:proofErr w:type="gramEnd"/>
      <w:r w:rsidR="005C2506" w:rsidRPr="002B5BF5">
        <w:rPr>
          <w:rFonts w:ascii="Times New Roman" w:hAnsi="Times New Roman" w:cs="Times New Roman"/>
        </w:rPr>
        <w:t xml:space="preserve"> population-based HIV testing and</w:t>
      </w:r>
      <w:r w:rsidR="00074B6B" w:rsidRPr="002B5BF5">
        <w:rPr>
          <w:rFonts w:ascii="Times New Roman" w:hAnsi="Times New Roman" w:cs="Times New Roman"/>
        </w:rPr>
        <w:t xml:space="preserve"> thus were </w:t>
      </w:r>
      <w:r w:rsidR="0092552A" w:rsidRPr="002B5BF5">
        <w:rPr>
          <w:rFonts w:ascii="Times New Roman" w:hAnsi="Times New Roman" w:cs="Times New Roman"/>
        </w:rPr>
        <w:t>offered</w:t>
      </w:r>
      <w:r w:rsidR="00074B6B" w:rsidRPr="002B5BF5">
        <w:rPr>
          <w:rFonts w:ascii="Times New Roman" w:hAnsi="Times New Roman" w:cs="Times New Roman"/>
        </w:rPr>
        <w:t xml:space="preserve"> the interventions</w:t>
      </w:r>
      <w:r w:rsidR="00692F61" w:rsidRPr="002B5BF5">
        <w:rPr>
          <w:rFonts w:ascii="Times New Roman" w:hAnsi="Times New Roman" w:cs="Times New Roman"/>
        </w:rPr>
        <w:t xml:space="preserve">, </w:t>
      </w:r>
      <w:r w:rsidR="00CF329E" w:rsidRPr="002B5BF5">
        <w:rPr>
          <w:rFonts w:ascii="Times New Roman" w:hAnsi="Times New Roman" w:cs="Times New Roman"/>
        </w:rPr>
        <w:t>76</w:t>
      </w:r>
      <w:r w:rsidR="00544213" w:rsidRPr="002B5BF5">
        <w:rPr>
          <w:rFonts w:ascii="Times New Roman" w:hAnsi="Times New Roman" w:cs="Times New Roman"/>
        </w:rPr>
        <w:t>.2</w:t>
      </w:r>
      <w:r w:rsidR="00692F61" w:rsidRPr="002B5BF5">
        <w:rPr>
          <w:rFonts w:ascii="Times New Roman" w:hAnsi="Times New Roman" w:cs="Times New Roman"/>
        </w:rPr>
        <w:t xml:space="preserve">% </w:t>
      </w:r>
      <w:r w:rsidR="003926A8" w:rsidRPr="002B5BF5">
        <w:rPr>
          <w:rFonts w:ascii="Times New Roman" w:hAnsi="Times New Roman" w:cs="Times New Roman"/>
        </w:rPr>
        <w:t>(68</w:t>
      </w:r>
      <w:r w:rsidR="00CF329E" w:rsidRPr="002B5BF5">
        <w:rPr>
          <w:rFonts w:ascii="Times New Roman" w:hAnsi="Times New Roman" w:cs="Times New Roman"/>
        </w:rPr>
        <w:t>0</w:t>
      </w:r>
      <w:r w:rsidR="003926A8" w:rsidRPr="002B5BF5">
        <w:rPr>
          <w:rFonts w:ascii="Times New Roman" w:hAnsi="Times New Roman" w:cs="Times New Roman"/>
        </w:rPr>
        <w:t>/</w:t>
      </w:r>
      <w:r w:rsidR="00CF329E" w:rsidRPr="002B5BF5">
        <w:rPr>
          <w:rFonts w:ascii="Times New Roman" w:hAnsi="Times New Roman" w:cs="Times New Roman"/>
        </w:rPr>
        <w:t>893</w:t>
      </w:r>
      <w:r w:rsidR="003926A8" w:rsidRPr="002B5BF5">
        <w:rPr>
          <w:rFonts w:ascii="Times New Roman" w:hAnsi="Times New Roman" w:cs="Times New Roman"/>
        </w:rPr>
        <w:t>) i</w:t>
      </w:r>
      <w:r w:rsidR="00692F61" w:rsidRPr="002B5BF5">
        <w:rPr>
          <w:rFonts w:ascii="Times New Roman" w:hAnsi="Times New Roman" w:cs="Times New Roman"/>
        </w:rPr>
        <w:t xml:space="preserve">n the financial </w:t>
      </w:r>
      <w:r w:rsidR="003D1ACA" w:rsidRPr="002B5BF5">
        <w:rPr>
          <w:rFonts w:ascii="Times New Roman" w:hAnsi="Times New Roman" w:cs="Times New Roman"/>
        </w:rPr>
        <w:t xml:space="preserve">incentives </w:t>
      </w:r>
      <w:r w:rsidR="00F10B91" w:rsidRPr="002B5BF5">
        <w:rPr>
          <w:rFonts w:ascii="Times New Roman" w:hAnsi="Times New Roman" w:cs="Times New Roman"/>
        </w:rPr>
        <w:t xml:space="preserve">only </w:t>
      </w:r>
      <w:r w:rsidR="00692F61" w:rsidRPr="002B5BF5">
        <w:rPr>
          <w:rFonts w:ascii="Times New Roman" w:hAnsi="Times New Roman" w:cs="Times New Roman"/>
        </w:rPr>
        <w:t>arm, 7</w:t>
      </w:r>
      <w:r w:rsidR="00544213" w:rsidRPr="002B5BF5">
        <w:rPr>
          <w:rFonts w:ascii="Times New Roman" w:hAnsi="Times New Roman" w:cs="Times New Roman"/>
        </w:rPr>
        <w:t>5.8</w:t>
      </w:r>
      <w:r w:rsidR="00692F61" w:rsidRPr="002B5BF5">
        <w:rPr>
          <w:rFonts w:ascii="Times New Roman" w:hAnsi="Times New Roman" w:cs="Times New Roman"/>
        </w:rPr>
        <w:t>%</w:t>
      </w:r>
      <w:r w:rsidR="003926A8" w:rsidRPr="002B5BF5">
        <w:rPr>
          <w:rFonts w:ascii="Times New Roman" w:hAnsi="Times New Roman" w:cs="Times New Roman"/>
        </w:rPr>
        <w:t xml:space="preserve"> (56</w:t>
      </w:r>
      <w:r w:rsidR="00CF329E" w:rsidRPr="002B5BF5">
        <w:rPr>
          <w:rFonts w:ascii="Times New Roman" w:hAnsi="Times New Roman" w:cs="Times New Roman"/>
        </w:rPr>
        <w:t>6</w:t>
      </w:r>
      <w:r w:rsidR="003926A8" w:rsidRPr="002B5BF5">
        <w:rPr>
          <w:rFonts w:ascii="Times New Roman" w:hAnsi="Times New Roman" w:cs="Times New Roman"/>
        </w:rPr>
        <w:t>/</w:t>
      </w:r>
      <w:r w:rsidR="00CF329E" w:rsidRPr="002B5BF5">
        <w:rPr>
          <w:rFonts w:ascii="Times New Roman" w:hAnsi="Times New Roman" w:cs="Times New Roman"/>
        </w:rPr>
        <w:t>747</w:t>
      </w:r>
      <w:r w:rsidR="003926A8" w:rsidRPr="002B5BF5">
        <w:rPr>
          <w:rFonts w:ascii="Times New Roman" w:hAnsi="Times New Roman" w:cs="Times New Roman"/>
        </w:rPr>
        <w:t>)</w:t>
      </w:r>
      <w:r w:rsidR="00692F61" w:rsidRPr="002B5BF5">
        <w:rPr>
          <w:rFonts w:ascii="Times New Roman" w:hAnsi="Times New Roman" w:cs="Times New Roman"/>
        </w:rPr>
        <w:t xml:space="preserve"> in the </w:t>
      </w:r>
      <w:r w:rsidR="003D1ACA" w:rsidRPr="002B5BF5">
        <w:rPr>
          <w:rFonts w:ascii="Times New Roman" w:hAnsi="Times New Roman" w:cs="Times New Roman"/>
        </w:rPr>
        <w:t xml:space="preserve">combined </w:t>
      </w:r>
      <w:r w:rsidR="00692F61" w:rsidRPr="002B5BF5">
        <w:rPr>
          <w:rFonts w:ascii="Times New Roman" w:hAnsi="Times New Roman" w:cs="Times New Roman"/>
        </w:rPr>
        <w:t xml:space="preserve">arm, </w:t>
      </w:r>
      <w:r w:rsidR="00CF329E" w:rsidRPr="002B5BF5">
        <w:rPr>
          <w:rFonts w:ascii="Times New Roman" w:hAnsi="Times New Roman" w:cs="Times New Roman"/>
        </w:rPr>
        <w:t>62</w:t>
      </w:r>
      <w:r w:rsidR="00544213" w:rsidRPr="002B5BF5">
        <w:rPr>
          <w:rFonts w:ascii="Times New Roman" w:hAnsi="Times New Roman" w:cs="Times New Roman"/>
        </w:rPr>
        <w:t>.1</w:t>
      </w:r>
      <w:r w:rsidR="00692F61" w:rsidRPr="002B5BF5">
        <w:rPr>
          <w:rFonts w:ascii="Times New Roman" w:hAnsi="Times New Roman" w:cs="Times New Roman"/>
        </w:rPr>
        <w:t>%</w:t>
      </w:r>
      <w:r w:rsidR="003926A8" w:rsidRPr="002B5BF5">
        <w:rPr>
          <w:rFonts w:ascii="Times New Roman" w:hAnsi="Times New Roman" w:cs="Times New Roman"/>
        </w:rPr>
        <w:t xml:space="preserve"> (43</w:t>
      </w:r>
      <w:r w:rsidR="00CF329E" w:rsidRPr="002B5BF5">
        <w:rPr>
          <w:rFonts w:ascii="Times New Roman" w:hAnsi="Times New Roman" w:cs="Times New Roman"/>
        </w:rPr>
        <w:t>0</w:t>
      </w:r>
      <w:r w:rsidR="003926A8" w:rsidRPr="002B5BF5">
        <w:rPr>
          <w:rFonts w:ascii="Times New Roman" w:hAnsi="Times New Roman" w:cs="Times New Roman"/>
        </w:rPr>
        <w:t>/</w:t>
      </w:r>
      <w:r w:rsidR="00CF329E" w:rsidRPr="002B5BF5">
        <w:rPr>
          <w:rFonts w:ascii="Times New Roman" w:hAnsi="Times New Roman" w:cs="Times New Roman"/>
        </w:rPr>
        <w:t>692</w:t>
      </w:r>
      <w:r w:rsidR="003926A8" w:rsidRPr="002B5BF5">
        <w:rPr>
          <w:rFonts w:ascii="Times New Roman" w:hAnsi="Times New Roman" w:cs="Times New Roman"/>
        </w:rPr>
        <w:t>)</w:t>
      </w:r>
      <w:r w:rsidR="00692F61" w:rsidRPr="002B5BF5">
        <w:rPr>
          <w:rFonts w:ascii="Times New Roman" w:hAnsi="Times New Roman" w:cs="Times New Roman"/>
        </w:rPr>
        <w:t xml:space="preserve"> in the EPIC-HIV </w:t>
      </w:r>
      <w:r w:rsidR="00F10B91" w:rsidRPr="002B5BF5">
        <w:rPr>
          <w:rFonts w:ascii="Times New Roman" w:hAnsi="Times New Roman" w:cs="Times New Roman"/>
        </w:rPr>
        <w:t xml:space="preserve">only </w:t>
      </w:r>
      <w:r w:rsidR="00692F61" w:rsidRPr="002B5BF5">
        <w:rPr>
          <w:rFonts w:ascii="Times New Roman" w:hAnsi="Times New Roman" w:cs="Times New Roman"/>
        </w:rPr>
        <w:t>arm, and 5</w:t>
      </w:r>
      <w:r w:rsidR="00CF329E" w:rsidRPr="002B5BF5">
        <w:rPr>
          <w:rFonts w:ascii="Times New Roman" w:hAnsi="Times New Roman" w:cs="Times New Roman"/>
        </w:rPr>
        <w:t>7</w:t>
      </w:r>
      <w:r w:rsidR="00544213" w:rsidRPr="002B5BF5">
        <w:rPr>
          <w:rFonts w:ascii="Times New Roman" w:hAnsi="Times New Roman" w:cs="Times New Roman"/>
        </w:rPr>
        <w:t>.0</w:t>
      </w:r>
      <w:r w:rsidR="00692F61" w:rsidRPr="002B5BF5">
        <w:rPr>
          <w:rFonts w:ascii="Times New Roman" w:hAnsi="Times New Roman" w:cs="Times New Roman"/>
        </w:rPr>
        <w:t xml:space="preserve">% </w:t>
      </w:r>
      <w:r w:rsidR="003926A8" w:rsidRPr="002B5BF5">
        <w:rPr>
          <w:rFonts w:ascii="Times New Roman" w:hAnsi="Times New Roman" w:cs="Times New Roman"/>
        </w:rPr>
        <w:t>(11</w:t>
      </w:r>
      <w:r w:rsidR="00544213" w:rsidRPr="002B5BF5">
        <w:rPr>
          <w:rFonts w:ascii="Times New Roman" w:hAnsi="Times New Roman" w:cs="Times New Roman"/>
        </w:rPr>
        <w:t>89</w:t>
      </w:r>
      <w:r w:rsidR="003926A8" w:rsidRPr="002B5BF5">
        <w:rPr>
          <w:rFonts w:ascii="Times New Roman" w:hAnsi="Times New Roman" w:cs="Times New Roman"/>
        </w:rPr>
        <w:t>/2</w:t>
      </w:r>
      <w:r w:rsidR="00CF329E" w:rsidRPr="002B5BF5">
        <w:rPr>
          <w:rFonts w:ascii="Times New Roman" w:hAnsi="Times New Roman" w:cs="Times New Roman"/>
        </w:rPr>
        <w:t>0</w:t>
      </w:r>
      <w:r w:rsidR="003926A8" w:rsidRPr="002B5BF5">
        <w:rPr>
          <w:rFonts w:ascii="Times New Roman" w:hAnsi="Times New Roman" w:cs="Times New Roman"/>
        </w:rPr>
        <w:t xml:space="preserve">87) </w:t>
      </w:r>
      <w:r w:rsidR="00692F61" w:rsidRPr="002B5BF5">
        <w:rPr>
          <w:rFonts w:ascii="Times New Roman" w:hAnsi="Times New Roman" w:cs="Times New Roman"/>
        </w:rPr>
        <w:t xml:space="preserve">in the </w:t>
      </w:r>
      <w:r w:rsidR="003D1ACA" w:rsidRPr="002B5BF5">
        <w:rPr>
          <w:rFonts w:ascii="Times New Roman" w:hAnsi="Times New Roman" w:cs="Times New Roman"/>
        </w:rPr>
        <w:t>SoC</w:t>
      </w:r>
      <w:r w:rsidR="00692F61" w:rsidRPr="002B5BF5">
        <w:rPr>
          <w:rFonts w:ascii="Times New Roman" w:hAnsi="Times New Roman" w:cs="Times New Roman"/>
        </w:rPr>
        <w:t xml:space="preserve"> arm</w:t>
      </w:r>
      <w:r w:rsidR="003926A8" w:rsidRPr="002B5BF5">
        <w:rPr>
          <w:rFonts w:ascii="Times New Roman" w:hAnsi="Times New Roman" w:cs="Times New Roman"/>
        </w:rPr>
        <w:t xml:space="preserve"> consented and received the </w:t>
      </w:r>
      <w:r w:rsidR="003D1ACA" w:rsidRPr="002B5BF5">
        <w:rPr>
          <w:rFonts w:ascii="Times New Roman" w:hAnsi="Times New Roman" w:cs="Times New Roman"/>
        </w:rPr>
        <w:t xml:space="preserve">rapid </w:t>
      </w:r>
      <w:r w:rsidR="003926A8" w:rsidRPr="002B5BF5">
        <w:rPr>
          <w:rFonts w:ascii="Times New Roman" w:hAnsi="Times New Roman" w:cs="Times New Roman"/>
        </w:rPr>
        <w:t>HIV test</w:t>
      </w:r>
      <w:r w:rsidR="003D1ACA" w:rsidRPr="002B5BF5">
        <w:rPr>
          <w:rFonts w:ascii="Times New Roman" w:hAnsi="Times New Roman" w:cs="Times New Roman"/>
        </w:rPr>
        <w:t>ing</w:t>
      </w:r>
      <w:r w:rsidR="000C208A" w:rsidRPr="002B5BF5">
        <w:rPr>
          <w:rFonts w:ascii="Times New Roman" w:hAnsi="Times New Roman" w:cs="Times New Roman"/>
        </w:rPr>
        <w:t xml:space="preserve"> (Figure 1)</w:t>
      </w:r>
      <w:r w:rsidR="003926A8" w:rsidRPr="002B5BF5">
        <w:rPr>
          <w:rFonts w:ascii="Times New Roman" w:hAnsi="Times New Roman" w:cs="Times New Roman"/>
        </w:rPr>
        <w:t>. Compared to men in the SoC arm, the probability of HIV testing was 3</w:t>
      </w:r>
      <w:r w:rsidR="00CF329E" w:rsidRPr="002B5BF5">
        <w:rPr>
          <w:rFonts w:ascii="Times New Roman" w:hAnsi="Times New Roman" w:cs="Times New Roman"/>
        </w:rPr>
        <w:t>4</w:t>
      </w:r>
      <w:r w:rsidR="003926A8" w:rsidRPr="002B5BF5">
        <w:rPr>
          <w:rFonts w:ascii="Times New Roman" w:hAnsi="Times New Roman" w:cs="Times New Roman"/>
        </w:rPr>
        <w:t xml:space="preserve">% higher in </w:t>
      </w:r>
      <w:r w:rsidR="003D1ACA" w:rsidRPr="002B5BF5">
        <w:rPr>
          <w:rFonts w:ascii="Times New Roman" w:hAnsi="Times New Roman" w:cs="Times New Roman"/>
        </w:rPr>
        <w:t>the financial incentives</w:t>
      </w:r>
      <w:r w:rsidR="003926A8" w:rsidRPr="002B5BF5">
        <w:rPr>
          <w:rFonts w:ascii="Times New Roman" w:hAnsi="Times New Roman" w:cs="Times New Roman"/>
        </w:rPr>
        <w:t xml:space="preserve"> </w:t>
      </w:r>
      <w:r w:rsidR="00F10B91" w:rsidRPr="002B5BF5">
        <w:rPr>
          <w:rFonts w:ascii="Times New Roman" w:hAnsi="Times New Roman" w:cs="Times New Roman"/>
        </w:rPr>
        <w:t xml:space="preserve">only </w:t>
      </w:r>
      <w:r w:rsidR="003926A8" w:rsidRPr="002B5BF5">
        <w:rPr>
          <w:rFonts w:ascii="Times New Roman" w:hAnsi="Times New Roman" w:cs="Times New Roman"/>
        </w:rPr>
        <w:t>arm (RR=1.3</w:t>
      </w:r>
      <w:r w:rsidR="00CF329E" w:rsidRPr="002B5BF5">
        <w:rPr>
          <w:rFonts w:ascii="Times New Roman" w:hAnsi="Times New Roman" w:cs="Times New Roman"/>
        </w:rPr>
        <w:t>4</w:t>
      </w:r>
      <w:r w:rsidR="003926A8" w:rsidRPr="002B5BF5">
        <w:rPr>
          <w:rFonts w:ascii="Times New Roman" w:hAnsi="Times New Roman" w:cs="Times New Roman"/>
        </w:rPr>
        <w:t>, 95% CI: 1.</w:t>
      </w:r>
      <w:r w:rsidR="00CF329E" w:rsidRPr="002B5BF5">
        <w:rPr>
          <w:rFonts w:ascii="Times New Roman" w:hAnsi="Times New Roman" w:cs="Times New Roman"/>
        </w:rPr>
        <w:t>24</w:t>
      </w:r>
      <w:r w:rsidR="003926A8" w:rsidRPr="002B5BF5">
        <w:rPr>
          <w:rFonts w:ascii="Times New Roman" w:hAnsi="Times New Roman" w:cs="Times New Roman"/>
        </w:rPr>
        <w:t>-1.4</w:t>
      </w:r>
      <w:r w:rsidR="00CF329E" w:rsidRPr="002B5BF5">
        <w:rPr>
          <w:rFonts w:ascii="Times New Roman" w:hAnsi="Times New Roman" w:cs="Times New Roman"/>
        </w:rPr>
        <w:t>5</w:t>
      </w:r>
      <w:r w:rsidR="003926A8" w:rsidRPr="002B5BF5">
        <w:rPr>
          <w:rFonts w:ascii="Times New Roman" w:hAnsi="Times New Roman" w:cs="Times New Roman"/>
        </w:rPr>
        <w:t>, p&lt;0.001) and 3</w:t>
      </w:r>
      <w:r w:rsidR="00CF329E" w:rsidRPr="002B5BF5">
        <w:rPr>
          <w:rFonts w:ascii="Times New Roman" w:hAnsi="Times New Roman" w:cs="Times New Roman"/>
        </w:rPr>
        <w:t>3</w:t>
      </w:r>
      <w:r w:rsidR="003926A8" w:rsidRPr="002B5BF5">
        <w:rPr>
          <w:rFonts w:ascii="Times New Roman" w:hAnsi="Times New Roman" w:cs="Times New Roman"/>
        </w:rPr>
        <w:t xml:space="preserve">% higher in the </w:t>
      </w:r>
      <w:r w:rsidR="003D1ACA" w:rsidRPr="002B5BF5">
        <w:rPr>
          <w:rFonts w:ascii="Times New Roman" w:hAnsi="Times New Roman" w:cs="Times New Roman"/>
        </w:rPr>
        <w:t xml:space="preserve">combined </w:t>
      </w:r>
      <w:r w:rsidR="003926A8" w:rsidRPr="002B5BF5">
        <w:rPr>
          <w:rFonts w:ascii="Times New Roman" w:hAnsi="Times New Roman" w:cs="Times New Roman"/>
        </w:rPr>
        <w:t xml:space="preserve">arm </w:t>
      </w:r>
      <w:r w:rsidR="003D1ACA" w:rsidRPr="002B5BF5">
        <w:rPr>
          <w:rFonts w:ascii="Times New Roman" w:hAnsi="Times New Roman" w:cs="Times New Roman"/>
        </w:rPr>
        <w:t xml:space="preserve">receiving </w:t>
      </w:r>
      <w:r w:rsidR="003926A8" w:rsidRPr="002B5BF5">
        <w:rPr>
          <w:rFonts w:ascii="Times New Roman" w:hAnsi="Times New Roman" w:cs="Times New Roman"/>
        </w:rPr>
        <w:t>both interventions (RR=1.3</w:t>
      </w:r>
      <w:r w:rsidR="00CF329E" w:rsidRPr="002B5BF5">
        <w:rPr>
          <w:rFonts w:ascii="Times New Roman" w:hAnsi="Times New Roman" w:cs="Times New Roman"/>
        </w:rPr>
        <w:t>3</w:t>
      </w:r>
      <w:r w:rsidR="003926A8" w:rsidRPr="002B5BF5">
        <w:rPr>
          <w:rFonts w:ascii="Times New Roman" w:hAnsi="Times New Roman" w:cs="Times New Roman"/>
        </w:rPr>
        <w:t>, 95% CI: 1.20-1.</w:t>
      </w:r>
      <w:r w:rsidR="00CF329E" w:rsidRPr="002B5BF5">
        <w:rPr>
          <w:rFonts w:ascii="Times New Roman" w:hAnsi="Times New Roman" w:cs="Times New Roman"/>
        </w:rPr>
        <w:t>48</w:t>
      </w:r>
      <w:r w:rsidR="003926A8" w:rsidRPr="002B5BF5">
        <w:rPr>
          <w:rFonts w:ascii="Times New Roman" w:hAnsi="Times New Roman" w:cs="Times New Roman"/>
        </w:rPr>
        <w:t xml:space="preserve">, p&lt;0.001). The probability of HIV testing was not significantly different in the EPIC-HIV </w:t>
      </w:r>
      <w:r w:rsidR="00F10B91" w:rsidRPr="002B5BF5">
        <w:rPr>
          <w:rFonts w:ascii="Times New Roman" w:hAnsi="Times New Roman" w:cs="Times New Roman"/>
        </w:rPr>
        <w:t xml:space="preserve">only </w:t>
      </w:r>
      <w:r w:rsidR="003926A8" w:rsidRPr="002B5BF5">
        <w:rPr>
          <w:rFonts w:ascii="Times New Roman" w:hAnsi="Times New Roman" w:cs="Times New Roman"/>
        </w:rPr>
        <w:t>arm (RR=1.0</w:t>
      </w:r>
      <w:r w:rsidR="00CF329E" w:rsidRPr="002B5BF5">
        <w:rPr>
          <w:rFonts w:ascii="Times New Roman" w:hAnsi="Times New Roman" w:cs="Times New Roman"/>
        </w:rPr>
        <w:t>9</w:t>
      </w:r>
      <w:r w:rsidR="003926A8" w:rsidRPr="002B5BF5">
        <w:rPr>
          <w:rFonts w:ascii="Times New Roman" w:hAnsi="Times New Roman" w:cs="Times New Roman"/>
        </w:rPr>
        <w:t>, 95% CI: 0.9</w:t>
      </w:r>
      <w:r w:rsidR="00CF329E" w:rsidRPr="002B5BF5">
        <w:rPr>
          <w:rFonts w:ascii="Times New Roman" w:hAnsi="Times New Roman" w:cs="Times New Roman"/>
        </w:rPr>
        <w:t>8</w:t>
      </w:r>
      <w:r w:rsidR="003926A8" w:rsidRPr="002B5BF5">
        <w:rPr>
          <w:rFonts w:ascii="Times New Roman" w:hAnsi="Times New Roman" w:cs="Times New Roman"/>
        </w:rPr>
        <w:t>-1.2</w:t>
      </w:r>
      <w:r w:rsidR="00CF329E" w:rsidRPr="002B5BF5">
        <w:rPr>
          <w:rFonts w:ascii="Times New Roman" w:hAnsi="Times New Roman" w:cs="Times New Roman"/>
        </w:rPr>
        <w:t>1</w:t>
      </w:r>
      <w:r w:rsidR="003926A8" w:rsidRPr="002B5BF5">
        <w:rPr>
          <w:rFonts w:ascii="Times New Roman" w:hAnsi="Times New Roman" w:cs="Times New Roman"/>
        </w:rPr>
        <w:t>, p=0.</w:t>
      </w:r>
      <w:r w:rsidR="00CF329E" w:rsidRPr="002B5BF5">
        <w:rPr>
          <w:rFonts w:ascii="Times New Roman" w:hAnsi="Times New Roman" w:cs="Times New Roman"/>
        </w:rPr>
        <w:t>10</w:t>
      </w:r>
      <w:r w:rsidR="003926A8" w:rsidRPr="002B5BF5">
        <w:rPr>
          <w:rFonts w:ascii="Times New Roman" w:hAnsi="Times New Roman" w:cs="Times New Roman"/>
        </w:rPr>
        <w:t>).</w:t>
      </w:r>
    </w:p>
    <w:bookmarkEnd w:id="18"/>
    <w:p w14:paraId="040B926C" w14:textId="77777777" w:rsidR="00A0377C" w:rsidRPr="002B5BF5" w:rsidRDefault="00A0377C" w:rsidP="00CF7A49">
      <w:pPr>
        <w:spacing w:line="360" w:lineRule="auto"/>
        <w:jc w:val="both"/>
        <w:rPr>
          <w:rFonts w:ascii="Times New Roman" w:hAnsi="Times New Roman" w:cs="Times New Roman"/>
        </w:rPr>
      </w:pPr>
    </w:p>
    <w:p w14:paraId="5B2BBDB9" w14:textId="4969386F" w:rsidR="00FF1568" w:rsidRPr="002B5BF5" w:rsidRDefault="00FF1568" w:rsidP="00CF7A49">
      <w:pPr>
        <w:spacing w:line="360" w:lineRule="auto"/>
        <w:jc w:val="both"/>
        <w:rPr>
          <w:rFonts w:ascii="Times New Roman" w:hAnsi="Times New Roman" w:cs="Times New Roman"/>
          <w:b/>
        </w:rPr>
      </w:pPr>
      <w:r w:rsidRPr="002B5BF5">
        <w:rPr>
          <w:rFonts w:ascii="Times New Roman" w:hAnsi="Times New Roman" w:cs="Times New Roman"/>
          <w:b/>
        </w:rPr>
        <w:t xml:space="preserve">Discussion </w:t>
      </w:r>
    </w:p>
    <w:p w14:paraId="67ACD243" w14:textId="73EDA85E" w:rsidR="002469DF" w:rsidRPr="002B5BF5" w:rsidRDefault="00EA0637" w:rsidP="00CF7A49">
      <w:pPr>
        <w:spacing w:line="360" w:lineRule="auto"/>
        <w:jc w:val="both"/>
        <w:rPr>
          <w:rFonts w:ascii="Times New Roman" w:hAnsi="Times New Roman" w:cs="Times New Roman"/>
        </w:rPr>
      </w:pPr>
      <w:r w:rsidRPr="002B5BF5">
        <w:rPr>
          <w:rFonts w:ascii="Times New Roman" w:hAnsi="Times New Roman" w:cs="Times New Roman"/>
        </w:rPr>
        <w:lastRenderedPageBreak/>
        <w:t xml:space="preserve">In this study, </w:t>
      </w:r>
      <w:r w:rsidR="00D157B9" w:rsidRPr="002B5BF5">
        <w:rPr>
          <w:rFonts w:ascii="Times New Roman" w:hAnsi="Times New Roman" w:cs="Times New Roman"/>
        </w:rPr>
        <w:t>w</w:t>
      </w:r>
      <w:r w:rsidR="0086023D" w:rsidRPr="002B5BF5">
        <w:rPr>
          <w:rFonts w:ascii="Times New Roman" w:hAnsi="Times New Roman" w:cs="Times New Roman"/>
        </w:rPr>
        <w:t xml:space="preserve">e found </w:t>
      </w:r>
      <w:r w:rsidR="004D165B" w:rsidRPr="002B5BF5">
        <w:rPr>
          <w:rFonts w:ascii="Times New Roman" w:hAnsi="Times New Roman" w:cs="Times New Roman"/>
        </w:rPr>
        <w:t>that</w:t>
      </w:r>
      <w:r w:rsidR="00074B6B" w:rsidRPr="002B5BF5">
        <w:rPr>
          <w:rFonts w:ascii="Times New Roman" w:hAnsi="Times New Roman" w:cs="Times New Roman"/>
        </w:rPr>
        <w:t xml:space="preserve"> a small non-cash</w:t>
      </w:r>
      <w:r w:rsidR="004D165B" w:rsidRPr="002B5BF5">
        <w:rPr>
          <w:rFonts w:ascii="Times New Roman" w:hAnsi="Times New Roman" w:cs="Times New Roman"/>
        </w:rPr>
        <w:t xml:space="preserve"> </w:t>
      </w:r>
      <w:r w:rsidR="00626548" w:rsidRPr="002B5BF5">
        <w:rPr>
          <w:rFonts w:ascii="Times New Roman" w:hAnsi="Times New Roman" w:cs="Times New Roman"/>
        </w:rPr>
        <w:t xml:space="preserve">financial </w:t>
      </w:r>
      <w:r w:rsidR="004D165B" w:rsidRPr="002B5BF5">
        <w:rPr>
          <w:rFonts w:ascii="Times New Roman" w:hAnsi="Times New Roman" w:cs="Times New Roman"/>
        </w:rPr>
        <w:t>incentive</w:t>
      </w:r>
      <w:r w:rsidR="00E172A9" w:rsidRPr="002B5BF5">
        <w:rPr>
          <w:rFonts w:ascii="Times New Roman" w:hAnsi="Times New Roman" w:cs="Times New Roman"/>
        </w:rPr>
        <w:t xml:space="preserve"> (US$ 3)</w:t>
      </w:r>
      <w:r w:rsidR="004D165B" w:rsidRPr="002B5BF5">
        <w:rPr>
          <w:rFonts w:ascii="Times New Roman" w:hAnsi="Times New Roman" w:cs="Times New Roman"/>
        </w:rPr>
        <w:t xml:space="preserve"> </w:t>
      </w:r>
      <w:r w:rsidR="00E172A9" w:rsidRPr="002B5BF5">
        <w:rPr>
          <w:rFonts w:ascii="Times New Roman" w:hAnsi="Times New Roman" w:cs="Times New Roman"/>
        </w:rPr>
        <w:t xml:space="preserve">designed to </w:t>
      </w:r>
      <w:r w:rsidR="009B5FB2" w:rsidRPr="002B5BF5">
        <w:rPr>
          <w:rFonts w:ascii="Times New Roman" w:hAnsi="Times New Roman" w:cs="Times New Roman"/>
        </w:rPr>
        <w:t xml:space="preserve">provide </w:t>
      </w:r>
      <w:r w:rsidR="00E172A9" w:rsidRPr="002B5BF5">
        <w:rPr>
          <w:rFonts w:ascii="Times New Roman" w:hAnsi="Times New Roman" w:cs="Times New Roman"/>
        </w:rPr>
        <w:t xml:space="preserve">an extrinsic motivation to test </w:t>
      </w:r>
      <w:r w:rsidR="00A87FD6" w:rsidRPr="002B5BF5">
        <w:rPr>
          <w:rFonts w:ascii="Times New Roman" w:hAnsi="Times New Roman" w:cs="Times New Roman"/>
        </w:rPr>
        <w:t xml:space="preserve">substantially </w:t>
      </w:r>
      <w:r w:rsidR="0086023D" w:rsidRPr="002B5BF5">
        <w:rPr>
          <w:rFonts w:ascii="Times New Roman" w:hAnsi="Times New Roman" w:cs="Times New Roman"/>
        </w:rPr>
        <w:t xml:space="preserve">increased the uptake of </w:t>
      </w:r>
      <w:r w:rsidR="00A12C18" w:rsidRPr="002B5BF5">
        <w:rPr>
          <w:rFonts w:ascii="Times New Roman" w:hAnsi="Times New Roman" w:cs="Times New Roman"/>
        </w:rPr>
        <w:t>home-based HIV testing</w:t>
      </w:r>
      <w:r w:rsidR="004D165B" w:rsidRPr="002B5BF5">
        <w:rPr>
          <w:rFonts w:ascii="Times New Roman" w:hAnsi="Times New Roman" w:cs="Times New Roman"/>
        </w:rPr>
        <w:t xml:space="preserve"> by more than 50% when offered either alone or </w:t>
      </w:r>
      <w:r w:rsidR="00356181" w:rsidRPr="002B5BF5">
        <w:rPr>
          <w:rFonts w:ascii="Times New Roman" w:hAnsi="Times New Roman" w:cs="Times New Roman"/>
        </w:rPr>
        <w:t xml:space="preserve">in </w:t>
      </w:r>
      <w:r w:rsidR="004D165B" w:rsidRPr="002B5BF5">
        <w:rPr>
          <w:rFonts w:ascii="Times New Roman" w:hAnsi="Times New Roman" w:cs="Times New Roman"/>
        </w:rPr>
        <w:t>combination</w:t>
      </w:r>
      <w:r w:rsidR="00356181" w:rsidRPr="002B5BF5">
        <w:rPr>
          <w:rFonts w:ascii="Times New Roman" w:hAnsi="Times New Roman" w:cs="Times New Roman"/>
        </w:rPr>
        <w:t xml:space="preserve"> with </w:t>
      </w:r>
      <w:r w:rsidR="00232661" w:rsidRPr="002B5BF5">
        <w:rPr>
          <w:rFonts w:ascii="Times New Roman" w:hAnsi="Times New Roman" w:cs="Times New Roman"/>
        </w:rPr>
        <w:t xml:space="preserve">a </w:t>
      </w:r>
      <w:r w:rsidR="004D165B" w:rsidRPr="002B5BF5">
        <w:rPr>
          <w:rFonts w:ascii="Times New Roman" w:hAnsi="Times New Roman" w:cs="Times New Roman"/>
        </w:rPr>
        <w:t>male-</w:t>
      </w:r>
      <w:r w:rsidR="00074B6B" w:rsidRPr="002B5BF5">
        <w:rPr>
          <w:rFonts w:ascii="Times New Roman" w:hAnsi="Times New Roman" w:cs="Times New Roman"/>
        </w:rPr>
        <w:t>targeted</w:t>
      </w:r>
      <w:r w:rsidR="004D165B" w:rsidRPr="002B5BF5">
        <w:rPr>
          <w:rFonts w:ascii="Times New Roman" w:hAnsi="Times New Roman" w:cs="Times New Roman"/>
        </w:rPr>
        <w:t xml:space="preserve"> HIV</w:t>
      </w:r>
      <w:r w:rsidR="0098164E" w:rsidRPr="002B5BF5">
        <w:rPr>
          <w:rFonts w:ascii="Times New Roman" w:hAnsi="Times New Roman" w:cs="Times New Roman"/>
        </w:rPr>
        <w:t>-specific</w:t>
      </w:r>
      <w:r w:rsidR="004D165B" w:rsidRPr="002B5BF5">
        <w:rPr>
          <w:rFonts w:ascii="Times New Roman" w:hAnsi="Times New Roman" w:cs="Times New Roman"/>
        </w:rPr>
        <w:t xml:space="preserve"> </w:t>
      </w:r>
      <w:r w:rsidR="00356181" w:rsidRPr="002B5BF5">
        <w:rPr>
          <w:rFonts w:ascii="Times New Roman" w:hAnsi="Times New Roman" w:cs="Times New Roman"/>
        </w:rPr>
        <w:t>decision support application</w:t>
      </w:r>
      <w:r w:rsidR="002A4881" w:rsidRPr="002B5BF5">
        <w:rPr>
          <w:rFonts w:ascii="Times New Roman" w:hAnsi="Times New Roman" w:cs="Times New Roman"/>
        </w:rPr>
        <w:t>.</w:t>
      </w:r>
      <w:r w:rsidR="005758EB" w:rsidRPr="002B5BF5">
        <w:rPr>
          <w:rFonts w:ascii="Times New Roman" w:hAnsi="Times New Roman" w:cs="Times New Roman"/>
        </w:rPr>
        <w:t xml:space="preserve"> </w:t>
      </w:r>
      <w:r w:rsidR="00CE689D" w:rsidRPr="002B5BF5">
        <w:rPr>
          <w:rFonts w:ascii="Times New Roman" w:hAnsi="Times New Roman" w:cs="Times New Roman"/>
        </w:rPr>
        <w:t>By contrast, t</w:t>
      </w:r>
      <w:r w:rsidR="00232661" w:rsidRPr="002B5BF5">
        <w:rPr>
          <w:rFonts w:ascii="Times New Roman" w:hAnsi="Times New Roman" w:cs="Times New Roman"/>
        </w:rPr>
        <w:t xml:space="preserve">he </w:t>
      </w:r>
      <w:r w:rsidR="00074B6B" w:rsidRPr="002B5BF5">
        <w:rPr>
          <w:rFonts w:ascii="Times New Roman" w:hAnsi="Times New Roman" w:cs="Times New Roman"/>
        </w:rPr>
        <w:t>decision support</w:t>
      </w:r>
      <w:r w:rsidR="004D165B" w:rsidRPr="002B5BF5">
        <w:rPr>
          <w:rFonts w:ascii="Times New Roman" w:hAnsi="Times New Roman" w:cs="Times New Roman"/>
        </w:rPr>
        <w:t xml:space="preserve"> application </w:t>
      </w:r>
      <w:r w:rsidR="00E172A9" w:rsidRPr="002B5BF5">
        <w:rPr>
          <w:rFonts w:ascii="Times New Roman" w:hAnsi="Times New Roman" w:cs="Times New Roman"/>
        </w:rPr>
        <w:t xml:space="preserve">designed to act </w:t>
      </w:r>
      <w:r w:rsidR="00A87FD6" w:rsidRPr="002B5BF5">
        <w:rPr>
          <w:rFonts w:ascii="Times New Roman" w:hAnsi="Times New Roman" w:cs="Times New Roman"/>
        </w:rPr>
        <w:t xml:space="preserve">as an intrinsic motivator </w:t>
      </w:r>
      <w:r w:rsidR="004D165B" w:rsidRPr="002B5BF5">
        <w:rPr>
          <w:rFonts w:ascii="Times New Roman" w:hAnsi="Times New Roman" w:cs="Times New Roman"/>
        </w:rPr>
        <w:t xml:space="preserve">did not improve </w:t>
      </w:r>
      <w:r w:rsidR="004C051E" w:rsidRPr="002B5BF5">
        <w:rPr>
          <w:rFonts w:ascii="Times New Roman" w:hAnsi="Times New Roman" w:cs="Times New Roman"/>
        </w:rPr>
        <w:t xml:space="preserve">the </w:t>
      </w:r>
      <w:r w:rsidR="004D165B" w:rsidRPr="002B5BF5">
        <w:rPr>
          <w:rFonts w:ascii="Times New Roman" w:hAnsi="Times New Roman" w:cs="Times New Roman"/>
        </w:rPr>
        <w:t xml:space="preserve">uptake of </w:t>
      </w:r>
      <w:r w:rsidR="00A12C18" w:rsidRPr="002B5BF5">
        <w:rPr>
          <w:rFonts w:ascii="Times New Roman" w:hAnsi="Times New Roman" w:cs="Times New Roman"/>
        </w:rPr>
        <w:t>home-based HIV testing</w:t>
      </w:r>
      <w:r w:rsidR="00626548" w:rsidRPr="002B5BF5">
        <w:rPr>
          <w:rFonts w:ascii="Times New Roman" w:hAnsi="Times New Roman" w:cs="Times New Roman"/>
        </w:rPr>
        <w:t xml:space="preserve"> at the time of testing offer</w:t>
      </w:r>
      <w:r w:rsidR="004D165B" w:rsidRPr="002B5BF5">
        <w:rPr>
          <w:rFonts w:ascii="Times New Roman" w:hAnsi="Times New Roman" w:cs="Times New Roman"/>
        </w:rPr>
        <w:t xml:space="preserve">. </w:t>
      </w:r>
      <w:bookmarkStart w:id="19" w:name="_Hlk54185866"/>
      <w:r w:rsidR="00BA1E6A" w:rsidRPr="002B5BF5">
        <w:rPr>
          <w:rFonts w:ascii="Times New Roman" w:hAnsi="Times New Roman" w:cs="Times New Roman"/>
        </w:rPr>
        <w:t xml:space="preserve">Our study is the first large trial to test the effects of extrinsic </w:t>
      </w:r>
      <w:r w:rsidR="00F10B91" w:rsidRPr="002B5BF5">
        <w:rPr>
          <w:rFonts w:ascii="Times New Roman" w:hAnsi="Times New Roman" w:cs="Times New Roman"/>
        </w:rPr>
        <w:t>versus</w:t>
      </w:r>
      <w:r w:rsidR="00BA1E6A" w:rsidRPr="002B5BF5">
        <w:rPr>
          <w:rFonts w:ascii="Times New Roman" w:hAnsi="Times New Roman" w:cs="Times New Roman"/>
        </w:rPr>
        <w:t xml:space="preserve"> intrinsic motivators on uptake of </w:t>
      </w:r>
      <w:r w:rsidR="002C232E" w:rsidRPr="002B5BF5">
        <w:rPr>
          <w:rFonts w:ascii="Times New Roman" w:hAnsi="Times New Roman" w:cs="Times New Roman"/>
        </w:rPr>
        <w:t xml:space="preserve">home-based </w:t>
      </w:r>
      <w:r w:rsidR="00BA1E6A" w:rsidRPr="002B5BF5">
        <w:rPr>
          <w:rFonts w:ascii="Times New Roman" w:hAnsi="Times New Roman" w:cs="Times New Roman"/>
        </w:rPr>
        <w:t>HIV testing specifically tailored and targeted to men.</w:t>
      </w:r>
      <w:r w:rsidR="00AC7772" w:rsidRPr="002B5BF5">
        <w:rPr>
          <w:rFonts w:ascii="Times New Roman" w:hAnsi="Times New Roman" w:cs="Times New Roman"/>
        </w:rPr>
        <w:t xml:space="preserve"> </w:t>
      </w:r>
      <w:bookmarkEnd w:id="19"/>
    </w:p>
    <w:p w14:paraId="049352A8" w14:textId="215F6F81" w:rsidR="003578F8" w:rsidRPr="002B5BF5" w:rsidRDefault="00F27B53">
      <w:pPr>
        <w:spacing w:after="0" w:line="360" w:lineRule="auto"/>
        <w:rPr>
          <w:rFonts w:ascii="Times New Roman" w:hAnsi="Times New Roman" w:cs="Times New Roman"/>
        </w:rPr>
      </w:pPr>
      <w:r w:rsidRPr="002B5BF5">
        <w:rPr>
          <w:rFonts w:ascii="Times New Roman" w:hAnsi="Times New Roman" w:cs="Times New Roman"/>
        </w:rPr>
        <w:t xml:space="preserve">A few studies have shown the positive effect of financial incentives on the uptake of HCT. </w:t>
      </w:r>
      <w:r w:rsidR="00BE2408" w:rsidRPr="002B5BF5">
        <w:rPr>
          <w:rFonts w:ascii="Times New Roman" w:hAnsi="Times New Roman" w:cs="Times New Roman"/>
        </w:rPr>
        <w:t xml:space="preserve">In </w:t>
      </w:r>
      <w:r w:rsidR="00E83378" w:rsidRPr="002B5BF5">
        <w:rPr>
          <w:rFonts w:ascii="Times New Roman" w:hAnsi="Times New Roman" w:cs="Times New Roman"/>
        </w:rPr>
        <w:t xml:space="preserve">recent </w:t>
      </w:r>
      <w:r w:rsidR="00BE2408" w:rsidRPr="002B5BF5">
        <w:rPr>
          <w:rFonts w:ascii="Times New Roman" w:hAnsi="Times New Roman" w:cs="Times New Roman"/>
        </w:rPr>
        <w:t>randomized controlled trials conducted in sub-Saharan Africa, financial incentives (i.e.</w:t>
      </w:r>
      <w:r w:rsidR="00A87FD6" w:rsidRPr="002B5BF5">
        <w:rPr>
          <w:rFonts w:ascii="Times New Roman" w:hAnsi="Times New Roman" w:cs="Times New Roman"/>
        </w:rPr>
        <w:t>,</w:t>
      </w:r>
      <w:r w:rsidR="00BE2408" w:rsidRPr="002B5BF5">
        <w:rPr>
          <w:rFonts w:ascii="Times New Roman" w:hAnsi="Times New Roman" w:cs="Times New Roman"/>
        </w:rPr>
        <w:t xml:space="preserve"> both non-cash and cash incentives) significantly increased the uptake of HIV </w:t>
      </w:r>
      <w:r w:rsidR="00A87FD6" w:rsidRPr="002B5BF5">
        <w:rPr>
          <w:rFonts w:ascii="Times New Roman" w:hAnsi="Times New Roman" w:cs="Times New Roman"/>
        </w:rPr>
        <w:t>testing</w:t>
      </w:r>
      <w:r w:rsidR="00BE2408" w:rsidRPr="002B5BF5">
        <w:rPr>
          <w:rFonts w:ascii="Times New Roman" w:hAnsi="Times New Roman" w:cs="Times New Roman"/>
        </w:rPr>
        <w:t xml:space="preserve"> among men in Malawi</w:t>
      </w:r>
      <w:r w:rsidR="00BE2408"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{"citationItems":[{"id":"ITEM-1","itemData":{"DOI":"10.1371/journal.pmed.1002719","ISSN":"1549-1676","author":[{"dropping-particle":"","family":"Choko","given":"Augustine T.","non-dropping-particle":"","parse-names":false,"suffix":""},{"dropping-particle":"","family":"Corbett","given":"Elizabeth L.","non-dropping-particle":"","parse-names":false,"suffix":""},{"dropping-particle":"","family":"Stallard","given":"Nigel","non-dropping-particle":"","parse-names":false,"suffix":""},{"dropping-particle":"","family":"Maheswaran","given":"Hendramoorthy","non-dropping-particle":"","parse-names":false,"suffix":""},{"dropping-particle":"","family":"Lepine","given":"Aurelia","non-dropping-particle":"","parse-names":false,"suffix":""},{"dropping-particle":"","family":"Johnson","given":"Cheryl C.","non-dropping-particle":"","parse-names":false,"suffix":""},{"dropping-particle":"","family":"Sakala","given":"Doreen","non-dropping-particle":"","parse-names":false,"suffix":""},{"dropping-particle":"","family":"Kalua","given":"Thokozani","non-dropping-particle":"","parse-names":false,"suffix":""},{"dropping-particle":"","family":"Kumwenda","given":"Moses","non-dropping-particle":"","parse-names":false,"suffix":""},{"dropping-particle":"","family":"Hayes","given":"Richard","non-dropping-particle":"","parse-names":false,"suffix":""},{"dropping-particle":"","family":"Fielding","given":"Katherine","non-dropping-particle":"","parse-names":false,"suffix":""}],"container-title":"PLoS Medicine","editor":[{"dropping-particle":"","family":"Geng","given":"Elvin H.","non-dropping-particle":"","parse-names":false,"suffix":""}],"id":"ITEM-1","issue":"1","issued":{"date-parts":[["2019","1","2"]]},"page":"e1002719","title":"HIV self-testing alone or with additional interventions, including financial incentives, and linkage to care or prevention among male partners of antenatal care clinic attendees in Malawi: An adaptive multi-arm, multi-stage cluster randomised trial","type":"article-journal","volume":"16"},"uris":["http://www.mendeley.com/documents/?uuid=f1d77008-8155-3deb-ac2d-31e43c4aedc8"]}],"mendeley":{"formattedCitation":"&lt;sup&gt;19&lt;/sup&gt;","plainTextFormattedCitation":"19","previouslyFormattedCitation":"&lt;sup&gt;19&lt;/sup&gt;"},"properties":{"noteIndex":0},"schema":"https://github.com/citation-style-language/schema/raw/master/csl-citation.json"}</w:instrText>
      </w:r>
      <w:r w:rsidR="00BE2408"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19</w:t>
      </w:r>
      <w:r w:rsidR="00BE2408" w:rsidRPr="002B5BF5">
        <w:rPr>
          <w:rFonts w:ascii="Times New Roman" w:hAnsi="Times New Roman" w:cs="Times New Roman"/>
        </w:rPr>
        <w:fldChar w:fldCharType="end"/>
      </w:r>
      <w:r w:rsidR="00BE2408" w:rsidRPr="002B5BF5">
        <w:rPr>
          <w:rFonts w:ascii="Times New Roman" w:hAnsi="Times New Roman" w:cs="Times New Roman"/>
        </w:rPr>
        <w:t xml:space="preserve"> </w:t>
      </w:r>
      <w:r w:rsidR="0076488C" w:rsidRPr="002B5BF5">
        <w:rPr>
          <w:rFonts w:ascii="Times New Roman" w:hAnsi="Times New Roman" w:cs="Times New Roman"/>
        </w:rPr>
        <w:t>or</w:t>
      </w:r>
      <w:r w:rsidR="00BE2408" w:rsidRPr="002B5BF5">
        <w:rPr>
          <w:rFonts w:ascii="Times New Roman" w:hAnsi="Times New Roman" w:cs="Times New Roman"/>
        </w:rPr>
        <w:t xml:space="preserve"> adolescents in Zimbabwe</w:t>
      </w:r>
      <w:r w:rsidR="001B2115" w:rsidRPr="002B5BF5">
        <w:rPr>
          <w:rFonts w:ascii="Times New Roman" w:hAnsi="Times New Roman" w:cs="Times New Roman"/>
        </w:rPr>
        <w:t>.</w:t>
      </w:r>
      <w:r w:rsidR="00BE2408"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{"citationItems":[{"id":"ITEM-1","itemData":{"DOI":"10.1016/S2352-3018(17)30176-5","ISSN":"2352-3018","PMID":"29170030","abstract":"BACKGROUND HIV testing is the important entry point for HIV care and prevention service, but uptake of HIV testing and thus coverage of antiretroviral therapy are much lower in older children and adolescents than in adults. We investigated the effect of economic incentives provided to caregivers of children aged 8-17 years on uptake of HIV testing and counselling in Harare, Zimbabwe. METHODS This randomised controlled trial was nested within a household HIV prevalence survey of children aged 8-17 years in Harare. Households with one or more survey participants whose HIV status was unknown were eligible to participate in the trial. Eligible households were randomly assigned (1:1:1) to either receive no incentive, receive a fixed US$2 incentive, or participate in a lottery for $5 or $10 if the participant presented for HIV testing and counselling at a local primary health-care centre. The survey fieldworkers who enrolled participants were not blinded to trial arm allocation, but the statistician was blinded for analysis of outcome. The primary outcome was the proportion of households in which at least one child had an HIV test within 4 weeks of enrolment. HIV test uptake in the incentivised groups was compared with uptake in the non-incentivised group using logistic regression, adjusting for community and number of children as fixed effects and research assistant as a random effect. All analyses were by intention to treat. The trial is registered with the Pan African Clinical Trials Registry, number PACTR201605001615280. FINDINGS Between Aug 4, and Dec 18, 2015, 2050 eligible households were enrolled in the prevalence survey. 649 (32%) households were assigned no incentive, 740 (34%) households were assigned a $2 incentive, and 661 (32%) households were assigned to lottery participation. Children were unavailable in 148 households in the no-incentive group, 63 households in the $2 incentive group, and 81 households in the lottery group. 1688 households had at least one child with unknown HIV status and were enrolled into the trial. 22 households had no undiagnosed child, and one household refused consent. The primary outcome of HIV testing was assessed in 472 (28%) households in the no-incentive group, 654 (39%) households in the $2 incentive group, and 562 (33%) households in the lottery group. At least one child was HIV tested in 93 (20%) households in the no-incentive group, in 316 (48%) households in the $2 incentive group (adjusted odds ratio 3·67, 9…","author":[{"dropping-particle":"","family":"Kranzer","given":"Katharina","non-dropping-particle":"","parse-names":false,"suffix":""},{"dropping-particle":"","family":"Simms","given":"Victoria","non-dropping-particle":"","parse-names":false,"suffix":""},{"dropping-particle":"","family":"Bandason","given":"Tsitsi","non-dropping-particle":"","parse-names":false,"suffix":""},{"dropping-particle":"","family":"Dauya","given":"Ethel","non-dropping-particle":"","parse-names":false,"suffix":""},{"dropping-particle":"","family":"McHugh","given":"Grace","non-dropping-particle":"","parse-names":false,"suffix":""},{"dropping-particle":"","family":"Munyati","given":"Shungu","non-dropping-particle":"","parse-names":false,"suffix":""},{"dropping-particle":"","family":"Chonzi","given":"Prosper","non-dropping-particle":"","parse-names":false,"suffix":""},{"dropping-particle":"","family":"Dakshina","given":"Suba","non-dropping-particle":"","parse-names":false,"suffix":""},{"dropping-particle":"","family":"Mujuru","given":"Hilda","non-dropping-particle":"","parse-names":false,"suffix":""},{"dropping-particle":"","family":"Weiss","given":"Helen A","non-dropping-particle":"","parse-names":false,"suffix":""},{"dropping-particle":"","family":"Ferrand","given":"Rashida A","non-dropping-particle":"","parse-names":false,"suffix":""}],"container-title":"The lancet. HIV","id":"ITEM-1","issue":"2","issued":{"date-parts":[["2018"]]},"page":"e79-e86","publisher":"Elsevier","title":"Economic incentives for HIV testing by adolescents in Zimbabwe: a randomised controlled trial.","type":"article-journal","volume":"5"},"uris":["http://www.mendeley.com/documents/?uuid=ac5914fd-082d-3978-be6d-07a524ef4675"]}],"mendeley":{"formattedCitation":"&lt;sup&gt;20&lt;/sup&gt;","plainTextFormattedCitation":"20","previouslyFormattedCitation":"&lt;sup&gt;20&lt;/sup&gt;"},"properties":{"noteIndex":0},"schema":"https://github.com/citation-style-language/schema/raw/master/csl-citation.json"}</w:instrText>
      </w:r>
      <w:r w:rsidR="00BE2408"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20</w:t>
      </w:r>
      <w:r w:rsidR="00BE2408" w:rsidRPr="002B5BF5">
        <w:rPr>
          <w:rFonts w:ascii="Times New Roman" w:hAnsi="Times New Roman" w:cs="Times New Roman"/>
        </w:rPr>
        <w:fldChar w:fldCharType="end"/>
      </w:r>
      <w:r w:rsidR="00BE2408" w:rsidRPr="002B5BF5">
        <w:rPr>
          <w:rFonts w:ascii="Times New Roman" w:hAnsi="Times New Roman" w:cs="Times New Roman"/>
        </w:rPr>
        <w:t xml:space="preserve"> </w:t>
      </w:r>
      <w:r w:rsidR="001B2115" w:rsidRPr="002B5BF5">
        <w:rPr>
          <w:rFonts w:ascii="Times New Roman" w:hAnsi="Times New Roman" w:cs="Times New Roman"/>
        </w:rPr>
        <w:t>On the other hand,</w:t>
      </w:r>
      <w:r w:rsidR="0098164E" w:rsidRPr="002B5BF5">
        <w:rPr>
          <w:rFonts w:ascii="Times New Roman" w:hAnsi="Times New Roman" w:cs="Times New Roman"/>
        </w:rPr>
        <w:t xml:space="preserve"> </w:t>
      </w:r>
      <w:r w:rsidR="00B440DF" w:rsidRPr="002B5BF5">
        <w:rPr>
          <w:rFonts w:ascii="Times New Roman" w:hAnsi="Times New Roman" w:cs="Times New Roman"/>
        </w:rPr>
        <w:t xml:space="preserve">most of </w:t>
      </w:r>
      <w:r w:rsidR="0098164E" w:rsidRPr="002B5BF5">
        <w:rPr>
          <w:rFonts w:ascii="Times New Roman" w:hAnsi="Times New Roman" w:cs="Times New Roman"/>
        </w:rPr>
        <w:t>previous</w:t>
      </w:r>
      <w:r w:rsidR="004A6831" w:rsidRPr="002B5BF5">
        <w:rPr>
          <w:rFonts w:ascii="Times New Roman" w:hAnsi="Times New Roman" w:cs="Times New Roman"/>
        </w:rPr>
        <w:t xml:space="preserve"> </w:t>
      </w:r>
      <w:r w:rsidR="001B2115" w:rsidRPr="002B5BF5">
        <w:rPr>
          <w:rFonts w:ascii="Times New Roman" w:hAnsi="Times New Roman" w:cs="Times New Roman"/>
        </w:rPr>
        <w:t>c</w:t>
      </w:r>
      <w:r w:rsidR="00146FEA" w:rsidRPr="002B5BF5">
        <w:rPr>
          <w:rFonts w:ascii="Times New Roman" w:hAnsi="Times New Roman" w:cs="Times New Roman"/>
        </w:rPr>
        <w:t>ash transfer programmes</w:t>
      </w:r>
      <w:r w:rsidR="001D59C6" w:rsidRPr="002B5BF5">
        <w:rPr>
          <w:rFonts w:ascii="Times New Roman" w:hAnsi="Times New Roman" w:cs="Times New Roman"/>
        </w:rPr>
        <w:t xml:space="preserve"> among women and girls, which </w:t>
      </w:r>
      <w:r w:rsidR="007A0A7F" w:rsidRPr="002B5BF5">
        <w:rPr>
          <w:rFonts w:ascii="Times New Roman" w:hAnsi="Times New Roman" w:cs="Times New Roman"/>
        </w:rPr>
        <w:t>focused on changing</w:t>
      </w:r>
      <w:r w:rsidR="00146FEA" w:rsidRPr="002B5BF5">
        <w:rPr>
          <w:rFonts w:ascii="Times New Roman" w:hAnsi="Times New Roman" w:cs="Times New Roman"/>
        </w:rPr>
        <w:t xml:space="preserve"> sexual behaviours </w:t>
      </w:r>
      <w:r w:rsidR="00B440DF" w:rsidRPr="002B5BF5">
        <w:rPr>
          <w:rFonts w:ascii="Times New Roman" w:hAnsi="Times New Roman" w:cs="Times New Roman"/>
        </w:rPr>
        <w:t>through</w:t>
      </w:r>
      <w:r w:rsidR="00146FEA" w:rsidRPr="002B5BF5">
        <w:rPr>
          <w:rFonts w:ascii="Times New Roman" w:hAnsi="Times New Roman" w:cs="Times New Roman"/>
        </w:rPr>
        <w:t xml:space="preserve"> creating positive social protection</w:t>
      </w:r>
      <w:r w:rsidR="001D59C6" w:rsidRPr="002B5BF5">
        <w:rPr>
          <w:rFonts w:ascii="Times New Roman" w:hAnsi="Times New Roman" w:cs="Times New Roman"/>
        </w:rPr>
        <w:t xml:space="preserve">, </w:t>
      </w:r>
      <w:r w:rsidR="00146FEA" w:rsidRPr="002B5BF5">
        <w:rPr>
          <w:rFonts w:ascii="Times New Roman" w:hAnsi="Times New Roman" w:cs="Times New Roman"/>
        </w:rPr>
        <w:t xml:space="preserve"> </w:t>
      </w:r>
      <w:r w:rsidR="00B440DF" w:rsidRPr="002B5BF5">
        <w:rPr>
          <w:rFonts w:ascii="Times New Roman" w:hAnsi="Times New Roman" w:cs="Times New Roman"/>
        </w:rPr>
        <w:t xml:space="preserve">found </w:t>
      </w:r>
      <w:r w:rsidR="00146FEA" w:rsidRPr="002B5BF5">
        <w:rPr>
          <w:rFonts w:ascii="Times New Roman" w:hAnsi="Times New Roman" w:cs="Times New Roman"/>
        </w:rPr>
        <w:t>non-significant or marginal effect</w:t>
      </w:r>
      <w:r w:rsidR="001B2115" w:rsidRPr="002B5BF5">
        <w:rPr>
          <w:rFonts w:ascii="Times New Roman" w:hAnsi="Times New Roman" w:cs="Times New Roman"/>
        </w:rPr>
        <w:t>s</w:t>
      </w:r>
      <w:r w:rsidR="00146FEA" w:rsidRPr="002B5BF5">
        <w:rPr>
          <w:rFonts w:ascii="Times New Roman" w:hAnsi="Times New Roman" w:cs="Times New Roman"/>
        </w:rPr>
        <w:t>.</w:t>
      </w:r>
      <w:r w:rsidR="00146FEA" w:rsidRPr="002B5BF5">
        <w:rPr>
          <w:rFonts w:ascii="Times New Roman" w:hAnsi="Times New Roman" w:cs="Times New Roman"/>
        </w:rPr>
        <w:fldChar w:fldCharType="begin" w:fldLock="1"/>
      </w:r>
      <w:r w:rsidR="002D00B1" w:rsidRPr="002B5BF5">
        <w:rPr>
          <w:rFonts w:ascii="Times New Roman" w:hAnsi="Times New Roman" w:cs="Times New Roman"/>
        </w:rPr>
        <w:instrText>ADDIN CSL_CITATION {"citationItems":[{"id":"ITEM-1","itemData":{"DOI":"10.1016/S2214-109X(16)30253-4","ISSN":"2214-109X (Electronic)","PMID":"27815148","abstract":"BACKGROUND: Cash transfers have been proposed as an intervention to reduce HIV-infection risk for young women in sub-Saharan Africa. However, scarce evidence is available about their effect on reducing HIV acquisition. We aimed to assess the effect of a conditional cash transfer on HIV incidence among young women in rural South Africa. METHODS: We did a phase 3, randomised controlled trial (HPTN 068) in the rural Bushbuckridge subdistrict in Mpumalanga province, South Africa. We included girls aged 13-20 years if they were enrolled in school grades 8-11, not married or pregnant, able to read, they and their parent or guardian both had the necessary documentation necessary to open a bank account, and were residing in the study area and intending to remain until trial completion. Young women (and their parents or guardians) were randomly assigned (1:1), by use of numbered sealed envelopes containing a randomisation assignment card which were numerically ordered with block randomisation, to receive a monthly cash transfer conditional on school attendance (&gt;/=80% of school days per month) versus no cash transfer. Participants completed an Audio Computer-Assisted Self-Interview (ACASI), before test HIV counselling, HIV and herpes simplex virus (HSV)-2 testing, and post-test counselling at baseline, then at annual follow-up visits at 12, 24, and 36 months. Parents or guardians completed a Computer-Assisted Personal Interview at baseline and each follow-up visit. A stratified proportional hazards model was used in an intention-to-treat analysis of the primary outcome, HIV incidence, to compare the intervention and control groups. This study is registered at ClinicalTrials.gov (NCT01233531). FINDINGS: Between March 5, 2011, and Dec 17, 2012, we recruited 10 134 young women and enrolled 2537 and their parents or guardians to receive a cash transfer programme (n=1225) or not (control group; n=1223). At baseline, the median age of girls was 15 years (IQR 14-17) and 672 (27%) had reported to have ever had sex. 107 incident HIV infections were recorded during the study: 59 cases in 3048 person-years in the intervention group and 48 cases in 2830 person-years in the control group. HIV incidence was not significantly different between those who received a cash transfer (1.94% per person-years) and those who did not (1.70% per person-years; hazard ratio 1.17, 95% CI 0.80-1.72, p=0.42). INTERPRETATION: Cash transfers conditional on school attendance did not reduce HIV i…","author":[{"dropping-particle":"","family":"Pettifor","given":"Audrey","non-dropping-particle":"","parse-names":false,"suffix":""},{"dropping-particle":"","family":"MacPhail","given":"Catherine","non-dropping-particle":"","parse-names":false,"suffix":""},{"dropping-particle":"","family":"Hughes","given":"James P","non-dropping-particle":"","parse-names":false,"suffix":""},{"dropping-particle":"","family":"Selin","given":"Amanda","non-dropping-particle":"","parse-names":false,"suffix":""},{"dropping-particle":"","family":"Wang","given":"Jing","non-dropping-particle":"","parse-names":false,"suffix":""},{"dropping-particle":"","family":"Gomez-Olive","given":"F Xavier","non-dropping-particle":"","parse-names":false,"suffix":""},{"dropping-particle":"","family":"Eshleman","given":"Susan H","non-dropping-particle":"","parse-names":false,"suffix":""},{"dropping-particle":"","family":"Wagner","given":"Ryan G","non-dropping-particle":"","parse-names":false,"suffix":""},{"dropping-particle":"","family":"Mabuza","given":"Wonderful","non-dropping-particle":"","parse-names":false,"suffix":""},{"dropping-particle":"","family":"Khoza","given":"Nomhle","non-dropping-particle":"","parse-names":false,"suffix":""},{"dropping-particle":"","family":"Suchindran","given":"Chirayath","non-dropping-particle":"","parse-names":false,"suffix":""},{"dropping-particle":"","family":"Mokoena","given":"Immitrude","non-dropping-particle":"","parse-names":false,"suffix":""},{"dropping-particle":"","family":"Twine","given":"Rhian","non-dropping-particle":"","parse-names":false,"suffix":""},{"dropping-particle":"","family":"Andrew","given":"Philip","non-dropping-particle":"","parse-names":false,"suffix":""},{"dropping-particle":"","family":"Townley","given":"Ellen","non-dropping-particle":"","parse-names":false,"suffix":""},{"dropping-particle":"","family":"Laeyendecker","given":"Oliver","non-dropping-particle":"","parse-names":false,"suffix":""},{"dropping-particle":"","family":"Agyei","given":"Yaw","non-dropping-particle":"","parse-names":false,"suffix":""},{"dropping-particle":"","family":"Tollman","given":"Stephen","non-dropping-particle":"","parse-names":false,"suffix":""},{"dropping-particle":"","family":"Kahn","given":"Kathleen","non-dropping-particle":"","parse-names":false,"suffix":""}],"container-title":"The Lancet. Global health","id":"ITEM-1","issue":"12","issued":{"date-parts":[["2016","12"]]},"language":"eng","page":"e978-e988","publisher-place":"England","title":"The effect of a conditional cash transfer on HIV incidence in young women in rural South Africa (HPTN 068): a phase 3, randomised controlled trial.","type":"article-journal","volume":"4"},"uris":["http://www.mendeley.com/documents/?uuid=1f28e748-b7e8-4d54-96b1-e6c54b84f43a"]}],"mendeley":{"formattedCitation":"&lt;sup&gt;37&lt;/sup&gt;","plainTextFormattedCitation":"37","previouslyFormattedCitation":"&lt;sup&gt;37&lt;/sup&gt;"},"properties":{"noteIndex":0},"schema":"https://github.com/citation-style-language/schema/raw/master/csl-citation.json"}</w:instrText>
      </w:r>
      <w:r w:rsidR="00146FEA"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37</w:t>
      </w:r>
      <w:r w:rsidR="00146FEA" w:rsidRPr="002B5BF5">
        <w:rPr>
          <w:rFonts w:ascii="Times New Roman" w:hAnsi="Times New Roman" w:cs="Times New Roman"/>
        </w:rPr>
        <w:fldChar w:fldCharType="end"/>
      </w:r>
      <w:r w:rsidR="00BA1E6A" w:rsidRPr="002B5BF5">
        <w:rPr>
          <w:rFonts w:ascii="Times New Roman" w:hAnsi="Times New Roman" w:cs="Times New Roman"/>
        </w:rPr>
        <w:t xml:space="preserve"> </w:t>
      </w:r>
      <w:r w:rsidR="00124358" w:rsidRPr="002B5BF5">
        <w:rPr>
          <w:rFonts w:ascii="Times New Roman" w:hAnsi="Times New Roman" w:cs="Times New Roman"/>
        </w:rPr>
        <w:t xml:space="preserve">Our results provide strong evidence that the relatively small once-off micro-incentives can play an important role in overcoming a barrier for accepting HIV testing at home environment among men.  </w:t>
      </w:r>
    </w:p>
    <w:p w14:paraId="07C2FFC6" w14:textId="77777777" w:rsidR="004A6831" w:rsidRPr="002B5BF5" w:rsidRDefault="004A6831" w:rsidP="006D32E2">
      <w:pPr>
        <w:spacing w:after="0" w:line="360" w:lineRule="auto"/>
        <w:rPr>
          <w:rFonts w:ascii="Times New Roman" w:hAnsi="Times New Roman" w:cs="Times New Roman"/>
        </w:rPr>
      </w:pPr>
    </w:p>
    <w:p w14:paraId="17ABE21E" w14:textId="03A364B5" w:rsidR="00F27B53" w:rsidRPr="002B5BF5" w:rsidRDefault="00F27B53" w:rsidP="00F14B75">
      <w:pPr>
        <w:spacing w:after="0" w:line="360" w:lineRule="auto"/>
        <w:rPr>
          <w:rFonts w:ascii="Times New Roman" w:hAnsi="Times New Roman" w:cs="Times New Roman"/>
        </w:rPr>
      </w:pPr>
      <w:r w:rsidRPr="002B5BF5">
        <w:rPr>
          <w:rFonts w:ascii="Times New Roman" w:hAnsi="Times New Roman" w:cs="Times New Roman"/>
        </w:rPr>
        <w:t>There are several explanations as to why financial incentives were well accepted and significantly increased the uptake of HIV testing among men in this trial. We provided a fixed financial incentive which offered immediate, tangible, and easy-to-use benefit to everyone in the assigned intervention arms, rather than in some delayed manner or a chance of receiving it (i.e., lottery). In Malawi, while fixed incentives improved the uptake of HIV self-testing kits among men by up to 34%, the chance of winning a lottery for a larger amount did not result in any significant difference.</w:t>
      </w:r>
      <w:r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{"citationItems":[{"id":"ITEM-1","itemData":{"DOI":"10.1371/journal.pmed.1002719","ISSN":"1549-1676","author":[{"dropping-particle":"","family":"Choko","given":"Augustine T.","non-dropping-particle":"","parse-names":false,"suffix":""},{"dropping-particle":"","family":"Corbett","given":"Elizabeth L.","non-dropping-particle":"","parse-names":false,"suffix":""},{"dropping-particle":"","family":"Stallard","given":"Nigel","non-dropping-particle":"","parse-names":false,"suffix":""},{"dropping-particle":"","family":"Maheswaran","given":"Hendramoorthy","non-dropping-particle":"","parse-names":false,"suffix":""},{"dropping-particle":"","family":"Lepine","given":"Aurelia","non-dropping-particle":"","parse-names":false,"suffix":""},{"dropping-particle":"","family":"Johnson","given":"Cheryl C.","non-dropping-particle":"","parse-names":false,"suffix":""},{"dropping-particle":"","family":"Sakala","given":"Doreen","non-dropping-particle":"","parse-names":false,"suffix":""},{"dropping-particle":"","family":"Kalua","given":"Thokozani","non-dropping-particle":"","parse-names":false,"suffix":""},{"dropping-particle":"","family":"Kumwenda","given":"Moses","non-dropping-particle":"","parse-names":false,"suffix":""},{"dropping-particle":"","family":"Hayes","given":"Richard","non-dropping-particle":"","parse-names":false,"suffix":""},{"dropping-particle":"","family":"Fielding","given":"Katherine","non-dropping-particle":"","parse-names":false,"suffix":""}],"container-title":"PLoS Medicine","editor":[{"dropping-particle":"","family":"Geng","given":"Elvin H.","non-dropping-particle":"","parse-names":false,"suffix":""}],"id":"ITEM-1","issue":"1","issued":{"date-parts":[["2019","1","2"]]},"page":"e1002719","title":"HIV self-testing alone or with additional interventions, including financial incentives, and linkage to care or prevention among male partners of antenatal care clinic attendees in Malawi: An adaptive multi-arm, multi-stage cluster randomised trial","type":"article-journal","volume":"16"},"uris":["http://www.mendeley.com/documents/?uuid=f1d77008-8155-3deb-ac2d-31e43c4aedc8"]}],"mendeley":{"formattedCitation":"&lt;sup&gt;19&lt;/sup&gt;","plainTextFormattedCitation":"19","previouslyFormattedCitation":"&lt;sup&gt;19&lt;/sup&gt;"},"properties":{"noteIndex":0},"schema":"https://github.com/citation-style-language/schema/raw/master/csl-citation.json"}</w:instrText>
      </w:r>
      <w:r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19</w:t>
      </w:r>
      <w:r w:rsidRPr="002B5BF5">
        <w:rPr>
          <w:rFonts w:ascii="Times New Roman" w:hAnsi="Times New Roman" w:cs="Times New Roman"/>
        </w:rPr>
        <w:fldChar w:fldCharType="end"/>
      </w:r>
      <w:r w:rsidRPr="002B5BF5">
        <w:rPr>
          <w:rFonts w:ascii="Times New Roman" w:hAnsi="Times New Roman" w:cs="Times New Roman"/>
        </w:rPr>
        <w:t xml:space="preserve"> Similarly, when either fixed incentives or a lottery were provided among adolescents in Zimbabwe, fixed incentives better increased HIV testing uptake than a lottery.</w:t>
      </w:r>
      <w:r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{"citationItems":[{"id":"ITEM-1","itemData":{"DOI":"10.1016/S2352-3018(17)30176-5","ISSN":"2352-3018","PMID":"29170030","abstract":"BACKGROUND HIV testing is the important entry point for HIV care and prevention service, but uptake of HIV testing and thus coverage of antiretroviral therapy are much lower in older children and adolescents than in adults. We investigated the effect of economic incentives provided to caregivers of children aged 8-17 years on uptake of HIV testing and counselling in Harare, Zimbabwe. METHODS This randomised controlled trial was nested within a household HIV prevalence survey of children aged 8-17 years in Harare. Households with one or more survey participants whose HIV status was unknown were eligible to participate in the trial. Eligible households were randomly assigned (1:1:1) to either receive no incentive, receive a fixed US$2 incentive, or participate in a lottery for $5 or $10 if the participant presented for HIV testing and counselling at a local primary health-care centre. The survey fieldworkers who enrolled participants were not blinded to trial arm allocation, but the statistician was blinded for analysis of outcome. The primary outcome was the proportion of households in which at least one child had an HIV test within 4 weeks of enrolment. HIV test uptake in the incentivised groups was compared with uptake in the non-incentivised group using logistic regression, adjusting for community and number of children as fixed effects and research assistant as a random effect. All analyses were by intention to treat. The trial is registered with the Pan African Clinical Trials Registry, number PACTR201605001615280. FINDINGS Between Aug 4, and Dec 18, 2015, 2050 eligible households were enrolled in the prevalence survey. 649 (32%) households were assigned no incentive, 740 (34%) households were assigned a $2 incentive, and 661 (32%) households were assigned to lottery participation. Children were unavailable in 148 households in the no-incentive group, 63 households in the $2 incentive group, and 81 households in the lottery group. 1688 households had at least one child with unknown HIV status and were enrolled into the trial. 22 households had no undiagnosed child, and one household refused consent. The primary outcome of HIV testing was assessed in 472 (28%) households in the no-incentive group, 654 (39%) households in the $2 incentive group, and 562 (33%) households in the lottery group. At least one child was HIV tested in 93 (20%) households in the no-incentive group, in 316 (48%) households in the $2 incentive group (adjusted odds ratio 3·67, 9…","author":[{"dropping-particle":"","family":"Kranzer","given":"Katharina","non-dropping-particle":"","parse-names":false,"suffix":""},{"dropping-particle":"","family":"Simms","given":"Victoria","non-dropping-particle":"","parse-names":false,"suffix":""},{"dropping-particle":"","family":"Bandason","given":"Tsitsi","non-dropping-particle":"","parse-names":false,"suffix":""},{"dropping-particle":"","family":"Dauya","given":"Ethel","non-dropping-particle":"","parse-names":false,"suffix":""},{"dropping-particle":"","family":"McHugh","given":"Grace","non-dropping-particle":"","parse-names":false,"suffix":""},{"dropping-particle":"","family":"Munyati","given":"Shungu","non-dropping-particle":"","parse-names":false,"suffix":""},{"dropping-particle":"","family":"Chonzi","given":"Prosper","non-dropping-particle":"","parse-names":false,"suffix":""},{"dropping-particle":"","family":"Dakshina","given":"Suba","non-dropping-particle":"","parse-names":false,"suffix":""},{"dropping-particle":"","family":"Mujuru","given":"Hilda","non-dropping-particle":"","parse-names":false,"suffix":""},{"dropping-particle":"","family":"Weiss","given":"Helen A","non-dropping-particle":"","parse-names":false,"suffix":""},{"dropping-particle":"","family":"Ferrand","given":"Rashida A","non-dropping-particle":"","parse-names":false,"suffix":""}],"container-title":"The lancet. HIV","id":"ITEM-1","issue":"2","issued":{"date-parts":[["2018"]]},"page":"e79-e86","publisher":"Elsevier","title":"Economic incentives for HIV testing by adolescents in Zimbabwe: a randomised controlled trial.","type":"article-journal","volume":"5"},"uris":["http://www.mendeley.com/documents/?uuid=ac5914fd-082d-3978-be6d-07a524ef4675"]}],"mendeley":{"formattedCitation":"&lt;sup&gt;20&lt;/sup&gt;","plainTextFormattedCitation":"20","previouslyFormattedCitation":"&lt;sup&gt;20&lt;/sup&gt;"},"properties":{"noteIndex":0},"schema":"https://github.com/citation-style-language/schema/raw/master/csl-citation.json"}</w:instrText>
      </w:r>
      <w:r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20</w:t>
      </w:r>
      <w:r w:rsidRPr="002B5BF5">
        <w:rPr>
          <w:rFonts w:ascii="Times New Roman" w:hAnsi="Times New Roman" w:cs="Times New Roman"/>
        </w:rPr>
        <w:fldChar w:fldCharType="end"/>
      </w:r>
      <w:r w:rsidRPr="002B5BF5">
        <w:rPr>
          <w:rFonts w:ascii="Times New Roman" w:hAnsi="Times New Roman" w:cs="Times New Roman"/>
        </w:rPr>
        <w:t xml:space="preserve"> We </w:t>
      </w:r>
      <w:r w:rsidR="00983284" w:rsidRPr="002B5BF5">
        <w:rPr>
          <w:rFonts w:ascii="Times New Roman" w:hAnsi="Times New Roman" w:cs="Times New Roman"/>
        </w:rPr>
        <w:t>then</w:t>
      </w:r>
      <w:r w:rsidRPr="002B5BF5">
        <w:rPr>
          <w:rFonts w:ascii="Times New Roman" w:hAnsi="Times New Roman" w:cs="Times New Roman"/>
        </w:rPr>
        <w:t xml:space="preserve"> offered home-based HIV testing which provided the</w:t>
      </w:r>
      <w:r w:rsidR="00983284" w:rsidRPr="002B5BF5">
        <w:rPr>
          <w:rFonts w:ascii="Times New Roman" w:hAnsi="Times New Roman" w:cs="Times New Roman"/>
        </w:rPr>
        <w:t xml:space="preserve"> </w:t>
      </w:r>
      <w:r w:rsidRPr="002B5BF5">
        <w:rPr>
          <w:rFonts w:ascii="Times New Roman" w:hAnsi="Times New Roman" w:cs="Times New Roman"/>
        </w:rPr>
        <w:t>convenient option</w:t>
      </w:r>
      <w:r w:rsidR="00983284" w:rsidRPr="002B5BF5">
        <w:rPr>
          <w:rFonts w:ascii="Times New Roman" w:hAnsi="Times New Roman" w:cs="Times New Roman"/>
        </w:rPr>
        <w:t xml:space="preserve"> once someone is nudged to accept testing</w:t>
      </w:r>
      <w:r w:rsidRPr="002B5BF5">
        <w:rPr>
          <w:rFonts w:ascii="Times New Roman" w:hAnsi="Times New Roman" w:cs="Times New Roman"/>
        </w:rPr>
        <w:t xml:space="preserve">. </w:t>
      </w:r>
    </w:p>
    <w:p w14:paraId="51B8EEBD" w14:textId="77777777" w:rsidR="00BA1E6A" w:rsidRPr="002B5BF5" w:rsidRDefault="00BA1E6A" w:rsidP="00F14B75">
      <w:pPr>
        <w:spacing w:after="0" w:line="360" w:lineRule="auto"/>
        <w:rPr>
          <w:rFonts w:ascii="Times New Roman" w:hAnsi="Times New Roman" w:cs="Times New Roman"/>
        </w:rPr>
      </w:pPr>
    </w:p>
    <w:p w14:paraId="796FB76B" w14:textId="0A73993F" w:rsidR="00BA1E6A" w:rsidRPr="002B5BF5" w:rsidRDefault="00BA1E6A" w:rsidP="009C3F98">
      <w:pPr>
        <w:spacing w:line="360" w:lineRule="auto"/>
        <w:jc w:val="both"/>
        <w:rPr>
          <w:rFonts w:ascii="Times New Roman" w:hAnsi="Times New Roman" w:cs="Times New Roman"/>
        </w:rPr>
      </w:pPr>
      <w:r w:rsidRPr="002B5BF5">
        <w:rPr>
          <w:rFonts w:ascii="Times New Roman" w:hAnsi="Times New Roman" w:cs="Times New Roman"/>
        </w:rPr>
        <w:t xml:space="preserve">We have not observed any effect of the male-sensitive HIV-specific decision support application (EPIC-HIV 1) on the uptake of home-based HIV testing. The application was developed to address the most important perceived barriers for the uptake of HCT such as psychosocial factors, </w:t>
      </w:r>
      <w:r w:rsidR="001D59C6" w:rsidRPr="002B5BF5">
        <w:rPr>
          <w:rFonts w:ascii="Times New Roman" w:hAnsi="Times New Roman" w:cs="Times New Roman"/>
        </w:rPr>
        <w:t xml:space="preserve">or </w:t>
      </w:r>
      <w:r w:rsidRPr="002B5BF5">
        <w:rPr>
          <w:rFonts w:ascii="Times New Roman" w:hAnsi="Times New Roman" w:cs="Times New Roman"/>
        </w:rPr>
        <w:t>existing norms</w:t>
      </w:r>
      <w:r w:rsidR="001D59C6" w:rsidRPr="002B5BF5">
        <w:rPr>
          <w:rFonts w:ascii="Times New Roman" w:hAnsi="Times New Roman" w:cs="Times New Roman"/>
        </w:rPr>
        <w:t xml:space="preserve"> </w:t>
      </w:r>
      <w:r w:rsidRPr="002B5BF5">
        <w:rPr>
          <w:rFonts w:ascii="Times New Roman" w:hAnsi="Times New Roman" w:cs="Times New Roman"/>
        </w:rPr>
        <w:t xml:space="preserve">and encourage to take immediate action towards HCT. </w:t>
      </w:r>
      <w:r w:rsidRPr="002B5BF5">
        <w:rPr>
          <w:rFonts w:ascii="Times New Roman" w:hAnsi="Times New Roman" w:cs="Times New Roman"/>
        </w:rPr>
        <w:fldChar w:fldCharType="begin" w:fldLock="1"/>
      </w:r>
      <w:r w:rsidR="002D00B1" w:rsidRPr="002B5BF5">
        <w:rPr>
          <w:rFonts w:ascii="Times New Roman" w:hAnsi="Times New Roman" w:cs="Times New Roman"/>
        </w:rPr>
        <w:instrText>ADDIN CSL_CITATION {"citationItems":[{"id":"ITEM-1","itemData":{"DOI":"10.1097/QAI.0000000000001617","ISBN":"0000000000","ISSN":"10779450","abstract":"Background: Integrating home-based HIV counseling and testing (HCT) with tuberculosis (TB) evaluation could improve the uptake of HIV testing among household contacts of patients with active TB. We sought to identify the facilitators of and barriers to HCT during household contact investigation for TB in Kampala, Uganda., Methods: We nested semi-structured interviews with 28 household contacts who were offered home-based HCT in a household-randomized trial of home-based strategies for TB contact investigation. Respondents reflected on their experiences of the home visit, the social context of the household, and their decision to accept or decline HIV testing. We used content analysis to identify and evaluate facilitators of and barriers to testing, then categorized the emergent themes using the Capability, Opportunity, Motivation, and Behavior (COM-B) model., Results: Facilitators included a preexisting desire to confirm HIV status or to show support for the index TB patient; a perception that home-based services are convenient; and positive perceptions of lay health workers. Key barriers included fear of results and feeling psychologically unprepared to receive results. The social influence of other household members operated as both a facilitator and a barrier., Conclusions: Preexisting motivation, psychological readiness to test, and the social context of the household are major contributors to the decision to test for HIV at home. Uptake might be improved by providing normalizing information about HCT before the visit, by offering a second HCT opportunity, by offering self-tests with follow-up counseling, or by introducing HCT using \"opt-out\" language., Copyright (C) 2018 Wolters Kluwer Health, Inc. All rights reserved.","author":[{"dropping-particle":"","family":"Armstrong-Hough","given":"Mari","non-dropping-particle":"","parse-names":false,"suffix":""},{"dropping-particle":"","family":"Ggita","given":"Joseph","non-dropping-particle":"","parse-names":false,"suffix":""},{"dropping-particle":"","family":"Ayakaka","given":"Irene","non-dropping-particle":"","parse-names":false,"suffix":""},{"dropping-particle":"","family":"Dowdy","given":"David","non-dropping-particle":"","parse-names":false,"suffix":""},{"dropping-particle":"","family":"Cattamanchi","given":"Adithya","non-dropping-particle":"","parse-names":false,"suffix":""},{"dropping-particle":"","family":"Haberer","given":"Jessica E.","non-dropping-particle":"","parse-names":false,"suffix":""},{"dropping-particle":"","family":"Katamba","given":"Achilles","non-dropping-particle":"","parse-names":false,"suffix":""},{"dropping-particle":"","family":"Davis","given":"J. Lucian","non-dropping-particle":"","parse-names":false,"suffix":""}],"container-title":"Journal of Acquired Immune Deficiency Syndromes","id":"ITEM-1","issue":"4","issued":{"date-parts":[["2018"]]},"page":"400-404","title":"\"Give me some time\": Facilitators of and barriers to uptake of home-based HIV testing during household contact investigation for tuberculosis in Kampala, Uganda","type":"article-journal","volume":"77"},"uris":["http://www.mendeley.com/documents/?uuid=4d595b97-c0ae-4637-9049-950b2d7c399c"]},{"id":"ITEM-2","itemData":{"DOI":"10.1016/J.JANA.2010.08.005","ISSN":"1055-3290","abstract":"This study was carried out to test the hypothesis that HIV-related stigma would function as a barrier to uptake of HIV testing and that knowledge and self-efficacy would serve as facilitators. We also hypothesized that exposure to a behavior-change campaign would be associated with lower levels of stigma and higher levels of knowledge and self-efficacy. We conducted two separate cross-sectional surveys as part of the Malawi BRIDGE Project, including one at baseline in eight districts (n = 891), and another at mid-term in four districts in Malawi (n = 881). HIV-related knowledge, self-efficacy, and lack of stigma were positively associated with HIV testing. A positive association was also found between program exposure, on one hand, and knowledge, self-efficacy, and lack of stigma, on the other. These findings suggest that important psychosocial variables are linked with people’s likelihood of HIV testing, and that these variables may be influenced by behavior-change programs.","author":[{"dropping-particle":"","family":"Berendes","given":"Sima","non-dropping-particle":"","parse-names":false,"suffix":""},{"dropping-particle":"","family":"Rimal","given":"Rajiv N.","non-dropping-particle":"","parse-names":false,"suffix":""}],"container-title":"Journal of the Association of Nurses in AIDS Care","id":"ITEM-2","issue":"3","issued":{"date-parts":[["2011","5","1"]]},"page":"215-228","publisher":"No longer published by Elsevier","title":"Addressing the Slow Uptake of HIV Testing in Malawi: The Role of Stigma, Self-efficacy, and Knowledge in the Malawi BRIDGE Project","type":"article-journal","volume":"22"},"uris":["http://www.mendeley.com/documents/?uuid=d044183f-b304-3e5b-a93c-83aa505243a9"]}],"mendeley":{"formattedCitation":"&lt;sup&gt;38,39&lt;/sup&gt;","plainTextFormattedCitation":"38,39","previouslyFormattedCitation":"&lt;sup&gt;38,39&lt;/sup&gt;"},"properties":{"noteIndex":0},"schema":"https://github.com/citation-style-language/schema/raw/master/csl-citation.json"}</w:instrText>
      </w:r>
      <w:r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38,39</w:t>
      </w:r>
      <w:r w:rsidRPr="002B5BF5">
        <w:rPr>
          <w:rFonts w:ascii="Times New Roman" w:hAnsi="Times New Roman" w:cs="Times New Roman"/>
        </w:rPr>
        <w:fldChar w:fldCharType="end"/>
      </w:r>
      <w:r w:rsidRPr="002B5BF5">
        <w:rPr>
          <w:rFonts w:ascii="Times New Roman" w:hAnsi="Times New Roman" w:cs="Times New Roman"/>
        </w:rPr>
        <w:t xml:space="preserve">  However, unlike financial incentives which bring immediate and tangible benefit, overcoming psychosocial barriers through improving intrinsic motivation can be an iterative and slow process. Since HCT was offered right after the participants had listened to EPIC-HIV, they might have not yet </w:t>
      </w:r>
      <w:r w:rsidR="00652595" w:rsidRPr="002B5BF5">
        <w:rPr>
          <w:rFonts w:ascii="Times New Roman" w:hAnsi="Times New Roman" w:cs="Times New Roman"/>
        </w:rPr>
        <w:t xml:space="preserve">been </w:t>
      </w:r>
      <w:r w:rsidRPr="002B5BF5">
        <w:rPr>
          <w:rFonts w:ascii="Times New Roman" w:hAnsi="Times New Roman" w:cs="Times New Roman"/>
        </w:rPr>
        <w:t xml:space="preserve">ready to make immediate action </w:t>
      </w:r>
      <w:r w:rsidR="00652595" w:rsidRPr="002B5BF5">
        <w:rPr>
          <w:rFonts w:ascii="Times New Roman" w:hAnsi="Times New Roman" w:cs="Times New Roman"/>
        </w:rPr>
        <w:t>towards HCT.</w:t>
      </w:r>
      <w:r w:rsidRPr="002B5BF5">
        <w:rPr>
          <w:rFonts w:ascii="Times New Roman" w:hAnsi="Times New Roman" w:cs="Times New Roman"/>
        </w:rPr>
        <w:t xml:space="preserve"> </w:t>
      </w:r>
      <w:bookmarkStart w:id="20" w:name="_Hlk54878602"/>
      <w:r w:rsidRPr="002B5BF5">
        <w:rPr>
          <w:rFonts w:ascii="Times New Roman" w:hAnsi="Times New Roman" w:cs="Times New Roman"/>
        </w:rPr>
        <w:t>Nevertheless,</w:t>
      </w:r>
      <w:r w:rsidR="009C3F98" w:rsidRPr="002B5BF5">
        <w:rPr>
          <w:rFonts w:ascii="Times New Roman" w:hAnsi="Times New Roman" w:cs="Times New Roman"/>
        </w:rPr>
        <w:t xml:space="preserve"> </w:t>
      </w:r>
      <w:r w:rsidR="00A126D1" w:rsidRPr="002B5BF5">
        <w:rPr>
          <w:rFonts w:ascii="Times New Roman" w:hAnsi="Times New Roman" w:cs="Times New Roman"/>
        </w:rPr>
        <w:t xml:space="preserve">in the post-intervention satisfaction surveys, </w:t>
      </w:r>
      <w:r w:rsidR="009C3F98" w:rsidRPr="002B5BF5">
        <w:rPr>
          <w:rFonts w:ascii="Times New Roman" w:hAnsi="Times New Roman" w:cs="Times New Roman"/>
        </w:rPr>
        <w:t>96% of participants who received EPIC-HIV</w:t>
      </w:r>
      <w:r w:rsidR="000069C7">
        <w:rPr>
          <w:rFonts w:ascii="Times New Roman" w:hAnsi="Times New Roman" w:cs="Times New Roman"/>
        </w:rPr>
        <w:t xml:space="preserve"> </w:t>
      </w:r>
      <w:r w:rsidR="009C3F98" w:rsidRPr="002B5BF5">
        <w:rPr>
          <w:rFonts w:ascii="Times New Roman" w:hAnsi="Times New Roman" w:cs="Times New Roman"/>
        </w:rPr>
        <w:t>1 found EPIC-HIV</w:t>
      </w:r>
      <w:r w:rsidR="000069C7">
        <w:rPr>
          <w:rFonts w:ascii="Times New Roman" w:hAnsi="Times New Roman" w:cs="Times New Roman"/>
        </w:rPr>
        <w:t xml:space="preserve"> </w:t>
      </w:r>
      <w:r w:rsidR="009C3F98" w:rsidRPr="002B5BF5">
        <w:rPr>
          <w:rFonts w:ascii="Times New Roman" w:hAnsi="Times New Roman" w:cs="Times New Roman"/>
        </w:rPr>
        <w:t xml:space="preserve">1 acceptable and motivated them to test, and almost everyone reported being </w:t>
      </w:r>
      <w:r w:rsidR="009C3F98" w:rsidRPr="002B5BF5">
        <w:rPr>
          <w:rFonts w:ascii="Times New Roman" w:hAnsi="Times New Roman" w:cs="Times New Roman"/>
        </w:rPr>
        <w:lastRenderedPageBreak/>
        <w:t>empowered with the information from the app</w:t>
      </w:r>
      <w:r w:rsidRPr="002B5BF5">
        <w:rPr>
          <w:rFonts w:ascii="Times New Roman" w:hAnsi="Times New Roman" w:cs="Times New Roman"/>
        </w:rPr>
        <w:t>,</w:t>
      </w:r>
      <w:r w:rsidRPr="002B5BF5">
        <w:rPr>
          <w:rFonts w:ascii="Times New Roman" w:hAnsi="Times New Roman" w:cs="Times New Roman"/>
        </w:rPr>
        <w:fldChar w:fldCharType="begin" w:fldLock="1"/>
      </w:r>
      <w:r w:rsidR="00304248" w:rsidRPr="002B5BF5">
        <w:rPr>
          <w:rFonts w:ascii="Times New Roman" w:hAnsi="Times New Roman" w:cs="Times New Roman"/>
        </w:rPr>
        <w:instrText>ADDIN CSL_CITATION {"citationItems":[{"id":"ITEM-1","itemData":{"author":[{"dropping-particle":"","family":"Adeagbo","given":"OA","non-dropping-particle":"","parse-names":false,"suffix":""},{"dropping-particle":"","family":"Tanser","given":"Frank","non-dropping-particle":"","parse-names":false,"suffix":""},{"dropping-particle":"","family":"Gumede","given":"Velaphi","non-dropping-particle":"","parse-names":false,"suffix":""},{"dropping-particle":"","family":"Mathenjwa","given":"Thulile","non-dropping-particle":"","parse-names":false,"suffix":""},{"dropping-particle":"","family":"Matthews","given":"Philippa","non-dropping-particle":"","parse-names":false,"suffix":""},{"dropping-particle":"","family":"Wyke","given":"Sally","non-dropping-particle":"","parse-names":false,"suffix":""},{"dropping-particle":"","family":"Bärnighausen","given":"Till","non-dropping-particle":"","parse-names":false,"suffix":""},{"dropping-particle":"","family":"Pillay","given":"Deenan","non-dropping-particle":"","parse-names":false,"suffix":""},{"dropping-particle":"","family":"Mcgrath","given":"Nuala","non-dropping-particle":"","parse-names":false,"suffix":""},{"dropping-particle":"","family":"Blandford","given":"Ann","non-dropping-particle":"","parse-names":false,"suffix":""},{"dropping-particle":"","family":"Seeley","given":"Janet","non-dropping-particle":"","parse-names":false,"suffix":""},{"dropping-particle":"","family":"Shahmanesh","given":"Maryam","non-dropping-particle":"","parse-names":false,"suffix":""}],"container-title":"Sexually Transmitted Infections","id":"ITEM-1","issue":"Suppl 1","issued":{"date-parts":[["2019"]]},"title":"A Process Evaluation of an Incentivised Home-based Intervention to Test and Start (HITS) in an HIV Hyperendemic setting in rural KwaZulu-Natal, South Africa","type":"article-journal","volume":"95"},"uris":["http://www.mendeley.com/documents/?uuid=0d3fa865-f4ec-4464-b635-3c450907dd3b"]},{"id":"ITEM-2","itemData":{"ISSN":"13600451","abstract":"Uptake of HIV testing remains low among men in South Afr</w:instrText>
      </w:r>
      <w:r w:rsidR="00304248" w:rsidRPr="002B5BF5">
        <w:rPr>
          <w:rFonts w:ascii="Times New Roman" w:hAnsi="Times New Roman" w:cs="Times New Roman" w:hint="eastAsia"/>
        </w:rPr>
        <w:instrText xml:space="preserve">ica. As part of a trial, we assessed the acceptability of a theoretically derived and adapted tablet-based-application (EPIC-HIV1) in rural South Africa. We conducted 20 in-depth interviews with men aged </w:instrText>
      </w:r>
      <w:r w:rsidR="00304248" w:rsidRPr="002B5BF5">
        <w:rPr>
          <w:rFonts w:ascii="Times New Roman" w:hAnsi="Times New Roman" w:cs="Times New Roman" w:hint="eastAsia"/>
        </w:rPr>
        <w:instrText>≥</w:instrText>
      </w:r>
      <w:r w:rsidR="00304248" w:rsidRPr="002B5BF5">
        <w:rPr>
          <w:rFonts w:ascii="Times New Roman" w:hAnsi="Times New Roman" w:cs="Times New Roman" w:hint="eastAsia"/>
        </w:rPr>
        <w:instrText xml:space="preserve">18 years and offered a tablet-based survey to all men aged </w:instrText>
      </w:r>
      <w:r w:rsidR="00304248" w:rsidRPr="002B5BF5">
        <w:rPr>
          <w:rFonts w:ascii="Times New Roman" w:hAnsi="Times New Roman" w:cs="Times New Roman" w:hint="eastAsia"/>
        </w:rPr>
        <w:instrText>≥</w:instrText>
      </w:r>
      <w:r w:rsidR="00304248" w:rsidRPr="002B5BF5">
        <w:rPr>
          <w:rFonts w:ascii="Times New Roman" w:hAnsi="Times New Roman" w:cs="Times New Roman" w:hint="eastAsia"/>
        </w:rPr>
        <w:instrText>15 years who received EPIC-HIV1 (Sep-Dec 2018). We conducted a descriptive analysis of the survey and used Self-Determination Theory (SDT) to guide our thematic analysis. A total of 232/307 (75%) completed the survey, 55% of whom were aged 15</w:instrText>
      </w:r>
      <w:r w:rsidR="00304248" w:rsidRPr="002B5BF5">
        <w:rPr>
          <w:rFonts w:ascii="Times New Roman" w:hAnsi="Times New Roman" w:cs="Times New Roman" w:hint="eastAsia"/>
        </w:rPr>
        <w:instrText>–</w:instrText>
      </w:r>
      <w:r w:rsidR="00304248" w:rsidRPr="002B5BF5">
        <w:rPr>
          <w:rFonts w:ascii="Times New Roman" w:hAnsi="Times New Roman" w:cs="Times New Roman" w:hint="eastAsia"/>
        </w:rPr>
        <w:instrText>24</w:instrText>
      </w:r>
      <w:r w:rsidR="00304248" w:rsidRPr="002B5BF5">
        <w:rPr>
          <w:rFonts w:ascii="Times New Roman" w:hAnsi="Times New Roman" w:cs="Times New Roman"/>
        </w:rPr>
        <w:instrText xml:space="preserve"> years. 96%[ CI: 92.8–98.2%; n = 223] found EPIC-HIV1 acceptable and 77% [95% CI: 71.8–82.6%; n = 179] found it user-friendly. 222 [96%] reported that EPIC-HIV1 motivated them to test; 83% (192/232) tested for HIV, of which 33% (64/192) were first time testers. Those who did not consent (n = 40) were more likely to have had an HIV-positive test result. Participants reported that the app boosted their confidence to test. However, they were unsure that the app would help them overcome barriers to test in local clinics. Given reach and usability, an adapted SDT male-tailored app was found to be acceptable and could encourage positive health-seeking behavioural change among men.","author":[{"dropping-particle":"","family":"Adeagbo","given":"Oluwafemi","non-dropping-particle":"","parse-names":false,"suffix":""},{"dropping-particle":"","family":"Kim","given":"Hae-Young","non-dropping-particle":"","parse-names":false,"suffix":""},{"dropping-particle":"","family":"Tanser","given":"Frank","non-dropping-particle":"","parse-names":false,"suffix":""},{"dropping-particle":"","family":"Xulu","given":"Sibongiseni","non-dropping-particle":"","parse-names":false,"suffix":""},{"dropping-particle":"","family":"Dlamini","given":"Nondumiso","non-dropping-particle":"","parse-names":false,"suffix":""},{"dropping-particle":"","family":"Gumede","given":"Velaphi","non-dropping-particle":"","parse-names":false,"suffix":""},{"dropping-particle":"","family":"Mathenjwa","given":"Thulile","non-dropping-particle":"","parse-names":false,"suffix":""},{"dropping-particle":"","family":"Bärnighausen","given":"Till","non-dropping-particle":"","parse-names":false,"suffix":""},{"dropping-particle":"","family":"McGrath","given":"Nuala","non-dropping-particle":"","parse-names":false,"suffix":""},{"dropping-particle":"","family":"Blandford","given":"Ann","non-dropping-particle":"","parse-names":false,"suffix":""},{"dropping-particle":"","family":"Seeley","given":"Janet","non-dropping-particle":"","parse-names":false,"suffix":""},{"dropping-particle":"","family":"Shahmanesh","given":"Maryam","non-dropping-particle":"","parse-names":false,"suffix":""}],"container-title":"AIDS Care","id":"ITEM-2","issued":{"date-parts":[["2020"]]},"page":"1-8","publisher":"Routledge","title":"Acceptability of a tablet-based application to support early HIV testing among men in rural KwaZulu-Natal, South Africa: a mixed method study","type":"article-journal","volume":"March 15"},"uris":["http://www.mendeley.com/documents/?uuid=83f5ace8-9821-3cc2-b006-49b8a55cfc96"]}],"mendeley":{"formattedCitation":"&lt;sup&gt;40,41&lt;/sup&gt;","plainTextFormattedCitation":"40,41","previouslyFormattedCitation":"&lt;sup&gt;40,41&lt;/sup&gt;"},"properties":{"noteIndex":0},"schema":"https://github.com/citation-style-language/schema/raw/master/csl-citation.json"}</w:instrText>
      </w:r>
      <w:r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40,41</w:t>
      </w:r>
      <w:r w:rsidRPr="002B5BF5">
        <w:rPr>
          <w:rFonts w:ascii="Times New Roman" w:hAnsi="Times New Roman" w:cs="Times New Roman"/>
        </w:rPr>
        <w:fldChar w:fldCharType="end"/>
      </w:r>
      <w:r w:rsidR="009C3F98" w:rsidRPr="002B5BF5">
        <w:rPr>
          <w:rFonts w:ascii="Times New Roman" w:hAnsi="Times New Roman" w:cs="Times New Roman"/>
        </w:rPr>
        <w:t xml:space="preserve"> suggesting that engagement with EPIC-HIV</w:t>
      </w:r>
      <w:r w:rsidR="000069C7">
        <w:rPr>
          <w:rFonts w:ascii="Times New Roman" w:hAnsi="Times New Roman" w:cs="Times New Roman"/>
        </w:rPr>
        <w:t xml:space="preserve"> </w:t>
      </w:r>
      <w:r w:rsidR="009C3F98" w:rsidRPr="002B5BF5">
        <w:rPr>
          <w:rFonts w:ascii="Times New Roman" w:hAnsi="Times New Roman" w:cs="Times New Roman"/>
        </w:rPr>
        <w:t xml:space="preserve">1 would </w:t>
      </w:r>
      <w:r w:rsidRPr="002B5BF5">
        <w:rPr>
          <w:rFonts w:ascii="Times New Roman" w:hAnsi="Times New Roman" w:cs="Times New Roman"/>
        </w:rPr>
        <w:t>potentially lea</w:t>
      </w:r>
      <w:r w:rsidR="009C3F98" w:rsidRPr="002B5BF5">
        <w:rPr>
          <w:rFonts w:ascii="Times New Roman" w:hAnsi="Times New Roman" w:cs="Times New Roman"/>
        </w:rPr>
        <w:t>d</w:t>
      </w:r>
      <w:r w:rsidRPr="002B5BF5">
        <w:rPr>
          <w:rFonts w:ascii="Times New Roman" w:hAnsi="Times New Roman" w:cs="Times New Roman"/>
        </w:rPr>
        <w:t xml:space="preserve"> to better uptake of home-based HIV testing or linkage to care in future. </w:t>
      </w:r>
    </w:p>
    <w:bookmarkEnd w:id="20"/>
    <w:p w14:paraId="4A1C060B" w14:textId="77777777" w:rsidR="006D32E2" w:rsidRPr="002B5BF5" w:rsidRDefault="006D32E2" w:rsidP="006D32E2">
      <w:pPr>
        <w:spacing w:after="0" w:line="240" w:lineRule="auto"/>
        <w:rPr>
          <w:rFonts w:ascii="Times New Roman" w:hAnsi="Times New Roman" w:cs="Times New Roman"/>
        </w:rPr>
      </w:pPr>
    </w:p>
    <w:p w14:paraId="30BD2847" w14:textId="4FA28B5D" w:rsidR="00983284" w:rsidRPr="002B5BF5" w:rsidRDefault="000839C4" w:rsidP="00983284">
      <w:pPr>
        <w:spacing w:after="0" w:line="360" w:lineRule="auto"/>
        <w:rPr>
          <w:rFonts w:ascii="Times New Roman" w:hAnsi="Times New Roman" w:cs="Times New Roman"/>
        </w:rPr>
      </w:pPr>
      <w:r w:rsidRPr="002B5BF5">
        <w:rPr>
          <w:rFonts w:ascii="Times New Roman" w:hAnsi="Times New Roman" w:cs="Times New Roman"/>
        </w:rPr>
        <w:t>T</w:t>
      </w:r>
      <w:r w:rsidR="00587C93" w:rsidRPr="002B5BF5">
        <w:rPr>
          <w:rFonts w:ascii="Times New Roman" w:hAnsi="Times New Roman" w:cs="Times New Roman"/>
        </w:rPr>
        <w:t xml:space="preserve">he </w:t>
      </w:r>
      <w:r w:rsidR="005D0C80" w:rsidRPr="002B5BF5">
        <w:rPr>
          <w:rFonts w:ascii="Times New Roman" w:hAnsi="Times New Roman" w:cs="Times New Roman"/>
        </w:rPr>
        <w:t xml:space="preserve">overall </w:t>
      </w:r>
      <w:r w:rsidR="00030611" w:rsidRPr="002B5BF5">
        <w:rPr>
          <w:rFonts w:ascii="Times New Roman" w:hAnsi="Times New Roman" w:cs="Times New Roman"/>
        </w:rPr>
        <w:t>population coverage of</w:t>
      </w:r>
      <w:r w:rsidR="00A12C18" w:rsidRPr="002B5BF5">
        <w:rPr>
          <w:rFonts w:ascii="Times New Roman" w:hAnsi="Times New Roman" w:cs="Times New Roman"/>
        </w:rPr>
        <w:t xml:space="preserve"> HIV testing</w:t>
      </w:r>
      <w:r w:rsidR="00587C93" w:rsidRPr="002B5BF5">
        <w:rPr>
          <w:rFonts w:ascii="Times New Roman" w:hAnsi="Times New Roman" w:cs="Times New Roman"/>
        </w:rPr>
        <w:t xml:space="preserve"> during </w:t>
      </w:r>
      <w:r w:rsidR="00030611" w:rsidRPr="002B5BF5">
        <w:rPr>
          <w:rFonts w:ascii="Times New Roman" w:hAnsi="Times New Roman" w:cs="Times New Roman"/>
        </w:rPr>
        <w:t xml:space="preserve">this </w:t>
      </w:r>
      <w:r w:rsidR="00587C93" w:rsidRPr="002B5BF5">
        <w:rPr>
          <w:rFonts w:ascii="Times New Roman" w:hAnsi="Times New Roman" w:cs="Times New Roman"/>
        </w:rPr>
        <w:t>single round of testing was</w:t>
      </w:r>
      <w:r w:rsidR="00030611" w:rsidRPr="002B5BF5">
        <w:rPr>
          <w:rFonts w:ascii="Times New Roman" w:hAnsi="Times New Roman" w:cs="Times New Roman"/>
        </w:rPr>
        <w:t xml:space="preserve"> relatively</w:t>
      </w:r>
      <w:r w:rsidR="00587C93" w:rsidRPr="002B5BF5">
        <w:rPr>
          <w:rFonts w:ascii="Times New Roman" w:hAnsi="Times New Roman" w:cs="Times New Roman"/>
        </w:rPr>
        <w:t xml:space="preserve"> low</w:t>
      </w:r>
      <w:r w:rsidR="005D0C80" w:rsidRPr="002B5BF5">
        <w:rPr>
          <w:rFonts w:ascii="Times New Roman" w:hAnsi="Times New Roman" w:cs="Times New Roman"/>
        </w:rPr>
        <w:t xml:space="preserve"> at </w:t>
      </w:r>
      <w:r w:rsidR="000919C4" w:rsidRPr="002B5BF5">
        <w:rPr>
          <w:rFonts w:ascii="Times New Roman" w:hAnsi="Times New Roman" w:cs="Times New Roman"/>
        </w:rPr>
        <w:t>21</w:t>
      </w:r>
      <w:r w:rsidR="005D0C80" w:rsidRPr="002B5BF5">
        <w:rPr>
          <w:rFonts w:ascii="Times New Roman" w:hAnsi="Times New Roman" w:cs="Times New Roman"/>
        </w:rPr>
        <w:t>%</w:t>
      </w:r>
      <w:r w:rsidR="00587C93" w:rsidRPr="002B5BF5">
        <w:rPr>
          <w:rFonts w:ascii="Times New Roman" w:hAnsi="Times New Roman" w:cs="Times New Roman"/>
        </w:rPr>
        <w:t xml:space="preserve"> (with 3</w:t>
      </w:r>
      <w:r w:rsidR="00D413C2" w:rsidRPr="002B5BF5">
        <w:rPr>
          <w:rFonts w:ascii="Times New Roman" w:hAnsi="Times New Roman" w:cs="Times New Roman"/>
        </w:rPr>
        <w:t>2</w:t>
      </w:r>
      <w:r w:rsidR="00587C93" w:rsidRPr="002B5BF5">
        <w:rPr>
          <w:rFonts w:ascii="Times New Roman" w:hAnsi="Times New Roman" w:cs="Times New Roman"/>
        </w:rPr>
        <w:t>% of men away from home at the time of the fieldworker visits</w:t>
      </w:r>
      <w:r w:rsidR="00DA1285" w:rsidRPr="002B5BF5">
        <w:rPr>
          <w:rFonts w:ascii="Times New Roman" w:hAnsi="Times New Roman" w:cs="Times New Roman"/>
        </w:rPr>
        <w:t xml:space="preserve"> and </w:t>
      </w:r>
      <w:r w:rsidR="000919C4" w:rsidRPr="002B5BF5">
        <w:rPr>
          <w:rFonts w:ascii="Times New Roman" w:hAnsi="Times New Roman" w:cs="Times New Roman"/>
        </w:rPr>
        <w:t>3</w:t>
      </w:r>
      <w:r w:rsidR="00D413C2" w:rsidRPr="002B5BF5">
        <w:rPr>
          <w:rFonts w:ascii="Times New Roman" w:hAnsi="Times New Roman" w:cs="Times New Roman"/>
        </w:rPr>
        <w:t>3</w:t>
      </w:r>
      <w:r w:rsidR="00DA1285" w:rsidRPr="002B5BF5">
        <w:rPr>
          <w:rFonts w:ascii="Times New Roman" w:hAnsi="Times New Roman" w:cs="Times New Roman"/>
        </w:rPr>
        <w:t xml:space="preserve">% </w:t>
      </w:r>
      <w:r w:rsidR="00D10714" w:rsidRPr="002B5BF5">
        <w:rPr>
          <w:rFonts w:ascii="Times New Roman" w:hAnsi="Times New Roman" w:cs="Times New Roman"/>
        </w:rPr>
        <w:t xml:space="preserve">choosing </w:t>
      </w:r>
      <w:r w:rsidR="00DA1285" w:rsidRPr="002B5BF5">
        <w:rPr>
          <w:rFonts w:ascii="Times New Roman" w:hAnsi="Times New Roman" w:cs="Times New Roman"/>
        </w:rPr>
        <w:t xml:space="preserve">not </w:t>
      </w:r>
      <w:r w:rsidR="00D10714" w:rsidRPr="002B5BF5">
        <w:rPr>
          <w:rFonts w:ascii="Times New Roman" w:hAnsi="Times New Roman" w:cs="Times New Roman"/>
        </w:rPr>
        <w:t xml:space="preserve">to </w:t>
      </w:r>
      <w:r w:rsidR="00DA1285" w:rsidRPr="002B5BF5">
        <w:rPr>
          <w:rFonts w:ascii="Times New Roman" w:hAnsi="Times New Roman" w:cs="Times New Roman"/>
        </w:rPr>
        <w:t>participat</w:t>
      </w:r>
      <w:r w:rsidR="00D10714" w:rsidRPr="002B5BF5">
        <w:rPr>
          <w:rFonts w:ascii="Times New Roman" w:hAnsi="Times New Roman" w:cs="Times New Roman"/>
        </w:rPr>
        <w:t>e</w:t>
      </w:r>
      <w:r w:rsidR="00DA1285" w:rsidRPr="002B5BF5">
        <w:rPr>
          <w:rFonts w:ascii="Times New Roman" w:hAnsi="Times New Roman" w:cs="Times New Roman"/>
        </w:rPr>
        <w:t xml:space="preserve"> in the </w:t>
      </w:r>
      <w:r w:rsidR="00CE689D" w:rsidRPr="002B5BF5">
        <w:rPr>
          <w:rFonts w:ascii="Times New Roman" w:hAnsi="Times New Roman" w:cs="Times New Roman"/>
        </w:rPr>
        <w:t xml:space="preserve">annual </w:t>
      </w:r>
      <w:r w:rsidR="00DA1285" w:rsidRPr="002B5BF5">
        <w:rPr>
          <w:rFonts w:ascii="Times New Roman" w:hAnsi="Times New Roman" w:cs="Times New Roman"/>
        </w:rPr>
        <w:t>population-based HIV testing</w:t>
      </w:r>
      <w:r w:rsidR="00C63565" w:rsidRPr="002B5BF5">
        <w:rPr>
          <w:rFonts w:ascii="Times New Roman" w:hAnsi="Times New Roman" w:cs="Times New Roman"/>
        </w:rPr>
        <w:t>)</w:t>
      </w:r>
      <w:r w:rsidR="00942CAE" w:rsidRPr="002B5BF5">
        <w:rPr>
          <w:rFonts w:ascii="Times New Roman" w:hAnsi="Times New Roman" w:cs="Times New Roman"/>
        </w:rPr>
        <w:t xml:space="preserve">, </w:t>
      </w:r>
      <w:proofErr w:type="gramStart"/>
      <w:r w:rsidR="00942CAE" w:rsidRPr="002B5BF5">
        <w:rPr>
          <w:rFonts w:ascii="Times New Roman" w:hAnsi="Times New Roman" w:cs="Times New Roman"/>
        </w:rPr>
        <w:t xml:space="preserve">although </w:t>
      </w:r>
      <w:r w:rsidR="005D0C80" w:rsidRPr="002B5BF5">
        <w:rPr>
          <w:rFonts w:ascii="Times New Roman" w:hAnsi="Times New Roman" w:cs="Times New Roman"/>
        </w:rPr>
        <w:t xml:space="preserve"> </w:t>
      </w:r>
      <w:r w:rsidR="00942CAE" w:rsidRPr="002B5BF5">
        <w:rPr>
          <w:rFonts w:ascii="Times New Roman" w:hAnsi="Times New Roman" w:cs="Times New Roman"/>
        </w:rPr>
        <w:t>o</w:t>
      </w:r>
      <w:r w:rsidR="005D0C80" w:rsidRPr="002B5BF5">
        <w:rPr>
          <w:rFonts w:ascii="Times New Roman" w:hAnsi="Times New Roman" w:cs="Times New Roman"/>
        </w:rPr>
        <w:t>ver</w:t>
      </w:r>
      <w:proofErr w:type="gramEnd"/>
      <w:r w:rsidR="005D0C80" w:rsidRPr="002B5BF5">
        <w:rPr>
          <w:rFonts w:ascii="Times New Roman" w:hAnsi="Times New Roman" w:cs="Times New Roman"/>
        </w:rPr>
        <w:t xml:space="preserve"> several rounds of testing</w:t>
      </w:r>
      <w:r w:rsidR="00942CAE" w:rsidRPr="002B5BF5">
        <w:rPr>
          <w:rFonts w:ascii="Times New Roman" w:hAnsi="Times New Roman" w:cs="Times New Roman"/>
        </w:rPr>
        <w:t>,</w:t>
      </w:r>
      <w:r w:rsidR="005D0C80" w:rsidRPr="002B5BF5">
        <w:rPr>
          <w:rFonts w:ascii="Times New Roman" w:hAnsi="Times New Roman" w:cs="Times New Roman"/>
        </w:rPr>
        <w:t xml:space="preserve"> both the </w:t>
      </w:r>
      <w:r w:rsidR="002F5409" w:rsidRPr="002B5BF5">
        <w:rPr>
          <w:rFonts w:ascii="Times New Roman" w:hAnsi="Times New Roman" w:cs="Times New Roman"/>
        </w:rPr>
        <w:t xml:space="preserve">cumulative </w:t>
      </w:r>
      <w:r w:rsidR="005D0C80" w:rsidRPr="002B5BF5">
        <w:rPr>
          <w:rFonts w:ascii="Times New Roman" w:hAnsi="Times New Roman" w:cs="Times New Roman"/>
        </w:rPr>
        <w:t xml:space="preserve">contact rate and </w:t>
      </w:r>
      <w:r w:rsidR="00942CAE" w:rsidRPr="002B5BF5">
        <w:rPr>
          <w:rFonts w:ascii="Times New Roman" w:hAnsi="Times New Roman" w:cs="Times New Roman"/>
        </w:rPr>
        <w:t xml:space="preserve">the </w:t>
      </w:r>
      <w:r w:rsidR="005D0C80" w:rsidRPr="002B5BF5">
        <w:rPr>
          <w:rFonts w:ascii="Times New Roman" w:hAnsi="Times New Roman" w:cs="Times New Roman"/>
        </w:rPr>
        <w:t xml:space="preserve">level of </w:t>
      </w:r>
      <w:r w:rsidR="00942CAE" w:rsidRPr="002B5BF5">
        <w:rPr>
          <w:rFonts w:ascii="Times New Roman" w:hAnsi="Times New Roman" w:cs="Times New Roman"/>
        </w:rPr>
        <w:t xml:space="preserve">HIV </w:t>
      </w:r>
      <w:r w:rsidR="005D0C80" w:rsidRPr="002B5BF5">
        <w:rPr>
          <w:rFonts w:ascii="Times New Roman" w:hAnsi="Times New Roman" w:cs="Times New Roman"/>
        </w:rPr>
        <w:t>testing would</w:t>
      </w:r>
      <w:r w:rsidR="00274D44" w:rsidRPr="002B5BF5">
        <w:rPr>
          <w:rFonts w:ascii="Times New Roman" w:hAnsi="Times New Roman" w:cs="Times New Roman"/>
        </w:rPr>
        <w:t xml:space="preserve"> </w:t>
      </w:r>
      <w:r w:rsidR="005D0C80" w:rsidRPr="002B5BF5">
        <w:rPr>
          <w:rFonts w:ascii="Times New Roman" w:hAnsi="Times New Roman" w:cs="Times New Roman"/>
        </w:rPr>
        <w:t xml:space="preserve">increase. </w:t>
      </w:r>
      <w:r w:rsidR="0010598E" w:rsidRPr="002B5BF5">
        <w:rPr>
          <w:rFonts w:ascii="Times New Roman" w:hAnsi="Times New Roman" w:cs="Times New Roman"/>
        </w:rPr>
        <w:t xml:space="preserve">For example, </w:t>
      </w:r>
      <w:r w:rsidR="00E615A4" w:rsidRPr="002B5BF5">
        <w:rPr>
          <w:rFonts w:ascii="Times New Roman" w:hAnsi="Times New Roman" w:cs="Times New Roman"/>
        </w:rPr>
        <w:t xml:space="preserve">the </w:t>
      </w:r>
      <w:r w:rsidR="00C63565" w:rsidRPr="002B5BF5">
        <w:rPr>
          <w:rFonts w:ascii="Times New Roman" w:hAnsi="Times New Roman" w:cs="Times New Roman"/>
        </w:rPr>
        <w:t xml:space="preserve">consent </w:t>
      </w:r>
      <w:r w:rsidR="00E615A4" w:rsidRPr="002B5BF5">
        <w:rPr>
          <w:rFonts w:ascii="Times New Roman" w:hAnsi="Times New Roman" w:cs="Times New Roman"/>
        </w:rPr>
        <w:t xml:space="preserve">rate </w:t>
      </w:r>
      <w:r w:rsidR="00C63565" w:rsidRPr="002B5BF5">
        <w:rPr>
          <w:rFonts w:ascii="Times New Roman" w:hAnsi="Times New Roman" w:cs="Times New Roman"/>
        </w:rPr>
        <w:t xml:space="preserve">to </w:t>
      </w:r>
      <w:r w:rsidR="005D0C80" w:rsidRPr="002B5BF5">
        <w:rPr>
          <w:rFonts w:ascii="Times New Roman" w:hAnsi="Times New Roman" w:cs="Times New Roman"/>
        </w:rPr>
        <w:t xml:space="preserve">at least one </w:t>
      </w:r>
      <w:r w:rsidR="00C63565" w:rsidRPr="002B5BF5">
        <w:rPr>
          <w:rFonts w:ascii="Times New Roman" w:hAnsi="Times New Roman" w:cs="Times New Roman"/>
        </w:rPr>
        <w:t>HIV test reached over 75% between 2005 and 2016</w:t>
      </w:r>
      <w:r w:rsidR="00BA5F3E" w:rsidRPr="002B5BF5">
        <w:rPr>
          <w:rFonts w:ascii="Times New Roman" w:hAnsi="Times New Roman" w:cs="Times New Roman"/>
        </w:rPr>
        <w:t>,</w:t>
      </w:r>
      <w:r w:rsidR="00C63565" w:rsidRPr="002B5BF5">
        <w:rPr>
          <w:rFonts w:ascii="Times New Roman" w:hAnsi="Times New Roman" w:cs="Times New Roman"/>
        </w:rPr>
        <w:fldChar w:fldCharType="begin" w:fldLock="1"/>
      </w:r>
      <w:r w:rsidR="002D00B1" w:rsidRPr="002B5BF5">
        <w:rPr>
          <w:rFonts w:ascii="Times New Roman" w:hAnsi="Times New Roman" w:cs="Times New Roman"/>
        </w:rPr>
        <w:instrText>ADDIN CSL_CITATION {"citationItems":[{"id":"ITEM-1","itemData":{"DOI":"10.1136/jech-2017-209713","ISSN":"14702738","PMID":"29175867","abstract":"BACKGROUND Undiagnosed HIV infections could undermine efforts to reverse the global AIDS epidemic by 2030. In this study, we estimated the percentage of HIV-positive persons who remain undiagnosed within a hyperendemic South African community. METHODS The data come from a population-based surveillance system located in the Umkhanyakude district of the northern KwaZulu-Natal province, South Africa. We annually tested 38 661 adults for HIV between 2005 and 2016. Using the HIV-positive test results of 12 039 (31%) participants, we then back-calculated the incidence of infection and derived the number of undiagnosed cases from this result. RESULTS The percentage of undiagnosed HIV cases decreased from 29.3% in 2005 to 15.8% in 2011. During this period, however, approximately 50% of the participants refused to test for HIV, which lengthened the average time from infection to diagnosis. Consequently, the percentage of undiagnosed HIV cases reversed direction and steadily increased from 16.1% to 18.9% over the 2012-2016 period. CONCLUSIONS Results from this hyperendemic South African setting show that the HIV testing rate is low, with long infection times, and an unsatisfactorily high percentage of undiagnosed cases. A high level of repeat HIV testing is needed to minimise the time from infection to diagnosis if the global AIDS epidemic is to be reversed within the next two decades.","author":[{"dropping-particle":"","family":"Vandormael","given":"Alain","non-dropping-particle":"","parse-names":false,"suffix":""},{"dropping-particle":"","family":"Oliveira","given":"Tulio","non-dropping-particle":"De","parse-names":false,"suffix":""},{"dropping-particle":"","family":"Tanser","given":"Frank","non-dropping-particle":"","parse-names":false,"suffix":""},{"dropping-particle":"","family":"Bärnighausen","given":"Till","non-dropping-particle":"","parse-names":false,"suffix":""},{"dropping-particle":"","family":"Herbeck","given":"Joshua T.","non-dropping-particle":"","parse-names":false,"suffix":""}],"container-title":"Journal of Epidemiology and Community Health","id":"ITEM-1","issue":"2","issued":{"date-parts":[["2018"]]},"page":"168-172","title":"High percentage of undiagnosed HIV cases within a hyperendemic South African community: A population-based study","type":"article-journal","volume":"72"},"uris":["http://www.mendeley.com/documents/?uuid=da06f87c-0b3c-4341-b97e-a1eed8a22f64"]}],"mendeley":{"formattedCitation":"&lt;sup&gt;31&lt;/sup&gt;","plainTextFormattedCitation":"31","previouslyFormattedCitation":"&lt;sup&gt;31&lt;/sup&gt;"},"properties":{"noteIndex":0},"schema":"https://github.com/citation-style-language/schema/raw/master/csl-citation.json"}</w:instrText>
      </w:r>
      <w:r w:rsidR="00C63565"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31</w:t>
      </w:r>
      <w:r w:rsidR="00C63565" w:rsidRPr="002B5BF5">
        <w:rPr>
          <w:rFonts w:ascii="Times New Roman" w:hAnsi="Times New Roman" w:cs="Times New Roman"/>
        </w:rPr>
        <w:fldChar w:fldCharType="end"/>
      </w:r>
      <w:r w:rsidR="00C63565" w:rsidRPr="002B5BF5">
        <w:rPr>
          <w:rFonts w:ascii="Times New Roman" w:hAnsi="Times New Roman" w:cs="Times New Roman"/>
        </w:rPr>
        <w:t xml:space="preserve"> </w:t>
      </w:r>
      <w:r w:rsidR="00BA5F3E" w:rsidRPr="002B5BF5">
        <w:rPr>
          <w:rFonts w:ascii="Times New Roman" w:hAnsi="Times New Roman" w:cs="Times New Roman"/>
        </w:rPr>
        <w:t xml:space="preserve">and approximately half of </w:t>
      </w:r>
      <w:r w:rsidR="00DD27AA" w:rsidRPr="002B5BF5">
        <w:rPr>
          <w:rFonts w:ascii="Times New Roman" w:hAnsi="Times New Roman" w:cs="Times New Roman"/>
        </w:rPr>
        <w:t xml:space="preserve">the </w:t>
      </w:r>
      <w:r w:rsidR="00BA5F3E" w:rsidRPr="002B5BF5">
        <w:rPr>
          <w:rFonts w:ascii="Times New Roman" w:hAnsi="Times New Roman" w:cs="Times New Roman"/>
        </w:rPr>
        <w:t xml:space="preserve">eligible individuals consented at least </w:t>
      </w:r>
      <w:r w:rsidR="0006744F" w:rsidRPr="002B5BF5">
        <w:rPr>
          <w:rFonts w:ascii="Times New Roman" w:hAnsi="Times New Roman" w:cs="Times New Roman"/>
        </w:rPr>
        <w:t>twice</w:t>
      </w:r>
      <w:r w:rsidR="00BA5F3E" w:rsidRPr="002B5BF5">
        <w:rPr>
          <w:rFonts w:ascii="Times New Roman" w:hAnsi="Times New Roman" w:cs="Times New Roman"/>
        </w:rPr>
        <w:t xml:space="preserve"> within five years of becoming eligible.</w:t>
      </w:r>
      <w:r w:rsidR="00BA5F3E" w:rsidRPr="002B5BF5">
        <w:rPr>
          <w:rFonts w:ascii="Times New Roman" w:hAnsi="Times New Roman" w:cs="Times New Roman"/>
        </w:rPr>
        <w:fldChar w:fldCharType="begin" w:fldLock="1"/>
      </w:r>
      <w:r w:rsidR="00304248" w:rsidRPr="002B5BF5">
        <w:rPr>
          <w:rFonts w:ascii="Times New Roman" w:hAnsi="Times New Roman" w:cs="Times New Roman"/>
        </w:rPr>
        <w:instrText>ADDIN CSL_CITATION {"citationItems":[{"id":"ITEM-1","itemData":{"DOI":"10.1371/journal.pone.0123345","ISBN":"1932-6203","ISSN":"19326203","PMID":"25875851","abstract":"Population-based HIV surveillance is crucial to inform understanding of the HIV pandemic and evaluate HIV interventions, but little is known about longitudinal participation patterns in such settings. We investigated the dynamics of longitudinal participation patterns in a high HIV prevalence surveillance setting in rural South Africa between 2003 and 2012, taking into account demographic dynamics. At any given survey round, 22,708 to 30,495 persons were eligible. Although the yearly participation rates were relatively modest (26% to 46%), cumulative rates increased substantially with multiple recruitment opportunities: 68% of eligible persons participated at least once, 48% at least twice and 31% at least three times after five survey rounds. We identified two types of study fatigue: at the individual level, contact and consent rates decreased with multiple recruitment opportunities and, at the population level, these rates also decreased over calendar time, independently of multiple recruitment opportunities. Using sequence analysis and hierarchical clustering, we identified three broad individual participation profiles: consenters (20%), switchers (43%) and refusers (37%). Men were over represented among refusers, women among consenters, and temporary non-residents among switchers. The specific subgroup of persons who were systemically not contacted or refusers constitutes a challenge for population-based surveillance and interventions.","author":[{"dropping-particle":"","family":"Larmarange","given":"Joseph","non-dropping-particle":"","parse-names":false,"suffix":""},{"dropping-particle":"","family":"Mossong","given":"Joël","non-dropping-particle":"","parse-names":false,"suffix":""},{"dropping-particle":"","family":"Bärnighausen","given":"Till","non-dropping-particle":"","parse-names":false,"suffix":""},{"dropping-particle":"","family":"Newell","given":"Marie Louise","non-dropping-particle":"","parse-names":false,"suffix":""}],"container-title":"PLoS ONE","id":"ITEM-1","issue":"4","issued":{"date-parts":[["2015"]]},"page":"1-16","title":"Participation dynamics in population-based longitudinal HIV surveillance in rural South Africa","type":"article-journal","volume":"10"},"uris":["http://www.mendeley.com/documents/?uuid=2e659fe7-ffa1-4f57-b086-20e343928a02"]}],"mendeley":{"formattedCitation":"&lt;sup&gt;42&lt;/sup&gt;","plainTextFormattedCitation":"42","previouslyFormattedCitation":"&lt;sup&gt;42&lt;/sup&gt;"},"properties":{"noteIndex":0},"schema":"https://github.com/citation-style-language/schema/raw/master/csl-citation.json"}</w:instrText>
      </w:r>
      <w:r w:rsidR="00BA5F3E" w:rsidRPr="002B5BF5">
        <w:rPr>
          <w:rFonts w:ascii="Times New Roman" w:hAnsi="Times New Roman" w:cs="Times New Roman"/>
        </w:rPr>
        <w:fldChar w:fldCharType="separate"/>
      </w:r>
      <w:r w:rsidR="00BA5F3E" w:rsidRPr="002B5BF5">
        <w:rPr>
          <w:rFonts w:ascii="Times New Roman" w:hAnsi="Times New Roman" w:cs="Times New Roman"/>
          <w:noProof/>
          <w:vertAlign w:val="superscript"/>
        </w:rPr>
        <w:t>42</w:t>
      </w:r>
      <w:r w:rsidR="00BA5F3E" w:rsidRPr="002B5BF5">
        <w:rPr>
          <w:rFonts w:ascii="Times New Roman" w:hAnsi="Times New Roman" w:cs="Times New Roman"/>
        </w:rPr>
        <w:fldChar w:fldCharType="end"/>
      </w:r>
      <w:r w:rsidR="00BA5F3E" w:rsidRPr="002B5BF5">
        <w:rPr>
          <w:rFonts w:ascii="Times New Roman" w:hAnsi="Times New Roman" w:cs="Times New Roman"/>
        </w:rPr>
        <w:t xml:space="preserve"> </w:t>
      </w:r>
      <w:r w:rsidR="0010598E" w:rsidRPr="002B5BF5">
        <w:rPr>
          <w:rFonts w:ascii="Times New Roman" w:hAnsi="Times New Roman" w:cs="Times New Roman"/>
        </w:rPr>
        <w:t xml:space="preserve">Nevertheless, consistently reaching men for </w:t>
      </w:r>
      <w:r w:rsidR="007049FC" w:rsidRPr="002B5BF5">
        <w:rPr>
          <w:rFonts w:ascii="Times New Roman" w:hAnsi="Times New Roman" w:cs="Times New Roman"/>
        </w:rPr>
        <w:t xml:space="preserve">HIV </w:t>
      </w:r>
      <w:r w:rsidR="0010598E" w:rsidRPr="002B5BF5">
        <w:rPr>
          <w:rFonts w:ascii="Times New Roman" w:hAnsi="Times New Roman" w:cs="Times New Roman"/>
        </w:rPr>
        <w:t xml:space="preserve">testing and treatment remains a persistent challenge </w:t>
      </w:r>
      <w:r w:rsidR="00BD71C0" w:rsidRPr="002B5BF5">
        <w:rPr>
          <w:rFonts w:ascii="Times New Roman" w:hAnsi="Times New Roman" w:cs="Times New Roman"/>
        </w:rPr>
        <w:t xml:space="preserve">in this population and </w:t>
      </w:r>
      <w:r w:rsidR="0010598E" w:rsidRPr="002B5BF5">
        <w:rPr>
          <w:rFonts w:ascii="Times New Roman" w:hAnsi="Times New Roman" w:cs="Times New Roman"/>
        </w:rPr>
        <w:t>across multiple contexts</w:t>
      </w:r>
      <w:r w:rsidR="00434EA7" w:rsidRPr="002B5BF5">
        <w:rPr>
          <w:rFonts w:ascii="Times New Roman" w:hAnsi="Times New Roman" w:cs="Times New Roman"/>
        </w:rPr>
        <w:t>.</w:t>
      </w:r>
      <w:r w:rsidR="00434EA7" w:rsidRPr="002B5BF5">
        <w:rPr>
          <w:rFonts w:ascii="Times New Roman" w:hAnsi="Times New Roman" w:cs="Times New Roman"/>
        </w:rPr>
        <w:fldChar w:fldCharType="begin" w:fldLock="1"/>
      </w:r>
      <w:r w:rsidR="00304248" w:rsidRPr="002B5BF5">
        <w:rPr>
          <w:rFonts w:ascii="Times New Roman" w:hAnsi="Times New Roman" w:cs="Times New Roman"/>
        </w:rPr>
        <w:instrText>ADDIN CSL_CITATION {"citationItems":[{"id":"ITEM-1","itemData":{"DOI":"10.1371/journal.pmed.1002433","ISSN":"1549-1676","abstract":"Background Concerning gaps in the HIV care continuum compromise individual and population health. We evaluated a combination intervention strategy (CIS) targeting prevalent barriers to timely linkage and sustained retention in HIV care in Mozambique.   Methods and findings In this cluster-randomized trial, 10 primary health facilities in the city of Maputo and Inhambane Province were randomly assigned to provide the CIS or the standard of care (SOC). The CIS included point-of-care CD4 testing at the time of diagnosis, accelerated ART initiation, and short message service (SMS) health messages and appointment reminders. A pre–post intervention 2-sample design was nested within the CIS arm to assess the effectiveness of CIS+, an enhanced version of the CIS that additionally included conditional non-cash financial incentives for linkage and retention. The primary outcome was a c</w:instrText>
      </w:r>
      <w:r w:rsidR="00304248" w:rsidRPr="002B5BF5">
        <w:rPr>
          <w:rFonts w:ascii="Times New Roman" w:hAnsi="Times New Roman" w:cs="Times New Roman" w:hint="eastAsia"/>
        </w:rPr>
        <w:instrText xml:space="preserve">ombined outcome of linkage to care within 1 month and retention at 12 months after diagnosis. From April 22, 2013, to June 30, 2015, we enrolled 2,004 out of 5,327 adults </w:instrText>
      </w:r>
      <w:r w:rsidR="00304248" w:rsidRPr="002B5BF5">
        <w:rPr>
          <w:rFonts w:ascii="Times New Roman" w:hAnsi="Times New Roman" w:cs="Times New Roman" w:hint="eastAsia"/>
        </w:rPr>
        <w:instrText>≥</w:instrText>
      </w:r>
      <w:r w:rsidR="00304248" w:rsidRPr="002B5BF5">
        <w:rPr>
          <w:rFonts w:ascii="Times New Roman" w:hAnsi="Times New Roman" w:cs="Times New Roman" w:hint="eastAsia"/>
        </w:rPr>
        <w:instrText xml:space="preserve">18 years of age diagnosed with HIV in the voluntary counseling and testing clinics </w:instrText>
      </w:r>
      <w:r w:rsidR="00304248" w:rsidRPr="002B5BF5">
        <w:rPr>
          <w:rFonts w:ascii="Times New Roman" w:hAnsi="Times New Roman" w:cs="Times New Roman"/>
        </w:rPr>
        <w:instrText>of participating health facilities: 744 (37%) in the CIS group, 493 (25%) in the CIS+ group, and 767 (38%) in the SOC group. Fifty-seven percent of the CIS group achieved the primary outcome versus 35% in the SOC group (relative risk [RR]CIS vs SOC = 1.58, 95% CI 1.05–2.39). Eighty-nine percent of the CIS group linked to care on the day of diagnosis versus 16% of the SOC group (RRCIS vs SOC = 9.13, 95% CI 1.65–50.40). There was no significant benefit of adding financial incentives to the CIS in terms of the combined outcome (55% of the CIS+ group achieved the primary outcome, RRCIS+ vs CIS = 0.96, 95% CI 0.81–1.16). Key limitations include the use of existing medical records to assess outcomes, the inability to isolate the effect of each component of the CIS, non-concurrent enrollment of the CIS+ group, and exclusion of many patients newly diagnosed with HIV.   Conclusions The CIS showed promise for making much needed gains in the HIV care continuum in our study, particularly in the critical first step of timely linkage to care following diagnosis.   Trial registration ClinicalTrials.gov NCT01930084","author":[{"dropping-particle":"","family":"Elul","given":"Batya","non-dropping-particle":"","parse-names":false,"suffix":""},{"dropping-particle":"","family":"Lamb","given":"Matthew R.","non-dropping-particle":"","parse-names":false,"suffix":""},{"dropping-particle":"","family":"Lahuerta","given":"Maria","non-dropping-particle":"","parse-names":false,"suffix":""},{"dropping-particle":"","family":"Abacassamo","given":"Fatima","non-dropping-particle":"","parse-names":false,"suffix":""},{"dropping-particle":"","family":"Ahoua","given":"Laurence","non-dropping-particle":"","parse-names":false,"suffix":""},{"dropping-particle":"","family":"Kujawski","given":"Stephanie A.","non-dropping-particle":"","parse-names":false,"suffix":""},{"dropping-particle":"","family":"Tomo","given":"Maria","non-dropping-particle":"","parse-names":false,"suffix":""},{"dropping-particle":"","family":"Jani","given":"Ilesh","non-dropping-particle":"","parse-names":false,"suffix":""}],"container-title":"PLOS Medicine","editor":[{"dropping-particle":"","family":"Lewin","given":"Sharon R.","non-dropping-particle":"","parse-names":false,"suffix":""}],"id":"ITEM-1","issue":"11","issued":{"date-parts":[["2017","11","14"]]},"page":"e1002433","publisher":"Public Library of Science","title":"A combination intervention strategy to improve linkage to and retention in HIV care following diagnosis in Mozambique: A cluster-randomized study","type":"article-journal","volume":"14"},"uris":["http://www.mendeley.com/documents/?uuid=1628df4a-c9c8-3a22-a75b-a2231de382cb"]},{"id":"ITEM-2","itemData":{"DOI":"10.1001/jama.2016.8914","ISSN":"1538-3598 (Electronic)","PMID":"27404184","abstract":"IMPORTANCE: Substance use is a major driver of the HIV epidemic and is associated with poor HIV care outcomes. Patient navigation (care coordination with case management) and the use of financial incentives for achieving predetermined outcomes are interventions increasingly promoted to engage patients in substance use disorders treatment and HIV care, but there is little evidence for their efficacy in improving HIV-1 viral suppression rates. OBJECTIVE: To assess the effect of a structured patient navigation intervention with or without financial incentives to improve HIV-1 viral suppression rates among patients with elevated HIV-1 viral loads and substance use recruited as hospital inpatients. DESIGN, SETTING, AND PARTICIPANTS: From July 2012 through January 2014, 801 patients with HIV infection and substance use from 11 hospitals across the United States were randomly assigned to receive patient navigation alone (n = 266), patient navigation plus financial incentives (n = 271), or treatment as usual (n = 264). HIV-1 plasma viral load was measured at baseline and at 6 and 12 months. INTERVENTIONS: Patient navigation included up to 11 sessions of care coordination with case management and motivational interviewing techniques over 6 months. Financial incentives (up to $1160) were provided for achieving targeted behaviors aimed at reducing substance use, increasing engagement in HIV care, and improving HIV outcomes. Treatment as usual was the standard practice at each hospital for linking hospitalized patients to outpatient HIV care and substance use disorders treatment. MAIN OUTCOMES AND MEASURES: The primary outcome was HIV viral suppression (&lt;/=200 copies/mL) relative to viral nonsuppression or death at the 12-month follow-up. RESULTS: Of 801 patients randomized, 261 (32.6%) were women (mean [SD] age, 44.6 years [10.0 years]). There were no differences in rates of HIV viral suppression versus nonsuppression or death among the 3 groups at 12 months. Eighty-five of 249 patients (34.1%) in the usual-treatment group experienced treatment success compared with 89 of 249 patients (35.7%) in the navigation-only group for a treatment difference of 1.6% (95% CI, -6.8% to 10.0%; P = .80) and compared with 98 of 254 patients (38.6%) in the navigation-plus-incentives group for a treatment difference of 4.5% (95% CI -4.0% to 12.8%; P = .68). The treatment difference between the navigation-only and the navigation-plus-incentives group was -2.8% (95% CI, -11.3% to 5.6…","author":[{"dropping-particle":"","family":"Metsch","given":"Lisa R","non-dropping-particle":"","parse-names":false,"suffix":""},{"dropping-particle":"","family":"Feaster","given":"Daniel J","non-dropping-particle":"","parse-names":false,"suffix":""},{"dropping-particle":"","family":"Gooden","given":"Lauren","non-dropping-particle":"","parse-names":false,"suffix":""},{"dropping-particle":"","family":"Matheson","given":"Tim","non-dropping-particle":"","parse-names":false,"suffix":""},{"dropping-particle":"","family":"Stitzer","given":"Maxine","non-dropping-particle":"","parse-names":false,"suffix":""},{"dropping-particle":"","family":"Das","given":"Moupali","non-dropping-particle":"","parse-names":false,"suffix":""},{"dropping-particle":"","family":"Jain","given":"Mamta K","non-dropping-particle":"","parse-names":false,"suffix":""},{"dropping-particle":"","family":"Rodriguez","given":"Allan E","non-dropping-particle":"","parse-names":false,"suffix":""},{"dropping-particle":"","family":"Armstrong","given":"Wendy S","non-dropping-particle":"","parse-names":false,"suffix":""},{"dropping-particle":"","family":"Lucas","given":"Gregory M","non-dropping-particle":"","parse-names":false,"suffix":""},{"dropping-particle":"","family":"Nijhawan","given":"Ank E","non-dropping-particle":"","parse-names":false,"suffix":""},{"dropping-particle":"","family":"Drainoni","given":"Mari-Lynn","non-dropping-particle":"","parse-names":false,"suffix":""},{"dropping-particle":"","family":"Herrera","given":"Patricia","non-dropping-particle":"","parse-names":false,"suffix":""},{"dropping-particle":"","family":"Vergara-Rodriguez","given":"Pamela","non-dropping-particle":"","parse-names":false,"suffix":""},{"dropping-particle":"","family":"Jacobson","given":"Jeffrey M","non-dropping-particle":"","parse-names":false,"suffix":""},{"dropping-particle":"","family":"Mugavero","given":"Michael J","non-dropping-particle":"","parse-names":false,"suffix":""},{"dropping-particle":"","family":"Sullivan","given":"Meg","non-dropping-particle":"","parse-names":false,"suffix":""},{"dropping-particle":"","family":"Daar","given":"Eric S","non-dropping-particle":"","parse-names":false,"suffix":""},{"dropping-particle":"","family":"McMahon","given":"Deborah K","non-dropping-particle":"","parse-names":false,"suffix":""},{"dropping-particle":"","family":"Ferris","given":"David C","non-dropping-particle":"","parse-names":false,"suffix":""},{"dropping-particle":"","family":"Lindblad","given":"Robert","non-dropping-particle":"","parse-names":false,"suffix":""},{"dropping-particle":"","family":"VanVeldhuisen","given":"Paul","non-dropping-particle":"","parse-names":false,"suffix":""},{"dropping-particle":"","family":"Oden","given":"Neal","non-dropping-particle":"","parse-names":false,"suffix":""},{"dropping-particle":"","family":"Castellon","given":"Pedro C","non-dropping-particle":"","parse-names":false,"suffix":""},{"dropping-particle":"","family":"Tross","given":"Susan","non-dropping-particle":"","parse-names":false,"suffix":""},{"dropping-particle":"","family":"Haynes","given":"Louise F","non-dropping-particle":"","parse-names":false,"suffix":""},{"dropping-particle":"","family":"Douaihy","given":"Antoine","non-dropping-particle":"","parse-names":false,"suffix":""},{"dropping-particle":"","family":"Sorensen","given":"James L","non-dropping-particle":"","parse-names":false,"suffix":""},{"dropping-particle":"","family":"Metzger","given":"David S","non-dropping-particle":"","parse-names":false,"suffix":""},{"dropping-particle":"","family":"Mandler","given":"Raul N","non-dropping-particle":"","parse-names":false,"suffix":""},{"dropping-particle":"","family":"Colfax","given":"Grant N","non-dropping-particle":"","parse-names":false,"suffix":""},{"dropping-particle":"","family":"Rio","given":"Carlos","non-dropping-particle":"del","parse-names":false,"suffix":""}],"container-title":"JAMA","id":"ITEM-2","issue":"2","issued":{"date-parts":[["2016","7"]]},"language":"eng","page":"156-170","publisher-place":"United States","title":"Effect of Patient Navigation With or Without Financial Incentives on Viral Suppression Among Hospitalized Patients With HIV Infection and Substance Use: A Randomized Clinical Trial.","type":"article-journal","volume":"316"},"uris":["http://www.mendeley.com/documents/?uuid=f735227c-1a9d-42dc-ab52-cc3d5cd5cd14"]},{"id":"ITEM-3","itemData":{"DOI":"10.1016/S2352-3018(18)30330-8","ISSN":"23523018","author":[{"dropping-particle":"","family":"Thirumurthy","given":"Harsha","non-dropping-particle":"","parse-names":false,"suffix":""},{"dropping-particle":"","family":"Ndyabakira","given":"Alex","non-dropping-particle":"","parse-names":false,"suffix":""},{"dropping-particle":"","family":"Marson","given":"Kara","non-dropping-particle":"","parse-names":false,"suffix":""},{"dropping-particle":"","family":"Emperador","given":"Devy","non-dropping-particle":"","parse-names":false,"suffix":""},{"dropping-particle":"","family":"Kamya","given":"Moses","non-dropping-particle":"","parse-names":false,"suffix":""},{"dropping-particle":"","family":"Havlir","given":"Diane","non-dropping-particle":"","parse-names":false,"suffix":""},{"dropping-particle":"","family":"Kwarisiima","given":"Dalsone","non-dropping-particle":"","parse-names":false,"suffix":""},{"dropping-particle":"","family":"Chamie","given":"Gabriel","non-dropping-particle":"","parse-names":false,"suffix":""}],"container-title":"The Lancet HIV","id":"ITEM-3","issue":"3","issued":{"date-parts":[["2019","3"]]},"page":"e155-e163","title":"Financial incentives for achieving and maintaining viral suppression among HIV-positive adults in Uganda: a randomised controlled trial","type":"article-journal","volume":"6"},"uris":["http://www.mendeley.com/documents/?uuid=797c33ad-f9f3-30c8-8c64-9fae1f86729e"]}],"mendeley":{"formattedCitation":"&lt;sup&gt;14,22,43&lt;/sup&gt;","plainTextFormattedCitation":"14,22,43","previouslyFormattedCitation":"&lt;sup&gt;14,22,43&lt;/sup&gt;"},"properties":{"noteIndex":0},"schema":"https://github.com/citation-style-language/schema/raw/master/csl-citation.json"}</w:instrText>
      </w:r>
      <w:r w:rsidR="00434EA7" w:rsidRPr="002B5BF5">
        <w:rPr>
          <w:rFonts w:ascii="Times New Roman" w:hAnsi="Times New Roman" w:cs="Times New Roman"/>
        </w:rPr>
        <w:fldChar w:fldCharType="separate"/>
      </w:r>
      <w:r w:rsidR="00BA5F3E" w:rsidRPr="002B5BF5">
        <w:rPr>
          <w:rFonts w:ascii="Times New Roman" w:hAnsi="Times New Roman" w:cs="Times New Roman"/>
          <w:noProof/>
          <w:vertAlign w:val="superscript"/>
        </w:rPr>
        <w:t>14,22,43</w:t>
      </w:r>
      <w:r w:rsidR="00434EA7" w:rsidRPr="002B5BF5">
        <w:rPr>
          <w:rFonts w:ascii="Times New Roman" w:hAnsi="Times New Roman" w:cs="Times New Roman"/>
        </w:rPr>
        <w:fldChar w:fldCharType="end"/>
      </w:r>
      <w:r w:rsidR="0010598E" w:rsidRPr="002B5BF5">
        <w:rPr>
          <w:rFonts w:ascii="Times New Roman" w:hAnsi="Times New Roman" w:cs="Times New Roman"/>
        </w:rPr>
        <w:t xml:space="preserve">  </w:t>
      </w:r>
      <w:r w:rsidR="005758EB" w:rsidRPr="002B5BF5">
        <w:rPr>
          <w:rFonts w:ascii="Times New Roman" w:hAnsi="Times New Roman" w:cs="Times New Roman"/>
        </w:rPr>
        <w:t>A</w:t>
      </w:r>
      <w:r w:rsidR="00DA1D36" w:rsidRPr="002B5BF5">
        <w:rPr>
          <w:rFonts w:ascii="Times New Roman" w:hAnsi="Times New Roman" w:cs="Times New Roman"/>
        </w:rPr>
        <w:t xml:space="preserve"> recent systematic review showed that </w:t>
      </w:r>
      <w:r w:rsidR="005847FC" w:rsidRPr="002B5BF5">
        <w:rPr>
          <w:rFonts w:ascii="Times New Roman" w:hAnsi="Times New Roman" w:cs="Times New Roman"/>
        </w:rPr>
        <w:t xml:space="preserve">acceptability of </w:t>
      </w:r>
      <w:r w:rsidR="00DA1D36" w:rsidRPr="002B5BF5">
        <w:rPr>
          <w:rFonts w:ascii="Times New Roman" w:hAnsi="Times New Roman" w:cs="Times New Roman"/>
        </w:rPr>
        <w:t>home-based HIV testing</w:t>
      </w:r>
      <w:r w:rsidR="005847FC" w:rsidRPr="002B5BF5">
        <w:rPr>
          <w:rFonts w:ascii="Times New Roman" w:hAnsi="Times New Roman" w:cs="Times New Roman"/>
        </w:rPr>
        <w:t xml:space="preserve"> greatly </w:t>
      </w:r>
      <w:r w:rsidR="00275D9B" w:rsidRPr="002B5BF5">
        <w:rPr>
          <w:rFonts w:ascii="Times New Roman" w:hAnsi="Times New Roman" w:cs="Times New Roman"/>
        </w:rPr>
        <w:t xml:space="preserve">varies </w:t>
      </w:r>
      <w:r w:rsidR="00DA1D36" w:rsidRPr="002B5BF5">
        <w:rPr>
          <w:rFonts w:ascii="Times New Roman" w:hAnsi="Times New Roman" w:cs="Times New Roman"/>
        </w:rPr>
        <w:t xml:space="preserve">from </w:t>
      </w:r>
      <w:r w:rsidR="005847FC" w:rsidRPr="002B5BF5">
        <w:rPr>
          <w:rFonts w:ascii="Times New Roman" w:hAnsi="Times New Roman" w:cs="Times New Roman"/>
        </w:rPr>
        <w:t xml:space="preserve">58.1% to 99.8% </w:t>
      </w:r>
      <w:r w:rsidR="009422EC" w:rsidRPr="002B5BF5">
        <w:rPr>
          <w:rFonts w:ascii="Times New Roman" w:hAnsi="Times New Roman" w:cs="Times New Roman"/>
        </w:rPr>
        <w:t>but with</w:t>
      </w:r>
      <w:r w:rsidR="005847FC" w:rsidRPr="002B5BF5">
        <w:rPr>
          <w:rFonts w:ascii="Times New Roman" w:hAnsi="Times New Roman" w:cs="Times New Roman"/>
        </w:rPr>
        <w:t xml:space="preserve"> the </w:t>
      </w:r>
      <w:r w:rsidR="009422EC" w:rsidRPr="002B5BF5">
        <w:rPr>
          <w:rFonts w:ascii="Times New Roman" w:hAnsi="Times New Roman" w:cs="Times New Roman"/>
        </w:rPr>
        <w:t xml:space="preserve">high </w:t>
      </w:r>
      <w:r w:rsidR="005847FC" w:rsidRPr="002B5BF5">
        <w:rPr>
          <w:rFonts w:ascii="Times New Roman" w:hAnsi="Times New Roman" w:cs="Times New Roman"/>
        </w:rPr>
        <w:t>pooled proportion of 83.3%</w:t>
      </w:r>
      <w:r w:rsidR="005758EB" w:rsidRPr="002B5BF5">
        <w:rPr>
          <w:rFonts w:ascii="Times New Roman" w:hAnsi="Times New Roman" w:cs="Times New Roman"/>
        </w:rPr>
        <w:t xml:space="preserve"> throughout sub-Saharan Africa</w:t>
      </w:r>
      <w:r w:rsidR="005847FC" w:rsidRPr="002B5BF5">
        <w:rPr>
          <w:rFonts w:ascii="Times New Roman" w:hAnsi="Times New Roman" w:cs="Times New Roman"/>
        </w:rPr>
        <w:t>.</w:t>
      </w:r>
      <w:r w:rsidR="004D165B" w:rsidRPr="002B5BF5">
        <w:rPr>
          <w:rFonts w:ascii="Times New Roman" w:hAnsi="Times New Roman" w:cs="Times New Roman"/>
        </w:rPr>
        <w:fldChar w:fldCharType="begin" w:fldLock="1"/>
      </w:r>
      <w:r w:rsidR="00304248" w:rsidRPr="002B5BF5">
        <w:rPr>
          <w:rFonts w:ascii="Times New Roman" w:hAnsi="Times New Roman" w:cs="Times New Roman"/>
        </w:rPr>
        <w:instrText>ADDIN CSL_CITATION {"citationItems":[{"id":"ITEM-1","itemData":{"DOI":"10.1371/journal.pmed.1001351","ISSN":"1549-1676","abstract":"Kalpana Sabapathy and colleagues conduct a systematic review and meta-analysis to assess the acceptability of home-based voluntary counseling and testing for HIV in sub-Saharan Africa with some encouraging results.","author":[{"dropping-particle":"","family":"Sabapathy","given":"Kalpana","non-dropping-particle":"","parse-names":false,"suffix":""},{"dropping-particle":"","family":"Bergh","given":"Rafael","non-dropping-particle":"Van den","parse-names":false,"suffix":""},{"dropping-particle":"","family":"Fidler","given":"Sarah","non-dropping-particle":"","parse-names":false,"suffix":""},{"dropping-particle":"","family":"Hayes","given":"Richard","non-dropping-particle":"","parse-names":false,"suffix":""},{"dropping-particle":"","family":"Ford","given":"Nathan","non-dropping-particle":"","parse-names":false,"suffix":""}],"container-title":"PLoS Medicine","editor":[{"dropping-particle":"","family":"Sansom","given":"Stephanie L.","non-dropping-particle":"","parse-names":false,"suffix":""}],"id":"ITEM-1","issue":"12","issued":{"date-parts":[["2012","12","4"]]},"page":"e1001351","publisher":"Public Library of Science","title":"Uptake of Home-Based Voluntary HIV Testing in Sub-Saharan Africa: A Systematic Review and Meta-Analysis","type":"article-journal","volume":"9"},"uris":["http://www.mendeley.com/documents/?uuid=43c90ee1-3503-3438-ace1-3839637dd411"]}],"mendeley":{"formattedCitation":"&lt;sup&gt;44&lt;/sup&gt;","plainTextFormattedCitation":"44","previouslyFormattedCitation":"&lt;sup&gt;44&lt;/sup&gt;"},"properties":{"noteIndex":0},"schema":"https://github.com/citation-style-language/schema/raw/master/csl-citation.json"}</w:instrText>
      </w:r>
      <w:r w:rsidR="004D165B" w:rsidRPr="002B5BF5">
        <w:rPr>
          <w:rFonts w:ascii="Times New Roman" w:hAnsi="Times New Roman" w:cs="Times New Roman"/>
        </w:rPr>
        <w:fldChar w:fldCharType="separate"/>
      </w:r>
      <w:r w:rsidR="00BA5F3E" w:rsidRPr="002B5BF5">
        <w:rPr>
          <w:rFonts w:ascii="Times New Roman" w:hAnsi="Times New Roman" w:cs="Times New Roman"/>
          <w:noProof/>
          <w:vertAlign w:val="superscript"/>
        </w:rPr>
        <w:t>44</w:t>
      </w:r>
      <w:r w:rsidR="004D165B" w:rsidRPr="002B5BF5">
        <w:rPr>
          <w:rFonts w:ascii="Times New Roman" w:hAnsi="Times New Roman" w:cs="Times New Roman"/>
        </w:rPr>
        <w:fldChar w:fldCharType="end"/>
      </w:r>
      <w:r w:rsidR="0082718A" w:rsidRPr="002B5BF5">
        <w:rPr>
          <w:rFonts w:ascii="Times New Roman" w:hAnsi="Times New Roman" w:cs="Times New Roman"/>
        </w:rPr>
        <w:t xml:space="preserve"> </w:t>
      </w:r>
      <w:r w:rsidR="00DA1D36" w:rsidRPr="002B5BF5">
        <w:rPr>
          <w:rFonts w:ascii="Times New Roman" w:hAnsi="Times New Roman" w:cs="Times New Roman"/>
        </w:rPr>
        <w:t>I</w:t>
      </w:r>
      <w:r w:rsidR="00E203ED" w:rsidRPr="002B5BF5">
        <w:rPr>
          <w:rFonts w:ascii="Times New Roman" w:hAnsi="Times New Roman" w:cs="Times New Roman"/>
        </w:rPr>
        <w:t xml:space="preserve">n </w:t>
      </w:r>
      <w:r w:rsidR="00BB396A" w:rsidRPr="002B5BF5">
        <w:rPr>
          <w:rFonts w:ascii="Times New Roman" w:hAnsi="Times New Roman" w:cs="Times New Roman"/>
        </w:rPr>
        <w:t xml:space="preserve">the </w:t>
      </w:r>
      <w:r w:rsidR="0010598E" w:rsidRPr="002B5BF5">
        <w:rPr>
          <w:rFonts w:ascii="Times New Roman" w:hAnsi="Times New Roman" w:cs="Times New Roman"/>
        </w:rPr>
        <w:t xml:space="preserve">area neighbouring </w:t>
      </w:r>
      <w:r w:rsidR="00BB396A" w:rsidRPr="002B5BF5">
        <w:rPr>
          <w:rFonts w:ascii="Times New Roman" w:hAnsi="Times New Roman" w:cs="Times New Roman"/>
        </w:rPr>
        <w:t>communities</w:t>
      </w:r>
      <w:r w:rsidR="00E203ED" w:rsidRPr="002B5BF5">
        <w:rPr>
          <w:rFonts w:ascii="Times New Roman" w:hAnsi="Times New Roman" w:cs="Times New Roman"/>
        </w:rPr>
        <w:t xml:space="preserve">, where </w:t>
      </w:r>
      <w:r w:rsidR="00DA1D36" w:rsidRPr="002B5BF5">
        <w:rPr>
          <w:rFonts w:ascii="Times New Roman" w:hAnsi="Times New Roman" w:cs="Times New Roman"/>
        </w:rPr>
        <w:t xml:space="preserve">the </w:t>
      </w:r>
      <w:r w:rsidR="00E203ED" w:rsidRPr="002B5BF5">
        <w:rPr>
          <w:rFonts w:ascii="Times New Roman" w:hAnsi="Times New Roman" w:cs="Times New Roman"/>
        </w:rPr>
        <w:t xml:space="preserve">ANRS </w:t>
      </w:r>
      <w:proofErr w:type="spellStart"/>
      <w:r w:rsidR="00BB396A" w:rsidRPr="002B5BF5">
        <w:rPr>
          <w:rFonts w:ascii="Times New Roman" w:hAnsi="Times New Roman" w:cs="Times New Roman"/>
        </w:rPr>
        <w:t>TasP</w:t>
      </w:r>
      <w:proofErr w:type="spellEnd"/>
      <w:r w:rsidR="00BB396A" w:rsidRPr="002B5BF5">
        <w:rPr>
          <w:rFonts w:ascii="Times New Roman" w:hAnsi="Times New Roman" w:cs="Times New Roman"/>
        </w:rPr>
        <w:t xml:space="preserve"> </w:t>
      </w:r>
      <w:r w:rsidR="00E203ED" w:rsidRPr="002B5BF5">
        <w:rPr>
          <w:rFonts w:ascii="Times New Roman" w:hAnsi="Times New Roman" w:cs="Times New Roman"/>
        </w:rPr>
        <w:t>12249 Trial</w:t>
      </w:r>
      <w:r w:rsidR="00BB396A" w:rsidRPr="002B5BF5">
        <w:rPr>
          <w:rFonts w:ascii="Times New Roman" w:hAnsi="Times New Roman" w:cs="Times New Roman"/>
        </w:rPr>
        <w:t xml:space="preserve"> was conducted</w:t>
      </w:r>
      <w:r w:rsidR="00E203ED" w:rsidRPr="002B5BF5">
        <w:rPr>
          <w:rFonts w:ascii="Times New Roman" w:hAnsi="Times New Roman" w:cs="Times New Roman"/>
        </w:rPr>
        <w:t xml:space="preserve">, the uptake of </w:t>
      </w:r>
      <w:r w:rsidR="00434EA7" w:rsidRPr="002B5BF5">
        <w:rPr>
          <w:rFonts w:ascii="Times New Roman" w:hAnsi="Times New Roman" w:cs="Times New Roman"/>
        </w:rPr>
        <w:t>home-based HIV testing</w:t>
      </w:r>
      <w:r w:rsidR="00E203ED" w:rsidRPr="002B5BF5">
        <w:rPr>
          <w:rFonts w:ascii="Times New Roman" w:hAnsi="Times New Roman" w:cs="Times New Roman"/>
        </w:rPr>
        <w:t xml:space="preserve"> was </w:t>
      </w:r>
      <w:r w:rsidR="00DA1D36" w:rsidRPr="002B5BF5">
        <w:rPr>
          <w:rFonts w:ascii="Times New Roman" w:hAnsi="Times New Roman" w:cs="Times New Roman"/>
        </w:rPr>
        <w:t xml:space="preserve">also high at </w:t>
      </w:r>
      <w:r w:rsidR="00E203ED" w:rsidRPr="002B5BF5">
        <w:rPr>
          <w:rFonts w:ascii="Times New Roman" w:hAnsi="Times New Roman" w:cs="Times New Roman"/>
        </w:rPr>
        <w:t>82.9%.</w:t>
      </w:r>
      <w:r w:rsidR="00D413C2"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{"citationItems":[{"id":"ITEM-1","itemData":{"DOI":"10.1016/S2352-3018(17)30205-9","ISBN":"2352-3018","ISSN":"23523018","PMID":"12191471","abstract":"Background: Universal antiretroviral therapy (ART), as per the 2015 WHO recommendations, might reduce population HIV incidence. We investigated the effect of universal test and treat on HIV acquisition at population level in a high prevalence rural region of South Africa. Methods: We did a phase 4, open-label, cluster randomised trial of 22 communities in rural KwaZulu-Natal, South Africa. We included individuals residing in the communities who were aged 16 years or older. The clusters were composed of aggregated local areas (neighbourhoods) that had been identified in a previous study in the Hlabisa subdistrict. The study statisticians randomly assigned clusters (1:1) with MapInfo Pro (version 11.0) to either the control or intervention communities, stratified on the basis of antenatal HIV prevalence. We offered residents repeated rapid HIV testing during home-based visits every 6 months for about 4 years in four clusters, 3 years in six clusters, and 2 years in 12 clusters (58 cluster-years) and referred HIV-positive participants to trial clinics for ART (fixed-dose combination of tenofo</w:instrText>
      </w:r>
      <w:r w:rsidR="00AA1D59" w:rsidRPr="002B5BF5">
        <w:rPr>
          <w:rFonts w:ascii="Times New Roman" w:hAnsi="Times New Roman" w:cs="Times New Roman" w:hint="eastAsia"/>
        </w:rPr>
        <w:instrText xml:space="preserve">vir, emtricitabine, and efavirenz) regardless of CD4 cell count (intervention) or according to national guidelines (initially </w:instrText>
      </w:r>
      <w:r w:rsidR="00AA1D59" w:rsidRPr="002B5BF5">
        <w:rPr>
          <w:rFonts w:ascii="Times New Roman" w:hAnsi="Times New Roman" w:cs="Times New Roman" w:hint="eastAsia"/>
        </w:rPr>
        <w:instrText>≤</w:instrText>
      </w:r>
      <w:r w:rsidR="00AA1D59" w:rsidRPr="002B5BF5">
        <w:rPr>
          <w:rFonts w:ascii="Times New Roman" w:hAnsi="Times New Roman" w:cs="Times New Roman" w:hint="eastAsia"/>
        </w:rPr>
        <w:instrText xml:space="preserve">350 cells per </w:instrText>
      </w:r>
      <w:r w:rsidR="00AA1D59" w:rsidRPr="002B5BF5">
        <w:rPr>
          <w:rFonts w:ascii="Times New Roman" w:hAnsi="Times New Roman" w:cs="Times New Roman" w:hint="eastAsia"/>
        </w:rPr>
        <w:instrText>μ</w:instrText>
      </w:r>
      <w:r w:rsidR="00AA1D59" w:rsidRPr="002B5BF5">
        <w:rPr>
          <w:rFonts w:ascii="Times New Roman" w:hAnsi="Times New Roman" w:cs="Times New Roman" w:hint="eastAsia"/>
        </w:rPr>
        <w:instrText xml:space="preserve">L and &lt;500 cells per </w:instrText>
      </w:r>
      <w:r w:rsidR="00AA1D59" w:rsidRPr="002B5BF5">
        <w:rPr>
          <w:rFonts w:ascii="Times New Roman" w:hAnsi="Times New Roman" w:cs="Times New Roman" w:hint="eastAsia"/>
        </w:rPr>
        <w:instrText>μ</w:instrText>
      </w:r>
      <w:r w:rsidR="00AA1D59" w:rsidRPr="002B5BF5">
        <w:rPr>
          <w:rFonts w:ascii="Times New Roman" w:hAnsi="Times New Roman" w:cs="Times New Roman" w:hint="eastAsia"/>
        </w:rPr>
        <w:instrText>L from January, 2015; control). Participants and investigators were not masked to treatment</w:instrText>
      </w:r>
      <w:r w:rsidR="00AA1D59" w:rsidRPr="002B5BF5">
        <w:rPr>
          <w:rFonts w:ascii="Times New Roman" w:hAnsi="Times New Roman" w:cs="Times New Roman"/>
        </w:rPr>
        <w:instrText xml:space="preserve"> allocation. We used dried blood spots once every 6 months provided by participants who were HIV negative at baseline to estimate the primary outcome of HIV incidence with cluster-adjusted Poisson generalised estimated equations in the intention-to-treat population after 58 cluster-years of follow-up. This study is registered with ClinicalTrials.gov, number NCT01509508, and the South African National Clinical Trials Register, number DOH-27-0512-3974. Findings: Between March 9, 2012, and June 30, 2016, we contacted 26 518 (93%) of 28 419 eligible individuals. Of 17 808 (67%) individuals with a first negative dried blood spot test, 14 223 (80%) had subsequent dried blood spot tests, of whom 503 seroconverted after follow-up of 22 891 person-years. Estimated HIV incidence was 2·11 per 100 person-years (95% CI 1·84–2·39) in the intervention group and 2·27 per 100 person-years (2·00–2·54) in the control group (adjusted hazard ratio 1·01, 95% CI 0·87–1·17; p=0·89). We documented one case of suicidal attempt in a woman following HIV seroconversion. 128 patients on ART had 189 life-threatening or grade 4 clinical events: 69 (4…","author":[{"dropping-particle":"","family":"Iwuji","given":"Collins C.","non-dropping-particle":"","parse-names":false,"suffix":""},{"dropping-particle":"","family":"Orne-Gliemann","given":"Joanna","non-dropping-particle":"","parse-names":false,"suffix":""},{"dropping-particle":"","family":"Larmarange","given":"Joseph","non-dropping-particle":"","parse-names":false,"suffix":""},{"dropping-particle":"","family":"Balestre","given":"Eric","non-dropping-particle":"","parse-names":false,"suffix":""},{"dropping-particle":"","family":"Thiebaut","given":"Rodolphe","non-dropping-particle":"","parse-names":false,"suffix":""},{"dropping-particle":"","family":"Tanser","given":"Frank","non-dropping-particle":"","parse-names":false,"suffix":""},{"dropping-particle":"","family":"Okesola","given":"Nonhlanhla","non-dropping-particle":"","parse-names":false,"suffix":""},{"dropping-particle":"","family":"Makowa","given":"Thembisa","non-dropping-particle":"","parse-names":false,"suffix":""},{"dropping-particle":"","family":"Dreyer","given":"Jaco","non-dropping-particle":"","parse-names":false,"suffix":""},{"dropping-particle":"","family":"Herbst","given":"Kobus","non-dropping-particle":"","parse-names":false,"suffix":""},{"dropping-particle":"","family":"McGrath","given":"Nuala","non-dropping-particle":"","parse-names":false,"suffix":""},{"dropping-particle":"","family":"Bärnighausen","given":"Till","non-dropping-particle":"","parse-names":false,"suffix":""},{"dropping-particle":"","family":"Boyer","given":"Sylvie","non-dropping-particle":"","parse-names":false,"suffix":""},{"dropping-particle":"","family":"Oliveira","given":"Tulio","non-dropping-particle":"De","parse-names":false,"suffix":""},{"dropping-particle":"","family":"Rekacewicz","given":"Claire","non-dropping-particle":"","parse-names":false,"suffix":""},{"dropping-particle":"","family":"Bazin","given":"Brigitte","non-dropping-particle":"","parse-names":false,"suffix":""},{"dropping-particle":"","family":"Newell","given":"Marie Louise","non-dropping-particle":"","parse-names":false,"suffix":""},{"dropping-particle":"","family":"Pillay","given":"Deenan","non-dropping-particle":"","parse-names":false,"suffix":""},{"dropping-particle":"","family":"Dabis","given":"François","non-dropping-particle":"","parse-names":false,"suffix":""},{"dropping-particle":"","family":"Iwuji","given":"Collins","non-dropping-particle":"","parse-names":false,"suffix":""},{"dropping-particle":"","family":"Naidu","given":"Kevi","non-dropping-particle":"","parse-names":false,"suffix":""},{"dropping-particle":"","family":"Rochat","given":"Tamsen","non-dropping-particle":"","parse-names":false,"suffix":""},{"dropping-particle":"","family":"Viljoen","given":"Johannes","non-dropping-particle":"","parse-names":false,"suffix":""},{"dropping-particle":"","family":"Zuma","given":"Thembelihle","non-dropping-particle":"","parse-names":false,"suffix":""},{"dropping-particle":"","family":"Karcher","given":"Sophie","non-dropping-particle":"","parse-names":false,"suffix":""},{"dropping-particle":"","family":"Plazy","given":"Melanie","non-dropping-particle":"","parse-names":false,"suffix":""},{"dropping-particle":"","family":"Prague","given":"Mélanie","non-dropping-particle":"","parse-names":false,"suffix":""},{"dropping-particle":"","family":"Thiébaut","given":"Rodolphe","non-dropping-particle":"","parse-names":false,"suffix":""},{"dropping-particle":"","family":"Tiendrebeogo","given":"Thierry","non-dropping-particle":"","parse-names":false,"suffix":""},{"dropping-particle":"","family":"Donfouet","given":"Hermann","non-dropping-particle":"","parse-names":false,"suffix":""},{"dropping-particle":"","family":"Gosset","given":"Andrea","non-dropping-particle":"","parse-names":false,"suffix":""},{"dropping-particle":"","family":"March","given":"Laura","non-dropping-particle":"","parse-names":false,"suffix":""},{"dropping-particle":"","family":"Protopopescu","given":"Camelia","non-dropping-particle":"","parse-names":false,"suffix":""},{"dropping-particle":"","family":"Spire","given":"Bruno","non-dropping-particle":"","parse-names":false,"suffix":""},{"dropping-particle":"","family":"Calmy","given":"Alexandra","non-dropping-particle":"","parse-names":false,"suffix":""},{"dropping-particle":"","family":"Inghels","given":"Maxime","non-dropping-particle":"","parse-names":false,"suffix":""},{"dropping-particle":"","family":"Diallo","given":"Hassimiou","non-dropping-particle":"","parse-names":false,"suffix":""},{"dropping-particle":"","family":"Calvez","given":"Vincent","non-dropping-particle":"","parse-names":false,"suffix":""},{"dropping-particle":"","family":"Derache","given":"Anne","non-dropping-particle":"","parse-names":false,"suffix":""},{"dropping-particle":"","family":"Marcelin","given":"Anne Geneviève","non-dropping-particle":"","parse-names":false,"suffix":""},{"dropping-particle":"","family":"Dray-Spira","given":"Rosemary","non-dropping-particle":"","parse-names":false,"suffix":""},{"dropping-particle":"","family":"Lert","given":"France","non-dropping-particle":"","parse-names":false,"suffix":""},{"dropping-particle":"","family":"Farouki","given":"Kamal","non-dropping-particle":"El","parse-names":false,"suffix":""},{"dropping-particle":"","family":"Lessells","given":"Richard","non-dropping-particle":"","parse-names":false,"suffix":""},{"dropping-particle":"","family":"Freedberg","given":"Kenneth","non-dropping-particle":"","parse-names":false,"suffix":""},{"dropping-particle":"","family":"Imrie","given":"John","non-dropping-particle":"","parse-names":false,"suffix":""},{"dropping-particle":"","family":"Chaix","given":"Marie Laure","non-dropping-particle":"","parse-names":false,"suffix":""},{"dropping-particle":"","family":"Newell","given":"Colin","non-dropping-particle":"","parse-names":false,"suffix":""},{"dropping-particle":"","family":"Hontelez","given":"Jan","non-dropping-particle":"","parse-names":false,"suffix":""}],"container-title":"The Lancet HIV","id":"ITEM-1","issue":"3","issued":{"date-parts":[["2018"]]},"page":"e116-e125","title":"Universal test and treat and the HIV epidemic in rural South Africa: a phase 4, open-label, community cluster randomised trial","type":"article-journal","volume":"5"},"uris":["http://www.mendeley.com/documents/?uuid=61840636-91a9-4176-a4eb-643e62fcb12c"]}],"mendeley":{"formattedCitation":"&lt;sup&gt;12&lt;/sup&gt;","plainTextFormattedCitation":"12","previouslyFormattedCitation":"&lt;sup&gt;12&lt;/sup&gt;"},"properties":{"noteIndex":0},"schema":"https://github.com/citation-style-language/schema/raw/master/csl-citation.json"}</w:instrText>
      </w:r>
      <w:r w:rsidR="00D413C2"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12</w:t>
      </w:r>
      <w:r w:rsidR="00D413C2" w:rsidRPr="002B5BF5">
        <w:rPr>
          <w:rFonts w:ascii="Times New Roman" w:hAnsi="Times New Roman" w:cs="Times New Roman"/>
        </w:rPr>
        <w:fldChar w:fldCharType="end"/>
      </w:r>
      <w:r w:rsidR="007B0681" w:rsidRPr="002B5BF5">
        <w:rPr>
          <w:rFonts w:ascii="Times New Roman" w:hAnsi="Times New Roman" w:cs="Times New Roman"/>
        </w:rPr>
        <w:t xml:space="preserve"> </w:t>
      </w:r>
      <w:bookmarkStart w:id="21" w:name="_Hlk55822872"/>
      <w:r w:rsidR="009422EC" w:rsidRPr="002B5BF5">
        <w:rPr>
          <w:rFonts w:ascii="Times New Roman" w:hAnsi="Times New Roman" w:cs="Times New Roman"/>
        </w:rPr>
        <w:t>When we limited our analysis to those</w:t>
      </w:r>
      <w:r w:rsidR="00587C93" w:rsidRPr="002B5BF5">
        <w:rPr>
          <w:rFonts w:ascii="Times New Roman" w:hAnsi="Times New Roman" w:cs="Times New Roman"/>
        </w:rPr>
        <w:t xml:space="preserve"> who were present at home and</w:t>
      </w:r>
      <w:r w:rsidR="009422EC" w:rsidRPr="002B5BF5">
        <w:rPr>
          <w:rFonts w:ascii="Times New Roman" w:hAnsi="Times New Roman" w:cs="Times New Roman"/>
        </w:rPr>
        <w:t xml:space="preserve"> offered the testing, the overall uptake </w:t>
      </w:r>
      <w:r w:rsidR="0086062F" w:rsidRPr="002B5BF5">
        <w:rPr>
          <w:rFonts w:ascii="Times New Roman" w:hAnsi="Times New Roman" w:cs="Times New Roman"/>
        </w:rPr>
        <w:t xml:space="preserve">of HIV testing </w:t>
      </w:r>
      <w:r w:rsidR="009422EC" w:rsidRPr="002B5BF5">
        <w:rPr>
          <w:rFonts w:ascii="Times New Roman" w:hAnsi="Times New Roman" w:cs="Times New Roman"/>
        </w:rPr>
        <w:t>was around 65%</w:t>
      </w:r>
      <w:r w:rsidR="00587C93" w:rsidRPr="002B5BF5">
        <w:rPr>
          <w:rFonts w:ascii="Times New Roman" w:hAnsi="Times New Roman" w:cs="Times New Roman"/>
        </w:rPr>
        <w:t>,</w:t>
      </w:r>
      <w:r w:rsidR="00A75F6E" w:rsidRPr="002B5BF5">
        <w:rPr>
          <w:rFonts w:ascii="Times New Roman" w:hAnsi="Times New Roman" w:cs="Times New Roman"/>
        </w:rPr>
        <w:t xml:space="preserve"> and</w:t>
      </w:r>
      <w:r w:rsidR="00587C93" w:rsidRPr="002B5BF5">
        <w:rPr>
          <w:rFonts w:ascii="Times New Roman" w:hAnsi="Times New Roman" w:cs="Times New Roman"/>
        </w:rPr>
        <w:t xml:space="preserve"> </w:t>
      </w:r>
      <w:r w:rsidR="009422EC" w:rsidRPr="002B5BF5">
        <w:rPr>
          <w:rFonts w:ascii="Times New Roman" w:hAnsi="Times New Roman" w:cs="Times New Roman"/>
        </w:rPr>
        <w:t xml:space="preserve">significantly higher </w:t>
      </w:r>
      <w:r w:rsidR="00A75F6E" w:rsidRPr="002B5BF5">
        <w:rPr>
          <w:rFonts w:ascii="Times New Roman" w:hAnsi="Times New Roman" w:cs="Times New Roman"/>
        </w:rPr>
        <w:t xml:space="preserve">in the intervention arms </w:t>
      </w:r>
      <w:r w:rsidR="009422EC" w:rsidRPr="002B5BF5">
        <w:rPr>
          <w:rFonts w:ascii="Times New Roman" w:hAnsi="Times New Roman" w:cs="Times New Roman"/>
        </w:rPr>
        <w:t xml:space="preserve">than in the SoC arm. </w:t>
      </w:r>
      <w:r w:rsidR="004A3B66" w:rsidRPr="002B5BF5">
        <w:rPr>
          <w:rFonts w:ascii="Times New Roman" w:hAnsi="Times New Roman" w:cs="Times New Roman"/>
        </w:rPr>
        <w:t xml:space="preserve">Thus, it might require more than one visit </w:t>
      </w:r>
      <w:r w:rsidR="00587C93" w:rsidRPr="002B5BF5">
        <w:rPr>
          <w:rFonts w:ascii="Times New Roman" w:hAnsi="Times New Roman" w:cs="Times New Roman"/>
        </w:rPr>
        <w:t>to offer HIV testing and intervention in order</w:t>
      </w:r>
      <w:r w:rsidR="004A3B66" w:rsidRPr="002B5BF5">
        <w:rPr>
          <w:rFonts w:ascii="Times New Roman" w:hAnsi="Times New Roman" w:cs="Times New Roman"/>
        </w:rPr>
        <w:t xml:space="preserve"> to have </w:t>
      </w:r>
      <w:r w:rsidR="006745D1" w:rsidRPr="002B5BF5">
        <w:rPr>
          <w:rFonts w:ascii="Times New Roman" w:hAnsi="Times New Roman" w:cs="Times New Roman"/>
        </w:rPr>
        <w:t xml:space="preserve">a </w:t>
      </w:r>
      <w:r w:rsidR="004A3B66" w:rsidRPr="002B5BF5">
        <w:rPr>
          <w:rFonts w:ascii="Times New Roman" w:hAnsi="Times New Roman" w:cs="Times New Roman"/>
        </w:rPr>
        <w:t>substantial impact</w:t>
      </w:r>
      <w:r w:rsidR="00587C93" w:rsidRPr="002B5BF5">
        <w:rPr>
          <w:rFonts w:ascii="Times New Roman" w:hAnsi="Times New Roman" w:cs="Times New Roman"/>
        </w:rPr>
        <w:t xml:space="preserve"> </w:t>
      </w:r>
      <w:r w:rsidR="004A3B66" w:rsidRPr="002B5BF5">
        <w:rPr>
          <w:rFonts w:ascii="Times New Roman" w:hAnsi="Times New Roman" w:cs="Times New Roman"/>
        </w:rPr>
        <w:t>at a population level.</w:t>
      </w:r>
    </w:p>
    <w:bookmarkEnd w:id="21"/>
    <w:p w14:paraId="5BD22AF7" w14:textId="77777777" w:rsidR="00983284" w:rsidRPr="002B5BF5" w:rsidRDefault="00983284" w:rsidP="00AA1D59">
      <w:pPr>
        <w:spacing w:after="0" w:line="360" w:lineRule="auto"/>
        <w:rPr>
          <w:rFonts w:ascii="Times New Roman" w:hAnsi="Times New Roman" w:cs="Times New Roman"/>
        </w:rPr>
      </w:pPr>
    </w:p>
    <w:p w14:paraId="2035BF1E" w14:textId="28C90140" w:rsidR="0050346B" w:rsidRPr="002B5BF5" w:rsidRDefault="001D5C4A" w:rsidP="00CF7A49">
      <w:pPr>
        <w:spacing w:line="360" w:lineRule="auto"/>
        <w:jc w:val="both"/>
        <w:rPr>
          <w:rFonts w:ascii="Times New Roman" w:hAnsi="Times New Roman" w:cs="Times New Roman"/>
        </w:rPr>
      </w:pPr>
      <w:r w:rsidRPr="002B5BF5">
        <w:rPr>
          <w:rFonts w:ascii="Times New Roman" w:hAnsi="Times New Roman" w:cs="Times New Roman"/>
        </w:rPr>
        <w:t xml:space="preserve">Another challenge for delivering </w:t>
      </w:r>
      <w:r w:rsidR="00434EA7" w:rsidRPr="002B5BF5">
        <w:rPr>
          <w:rFonts w:ascii="Times New Roman" w:hAnsi="Times New Roman" w:cs="Times New Roman"/>
        </w:rPr>
        <w:t>home-based HIV testing</w:t>
      </w:r>
      <w:r w:rsidRPr="002B5BF5">
        <w:rPr>
          <w:rFonts w:ascii="Times New Roman" w:hAnsi="Times New Roman" w:cs="Times New Roman"/>
        </w:rPr>
        <w:t xml:space="preserve"> is</w:t>
      </w:r>
      <w:r w:rsidR="002429CF" w:rsidRPr="002B5BF5">
        <w:rPr>
          <w:rFonts w:ascii="Times New Roman" w:hAnsi="Times New Roman" w:cs="Times New Roman"/>
        </w:rPr>
        <w:t xml:space="preserve"> </w:t>
      </w:r>
      <w:r w:rsidR="005F14BC" w:rsidRPr="002B5BF5">
        <w:rPr>
          <w:rFonts w:ascii="Times New Roman" w:hAnsi="Times New Roman" w:cs="Times New Roman"/>
        </w:rPr>
        <w:t>frequent</w:t>
      </w:r>
      <w:r w:rsidR="002429CF" w:rsidRPr="002B5BF5">
        <w:rPr>
          <w:rFonts w:ascii="Times New Roman" w:hAnsi="Times New Roman" w:cs="Times New Roman"/>
        </w:rPr>
        <w:t xml:space="preserve"> short-term mobility and long-term migration</w:t>
      </w:r>
      <w:r w:rsidR="00AA2CCC" w:rsidRPr="002B5BF5">
        <w:rPr>
          <w:rFonts w:ascii="Times New Roman" w:hAnsi="Times New Roman" w:cs="Times New Roman"/>
        </w:rPr>
        <w:t xml:space="preserve">. In the study area, more than 20% of the residents migrate at least once in a given year, putting them at a higher risk of HIV </w:t>
      </w:r>
      <w:r w:rsidR="005F14BC" w:rsidRPr="002B5BF5">
        <w:rPr>
          <w:rFonts w:ascii="Times New Roman" w:hAnsi="Times New Roman" w:cs="Times New Roman"/>
        </w:rPr>
        <w:t>acquisition and</w:t>
      </w:r>
      <w:r w:rsidR="00AA2CCC" w:rsidRPr="002B5BF5">
        <w:rPr>
          <w:rFonts w:ascii="Times New Roman" w:hAnsi="Times New Roman" w:cs="Times New Roman"/>
        </w:rPr>
        <w:t xml:space="preserve"> </w:t>
      </w:r>
      <w:r w:rsidRPr="002B5BF5">
        <w:rPr>
          <w:rFonts w:ascii="Times New Roman" w:hAnsi="Times New Roman" w:cs="Times New Roman"/>
        </w:rPr>
        <w:t>lack of</w:t>
      </w:r>
      <w:r w:rsidR="00AA2CCC" w:rsidRPr="002B5BF5">
        <w:rPr>
          <w:rFonts w:ascii="Times New Roman" w:hAnsi="Times New Roman" w:cs="Times New Roman"/>
        </w:rPr>
        <w:t xml:space="preserve"> access to HIV testing, prevention, </w:t>
      </w:r>
      <w:r w:rsidRPr="002B5BF5">
        <w:rPr>
          <w:rFonts w:ascii="Times New Roman" w:hAnsi="Times New Roman" w:cs="Times New Roman"/>
        </w:rPr>
        <w:t>or</w:t>
      </w:r>
      <w:r w:rsidR="00AA2CCC" w:rsidRPr="002B5BF5">
        <w:rPr>
          <w:rFonts w:ascii="Times New Roman" w:hAnsi="Times New Roman" w:cs="Times New Roman"/>
        </w:rPr>
        <w:t xml:space="preserve"> treatment services.</w:t>
      </w:r>
      <w:r w:rsidR="008E25F9" w:rsidRPr="002B5BF5">
        <w:rPr>
          <w:rFonts w:ascii="Times New Roman" w:hAnsi="Times New Roman" w:cs="Times New Roman"/>
        </w:rPr>
        <w:fldChar w:fldCharType="begin" w:fldLock="1"/>
      </w:r>
      <w:r w:rsidR="00304248" w:rsidRPr="002B5BF5">
        <w:rPr>
          <w:rFonts w:ascii="Times New Roman" w:hAnsi="Times New Roman" w:cs="Times New Roman"/>
        </w:rPr>
        <w:instrText>ADDIN CSL_CITATION {"citationItems":[{"id":"ITEM-1","itemData":{"DOI":"10.1097/QAD.0000000000001292","ISBN":"0000000000","ISSN":"0269-9370","PMID":"27755099","abstract":"OBJECTIVE To quantify the space-time dimensions of human mobility in relationship to the risk of HIV acquisition. METHODS We used data from the population cohort located in a high HIV prevalence, rural population in KwaZulu-Natal, South Africa (2000-2014). We geolocated 8006 migration events (representing 1 028 782 km traveled) for 17 743</w:instrText>
      </w:r>
      <w:r w:rsidR="00304248" w:rsidRPr="002B5BF5">
        <w:rPr>
          <w:rFonts w:ascii="Times New Roman" w:hAnsi="Times New Roman" w:cs="Times New Roman" w:hint="eastAsia"/>
        </w:rPr>
        <w:instrText xml:space="preserve"> individuals (</w:instrText>
      </w:r>
      <w:r w:rsidR="00304248" w:rsidRPr="002B5BF5">
        <w:rPr>
          <w:rFonts w:ascii="Times New Roman" w:hAnsi="Times New Roman" w:cs="Times New Roman" w:hint="eastAsia"/>
        </w:rPr>
        <w:instrText>≥</w:instrText>
      </w:r>
      <w:r w:rsidR="00304248" w:rsidRPr="002B5BF5">
        <w:rPr>
          <w:rFonts w:ascii="Times New Roman" w:hAnsi="Times New Roman" w:cs="Times New Roman" w:hint="eastAsia"/>
        </w:rPr>
        <w:instrText>15 years of age) who were HIV negative at baseline and followed up these individuals for HIV acquisition (70 395 person-years). Based on the complete geolocated residential history of every individual in this cohort, we constructed two deta</w:instrText>
      </w:r>
      <w:r w:rsidR="00304248" w:rsidRPr="002B5BF5">
        <w:rPr>
          <w:rFonts w:ascii="Times New Roman" w:hAnsi="Times New Roman" w:cs="Times New Roman"/>
        </w:rPr>
        <w:instrText>iled time-varying migration indices. We then used interval-censored Cox proportional hazards models to quantify the relationship between the migration indices and the risk of HIV acquisition. RESULTS In total, 17.4% of participants migrated at least once outside the rural study community during the period of observation (median migration distance = 107.1 km, interquartile range 18.9-387.5). The two migration indices were highly predictive of hazard of HIV acquisition (P &lt; 0.01) in both men and women. Holding other factors equal, the risk of acquiring HIV infection increased by 50% for migration distances of 40 km (men) and 109 km (women). HIV acquisition risk also increased by 50% when participants spent 44% (men) and 90% (women) of their respective time outside the rural study community. CONCLUSION This in-depth analysis of a population cohort in a rural sub-Saharan African population has revealed a clear nonlinear relationship between distance migrated and HIV acquisition. Our findings show that even relatively short-distance migration events confer substantial additional risk of acquisition.","author":[{"dropping-particle":"","family":"Dobra","given":"Adrian","non-dropping-particle":"","parse-names":false,"suffix":""},{"dropping-particle":"","family":"Bärnighausen","given":"Till","non-dropping-particle":"","parse-names":false,"suffix":""},{"dropping-particle":"","family":"Vandormael","given":"Alain","non-dropping-particle":"","parse-names":false,"suffix":""},{"dropping-particle":"","family":"Tanser","given":"Frank","non-dropping-particle":"","parse-names":false,"suffix":""}],"container-title":"AIDS","id":"ITEM-1","issue":"1","issued":{"date-parts":[["2017","1","2"]]},"page":"137-145","publisher":"Wolters Kluwer Health","title":"Space-time migration patterns and risk of HIV acquisition in rural South Africa","type":"article-journal","volume":"31"},"uris":["http://www.mendeley.com/documents/?uuid=a09a8315-1b47-4736-93ec-95522d86f389"]}],"mendeley":{"formattedCitation":"&lt;sup&gt;45&lt;/sup&gt;","plainTextFormattedCitation":"45","previouslyFormattedCitation":"&lt;sup&gt;45&lt;/sup&gt;"},"properties":{"noteIndex":0},"schema":"https://github.com/citation-style-language/schema/raw/master/csl-citation.json"}</w:instrText>
      </w:r>
      <w:r w:rsidR="008E25F9" w:rsidRPr="002B5BF5">
        <w:rPr>
          <w:rFonts w:ascii="Times New Roman" w:hAnsi="Times New Roman" w:cs="Times New Roman"/>
        </w:rPr>
        <w:fldChar w:fldCharType="separate"/>
      </w:r>
      <w:r w:rsidR="00BA5F3E" w:rsidRPr="002B5BF5">
        <w:rPr>
          <w:rFonts w:ascii="Times New Roman" w:hAnsi="Times New Roman" w:cs="Times New Roman"/>
          <w:noProof/>
          <w:vertAlign w:val="superscript"/>
        </w:rPr>
        <w:t>45</w:t>
      </w:r>
      <w:r w:rsidR="008E25F9" w:rsidRPr="002B5BF5">
        <w:rPr>
          <w:rFonts w:ascii="Times New Roman" w:hAnsi="Times New Roman" w:cs="Times New Roman"/>
        </w:rPr>
        <w:fldChar w:fldCharType="end"/>
      </w:r>
      <w:r w:rsidR="008E25F9" w:rsidRPr="002B5BF5">
        <w:rPr>
          <w:rFonts w:ascii="Times New Roman" w:hAnsi="Times New Roman" w:cs="Times New Roman"/>
        </w:rPr>
        <w:t xml:space="preserve"> </w:t>
      </w:r>
      <w:r w:rsidRPr="002B5BF5">
        <w:rPr>
          <w:rFonts w:ascii="Times New Roman" w:hAnsi="Times New Roman" w:cs="Times New Roman"/>
        </w:rPr>
        <w:t>O</w:t>
      </w:r>
      <w:r w:rsidR="007567C6" w:rsidRPr="002B5BF5">
        <w:rPr>
          <w:rFonts w:ascii="Times New Roman" w:hAnsi="Times New Roman" w:cs="Times New Roman"/>
        </w:rPr>
        <w:t xml:space="preserve">ther innovative approaches </w:t>
      </w:r>
      <w:r w:rsidRPr="002B5BF5">
        <w:rPr>
          <w:rFonts w:ascii="Times New Roman" w:hAnsi="Times New Roman" w:cs="Times New Roman"/>
        </w:rPr>
        <w:t>have been shown effective to increase the uptake of HCT s</w:t>
      </w:r>
      <w:r w:rsidR="007567C6" w:rsidRPr="002B5BF5">
        <w:rPr>
          <w:rFonts w:ascii="Times New Roman" w:hAnsi="Times New Roman" w:cs="Times New Roman"/>
        </w:rPr>
        <w:t xml:space="preserve">uch as </w:t>
      </w:r>
      <w:r w:rsidR="00DD299F" w:rsidRPr="002B5BF5">
        <w:rPr>
          <w:rFonts w:ascii="Times New Roman" w:hAnsi="Times New Roman" w:cs="Times New Roman"/>
        </w:rPr>
        <w:t xml:space="preserve">provision of </w:t>
      </w:r>
      <w:r w:rsidR="007567C6" w:rsidRPr="002B5BF5">
        <w:rPr>
          <w:rFonts w:ascii="Times New Roman" w:hAnsi="Times New Roman" w:cs="Times New Roman"/>
        </w:rPr>
        <w:t>HIV self-testing kits during delivery of home-based HIV testing services</w:t>
      </w:r>
      <w:r w:rsidR="00874154" w:rsidRPr="002B5BF5">
        <w:rPr>
          <w:rFonts w:ascii="Times New Roman" w:hAnsi="Times New Roman" w:cs="Times New Roman"/>
        </w:rPr>
        <w:t>,</w:t>
      </w:r>
      <w:r w:rsidR="00440C11" w:rsidRPr="002B5BF5">
        <w:rPr>
          <w:rFonts w:ascii="Times New Roman" w:hAnsi="Times New Roman" w:cs="Times New Roman"/>
        </w:rPr>
        <w:fldChar w:fldCharType="begin" w:fldLock="1"/>
      </w:r>
      <w:r w:rsidR="00304248" w:rsidRPr="002B5BF5">
        <w:rPr>
          <w:rFonts w:ascii="Times New Roman" w:hAnsi="Times New Roman" w:cs="Times New Roman"/>
        </w:rPr>
        <w:instrText>ADDIN CSL_CITATION {"citationItems":[{"id":"ITEM-1","itemData":{"DOI":"10.1016/S2352-3018(18)30258-3","ISSN":"23523018","abstract":"Background: The HPTN 071 (PopART) cluster-randomised trial provided door-to-door HIV testing services to a large proportion of individuals residing in 21 intervention communities in Zambia and South Africa from 2014 to 2017 and reached the UNAIDS first 90 target among women in Zambia, yet gaps remained among men and young adults. This cluster-randomised study nested in the HPTN 071 (PopART) trial sought to increase knowledge of HIV status across all groups by offering the choice of oral HIV self-testing in addition to routine door-to-door HIV testing services. Methods: We nested this cluster-randomised trial in four HTPN 071 (PopART) intervention communities in northern Zambia. 66 zones (clusters) in these communities were randomly allocated (1:1) to either oral HIV self-testing plus routine door-to-door HIV testing services (HIV self-testing group) or the PopART standard of care of door-to-door HIV testing services alone (non- HIV self-testing group) over a 3-month period. All individuals aged 16 years or older were eligible for HIV testing. Randomisation was achieved by randomly selecting one allocation from a list of 10 000 possible allocations during a public ceremony. In HIV self-testing zones, trained lay-counsellors (known as community HIV care providers) visited households and offered eligible individuals the choice of HIV testing using HIV self-testing or routine door-to-door HIV testing services. For individuals aged 18 years or older whose partner was absent during the household visit, an HIV self-test kit could be left for secondary distribution to the absent partner. The primary outcome was knowledge of HIV status (defined as self-reporting HIV positive to the community HIV care providers or accepting an offer of HIV testing services). Outcomes were measured among households that were first visited, and individuals first enumerated as a household member during the HIV self-testing intervention period. We analysed data at the individual level using population-average logistic regression models, accounting for clustering of outcomes by zone, to estimate the effect of the intervention. This trial is registered with ClinicalTrials.gov, number NCT02994329. Findings: Between Feb 1, and April 30, 2017, the community HIV care providers enumerated 13 267 eligible individuals in the HIV self-testing group and 13 706 in the non-HIV self-testing group. After intervention implementation, 9027 (68%) of 13 267 in the HIV self-testing group had knowledge o…","author":[{"dropping-particle":"","family":"Mulubwa","given":"Chama","non-dropping-particle":"","parse-names":false,"suffix":""},{"dropping-particle":"","family":"Hensen","given":"Bernadette","non-dropping-particle":"","parse-names":false,"suffix":""},{"dropping-particle":"","family":"Phiri","given":"Mwelwa M.","non-dropping-particle":"","parse-names":false,"suffix":""},{"dropping-particle":"","family":"Shanaube","given":"Kwame","non-dropping-particle":"","parse-names":false,"suffix":""},{"dropping-particle":"","family":"Schaap","given":"Albertus J.","non-dropping-particle":"","parse-names":false,"suffix":""},{"dropping-particle":"","family":"Floyd","given":"Sian","non-dropping-particle":"","parse-names":false,"suffix":""},{"dropping-particle":"","family":"Phiri","given":"Comfort R.","non-dropping-particle":"","parse-names":false,"suffix":""},{"dropping-particle":"","family":"Bwalya","given":"Chiti","non-dropping-particle":"","parse-names":false,"suffix":""},{"dropping-particle":"","family":"Bond","given":"Virginia","non-dropping-particle":"","parse-names":false,"suffix":""},{"dropping-particle":"","family":"Simwinga","given":"Musonda","non-dropping-particle":"","parse-names":false,"suffix":""},{"dropping-particle":"","family":"Mwenge","given":"Lawrence","non-dropping-particle":"","parse-names":false,"suffix":""},{"dropping-particle":"","family":"Fidler","given":"Sarah","non-dropping-particle":"","parse-names":false,"suffix":""},{"dropping-particle":"","family":"Hayes","given":"Richard","non-dropping-particle":"","parse-names":false,"suffix":""},{"dropping-particle":"","family":"Mwinga","given":"Alwyn","non-dropping-particle":"","parse-names":false,"suffix":""},{"dropping-particle":"","family":"Ayles","given":"Helen","non-dropping-particle":"","parse-names":false,"suffix":""}],"container-title":"The Lancet HIV","id":"ITEM-1","issue":"2","issued":{"date-parts":[["2019","2","1"]]},"page":"e81-e92","publisher":"Elsevier Ltd","title":"Community based distribution of oral HIV self-testing kits in Zambia: a cluster-randomised trial nested in four HPTN 071 (PopART) intervention communities","type":"article-journal","volume":"6"},"uris":["http://www.mendeley.com/documents/?uuid=0e3078a4-3aff-3e74-8dee-dc8971e80817"]}],"mendeley":{"formattedCitation":"&lt;sup&gt;46&lt;/sup&gt;","plainTextFormattedCitation":"46","previouslyFormattedCitation":"&lt;sup&gt;46&lt;/sup&gt;"},"properties":{"noteIndex":0},"schema":"https://github.com/citation-style-language/schema/raw/master/csl-citation.json"}</w:instrText>
      </w:r>
      <w:r w:rsidR="00440C11" w:rsidRPr="002B5BF5">
        <w:rPr>
          <w:rFonts w:ascii="Times New Roman" w:hAnsi="Times New Roman" w:cs="Times New Roman"/>
        </w:rPr>
        <w:fldChar w:fldCharType="separate"/>
      </w:r>
      <w:r w:rsidR="00BA5F3E" w:rsidRPr="002B5BF5">
        <w:rPr>
          <w:rFonts w:ascii="Times New Roman" w:hAnsi="Times New Roman" w:cs="Times New Roman"/>
          <w:noProof/>
          <w:vertAlign w:val="superscript"/>
        </w:rPr>
        <w:t>46</w:t>
      </w:r>
      <w:r w:rsidR="00440C11" w:rsidRPr="002B5BF5">
        <w:rPr>
          <w:rFonts w:ascii="Times New Roman" w:hAnsi="Times New Roman" w:cs="Times New Roman"/>
        </w:rPr>
        <w:fldChar w:fldCharType="end"/>
      </w:r>
      <w:r w:rsidR="00874154" w:rsidRPr="002B5BF5">
        <w:rPr>
          <w:rFonts w:ascii="Times New Roman" w:hAnsi="Times New Roman" w:cs="Times New Roman"/>
        </w:rPr>
        <w:t xml:space="preserve"> at the community,</w:t>
      </w:r>
      <w:r w:rsidR="00874154" w:rsidRPr="002B5BF5">
        <w:rPr>
          <w:rFonts w:ascii="Times New Roman" w:hAnsi="Times New Roman" w:cs="Times New Roman"/>
        </w:rPr>
        <w:fldChar w:fldCharType="begin" w:fldLock="1"/>
      </w:r>
      <w:r w:rsidR="00304248" w:rsidRPr="002B5BF5">
        <w:rPr>
          <w:rFonts w:ascii="Times New Roman" w:hAnsi="Times New Roman" w:cs="Times New Roman"/>
        </w:rPr>
        <w:instrText>ADDIN CSL_CITATION {"citationItems":[{"id":"ITEM-1","itemData":{"DOI":"10.1002/jia2.25514","ISSN":"1758-2652","abstract":"Introduction: In South Africa, HIV-infected men are less likely than women to test and know their status (the first UNAIDS “90-90-90” target), and men have worse outcomes across the HIV care cascade. HIV self-testing (HIVST) may address this testing disparity but questions remain over the most effective distribution strategy and linkage following a positive test result. We implemented a men-focused HIVST distribution programme to evaluate components contributing to participation and retention. Methods: We conducted an implementation study of multi-venue HIVST kit distribution in rural and peri-urban KwaZulu-Natal (KZN), South Africa. We distributed HIVST kits at community points, workplaces and social venues for on site or take-home use. Clients could choose blood-based or oral-fluid-based HIVST kits and elect to watch an in-person or video demonstration. We provided a USD2 incentive to facilitate reporting test results by phone or SMS. Persons with reactive HIVST results were provided immediate confirmatory tests (if used HIVST on site) or were referred for confirmatory testing (if took HIVST off site) and linkage to care for ART initiation. We describe the testing and linkage cascade in this sample and describe predictors of reactive HIVST results and linkage. Results: Between July and November 2018, we distributed 4496 HIVST kits in two regions of KZN (96% to men, median age 28 (IQR 23 to 35). Most participants (58%) chose blood-based HIVST and 42% chose oral-swab kits. 11% of men were testing for the first time. A total of 3902 (83%) of testers reported their test result to the study team, with 314 (8%) screening positive for HIV. Among 274 men with reactive HIVST results, 68% linked to ART; no significant predictors of linkage were identified. 10% of kit users reported they would prefer a different type (oral vs. blood) of kit for repeat testing than the type they used. Conclusions: HIVST is acceptable to men and rapid distribution with optional testing support is feasible in rural and peri-urban settings. HIVST kits successfully reached younger men and identified undetected infections. Both oral and blood-based HIVST were selected. Scaling up HIVST distribution and guidance may increase the number of first-time testers among men and help achieve the first UNAIDS “90” for men in South Africa.","author":[{"dropping-particle":"","family":"Shapiro","given":"Adrienne E","non-dropping-particle":"","parse-names":false,"suffix":""},{"dropping-particle":"","family":"Heerden","given":"Alastair","non-dropping-particle":"","parse-names":false,"suffix":""},{"dropping-particle":"","family":"Krows","given":"Meighan","non-dropping-particle":"","parse-names":false,"suffix":""},{"dropping-particle":"","family":"Sausi","given":"Kombi","non-dropping-particle":"","parse-names":false,"suffix":""},{"dropping-particle":"","family":"Sithole","given":"Nsika","non-dropping-particle":"","parse-names":false,"suffix":""},{"dropping-particle":"","family":"Schaafsma","given":"Torin T","non-dropping-particle":"","parse-names":false,"suffix":""},{"dropping-particle":"","family":"Koole","given":"Olivier","non-dropping-particle":"","parse-names":false,"suffix":""},{"dropping-particle":"","family":"Rooyen","given":"Heidi","non-dropping-particle":"","parse-names":false,"suffix":""},{"dropping-particle":"","family":"Celum","given":"Connie L","non-dropping-particle":"","parse-names":false,"suffix":""},{"dropping-particle":"V","family":"Barnabas","given":"Ruanne","non-dropping-particle":"","parse-names":false,"suffix":""}],"container-title":"Journal of the International AIDS Society","id":"ITEM-1","issue":"S2","issued":{"date-parts":[["2020","6","26"]]},"publisher":"John Wiley and Sons Inc.","title":"An implementation study of oral and blood‐based HIV self‐testing and linkage to care among men in rural and peri‐urban KwaZulu‐Natal, South Africa","type":"article-journal","volume":"23"},"uris":["http://www.mendeley.com/documents/?uuid=481d36b0-43e6-3806-8341-4416899ed578"]}],"mendeley":{"formattedCitation":"&lt;sup&gt;47&lt;/sup&gt;","plainTextFormattedCitation":"47","previouslyFormattedCitation":"&lt;sup&gt;47&lt;/sup&gt;"},"properties":{"noteIndex":0},"schema":"https://github.com/citation-style-language/schema/raw/master/csl-citation.json"}</w:instrText>
      </w:r>
      <w:r w:rsidR="00874154" w:rsidRPr="002B5BF5">
        <w:rPr>
          <w:rFonts w:ascii="Times New Roman" w:hAnsi="Times New Roman" w:cs="Times New Roman"/>
        </w:rPr>
        <w:fldChar w:fldCharType="separate"/>
      </w:r>
      <w:r w:rsidR="00BA5F3E" w:rsidRPr="002B5BF5">
        <w:rPr>
          <w:rFonts w:ascii="Times New Roman" w:hAnsi="Times New Roman" w:cs="Times New Roman"/>
          <w:noProof/>
          <w:vertAlign w:val="superscript"/>
        </w:rPr>
        <w:t>47</w:t>
      </w:r>
      <w:r w:rsidR="00874154" w:rsidRPr="002B5BF5">
        <w:rPr>
          <w:rFonts w:ascii="Times New Roman" w:hAnsi="Times New Roman" w:cs="Times New Roman"/>
        </w:rPr>
        <w:fldChar w:fldCharType="end"/>
      </w:r>
      <w:r w:rsidR="007567C6" w:rsidRPr="002B5BF5">
        <w:rPr>
          <w:rFonts w:ascii="Times New Roman" w:hAnsi="Times New Roman" w:cs="Times New Roman"/>
        </w:rPr>
        <w:t xml:space="preserve"> </w:t>
      </w:r>
      <w:bookmarkStart w:id="22" w:name="_Hlk54220842"/>
      <w:r w:rsidR="007567C6" w:rsidRPr="002B5BF5">
        <w:rPr>
          <w:rFonts w:ascii="Times New Roman" w:hAnsi="Times New Roman" w:cs="Times New Roman"/>
        </w:rPr>
        <w:t>or through female partners attending antenatal care clinics</w:t>
      </w:r>
      <w:r w:rsidR="00440C11" w:rsidRPr="002B5BF5">
        <w:rPr>
          <w:rFonts w:ascii="Times New Roman" w:hAnsi="Times New Roman" w:cs="Times New Roman"/>
        </w:rPr>
        <w:fldChar w:fldCharType="begin" w:fldLock="1"/>
      </w:r>
      <w:r w:rsidR="00AA1D59" w:rsidRPr="002B5BF5">
        <w:rPr>
          <w:rFonts w:ascii="Times New Roman" w:hAnsi="Times New Roman" w:cs="Times New Roman"/>
        </w:rPr>
        <w:instrText>ADDIN CSL_CITATION {"citationItems":[{"id":"ITEM-1","itemData":{"DOI":"10.1371/journal.pmed.1002719","ISSN":"1549-1676","author":[{"dropping-particle":"","family":"Choko","given":"Augustine T.","non-dropping-particle":"","parse-names":false,"suffix":""},{"dropping-particle":"","family":"Corbett","given":"Elizabeth L.","non-dropping-particle":"","parse-names":false,"suffix":""},{"dropping-particle":"","family":"Stallard","given":"Nigel","non-dropping-particle":"","parse-names":false,"suffix":""},{"dropping-particle":"","family":"Maheswaran","given":"Hendramoorthy","non-dropping-particle":"","parse-names":false,"suffix":""},{"dropping-particle":"","family":"Lepine","given":"Aurelia","non-dropping-particle":"","parse-names":false,"suffix":""},{"dropping-particle":"","family":"Johnson","given":"Cheryl C.","non-dropping-particle":"","parse-names":false,"suffix":""},{"dropping-particle":"","family":"Sakala","given":"Doreen","non-dropping-particle":"","parse-names":false,"suffix":""},{"dropping-particle":"","family":"Kalua","given":"Thokozani","non-dropping-particle":"","parse-names":false,"suffix":""},{"dropping-particle":"","family":"Kumwenda","given":"Moses","non-dropping-particle":"","parse-names":false,"suffix":""},{"dropping-particle":"","family":"Hayes","given":"Richard","non-dropping-particle":"","parse-names":false,"suffix":""},{"dropping-particle":"","family":"Fielding","given":"Katherine","non-dropping-particle":"","parse-names":false,"suffix":""}],"container-title":"PLoS Medicine","editor":[{"dropping-particle":"","family":"Geng","given":"Elvin H.","non-dropping-particle":"","parse-names":false,"suffix":""}],"id":"ITEM-1","issue":"1","issued":{"date-parts":[["2019","1","2"]]},"page":"e1002719","title":"HIV self-testing alone or with additional interventions, including financial incentives, and linkage to care or prevention among male partners of antenatal care clinic attendees in Malawi: An adaptive multi-arm, multi-stage cluster randomised trial","type":"article-journal","volume":"16"},"uris":["http://www.mendeley.com/documents/?uuid=f1d77008-8155-3deb-ac2d-31e43c4aedc8"]}],"mendeley":{"formattedCitation":"&lt;sup&gt;19&lt;/sup&gt;","plainTextFormattedCitation":"19","previouslyFormattedCitation":"&lt;sup&gt;19&lt;/sup&gt;"},"properties":{"noteIndex":0},"schema":"https://github.com/citation-style-language/schema/raw/master/csl-citation.json"}</w:instrText>
      </w:r>
      <w:r w:rsidR="00440C11" w:rsidRPr="002B5BF5">
        <w:rPr>
          <w:rFonts w:ascii="Times New Roman" w:hAnsi="Times New Roman" w:cs="Times New Roman"/>
        </w:rPr>
        <w:fldChar w:fldCharType="separate"/>
      </w:r>
      <w:r w:rsidR="00AA1D59" w:rsidRPr="002B5BF5">
        <w:rPr>
          <w:rFonts w:ascii="Times New Roman" w:hAnsi="Times New Roman" w:cs="Times New Roman"/>
          <w:noProof/>
          <w:vertAlign w:val="superscript"/>
        </w:rPr>
        <w:t>19</w:t>
      </w:r>
      <w:r w:rsidR="00440C11" w:rsidRPr="002B5BF5">
        <w:rPr>
          <w:rFonts w:ascii="Times New Roman" w:hAnsi="Times New Roman" w:cs="Times New Roman"/>
        </w:rPr>
        <w:fldChar w:fldCharType="end"/>
      </w:r>
      <w:r w:rsidR="007567C6" w:rsidRPr="002B5BF5">
        <w:rPr>
          <w:rFonts w:ascii="Times New Roman" w:hAnsi="Times New Roman" w:cs="Times New Roman"/>
        </w:rPr>
        <w:t xml:space="preserve"> </w:t>
      </w:r>
      <w:r w:rsidR="00DD299F" w:rsidRPr="002B5BF5">
        <w:rPr>
          <w:rFonts w:ascii="Times New Roman" w:hAnsi="Times New Roman" w:cs="Times New Roman"/>
        </w:rPr>
        <w:t xml:space="preserve">as well as </w:t>
      </w:r>
      <w:r w:rsidR="00807433" w:rsidRPr="002B5BF5">
        <w:rPr>
          <w:rFonts w:ascii="Times New Roman" w:hAnsi="Times New Roman" w:cs="Times New Roman"/>
        </w:rPr>
        <w:t xml:space="preserve">finding men </w:t>
      </w:r>
      <w:r w:rsidR="00440C11" w:rsidRPr="002B5BF5">
        <w:rPr>
          <w:rFonts w:ascii="Times New Roman" w:hAnsi="Times New Roman" w:cs="Times New Roman"/>
        </w:rPr>
        <w:t>and offering tests at convenient locations (e</w:t>
      </w:r>
      <w:r w:rsidR="00670717" w:rsidRPr="002B5BF5">
        <w:rPr>
          <w:rFonts w:ascii="Times New Roman" w:hAnsi="Times New Roman" w:cs="Times New Roman"/>
        </w:rPr>
        <w:t>.g</w:t>
      </w:r>
      <w:r w:rsidR="00D413C2" w:rsidRPr="002B5BF5">
        <w:rPr>
          <w:rFonts w:ascii="Times New Roman" w:hAnsi="Times New Roman" w:cs="Times New Roman"/>
        </w:rPr>
        <w:t>.</w:t>
      </w:r>
      <w:r w:rsidR="00440C11" w:rsidRPr="002B5BF5">
        <w:rPr>
          <w:rFonts w:ascii="Times New Roman" w:hAnsi="Times New Roman" w:cs="Times New Roman"/>
        </w:rPr>
        <w:t xml:space="preserve"> workplace)</w:t>
      </w:r>
      <w:r w:rsidR="0043603D" w:rsidRPr="002B5BF5">
        <w:rPr>
          <w:rFonts w:ascii="Times New Roman" w:hAnsi="Times New Roman" w:cs="Times New Roman"/>
        </w:rPr>
        <w:t xml:space="preserve"> or via mobile testing</w:t>
      </w:r>
      <w:r w:rsidR="00440C11" w:rsidRPr="002B5BF5">
        <w:rPr>
          <w:rFonts w:ascii="Times New Roman" w:hAnsi="Times New Roman" w:cs="Times New Roman"/>
        </w:rPr>
        <w:t>.</w:t>
      </w:r>
      <w:r w:rsidR="00DD299F" w:rsidRPr="002B5BF5">
        <w:rPr>
          <w:rFonts w:ascii="Times New Roman" w:hAnsi="Times New Roman" w:cs="Times New Roman"/>
        </w:rPr>
        <w:fldChar w:fldCharType="begin" w:fldLock="1"/>
      </w:r>
      <w:r w:rsidR="002422E5" w:rsidRPr="002B5BF5">
        <w:rPr>
          <w:rFonts w:ascii="Times New Roman" w:hAnsi="Times New Roman" w:cs="Times New Roman"/>
        </w:rPr>
        <w:instrText>ADDIN CSL_CITATION {"citationItems":[{"id":"ITEM-1","itemData":{"DOI":"10.1371/journal.pmed.0030238","ISSN":"15491277","abstract":"Background: HIV counselling and testing is a key component of both HIV care and HIV prevention, but uptake is currently low. We investigated the impact of rapid HIV testing at the workplace on uptake of voluntary counselling and testing (VCT). Methods and Findings: The study was a cluster-randomised trial of two VCT strategies, with business occupational health clinics as the unit of randomisation. VCT was directly offered to all employees, followed by 2 y of open access to VCT and basic HIV care. Businesses were randomised to either on-site rapid HIV testing at their occupational clinic (11 businesses) or to vouchers for off-site VCT at a chain of free-standing centres also using rapid tests (11 businesses). Baseline anonymised HIV serology was requested from all employees. HIV prevalence was 19.8% and 18.4%, respectively, at businesses randomised to on-site and off-site VCT. In total, 1,957 of 3,950 employees at clinics randomised to on-site testing had VCT (mean uptake by site 51.1%) compared to 586 of 3,532 employees taking vouchers at clinics randomised to off-site testing (mean uptake by site 19.2%). The risk ratio for on-site VCT compared to voucher uptake was 2.8 (95% confidence interval 1.8 to 3.8) after adjustment for potential confounders. Only 125 employees (mean uptake by site 4.3%) reported using their voucher, so that the true adjusted risk ratio for on-site compared to off-site VCT may have been as high as 12.5 (95% confidence interval 8.2 to 16.8). Conclusions: High-impact VCT strategies are urgently needed to maximise HIV prevention and access to care in Africa. VCT at the workplace offers the potential for high uptake when offered on-site and linked to basic HIV care. Convenience and accessibility appear to have critical roles in the acceptability of community-based VCT. © 2006 Corbett et al.","author":[{"dropping-particle":"","family":"Corbett","given":"Elizabeth L.","non-dropping-particle":"","parse-names":false,"suffix":""},{"dropping-particle":"","family":"Dauya","given":"Ethel","non-dropping-particle":"","parse-names":false,"suffix":""},{"dropping-particle":"","family":"Matambo","given":"Ronnie","non-dropping-particle":"","parse-names":false,"suffix":""},{"dropping-particle":"","family":"Yin","given":"Bun Cheung","non-dropping-particle":"","parse-names":false,"suffix":""},{"dropping-particle":"","family":"Makamure","given":"Beauty","non-dropping-particle":"","parse-names":false,"suffix":""},{"dropping-particle":"","family":"Bassett","given":"Mary T.","non-dropping-particle":"","parse-names":false,"suffix":""},{"dropping-particle":"","family":"Chandiwana","given":"Steven","non-dropping-particle":"","parse-names":false,"suffix":""},{"dropping-particle":"","family":"Munyati","given":"Shungu","non-dropping-particle":"","parse-names":false,"suffix":""},{"dropping-particle":"","family":"Mason","given":"Peter R.","non-dropping-particle":"","parse-names":false,"suffix":""},{"dropping-particle":"","family":"Butterworth","given":"Anthony E.","non-dropping-particle":"","parse-names":false,"suffix":""},{"dropping-particle":"","family":"Godfrey-Faussett","given":"Peter","non-dropping-particle":"","parse-names":false,"suffix":""},{"dropping-particle":"","family":"Hayes","given":"Richard J.","non-dropping-particle":"","parse-names":false,"suffix":""}],"container-title":"PLoS Medicine","id":"ITEM-1","issue":"7","issued":{"date-parts":[["2006"]]},"page":"1005-1012","title":"Uptake of workplace HIV counselling and testing: A cluster-randomised trial in Zimbabwe","type":"article-journal","volume":"3"},"uris":["http://www.mendeley.com/documents/?uuid=4b2e8137-84af-394d-beca-09b30d627a6a"]},{"id":"ITEM-2","itemData":{"DOI":"10.1007/s10461-012-0368-x","ISSN":"10907165","PMID":"23142856","abstract":"Mounting evidence exists that mobile voluntary counselling and testing (VCT) is able to extend coverage to new localities and populations. We describe two feasibility and acceptability pilot studies conducted in rural and urban South Africa in preparation for the larger NIMH Project Accept HIV prevention trial. A total of 1,015 individuals participated in the pilot studies. Participants in rural Vulindlela were younger (median 22 years) compared to urban Soweto (p &lt; 0.001). Young people were more likely to be first time testers in both sites (p = 0.01 in Vulindlela, p &lt; 0.001 in Soweto), with significantly more men likely to be first time testers than women (p = 0.01 in Vulindlela, p &lt; 0.001 in Soweto). User satisfaction with mobile VCT was extremely high in both sites. Our study shows that providing mobile, high-quality and easy to access services in a high prevalence context is a feasible way to engage youth, men and more rural populations in HIV counselling and testing. © 2012 Springer Science+Business Media New York.","author":[{"dropping-particle":"","family":"Rooyen","given":"Heidi","non-dropping-particle":"Van","parse-names":false,"suffix":""},{"dropping-particle":"","family":"McGrath","given":"Nuala","non-dropping-particle":"","parse-names":false,"suffix":""},{"dropping-particle":"","family":"Chirowodza","given":"Admire","non-dropping-particle":"","parse-names":false,"suffix":""},{"dropping-particle":"","family":"Joseph","given":"Philip","non-dropping-particle":"","parse-names":false,"suffix":""},{"dropping-particle":"","family":"Fiamma","given":"Agnès","non-dropping-particle":"","parse-names":false,"suffix":""},{"dropping-particle":"","family":"Gray","given":"Glenda","non-dropping-particle":"","parse-names":false,"suffix":""},{"dropping-particle":"","family":"Richter","given":"Linda","non-dropping-particle":"","parse-names":false,"suffix":""},{"dropping-particle":"","family":"Coates","given":"Thomas","non-dropping-particle":"","parse-names":false,"suffix":""}],"container-title":"AIDS and Behavior","id":"ITEM-2","issue":"9","issued":{"date-parts":[["2013","11"]]},"page":"2946-2953","publisher":"AIDS Behav","title":"Mobile VCT: Reaching men and young people in urban and rural South African pilot studies (NIMH Project Accept, HPTN 043)","type":"article-journal","volume":"17"},"uris":["http://www.mendeley.com/documents/?uuid=536b1333-9d58-3289-9b1c-2d0c362ea3f5"]}],"mendeley":{"formattedCitation":"&lt;sup&gt;48,49&lt;/sup&gt;","plainTextFormattedCitation":"48,49","previouslyFormattedCitation":"&lt;sup&gt;48&lt;/sup&gt;"},"properties":{"noteIndex":0},"schema":"https://github.com/citation-style-language/schema/raw/master/csl-citation.json"}</w:instrText>
      </w:r>
      <w:r w:rsidR="00DD299F" w:rsidRPr="002B5BF5">
        <w:rPr>
          <w:rFonts w:ascii="Times New Roman" w:hAnsi="Times New Roman" w:cs="Times New Roman"/>
        </w:rPr>
        <w:fldChar w:fldCharType="separate"/>
      </w:r>
      <w:r w:rsidR="002422E5" w:rsidRPr="002B5BF5">
        <w:rPr>
          <w:rFonts w:ascii="Times New Roman" w:hAnsi="Times New Roman" w:cs="Times New Roman"/>
          <w:noProof/>
          <w:vertAlign w:val="superscript"/>
        </w:rPr>
        <w:t>48,49</w:t>
      </w:r>
      <w:r w:rsidR="00DD299F" w:rsidRPr="002B5BF5">
        <w:rPr>
          <w:rFonts w:ascii="Times New Roman" w:hAnsi="Times New Roman" w:cs="Times New Roman"/>
        </w:rPr>
        <w:fldChar w:fldCharType="end"/>
      </w:r>
      <w:bookmarkEnd w:id="22"/>
      <w:r w:rsidR="00440C11" w:rsidRPr="002B5BF5">
        <w:rPr>
          <w:rFonts w:ascii="Times New Roman" w:hAnsi="Times New Roman" w:cs="Times New Roman"/>
        </w:rPr>
        <w:t xml:space="preserve"> </w:t>
      </w:r>
      <w:r w:rsidR="00807433" w:rsidRPr="002B5BF5">
        <w:rPr>
          <w:rFonts w:ascii="Times New Roman" w:hAnsi="Times New Roman" w:cs="Times New Roman"/>
        </w:rPr>
        <w:t>F</w:t>
      </w:r>
      <w:r w:rsidR="0050346B" w:rsidRPr="002B5BF5">
        <w:rPr>
          <w:rFonts w:ascii="Times New Roman" w:hAnsi="Times New Roman" w:cs="Times New Roman"/>
        </w:rPr>
        <w:t xml:space="preserve">inancial incentives coupled </w:t>
      </w:r>
      <w:r w:rsidR="00807433" w:rsidRPr="002B5BF5">
        <w:rPr>
          <w:rFonts w:ascii="Times New Roman" w:hAnsi="Times New Roman" w:cs="Times New Roman"/>
        </w:rPr>
        <w:t xml:space="preserve">with innovative approaches to reach men and offer HIV testing at different settings or improve access to self-testing kits may further improve the uptake of </w:t>
      </w:r>
      <w:r w:rsidR="00975248" w:rsidRPr="002B5BF5">
        <w:rPr>
          <w:rFonts w:ascii="Times New Roman" w:hAnsi="Times New Roman" w:cs="Times New Roman"/>
        </w:rPr>
        <w:t xml:space="preserve">HIV </w:t>
      </w:r>
      <w:r w:rsidR="00807433" w:rsidRPr="002B5BF5">
        <w:rPr>
          <w:rFonts w:ascii="Times New Roman" w:hAnsi="Times New Roman" w:cs="Times New Roman"/>
        </w:rPr>
        <w:t xml:space="preserve">testing. </w:t>
      </w:r>
    </w:p>
    <w:p w14:paraId="1A3149DA" w14:textId="77777777" w:rsidR="0050346B" w:rsidRPr="002B5BF5" w:rsidRDefault="0050346B" w:rsidP="00CF7A49">
      <w:pPr>
        <w:spacing w:line="360" w:lineRule="auto"/>
        <w:jc w:val="both"/>
        <w:rPr>
          <w:rFonts w:ascii="Times New Roman" w:hAnsi="Times New Roman" w:cs="Times New Roman"/>
        </w:rPr>
      </w:pPr>
    </w:p>
    <w:p w14:paraId="4DB28168" w14:textId="41B84FA2" w:rsidR="00FC5DBC" w:rsidRPr="002B5BF5" w:rsidRDefault="00BA1E6A" w:rsidP="008410F7">
      <w:pPr>
        <w:spacing w:line="360" w:lineRule="auto"/>
        <w:jc w:val="both"/>
        <w:rPr>
          <w:rFonts w:ascii="Times New Roman" w:hAnsi="Times New Roman" w:cs="Times New Roman"/>
          <w:b/>
          <w:bCs/>
        </w:rPr>
      </w:pPr>
      <w:r w:rsidRPr="002B5BF5">
        <w:rPr>
          <w:rFonts w:ascii="Times New Roman" w:hAnsi="Times New Roman" w:cs="Times New Roman"/>
        </w:rPr>
        <w:t>T</w:t>
      </w:r>
      <w:r w:rsidR="0010598E" w:rsidRPr="002B5BF5">
        <w:rPr>
          <w:rFonts w:ascii="Times New Roman" w:hAnsi="Times New Roman" w:cs="Times New Roman"/>
        </w:rPr>
        <w:t xml:space="preserve">he </w:t>
      </w:r>
      <w:r w:rsidR="009B0032" w:rsidRPr="002B5BF5">
        <w:rPr>
          <w:rFonts w:ascii="Times New Roman" w:hAnsi="Times New Roman" w:cs="Times New Roman"/>
        </w:rPr>
        <w:t>trial</w:t>
      </w:r>
      <w:r w:rsidR="00275D9B" w:rsidRPr="002B5BF5">
        <w:rPr>
          <w:rFonts w:ascii="Times New Roman" w:hAnsi="Times New Roman" w:cs="Times New Roman"/>
        </w:rPr>
        <w:t xml:space="preserve"> will further </w:t>
      </w:r>
      <w:r w:rsidR="00232661" w:rsidRPr="002B5BF5">
        <w:rPr>
          <w:rFonts w:ascii="Times New Roman" w:hAnsi="Times New Roman" w:cs="Times New Roman"/>
        </w:rPr>
        <w:t xml:space="preserve">quantify </w:t>
      </w:r>
      <w:r w:rsidR="00275D9B" w:rsidRPr="002B5BF5">
        <w:rPr>
          <w:rFonts w:ascii="Times New Roman" w:hAnsi="Times New Roman" w:cs="Times New Roman"/>
        </w:rPr>
        <w:t xml:space="preserve">the effect of </w:t>
      </w:r>
      <w:r w:rsidR="00DD299F" w:rsidRPr="002B5BF5">
        <w:rPr>
          <w:rFonts w:ascii="Times New Roman" w:hAnsi="Times New Roman" w:cs="Times New Roman"/>
        </w:rPr>
        <w:t xml:space="preserve">financial </w:t>
      </w:r>
      <w:r w:rsidR="00275D9B" w:rsidRPr="002B5BF5">
        <w:rPr>
          <w:rFonts w:ascii="Times New Roman" w:hAnsi="Times New Roman" w:cs="Times New Roman"/>
        </w:rPr>
        <w:t>micro-incentives</w:t>
      </w:r>
      <w:r w:rsidR="009B0032" w:rsidRPr="002B5BF5">
        <w:rPr>
          <w:rFonts w:ascii="Times New Roman" w:hAnsi="Times New Roman" w:cs="Times New Roman"/>
        </w:rPr>
        <w:t xml:space="preserve"> and EPIC-HIV applications</w:t>
      </w:r>
      <w:r w:rsidR="00275D9B" w:rsidRPr="002B5BF5">
        <w:rPr>
          <w:rFonts w:ascii="Times New Roman" w:hAnsi="Times New Roman" w:cs="Times New Roman"/>
        </w:rPr>
        <w:t xml:space="preserve"> on </w:t>
      </w:r>
      <w:r w:rsidR="001A4DF9" w:rsidRPr="002B5BF5">
        <w:rPr>
          <w:rFonts w:ascii="Times New Roman" w:hAnsi="Times New Roman" w:cs="Times New Roman"/>
        </w:rPr>
        <w:t xml:space="preserve">enhancing </w:t>
      </w:r>
      <w:r w:rsidR="00275D9B" w:rsidRPr="002B5BF5">
        <w:rPr>
          <w:rFonts w:ascii="Times New Roman" w:hAnsi="Times New Roman" w:cs="Times New Roman"/>
        </w:rPr>
        <w:t>linkage to care within 3 month</w:t>
      </w:r>
      <w:r w:rsidR="009B0032" w:rsidRPr="002B5BF5">
        <w:rPr>
          <w:rFonts w:ascii="Times New Roman" w:hAnsi="Times New Roman" w:cs="Times New Roman"/>
        </w:rPr>
        <w:t xml:space="preserve">s </w:t>
      </w:r>
      <w:r w:rsidR="00E172A9" w:rsidRPr="002B5BF5">
        <w:rPr>
          <w:rFonts w:ascii="Times New Roman" w:hAnsi="Times New Roman" w:cs="Times New Roman"/>
        </w:rPr>
        <w:t xml:space="preserve">to constitute </w:t>
      </w:r>
      <w:r w:rsidR="001A4DF9" w:rsidRPr="002B5BF5">
        <w:rPr>
          <w:rFonts w:ascii="Times New Roman" w:hAnsi="Times New Roman" w:cs="Times New Roman"/>
        </w:rPr>
        <w:t>the second primary outcome of the trial in late 2020. We will also quantify the</w:t>
      </w:r>
      <w:r w:rsidR="009B0032" w:rsidRPr="002B5BF5">
        <w:rPr>
          <w:rFonts w:ascii="Times New Roman" w:hAnsi="Times New Roman" w:cs="Times New Roman"/>
        </w:rPr>
        <w:t xml:space="preserve"> long-term effects on HIV-related mortality among men and HIV incidence among young women</w:t>
      </w:r>
      <w:r w:rsidR="001A4DF9" w:rsidRPr="002B5BF5">
        <w:rPr>
          <w:rFonts w:ascii="Times New Roman" w:hAnsi="Times New Roman" w:cs="Times New Roman"/>
        </w:rPr>
        <w:t xml:space="preserve"> by 2022</w:t>
      </w:r>
      <w:r w:rsidR="009B0032" w:rsidRPr="002B5BF5">
        <w:rPr>
          <w:rFonts w:ascii="Times New Roman" w:hAnsi="Times New Roman" w:cs="Times New Roman"/>
        </w:rPr>
        <w:t>.</w:t>
      </w:r>
      <w:r w:rsidR="00F34DBC" w:rsidRPr="002B5BF5">
        <w:rPr>
          <w:rFonts w:ascii="Times New Roman" w:hAnsi="Times New Roman" w:cs="Times New Roman"/>
        </w:rPr>
        <w:fldChar w:fldCharType="begin" w:fldLock="1"/>
      </w:r>
      <w:r w:rsidR="002D00B1" w:rsidRPr="002B5BF5">
        <w:rPr>
          <w:rFonts w:ascii="Times New Roman" w:hAnsi="Times New Roman" w:cs="Times New Roman"/>
        </w:rPr>
        <w:instrText xml:space="preserve">ADDIN CSL_CITATION {"citationItems":[{"id":"ITEM-1","itemData":{"DOI":"10.1186/s12889-019-7277-0","ISSN":"1471-2458","abstract":"To realize the full benefits of treatment as prevention in many hyperendemic African contexts, there is an urgent need to increase uptake of HIV testing and HIV treatment among men to reduce the rate of HIV transmission to (particularly young) women. This trial aims to evaluate the effect of two interventions - micro-incentives and a tablet-based male-targeted HIV decision support application - on increasing home-based HIV testing and linkage to HIV care among men with the ultimate aim of reducing HIV-related mortality in men and HIV incidence in young women. This is a cluster randomized trial of 45 communities (clusters) in a rural area in the uMkhanyakude district of KwaZulu Natal, South Africa (2018–2021). The study is built upon the Africa Health Research Institute (AHRI)‘s HIV testing platform, which offers annual home-based rapid HIV testing to individuals aged 15 years and above. In a 2 × 2 factorial design, individuals aged </w:instrText>
      </w:r>
      <w:r w:rsidR="002D00B1" w:rsidRPr="002B5BF5">
        <w:rPr>
          <w:rFonts w:ascii="Times New Roman" w:hAnsi="Times New Roman" w:cs="Times New Roman" w:hint="eastAsia"/>
        </w:rPr>
        <w:instrText>≥</w:instrText>
      </w:r>
      <w:r w:rsidR="002D00B1" w:rsidRPr="002B5BF5">
        <w:rPr>
          <w:rFonts w:ascii="Times New Roman" w:hAnsi="Times New Roman" w:cs="Times New Roman"/>
        </w:rPr>
        <w:instrText>15 years living in the 45 clusters are randomly assigned to one of four arms: i) a financial micro-incentive (food voucher) (n = 8); ii) male-targeted HIV specific decision support (EPIC-HIV) (n = 8); iii) both the micro incentives and male-targeted decision support (n = 8); and iv) standard of care (n = 21). The EPIC-HIV application is developed and delivered via a tablet to encourage HIV testing and linkage to care among men. A mixed method approach is adopted to supplement the randomized control trial and meet the study aims. The findings of this trial will provide evidence on the feasibility and causal impact of two interventions - micro-incentives and a male-targeted HIV specific decision support - on uptake of home-based HIV testing, linkage to care, as well as population health outcomes including population viral load, HIV related mortality in men, and HIV incidence in young women (15-30 years of age). This trial was registered on 28 November 2018 on, identifier \n                    https://clinicaltrials.gov/\n                    \n                  .","author":[{"dropping-particle":"","family":"Mathenjwa","given":"T.","non-dropping-particle":"","parse-names":false,"suffix":""},{"dropping-particle":"","family":"Kim","given":"H.-Y.","non-dropping-particle":"","parse-names":false,"suffix":""},{"dropping-particle":"","family":"Zuma","given":"T.","non-dropping-particle":"","parse-names":false,"suffix":""},{"dropping-particle":"","family":"Shahmanesh","given":"M.","non-dropping-particle":"","parse-names":false,"suffix":""},{"dropping-particle":"","family":"Seeley","given":"J.","non-dropping-particle":"","parse-names":false,"suffix":""},{"dropping-particle":"","family":"Matthews","given":"P.","non-dropping-particle":"","parse-names":false,"suffix":""},{"dropping-particle":"","family":"Wyke","given":"S.","non-dropping-particle":"","parse-names":false,"suffix":""},{"dropping-particle":"","family":"McGrath","given":"N.","non-dropping-particle":"","parse-names":false,"suffix":""},{"dropping-particle":"","family":"Sartorius","given":"B.","non-dropping-particle":"","parse-names":false,"suffix":""},{"dropping-particle":"","family":"Yapa","given":"H. M.","non-dropping-particle":"","parse-names":false,"suffix":""},{"dropping-particle":"","family":"Adeagbo","given":"O.","non-dropping-particle":"","parse-names":false,"suffix":""},{"dropping-particle":"","family":"Blandford","given":"A.","non-dropping-particle":"","parse-names":false,"suffix":""},{"dropping-particle":"","family":"Dobra","given":"A.","non-dropping-particle":"","parse-names":false,"suffix":""},{"dropping-particle":"","family":"Bäernighausen","given":"T.","non-dropping-particle":"","parse-names":false,"suffix":""},{"dropping-particle":"","family":"Tanser","given":"F.","non-dropping-particle":"","parse-names":false,"suffix":""}],"container-title":"BMC Public Health","id":"ITEM-1","issue":"1","issued":{"date-parts":[["2019","12","19"]]},"page":"969","publisher":"BioMed Central","title":"Home-based intervention to test and start (HITS) protocol: a cluster-randomized controlled trial to reduce HIV-related mortality in men and HIV incidence in women through increased coverage of HIV treatment","type":"article-journal","volume":"19"},"uris":["http://www.mendeley.com/documents/?uuid=3049c142-1f24-3dee-916b-525b98d35668"]}],"mendeley":{"formattedCitation":"&lt;sup&gt;34&lt;/sup&gt;","plainTextFormattedCitation":"34","previouslyFormattedCitation":"&lt;sup&gt;34&lt;/sup&gt;"},"properties":{"noteIndex":0},"schema":"https://github.com/citation-style-language/schema/raw/master/csl-citation.json"}</w:instrText>
      </w:r>
      <w:r w:rsidR="00F34DBC" w:rsidRPr="002B5BF5">
        <w:rPr>
          <w:rFonts w:ascii="Times New Roman" w:hAnsi="Times New Roman" w:cs="Times New Roman"/>
        </w:rPr>
        <w:fldChar w:fldCharType="separate"/>
      </w:r>
      <w:r w:rsidR="002D00B1" w:rsidRPr="002B5BF5">
        <w:rPr>
          <w:rFonts w:ascii="Times New Roman" w:hAnsi="Times New Roman" w:cs="Times New Roman"/>
          <w:noProof/>
          <w:vertAlign w:val="superscript"/>
        </w:rPr>
        <w:t>34</w:t>
      </w:r>
      <w:r w:rsidR="00F34DBC" w:rsidRPr="002B5BF5">
        <w:rPr>
          <w:rFonts w:ascii="Times New Roman" w:hAnsi="Times New Roman" w:cs="Times New Roman"/>
        </w:rPr>
        <w:fldChar w:fldCharType="end"/>
      </w:r>
      <w:r w:rsidR="00EC7FCA" w:rsidRPr="002B5BF5">
        <w:rPr>
          <w:rFonts w:ascii="Times New Roman" w:hAnsi="Times New Roman" w:cs="Times New Roman"/>
        </w:rPr>
        <w:t xml:space="preserve"> </w:t>
      </w:r>
      <w:r w:rsidR="00FC4AFD" w:rsidRPr="002B5BF5">
        <w:rPr>
          <w:rFonts w:ascii="Times New Roman" w:hAnsi="Times New Roman" w:cs="Times New Roman"/>
        </w:rPr>
        <w:t xml:space="preserve">The trial has also collected detailed information on resources used to implement and deliver the interventions using micro-costing and a time-and-motion approach and will quantify the cost-effectiveness </w:t>
      </w:r>
      <w:r w:rsidR="00AC7772" w:rsidRPr="002B5BF5">
        <w:rPr>
          <w:rFonts w:ascii="Times New Roman" w:hAnsi="Times New Roman" w:cs="Times New Roman"/>
        </w:rPr>
        <w:t>of financial micro-incentives and EPIC-HIV application</w:t>
      </w:r>
      <w:r w:rsidR="00FC4AFD" w:rsidRPr="002B5BF5">
        <w:rPr>
          <w:rFonts w:ascii="Times New Roman" w:hAnsi="Times New Roman" w:cs="Times New Roman"/>
        </w:rPr>
        <w:t xml:space="preserve"> to improve HIV testing uptake and linkage to care.</w:t>
      </w:r>
      <w:r w:rsidR="00E42730" w:rsidRPr="002B5BF5">
        <w:rPr>
          <w:rFonts w:ascii="Times New Roman" w:hAnsi="Times New Roman" w:cs="Times New Roman"/>
        </w:rPr>
        <w:t xml:space="preserve"> A study in Tanzania showed that willingness-to-accept </w:t>
      </w:r>
      <w:r w:rsidR="00E42730" w:rsidRPr="002B5BF5">
        <w:rPr>
          <w:rFonts w:ascii="Times New Roman" w:hAnsi="Times New Roman" w:cs="Times New Roman"/>
        </w:rPr>
        <w:lastRenderedPageBreak/>
        <w:t>estimates for financially incentivized universal HIV testing among adults were $1.3-$6.4 and considered highly cost-effective</w:t>
      </w:r>
      <w:r w:rsidR="00895F9C" w:rsidRPr="002B5BF5">
        <w:rPr>
          <w:rFonts w:ascii="Times New Roman" w:hAnsi="Times New Roman" w:cs="Times New Roman"/>
        </w:rPr>
        <w:t>,</w:t>
      </w:r>
      <w:r w:rsidR="00A90590" w:rsidRPr="002B5BF5">
        <w:rPr>
          <w:rFonts w:ascii="Times New Roman" w:hAnsi="Times New Roman" w:cs="Times New Roman"/>
        </w:rPr>
        <w:fldChar w:fldCharType="begin" w:fldLock="1"/>
      </w:r>
      <w:r w:rsidR="002422E5" w:rsidRPr="002B5BF5">
        <w:rPr>
          <w:rFonts w:ascii="Times New Roman" w:hAnsi="Times New Roman" w:cs="Times New Roman"/>
        </w:rPr>
        <w:instrText>ADDIN CSL_CITATION {"citationItems":[{"id":"ITEM-1","itemData":{"DOI":"10.1186/s13561-015-0060-8","ISSN":"21911991","abstract":"Objectives: Despite substantial public health efforts to increase HIV testing, testing rates have plateaued in many countries and rates of repeat testing for those with ongoing risk are low. To inform policies aimed at increasing uptake of HIV testing, we identified characteristics associated with individuals’ willingness-to-accept (WTA) an HIV test in a general population sample and among two high-risk populations in Moshi, Tanzania. Methods: In total, 721 individuals, including randomly selected community members (N = 402), female barworkers (N = 135), and male Kilimanjaro mountain porters (N = 184), were asked in a double-bounded contingent valuation format if they would test for HIV in exchange for 2000, 5000 or 10,000 Shillings (approximately $1.30, $3.20, and $6.40, respectively). The study was conducted between September 2012 and February 2013. Results: More than one quarter of participants (196; 27 %) stated they would be willing to test for Tanzania Shilling (TSH) 2000, whereas one in seven (98; 13.6 %) required more than TSH 10,000. The average WTA estimate was TSH 4564 (95 % Confidence Interval: TSH 4201 to 4927). Significant variation in WTA estimates by gender, HIV risk factors and other characteristics plausibly reflects variation in individuals’ valuations of benefits of and barriers to testing. WTA estimates were higher among males than females. Among males, WTA was nearly one-third lower for those who reported symptoms of HIV than those who did not. Among females, WTA estimates varied with respondents’ education, own and partners’ HIV testing history, and lifetime reports of transactional sex. For both genders, the most significant association was observed with respondents’ perception of the accuracy of the HIV test; those believing HIV tests to be completely accurate were willing to test for approximately one third less than their counterparts. The mean WTA estimates identified in this study suggest that within the study population, incentivized universal HIV testing could potentially identify undiagnosed HIV infections at an incentive cost of $150 per prevalent infection and $1400 per incident infection, with corresponding costs per quality adjusted life year (QALY) gained of $70 for prevalent and $620 for incident HIV infections. Conclusions: The results support the value of information about the accuracy of HIV testing, and suggest that relatively modest amounts of money may be sufficient to incentivize at-risk populations to test.","author":[{"dropping-particle":"","family":"Ostermann","given":"Jan","non-dropping-particle":"","parse-names":false,"suffix":""},{"dropping-particle":"","family":"Brown","given":"Derek S.","non-dropping-particle":"","parse-names":false,"suffix":""},{"dropping-particle":"","family":"Mühlbacher","given":"Axel","non-dropping-particle":"","parse-names":false,"suffix":""},{"dropping-particle":"","family":"Njau","given":"Bernard","non-dropping-particle":"","parse-names":false,"suffix":""},{"dropping-particle":"","family":"Thielman","given":"Nathan","non-dropping-particle":"","parse-names":false,"suffix":""}],"container-title":"Health Economics Review","id":"ITEM-1","issue":"1","issued":{"date-parts":[["2015","8","19"]]},"publisher":"Springer Verlag","title":"Would you test for 5000 Shillings? HIV risk and willingness to accept HIV testing in Tanzania","type":"article-journal","volume":"5"},"uris":["http://www.mendeley.com/documents/?uuid=1f69c375-4b82-3c9b-85f0-b3a3420cb494"]}],"mendeley":{"formattedCitation":"&lt;sup&gt;50&lt;/sup&gt;","plainTextFormattedCitation":"50","previouslyFormattedCitation":"&lt;sup&gt;49&lt;/sup&gt;"},"properties":{"noteIndex":0},"schema":"https://github.com/citation-style-language/schema/raw/master/csl-citation.json"}</w:instrText>
      </w:r>
      <w:r w:rsidR="00A90590" w:rsidRPr="002B5BF5">
        <w:rPr>
          <w:rFonts w:ascii="Times New Roman" w:hAnsi="Times New Roman" w:cs="Times New Roman"/>
        </w:rPr>
        <w:fldChar w:fldCharType="separate"/>
      </w:r>
      <w:r w:rsidR="002422E5" w:rsidRPr="002B5BF5">
        <w:rPr>
          <w:rFonts w:ascii="Times New Roman" w:hAnsi="Times New Roman" w:cs="Times New Roman"/>
          <w:noProof/>
          <w:vertAlign w:val="superscript"/>
        </w:rPr>
        <w:t>50</w:t>
      </w:r>
      <w:r w:rsidR="00A90590" w:rsidRPr="002B5BF5">
        <w:rPr>
          <w:rFonts w:ascii="Times New Roman" w:hAnsi="Times New Roman" w:cs="Times New Roman"/>
        </w:rPr>
        <w:fldChar w:fldCharType="end"/>
      </w:r>
      <w:r w:rsidR="00895F9C" w:rsidRPr="002B5BF5">
        <w:rPr>
          <w:rFonts w:ascii="Times New Roman" w:hAnsi="Times New Roman" w:cs="Times New Roman"/>
        </w:rPr>
        <w:t xml:space="preserve"> but there </w:t>
      </w:r>
      <w:r w:rsidR="00E566C8" w:rsidRPr="002B5BF5">
        <w:rPr>
          <w:rFonts w:ascii="Times New Roman" w:hAnsi="Times New Roman" w:cs="Times New Roman"/>
        </w:rPr>
        <w:t xml:space="preserve">is </w:t>
      </w:r>
      <w:r w:rsidR="00895F9C" w:rsidRPr="002B5BF5">
        <w:rPr>
          <w:rFonts w:ascii="Times New Roman" w:hAnsi="Times New Roman" w:cs="Times New Roman"/>
        </w:rPr>
        <w:t xml:space="preserve">very limited evidence </w:t>
      </w:r>
      <w:r w:rsidR="00A90590" w:rsidRPr="002B5BF5">
        <w:rPr>
          <w:rFonts w:ascii="Times New Roman" w:hAnsi="Times New Roman" w:cs="Times New Roman"/>
        </w:rPr>
        <w:t>for</w:t>
      </w:r>
      <w:r w:rsidR="00895F9C" w:rsidRPr="002B5BF5">
        <w:rPr>
          <w:rFonts w:ascii="Times New Roman" w:hAnsi="Times New Roman" w:cs="Times New Roman"/>
        </w:rPr>
        <w:t xml:space="preserve"> cost-effectiveness of both financial incentives and behavioural intervention in general population using the data from randomized clinical trials. </w:t>
      </w:r>
      <w:r w:rsidR="00EC7FCA" w:rsidRPr="002B5BF5">
        <w:rPr>
          <w:rFonts w:ascii="Times New Roman" w:hAnsi="Times New Roman" w:cs="Times New Roman"/>
        </w:rPr>
        <w:t xml:space="preserve">Our study findings will provide important insights </w:t>
      </w:r>
      <w:r w:rsidR="00C031FB" w:rsidRPr="002B5BF5">
        <w:rPr>
          <w:rFonts w:ascii="Times New Roman" w:hAnsi="Times New Roman" w:cs="Times New Roman"/>
        </w:rPr>
        <w:t>into</w:t>
      </w:r>
      <w:r w:rsidR="00EC7FCA" w:rsidRPr="002B5BF5">
        <w:rPr>
          <w:rFonts w:ascii="Times New Roman" w:hAnsi="Times New Roman" w:cs="Times New Roman"/>
        </w:rPr>
        <w:t xml:space="preserve"> the efficacy</w:t>
      </w:r>
      <w:r w:rsidR="00895F9C" w:rsidRPr="002B5BF5">
        <w:rPr>
          <w:rFonts w:ascii="Times New Roman" w:hAnsi="Times New Roman" w:cs="Times New Roman"/>
        </w:rPr>
        <w:t xml:space="preserve">, </w:t>
      </w:r>
      <w:r w:rsidR="00FC4AFD" w:rsidRPr="002B5BF5">
        <w:rPr>
          <w:rFonts w:ascii="Times New Roman" w:hAnsi="Times New Roman" w:cs="Times New Roman"/>
        </w:rPr>
        <w:t>cost-effectiveness</w:t>
      </w:r>
      <w:r w:rsidR="00895F9C" w:rsidRPr="002B5BF5">
        <w:rPr>
          <w:rFonts w:ascii="Times New Roman" w:hAnsi="Times New Roman" w:cs="Times New Roman"/>
        </w:rPr>
        <w:t>, and sustainability</w:t>
      </w:r>
      <w:r w:rsidR="00FC4AFD" w:rsidRPr="002B5BF5">
        <w:rPr>
          <w:rFonts w:ascii="Times New Roman" w:hAnsi="Times New Roman" w:cs="Times New Roman"/>
        </w:rPr>
        <w:t xml:space="preserve"> </w:t>
      </w:r>
      <w:r w:rsidR="00EC7FCA" w:rsidRPr="002B5BF5">
        <w:rPr>
          <w:rFonts w:ascii="Times New Roman" w:hAnsi="Times New Roman" w:cs="Times New Roman"/>
        </w:rPr>
        <w:t xml:space="preserve">of once-off micro-incentives and decision support application </w:t>
      </w:r>
      <w:r w:rsidR="00FC4AFD" w:rsidRPr="002B5BF5">
        <w:rPr>
          <w:rFonts w:ascii="Times New Roman" w:hAnsi="Times New Roman" w:cs="Times New Roman"/>
        </w:rPr>
        <w:t>to reach</w:t>
      </w:r>
      <w:r w:rsidR="00E42730" w:rsidRPr="002B5BF5">
        <w:rPr>
          <w:rFonts w:ascii="Times New Roman" w:hAnsi="Times New Roman" w:cs="Times New Roman"/>
        </w:rPr>
        <w:t xml:space="preserve"> </w:t>
      </w:r>
      <w:r w:rsidR="00895F9C" w:rsidRPr="002B5BF5">
        <w:rPr>
          <w:rFonts w:ascii="Times New Roman" w:hAnsi="Times New Roman" w:cs="Times New Roman"/>
        </w:rPr>
        <w:t>men</w:t>
      </w:r>
      <w:r w:rsidR="00FC4AFD" w:rsidRPr="002B5BF5">
        <w:rPr>
          <w:rFonts w:ascii="Times New Roman" w:hAnsi="Times New Roman" w:cs="Times New Roman"/>
        </w:rPr>
        <w:t xml:space="preserve"> </w:t>
      </w:r>
      <w:r w:rsidR="00895F9C" w:rsidRPr="002B5BF5">
        <w:rPr>
          <w:rFonts w:ascii="Times New Roman" w:hAnsi="Times New Roman" w:cs="Times New Roman"/>
        </w:rPr>
        <w:t xml:space="preserve">and improve long-term population health outcomes </w:t>
      </w:r>
      <w:r w:rsidR="00FC4AFD" w:rsidRPr="002B5BF5">
        <w:rPr>
          <w:rFonts w:ascii="Times New Roman" w:hAnsi="Times New Roman" w:cs="Times New Roman"/>
        </w:rPr>
        <w:t xml:space="preserve">in hyperendemic HIV settings. </w:t>
      </w:r>
    </w:p>
    <w:p w14:paraId="351F2617" w14:textId="1C004916" w:rsidR="00040689" w:rsidRPr="002B5BF5" w:rsidRDefault="008D79CD" w:rsidP="008410F7">
      <w:pPr>
        <w:spacing w:line="360" w:lineRule="auto"/>
        <w:jc w:val="both"/>
        <w:rPr>
          <w:rFonts w:ascii="Times New Roman" w:hAnsi="Times New Roman" w:cs="Times New Roman"/>
        </w:rPr>
      </w:pPr>
      <w:r w:rsidRPr="002B5BF5">
        <w:rPr>
          <w:rFonts w:ascii="Times New Roman" w:hAnsi="Times New Roman" w:cs="Times New Roman"/>
        </w:rPr>
        <w:t xml:space="preserve">The study has several important strengths. The </w:t>
      </w:r>
      <w:r w:rsidR="009B5FB2" w:rsidRPr="002B5BF5">
        <w:rPr>
          <w:rFonts w:ascii="Times New Roman" w:hAnsi="Times New Roman" w:cs="Times New Roman"/>
        </w:rPr>
        <w:t>study</w:t>
      </w:r>
      <w:r w:rsidR="00F10B91" w:rsidRPr="002B5BF5">
        <w:rPr>
          <w:rFonts w:ascii="Times New Roman" w:hAnsi="Times New Roman" w:cs="Times New Roman"/>
        </w:rPr>
        <w:t xml:space="preserve"> </w:t>
      </w:r>
      <w:r w:rsidR="00E172A9" w:rsidRPr="002B5BF5">
        <w:rPr>
          <w:rFonts w:ascii="Times New Roman" w:hAnsi="Times New Roman" w:cs="Times New Roman"/>
        </w:rPr>
        <w:t xml:space="preserve">was the first of its kind and </w:t>
      </w:r>
      <w:r w:rsidRPr="002B5BF5">
        <w:rPr>
          <w:rFonts w:ascii="Times New Roman" w:hAnsi="Times New Roman" w:cs="Times New Roman"/>
        </w:rPr>
        <w:t xml:space="preserve">was delivered as a community-randomized clinical trial </w:t>
      </w:r>
      <w:r w:rsidR="00124358" w:rsidRPr="002B5BF5">
        <w:rPr>
          <w:rFonts w:ascii="Times New Roman" w:hAnsi="Times New Roman" w:cs="Times New Roman"/>
        </w:rPr>
        <w:t xml:space="preserve">among over 13,800 men </w:t>
      </w:r>
      <w:r w:rsidR="00EC7FCA" w:rsidRPr="002B5BF5">
        <w:rPr>
          <w:rFonts w:ascii="Times New Roman" w:hAnsi="Times New Roman" w:cs="Times New Roman"/>
        </w:rPr>
        <w:t xml:space="preserve">in </w:t>
      </w:r>
      <w:r w:rsidRPr="002B5BF5">
        <w:rPr>
          <w:rFonts w:ascii="Times New Roman" w:hAnsi="Times New Roman" w:cs="Times New Roman"/>
        </w:rPr>
        <w:t xml:space="preserve">45 communities </w:t>
      </w:r>
      <w:r w:rsidR="00AA5579" w:rsidRPr="002B5BF5">
        <w:rPr>
          <w:rFonts w:ascii="Times New Roman" w:hAnsi="Times New Roman" w:cs="Times New Roman"/>
        </w:rPr>
        <w:t>nested within</w:t>
      </w:r>
      <w:r w:rsidRPr="002B5BF5">
        <w:rPr>
          <w:rFonts w:ascii="Times New Roman" w:hAnsi="Times New Roman" w:cs="Times New Roman"/>
        </w:rPr>
        <w:t xml:space="preserve"> </w:t>
      </w:r>
      <w:r w:rsidR="00DF5B04" w:rsidRPr="002B5BF5">
        <w:rPr>
          <w:rFonts w:ascii="Times New Roman" w:hAnsi="Times New Roman" w:cs="Times New Roman"/>
        </w:rPr>
        <w:t xml:space="preserve">one of the </w:t>
      </w:r>
      <w:r w:rsidR="00577C69" w:rsidRPr="002B5BF5">
        <w:rPr>
          <w:rFonts w:ascii="Times New Roman" w:hAnsi="Times New Roman" w:cs="Times New Roman"/>
        </w:rPr>
        <w:t>w</w:t>
      </w:r>
      <w:r w:rsidR="00DF5B04" w:rsidRPr="002B5BF5">
        <w:rPr>
          <w:rFonts w:ascii="Times New Roman" w:hAnsi="Times New Roman" w:cs="Times New Roman"/>
        </w:rPr>
        <w:t>orld’s largest ongoing population-based HIV cohorts</w:t>
      </w:r>
      <w:r w:rsidR="00EC7FCA" w:rsidRPr="002B5BF5">
        <w:rPr>
          <w:rFonts w:ascii="Times New Roman" w:hAnsi="Times New Roman" w:cs="Times New Roman"/>
        </w:rPr>
        <w:t xml:space="preserve">. This allowed </w:t>
      </w:r>
      <w:r w:rsidR="0010598E" w:rsidRPr="002B5BF5">
        <w:rPr>
          <w:rFonts w:ascii="Times New Roman" w:hAnsi="Times New Roman" w:cs="Times New Roman"/>
        </w:rPr>
        <w:t xml:space="preserve">the unbiased </w:t>
      </w:r>
      <w:r w:rsidR="007440ED" w:rsidRPr="002B5BF5">
        <w:rPr>
          <w:rFonts w:ascii="Times New Roman" w:hAnsi="Times New Roman" w:cs="Times New Roman"/>
        </w:rPr>
        <w:t xml:space="preserve">measuring the </w:t>
      </w:r>
      <w:r w:rsidR="0010598E" w:rsidRPr="002B5BF5">
        <w:rPr>
          <w:rFonts w:ascii="Times New Roman" w:hAnsi="Times New Roman" w:cs="Times New Roman"/>
        </w:rPr>
        <w:t xml:space="preserve">effect </w:t>
      </w:r>
      <w:r w:rsidR="00EC7FCA" w:rsidRPr="002B5BF5">
        <w:rPr>
          <w:rFonts w:ascii="Times New Roman" w:hAnsi="Times New Roman" w:cs="Times New Roman"/>
        </w:rPr>
        <w:t xml:space="preserve">of </w:t>
      </w:r>
      <w:r w:rsidR="0010598E" w:rsidRPr="002B5BF5">
        <w:rPr>
          <w:rFonts w:ascii="Times New Roman" w:hAnsi="Times New Roman" w:cs="Times New Roman"/>
        </w:rPr>
        <w:t xml:space="preserve">the </w:t>
      </w:r>
      <w:r w:rsidR="00EC7FCA" w:rsidRPr="002B5BF5">
        <w:rPr>
          <w:rFonts w:ascii="Times New Roman" w:hAnsi="Times New Roman" w:cs="Times New Roman"/>
        </w:rPr>
        <w:t xml:space="preserve">interventions </w:t>
      </w:r>
      <w:r w:rsidR="00577C69" w:rsidRPr="002B5BF5">
        <w:rPr>
          <w:rFonts w:ascii="Times New Roman" w:hAnsi="Times New Roman" w:cs="Times New Roman"/>
        </w:rPr>
        <w:t>where</w:t>
      </w:r>
      <w:r w:rsidR="00EC7FCA" w:rsidRPr="002B5BF5">
        <w:rPr>
          <w:rFonts w:ascii="Times New Roman" w:hAnsi="Times New Roman" w:cs="Times New Roman"/>
        </w:rPr>
        <w:t xml:space="preserve"> </w:t>
      </w:r>
      <w:r w:rsidR="00434EA7" w:rsidRPr="002B5BF5">
        <w:rPr>
          <w:rFonts w:ascii="Times New Roman" w:hAnsi="Times New Roman" w:cs="Times New Roman"/>
        </w:rPr>
        <w:t>home-based HIV testing</w:t>
      </w:r>
      <w:r w:rsidR="00EC7FCA" w:rsidRPr="002B5BF5">
        <w:rPr>
          <w:rFonts w:ascii="Times New Roman" w:hAnsi="Times New Roman" w:cs="Times New Roman"/>
        </w:rPr>
        <w:t xml:space="preserve"> </w:t>
      </w:r>
      <w:r w:rsidR="00F11EF5" w:rsidRPr="002B5BF5">
        <w:rPr>
          <w:rFonts w:ascii="Times New Roman" w:hAnsi="Times New Roman" w:cs="Times New Roman"/>
        </w:rPr>
        <w:t xml:space="preserve">at households </w:t>
      </w:r>
      <w:r w:rsidR="00577C69" w:rsidRPr="002B5BF5">
        <w:rPr>
          <w:rFonts w:ascii="Times New Roman" w:hAnsi="Times New Roman" w:cs="Times New Roman"/>
        </w:rPr>
        <w:t>was</w:t>
      </w:r>
      <w:r w:rsidR="00EC7FCA" w:rsidRPr="002B5BF5">
        <w:rPr>
          <w:rFonts w:ascii="Times New Roman" w:hAnsi="Times New Roman" w:cs="Times New Roman"/>
        </w:rPr>
        <w:t xml:space="preserve"> </w:t>
      </w:r>
      <w:r w:rsidR="00C031FB" w:rsidRPr="002B5BF5">
        <w:rPr>
          <w:rFonts w:ascii="Times New Roman" w:hAnsi="Times New Roman" w:cs="Times New Roman"/>
        </w:rPr>
        <w:t xml:space="preserve">a </w:t>
      </w:r>
      <w:r w:rsidR="00EC7FCA" w:rsidRPr="002B5BF5">
        <w:rPr>
          <w:rFonts w:ascii="Times New Roman" w:hAnsi="Times New Roman" w:cs="Times New Roman"/>
        </w:rPr>
        <w:t xml:space="preserve">standard of care, controlling for </w:t>
      </w:r>
      <w:r w:rsidR="00F34DBC" w:rsidRPr="002B5BF5">
        <w:rPr>
          <w:rFonts w:ascii="Times New Roman" w:hAnsi="Times New Roman" w:cs="Times New Roman"/>
        </w:rPr>
        <w:t>potential</w:t>
      </w:r>
      <w:r w:rsidR="00EC7FCA" w:rsidRPr="002B5BF5">
        <w:rPr>
          <w:rFonts w:ascii="Times New Roman" w:hAnsi="Times New Roman" w:cs="Times New Roman"/>
        </w:rPr>
        <w:t xml:space="preserve"> contextual factors and differences across </w:t>
      </w:r>
      <w:r w:rsidR="00B232EF" w:rsidRPr="002B5BF5">
        <w:rPr>
          <w:rFonts w:ascii="Times New Roman" w:hAnsi="Times New Roman" w:cs="Times New Roman"/>
        </w:rPr>
        <w:t xml:space="preserve">the </w:t>
      </w:r>
      <w:r w:rsidR="00EC7FCA" w:rsidRPr="002B5BF5">
        <w:rPr>
          <w:rFonts w:ascii="Times New Roman" w:hAnsi="Times New Roman" w:cs="Times New Roman"/>
        </w:rPr>
        <w:t>communities</w:t>
      </w:r>
      <w:r w:rsidR="00F11EF5" w:rsidRPr="002B5BF5">
        <w:rPr>
          <w:rFonts w:ascii="Times New Roman" w:hAnsi="Times New Roman" w:cs="Times New Roman"/>
        </w:rPr>
        <w:t xml:space="preserve">, and provided </w:t>
      </w:r>
      <w:r w:rsidR="00104481" w:rsidRPr="002B5BF5">
        <w:rPr>
          <w:rFonts w:ascii="Times New Roman" w:hAnsi="Times New Roman" w:cs="Times New Roman"/>
        </w:rPr>
        <w:t xml:space="preserve">sufficient power to detect </w:t>
      </w:r>
      <w:r w:rsidR="006819E3" w:rsidRPr="002B5BF5">
        <w:rPr>
          <w:rFonts w:ascii="Times New Roman" w:hAnsi="Times New Roman" w:cs="Times New Roman"/>
        </w:rPr>
        <w:t xml:space="preserve">the </w:t>
      </w:r>
      <w:r w:rsidR="00104481" w:rsidRPr="002B5BF5">
        <w:rPr>
          <w:rFonts w:ascii="Times New Roman" w:hAnsi="Times New Roman" w:cs="Times New Roman"/>
        </w:rPr>
        <w:t>effects of interventions.</w:t>
      </w:r>
      <w:r w:rsidR="00FC4AFD" w:rsidRPr="002B5BF5">
        <w:rPr>
          <w:rFonts w:ascii="Times New Roman" w:hAnsi="Times New Roman" w:cs="Times New Roman"/>
        </w:rPr>
        <w:t xml:space="preserve"> </w:t>
      </w:r>
      <w:r w:rsidR="005B61A3" w:rsidRPr="002B5BF5">
        <w:rPr>
          <w:rFonts w:ascii="Times New Roman" w:hAnsi="Times New Roman" w:cs="Times New Roman"/>
        </w:rPr>
        <w:t xml:space="preserve">In some randomized clinical trials, treatment non-adherence or crossover among randomized groups </w:t>
      </w:r>
      <w:r w:rsidR="006819E3" w:rsidRPr="002B5BF5">
        <w:rPr>
          <w:rFonts w:ascii="Times New Roman" w:hAnsi="Times New Roman" w:cs="Times New Roman"/>
        </w:rPr>
        <w:t xml:space="preserve">may </w:t>
      </w:r>
      <w:r w:rsidR="005B61A3" w:rsidRPr="002B5BF5">
        <w:rPr>
          <w:rFonts w:ascii="Times New Roman" w:hAnsi="Times New Roman" w:cs="Times New Roman"/>
        </w:rPr>
        <w:t xml:space="preserve">cause treatment contamination, thus a statistical approach like instrumental variables would be beneficial to adjust </w:t>
      </w:r>
      <w:r w:rsidR="006819E3" w:rsidRPr="002B5BF5">
        <w:rPr>
          <w:rFonts w:ascii="Times New Roman" w:hAnsi="Times New Roman" w:cs="Times New Roman"/>
        </w:rPr>
        <w:t xml:space="preserve">for </w:t>
      </w:r>
      <w:r w:rsidR="005B61A3" w:rsidRPr="002B5BF5">
        <w:rPr>
          <w:rFonts w:ascii="Times New Roman" w:hAnsi="Times New Roman" w:cs="Times New Roman"/>
        </w:rPr>
        <w:t>treatment contamination.</w:t>
      </w:r>
      <w:r w:rsidR="00A90590" w:rsidRPr="002B5BF5">
        <w:rPr>
          <w:rFonts w:ascii="Times New Roman" w:hAnsi="Times New Roman" w:cs="Times New Roman"/>
        </w:rPr>
        <w:fldChar w:fldCharType="begin" w:fldLock="1"/>
      </w:r>
      <w:r w:rsidR="002422E5" w:rsidRPr="002B5BF5">
        <w:rPr>
          <w:rFonts w:ascii="Times New Roman" w:hAnsi="Times New Roman" w:cs="Times New Roman"/>
        </w:rPr>
        <w:instrText>ADDIN CSL_CITATION {"citationItems":[{"id":"ITEM-1","itemData":{"DOI":"10.1136/bmj.c2073","ISSN":"17561833","author":[{"dropping-particle":"","family":"Sussman","given":"Jeremy B.","non-dropping-particle":"","parse-names":false,"suffix":""},{"dropping-particle":"","family":"Hayward","given":"Rodney A.","non-dropping-particle":"","parse-names":false,"suffix":""}],"container-title":"BMJ","id":"ITEM-1","issue":"7757","issued":{"date-parts":[["2010","5","29"]]},"page":"1181-1184","publisher":"BMJ Publishing Group","title":"An IV for the RCT: using instrumental variables to adjust for treatment contamination in randomised controlled trials","type":"article-journal","volume":"340"},"uris":["http://www.mendeley.com/documents/?uuid=9447064f-dd78-344f-bd15-b3e850389f59"]}],"mendeley":{"formattedCitation":"&lt;sup&gt;51&lt;/sup&gt;","plainTextFormattedCitation":"51","previouslyFormattedCitation":"&lt;sup&gt;50&lt;/sup&gt;"},"properties":{"noteIndex":0},"schema":"https://github.com/citation-style-language/schema/raw/master/csl-citation.json"}</w:instrText>
      </w:r>
      <w:r w:rsidR="00A90590" w:rsidRPr="002B5BF5">
        <w:rPr>
          <w:rFonts w:ascii="Times New Roman" w:hAnsi="Times New Roman" w:cs="Times New Roman"/>
        </w:rPr>
        <w:fldChar w:fldCharType="separate"/>
      </w:r>
      <w:r w:rsidR="002422E5" w:rsidRPr="002B5BF5">
        <w:rPr>
          <w:rFonts w:ascii="Times New Roman" w:hAnsi="Times New Roman" w:cs="Times New Roman"/>
          <w:noProof/>
          <w:vertAlign w:val="superscript"/>
        </w:rPr>
        <w:t>51</w:t>
      </w:r>
      <w:r w:rsidR="00A90590" w:rsidRPr="002B5BF5">
        <w:rPr>
          <w:rFonts w:ascii="Times New Roman" w:hAnsi="Times New Roman" w:cs="Times New Roman"/>
        </w:rPr>
        <w:fldChar w:fldCharType="end"/>
      </w:r>
      <w:r w:rsidR="005B61A3" w:rsidRPr="002B5BF5">
        <w:rPr>
          <w:rFonts w:ascii="Times New Roman" w:hAnsi="Times New Roman" w:cs="Times New Roman"/>
        </w:rPr>
        <w:t xml:space="preserve"> In our study, however, </w:t>
      </w:r>
      <w:r w:rsidR="00FC4AFD" w:rsidRPr="002B5BF5">
        <w:rPr>
          <w:rFonts w:ascii="Times New Roman" w:hAnsi="Times New Roman" w:cs="Times New Roman"/>
        </w:rPr>
        <w:t>every participant was offered and received interventions as randomized</w:t>
      </w:r>
      <w:r w:rsidR="0089368F" w:rsidRPr="002B5BF5">
        <w:rPr>
          <w:rFonts w:ascii="Times New Roman" w:hAnsi="Times New Roman" w:cs="Times New Roman"/>
        </w:rPr>
        <w:t xml:space="preserve"> (i.e., </w:t>
      </w:r>
      <w:r w:rsidR="00FC4AFD" w:rsidRPr="002B5BF5">
        <w:rPr>
          <w:rFonts w:ascii="Times New Roman" w:hAnsi="Times New Roman" w:cs="Times New Roman"/>
        </w:rPr>
        <w:t>no contamination of randomized</w:t>
      </w:r>
      <w:r w:rsidR="005B61A3" w:rsidRPr="002B5BF5">
        <w:rPr>
          <w:rFonts w:ascii="Times New Roman" w:hAnsi="Times New Roman" w:cs="Times New Roman"/>
        </w:rPr>
        <w:t xml:space="preserve"> interventions</w:t>
      </w:r>
      <w:r w:rsidR="0089368F" w:rsidRPr="002B5BF5">
        <w:rPr>
          <w:rFonts w:ascii="Times New Roman" w:hAnsi="Times New Roman" w:cs="Times New Roman"/>
        </w:rPr>
        <w:t>)</w:t>
      </w:r>
      <w:r w:rsidR="005B61A3" w:rsidRPr="002B5BF5">
        <w:rPr>
          <w:rFonts w:ascii="Times New Roman" w:hAnsi="Times New Roman" w:cs="Times New Roman"/>
        </w:rPr>
        <w:t xml:space="preserve">, further validating our intention-to-treat analysis. </w:t>
      </w:r>
      <w:r w:rsidR="0089368F" w:rsidRPr="002B5BF5">
        <w:rPr>
          <w:rFonts w:ascii="Times New Roman" w:hAnsi="Times New Roman" w:cs="Times New Roman"/>
        </w:rPr>
        <w:t>However, t</w:t>
      </w:r>
      <w:r w:rsidR="000C370A" w:rsidRPr="002B5BF5">
        <w:rPr>
          <w:rFonts w:ascii="Times New Roman" w:hAnsi="Times New Roman" w:cs="Times New Roman"/>
        </w:rPr>
        <w:t xml:space="preserve">he study </w:t>
      </w:r>
      <w:r w:rsidR="00104481" w:rsidRPr="002B5BF5">
        <w:rPr>
          <w:rFonts w:ascii="Times New Roman" w:hAnsi="Times New Roman" w:cs="Times New Roman"/>
        </w:rPr>
        <w:t>is</w:t>
      </w:r>
      <w:r w:rsidR="0015027E" w:rsidRPr="002B5BF5">
        <w:rPr>
          <w:rFonts w:ascii="Times New Roman" w:hAnsi="Times New Roman" w:cs="Times New Roman"/>
        </w:rPr>
        <w:t xml:space="preserve"> not</w:t>
      </w:r>
      <w:r w:rsidR="00104481" w:rsidRPr="002B5BF5">
        <w:rPr>
          <w:rFonts w:ascii="Times New Roman" w:hAnsi="Times New Roman" w:cs="Times New Roman"/>
        </w:rPr>
        <w:t xml:space="preserve"> without </w:t>
      </w:r>
      <w:r w:rsidR="000C370A" w:rsidRPr="002B5BF5">
        <w:rPr>
          <w:rFonts w:ascii="Times New Roman" w:hAnsi="Times New Roman" w:cs="Times New Roman"/>
        </w:rPr>
        <w:t xml:space="preserve">limitations. </w:t>
      </w:r>
      <w:r w:rsidR="00DA1285" w:rsidRPr="002B5BF5">
        <w:rPr>
          <w:rFonts w:ascii="Times New Roman" w:hAnsi="Times New Roman" w:cs="Times New Roman"/>
        </w:rPr>
        <w:t>In particular, men</w:t>
      </w:r>
      <w:r w:rsidR="00040689" w:rsidRPr="002B5BF5">
        <w:rPr>
          <w:rFonts w:ascii="Times New Roman" w:hAnsi="Times New Roman" w:cs="Times New Roman"/>
        </w:rPr>
        <w:t xml:space="preserve"> who </w:t>
      </w:r>
      <w:r w:rsidR="0010598E" w:rsidRPr="002B5BF5">
        <w:rPr>
          <w:rFonts w:ascii="Times New Roman" w:hAnsi="Times New Roman" w:cs="Times New Roman"/>
        </w:rPr>
        <w:t>did not participate in the</w:t>
      </w:r>
      <w:r w:rsidR="00040689" w:rsidRPr="002B5BF5">
        <w:rPr>
          <w:rFonts w:ascii="Times New Roman" w:hAnsi="Times New Roman" w:cs="Times New Roman"/>
        </w:rPr>
        <w:t xml:space="preserve"> </w:t>
      </w:r>
      <w:r w:rsidR="00D10714" w:rsidRPr="002B5BF5">
        <w:rPr>
          <w:rFonts w:ascii="Times New Roman" w:hAnsi="Times New Roman" w:cs="Times New Roman"/>
        </w:rPr>
        <w:t xml:space="preserve">annual </w:t>
      </w:r>
      <w:r w:rsidR="0010598E" w:rsidRPr="002B5BF5">
        <w:rPr>
          <w:rFonts w:ascii="Times New Roman" w:hAnsi="Times New Roman" w:cs="Times New Roman"/>
        </w:rPr>
        <w:t>HIV testing</w:t>
      </w:r>
      <w:r w:rsidR="00040689" w:rsidRPr="002B5BF5">
        <w:rPr>
          <w:rFonts w:ascii="Times New Roman" w:hAnsi="Times New Roman" w:cs="Times New Roman"/>
        </w:rPr>
        <w:t xml:space="preserve"> </w:t>
      </w:r>
      <w:r w:rsidR="00D10714" w:rsidRPr="002B5BF5">
        <w:rPr>
          <w:rFonts w:ascii="Times New Roman" w:hAnsi="Times New Roman" w:cs="Times New Roman"/>
        </w:rPr>
        <w:t xml:space="preserve">survey </w:t>
      </w:r>
      <w:r w:rsidR="0010598E" w:rsidRPr="002B5BF5">
        <w:rPr>
          <w:rFonts w:ascii="Times New Roman" w:hAnsi="Times New Roman" w:cs="Times New Roman"/>
        </w:rPr>
        <w:t>were not eligible to</w:t>
      </w:r>
      <w:r w:rsidR="00040689" w:rsidRPr="002B5BF5">
        <w:rPr>
          <w:rFonts w:ascii="Times New Roman" w:hAnsi="Times New Roman" w:cs="Times New Roman"/>
        </w:rPr>
        <w:t xml:space="preserve"> </w:t>
      </w:r>
      <w:r w:rsidR="00667154" w:rsidRPr="002B5BF5">
        <w:rPr>
          <w:rFonts w:ascii="Times New Roman" w:hAnsi="Times New Roman" w:cs="Times New Roman"/>
        </w:rPr>
        <w:t xml:space="preserve">receive </w:t>
      </w:r>
      <w:r w:rsidR="00FE6090" w:rsidRPr="002B5BF5">
        <w:rPr>
          <w:rFonts w:ascii="Times New Roman" w:hAnsi="Times New Roman" w:cs="Times New Roman"/>
        </w:rPr>
        <w:t xml:space="preserve">interventions </w:t>
      </w:r>
      <w:r w:rsidR="00040689" w:rsidRPr="002B5BF5">
        <w:rPr>
          <w:rFonts w:ascii="Times New Roman" w:hAnsi="Times New Roman" w:cs="Times New Roman"/>
        </w:rPr>
        <w:t>in the study</w:t>
      </w:r>
      <w:r w:rsidR="00BD71C0" w:rsidRPr="002B5BF5">
        <w:rPr>
          <w:rFonts w:ascii="Times New Roman" w:hAnsi="Times New Roman" w:cs="Times New Roman"/>
        </w:rPr>
        <w:t>,</w:t>
      </w:r>
      <w:r w:rsidR="0010598E" w:rsidRPr="002B5BF5">
        <w:rPr>
          <w:rFonts w:ascii="Times New Roman" w:hAnsi="Times New Roman" w:cs="Times New Roman"/>
        </w:rPr>
        <w:t xml:space="preserve"> </w:t>
      </w:r>
      <w:r w:rsidR="00FB2D74" w:rsidRPr="002B5BF5">
        <w:rPr>
          <w:rFonts w:ascii="Times New Roman" w:hAnsi="Times New Roman" w:cs="Times New Roman"/>
        </w:rPr>
        <w:t>thus</w:t>
      </w:r>
      <w:r w:rsidR="00D10714" w:rsidRPr="002B5BF5">
        <w:rPr>
          <w:rFonts w:ascii="Times New Roman" w:hAnsi="Times New Roman" w:cs="Times New Roman"/>
        </w:rPr>
        <w:t xml:space="preserve"> ultimately</w:t>
      </w:r>
      <w:r w:rsidR="00FB2D74" w:rsidRPr="002B5BF5">
        <w:rPr>
          <w:rFonts w:ascii="Times New Roman" w:hAnsi="Times New Roman" w:cs="Times New Roman"/>
        </w:rPr>
        <w:t xml:space="preserve"> </w:t>
      </w:r>
      <w:r w:rsidR="00DA1285" w:rsidRPr="002B5BF5">
        <w:rPr>
          <w:rFonts w:ascii="Times New Roman" w:hAnsi="Times New Roman" w:cs="Times New Roman"/>
        </w:rPr>
        <w:t xml:space="preserve">limiting </w:t>
      </w:r>
      <w:r w:rsidR="00FB2D74" w:rsidRPr="002B5BF5">
        <w:rPr>
          <w:rFonts w:ascii="Times New Roman" w:hAnsi="Times New Roman" w:cs="Times New Roman"/>
        </w:rPr>
        <w:t xml:space="preserve">the </w:t>
      </w:r>
      <w:r w:rsidR="00DA1285" w:rsidRPr="002B5BF5">
        <w:rPr>
          <w:rFonts w:ascii="Times New Roman" w:hAnsi="Times New Roman" w:cs="Times New Roman"/>
        </w:rPr>
        <w:t xml:space="preserve">potential </w:t>
      </w:r>
      <w:r w:rsidR="00FB2D74" w:rsidRPr="002B5BF5">
        <w:rPr>
          <w:rFonts w:ascii="Times New Roman" w:hAnsi="Times New Roman" w:cs="Times New Roman"/>
        </w:rPr>
        <w:t>population coverage of the interventions</w:t>
      </w:r>
      <w:r w:rsidR="00DF5B04" w:rsidRPr="002B5BF5">
        <w:rPr>
          <w:rFonts w:ascii="Times New Roman" w:hAnsi="Times New Roman" w:cs="Times New Roman"/>
        </w:rPr>
        <w:t>.</w:t>
      </w:r>
    </w:p>
    <w:p w14:paraId="2989D7A3" w14:textId="77777777" w:rsidR="007C1054" w:rsidRPr="002B5BF5" w:rsidRDefault="007C1054" w:rsidP="008410F7">
      <w:pPr>
        <w:spacing w:line="360" w:lineRule="auto"/>
        <w:jc w:val="both"/>
        <w:rPr>
          <w:rFonts w:ascii="Times New Roman" w:hAnsi="Times New Roman" w:cs="Times New Roman"/>
          <w:b/>
        </w:rPr>
      </w:pPr>
    </w:p>
    <w:p w14:paraId="43ACA578" w14:textId="7FF9B461" w:rsidR="007C1054" w:rsidRPr="002B5BF5" w:rsidRDefault="007C1054" w:rsidP="008410F7">
      <w:pPr>
        <w:spacing w:line="360" w:lineRule="auto"/>
        <w:jc w:val="both"/>
        <w:rPr>
          <w:rFonts w:ascii="Times New Roman" w:hAnsi="Times New Roman" w:cs="Times New Roman"/>
          <w:b/>
        </w:rPr>
      </w:pPr>
      <w:r w:rsidRPr="002B5BF5">
        <w:rPr>
          <w:rFonts w:ascii="Times New Roman" w:hAnsi="Times New Roman" w:cs="Times New Roman"/>
          <w:b/>
        </w:rPr>
        <w:t>Conclusions</w:t>
      </w:r>
    </w:p>
    <w:p w14:paraId="66710759" w14:textId="1DE32BFD" w:rsidR="00FC5DBC" w:rsidRPr="002B5BF5" w:rsidRDefault="00FC5DBC" w:rsidP="008410F7">
      <w:pPr>
        <w:spacing w:line="360" w:lineRule="auto"/>
        <w:jc w:val="both"/>
        <w:rPr>
          <w:rFonts w:ascii="Times New Roman" w:hAnsi="Times New Roman" w:cs="Times New Roman"/>
          <w:bCs/>
        </w:rPr>
      </w:pPr>
      <w:r w:rsidRPr="002B5BF5">
        <w:rPr>
          <w:rFonts w:ascii="Times New Roman" w:hAnsi="Times New Roman" w:cs="Times New Roman"/>
          <w:bCs/>
        </w:rPr>
        <w:t xml:space="preserve">In summary, we found that a small, once-off, financial incentive significantly improved the uptake of home-based HIV testing by more than 50% among men in this large community-randomized clinical trial. </w:t>
      </w:r>
      <w:r w:rsidRPr="002B5BF5">
        <w:rPr>
          <w:rFonts w:ascii="Times New Roman" w:hAnsi="Times New Roman" w:cs="Times New Roman"/>
        </w:rPr>
        <w:t>By contrast, the counselling and testing application which was designed to serve as an intrinsic motivator for HIV</w:t>
      </w:r>
      <w:r w:rsidR="006819E3" w:rsidRPr="002B5BF5">
        <w:rPr>
          <w:rFonts w:ascii="Times New Roman" w:hAnsi="Times New Roman" w:cs="Times New Roman"/>
        </w:rPr>
        <w:t xml:space="preserve"> testing</w:t>
      </w:r>
      <w:r w:rsidRPr="002B5BF5">
        <w:rPr>
          <w:rFonts w:ascii="Times New Roman" w:hAnsi="Times New Roman" w:cs="Times New Roman"/>
        </w:rPr>
        <w:t xml:space="preserve"> did not increase the uptake of home-based testing. </w:t>
      </w:r>
      <w:r w:rsidRPr="002B5BF5">
        <w:rPr>
          <w:rFonts w:ascii="Times New Roman" w:hAnsi="Times New Roman" w:cs="Times New Roman"/>
          <w:bCs/>
        </w:rPr>
        <w:t xml:space="preserve"> Financial micro-incentives could be considered as an effective strategy to encourage the uptake of home-based HIV testing, especially among the unreached population with a lower uptake of HCT. </w:t>
      </w:r>
    </w:p>
    <w:p w14:paraId="7AF605F4" w14:textId="05A16274" w:rsidR="00A75CDF" w:rsidRPr="002B5BF5" w:rsidRDefault="00A75CDF" w:rsidP="008410F7">
      <w:pPr>
        <w:autoSpaceDE w:val="0"/>
        <w:autoSpaceDN w:val="0"/>
        <w:adjustRightInd w:val="0"/>
        <w:spacing w:after="0" w:line="360" w:lineRule="auto"/>
        <w:jc w:val="both"/>
        <w:rPr>
          <w:rFonts w:ascii="Times New Roman" w:hAnsi="Times New Roman" w:cs="Times New Roman"/>
          <w:b/>
          <w:bCs/>
        </w:rPr>
      </w:pPr>
    </w:p>
    <w:p w14:paraId="3F4E6D7A" w14:textId="272D74E3" w:rsidR="00A75CDF" w:rsidRPr="002B5BF5" w:rsidRDefault="00120E4C" w:rsidP="00A75CDF">
      <w:pPr>
        <w:spacing w:line="360" w:lineRule="auto"/>
        <w:jc w:val="both"/>
        <w:rPr>
          <w:rFonts w:ascii="Times New Roman" w:hAnsi="Times New Roman" w:cs="Times New Roman"/>
          <w:b/>
          <w:bCs/>
        </w:rPr>
      </w:pPr>
      <w:r w:rsidRPr="002B5BF5">
        <w:rPr>
          <w:rFonts w:ascii="Times New Roman" w:hAnsi="Times New Roman" w:cs="Times New Roman"/>
          <w:b/>
          <w:bCs/>
        </w:rPr>
        <w:t>Competing interests</w:t>
      </w:r>
    </w:p>
    <w:p w14:paraId="7A2E8A39" w14:textId="1CF6BFA4" w:rsidR="00A75CDF" w:rsidRPr="002B5BF5" w:rsidRDefault="00BA758E" w:rsidP="008410F7">
      <w:pPr>
        <w:autoSpaceDE w:val="0"/>
        <w:autoSpaceDN w:val="0"/>
        <w:adjustRightInd w:val="0"/>
        <w:spacing w:after="0" w:line="360" w:lineRule="auto"/>
        <w:jc w:val="both"/>
        <w:rPr>
          <w:rFonts w:ascii="Times New Roman" w:hAnsi="Times New Roman" w:cs="Times New Roman"/>
        </w:rPr>
      </w:pPr>
      <w:r w:rsidRPr="002B5BF5">
        <w:rPr>
          <w:rFonts w:ascii="Times New Roman" w:hAnsi="Times New Roman" w:cs="Times New Roman"/>
        </w:rPr>
        <w:t>All co-</w:t>
      </w:r>
      <w:r w:rsidR="00A75CDF" w:rsidRPr="002B5BF5">
        <w:rPr>
          <w:rFonts w:ascii="Times New Roman" w:hAnsi="Times New Roman" w:cs="Times New Roman"/>
        </w:rPr>
        <w:t xml:space="preserve">authors declare no </w:t>
      </w:r>
      <w:r w:rsidRPr="002B5BF5">
        <w:rPr>
          <w:rFonts w:ascii="Times New Roman" w:hAnsi="Times New Roman" w:cs="Times New Roman"/>
        </w:rPr>
        <w:t>conflict of</w:t>
      </w:r>
      <w:r w:rsidR="00A75CDF" w:rsidRPr="002B5BF5">
        <w:rPr>
          <w:rFonts w:ascii="Times New Roman" w:hAnsi="Times New Roman" w:cs="Times New Roman"/>
        </w:rPr>
        <w:t xml:space="preserve"> interest</w:t>
      </w:r>
      <w:r w:rsidRPr="002B5BF5">
        <w:rPr>
          <w:rFonts w:ascii="Times New Roman" w:hAnsi="Times New Roman" w:cs="Times New Roman"/>
        </w:rPr>
        <w:t>.</w:t>
      </w:r>
    </w:p>
    <w:p w14:paraId="619C2810" w14:textId="18A90EE3" w:rsidR="00A75CDF" w:rsidRPr="002B5BF5" w:rsidRDefault="00A75CDF" w:rsidP="00FC5DBC">
      <w:pPr>
        <w:autoSpaceDE w:val="0"/>
        <w:autoSpaceDN w:val="0"/>
        <w:adjustRightInd w:val="0"/>
        <w:spacing w:after="0" w:line="360" w:lineRule="auto"/>
        <w:jc w:val="both"/>
        <w:rPr>
          <w:rFonts w:ascii="Times New Roman" w:hAnsi="Times New Roman" w:cs="Times New Roman"/>
        </w:rPr>
      </w:pPr>
    </w:p>
    <w:p w14:paraId="6646E798" w14:textId="5BBB8344" w:rsidR="002228D9" w:rsidRPr="002B5BF5" w:rsidRDefault="002228D9" w:rsidP="002228D9">
      <w:pPr>
        <w:autoSpaceDE w:val="0"/>
        <w:autoSpaceDN w:val="0"/>
        <w:adjustRightInd w:val="0"/>
        <w:spacing w:after="0" w:line="360" w:lineRule="auto"/>
        <w:jc w:val="both"/>
        <w:rPr>
          <w:rFonts w:ascii="Times New Roman" w:hAnsi="Times New Roman" w:cs="Times New Roman"/>
          <w:b/>
        </w:rPr>
      </w:pPr>
      <w:r w:rsidRPr="002B5BF5">
        <w:rPr>
          <w:rFonts w:ascii="Times New Roman" w:hAnsi="Times New Roman" w:cs="Times New Roman"/>
          <w:b/>
        </w:rPr>
        <w:t>Authors’ contributions</w:t>
      </w:r>
    </w:p>
    <w:p w14:paraId="3446079F" w14:textId="77777777" w:rsidR="00461BBE" w:rsidRPr="00461BBE" w:rsidRDefault="00461BBE" w:rsidP="00461BBE">
      <w:pPr>
        <w:autoSpaceDE w:val="0"/>
        <w:autoSpaceDN w:val="0"/>
        <w:adjustRightInd w:val="0"/>
        <w:spacing w:after="0" w:line="360" w:lineRule="auto"/>
        <w:jc w:val="both"/>
        <w:rPr>
          <w:rFonts w:ascii="Times New Roman" w:hAnsi="Times New Roman" w:cs="Times New Roman"/>
        </w:rPr>
      </w:pPr>
      <w:r w:rsidRPr="00461BBE">
        <w:rPr>
          <w:rFonts w:ascii="Times New Roman" w:hAnsi="Times New Roman" w:cs="Times New Roman"/>
        </w:rPr>
        <w:t xml:space="preserve">FT and TB are the principal investigators and developed the study design and protocol in collaboration with MS, SW, NM, JS, HMY, BS, and AD. H-YK &amp; FT analysed the data and wrote the first draft of </w:t>
      </w:r>
      <w:r w:rsidRPr="00461BBE">
        <w:rPr>
          <w:rFonts w:ascii="Times New Roman" w:hAnsi="Times New Roman" w:cs="Times New Roman"/>
        </w:rPr>
        <w:lastRenderedPageBreak/>
        <w:t>the manuscript. PM, AB, AZ, OA, TM, TZ, SW, JS, and MS were involved in the development of EPIC-HIV. All authors read and approved the final manuscript.</w:t>
      </w:r>
    </w:p>
    <w:p w14:paraId="5849C466" w14:textId="2726612D" w:rsidR="002228D9" w:rsidRPr="002B5BF5" w:rsidRDefault="002228D9" w:rsidP="002228D9">
      <w:pPr>
        <w:autoSpaceDE w:val="0"/>
        <w:autoSpaceDN w:val="0"/>
        <w:adjustRightInd w:val="0"/>
        <w:spacing w:after="0" w:line="360" w:lineRule="auto"/>
        <w:jc w:val="both"/>
        <w:rPr>
          <w:rFonts w:ascii="Times New Roman" w:hAnsi="Times New Roman" w:cs="Times New Roman"/>
        </w:rPr>
      </w:pPr>
    </w:p>
    <w:p w14:paraId="532FD5D0" w14:textId="77777777" w:rsidR="002228D9" w:rsidRPr="002B5BF5" w:rsidRDefault="002228D9" w:rsidP="002228D9">
      <w:pPr>
        <w:autoSpaceDE w:val="0"/>
        <w:autoSpaceDN w:val="0"/>
        <w:adjustRightInd w:val="0"/>
        <w:spacing w:after="0" w:line="360" w:lineRule="auto"/>
        <w:jc w:val="both"/>
        <w:rPr>
          <w:rFonts w:ascii="Times New Roman" w:hAnsi="Times New Roman" w:cs="Times New Roman"/>
          <w:b/>
        </w:rPr>
      </w:pPr>
      <w:r w:rsidRPr="002B5BF5">
        <w:rPr>
          <w:rFonts w:ascii="Times New Roman" w:hAnsi="Times New Roman" w:cs="Times New Roman"/>
          <w:b/>
        </w:rPr>
        <w:t>Acknowledgements</w:t>
      </w:r>
    </w:p>
    <w:p w14:paraId="6D2A7B27" w14:textId="77777777" w:rsidR="002228D9" w:rsidRPr="002B5BF5" w:rsidRDefault="002228D9" w:rsidP="002228D9">
      <w:pPr>
        <w:autoSpaceDE w:val="0"/>
        <w:autoSpaceDN w:val="0"/>
        <w:adjustRightInd w:val="0"/>
        <w:spacing w:after="0" w:line="360" w:lineRule="auto"/>
        <w:jc w:val="both"/>
        <w:rPr>
          <w:rFonts w:ascii="Times New Roman" w:hAnsi="Times New Roman" w:cs="Times New Roman"/>
        </w:rPr>
      </w:pPr>
      <w:r w:rsidRPr="002B5BF5">
        <w:rPr>
          <w:rFonts w:ascii="Times New Roman" w:hAnsi="Times New Roman" w:cs="Times New Roman"/>
        </w:rPr>
        <w:t xml:space="preserve">The authors wish to thank the colleagues at AHRI supporting day-to-day project operations and all study participants. </w:t>
      </w:r>
    </w:p>
    <w:p w14:paraId="241D5458" w14:textId="77777777" w:rsidR="002228D9" w:rsidRPr="002B5BF5" w:rsidRDefault="002228D9" w:rsidP="00FC5DBC">
      <w:pPr>
        <w:autoSpaceDE w:val="0"/>
        <w:autoSpaceDN w:val="0"/>
        <w:adjustRightInd w:val="0"/>
        <w:spacing w:after="0" w:line="360" w:lineRule="auto"/>
        <w:jc w:val="both"/>
        <w:rPr>
          <w:rFonts w:ascii="Times New Roman" w:hAnsi="Times New Roman" w:cs="Times New Roman"/>
        </w:rPr>
      </w:pPr>
    </w:p>
    <w:p w14:paraId="28EB2D75" w14:textId="21C913F0" w:rsidR="00A75CDF" w:rsidRPr="002B5BF5" w:rsidRDefault="000C370A" w:rsidP="00FC5DBC">
      <w:pPr>
        <w:autoSpaceDE w:val="0"/>
        <w:autoSpaceDN w:val="0"/>
        <w:adjustRightInd w:val="0"/>
        <w:spacing w:after="0" w:line="360" w:lineRule="auto"/>
        <w:jc w:val="both"/>
        <w:rPr>
          <w:rFonts w:ascii="Times New Roman" w:hAnsi="Times New Roman" w:cs="Times New Roman"/>
          <w:b/>
          <w:bCs/>
        </w:rPr>
      </w:pPr>
      <w:r w:rsidRPr="002B5BF5">
        <w:rPr>
          <w:rFonts w:ascii="Times New Roman" w:hAnsi="Times New Roman" w:cs="Times New Roman"/>
        </w:rPr>
        <w:t>Funding</w:t>
      </w:r>
      <w:r w:rsidR="002228D9" w:rsidRPr="002B5BF5">
        <w:rPr>
          <w:rFonts w:ascii="Times New Roman" w:hAnsi="Times New Roman" w:cs="Times New Roman"/>
        </w:rPr>
        <w:t>:</w:t>
      </w:r>
      <w:r w:rsidR="002228D9" w:rsidRPr="002B5BF5">
        <w:rPr>
          <w:rFonts w:ascii="Times New Roman" w:hAnsi="Times New Roman" w:cs="Times New Roman"/>
          <w:b/>
          <w:bCs/>
        </w:rPr>
        <w:t xml:space="preserve"> </w:t>
      </w:r>
      <w:r w:rsidR="00945FAF" w:rsidRPr="002B5BF5">
        <w:rPr>
          <w:rFonts w:ascii="Times New Roman" w:hAnsi="Times New Roman" w:cs="Times New Roman"/>
        </w:rPr>
        <w:t xml:space="preserve">The research is funded by </w:t>
      </w:r>
      <w:r w:rsidR="00FF1D37" w:rsidRPr="002B5BF5">
        <w:rPr>
          <w:rFonts w:ascii="Times New Roman" w:hAnsi="Times New Roman" w:cs="Times New Roman"/>
        </w:rPr>
        <w:t>the National Institute of Allergy and Infectious Diseases (NIAID) of the National Institutes of Health (NIH) under Award Number R01AI124389</w:t>
      </w:r>
      <w:r w:rsidR="00AF0AA4" w:rsidRPr="002B5BF5">
        <w:rPr>
          <w:rFonts w:ascii="Times New Roman" w:hAnsi="Times New Roman" w:cs="Times New Roman"/>
        </w:rPr>
        <w:t xml:space="preserve"> (PI</w:t>
      </w:r>
      <w:r w:rsidR="00F75FEB" w:rsidRPr="002B5BF5">
        <w:rPr>
          <w:rFonts w:ascii="Times New Roman" w:hAnsi="Times New Roman" w:cs="Times New Roman"/>
        </w:rPr>
        <w:t>s</w:t>
      </w:r>
      <w:r w:rsidR="00AF0AA4" w:rsidRPr="002B5BF5">
        <w:rPr>
          <w:rFonts w:ascii="Times New Roman" w:hAnsi="Times New Roman" w:cs="Times New Roman"/>
        </w:rPr>
        <w:t xml:space="preserve">: </w:t>
      </w:r>
      <w:r w:rsidR="00434EA7" w:rsidRPr="002B5BF5">
        <w:rPr>
          <w:rFonts w:ascii="Times New Roman" w:hAnsi="Times New Roman" w:cs="Times New Roman"/>
        </w:rPr>
        <w:t xml:space="preserve">Frank Tanser and Till </w:t>
      </w:r>
      <w:proofErr w:type="spellStart"/>
      <w:r w:rsidR="00434EA7" w:rsidRPr="002B5BF5">
        <w:rPr>
          <w:rFonts w:ascii="Times New Roman" w:hAnsi="Times New Roman" w:cs="Times New Roman"/>
        </w:rPr>
        <w:t>Bärnighausen</w:t>
      </w:r>
      <w:proofErr w:type="spellEnd"/>
      <w:r w:rsidR="00434EA7" w:rsidRPr="002B5BF5">
        <w:rPr>
          <w:rFonts w:ascii="Times New Roman" w:hAnsi="Times New Roman" w:cs="Times New Roman"/>
        </w:rPr>
        <w:t>)</w:t>
      </w:r>
      <w:r w:rsidR="00945FAF" w:rsidRPr="002B5BF5">
        <w:rPr>
          <w:rFonts w:ascii="Times New Roman" w:hAnsi="Times New Roman" w:cs="Times New Roman"/>
        </w:rPr>
        <w:t xml:space="preserve">. </w:t>
      </w:r>
      <w:r w:rsidR="00FF1D37" w:rsidRPr="002B5BF5">
        <w:rPr>
          <w:rFonts w:ascii="Times New Roman" w:hAnsi="Times New Roman" w:cs="Times New Roman"/>
        </w:rPr>
        <w:t xml:space="preserve">EPIC-HIV development was supported by the </w:t>
      </w:r>
      <w:r w:rsidR="007F442E" w:rsidRPr="002B5BF5">
        <w:rPr>
          <w:rFonts w:ascii="Times New Roman" w:hAnsi="Times New Roman" w:cs="Times New Roman"/>
        </w:rPr>
        <w:t>Engineering and Physical Sciences</w:t>
      </w:r>
      <w:r w:rsidR="00FF1D37" w:rsidRPr="002B5BF5">
        <w:rPr>
          <w:rFonts w:ascii="Times New Roman" w:hAnsi="Times New Roman" w:cs="Times New Roman"/>
        </w:rPr>
        <w:t xml:space="preserve"> Research Council (E</w:t>
      </w:r>
      <w:r w:rsidR="007F442E" w:rsidRPr="002B5BF5">
        <w:rPr>
          <w:rFonts w:ascii="Times New Roman" w:hAnsi="Times New Roman" w:cs="Times New Roman"/>
        </w:rPr>
        <w:t>PS</w:t>
      </w:r>
      <w:r w:rsidR="00FF1D37" w:rsidRPr="002B5BF5">
        <w:rPr>
          <w:rFonts w:ascii="Times New Roman" w:hAnsi="Times New Roman" w:cs="Times New Roman"/>
        </w:rPr>
        <w:t xml:space="preserve">RC) </w:t>
      </w:r>
      <w:r w:rsidR="007F442E" w:rsidRPr="002B5BF5">
        <w:rPr>
          <w:rFonts w:ascii="Times New Roman" w:hAnsi="Times New Roman" w:cs="Times New Roman"/>
        </w:rPr>
        <w:t>Interdisciplinary Research Collaboration (</w:t>
      </w:r>
      <w:r w:rsidR="00FF1D37" w:rsidRPr="002B5BF5">
        <w:rPr>
          <w:rFonts w:ascii="Times New Roman" w:hAnsi="Times New Roman" w:cs="Times New Roman"/>
        </w:rPr>
        <w:t>IRC</w:t>
      </w:r>
      <w:r w:rsidR="007F442E" w:rsidRPr="002B5BF5">
        <w:rPr>
          <w:rFonts w:ascii="Times New Roman" w:hAnsi="Times New Roman" w:cs="Times New Roman"/>
        </w:rPr>
        <w:t>)</w:t>
      </w:r>
      <w:r w:rsidR="00FF1D37" w:rsidRPr="002B5BF5">
        <w:rPr>
          <w:rFonts w:ascii="Times New Roman" w:hAnsi="Times New Roman" w:cs="Times New Roman"/>
        </w:rPr>
        <w:t xml:space="preserve"> Early-warning Sensing Systems for Infectious Diseases (i-sense) EP/K031953/1 and </w:t>
      </w:r>
      <w:r w:rsidR="007F442E" w:rsidRPr="002B5BF5">
        <w:rPr>
          <w:rFonts w:ascii="Times New Roman" w:hAnsi="Times New Roman" w:cs="Times New Roman"/>
        </w:rPr>
        <w:t>M</w:t>
      </w:r>
      <w:r w:rsidR="00FF1D37" w:rsidRPr="002B5BF5">
        <w:rPr>
          <w:rFonts w:ascii="Times New Roman" w:hAnsi="Times New Roman" w:cs="Times New Roman"/>
        </w:rPr>
        <w:t xml:space="preserve">RC MR/P024378/1. Frank Tanser and Till </w:t>
      </w:r>
      <w:proofErr w:type="spellStart"/>
      <w:r w:rsidR="00FF1D37" w:rsidRPr="002B5BF5">
        <w:rPr>
          <w:rFonts w:ascii="Times New Roman" w:hAnsi="Times New Roman" w:cs="Times New Roman"/>
        </w:rPr>
        <w:t>Bärnighausen</w:t>
      </w:r>
      <w:proofErr w:type="spellEnd"/>
      <w:r w:rsidR="00FF1D37" w:rsidRPr="002B5BF5">
        <w:rPr>
          <w:rFonts w:ascii="Times New Roman" w:hAnsi="Times New Roman" w:cs="Times New Roman"/>
        </w:rPr>
        <w:t xml:space="preserve"> are also supported by NIH grant (R01-HD084233). </w:t>
      </w:r>
      <w:r w:rsidR="00493ACA" w:rsidRPr="002B5BF5">
        <w:rPr>
          <w:rFonts w:ascii="Times New Roman" w:hAnsi="Times New Roman" w:cs="Times New Roman"/>
          <w:bCs/>
        </w:rPr>
        <w:t xml:space="preserve">The Africa Health Research Institute’s Demographic Surveillance Information System and Population Intervention Programme is funded by the </w:t>
      </w:r>
      <w:proofErr w:type="spellStart"/>
      <w:r w:rsidR="00493ACA" w:rsidRPr="002B5BF5">
        <w:rPr>
          <w:rFonts w:ascii="Times New Roman" w:hAnsi="Times New Roman" w:cs="Times New Roman"/>
          <w:bCs/>
        </w:rPr>
        <w:t>Wellcome</w:t>
      </w:r>
      <w:proofErr w:type="spellEnd"/>
      <w:r w:rsidR="00493ACA" w:rsidRPr="002B5BF5">
        <w:rPr>
          <w:rFonts w:ascii="Times New Roman" w:hAnsi="Times New Roman" w:cs="Times New Roman"/>
          <w:bCs/>
        </w:rPr>
        <w:t xml:space="preserve"> Trust (201433/Z/16/Z), and the South Africa Population Research Infrastructure Network (funded by </w:t>
      </w:r>
      <w:bookmarkStart w:id="23" w:name="_GoBack"/>
      <w:bookmarkEnd w:id="23"/>
      <w:r w:rsidR="00493ACA" w:rsidRPr="002B5BF5">
        <w:rPr>
          <w:rFonts w:ascii="Times New Roman" w:hAnsi="Times New Roman" w:cs="Times New Roman"/>
          <w:bCs/>
        </w:rPr>
        <w:t xml:space="preserve">the South African Department of Science and Technology and hosted by the South African Medical Research Council). </w:t>
      </w:r>
      <w:r w:rsidR="009A5D92" w:rsidRPr="009A5D92">
        <w:rPr>
          <w:rFonts w:ascii="Times New Roman" w:hAnsi="Times New Roman" w:cs="Times New Roman"/>
          <w:bCs/>
        </w:rPr>
        <w:t>N. McGrath is a recipient of an NIHR Research Professorship award (Ref: RP-2017-08-ST2-008).</w:t>
      </w:r>
      <w:r w:rsidR="009A5D92" w:rsidRPr="009A5D92">
        <w:rPr>
          <w:rFonts w:ascii="Times New Roman" w:hAnsi="Times New Roman" w:cs="Times New Roman"/>
          <w:bCs/>
        </w:rPr>
        <w:t xml:space="preserve"> </w:t>
      </w:r>
      <w:r w:rsidR="00493ACA" w:rsidRPr="002B5BF5">
        <w:rPr>
          <w:rFonts w:ascii="Times New Roman" w:hAnsi="Times New Roman" w:cs="Times New Roman"/>
          <w:bCs/>
        </w:rPr>
        <w:t>The content is solely the responsibility of the authors and does not necessarily represent the official views of the funding bodies.</w:t>
      </w:r>
      <w:r w:rsidR="00FC5DBC" w:rsidRPr="002B5BF5">
        <w:rPr>
          <w:rFonts w:ascii="Times New Roman" w:hAnsi="Times New Roman" w:cs="Times New Roman"/>
          <w:bCs/>
        </w:rPr>
        <w:t xml:space="preserve"> </w:t>
      </w:r>
    </w:p>
    <w:p w14:paraId="371F48EE" w14:textId="77777777" w:rsidR="00A75CDF" w:rsidRPr="002B5BF5" w:rsidRDefault="00A75CDF" w:rsidP="00FC5DBC">
      <w:pPr>
        <w:autoSpaceDE w:val="0"/>
        <w:autoSpaceDN w:val="0"/>
        <w:adjustRightInd w:val="0"/>
        <w:spacing w:after="0" w:line="360" w:lineRule="auto"/>
        <w:jc w:val="both"/>
        <w:rPr>
          <w:rFonts w:ascii="Times New Roman" w:hAnsi="Times New Roman" w:cs="Times New Roman"/>
          <w:b/>
        </w:rPr>
      </w:pPr>
    </w:p>
    <w:p w14:paraId="7A958AF9" w14:textId="77777777" w:rsidR="002228D9" w:rsidRPr="002B5BF5" w:rsidRDefault="002228D9" w:rsidP="002228D9">
      <w:pPr>
        <w:spacing w:line="360" w:lineRule="auto"/>
        <w:jc w:val="both"/>
        <w:rPr>
          <w:rFonts w:ascii="Times New Roman" w:hAnsi="Times New Roman" w:cs="Times New Roman"/>
          <w:b/>
        </w:rPr>
      </w:pPr>
      <w:r w:rsidRPr="002B5BF5">
        <w:rPr>
          <w:rFonts w:ascii="Times New Roman" w:hAnsi="Times New Roman" w:cs="Times New Roman"/>
          <w:b/>
        </w:rPr>
        <w:t xml:space="preserve">List of abbreviations </w:t>
      </w:r>
    </w:p>
    <w:p w14:paraId="56016492" w14:textId="77777777" w:rsidR="002228D9" w:rsidRPr="002B5BF5" w:rsidRDefault="002228D9" w:rsidP="002228D9">
      <w:pPr>
        <w:spacing w:after="0" w:line="360" w:lineRule="auto"/>
        <w:jc w:val="both"/>
        <w:rPr>
          <w:rFonts w:ascii="Times New Roman" w:hAnsi="Times New Roman" w:cs="Times New Roman"/>
        </w:rPr>
      </w:pPr>
      <w:r w:rsidRPr="002B5BF5">
        <w:rPr>
          <w:rFonts w:ascii="Times New Roman" w:hAnsi="Times New Roman" w:cs="Times New Roman"/>
        </w:rPr>
        <w:t xml:space="preserve">Abbreviation: AHRI, Africa Health Research Institute; CONSORT, Consolidated Standards of Reporting Trials; EPIC-HIV, Empowering People through Informed Choices for HIV; HCT, HIV </w:t>
      </w:r>
      <w:proofErr w:type="spellStart"/>
      <w:r w:rsidRPr="002B5BF5">
        <w:rPr>
          <w:rFonts w:ascii="Times New Roman" w:hAnsi="Times New Roman" w:cs="Times New Roman"/>
        </w:rPr>
        <w:t>Counseling</w:t>
      </w:r>
      <w:proofErr w:type="spellEnd"/>
      <w:r w:rsidRPr="002B5BF5">
        <w:rPr>
          <w:rFonts w:ascii="Times New Roman" w:hAnsi="Times New Roman" w:cs="Times New Roman"/>
        </w:rPr>
        <w:t xml:space="preserve"> and Testing; HIV, Human Immunodeficiency Virus; HITS, Home-Based Intervention to Test and Start.</w:t>
      </w:r>
    </w:p>
    <w:p w14:paraId="68C91D61" w14:textId="2A8F6C94" w:rsidR="00A75CDF" w:rsidRPr="002B5BF5" w:rsidRDefault="00A75CDF">
      <w:pPr>
        <w:rPr>
          <w:rFonts w:ascii="Times New Roman" w:hAnsi="Times New Roman" w:cs="Times New Roman"/>
          <w:b/>
        </w:rPr>
      </w:pPr>
      <w:r w:rsidRPr="002B5BF5">
        <w:rPr>
          <w:rFonts w:ascii="Times New Roman" w:hAnsi="Times New Roman" w:cs="Times New Roman"/>
          <w:b/>
        </w:rPr>
        <w:br w:type="page"/>
      </w:r>
    </w:p>
    <w:p w14:paraId="71848480" w14:textId="310B5133" w:rsidR="00FF1568" w:rsidRPr="002B5BF5" w:rsidRDefault="00DF4F86" w:rsidP="00CF7A49">
      <w:pPr>
        <w:spacing w:line="276" w:lineRule="auto"/>
        <w:jc w:val="both"/>
        <w:rPr>
          <w:rFonts w:ascii="Times New Roman" w:hAnsi="Times New Roman" w:cs="Times New Roman"/>
        </w:rPr>
      </w:pPr>
      <w:r w:rsidRPr="002B5BF5">
        <w:rPr>
          <w:rFonts w:ascii="Times New Roman" w:hAnsi="Times New Roman" w:cs="Times New Roman"/>
          <w:b/>
        </w:rPr>
        <w:lastRenderedPageBreak/>
        <w:t xml:space="preserve">Table 1. </w:t>
      </w:r>
      <w:r w:rsidR="0046455B" w:rsidRPr="002B5BF5">
        <w:rPr>
          <w:rFonts w:ascii="Times New Roman" w:hAnsi="Times New Roman" w:cs="Times New Roman"/>
          <w:b/>
        </w:rPr>
        <w:t xml:space="preserve"> </w:t>
      </w:r>
      <w:r w:rsidR="000C370A" w:rsidRPr="002B5BF5">
        <w:rPr>
          <w:rFonts w:ascii="Times New Roman" w:hAnsi="Times New Roman" w:cs="Times New Roman"/>
          <w:b/>
        </w:rPr>
        <w:t>C</w:t>
      </w:r>
      <w:r w:rsidR="00C94545" w:rsidRPr="002B5BF5">
        <w:rPr>
          <w:rFonts w:ascii="Times New Roman" w:hAnsi="Times New Roman" w:cs="Times New Roman"/>
          <w:b/>
        </w:rPr>
        <w:t>haracteristics of communities and eligible</w:t>
      </w:r>
      <w:r w:rsidR="00E612F6" w:rsidRPr="002B5BF5">
        <w:rPr>
          <w:rFonts w:ascii="Times New Roman" w:hAnsi="Times New Roman" w:cs="Times New Roman"/>
          <w:b/>
        </w:rPr>
        <w:t xml:space="preserve"> male</w:t>
      </w:r>
      <w:r w:rsidR="00C94545" w:rsidRPr="002B5BF5">
        <w:rPr>
          <w:rFonts w:ascii="Times New Roman" w:hAnsi="Times New Roman" w:cs="Times New Roman"/>
          <w:b/>
        </w:rPr>
        <w:t xml:space="preserve"> participants by intervention arms in KwaZulu-Natal, South Africa, 2018</w:t>
      </w:r>
    </w:p>
    <w:tbl>
      <w:tblPr>
        <w:tblW w:w="9796" w:type="dxa"/>
        <w:tblLook w:val="04A0" w:firstRow="1" w:lastRow="0" w:firstColumn="1" w:lastColumn="0" w:noHBand="0" w:noVBand="1"/>
      </w:tblPr>
      <w:tblGrid>
        <w:gridCol w:w="3082"/>
        <w:gridCol w:w="1665"/>
        <w:gridCol w:w="1725"/>
        <w:gridCol w:w="1662"/>
        <w:gridCol w:w="1662"/>
      </w:tblGrid>
      <w:tr w:rsidR="002B5BF5" w:rsidRPr="002B5BF5" w14:paraId="5727FD43" w14:textId="77777777" w:rsidTr="00874154">
        <w:trPr>
          <w:trHeight w:val="709"/>
        </w:trPr>
        <w:tc>
          <w:tcPr>
            <w:tcW w:w="3082" w:type="dxa"/>
            <w:tcBorders>
              <w:top w:val="single" w:sz="4" w:space="0" w:color="auto"/>
              <w:left w:val="nil"/>
              <w:bottom w:val="single" w:sz="4" w:space="0" w:color="auto"/>
              <w:right w:val="nil"/>
            </w:tcBorders>
            <w:shd w:val="clear" w:color="auto" w:fill="auto"/>
            <w:noWrap/>
            <w:vAlign w:val="center"/>
            <w:hideMark/>
          </w:tcPr>
          <w:p w14:paraId="2FAC51C6" w14:textId="29AEC167" w:rsidR="00BC5FEA" w:rsidRPr="002B5BF5" w:rsidRDefault="00BC5FEA"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Characteristic</w:t>
            </w:r>
          </w:p>
        </w:tc>
        <w:tc>
          <w:tcPr>
            <w:tcW w:w="1665" w:type="dxa"/>
            <w:tcBorders>
              <w:top w:val="single" w:sz="4" w:space="0" w:color="auto"/>
              <w:left w:val="nil"/>
              <w:bottom w:val="single" w:sz="4" w:space="0" w:color="auto"/>
              <w:right w:val="nil"/>
            </w:tcBorders>
            <w:shd w:val="clear" w:color="auto" w:fill="auto"/>
            <w:noWrap/>
            <w:hideMark/>
          </w:tcPr>
          <w:p w14:paraId="00C9DA7F" w14:textId="0979CA00" w:rsidR="00BC5FEA" w:rsidRPr="002B5BF5" w:rsidRDefault="00BC5FEA" w:rsidP="00F10B91">
            <w:pPr>
              <w:spacing w:after="120" w:line="240" w:lineRule="auto"/>
              <w:jc w:val="center"/>
              <w:rPr>
                <w:rFonts w:ascii="Times New Roman" w:eastAsia="Times New Roman" w:hAnsi="Times New Roman" w:cs="Times New Roman"/>
                <w:b/>
                <w:bCs/>
              </w:rPr>
            </w:pPr>
            <w:r w:rsidRPr="002B5BF5">
              <w:rPr>
                <w:rFonts w:ascii="Times New Roman" w:eastAsia="Times New Roman" w:hAnsi="Times New Roman" w:cs="Times New Roman"/>
                <w:b/>
                <w:bCs/>
              </w:rPr>
              <w:t>Financial incentives only</w:t>
            </w:r>
          </w:p>
        </w:tc>
        <w:tc>
          <w:tcPr>
            <w:tcW w:w="1725" w:type="dxa"/>
            <w:tcBorders>
              <w:top w:val="single" w:sz="4" w:space="0" w:color="auto"/>
              <w:left w:val="nil"/>
              <w:bottom w:val="single" w:sz="4" w:space="0" w:color="auto"/>
              <w:right w:val="nil"/>
            </w:tcBorders>
            <w:shd w:val="clear" w:color="auto" w:fill="auto"/>
            <w:hideMark/>
          </w:tcPr>
          <w:p w14:paraId="5ACFEB23" w14:textId="4B160D9E" w:rsidR="00BC5FEA" w:rsidRPr="002B5BF5" w:rsidRDefault="00BC5FEA" w:rsidP="00F10B91">
            <w:pPr>
              <w:spacing w:after="120" w:line="240" w:lineRule="auto"/>
              <w:jc w:val="center"/>
              <w:rPr>
                <w:rFonts w:ascii="Times New Roman" w:eastAsia="Times New Roman" w:hAnsi="Times New Roman" w:cs="Times New Roman"/>
                <w:b/>
                <w:bCs/>
              </w:rPr>
            </w:pPr>
            <w:r w:rsidRPr="002B5BF5">
              <w:rPr>
                <w:rFonts w:ascii="Times New Roman" w:eastAsia="Times New Roman" w:hAnsi="Times New Roman" w:cs="Times New Roman"/>
                <w:b/>
                <w:bCs/>
              </w:rPr>
              <w:t>Financial incentives</w:t>
            </w:r>
            <w:r w:rsidRPr="002B5BF5">
              <w:rPr>
                <w:rFonts w:ascii="Times New Roman" w:eastAsia="Times New Roman" w:hAnsi="Times New Roman" w:cs="Times New Roman"/>
                <w:b/>
                <w:bCs/>
              </w:rPr>
              <w:br/>
              <w:t>plus EPIC-HIV</w:t>
            </w:r>
          </w:p>
        </w:tc>
        <w:tc>
          <w:tcPr>
            <w:tcW w:w="1662" w:type="dxa"/>
            <w:tcBorders>
              <w:top w:val="single" w:sz="4" w:space="0" w:color="auto"/>
              <w:left w:val="nil"/>
              <w:bottom w:val="single" w:sz="4" w:space="0" w:color="auto"/>
              <w:right w:val="nil"/>
            </w:tcBorders>
            <w:shd w:val="clear" w:color="auto" w:fill="auto"/>
            <w:noWrap/>
            <w:hideMark/>
          </w:tcPr>
          <w:p w14:paraId="757C95F9" w14:textId="5E153F81" w:rsidR="00BC5FEA" w:rsidRPr="002B5BF5" w:rsidRDefault="00BC5FEA" w:rsidP="00F10B91">
            <w:pPr>
              <w:spacing w:after="120" w:line="240" w:lineRule="auto"/>
              <w:jc w:val="center"/>
              <w:rPr>
                <w:rFonts w:ascii="Times New Roman" w:eastAsia="Times New Roman" w:hAnsi="Times New Roman" w:cs="Times New Roman"/>
                <w:b/>
                <w:bCs/>
              </w:rPr>
            </w:pPr>
            <w:r w:rsidRPr="002B5BF5">
              <w:rPr>
                <w:rFonts w:ascii="Times New Roman" w:eastAsia="Times New Roman" w:hAnsi="Times New Roman" w:cs="Times New Roman"/>
                <w:b/>
                <w:bCs/>
              </w:rPr>
              <w:t>EPIC-HIV only</w:t>
            </w:r>
          </w:p>
        </w:tc>
        <w:tc>
          <w:tcPr>
            <w:tcW w:w="1662" w:type="dxa"/>
            <w:tcBorders>
              <w:top w:val="single" w:sz="4" w:space="0" w:color="auto"/>
              <w:left w:val="nil"/>
              <w:bottom w:val="single" w:sz="4" w:space="0" w:color="auto"/>
              <w:right w:val="nil"/>
            </w:tcBorders>
            <w:shd w:val="clear" w:color="auto" w:fill="auto"/>
            <w:noWrap/>
            <w:hideMark/>
          </w:tcPr>
          <w:p w14:paraId="47926B37" w14:textId="65E7CA19" w:rsidR="00BC5FEA" w:rsidRPr="002B5BF5" w:rsidRDefault="00BC5FEA" w:rsidP="00F10B91">
            <w:pPr>
              <w:spacing w:after="120" w:line="240" w:lineRule="auto"/>
              <w:jc w:val="center"/>
              <w:rPr>
                <w:rFonts w:ascii="Times New Roman" w:eastAsia="Times New Roman" w:hAnsi="Times New Roman" w:cs="Times New Roman"/>
                <w:b/>
                <w:bCs/>
              </w:rPr>
            </w:pPr>
            <w:r w:rsidRPr="002B5BF5">
              <w:rPr>
                <w:rFonts w:ascii="Times New Roman" w:eastAsia="Times New Roman" w:hAnsi="Times New Roman" w:cs="Times New Roman"/>
                <w:b/>
                <w:bCs/>
              </w:rPr>
              <w:t>Standard of care</w:t>
            </w:r>
          </w:p>
        </w:tc>
      </w:tr>
      <w:tr w:rsidR="002B5BF5" w:rsidRPr="002B5BF5" w14:paraId="1855E75A" w14:textId="77777777" w:rsidTr="00874154">
        <w:trPr>
          <w:trHeight w:val="273"/>
        </w:trPr>
        <w:tc>
          <w:tcPr>
            <w:tcW w:w="3082" w:type="dxa"/>
            <w:tcBorders>
              <w:top w:val="nil"/>
              <w:left w:val="nil"/>
              <w:bottom w:val="nil"/>
              <w:right w:val="nil"/>
            </w:tcBorders>
            <w:shd w:val="clear" w:color="auto" w:fill="auto"/>
            <w:vAlign w:val="bottom"/>
          </w:tcPr>
          <w:p w14:paraId="5A8A1E9B" w14:textId="3CDFB9ED" w:rsidR="00BC5FEA" w:rsidRPr="002B5BF5" w:rsidRDefault="00BC5FEA" w:rsidP="00BA1E6A">
            <w:pPr>
              <w:spacing w:after="120" w:line="240" w:lineRule="auto"/>
              <w:rPr>
                <w:rFonts w:ascii="Times New Roman" w:eastAsia="Times New Roman" w:hAnsi="Times New Roman" w:cs="Times New Roman"/>
              </w:rPr>
            </w:pPr>
            <w:r w:rsidRPr="002B5BF5">
              <w:rPr>
                <w:rFonts w:ascii="Times New Roman" w:eastAsia="Times New Roman" w:hAnsi="Times New Roman" w:cs="Times New Roman"/>
              </w:rPr>
              <w:t>HIV prevalence in 2018, % (95% CI)*</w:t>
            </w:r>
          </w:p>
        </w:tc>
        <w:tc>
          <w:tcPr>
            <w:tcW w:w="1665" w:type="dxa"/>
            <w:tcBorders>
              <w:top w:val="nil"/>
              <w:left w:val="nil"/>
              <w:bottom w:val="nil"/>
              <w:right w:val="nil"/>
            </w:tcBorders>
            <w:shd w:val="clear" w:color="auto" w:fill="auto"/>
            <w:noWrap/>
            <w:vAlign w:val="center"/>
          </w:tcPr>
          <w:p w14:paraId="59A36B62" w14:textId="4A87CB28"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eastAsia="Times New Roman" w:hAnsi="Times New Roman" w:cs="Times New Roman"/>
              </w:rPr>
              <w:t xml:space="preserve">18.5 </w:t>
            </w:r>
          </w:p>
          <w:p w14:paraId="7FC50E99" w14:textId="52A3F6F0"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eastAsia="Times New Roman" w:hAnsi="Times New Roman" w:cs="Times New Roman"/>
              </w:rPr>
              <w:t>(15.9-21.3)</w:t>
            </w:r>
          </w:p>
        </w:tc>
        <w:tc>
          <w:tcPr>
            <w:tcW w:w="1725" w:type="dxa"/>
            <w:tcBorders>
              <w:top w:val="nil"/>
              <w:left w:val="nil"/>
              <w:bottom w:val="nil"/>
              <w:right w:val="nil"/>
            </w:tcBorders>
            <w:shd w:val="clear" w:color="auto" w:fill="auto"/>
            <w:vAlign w:val="center"/>
          </w:tcPr>
          <w:p w14:paraId="0517D70C" w14:textId="4CC871D1"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eastAsia="Times New Roman" w:hAnsi="Times New Roman" w:cs="Times New Roman"/>
              </w:rPr>
              <w:t xml:space="preserve">15.0 </w:t>
            </w:r>
          </w:p>
          <w:p w14:paraId="45CE122C" w14:textId="6AC70FCA"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eastAsia="Times New Roman" w:hAnsi="Times New Roman" w:cs="Times New Roman"/>
              </w:rPr>
              <w:t>(12.4-17.9)</w:t>
            </w:r>
          </w:p>
        </w:tc>
        <w:tc>
          <w:tcPr>
            <w:tcW w:w="1662" w:type="dxa"/>
            <w:tcBorders>
              <w:top w:val="nil"/>
              <w:left w:val="nil"/>
              <w:bottom w:val="nil"/>
              <w:right w:val="nil"/>
            </w:tcBorders>
            <w:shd w:val="clear" w:color="auto" w:fill="auto"/>
            <w:noWrap/>
            <w:vAlign w:val="center"/>
          </w:tcPr>
          <w:p w14:paraId="425B306A" w14:textId="503F05A0"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eastAsia="Times New Roman" w:hAnsi="Times New Roman" w:cs="Times New Roman"/>
              </w:rPr>
              <w:t>19.3</w:t>
            </w:r>
          </w:p>
          <w:p w14:paraId="0D9BEEF0" w14:textId="199D0A0F"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eastAsia="Times New Roman" w:hAnsi="Times New Roman" w:cs="Times New Roman"/>
              </w:rPr>
              <w:t>(16.2-22.7)</w:t>
            </w:r>
          </w:p>
        </w:tc>
        <w:tc>
          <w:tcPr>
            <w:tcW w:w="1662" w:type="dxa"/>
            <w:tcBorders>
              <w:top w:val="nil"/>
              <w:left w:val="nil"/>
              <w:bottom w:val="nil"/>
              <w:right w:val="nil"/>
            </w:tcBorders>
            <w:shd w:val="clear" w:color="auto" w:fill="auto"/>
            <w:noWrap/>
            <w:vAlign w:val="center"/>
          </w:tcPr>
          <w:p w14:paraId="4B71FC4D" w14:textId="37093E02"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eastAsia="Times New Roman" w:hAnsi="Times New Roman" w:cs="Times New Roman"/>
              </w:rPr>
              <w:t>17.6</w:t>
            </w:r>
          </w:p>
          <w:p w14:paraId="322A3592" w14:textId="7E3C686B"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eastAsia="Times New Roman" w:hAnsi="Times New Roman" w:cs="Times New Roman"/>
              </w:rPr>
              <w:t>(15.9-19.5)</w:t>
            </w:r>
          </w:p>
        </w:tc>
      </w:tr>
      <w:tr w:rsidR="002B5BF5" w:rsidRPr="002B5BF5" w14:paraId="3A74BB43" w14:textId="77777777" w:rsidTr="00874154">
        <w:trPr>
          <w:trHeight w:val="451"/>
        </w:trPr>
        <w:tc>
          <w:tcPr>
            <w:tcW w:w="3082" w:type="dxa"/>
            <w:tcBorders>
              <w:top w:val="nil"/>
              <w:left w:val="nil"/>
              <w:bottom w:val="nil"/>
              <w:right w:val="nil"/>
            </w:tcBorders>
            <w:shd w:val="clear" w:color="auto" w:fill="auto"/>
            <w:noWrap/>
            <w:vAlign w:val="center"/>
          </w:tcPr>
          <w:p w14:paraId="723D94AE" w14:textId="26F97A5B" w:rsidR="00005742" w:rsidRPr="002B5BF5" w:rsidRDefault="00005742" w:rsidP="00D37811">
            <w:pPr>
              <w:spacing w:after="120" w:line="240" w:lineRule="auto"/>
              <w:rPr>
                <w:rFonts w:ascii="Times New Roman" w:eastAsia="Times New Roman" w:hAnsi="Times New Roman" w:cs="Times New Roman"/>
              </w:rPr>
            </w:pPr>
            <w:r w:rsidRPr="002B5BF5">
              <w:rPr>
                <w:rFonts w:ascii="Times New Roman" w:eastAsia="Times New Roman" w:hAnsi="Times New Roman" w:cs="Times New Roman"/>
              </w:rPr>
              <w:t>Time since last HIV test in the surveillance (years), median (IQR)</w:t>
            </w:r>
            <w:r w:rsidR="0021476D" w:rsidRPr="002B5BF5">
              <w:rPr>
                <w:rFonts w:ascii="Times New Roman" w:eastAsia="Times New Roman" w:hAnsi="Times New Roman" w:cs="Times New Roman"/>
                <w:vertAlign w:val="superscript"/>
              </w:rPr>
              <w:t>**</w:t>
            </w:r>
          </w:p>
        </w:tc>
        <w:tc>
          <w:tcPr>
            <w:tcW w:w="1665" w:type="dxa"/>
            <w:tcBorders>
              <w:top w:val="nil"/>
              <w:left w:val="nil"/>
              <w:bottom w:val="nil"/>
              <w:right w:val="nil"/>
            </w:tcBorders>
            <w:shd w:val="clear" w:color="auto" w:fill="auto"/>
            <w:noWrap/>
            <w:vAlign w:val="center"/>
          </w:tcPr>
          <w:p w14:paraId="3F7DCBF3" w14:textId="02D72D9B" w:rsidR="00005742" w:rsidRPr="002B5BF5" w:rsidRDefault="00005742" w:rsidP="00BA1E6A">
            <w:pPr>
              <w:spacing w:after="120" w:line="240" w:lineRule="auto"/>
              <w:jc w:val="center"/>
              <w:rPr>
                <w:rFonts w:ascii="Times New Roman" w:eastAsia="Times New Roman" w:hAnsi="Times New Roman" w:cs="Times New Roman"/>
              </w:rPr>
            </w:pPr>
            <w:r w:rsidRPr="002B5BF5">
              <w:rPr>
                <w:rFonts w:ascii="Times New Roman" w:eastAsia="Times New Roman" w:hAnsi="Times New Roman" w:cs="Times New Roman"/>
              </w:rPr>
              <w:t>2.5 (0.6, 6.0)</w:t>
            </w:r>
          </w:p>
        </w:tc>
        <w:tc>
          <w:tcPr>
            <w:tcW w:w="1725" w:type="dxa"/>
            <w:tcBorders>
              <w:top w:val="nil"/>
              <w:left w:val="nil"/>
              <w:bottom w:val="nil"/>
              <w:right w:val="nil"/>
            </w:tcBorders>
            <w:shd w:val="clear" w:color="auto" w:fill="auto"/>
            <w:vAlign w:val="center"/>
          </w:tcPr>
          <w:p w14:paraId="5806031D" w14:textId="177AEED7" w:rsidR="00005742" w:rsidRPr="002B5BF5" w:rsidRDefault="00005742" w:rsidP="00BA1E6A">
            <w:pPr>
              <w:spacing w:after="120" w:line="240" w:lineRule="auto"/>
              <w:jc w:val="center"/>
              <w:rPr>
                <w:rFonts w:ascii="Times New Roman" w:eastAsia="Times New Roman" w:hAnsi="Times New Roman" w:cs="Times New Roman"/>
              </w:rPr>
            </w:pPr>
            <w:r w:rsidRPr="002B5BF5">
              <w:rPr>
                <w:rFonts w:ascii="Times New Roman" w:eastAsia="Times New Roman" w:hAnsi="Times New Roman" w:cs="Times New Roman"/>
              </w:rPr>
              <w:t>2.3 (1.0, 5.3)</w:t>
            </w:r>
          </w:p>
        </w:tc>
        <w:tc>
          <w:tcPr>
            <w:tcW w:w="1662" w:type="dxa"/>
            <w:tcBorders>
              <w:top w:val="nil"/>
              <w:left w:val="nil"/>
              <w:bottom w:val="nil"/>
              <w:right w:val="nil"/>
            </w:tcBorders>
            <w:shd w:val="clear" w:color="auto" w:fill="auto"/>
            <w:noWrap/>
            <w:vAlign w:val="center"/>
          </w:tcPr>
          <w:p w14:paraId="79B26791" w14:textId="0548D829" w:rsidR="00005742" w:rsidRPr="002B5BF5" w:rsidRDefault="00005742" w:rsidP="00BA1E6A">
            <w:pPr>
              <w:spacing w:after="120" w:line="240" w:lineRule="auto"/>
              <w:jc w:val="center"/>
              <w:rPr>
                <w:rFonts w:ascii="Times New Roman" w:eastAsia="Times New Roman" w:hAnsi="Times New Roman" w:cs="Times New Roman"/>
              </w:rPr>
            </w:pPr>
            <w:r w:rsidRPr="002B5BF5">
              <w:rPr>
                <w:rFonts w:ascii="Times New Roman" w:eastAsia="Times New Roman" w:hAnsi="Times New Roman" w:cs="Times New Roman"/>
              </w:rPr>
              <w:t>2.3 (1.0, 5.6)</w:t>
            </w:r>
          </w:p>
        </w:tc>
        <w:tc>
          <w:tcPr>
            <w:tcW w:w="1662" w:type="dxa"/>
            <w:tcBorders>
              <w:top w:val="nil"/>
              <w:left w:val="nil"/>
              <w:bottom w:val="nil"/>
              <w:right w:val="nil"/>
            </w:tcBorders>
            <w:shd w:val="clear" w:color="auto" w:fill="auto"/>
            <w:noWrap/>
            <w:vAlign w:val="center"/>
          </w:tcPr>
          <w:p w14:paraId="4C3C256E" w14:textId="60C72527" w:rsidR="00005742" w:rsidRPr="002B5BF5" w:rsidRDefault="00005742" w:rsidP="00BA1E6A">
            <w:pPr>
              <w:spacing w:after="120" w:line="240" w:lineRule="auto"/>
              <w:jc w:val="center"/>
              <w:rPr>
                <w:rFonts w:ascii="Times New Roman" w:eastAsia="Times New Roman" w:hAnsi="Times New Roman" w:cs="Times New Roman"/>
              </w:rPr>
            </w:pPr>
            <w:r w:rsidRPr="002B5BF5">
              <w:rPr>
                <w:rFonts w:ascii="Times New Roman" w:eastAsia="Times New Roman" w:hAnsi="Times New Roman" w:cs="Times New Roman"/>
              </w:rPr>
              <w:t>2.3 (1.0, 5.5)</w:t>
            </w:r>
          </w:p>
        </w:tc>
      </w:tr>
      <w:tr w:rsidR="002B5BF5" w:rsidRPr="002B5BF5" w14:paraId="548EC6E5" w14:textId="77777777" w:rsidTr="00874154">
        <w:trPr>
          <w:trHeight w:val="451"/>
        </w:trPr>
        <w:tc>
          <w:tcPr>
            <w:tcW w:w="3082" w:type="dxa"/>
            <w:tcBorders>
              <w:top w:val="nil"/>
              <w:left w:val="nil"/>
              <w:bottom w:val="nil"/>
              <w:right w:val="nil"/>
            </w:tcBorders>
            <w:shd w:val="clear" w:color="auto" w:fill="auto"/>
            <w:noWrap/>
            <w:vAlign w:val="center"/>
            <w:hideMark/>
          </w:tcPr>
          <w:p w14:paraId="32991BD9" w14:textId="6324AFC6" w:rsidR="00BC5FEA" w:rsidRPr="002B5BF5" w:rsidRDefault="00BC5FEA" w:rsidP="00BA1E6A">
            <w:pPr>
              <w:spacing w:after="120" w:line="240" w:lineRule="auto"/>
              <w:jc w:val="both"/>
              <w:rPr>
                <w:rFonts w:ascii="Times New Roman" w:eastAsia="Times New Roman" w:hAnsi="Times New Roman" w:cs="Times New Roman"/>
                <w:b/>
                <w:bCs/>
                <w:i/>
                <w:iCs/>
              </w:rPr>
            </w:pPr>
            <w:r w:rsidRPr="002B5BF5">
              <w:rPr>
                <w:rFonts w:ascii="Times New Roman" w:eastAsia="Times New Roman" w:hAnsi="Times New Roman" w:cs="Times New Roman"/>
                <w:b/>
                <w:bCs/>
                <w:i/>
                <w:iCs/>
              </w:rPr>
              <w:t>Individual-level factors</w:t>
            </w:r>
          </w:p>
        </w:tc>
        <w:tc>
          <w:tcPr>
            <w:tcW w:w="1665" w:type="dxa"/>
            <w:tcBorders>
              <w:top w:val="nil"/>
              <w:left w:val="nil"/>
              <w:bottom w:val="nil"/>
              <w:right w:val="nil"/>
            </w:tcBorders>
            <w:shd w:val="clear" w:color="auto" w:fill="auto"/>
            <w:noWrap/>
            <w:vAlign w:val="center"/>
            <w:hideMark/>
          </w:tcPr>
          <w:p w14:paraId="36CE177E" w14:textId="2AE1A105" w:rsidR="00BC5FEA" w:rsidRPr="002B5BF5" w:rsidRDefault="00BC5FEA" w:rsidP="00BA1E6A">
            <w:pPr>
              <w:spacing w:after="120" w:line="240" w:lineRule="auto"/>
              <w:jc w:val="center"/>
              <w:rPr>
                <w:rFonts w:ascii="Times New Roman" w:eastAsia="Times New Roman" w:hAnsi="Times New Roman" w:cs="Times New Roman"/>
                <w:b/>
                <w:bCs/>
              </w:rPr>
            </w:pPr>
            <w:r w:rsidRPr="002B5BF5">
              <w:rPr>
                <w:rFonts w:ascii="Times New Roman" w:eastAsia="Times New Roman" w:hAnsi="Times New Roman" w:cs="Times New Roman"/>
                <w:b/>
                <w:bCs/>
              </w:rPr>
              <w:t>n= 2481</w:t>
            </w:r>
          </w:p>
        </w:tc>
        <w:tc>
          <w:tcPr>
            <w:tcW w:w="1725" w:type="dxa"/>
            <w:tcBorders>
              <w:top w:val="nil"/>
              <w:left w:val="nil"/>
              <w:bottom w:val="nil"/>
              <w:right w:val="nil"/>
            </w:tcBorders>
            <w:shd w:val="clear" w:color="auto" w:fill="auto"/>
            <w:vAlign w:val="center"/>
            <w:hideMark/>
          </w:tcPr>
          <w:p w14:paraId="1B681770" w14:textId="2CEAFBD5" w:rsidR="00BC5FEA" w:rsidRPr="002B5BF5" w:rsidRDefault="00BC5FEA" w:rsidP="00BA1E6A">
            <w:pPr>
              <w:spacing w:after="120" w:line="240" w:lineRule="auto"/>
              <w:jc w:val="center"/>
              <w:rPr>
                <w:rFonts w:ascii="Times New Roman" w:eastAsia="Times New Roman" w:hAnsi="Times New Roman" w:cs="Times New Roman"/>
                <w:b/>
                <w:bCs/>
              </w:rPr>
            </w:pPr>
            <w:r w:rsidRPr="002B5BF5">
              <w:rPr>
                <w:rFonts w:ascii="Times New Roman" w:eastAsia="Times New Roman" w:hAnsi="Times New Roman" w:cs="Times New Roman"/>
                <w:b/>
                <w:bCs/>
              </w:rPr>
              <w:t>n=2120</w:t>
            </w:r>
          </w:p>
        </w:tc>
        <w:tc>
          <w:tcPr>
            <w:tcW w:w="1662" w:type="dxa"/>
            <w:tcBorders>
              <w:top w:val="nil"/>
              <w:left w:val="nil"/>
              <w:bottom w:val="nil"/>
              <w:right w:val="nil"/>
            </w:tcBorders>
            <w:shd w:val="clear" w:color="auto" w:fill="auto"/>
            <w:noWrap/>
            <w:vAlign w:val="center"/>
            <w:hideMark/>
          </w:tcPr>
          <w:p w14:paraId="0357F54A" w14:textId="329A6332" w:rsidR="00BC5FEA" w:rsidRPr="002B5BF5" w:rsidRDefault="00BC5FEA" w:rsidP="00BA1E6A">
            <w:pPr>
              <w:spacing w:after="120" w:line="240" w:lineRule="auto"/>
              <w:jc w:val="center"/>
              <w:rPr>
                <w:rFonts w:ascii="Times New Roman" w:eastAsia="Times New Roman" w:hAnsi="Times New Roman" w:cs="Times New Roman"/>
                <w:b/>
                <w:bCs/>
              </w:rPr>
            </w:pPr>
            <w:r w:rsidRPr="002B5BF5">
              <w:rPr>
                <w:rFonts w:ascii="Times New Roman" w:eastAsia="Times New Roman" w:hAnsi="Times New Roman" w:cs="Times New Roman"/>
                <w:b/>
                <w:bCs/>
              </w:rPr>
              <w:t>n=2534</w:t>
            </w:r>
          </w:p>
        </w:tc>
        <w:tc>
          <w:tcPr>
            <w:tcW w:w="1662" w:type="dxa"/>
            <w:tcBorders>
              <w:top w:val="nil"/>
              <w:left w:val="nil"/>
              <w:bottom w:val="nil"/>
              <w:right w:val="nil"/>
            </w:tcBorders>
            <w:shd w:val="clear" w:color="auto" w:fill="auto"/>
            <w:noWrap/>
            <w:vAlign w:val="center"/>
            <w:hideMark/>
          </w:tcPr>
          <w:p w14:paraId="6069C3F0" w14:textId="47BF8A8B" w:rsidR="00BC5FEA" w:rsidRPr="002B5BF5" w:rsidRDefault="00BC5FEA" w:rsidP="00BA1E6A">
            <w:pPr>
              <w:spacing w:after="120" w:line="240" w:lineRule="auto"/>
              <w:jc w:val="center"/>
              <w:rPr>
                <w:rFonts w:ascii="Times New Roman" w:eastAsia="Times New Roman" w:hAnsi="Times New Roman" w:cs="Times New Roman"/>
                <w:b/>
                <w:bCs/>
              </w:rPr>
            </w:pPr>
            <w:r w:rsidRPr="002B5BF5">
              <w:rPr>
                <w:rFonts w:ascii="Times New Roman" w:eastAsia="Times New Roman" w:hAnsi="Times New Roman" w:cs="Times New Roman"/>
                <w:b/>
                <w:bCs/>
              </w:rPr>
              <w:t>n=6703</w:t>
            </w:r>
          </w:p>
        </w:tc>
      </w:tr>
      <w:tr w:rsidR="002B5BF5" w:rsidRPr="002B5BF5" w14:paraId="4B4F6091" w14:textId="77777777" w:rsidTr="00874154">
        <w:trPr>
          <w:trHeight w:val="82"/>
        </w:trPr>
        <w:tc>
          <w:tcPr>
            <w:tcW w:w="3082" w:type="dxa"/>
            <w:tcBorders>
              <w:top w:val="nil"/>
              <w:left w:val="nil"/>
              <w:bottom w:val="nil"/>
              <w:right w:val="nil"/>
            </w:tcBorders>
            <w:shd w:val="clear" w:color="auto" w:fill="auto"/>
            <w:vAlign w:val="bottom"/>
            <w:hideMark/>
          </w:tcPr>
          <w:p w14:paraId="047130F0" w14:textId="230F5CEB" w:rsidR="00BC5FEA" w:rsidRPr="002B5BF5" w:rsidRDefault="00BC5FEA" w:rsidP="00BA1E6A">
            <w:pPr>
              <w:spacing w:after="120" w:line="240" w:lineRule="auto"/>
              <w:jc w:val="both"/>
              <w:rPr>
                <w:rFonts w:ascii="Times New Roman" w:eastAsia="Times New Roman" w:hAnsi="Times New Roman" w:cs="Times New Roman"/>
                <w:b/>
                <w:bCs/>
              </w:rPr>
            </w:pPr>
            <w:r w:rsidRPr="002B5BF5">
              <w:rPr>
                <w:rFonts w:ascii="Times New Roman" w:eastAsia="Times New Roman" w:hAnsi="Times New Roman" w:cs="Times New Roman"/>
                <w:b/>
                <w:bCs/>
              </w:rPr>
              <w:t>Age (years), % (n)</w:t>
            </w:r>
          </w:p>
        </w:tc>
        <w:tc>
          <w:tcPr>
            <w:tcW w:w="1665" w:type="dxa"/>
            <w:tcBorders>
              <w:top w:val="nil"/>
              <w:left w:val="nil"/>
              <w:bottom w:val="nil"/>
              <w:right w:val="nil"/>
            </w:tcBorders>
            <w:shd w:val="clear" w:color="auto" w:fill="auto"/>
            <w:noWrap/>
            <w:vAlign w:val="bottom"/>
            <w:hideMark/>
          </w:tcPr>
          <w:p w14:paraId="056F1054" w14:textId="77777777" w:rsidR="00BC5FEA" w:rsidRPr="002B5BF5" w:rsidRDefault="00BC5FEA" w:rsidP="00BA1E6A">
            <w:pPr>
              <w:spacing w:after="120" w:line="240" w:lineRule="auto"/>
              <w:jc w:val="center"/>
              <w:rPr>
                <w:rFonts w:ascii="Times New Roman" w:eastAsia="Times New Roman" w:hAnsi="Times New Roman" w:cs="Times New Roman"/>
                <w:b/>
                <w:bCs/>
              </w:rPr>
            </w:pPr>
          </w:p>
        </w:tc>
        <w:tc>
          <w:tcPr>
            <w:tcW w:w="1725" w:type="dxa"/>
            <w:tcBorders>
              <w:top w:val="nil"/>
              <w:left w:val="nil"/>
              <w:bottom w:val="nil"/>
              <w:right w:val="nil"/>
            </w:tcBorders>
            <w:shd w:val="clear" w:color="auto" w:fill="auto"/>
            <w:noWrap/>
            <w:vAlign w:val="bottom"/>
            <w:hideMark/>
          </w:tcPr>
          <w:p w14:paraId="10D20F48" w14:textId="77777777" w:rsidR="00BC5FEA" w:rsidRPr="002B5BF5" w:rsidRDefault="00BC5FEA" w:rsidP="00BA1E6A">
            <w:pPr>
              <w:spacing w:after="120" w:line="240" w:lineRule="auto"/>
              <w:jc w:val="center"/>
              <w:rPr>
                <w:rFonts w:ascii="Times New Roman" w:eastAsia="Times New Roman" w:hAnsi="Times New Roman" w:cs="Times New Roman"/>
              </w:rPr>
            </w:pPr>
          </w:p>
        </w:tc>
        <w:tc>
          <w:tcPr>
            <w:tcW w:w="1662" w:type="dxa"/>
            <w:tcBorders>
              <w:top w:val="nil"/>
              <w:left w:val="nil"/>
              <w:bottom w:val="nil"/>
              <w:right w:val="nil"/>
            </w:tcBorders>
            <w:shd w:val="clear" w:color="auto" w:fill="auto"/>
            <w:noWrap/>
            <w:vAlign w:val="bottom"/>
            <w:hideMark/>
          </w:tcPr>
          <w:p w14:paraId="65A0E970" w14:textId="6FAF1AB7" w:rsidR="00BC5FEA" w:rsidRPr="002B5BF5" w:rsidRDefault="00BC5FEA" w:rsidP="00BA1E6A">
            <w:pPr>
              <w:spacing w:after="120" w:line="240" w:lineRule="auto"/>
              <w:jc w:val="center"/>
              <w:rPr>
                <w:rFonts w:ascii="Times New Roman" w:eastAsia="Times New Roman" w:hAnsi="Times New Roman" w:cs="Times New Roman"/>
              </w:rPr>
            </w:pPr>
          </w:p>
        </w:tc>
        <w:tc>
          <w:tcPr>
            <w:tcW w:w="1662" w:type="dxa"/>
            <w:tcBorders>
              <w:top w:val="nil"/>
              <w:left w:val="nil"/>
              <w:bottom w:val="nil"/>
              <w:right w:val="nil"/>
            </w:tcBorders>
            <w:shd w:val="clear" w:color="auto" w:fill="auto"/>
            <w:noWrap/>
            <w:vAlign w:val="bottom"/>
            <w:hideMark/>
          </w:tcPr>
          <w:p w14:paraId="692854F0" w14:textId="77777777" w:rsidR="00BC5FEA" w:rsidRPr="002B5BF5" w:rsidRDefault="00BC5FEA" w:rsidP="00BA1E6A">
            <w:pPr>
              <w:spacing w:after="120" w:line="240" w:lineRule="auto"/>
              <w:jc w:val="center"/>
              <w:rPr>
                <w:rFonts w:ascii="Times New Roman" w:eastAsia="Times New Roman" w:hAnsi="Times New Roman" w:cs="Times New Roman"/>
              </w:rPr>
            </w:pPr>
          </w:p>
        </w:tc>
      </w:tr>
      <w:tr w:rsidR="002B5BF5" w:rsidRPr="002B5BF5" w14:paraId="23537180" w14:textId="77777777" w:rsidTr="00874154">
        <w:trPr>
          <w:trHeight w:val="248"/>
        </w:trPr>
        <w:tc>
          <w:tcPr>
            <w:tcW w:w="3082" w:type="dxa"/>
            <w:tcBorders>
              <w:top w:val="nil"/>
              <w:left w:val="nil"/>
              <w:bottom w:val="nil"/>
              <w:right w:val="nil"/>
            </w:tcBorders>
            <w:shd w:val="clear" w:color="auto" w:fill="auto"/>
            <w:vAlign w:val="bottom"/>
            <w:hideMark/>
          </w:tcPr>
          <w:p w14:paraId="3F386B4D" w14:textId="77777777" w:rsidR="00BC5FEA" w:rsidRPr="002B5BF5" w:rsidRDefault="00BC5FEA"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15-25 </w:t>
            </w:r>
          </w:p>
        </w:tc>
        <w:tc>
          <w:tcPr>
            <w:tcW w:w="1665" w:type="dxa"/>
            <w:tcBorders>
              <w:top w:val="nil"/>
              <w:left w:val="nil"/>
              <w:bottom w:val="nil"/>
              <w:right w:val="nil"/>
            </w:tcBorders>
            <w:shd w:val="clear" w:color="auto" w:fill="auto"/>
            <w:noWrap/>
            <w:hideMark/>
          </w:tcPr>
          <w:p w14:paraId="72792D87" w14:textId="5A97B75C"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36.5 (906)</w:t>
            </w:r>
          </w:p>
        </w:tc>
        <w:tc>
          <w:tcPr>
            <w:tcW w:w="1725" w:type="dxa"/>
            <w:tcBorders>
              <w:top w:val="nil"/>
              <w:left w:val="nil"/>
              <w:bottom w:val="nil"/>
              <w:right w:val="nil"/>
            </w:tcBorders>
            <w:shd w:val="clear" w:color="auto" w:fill="auto"/>
            <w:noWrap/>
            <w:hideMark/>
          </w:tcPr>
          <w:p w14:paraId="2DD49BF7" w14:textId="1857522A"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37.6 (796)</w:t>
            </w:r>
          </w:p>
        </w:tc>
        <w:tc>
          <w:tcPr>
            <w:tcW w:w="1662" w:type="dxa"/>
            <w:tcBorders>
              <w:top w:val="nil"/>
              <w:left w:val="nil"/>
              <w:bottom w:val="nil"/>
              <w:right w:val="nil"/>
            </w:tcBorders>
            <w:shd w:val="clear" w:color="auto" w:fill="auto"/>
            <w:noWrap/>
            <w:hideMark/>
          </w:tcPr>
          <w:p w14:paraId="50701963" w14:textId="54388095"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35.6 (902)</w:t>
            </w:r>
          </w:p>
        </w:tc>
        <w:tc>
          <w:tcPr>
            <w:tcW w:w="1662" w:type="dxa"/>
            <w:tcBorders>
              <w:top w:val="nil"/>
              <w:left w:val="nil"/>
              <w:bottom w:val="nil"/>
              <w:right w:val="nil"/>
            </w:tcBorders>
            <w:shd w:val="clear" w:color="auto" w:fill="auto"/>
            <w:noWrap/>
            <w:hideMark/>
          </w:tcPr>
          <w:p w14:paraId="778ACFD1" w14:textId="63563C46"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37.2 (2492)</w:t>
            </w:r>
          </w:p>
        </w:tc>
      </w:tr>
      <w:tr w:rsidR="002B5BF5" w:rsidRPr="002B5BF5" w14:paraId="427472E8" w14:textId="77777777" w:rsidTr="00874154">
        <w:trPr>
          <w:trHeight w:val="248"/>
        </w:trPr>
        <w:tc>
          <w:tcPr>
            <w:tcW w:w="3082" w:type="dxa"/>
            <w:tcBorders>
              <w:top w:val="nil"/>
              <w:left w:val="nil"/>
              <w:bottom w:val="nil"/>
              <w:right w:val="nil"/>
            </w:tcBorders>
            <w:shd w:val="clear" w:color="auto" w:fill="auto"/>
            <w:vAlign w:val="bottom"/>
            <w:hideMark/>
          </w:tcPr>
          <w:p w14:paraId="5335F69E" w14:textId="77777777" w:rsidR="00BC5FEA" w:rsidRPr="002B5BF5" w:rsidRDefault="00BC5FEA"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25-35 </w:t>
            </w:r>
          </w:p>
        </w:tc>
        <w:tc>
          <w:tcPr>
            <w:tcW w:w="1665" w:type="dxa"/>
            <w:tcBorders>
              <w:top w:val="nil"/>
              <w:left w:val="nil"/>
              <w:bottom w:val="nil"/>
              <w:right w:val="nil"/>
            </w:tcBorders>
            <w:shd w:val="clear" w:color="auto" w:fill="auto"/>
            <w:noWrap/>
            <w:hideMark/>
          </w:tcPr>
          <w:p w14:paraId="5842F14D" w14:textId="53C1E06A"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22.5 (558)</w:t>
            </w:r>
          </w:p>
        </w:tc>
        <w:tc>
          <w:tcPr>
            <w:tcW w:w="1725" w:type="dxa"/>
            <w:tcBorders>
              <w:top w:val="nil"/>
              <w:left w:val="nil"/>
              <w:bottom w:val="nil"/>
              <w:right w:val="nil"/>
            </w:tcBorders>
            <w:shd w:val="clear" w:color="auto" w:fill="auto"/>
            <w:noWrap/>
            <w:hideMark/>
          </w:tcPr>
          <w:p w14:paraId="1B2FF203" w14:textId="3F7B4373"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23.4 (495)</w:t>
            </w:r>
          </w:p>
        </w:tc>
        <w:tc>
          <w:tcPr>
            <w:tcW w:w="1662" w:type="dxa"/>
            <w:tcBorders>
              <w:top w:val="nil"/>
              <w:left w:val="nil"/>
              <w:bottom w:val="nil"/>
              <w:right w:val="nil"/>
            </w:tcBorders>
            <w:shd w:val="clear" w:color="auto" w:fill="auto"/>
            <w:noWrap/>
            <w:hideMark/>
          </w:tcPr>
          <w:p w14:paraId="19642B2B" w14:textId="05A0BEFC"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22.3 (566)</w:t>
            </w:r>
          </w:p>
        </w:tc>
        <w:tc>
          <w:tcPr>
            <w:tcW w:w="1662" w:type="dxa"/>
            <w:tcBorders>
              <w:top w:val="nil"/>
              <w:left w:val="nil"/>
              <w:bottom w:val="nil"/>
              <w:right w:val="nil"/>
            </w:tcBorders>
            <w:shd w:val="clear" w:color="auto" w:fill="auto"/>
            <w:noWrap/>
            <w:hideMark/>
          </w:tcPr>
          <w:p w14:paraId="32D8CE70" w14:textId="3BC71962"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23.4 (1566)</w:t>
            </w:r>
          </w:p>
        </w:tc>
      </w:tr>
      <w:tr w:rsidR="002B5BF5" w:rsidRPr="002B5BF5" w14:paraId="6E2F31D8" w14:textId="77777777" w:rsidTr="00874154">
        <w:trPr>
          <w:trHeight w:val="248"/>
        </w:trPr>
        <w:tc>
          <w:tcPr>
            <w:tcW w:w="3082" w:type="dxa"/>
            <w:tcBorders>
              <w:top w:val="nil"/>
              <w:left w:val="nil"/>
              <w:bottom w:val="nil"/>
              <w:right w:val="nil"/>
            </w:tcBorders>
            <w:shd w:val="clear" w:color="auto" w:fill="auto"/>
            <w:vAlign w:val="bottom"/>
            <w:hideMark/>
          </w:tcPr>
          <w:p w14:paraId="08690E6B" w14:textId="77777777" w:rsidR="00BC5FEA" w:rsidRPr="002B5BF5" w:rsidRDefault="00BC5FEA"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35-45</w:t>
            </w:r>
          </w:p>
        </w:tc>
        <w:tc>
          <w:tcPr>
            <w:tcW w:w="1665" w:type="dxa"/>
            <w:tcBorders>
              <w:top w:val="nil"/>
              <w:left w:val="nil"/>
              <w:bottom w:val="nil"/>
              <w:right w:val="nil"/>
            </w:tcBorders>
            <w:shd w:val="clear" w:color="auto" w:fill="auto"/>
            <w:noWrap/>
            <w:hideMark/>
          </w:tcPr>
          <w:p w14:paraId="415AD412" w14:textId="75D6036C"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16.5 (410)</w:t>
            </w:r>
          </w:p>
        </w:tc>
        <w:tc>
          <w:tcPr>
            <w:tcW w:w="1725" w:type="dxa"/>
            <w:tcBorders>
              <w:top w:val="nil"/>
              <w:left w:val="nil"/>
              <w:bottom w:val="nil"/>
              <w:right w:val="nil"/>
            </w:tcBorders>
            <w:shd w:val="clear" w:color="auto" w:fill="auto"/>
            <w:noWrap/>
            <w:hideMark/>
          </w:tcPr>
          <w:p w14:paraId="54868F07" w14:textId="08AF6DF1"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13.9 (295)</w:t>
            </w:r>
          </w:p>
        </w:tc>
        <w:tc>
          <w:tcPr>
            <w:tcW w:w="1662" w:type="dxa"/>
            <w:tcBorders>
              <w:top w:val="nil"/>
              <w:left w:val="nil"/>
              <w:bottom w:val="nil"/>
              <w:right w:val="nil"/>
            </w:tcBorders>
            <w:shd w:val="clear" w:color="auto" w:fill="auto"/>
            <w:noWrap/>
            <w:hideMark/>
          </w:tcPr>
          <w:p w14:paraId="4929ED3D" w14:textId="5642A16D"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15.8 (400)</w:t>
            </w:r>
          </w:p>
        </w:tc>
        <w:tc>
          <w:tcPr>
            <w:tcW w:w="1662" w:type="dxa"/>
            <w:tcBorders>
              <w:top w:val="nil"/>
              <w:left w:val="nil"/>
              <w:bottom w:val="nil"/>
              <w:right w:val="nil"/>
            </w:tcBorders>
            <w:shd w:val="clear" w:color="auto" w:fill="auto"/>
            <w:noWrap/>
            <w:hideMark/>
          </w:tcPr>
          <w:p w14:paraId="687F1400" w14:textId="36FDAB5F"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15.7 (1051)</w:t>
            </w:r>
          </w:p>
        </w:tc>
      </w:tr>
      <w:tr w:rsidR="002B5BF5" w:rsidRPr="002B5BF5" w14:paraId="70A3E2D9" w14:textId="77777777" w:rsidTr="00874154">
        <w:trPr>
          <w:trHeight w:val="248"/>
        </w:trPr>
        <w:tc>
          <w:tcPr>
            <w:tcW w:w="3082" w:type="dxa"/>
            <w:tcBorders>
              <w:top w:val="nil"/>
              <w:left w:val="nil"/>
              <w:bottom w:val="nil"/>
              <w:right w:val="nil"/>
            </w:tcBorders>
            <w:shd w:val="clear" w:color="auto" w:fill="auto"/>
            <w:vAlign w:val="bottom"/>
            <w:hideMark/>
          </w:tcPr>
          <w:p w14:paraId="23981040" w14:textId="77777777" w:rsidR="00BC5FEA" w:rsidRPr="002B5BF5" w:rsidRDefault="00BC5FEA"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45-55</w:t>
            </w:r>
          </w:p>
        </w:tc>
        <w:tc>
          <w:tcPr>
            <w:tcW w:w="1665" w:type="dxa"/>
            <w:tcBorders>
              <w:top w:val="nil"/>
              <w:left w:val="nil"/>
              <w:bottom w:val="nil"/>
              <w:right w:val="nil"/>
            </w:tcBorders>
            <w:shd w:val="clear" w:color="auto" w:fill="auto"/>
            <w:noWrap/>
            <w:hideMark/>
          </w:tcPr>
          <w:p w14:paraId="1BB42691" w14:textId="0A767732"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10.4 (258)</w:t>
            </w:r>
          </w:p>
        </w:tc>
        <w:tc>
          <w:tcPr>
            <w:tcW w:w="1725" w:type="dxa"/>
            <w:tcBorders>
              <w:top w:val="nil"/>
              <w:left w:val="nil"/>
              <w:bottom w:val="nil"/>
              <w:right w:val="nil"/>
            </w:tcBorders>
            <w:shd w:val="clear" w:color="auto" w:fill="auto"/>
            <w:noWrap/>
            <w:hideMark/>
          </w:tcPr>
          <w:p w14:paraId="69384ECE" w14:textId="696E40EB"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10.2 (217)</w:t>
            </w:r>
          </w:p>
        </w:tc>
        <w:tc>
          <w:tcPr>
            <w:tcW w:w="1662" w:type="dxa"/>
            <w:tcBorders>
              <w:top w:val="nil"/>
              <w:left w:val="nil"/>
              <w:bottom w:val="nil"/>
              <w:right w:val="nil"/>
            </w:tcBorders>
            <w:shd w:val="clear" w:color="auto" w:fill="auto"/>
            <w:noWrap/>
            <w:hideMark/>
          </w:tcPr>
          <w:p w14:paraId="303435A4" w14:textId="533594FE"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10.1 (257)</w:t>
            </w:r>
          </w:p>
        </w:tc>
        <w:tc>
          <w:tcPr>
            <w:tcW w:w="1662" w:type="dxa"/>
            <w:tcBorders>
              <w:top w:val="nil"/>
              <w:left w:val="nil"/>
              <w:bottom w:val="nil"/>
              <w:right w:val="nil"/>
            </w:tcBorders>
            <w:shd w:val="clear" w:color="auto" w:fill="auto"/>
            <w:noWrap/>
            <w:hideMark/>
          </w:tcPr>
          <w:p w14:paraId="5DFA9145" w14:textId="72194F71"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 xml:space="preserve"> 9.7 (647)</w:t>
            </w:r>
          </w:p>
        </w:tc>
      </w:tr>
      <w:tr w:rsidR="002B5BF5" w:rsidRPr="002B5BF5" w14:paraId="3501BE19" w14:textId="77777777" w:rsidTr="00874154">
        <w:trPr>
          <w:trHeight w:val="248"/>
        </w:trPr>
        <w:tc>
          <w:tcPr>
            <w:tcW w:w="3082" w:type="dxa"/>
            <w:tcBorders>
              <w:top w:val="nil"/>
              <w:left w:val="nil"/>
              <w:bottom w:val="nil"/>
              <w:right w:val="nil"/>
            </w:tcBorders>
            <w:shd w:val="clear" w:color="auto" w:fill="auto"/>
            <w:vAlign w:val="bottom"/>
            <w:hideMark/>
          </w:tcPr>
          <w:p w14:paraId="5A42966B" w14:textId="77777777" w:rsidR="00BC5FEA" w:rsidRPr="002B5BF5" w:rsidRDefault="00BC5FEA"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≥55</w:t>
            </w:r>
          </w:p>
        </w:tc>
        <w:tc>
          <w:tcPr>
            <w:tcW w:w="1665" w:type="dxa"/>
            <w:tcBorders>
              <w:top w:val="nil"/>
              <w:left w:val="nil"/>
              <w:bottom w:val="nil"/>
              <w:right w:val="nil"/>
            </w:tcBorders>
            <w:shd w:val="clear" w:color="auto" w:fill="auto"/>
            <w:noWrap/>
            <w:hideMark/>
          </w:tcPr>
          <w:p w14:paraId="47915CD0" w14:textId="192191B6"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14.1 (349)</w:t>
            </w:r>
          </w:p>
        </w:tc>
        <w:tc>
          <w:tcPr>
            <w:tcW w:w="1725" w:type="dxa"/>
            <w:tcBorders>
              <w:top w:val="nil"/>
              <w:left w:val="nil"/>
              <w:bottom w:val="nil"/>
              <w:right w:val="nil"/>
            </w:tcBorders>
            <w:shd w:val="clear" w:color="auto" w:fill="auto"/>
            <w:noWrap/>
            <w:hideMark/>
          </w:tcPr>
          <w:p w14:paraId="2EA27E84" w14:textId="1DF7D980"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14.9 (315)</w:t>
            </w:r>
          </w:p>
        </w:tc>
        <w:tc>
          <w:tcPr>
            <w:tcW w:w="1662" w:type="dxa"/>
            <w:tcBorders>
              <w:top w:val="nil"/>
              <w:left w:val="nil"/>
              <w:bottom w:val="nil"/>
              <w:right w:val="nil"/>
            </w:tcBorders>
            <w:shd w:val="clear" w:color="auto" w:fill="auto"/>
            <w:noWrap/>
            <w:hideMark/>
          </w:tcPr>
          <w:p w14:paraId="2ADC5776" w14:textId="5B259A42"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16.1 (409)</w:t>
            </w:r>
          </w:p>
        </w:tc>
        <w:tc>
          <w:tcPr>
            <w:tcW w:w="1662" w:type="dxa"/>
            <w:tcBorders>
              <w:top w:val="nil"/>
              <w:left w:val="nil"/>
              <w:bottom w:val="nil"/>
              <w:right w:val="nil"/>
            </w:tcBorders>
            <w:shd w:val="clear" w:color="auto" w:fill="auto"/>
            <w:noWrap/>
            <w:hideMark/>
          </w:tcPr>
          <w:p w14:paraId="6214049C" w14:textId="6D468BE2"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14.1 (946)</w:t>
            </w:r>
          </w:p>
        </w:tc>
      </w:tr>
      <w:tr w:rsidR="002B5BF5" w:rsidRPr="002B5BF5" w14:paraId="45B2A32A" w14:textId="77777777" w:rsidTr="00874154">
        <w:trPr>
          <w:trHeight w:val="248"/>
        </w:trPr>
        <w:tc>
          <w:tcPr>
            <w:tcW w:w="3082" w:type="dxa"/>
            <w:tcBorders>
              <w:top w:val="nil"/>
              <w:left w:val="nil"/>
              <w:bottom w:val="nil"/>
              <w:right w:val="nil"/>
            </w:tcBorders>
            <w:shd w:val="clear" w:color="auto" w:fill="auto"/>
            <w:vAlign w:val="bottom"/>
            <w:hideMark/>
          </w:tcPr>
          <w:p w14:paraId="1EE68E5D" w14:textId="05347D01" w:rsidR="00BC5FEA" w:rsidRPr="002B5BF5" w:rsidRDefault="00BC5FEA" w:rsidP="00BA1E6A">
            <w:pPr>
              <w:spacing w:after="120" w:line="240" w:lineRule="auto"/>
              <w:jc w:val="both"/>
              <w:rPr>
                <w:rFonts w:ascii="Times New Roman" w:eastAsia="Times New Roman" w:hAnsi="Times New Roman" w:cs="Times New Roman"/>
                <w:b/>
                <w:bCs/>
              </w:rPr>
            </w:pPr>
            <w:r w:rsidRPr="002B5BF5">
              <w:rPr>
                <w:rFonts w:ascii="Times New Roman" w:eastAsia="Times New Roman" w:hAnsi="Times New Roman" w:cs="Times New Roman"/>
                <w:b/>
                <w:bCs/>
              </w:rPr>
              <w:t>Marital Status, % (n)</w:t>
            </w:r>
          </w:p>
        </w:tc>
        <w:tc>
          <w:tcPr>
            <w:tcW w:w="1665" w:type="dxa"/>
            <w:tcBorders>
              <w:top w:val="nil"/>
              <w:left w:val="nil"/>
              <w:bottom w:val="nil"/>
              <w:right w:val="nil"/>
            </w:tcBorders>
            <w:shd w:val="clear" w:color="auto" w:fill="auto"/>
            <w:noWrap/>
            <w:vAlign w:val="bottom"/>
            <w:hideMark/>
          </w:tcPr>
          <w:p w14:paraId="0DF051FE" w14:textId="77777777" w:rsidR="00BC5FEA" w:rsidRPr="002B5BF5" w:rsidRDefault="00BC5FEA" w:rsidP="00BA1E6A">
            <w:pPr>
              <w:spacing w:after="120" w:line="240" w:lineRule="auto"/>
              <w:jc w:val="center"/>
              <w:rPr>
                <w:rFonts w:ascii="Times New Roman" w:eastAsia="Times New Roman" w:hAnsi="Times New Roman" w:cs="Times New Roman"/>
                <w:b/>
                <w:bCs/>
              </w:rPr>
            </w:pPr>
          </w:p>
        </w:tc>
        <w:tc>
          <w:tcPr>
            <w:tcW w:w="1725" w:type="dxa"/>
            <w:tcBorders>
              <w:top w:val="nil"/>
              <w:left w:val="nil"/>
              <w:bottom w:val="nil"/>
              <w:right w:val="nil"/>
            </w:tcBorders>
            <w:shd w:val="clear" w:color="auto" w:fill="auto"/>
            <w:noWrap/>
            <w:vAlign w:val="bottom"/>
            <w:hideMark/>
          </w:tcPr>
          <w:p w14:paraId="57862655" w14:textId="77777777" w:rsidR="00BC5FEA" w:rsidRPr="002B5BF5" w:rsidRDefault="00BC5FEA" w:rsidP="00BA1E6A">
            <w:pPr>
              <w:spacing w:after="120" w:line="240" w:lineRule="auto"/>
              <w:jc w:val="center"/>
              <w:rPr>
                <w:rFonts w:ascii="Times New Roman" w:eastAsia="Times New Roman" w:hAnsi="Times New Roman" w:cs="Times New Roman"/>
              </w:rPr>
            </w:pPr>
          </w:p>
        </w:tc>
        <w:tc>
          <w:tcPr>
            <w:tcW w:w="1662" w:type="dxa"/>
            <w:tcBorders>
              <w:top w:val="nil"/>
              <w:left w:val="nil"/>
              <w:bottom w:val="nil"/>
              <w:right w:val="nil"/>
            </w:tcBorders>
            <w:shd w:val="clear" w:color="auto" w:fill="auto"/>
            <w:noWrap/>
            <w:vAlign w:val="bottom"/>
            <w:hideMark/>
          </w:tcPr>
          <w:p w14:paraId="50797966" w14:textId="0BF9B37F" w:rsidR="00BC5FEA" w:rsidRPr="002B5BF5" w:rsidRDefault="00BC5FEA" w:rsidP="00BA1E6A">
            <w:pPr>
              <w:spacing w:after="120" w:line="240" w:lineRule="auto"/>
              <w:jc w:val="center"/>
              <w:rPr>
                <w:rFonts w:ascii="Times New Roman" w:eastAsia="Times New Roman" w:hAnsi="Times New Roman" w:cs="Times New Roman"/>
              </w:rPr>
            </w:pPr>
          </w:p>
        </w:tc>
        <w:tc>
          <w:tcPr>
            <w:tcW w:w="1662" w:type="dxa"/>
            <w:tcBorders>
              <w:top w:val="nil"/>
              <w:left w:val="nil"/>
              <w:bottom w:val="nil"/>
              <w:right w:val="nil"/>
            </w:tcBorders>
            <w:shd w:val="clear" w:color="auto" w:fill="auto"/>
            <w:noWrap/>
            <w:vAlign w:val="bottom"/>
            <w:hideMark/>
          </w:tcPr>
          <w:p w14:paraId="5F3314D2" w14:textId="77777777" w:rsidR="00BC5FEA" w:rsidRPr="002B5BF5" w:rsidRDefault="00BC5FEA" w:rsidP="00BA1E6A">
            <w:pPr>
              <w:spacing w:after="120" w:line="240" w:lineRule="auto"/>
              <w:jc w:val="center"/>
              <w:rPr>
                <w:rFonts w:ascii="Times New Roman" w:eastAsia="Times New Roman" w:hAnsi="Times New Roman" w:cs="Times New Roman"/>
              </w:rPr>
            </w:pPr>
          </w:p>
        </w:tc>
      </w:tr>
      <w:tr w:rsidR="002B5BF5" w:rsidRPr="002B5BF5" w14:paraId="0ACA6C8D" w14:textId="77777777" w:rsidTr="00874154">
        <w:trPr>
          <w:trHeight w:val="248"/>
        </w:trPr>
        <w:tc>
          <w:tcPr>
            <w:tcW w:w="3082" w:type="dxa"/>
            <w:tcBorders>
              <w:top w:val="nil"/>
              <w:left w:val="nil"/>
              <w:bottom w:val="nil"/>
              <w:right w:val="nil"/>
            </w:tcBorders>
            <w:shd w:val="clear" w:color="auto" w:fill="auto"/>
            <w:vAlign w:val="bottom"/>
            <w:hideMark/>
          </w:tcPr>
          <w:p w14:paraId="712A6B28" w14:textId="77777777" w:rsidR="00BC5FEA" w:rsidRPr="002B5BF5" w:rsidRDefault="00BC5FEA"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Never married </w:t>
            </w:r>
          </w:p>
        </w:tc>
        <w:tc>
          <w:tcPr>
            <w:tcW w:w="1665" w:type="dxa"/>
            <w:tcBorders>
              <w:top w:val="nil"/>
              <w:left w:val="nil"/>
              <w:bottom w:val="nil"/>
              <w:right w:val="nil"/>
            </w:tcBorders>
            <w:shd w:val="clear" w:color="auto" w:fill="auto"/>
            <w:noWrap/>
            <w:vAlign w:val="bottom"/>
            <w:hideMark/>
          </w:tcPr>
          <w:p w14:paraId="035DC2C3" w14:textId="794D4125"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26.9 (668)</w:t>
            </w:r>
          </w:p>
        </w:tc>
        <w:tc>
          <w:tcPr>
            <w:tcW w:w="1725" w:type="dxa"/>
            <w:tcBorders>
              <w:top w:val="nil"/>
              <w:left w:val="nil"/>
              <w:bottom w:val="nil"/>
              <w:right w:val="nil"/>
            </w:tcBorders>
            <w:shd w:val="clear" w:color="auto" w:fill="auto"/>
            <w:noWrap/>
            <w:vAlign w:val="bottom"/>
            <w:hideMark/>
          </w:tcPr>
          <w:p w14:paraId="3F05759A" w14:textId="77EF6AB0"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25.9 (550)</w:t>
            </w:r>
          </w:p>
        </w:tc>
        <w:tc>
          <w:tcPr>
            <w:tcW w:w="1662" w:type="dxa"/>
            <w:tcBorders>
              <w:top w:val="nil"/>
              <w:left w:val="nil"/>
              <w:bottom w:val="nil"/>
              <w:right w:val="nil"/>
            </w:tcBorders>
            <w:shd w:val="clear" w:color="auto" w:fill="auto"/>
            <w:noWrap/>
            <w:vAlign w:val="bottom"/>
            <w:hideMark/>
          </w:tcPr>
          <w:p w14:paraId="4F7D68B7" w14:textId="7AFD778C"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26.2 (664)</w:t>
            </w:r>
          </w:p>
        </w:tc>
        <w:tc>
          <w:tcPr>
            <w:tcW w:w="1662" w:type="dxa"/>
            <w:tcBorders>
              <w:top w:val="nil"/>
              <w:left w:val="nil"/>
              <w:bottom w:val="nil"/>
              <w:right w:val="nil"/>
            </w:tcBorders>
            <w:shd w:val="clear" w:color="auto" w:fill="auto"/>
            <w:noWrap/>
            <w:vAlign w:val="bottom"/>
            <w:hideMark/>
          </w:tcPr>
          <w:p w14:paraId="1927112B" w14:textId="0E748EEA"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26.8 (1798)</w:t>
            </w:r>
          </w:p>
        </w:tc>
      </w:tr>
      <w:tr w:rsidR="002B5BF5" w:rsidRPr="002B5BF5" w14:paraId="552C9CF8" w14:textId="77777777" w:rsidTr="00874154">
        <w:trPr>
          <w:trHeight w:val="199"/>
        </w:trPr>
        <w:tc>
          <w:tcPr>
            <w:tcW w:w="3082" w:type="dxa"/>
            <w:tcBorders>
              <w:top w:val="nil"/>
              <w:left w:val="nil"/>
              <w:bottom w:val="nil"/>
              <w:right w:val="nil"/>
            </w:tcBorders>
            <w:shd w:val="clear" w:color="auto" w:fill="auto"/>
            <w:vAlign w:val="bottom"/>
            <w:hideMark/>
          </w:tcPr>
          <w:p w14:paraId="12B30D1B" w14:textId="77777777" w:rsidR="00BC5FEA" w:rsidRPr="002B5BF5" w:rsidRDefault="00BC5FEA"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Married </w:t>
            </w:r>
          </w:p>
        </w:tc>
        <w:tc>
          <w:tcPr>
            <w:tcW w:w="1665" w:type="dxa"/>
            <w:tcBorders>
              <w:top w:val="nil"/>
              <w:left w:val="nil"/>
              <w:bottom w:val="nil"/>
              <w:right w:val="nil"/>
            </w:tcBorders>
            <w:shd w:val="clear" w:color="auto" w:fill="auto"/>
            <w:noWrap/>
            <w:vAlign w:val="bottom"/>
            <w:hideMark/>
          </w:tcPr>
          <w:p w14:paraId="7A0A7AE7" w14:textId="1DB29E16"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14.2 (352)</w:t>
            </w:r>
          </w:p>
        </w:tc>
        <w:tc>
          <w:tcPr>
            <w:tcW w:w="1725" w:type="dxa"/>
            <w:tcBorders>
              <w:top w:val="nil"/>
              <w:left w:val="nil"/>
              <w:bottom w:val="nil"/>
              <w:right w:val="nil"/>
            </w:tcBorders>
            <w:shd w:val="clear" w:color="auto" w:fill="auto"/>
            <w:noWrap/>
            <w:vAlign w:val="bottom"/>
            <w:hideMark/>
          </w:tcPr>
          <w:p w14:paraId="7F19F5A9" w14:textId="64F9983E"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14.6 (309)</w:t>
            </w:r>
          </w:p>
        </w:tc>
        <w:tc>
          <w:tcPr>
            <w:tcW w:w="1662" w:type="dxa"/>
            <w:tcBorders>
              <w:top w:val="nil"/>
              <w:left w:val="nil"/>
              <w:bottom w:val="nil"/>
              <w:right w:val="nil"/>
            </w:tcBorders>
            <w:shd w:val="clear" w:color="auto" w:fill="auto"/>
            <w:noWrap/>
            <w:vAlign w:val="bottom"/>
            <w:hideMark/>
          </w:tcPr>
          <w:p w14:paraId="21F25D71" w14:textId="793F7B52"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15.6 (396)</w:t>
            </w:r>
          </w:p>
        </w:tc>
        <w:tc>
          <w:tcPr>
            <w:tcW w:w="1662" w:type="dxa"/>
            <w:tcBorders>
              <w:top w:val="nil"/>
              <w:left w:val="nil"/>
              <w:bottom w:val="nil"/>
              <w:right w:val="nil"/>
            </w:tcBorders>
            <w:shd w:val="clear" w:color="auto" w:fill="auto"/>
            <w:noWrap/>
            <w:vAlign w:val="bottom"/>
            <w:hideMark/>
          </w:tcPr>
          <w:p w14:paraId="69F77411" w14:textId="0899DB98"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14.2 (951)</w:t>
            </w:r>
          </w:p>
        </w:tc>
      </w:tr>
      <w:tr w:rsidR="002B5BF5" w:rsidRPr="002B5BF5" w14:paraId="5E418232" w14:textId="77777777" w:rsidTr="00874154">
        <w:trPr>
          <w:trHeight w:val="184"/>
        </w:trPr>
        <w:tc>
          <w:tcPr>
            <w:tcW w:w="3082" w:type="dxa"/>
            <w:tcBorders>
              <w:top w:val="nil"/>
              <w:left w:val="nil"/>
              <w:bottom w:val="nil"/>
              <w:right w:val="nil"/>
            </w:tcBorders>
            <w:shd w:val="clear" w:color="auto" w:fill="auto"/>
            <w:vAlign w:val="bottom"/>
            <w:hideMark/>
          </w:tcPr>
          <w:p w14:paraId="69ACA147" w14:textId="04729A72" w:rsidR="00BC5FEA" w:rsidRPr="002B5BF5" w:rsidRDefault="00BC5FEA"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Informal Union</w:t>
            </w:r>
          </w:p>
        </w:tc>
        <w:tc>
          <w:tcPr>
            <w:tcW w:w="1665" w:type="dxa"/>
            <w:tcBorders>
              <w:top w:val="nil"/>
              <w:left w:val="nil"/>
              <w:bottom w:val="nil"/>
              <w:right w:val="nil"/>
            </w:tcBorders>
            <w:shd w:val="clear" w:color="auto" w:fill="auto"/>
            <w:noWrap/>
            <w:vAlign w:val="bottom"/>
            <w:hideMark/>
          </w:tcPr>
          <w:p w14:paraId="1EB40BCB" w14:textId="771EA118"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40.1 (995)</w:t>
            </w:r>
          </w:p>
        </w:tc>
        <w:tc>
          <w:tcPr>
            <w:tcW w:w="1725" w:type="dxa"/>
            <w:tcBorders>
              <w:top w:val="nil"/>
              <w:left w:val="nil"/>
              <w:bottom w:val="nil"/>
              <w:right w:val="nil"/>
            </w:tcBorders>
            <w:shd w:val="clear" w:color="auto" w:fill="auto"/>
            <w:noWrap/>
            <w:vAlign w:val="bottom"/>
            <w:hideMark/>
          </w:tcPr>
          <w:p w14:paraId="7C352CE8" w14:textId="2AE182C6"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38.3 (811)</w:t>
            </w:r>
          </w:p>
        </w:tc>
        <w:tc>
          <w:tcPr>
            <w:tcW w:w="1662" w:type="dxa"/>
            <w:tcBorders>
              <w:top w:val="nil"/>
              <w:left w:val="nil"/>
              <w:bottom w:val="nil"/>
              <w:right w:val="nil"/>
            </w:tcBorders>
            <w:shd w:val="clear" w:color="auto" w:fill="auto"/>
            <w:noWrap/>
            <w:vAlign w:val="bottom"/>
            <w:hideMark/>
          </w:tcPr>
          <w:p w14:paraId="1F08A909" w14:textId="0735B8C0"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37.9 (960)</w:t>
            </w:r>
          </w:p>
        </w:tc>
        <w:tc>
          <w:tcPr>
            <w:tcW w:w="1662" w:type="dxa"/>
            <w:tcBorders>
              <w:top w:val="nil"/>
              <w:left w:val="nil"/>
              <w:bottom w:val="nil"/>
              <w:right w:val="nil"/>
            </w:tcBorders>
            <w:shd w:val="clear" w:color="auto" w:fill="auto"/>
            <w:noWrap/>
            <w:vAlign w:val="bottom"/>
            <w:hideMark/>
          </w:tcPr>
          <w:p w14:paraId="2A496F59" w14:textId="234A533F"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38.5 (2584)</w:t>
            </w:r>
          </w:p>
        </w:tc>
      </w:tr>
      <w:tr w:rsidR="002B5BF5" w:rsidRPr="002B5BF5" w14:paraId="657349F8" w14:textId="77777777" w:rsidTr="00874154">
        <w:trPr>
          <w:trHeight w:val="248"/>
        </w:trPr>
        <w:tc>
          <w:tcPr>
            <w:tcW w:w="3082" w:type="dxa"/>
            <w:tcBorders>
              <w:top w:val="nil"/>
              <w:left w:val="nil"/>
              <w:bottom w:val="nil"/>
              <w:right w:val="nil"/>
            </w:tcBorders>
            <w:shd w:val="clear" w:color="auto" w:fill="auto"/>
            <w:vAlign w:val="bottom"/>
          </w:tcPr>
          <w:p w14:paraId="080D3C20" w14:textId="781B83E1" w:rsidR="00BC5FEA" w:rsidRPr="002B5BF5" w:rsidRDefault="0021476D"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w:t>
            </w:r>
            <w:r w:rsidR="00BC5FEA" w:rsidRPr="002B5BF5">
              <w:rPr>
                <w:rFonts w:ascii="Times New Roman" w:eastAsia="Times New Roman" w:hAnsi="Times New Roman" w:cs="Times New Roman"/>
              </w:rPr>
              <w:t xml:space="preserve">Separated/Divorced/Widowed </w:t>
            </w:r>
          </w:p>
        </w:tc>
        <w:tc>
          <w:tcPr>
            <w:tcW w:w="1665" w:type="dxa"/>
            <w:tcBorders>
              <w:top w:val="nil"/>
              <w:left w:val="nil"/>
              <w:bottom w:val="nil"/>
              <w:right w:val="nil"/>
            </w:tcBorders>
            <w:shd w:val="clear" w:color="auto" w:fill="auto"/>
            <w:noWrap/>
            <w:vAlign w:val="bottom"/>
          </w:tcPr>
          <w:p w14:paraId="7EC84AB9" w14:textId="487FEE64" w:rsidR="00BC5FEA" w:rsidRPr="002B5BF5" w:rsidRDefault="00BC5FEA" w:rsidP="00BA1E6A">
            <w:pPr>
              <w:spacing w:after="120" w:line="240" w:lineRule="auto"/>
              <w:jc w:val="center"/>
              <w:rPr>
                <w:rFonts w:ascii="Times New Roman" w:eastAsia="Times New Roman" w:hAnsi="Times New Roman" w:cs="Times New Roman"/>
                <w:b/>
                <w:bCs/>
              </w:rPr>
            </w:pPr>
            <w:r w:rsidRPr="002B5BF5">
              <w:rPr>
                <w:rFonts w:ascii="Times New Roman" w:hAnsi="Times New Roman" w:cs="Times New Roman"/>
              </w:rPr>
              <w:t xml:space="preserve"> 1.4 (35)</w:t>
            </w:r>
          </w:p>
        </w:tc>
        <w:tc>
          <w:tcPr>
            <w:tcW w:w="1725" w:type="dxa"/>
            <w:tcBorders>
              <w:top w:val="nil"/>
              <w:left w:val="nil"/>
              <w:bottom w:val="nil"/>
              <w:right w:val="nil"/>
            </w:tcBorders>
            <w:shd w:val="clear" w:color="auto" w:fill="auto"/>
            <w:noWrap/>
            <w:vAlign w:val="bottom"/>
          </w:tcPr>
          <w:p w14:paraId="64E796C3" w14:textId="0A211C82"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 xml:space="preserve"> 2.1 (45)</w:t>
            </w:r>
          </w:p>
        </w:tc>
        <w:tc>
          <w:tcPr>
            <w:tcW w:w="1662" w:type="dxa"/>
            <w:tcBorders>
              <w:top w:val="nil"/>
              <w:left w:val="nil"/>
              <w:bottom w:val="nil"/>
              <w:right w:val="nil"/>
            </w:tcBorders>
            <w:shd w:val="clear" w:color="auto" w:fill="auto"/>
            <w:noWrap/>
            <w:vAlign w:val="bottom"/>
          </w:tcPr>
          <w:p w14:paraId="238FA4E9" w14:textId="3A0B1C4A"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 xml:space="preserve"> 2.1 (52)</w:t>
            </w:r>
          </w:p>
        </w:tc>
        <w:tc>
          <w:tcPr>
            <w:tcW w:w="1662" w:type="dxa"/>
            <w:tcBorders>
              <w:top w:val="nil"/>
              <w:left w:val="nil"/>
              <w:bottom w:val="nil"/>
              <w:right w:val="nil"/>
            </w:tcBorders>
            <w:shd w:val="clear" w:color="auto" w:fill="auto"/>
            <w:noWrap/>
            <w:vAlign w:val="bottom"/>
          </w:tcPr>
          <w:p w14:paraId="58B651F7" w14:textId="2641AADA"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 xml:space="preserve"> 1.9 (125)</w:t>
            </w:r>
          </w:p>
        </w:tc>
      </w:tr>
      <w:tr w:rsidR="002B5BF5" w:rsidRPr="002B5BF5" w14:paraId="46069C88" w14:textId="77777777" w:rsidTr="00874154">
        <w:trPr>
          <w:trHeight w:val="248"/>
        </w:trPr>
        <w:tc>
          <w:tcPr>
            <w:tcW w:w="3082" w:type="dxa"/>
            <w:tcBorders>
              <w:top w:val="nil"/>
              <w:left w:val="nil"/>
              <w:bottom w:val="nil"/>
              <w:right w:val="nil"/>
            </w:tcBorders>
            <w:shd w:val="clear" w:color="auto" w:fill="auto"/>
            <w:vAlign w:val="bottom"/>
          </w:tcPr>
          <w:p w14:paraId="68F2BC4F" w14:textId="529F4C04" w:rsidR="00BC5FEA" w:rsidRPr="002B5BF5" w:rsidRDefault="0021476D" w:rsidP="00BA1E6A">
            <w:pPr>
              <w:spacing w:after="120" w:line="240" w:lineRule="auto"/>
              <w:jc w:val="both"/>
              <w:rPr>
                <w:rFonts w:ascii="Times New Roman" w:eastAsia="Times New Roman" w:hAnsi="Times New Roman" w:cs="Times New Roman"/>
                <w:b/>
                <w:bCs/>
              </w:rPr>
            </w:pPr>
            <w:r w:rsidRPr="002B5BF5">
              <w:rPr>
                <w:rFonts w:ascii="Times New Roman" w:eastAsia="Times New Roman" w:hAnsi="Times New Roman" w:cs="Times New Roman"/>
              </w:rPr>
              <w:t xml:space="preserve"> </w:t>
            </w:r>
            <w:r w:rsidR="00BC5FEA" w:rsidRPr="002B5BF5">
              <w:rPr>
                <w:rFonts w:ascii="Times New Roman" w:eastAsia="Times New Roman" w:hAnsi="Times New Roman" w:cs="Times New Roman"/>
              </w:rPr>
              <w:t>Don't know/Missing</w:t>
            </w:r>
          </w:p>
        </w:tc>
        <w:tc>
          <w:tcPr>
            <w:tcW w:w="1665" w:type="dxa"/>
            <w:tcBorders>
              <w:top w:val="nil"/>
              <w:left w:val="nil"/>
              <w:bottom w:val="nil"/>
              <w:right w:val="nil"/>
            </w:tcBorders>
            <w:shd w:val="clear" w:color="auto" w:fill="auto"/>
            <w:noWrap/>
            <w:vAlign w:val="bottom"/>
          </w:tcPr>
          <w:p w14:paraId="432F23F3" w14:textId="6BBC01F4" w:rsidR="00BC5FEA" w:rsidRPr="002B5BF5" w:rsidRDefault="00BC5FEA" w:rsidP="00BA1E6A">
            <w:pPr>
              <w:spacing w:after="120" w:line="240" w:lineRule="auto"/>
              <w:jc w:val="center"/>
              <w:rPr>
                <w:rFonts w:ascii="Times New Roman" w:eastAsia="Times New Roman" w:hAnsi="Times New Roman" w:cs="Times New Roman"/>
                <w:b/>
                <w:bCs/>
              </w:rPr>
            </w:pPr>
            <w:r w:rsidRPr="002B5BF5">
              <w:rPr>
                <w:rFonts w:ascii="Times New Roman" w:hAnsi="Times New Roman" w:cs="Times New Roman"/>
              </w:rPr>
              <w:t>17.4 (431)</w:t>
            </w:r>
          </w:p>
        </w:tc>
        <w:tc>
          <w:tcPr>
            <w:tcW w:w="1725" w:type="dxa"/>
            <w:tcBorders>
              <w:top w:val="nil"/>
              <w:left w:val="nil"/>
              <w:bottom w:val="nil"/>
              <w:right w:val="nil"/>
            </w:tcBorders>
            <w:shd w:val="clear" w:color="auto" w:fill="auto"/>
            <w:noWrap/>
            <w:vAlign w:val="bottom"/>
          </w:tcPr>
          <w:p w14:paraId="028307C9" w14:textId="7905335B"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19.1 (405)</w:t>
            </w:r>
          </w:p>
        </w:tc>
        <w:tc>
          <w:tcPr>
            <w:tcW w:w="1662" w:type="dxa"/>
            <w:tcBorders>
              <w:top w:val="nil"/>
              <w:left w:val="nil"/>
              <w:bottom w:val="nil"/>
              <w:right w:val="nil"/>
            </w:tcBorders>
            <w:shd w:val="clear" w:color="auto" w:fill="auto"/>
            <w:noWrap/>
            <w:vAlign w:val="bottom"/>
          </w:tcPr>
          <w:p w14:paraId="77CE49B6" w14:textId="2778BE11"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18.2 (462)</w:t>
            </w:r>
          </w:p>
        </w:tc>
        <w:tc>
          <w:tcPr>
            <w:tcW w:w="1662" w:type="dxa"/>
            <w:tcBorders>
              <w:top w:val="nil"/>
              <w:left w:val="nil"/>
              <w:bottom w:val="nil"/>
              <w:right w:val="nil"/>
            </w:tcBorders>
            <w:shd w:val="clear" w:color="auto" w:fill="auto"/>
            <w:noWrap/>
            <w:vAlign w:val="bottom"/>
          </w:tcPr>
          <w:p w14:paraId="3FEEC4F4" w14:textId="2429EE3D"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18.6 (1245)</w:t>
            </w:r>
          </w:p>
        </w:tc>
      </w:tr>
      <w:tr w:rsidR="002B5BF5" w:rsidRPr="002B5BF5" w14:paraId="109AD58A" w14:textId="77777777" w:rsidTr="00874154">
        <w:trPr>
          <w:trHeight w:val="248"/>
        </w:trPr>
        <w:tc>
          <w:tcPr>
            <w:tcW w:w="3082" w:type="dxa"/>
            <w:tcBorders>
              <w:top w:val="nil"/>
              <w:left w:val="nil"/>
              <w:bottom w:val="nil"/>
              <w:right w:val="nil"/>
            </w:tcBorders>
            <w:shd w:val="clear" w:color="auto" w:fill="auto"/>
            <w:vAlign w:val="bottom"/>
            <w:hideMark/>
          </w:tcPr>
          <w:p w14:paraId="122CA257" w14:textId="00F3B14A" w:rsidR="00BC5FEA" w:rsidRPr="002B5BF5" w:rsidRDefault="00BC5FEA" w:rsidP="00BA1E6A">
            <w:pPr>
              <w:spacing w:after="120" w:line="240" w:lineRule="auto"/>
              <w:jc w:val="both"/>
              <w:rPr>
                <w:rFonts w:ascii="Times New Roman" w:eastAsia="Times New Roman" w:hAnsi="Times New Roman" w:cs="Times New Roman"/>
                <w:b/>
                <w:bCs/>
              </w:rPr>
            </w:pPr>
            <w:r w:rsidRPr="002B5BF5">
              <w:rPr>
                <w:rFonts w:ascii="Times New Roman" w:eastAsia="Times New Roman" w:hAnsi="Times New Roman" w:cs="Times New Roman"/>
                <w:b/>
                <w:bCs/>
              </w:rPr>
              <w:t xml:space="preserve">Education, % (n) </w:t>
            </w:r>
          </w:p>
        </w:tc>
        <w:tc>
          <w:tcPr>
            <w:tcW w:w="1665" w:type="dxa"/>
            <w:tcBorders>
              <w:top w:val="nil"/>
              <w:left w:val="nil"/>
              <w:bottom w:val="nil"/>
              <w:right w:val="nil"/>
            </w:tcBorders>
            <w:shd w:val="clear" w:color="auto" w:fill="auto"/>
            <w:noWrap/>
            <w:vAlign w:val="bottom"/>
            <w:hideMark/>
          </w:tcPr>
          <w:p w14:paraId="555CA5D7" w14:textId="77777777" w:rsidR="00BC5FEA" w:rsidRPr="002B5BF5" w:rsidRDefault="00BC5FEA" w:rsidP="00BA1E6A">
            <w:pPr>
              <w:spacing w:after="120" w:line="240" w:lineRule="auto"/>
              <w:jc w:val="center"/>
              <w:rPr>
                <w:rFonts w:ascii="Times New Roman" w:eastAsia="Times New Roman" w:hAnsi="Times New Roman" w:cs="Times New Roman"/>
                <w:b/>
                <w:bCs/>
              </w:rPr>
            </w:pPr>
          </w:p>
        </w:tc>
        <w:tc>
          <w:tcPr>
            <w:tcW w:w="1725" w:type="dxa"/>
            <w:tcBorders>
              <w:top w:val="nil"/>
              <w:left w:val="nil"/>
              <w:bottom w:val="nil"/>
              <w:right w:val="nil"/>
            </w:tcBorders>
            <w:shd w:val="clear" w:color="auto" w:fill="auto"/>
            <w:noWrap/>
            <w:vAlign w:val="bottom"/>
            <w:hideMark/>
          </w:tcPr>
          <w:p w14:paraId="5E5318D2" w14:textId="77777777" w:rsidR="00BC5FEA" w:rsidRPr="002B5BF5" w:rsidRDefault="00BC5FEA" w:rsidP="00BA1E6A">
            <w:pPr>
              <w:spacing w:after="120" w:line="240" w:lineRule="auto"/>
              <w:jc w:val="center"/>
              <w:rPr>
                <w:rFonts w:ascii="Times New Roman" w:eastAsia="Times New Roman" w:hAnsi="Times New Roman" w:cs="Times New Roman"/>
              </w:rPr>
            </w:pPr>
          </w:p>
        </w:tc>
        <w:tc>
          <w:tcPr>
            <w:tcW w:w="1662" w:type="dxa"/>
            <w:tcBorders>
              <w:top w:val="nil"/>
              <w:left w:val="nil"/>
              <w:bottom w:val="nil"/>
              <w:right w:val="nil"/>
            </w:tcBorders>
            <w:shd w:val="clear" w:color="auto" w:fill="auto"/>
            <w:noWrap/>
            <w:vAlign w:val="bottom"/>
            <w:hideMark/>
          </w:tcPr>
          <w:p w14:paraId="34EC29D3" w14:textId="1A3365C7" w:rsidR="00BC5FEA" w:rsidRPr="002B5BF5" w:rsidRDefault="00BC5FEA" w:rsidP="00BA1E6A">
            <w:pPr>
              <w:spacing w:after="120" w:line="240" w:lineRule="auto"/>
              <w:jc w:val="center"/>
              <w:rPr>
                <w:rFonts w:ascii="Times New Roman" w:eastAsia="Times New Roman" w:hAnsi="Times New Roman" w:cs="Times New Roman"/>
              </w:rPr>
            </w:pPr>
          </w:p>
        </w:tc>
        <w:tc>
          <w:tcPr>
            <w:tcW w:w="1662" w:type="dxa"/>
            <w:tcBorders>
              <w:top w:val="nil"/>
              <w:left w:val="nil"/>
              <w:bottom w:val="nil"/>
              <w:right w:val="nil"/>
            </w:tcBorders>
            <w:shd w:val="clear" w:color="auto" w:fill="auto"/>
            <w:noWrap/>
            <w:vAlign w:val="bottom"/>
            <w:hideMark/>
          </w:tcPr>
          <w:p w14:paraId="630D4EF4" w14:textId="77777777" w:rsidR="00BC5FEA" w:rsidRPr="002B5BF5" w:rsidRDefault="00BC5FEA" w:rsidP="00BA1E6A">
            <w:pPr>
              <w:spacing w:after="120" w:line="240" w:lineRule="auto"/>
              <w:jc w:val="center"/>
              <w:rPr>
                <w:rFonts w:ascii="Times New Roman" w:eastAsia="Times New Roman" w:hAnsi="Times New Roman" w:cs="Times New Roman"/>
              </w:rPr>
            </w:pPr>
          </w:p>
        </w:tc>
      </w:tr>
      <w:tr w:rsidR="002B5BF5" w:rsidRPr="002B5BF5" w14:paraId="2501AFA9" w14:textId="77777777" w:rsidTr="00874154">
        <w:trPr>
          <w:trHeight w:val="248"/>
        </w:trPr>
        <w:tc>
          <w:tcPr>
            <w:tcW w:w="3082" w:type="dxa"/>
            <w:tcBorders>
              <w:top w:val="nil"/>
              <w:left w:val="nil"/>
              <w:bottom w:val="nil"/>
              <w:right w:val="nil"/>
            </w:tcBorders>
            <w:shd w:val="clear" w:color="auto" w:fill="auto"/>
            <w:vAlign w:val="bottom"/>
            <w:hideMark/>
          </w:tcPr>
          <w:p w14:paraId="1EFEBC04" w14:textId="77777777" w:rsidR="00BC5FEA" w:rsidRPr="002B5BF5" w:rsidRDefault="00BC5FEA" w:rsidP="00BA1E6A">
            <w:pPr>
              <w:spacing w:after="120" w:line="240" w:lineRule="auto"/>
              <w:jc w:val="both"/>
              <w:rPr>
                <w:rFonts w:ascii="Times New Roman" w:eastAsia="Times New Roman" w:hAnsi="Times New Roman" w:cs="Times New Roman"/>
                <w:b/>
                <w:bCs/>
              </w:rPr>
            </w:pPr>
            <w:r w:rsidRPr="002B5BF5">
              <w:rPr>
                <w:rFonts w:ascii="Times New Roman" w:eastAsia="Times New Roman" w:hAnsi="Times New Roman" w:cs="Times New Roman"/>
                <w:b/>
                <w:bCs/>
              </w:rPr>
              <w:t xml:space="preserve"> </w:t>
            </w:r>
            <w:r w:rsidRPr="002B5BF5">
              <w:rPr>
                <w:rFonts w:ascii="Times New Roman" w:eastAsia="Times New Roman" w:hAnsi="Times New Roman" w:cs="Times New Roman"/>
              </w:rPr>
              <w:t>No formal education</w:t>
            </w:r>
          </w:p>
        </w:tc>
        <w:tc>
          <w:tcPr>
            <w:tcW w:w="1665" w:type="dxa"/>
            <w:tcBorders>
              <w:top w:val="nil"/>
              <w:left w:val="nil"/>
              <w:bottom w:val="nil"/>
              <w:right w:val="nil"/>
            </w:tcBorders>
            <w:shd w:val="clear" w:color="auto" w:fill="auto"/>
            <w:noWrap/>
            <w:hideMark/>
          </w:tcPr>
          <w:p w14:paraId="2D7FB7BA" w14:textId="465EAFF8"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23.9 (594)</w:t>
            </w:r>
          </w:p>
        </w:tc>
        <w:tc>
          <w:tcPr>
            <w:tcW w:w="1725" w:type="dxa"/>
            <w:tcBorders>
              <w:top w:val="nil"/>
              <w:left w:val="nil"/>
              <w:bottom w:val="nil"/>
              <w:right w:val="nil"/>
            </w:tcBorders>
            <w:shd w:val="clear" w:color="auto" w:fill="auto"/>
            <w:noWrap/>
            <w:hideMark/>
          </w:tcPr>
          <w:p w14:paraId="17B81EFC" w14:textId="39918A6C"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26.0 (552)</w:t>
            </w:r>
          </w:p>
        </w:tc>
        <w:tc>
          <w:tcPr>
            <w:tcW w:w="1662" w:type="dxa"/>
            <w:tcBorders>
              <w:top w:val="nil"/>
              <w:left w:val="nil"/>
              <w:bottom w:val="nil"/>
              <w:right w:val="nil"/>
            </w:tcBorders>
            <w:shd w:val="clear" w:color="auto" w:fill="auto"/>
            <w:noWrap/>
            <w:hideMark/>
          </w:tcPr>
          <w:p w14:paraId="0D8956CF" w14:textId="2AD837A0"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25.3 (640)</w:t>
            </w:r>
          </w:p>
        </w:tc>
        <w:tc>
          <w:tcPr>
            <w:tcW w:w="1662" w:type="dxa"/>
            <w:tcBorders>
              <w:top w:val="nil"/>
              <w:left w:val="nil"/>
              <w:bottom w:val="nil"/>
              <w:right w:val="nil"/>
            </w:tcBorders>
            <w:shd w:val="clear" w:color="auto" w:fill="auto"/>
            <w:noWrap/>
            <w:hideMark/>
          </w:tcPr>
          <w:p w14:paraId="68D3EB95" w14:textId="1E5E3233"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24.8 (1665)</w:t>
            </w:r>
          </w:p>
        </w:tc>
      </w:tr>
      <w:tr w:rsidR="002B5BF5" w:rsidRPr="002B5BF5" w14:paraId="71293DDE" w14:textId="77777777" w:rsidTr="00874154">
        <w:trPr>
          <w:trHeight w:val="248"/>
        </w:trPr>
        <w:tc>
          <w:tcPr>
            <w:tcW w:w="3082" w:type="dxa"/>
            <w:tcBorders>
              <w:top w:val="nil"/>
              <w:left w:val="nil"/>
              <w:bottom w:val="nil"/>
              <w:right w:val="nil"/>
            </w:tcBorders>
            <w:shd w:val="clear" w:color="auto" w:fill="auto"/>
            <w:vAlign w:val="bottom"/>
            <w:hideMark/>
          </w:tcPr>
          <w:p w14:paraId="4CBCBBE3" w14:textId="77777777" w:rsidR="00BC5FEA" w:rsidRPr="002B5BF5" w:rsidRDefault="00BC5FEA"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Primary (grade 1-7)</w:t>
            </w:r>
          </w:p>
        </w:tc>
        <w:tc>
          <w:tcPr>
            <w:tcW w:w="1665" w:type="dxa"/>
            <w:tcBorders>
              <w:top w:val="nil"/>
              <w:left w:val="nil"/>
              <w:bottom w:val="nil"/>
              <w:right w:val="nil"/>
            </w:tcBorders>
            <w:shd w:val="clear" w:color="auto" w:fill="auto"/>
            <w:noWrap/>
            <w:hideMark/>
          </w:tcPr>
          <w:p w14:paraId="7F80D6F7" w14:textId="1EB88EE5"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 xml:space="preserve"> 6.3 (156)</w:t>
            </w:r>
          </w:p>
        </w:tc>
        <w:tc>
          <w:tcPr>
            <w:tcW w:w="1725" w:type="dxa"/>
            <w:tcBorders>
              <w:top w:val="nil"/>
              <w:left w:val="nil"/>
              <w:bottom w:val="nil"/>
              <w:right w:val="nil"/>
            </w:tcBorders>
            <w:shd w:val="clear" w:color="auto" w:fill="auto"/>
            <w:noWrap/>
            <w:hideMark/>
          </w:tcPr>
          <w:p w14:paraId="0CC3CA54" w14:textId="294E9BCB"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 xml:space="preserve"> 6.5 (138)</w:t>
            </w:r>
          </w:p>
        </w:tc>
        <w:tc>
          <w:tcPr>
            <w:tcW w:w="1662" w:type="dxa"/>
            <w:tcBorders>
              <w:top w:val="nil"/>
              <w:left w:val="nil"/>
              <w:bottom w:val="nil"/>
              <w:right w:val="nil"/>
            </w:tcBorders>
            <w:shd w:val="clear" w:color="auto" w:fill="auto"/>
            <w:noWrap/>
            <w:hideMark/>
          </w:tcPr>
          <w:p w14:paraId="4E35B116" w14:textId="38BEF3E2"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 xml:space="preserve"> 6.8 (172)</w:t>
            </w:r>
          </w:p>
        </w:tc>
        <w:tc>
          <w:tcPr>
            <w:tcW w:w="1662" w:type="dxa"/>
            <w:tcBorders>
              <w:top w:val="nil"/>
              <w:left w:val="nil"/>
              <w:bottom w:val="nil"/>
              <w:right w:val="nil"/>
            </w:tcBorders>
            <w:shd w:val="clear" w:color="auto" w:fill="auto"/>
            <w:noWrap/>
            <w:hideMark/>
          </w:tcPr>
          <w:p w14:paraId="7CD77826" w14:textId="557FBF27"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 xml:space="preserve"> 6.4 (432)</w:t>
            </w:r>
          </w:p>
        </w:tc>
      </w:tr>
      <w:tr w:rsidR="002B5BF5" w:rsidRPr="002B5BF5" w14:paraId="3BEC63B2" w14:textId="77777777" w:rsidTr="00874154">
        <w:trPr>
          <w:trHeight w:val="248"/>
        </w:trPr>
        <w:tc>
          <w:tcPr>
            <w:tcW w:w="3082" w:type="dxa"/>
            <w:tcBorders>
              <w:top w:val="nil"/>
              <w:left w:val="nil"/>
              <w:bottom w:val="nil"/>
              <w:right w:val="nil"/>
            </w:tcBorders>
            <w:shd w:val="clear" w:color="auto" w:fill="auto"/>
            <w:vAlign w:val="bottom"/>
            <w:hideMark/>
          </w:tcPr>
          <w:p w14:paraId="5637556C" w14:textId="4B0A41C4" w:rsidR="00BC5FEA" w:rsidRPr="002B5BF5" w:rsidRDefault="00BC5FEA"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Secondary+ (≥ grade 8)</w:t>
            </w:r>
          </w:p>
        </w:tc>
        <w:tc>
          <w:tcPr>
            <w:tcW w:w="1665" w:type="dxa"/>
            <w:tcBorders>
              <w:top w:val="nil"/>
              <w:left w:val="nil"/>
              <w:bottom w:val="nil"/>
              <w:right w:val="nil"/>
            </w:tcBorders>
            <w:shd w:val="clear" w:color="auto" w:fill="auto"/>
            <w:noWrap/>
            <w:hideMark/>
          </w:tcPr>
          <w:p w14:paraId="23D5001B" w14:textId="20D5147C"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69.8 (1731)</w:t>
            </w:r>
          </w:p>
        </w:tc>
        <w:tc>
          <w:tcPr>
            <w:tcW w:w="1725" w:type="dxa"/>
            <w:tcBorders>
              <w:top w:val="nil"/>
              <w:left w:val="nil"/>
              <w:bottom w:val="nil"/>
              <w:right w:val="nil"/>
            </w:tcBorders>
            <w:shd w:val="clear" w:color="auto" w:fill="auto"/>
            <w:noWrap/>
            <w:hideMark/>
          </w:tcPr>
          <w:p w14:paraId="3D71C68E" w14:textId="297FA04E"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67.5 (1430)</w:t>
            </w:r>
          </w:p>
        </w:tc>
        <w:tc>
          <w:tcPr>
            <w:tcW w:w="1662" w:type="dxa"/>
            <w:tcBorders>
              <w:top w:val="nil"/>
              <w:left w:val="nil"/>
              <w:bottom w:val="nil"/>
              <w:right w:val="nil"/>
            </w:tcBorders>
            <w:shd w:val="clear" w:color="auto" w:fill="auto"/>
            <w:noWrap/>
            <w:hideMark/>
          </w:tcPr>
          <w:p w14:paraId="50DAF8A5" w14:textId="3C6B2EF6"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68.0 (1722)</w:t>
            </w:r>
          </w:p>
        </w:tc>
        <w:tc>
          <w:tcPr>
            <w:tcW w:w="1662" w:type="dxa"/>
            <w:tcBorders>
              <w:top w:val="nil"/>
              <w:left w:val="nil"/>
              <w:bottom w:val="nil"/>
              <w:right w:val="nil"/>
            </w:tcBorders>
            <w:shd w:val="clear" w:color="auto" w:fill="auto"/>
            <w:noWrap/>
            <w:hideMark/>
          </w:tcPr>
          <w:p w14:paraId="7B81C195" w14:textId="44500338"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68.7 (4606)</w:t>
            </w:r>
          </w:p>
        </w:tc>
      </w:tr>
      <w:tr w:rsidR="002B5BF5" w:rsidRPr="002B5BF5" w14:paraId="06CDD058" w14:textId="77777777" w:rsidTr="00874154">
        <w:trPr>
          <w:trHeight w:val="248"/>
        </w:trPr>
        <w:tc>
          <w:tcPr>
            <w:tcW w:w="3082" w:type="dxa"/>
            <w:tcBorders>
              <w:top w:val="nil"/>
              <w:left w:val="nil"/>
              <w:bottom w:val="nil"/>
              <w:right w:val="nil"/>
            </w:tcBorders>
            <w:shd w:val="clear" w:color="auto" w:fill="auto"/>
            <w:vAlign w:val="bottom"/>
            <w:hideMark/>
          </w:tcPr>
          <w:p w14:paraId="76B97329" w14:textId="762CF799" w:rsidR="00BC5FEA" w:rsidRPr="002B5BF5" w:rsidRDefault="00BC5FEA" w:rsidP="00BA1E6A">
            <w:pPr>
              <w:spacing w:after="120" w:line="240" w:lineRule="auto"/>
              <w:jc w:val="both"/>
              <w:rPr>
                <w:rFonts w:ascii="Times New Roman" w:eastAsia="Times New Roman" w:hAnsi="Times New Roman" w:cs="Times New Roman"/>
                <w:b/>
                <w:bCs/>
              </w:rPr>
            </w:pPr>
            <w:r w:rsidRPr="002B5BF5">
              <w:rPr>
                <w:rFonts w:ascii="Times New Roman" w:eastAsia="Times New Roman" w:hAnsi="Times New Roman" w:cs="Times New Roman"/>
                <w:b/>
                <w:bCs/>
              </w:rPr>
              <w:t xml:space="preserve">Area of residency, % (n) </w:t>
            </w:r>
          </w:p>
        </w:tc>
        <w:tc>
          <w:tcPr>
            <w:tcW w:w="1665" w:type="dxa"/>
            <w:tcBorders>
              <w:top w:val="nil"/>
              <w:left w:val="nil"/>
              <w:bottom w:val="nil"/>
              <w:right w:val="nil"/>
            </w:tcBorders>
            <w:shd w:val="clear" w:color="auto" w:fill="auto"/>
            <w:noWrap/>
            <w:vAlign w:val="bottom"/>
            <w:hideMark/>
          </w:tcPr>
          <w:p w14:paraId="4383E162" w14:textId="77777777" w:rsidR="00BC5FEA" w:rsidRPr="002B5BF5" w:rsidRDefault="00BC5FEA" w:rsidP="00BA1E6A">
            <w:pPr>
              <w:spacing w:after="120" w:line="240" w:lineRule="auto"/>
              <w:jc w:val="center"/>
              <w:rPr>
                <w:rFonts w:ascii="Times New Roman" w:eastAsia="Times New Roman" w:hAnsi="Times New Roman" w:cs="Times New Roman"/>
                <w:b/>
                <w:bCs/>
              </w:rPr>
            </w:pPr>
          </w:p>
        </w:tc>
        <w:tc>
          <w:tcPr>
            <w:tcW w:w="1725" w:type="dxa"/>
            <w:tcBorders>
              <w:top w:val="nil"/>
              <w:left w:val="nil"/>
              <w:bottom w:val="nil"/>
              <w:right w:val="nil"/>
            </w:tcBorders>
            <w:shd w:val="clear" w:color="auto" w:fill="auto"/>
            <w:noWrap/>
            <w:vAlign w:val="bottom"/>
            <w:hideMark/>
          </w:tcPr>
          <w:p w14:paraId="356A3F40" w14:textId="77777777" w:rsidR="00BC5FEA" w:rsidRPr="002B5BF5" w:rsidRDefault="00BC5FEA" w:rsidP="00BA1E6A">
            <w:pPr>
              <w:spacing w:after="120" w:line="240" w:lineRule="auto"/>
              <w:jc w:val="center"/>
              <w:rPr>
                <w:rFonts w:ascii="Times New Roman" w:eastAsia="Times New Roman" w:hAnsi="Times New Roman" w:cs="Times New Roman"/>
              </w:rPr>
            </w:pPr>
          </w:p>
        </w:tc>
        <w:tc>
          <w:tcPr>
            <w:tcW w:w="1662" w:type="dxa"/>
            <w:tcBorders>
              <w:top w:val="nil"/>
              <w:left w:val="nil"/>
              <w:bottom w:val="nil"/>
              <w:right w:val="nil"/>
            </w:tcBorders>
            <w:shd w:val="clear" w:color="auto" w:fill="auto"/>
            <w:noWrap/>
            <w:vAlign w:val="bottom"/>
            <w:hideMark/>
          </w:tcPr>
          <w:p w14:paraId="48093B23" w14:textId="3CC525F5" w:rsidR="00BC5FEA" w:rsidRPr="002B5BF5" w:rsidRDefault="00BC5FEA" w:rsidP="00BA1E6A">
            <w:pPr>
              <w:spacing w:after="120" w:line="240" w:lineRule="auto"/>
              <w:jc w:val="center"/>
              <w:rPr>
                <w:rFonts w:ascii="Times New Roman" w:eastAsia="Times New Roman" w:hAnsi="Times New Roman" w:cs="Times New Roman"/>
              </w:rPr>
            </w:pPr>
          </w:p>
        </w:tc>
        <w:tc>
          <w:tcPr>
            <w:tcW w:w="1662" w:type="dxa"/>
            <w:tcBorders>
              <w:top w:val="nil"/>
              <w:left w:val="nil"/>
              <w:bottom w:val="nil"/>
              <w:right w:val="nil"/>
            </w:tcBorders>
            <w:shd w:val="clear" w:color="auto" w:fill="auto"/>
            <w:noWrap/>
            <w:vAlign w:val="bottom"/>
            <w:hideMark/>
          </w:tcPr>
          <w:p w14:paraId="252E9318" w14:textId="77777777" w:rsidR="00BC5FEA" w:rsidRPr="002B5BF5" w:rsidRDefault="00BC5FEA" w:rsidP="00BA1E6A">
            <w:pPr>
              <w:spacing w:after="120" w:line="240" w:lineRule="auto"/>
              <w:jc w:val="center"/>
              <w:rPr>
                <w:rFonts w:ascii="Times New Roman" w:eastAsia="Times New Roman" w:hAnsi="Times New Roman" w:cs="Times New Roman"/>
              </w:rPr>
            </w:pPr>
          </w:p>
        </w:tc>
      </w:tr>
      <w:tr w:rsidR="002B5BF5" w:rsidRPr="002B5BF5" w14:paraId="6F042436" w14:textId="77777777" w:rsidTr="00874154">
        <w:trPr>
          <w:trHeight w:val="248"/>
        </w:trPr>
        <w:tc>
          <w:tcPr>
            <w:tcW w:w="3082" w:type="dxa"/>
            <w:tcBorders>
              <w:top w:val="nil"/>
              <w:left w:val="nil"/>
              <w:bottom w:val="nil"/>
              <w:right w:val="nil"/>
            </w:tcBorders>
            <w:shd w:val="clear" w:color="auto" w:fill="auto"/>
            <w:vAlign w:val="bottom"/>
            <w:hideMark/>
          </w:tcPr>
          <w:p w14:paraId="20BE8488" w14:textId="77777777" w:rsidR="00BC5FEA" w:rsidRPr="002B5BF5" w:rsidRDefault="00BC5FEA"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Rural </w:t>
            </w:r>
          </w:p>
        </w:tc>
        <w:tc>
          <w:tcPr>
            <w:tcW w:w="1665" w:type="dxa"/>
            <w:tcBorders>
              <w:top w:val="nil"/>
              <w:left w:val="nil"/>
              <w:bottom w:val="nil"/>
              <w:right w:val="nil"/>
            </w:tcBorders>
            <w:shd w:val="clear" w:color="auto" w:fill="auto"/>
            <w:noWrap/>
            <w:hideMark/>
          </w:tcPr>
          <w:p w14:paraId="47EF1099" w14:textId="4C985FBF"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59.9 (1485)</w:t>
            </w:r>
          </w:p>
        </w:tc>
        <w:tc>
          <w:tcPr>
            <w:tcW w:w="1725" w:type="dxa"/>
            <w:tcBorders>
              <w:top w:val="nil"/>
              <w:left w:val="nil"/>
              <w:bottom w:val="nil"/>
              <w:right w:val="nil"/>
            </w:tcBorders>
            <w:shd w:val="clear" w:color="auto" w:fill="auto"/>
            <w:noWrap/>
            <w:hideMark/>
          </w:tcPr>
          <w:p w14:paraId="395CAA74" w14:textId="0C9E0B84"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52.7 (1117)</w:t>
            </w:r>
          </w:p>
        </w:tc>
        <w:tc>
          <w:tcPr>
            <w:tcW w:w="1662" w:type="dxa"/>
            <w:tcBorders>
              <w:top w:val="nil"/>
              <w:left w:val="nil"/>
              <w:bottom w:val="nil"/>
              <w:right w:val="nil"/>
            </w:tcBorders>
            <w:shd w:val="clear" w:color="auto" w:fill="auto"/>
            <w:noWrap/>
            <w:hideMark/>
          </w:tcPr>
          <w:p w14:paraId="3303FB0F" w14:textId="3519D39C"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60.5 (1532)</w:t>
            </w:r>
          </w:p>
        </w:tc>
        <w:tc>
          <w:tcPr>
            <w:tcW w:w="1662" w:type="dxa"/>
            <w:tcBorders>
              <w:top w:val="nil"/>
              <w:left w:val="nil"/>
              <w:bottom w:val="nil"/>
              <w:right w:val="nil"/>
            </w:tcBorders>
            <w:shd w:val="clear" w:color="auto" w:fill="auto"/>
            <w:noWrap/>
            <w:hideMark/>
          </w:tcPr>
          <w:p w14:paraId="3AC33CE6" w14:textId="1278CA1C"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58.3 (3905)</w:t>
            </w:r>
          </w:p>
        </w:tc>
      </w:tr>
      <w:tr w:rsidR="002B5BF5" w:rsidRPr="002B5BF5" w14:paraId="63961C88" w14:textId="77777777" w:rsidTr="00874154">
        <w:trPr>
          <w:trHeight w:val="248"/>
        </w:trPr>
        <w:tc>
          <w:tcPr>
            <w:tcW w:w="3082" w:type="dxa"/>
            <w:tcBorders>
              <w:top w:val="nil"/>
              <w:left w:val="nil"/>
              <w:right w:val="nil"/>
            </w:tcBorders>
            <w:shd w:val="clear" w:color="auto" w:fill="auto"/>
            <w:vAlign w:val="bottom"/>
            <w:hideMark/>
          </w:tcPr>
          <w:p w14:paraId="0CEE1199" w14:textId="77777777" w:rsidR="00BC5FEA" w:rsidRPr="002B5BF5" w:rsidRDefault="00BC5FEA"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Peri-urban</w:t>
            </w:r>
          </w:p>
        </w:tc>
        <w:tc>
          <w:tcPr>
            <w:tcW w:w="1665" w:type="dxa"/>
            <w:tcBorders>
              <w:top w:val="nil"/>
              <w:left w:val="nil"/>
              <w:right w:val="nil"/>
            </w:tcBorders>
            <w:shd w:val="clear" w:color="auto" w:fill="auto"/>
            <w:noWrap/>
            <w:hideMark/>
          </w:tcPr>
          <w:p w14:paraId="2425D64D" w14:textId="6BC25F9D"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32.8 (813)</w:t>
            </w:r>
          </w:p>
        </w:tc>
        <w:tc>
          <w:tcPr>
            <w:tcW w:w="1725" w:type="dxa"/>
            <w:tcBorders>
              <w:top w:val="nil"/>
              <w:left w:val="nil"/>
              <w:right w:val="nil"/>
            </w:tcBorders>
            <w:shd w:val="clear" w:color="auto" w:fill="auto"/>
            <w:noWrap/>
            <w:hideMark/>
          </w:tcPr>
          <w:p w14:paraId="5A9B18E5" w14:textId="4A6B5387"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47.3 (1003)</w:t>
            </w:r>
          </w:p>
        </w:tc>
        <w:tc>
          <w:tcPr>
            <w:tcW w:w="1662" w:type="dxa"/>
            <w:tcBorders>
              <w:top w:val="nil"/>
              <w:left w:val="nil"/>
              <w:right w:val="nil"/>
            </w:tcBorders>
            <w:shd w:val="clear" w:color="auto" w:fill="auto"/>
            <w:noWrap/>
            <w:hideMark/>
          </w:tcPr>
          <w:p w14:paraId="0B16E9A1" w14:textId="03445AAF"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26.5 (671)</w:t>
            </w:r>
          </w:p>
        </w:tc>
        <w:tc>
          <w:tcPr>
            <w:tcW w:w="1662" w:type="dxa"/>
            <w:tcBorders>
              <w:top w:val="nil"/>
              <w:left w:val="nil"/>
              <w:right w:val="nil"/>
            </w:tcBorders>
            <w:shd w:val="clear" w:color="auto" w:fill="auto"/>
            <w:noWrap/>
            <w:hideMark/>
          </w:tcPr>
          <w:p w14:paraId="090D7033" w14:textId="641F1788"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33.9 (2275)</w:t>
            </w:r>
          </w:p>
        </w:tc>
      </w:tr>
      <w:tr w:rsidR="002B5BF5" w:rsidRPr="002B5BF5" w14:paraId="7CB54AA9" w14:textId="77777777" w:rsidTr="00874154">
        <w:trPr>
          <w:trHeight w:val="248"/>
        </w:trPr>
        <w:tc>
          <w:tcPr>
            <w:tcW w:w="3082" w:type="dxa"/>
            <w:tcBorders>
              <w:top w:val="nil"/>
              <w:left w:val="nil"/>
              <w:bottom w:val="single" w:sz="4" w:space="0" w:color="auto"/>
              <w:right w:val="nil"/>
            </w:tcBorders>
            <w:shd w:val="clear" w:color="auto" w:fill="auto"/>
            <w:vAlign w:val="bottom"/>
            <w:hideMark/>
          </w:tcPr>
          <w:p w14:paraId="10D17C9A" w14:textId="77777777" w:rsidR="00BC5FEA" w:rsidRPr="002B5BF5" w:rsidRDefault="00BC5FEA" w:rsidP="00BA1E6A">
            <w:pPr>
              <w:spacing w:after="120" w:line="240"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Urban </w:t>
            </w:r>
          </w:p>
        </w:tc>
        <w:tc>
          <w:tcPr>
            <w:tcW w:w="1665" w:type="dxa"/>
            <w:tcBorders>
              <w:top w:val="nil"/>
              <w:left w:val="nil"/>
              <w:bottom w:val="single" w:sz="4" w:space="0" w:color="auto"/>
              <w:right w:val="nil"/>
            </w:tcBorders>
            <w:shd w:val="clear" w:color="auto" w:fill="auto"/>
            <w:noWrap/>
            <w:hideMark/>
          </w:tcPr>
          <w:p w14:paraId="4FA5E8B3" w14:textId="4E1EEA3B"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 xml:space="preserve"> 7.4 (183)</w:t>
            </w:r>
          </w:p>
        </w:tc>
        <w:tc>
          <w:tcPr>
            <w:tcW w:w="1725" w:type="dxa"/>
            <w:tcBorders>
              <w:top w:val="nil"/>
              <w:left w:val="nil"/>
              <w:bottom w:val="single" w:sz="4" w:space="0" w:color="auto"/>
              <w:right w:val="nil"/>
            </w:tcBorders>
            <w:shd w:val="clear" w:color="auto" w:fill="auto"/>
            <w:noWrap/>
            <w:hideMark/>
          </w:tcPr>
          <w:p w14:paraId="2ADD032E" w14:textId="05244E40"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 xml:space="preserve"> 0.0 (0)</w:t>
            </w:r>
          </w:p>
        </w:tc>
        <w:tc>
          <w:tcPr>
            <w:tcW w:w="1662" w:type="dxa"/>
            <w:tcBorders>
              <w:top w:val="nil"/>
              <w:left w:val="nil"/>
              <w:bottom w:val="single" w:sz="4" w:space="0" w:color="auto"/>
              <w:right w:val="nil"/>
            </w:tcBorders>
            <w:shd w:val="clear" w:color="auto" w:fill="auto"/>
            <w:noWrap/>
            <w:hideMark/>
          </w:tcPr>
          <w:p w14:paraId="7BCFC19E" w14:textId="6DC538A7"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13.1 (331)</w:t>
            </w:r>
          </w:p>
        </w:tc>
        <w:tc>
          <w:tcPr>
            <w:tcW w:w="1662" w:type="dxa"/>
            <w:tcBorders>
              <w:top w:val="nil"/>
              <w:left w:val="nil"/>
              <w:bottom w:val="single" w:sz="4" w:space="0" w:color="auto"/>
              <w:right w:val="nil"/>
            </w:tcBorders>
            <w:shd w:val="clear" w:color="auto" w:fill="auto"/>
            <w:noWrap/>
            <w:hideMark/>
          </w:tcPr>
          <w:p w14:paraId="6C43B64B" w14:textId="63B76FFC" w:rsidR="00BC5FEA" w:rsidRPr="002B5BF5" w:rsidRDefault="00BC5FEA" w:rsidP="00BA1E6A">
            <w:pPr>
              <w:spacing w:after="120" w:line="240" w:lineRule="auto"/>
              <w:jc w:val="center"/>
              <w:rPr>
                <w:rFonts w:ascii="Times New Roman" w:eastAsia="Times New Roman" w:hAnsi="Times New Roman" w:cs="Times New Roman"/>
              </w:rPr>
            </w:pPr>
            <w:r w:rsidRPr="002B5BF5">
              <w:rPr>
                <w:rFonts w:ascii="Times New Roman" w:hAnsi="Times New Roman" w:cs="Times New Roman"/>
              </w:rPr>
              <w:t xml:space="preserve"> 7.8 (523)</w:t>
            </w:r>
          </w:p>
        </w:tc>
      </w:tr>
    </w:tbl>
    <w:p w14:paraId="5C06A386" w14:textId="4BD7C65B" w:rsidR="00803377" w:rsidRPr="002B5BF5" w:rsidRDefault="008F34D9" w:rsidP="00B26856">
      <w:pPr>
        <w:spacing w:after="0" w:line="240" w:lineRule="auto"/>
        <w:jc w:val="both"/>
        <w:rPr>
          <w:rFonts w:ascii="Times New Roman" w:hAnsi="Times New Roman" w:cs="Times New Roman"/>
        </w:rPr>
      </w:pPr>
      <w:r w:rsidRPr="002B5BF5">
        <w:rPr>
          <w:rFonts w:ascii="Times New Roman" w:hAnsi="Times New Roman" w:cs="Times New Roman"/>
        </w:rPr>
        <w:t>*</w:t>
      </w:r>
      <w:r w:rsidR="00B26856" w:rsidRPr="002B5BF5">
        <w:rPr>
          <w:rFonts w:ascii="Times New Roman" w:hAnsi="Times New Roman" w:cs="Times New Roman"/>
        </w:rPr>
        <w:t xml:space="preserve">95% confidence intervals were calculated using the cumulative probabilities of the binomial distribution. </w:t>
      </w:r>
    </w:p>
    <w:p w14:paraId="253B907A" w14:textId="7192C610" w:rsidR="008F34D9" w:rsidRPr="002B5BF5" w:rsidRDefault="002617EB" w:rsidP="00B26856">
      <w:pPr>
        <w:spacing w:after="0" w:line="240" w:lineRule="auto"/>
        <w:jc w:val="both"/>
        <w:rPr>
          <w:rFonts w:ascii="Times New Roman" w:hAnsi="Times New Roman" w:cs="Times New Roman"/>
        </w:rPr>
      </w:pPr>
      <w:r w:rsidRPr="002B5BF5">
        <w:rPr>
          <w:rFonts w:ascii="Times New Roman" w:hAnsi="Times New Roman" w:cs="Times New Roman"/>
        </w:rPr>
        <w:t>Abbreviation: EPIC, Empowering People through Informed Choices for HIV</w:t>
      </w:r>
      <w:r w:rsidR="00304248" w:rsidRPr="002B5BF5">
        <w:rPr>
          <w:rFonts w:ascii="Times New Roman" w:hAnsi="Times New Roman" w:cs="Times New Roman"/>
        </w:rPr>
        <w:t>; IQR, interquartile range</w:t>
      </w:r>
    </w:p>
    <w:p w14:paraId="5F415742" w14:textId="60A66824" w:rsidR="00970B37" w:rsidRPr="002B5BF5" w:rsidRDefault="00970B37" w:rsidP="00676AD6">
      <w:pPr>
        <w:spacing w:line="360" w:lineRule="auto"/>
        <w:jc w:val="both"/>
        <w:rPr>
          <w:rFonts w:ascii="Times New Roman" w:hAnsi="Times New Roman" w:cs="Times New Roman"/>
        </w:rPr>
        <w:sectPr w:rsidR="00970B37" w:rsidRPr="002B5BF5" w:rsidSect="005C6357">
          <w:footerReference w:type="default" r:id="rId11"/>
          <w:pgSz w:w="11906" w:h="16838"/>
          <w:pgMar w:top="1440" w:right="1440" w:bottom="1440" w:left="1440" w:header="720" w:footer="720" w:gutter="0"/>
          <w:lnNumType w:countBy="1" w:restart="continuous"/>
          <w:cols w:space="720"/>
          <w:docGrid w:linePitch="360"/>
        </w:sectPr>
      </w:pPr>
    </w:p>
    <w:p w14:paraId="54EF1CE0" w14:textId="44D414CD" w:rsidR="00970B37" w:rsidRPr="002B5BF5" w:rsidRDefault="00970B37" w:rsidP="00F10B91">
      <w:pPr>
        <w:spacing w:line="240" w:lineRule="auto"/>
        <w:jc w:val="both"/>
        <w:rPr>
          <w:rFonts w:ascii="Times New Roman" w:hAnsi="Times New Roman" w:cs="Times New Roman"/>
        </w:rPr>
      </w:pPr>
      <w:r w:rsidRPr="002B5BF5">
        <w:rPr>
          <w:rFonts w:ascii="Times New Roman" w:eastAsia="Times New Roman" w:hAnsi="Times New Roman" w:cs="Times New Roman"/>
          <w:b/>
          <w:bCs/>
        </w:rPr>
        <w:lastRenderedPageBreak/>
        <w:t>Table</w:t>
      </w:r>
      <w:r w:rsidR="00E12050" w:rsidRPr="002B5BF5">
        <w:rPr>
          <w:rFonts w:ascii="Times New Roman" w:eastAsia="Times New Roman" w:hAnsi="Times New Roman" w:cs="Times New Roman"/>
          <w:b/>
          <w:bCs/>
        </w:rPr>
        <w:t xml:space="preserve"> 2</w:t>
      </w:r>
      <w:r w:rsidRPr="002B5BF5">
        <w:rPr>
          <w:rFonts w:ascii="Times New Roman" w:eastAsia="Times New Roman" w:hAnsi="Times New Roman" w:cs="Times New Roman"/>
          <w:b/>
          <w:bCs/>
        </w:rPr>
        <w:t xml:space="preserve">. Consenting and </w:t>
      </w:r>
      <w:r w:rsidR="00567299" w:rsidRPr="002B5BF5">
        <w:rPr>
          <w:rFonts w:ascii="Times New Roman" w:eastAsia="Times New Roman" w:hAnsi="Times New Roman" w:cs="Times New Roman"/>
          <w:b/>
          <w:bCs/>
        </w:rPr>
        <w:t>uptake of HIV testing</w:t>
      </w:r>
      <w:r w:rsidRPr="002B5BF5">
        <w:rPr>
          <w:rFonts w:ascii="Times New Roman" w:eastAsia="Times New Roman" w:hAnsi="Times New Roman" w:cs="Times New Roman"/>
          <w:b/>
          <w:bCs/>
        </w:rPr>
        <w:t xml:space="preserve"> </w:t>
      </w:r>
      <w:r w:rsidR="00556C2A" w:rsidRPr="002B5BF5">
        <w:rPr>
          <w:rFonts w:ascii="Times New Roman" w:eastAsia="Times New Roman" w:hAnsi="Times New Roman" w:cs="Times New Roman"/>
          <w:b/>
          <w:bCs/>
        </w:rPr>
        <w:t xml:space="preserve">among </w:t>
      </w:r>
      <w:r w:rsidR="00E612F6" w:rsidRPr="002B5BF5">
        <w:rPr>
          <w:rFonts w:ascii="Times New Roman" w:eastAsia="Times New Roman" w:hAnsi="Times New Roman" w:cs="Times New Roman"/>
          <w:b/>
          <w:bCs/>
        </w:rPr>
        <w:t xml:space="preserve">all 13,838 </w:t>
      </w:r>
      <w:r w:rsidR="00A20DCC" w:rsidRPr="002B5BF5">
        <w:rPr>
          <w:rFonts w:ascii="Times New Roman" w:eastAsia="Times New Roman" w:hAnsi="Times New Roman" w:cs="Times New Roman"/>
          <w:b/>
          <w:bCs/>
        </w:rPr>
        <w:t xml:space="preserve">eligible </w:t>
      </w:r>
      <w:r w:rsidR="00F10B91" w:rsidRPr="002B5BF5">
        <w:rPr>
          <w:rFonts w:ascii="Times New Roman" w:eastAsia="Times New Roman" w:hAnsi="Times New Roman" w:cs="Times New Roman"/>
          <w:b/>
          <w:bCs/>
        </w:rPr>
        <w:t>men</w:t>
      </w:r>
      <w:r w:rsidR="00E612F6" w:rsidRPr="002B5BF5">
        <w:rPr>
          <w:rFonts w:ascii="Times New Roman" w:eastAsia="Times New Roman" w:hAnsi="Times New Roman" w:cs="Times New Roman"/>
          <w:b/>
          <w:bCs/>
        </w:rPr>
        <w:t xml:space="preserve"> </w:t>
      </w:r>
      <w:r w:rsidR="00556C2A" w:rsidRPr="002B5BF5">
        <w:rPr>
          <w:rFonts w:ascii="Times New Roman" w:eastAsia="Times New Roman" w:hAnsi="Times New Roman" w:cs="Times New Roman"/>
          <w:b/>
          <w:bCs/>
        </w:rPr>
        <w:t xml:space="preserve">by </w:t>
      </w:r>
      <w:r w:rsidR="00A20DCC" w:rsidRPr="002B5BF5">
        <w:rPr>
          <w:rFonts w:ascii="Times New Roman" w:eastAsia="Times New Roman" w:hAnsi="Times New Roman" w:cs="Times New Roman"/>
          <w:b/>
          <w:bCs/>
        </w:rPr>
        <w:t>intervention</w:t>
      </w:r>
      <w:r w:rsidR="0001615B" w:rsidRPr="002B5BF5">
        <w:rPr>
          <w:rFonts w:ascii="Times New Roman" w:eastAsia="Times New Roman" w:hAnsi="Times New Roman" w:cs="Times New Roman"/>
          <w:b/>
          <w:bCs/>
        </w:rPr>
        <w:t xml:space="preserve"> arm</w:t>
      </w:r>
      <w:r w:rsidR="00A20DCC" w:rsidRPr="002B5BF5">
        <w:rPr>
          <w:rFonts w:ascii="Times New Roman" w:eastAsia="Times New Roman" w:hAnsi="Times New Roman" w:cs="Times New Roman"/>
          <w:b/>
          <w:bCs/>
        </w:rPr>
        <w:t>s</w:t>
      </w:r>
    </w:p>
    <w:tbl>
      <w:tblPr>
        <w:tblW w:w="9990" w:type="dxa"/>
        <w:tblInd w:w="-471" w:type="dxa"/>
        <w:tblLayout w:type="fixed"/>
        <w:tblLook w:val="04A0" w:firstRow="1" w:lastRow="0" w:firstColumn="1" w:lastColumn="0" w:noHBand="0" w:noVBand="1"/>
      </w:tblPr>
      <w:tblGrid>
        <w:gridCol w:w="3690"/>
        <w:gridCol w:w="1440"/>
        <w:gridCol w:w="1530"/>
        <w:gridCol w:w="1620"/>
        <w:gridCol w:w="1710"/>
      </w:tblGrid>
      <w:tr w:rsidR="002B5BF5" w:rsidRPr="002B5BF5" w14:paraId="20B4CB5F" w14:textId="5543D573" w:rsidTr="008D1819">
        <w:trPr>
          <w:trHeight w:val="633"/>
        </w:trPr>
        <w:tc>
          <w:tcPr>
            <w:tcW w:w="3690" w:type="dxa"/>
            <w:tcBorders>
              <w:top w:val="single" w:sz="4" w:space="0" w:color="auto"/>
              <w:left w:val="nil"/>
              <w:bottom w:val="single" w:sz="4" w:space="0" w:color="auto"/>
              <w:right w:val="nil"/>
            </w:tcBorders>
            <w:shd w:val="clear" w:color="auto" w:fill="auto"/>
            <w:noWrap/>
            <w:hideMark/>
          </w:tcPr>
          <w:p w14:paraId="4A9E86DB" w14:textId="77777777" w:rsidR="002617EB" w:rsidRPr="002B5BF5" w:rsidRDefault="002617EB" w:rsidP="00676AD6">
            <w:pPr>
              <w:spacing w:after="0" w:line="276" w:lineRule="auto"/>
              <w:jc w:val="both"/>
              <w:rPr>
                <w:rFonts w:ascii="Times New Roman" w:eastAsia="Times New Roman" w:hAnsi="Times New Roman" w:cs="Times New Roman"/>
                <w:b/>
                <w:bCs/>
              </w:rPr>
            </w:pPr>
            <w:r w:rsidRPr="002B5BF5">
              <w:rPr>
                <w:rFonts w:ascii="Times New Roman" w:eastAsia="Times New Roman" w:hAnsi="Times New Roman" w:cs="Times New Roman"/>
                <w:b/>
                <w:bCs/>
              </w:rPr>
              <w:t> </w:t>
            </w:r>
          </w:p>
        </w:tc>
        <w:tc>
          <w:tcPr>
            <w:tcW w:w="1440" w:type="dxa"/>
            <w:tcBorders>
              <w:top w:val="single" w:sz="4" w:space="0" w:color="auto"/>
              <w:left w:val="nil"/>
              <w:bottom w:val="single" w:sz="4" w:space="0" w:color="auto"/>
              <w:right w:val="nil"/>
            </w:tcBorders>
            <w:shd w:val="clear" w:color="auto" w:fill="auto"/>
            <w:hideMark/>
          </w:tcPr>
          <w:p w14:paraId="3EA8640A" w14:textId="43B23095" w:rsidR="00E612F6" w:rsidRPr="002B5BF5" w:rsidRDefault="00E612F6">
            <w:pPr>
              <w:spacing w:after="0" w:line="240" w:lineRule="auto"/>
              <w:jc w:val="center"/>
              <w:rPr>
                <w:rFonts w:ascii="Times New Roman" w:eastAsia="Times New Roman" w:hAnsi="Times New Roman" w:cs="Times New Roman"/>
              </w:rPr>
            </w:pPr>
            <w:r w:rsidRPr="002B5BF5">
              <w:rPr>
                <w:rFonts w:ascii="Times New Roman" w:eastAsia="Times New Roman" w:hAnsi="Times New Roman" w:cs="Times New Roman"/>
              </w:rPr>
              <w:t>Total number of e</w:t>
            </w:r>
            <w:r w:rsidR="002617EB" w:rsidRPr="002B5BF5">
              <w:rPr>
                <w:rFonts w:ascii="Times New Roman" w:eastAsia="Times New Roman" w:hAnsi="Times New Roman" w:cs="Times New Roman"/>
              </w:rPr>
              <w:t>ligible participants</w:t>
            </w:r>
          </w:p>
        </w:tc>
        <w:tc>
          <w:tcPr>
            <w:tcW w:w="1530" w:type="dxa"/>
            <w:tcBorders>
              <w:top w:val="single" w:sz="4" w:space="0" w:color="auto"/>
              <w:left w:val="nil"/>
              <w:bottom w:val="single" w:sz="4" w:space="0" w:color="auto"/>
              <w:right w:val="nil"/>
            </w:tcBorders>
            <w:shd w:val="clear" w:color="auto" w:fill="auto"/>
            <w:hideMark/>
          </w:tcPr>
          <w:p w14:paraId="5D129D5C" w14:textId="09DA9955" w:rsidR="002617EB" w:rsidRPr="002B5BF5" w:rsidRDefault="00E612F6">
            <w:pPr>
              <w:spacing w:after="0" w:line="240" w:lineRule="auto"/>
              <w:jc w:val="center"/>
              <w:rPr>
                <w:rFonts w:ascii="Times New Roman" w:eastAsia="Times New Roman" w:hAnsi="Times New Roman" w:cs="Times New Roman"/>
              </w:rPr>
            </w:pPr>
            <w:r w:rsidRPr="002B5BF5">
              <w:rPr>
                <w:rFonts w:ascii="Times New Roman" w:eastAsia="Times New Roman" w:hAnsi="Times New Roman" w:cs="Times New Roman"/>
              </w:rPr>
              <w:t>C</w:t>
            </w:r>
            <w:r w:rsidR="002617EB" w:rsidRPr="002B5BF5">
              <w:rPr>
                <w:rFonts w:ascii="Times New Roman" w:eastAsia="Times New Roman" w:hAnsi="Times New Roman" w:cs="Times New Roman"/>
              </w:rPr>
              <w:t>onsent</w:t>
            </w:r>
            <w:r w:rsidRPr="002B5BF5">
              <w:rPr>
                <w:rFonts w:ascii="Times New Roman" w:eastAsia="Times New Roman" w:hAnsi="Times New Roman" w:cs="Times New Roman"/>
              </w:rPr>
              <w:t>ed</w:t>
            </w:r>
            <w:r w:rsidR="002617EB" w:rsidRPr="002B5BF5">
              <w:rPr>
                <w:rFonts w:ascii="Times New Roman" w:eastAsia="Times New Roman" w:hAnsi="Times New Roman" w:cs="Times New Roman"/>
              </w:rPr>
              <w:t xml:space="preserve"> for interventions</w:t>
            </w:r>
          </w:p>
        </w:tc>
        <w:tc>
          <w:tcPr>
            <w:tcW w:w="1620" w:type="dxa"/>
            <w:tcBorders>
              <w:top w:val="single" w:sz="4" w:space="0" w:color="auto"/>
              <w:left w:val="nil"/>
              <w:bottom w:val="single" w:sz="4" w:space="0" w:color="auto"/>
              <w:right w:val="nil"/>
            </w:tcBorders>
            <w:shd w:val="clear" w:color="auto" w:fill="auto"/>
            <w:hideMark/>
          </w:tcPr>
          <w:p w14:paraId="2E2BC86F" w14:textId="0AB4B8B9" w:rsidR="00A20DCC" w:rsidRPr="002B5BF5" w:rsidRDefault="00582A7F" w:rsidP="006B00B2">
            <w:pPr>
              <w:spacing w:after="0" w:line="240" w:lineRule="auto"/>
              <w:jc w:val="center"/>
              <w:rPr>
                <w:rFonts w:ascii="Times New Roman" w:eastAsia="Times New Roman" w:hAnsi="Times New Roman" w:cs="Times New Roman"/>
              </w:rPr>
            </w:pPr>
            <w:r w:rsidRPr="002B5BF5">
              <w:rPr>
                <w:rFonts w:ascii="Times New Roman" w:eastAsia="Times New Roman" w:hAnsi="Times New Roman" w:cs="Times New Roman"/>
              </w:rPr>
              <w:t xml:space="preserve">Received rapid </w:t>
            </w:r>
            <w:r w:rsidR="002617EB" w:rsidRPr="002B5BF5">
              <w:rPr>
                <w:rFonts w:ascii="Times New Roman" w:eastAsia="Times New Roman" w:hAnsi="Times New Roman" w:cs="Times New Roman"/>
              </w:rPr>
              <w:t xml:space="preserve">HIV testing </w:t>
            </w:r>
          </w:p>
        </w:tc>
        <w:tc>
          <w:tcPr>
            <w:tcW w:w="1710" w:type="dxa"/>
            <w:tcBorders>
              <w:top w:val="single" w:sz="4" w:space="0" w:color="auto"/>
              <w:left w:val="nil"/>
              <w:bottom w:val="single" w:sz="4" w:space="0" w:color="auto"/>
              <w:right w:val="nil"/>
            </w:tcBorders>
            <w:shd w:val="clear" w:color="auto" w:fill="auto"/>
            <w:hideMark/>
          </w:tcPr>
          <w:p w14:paraId="23A7364F" w14:textId="3A70553E" w:rsidR="002617EB" w:rsidRPr="002B5BF5" w:rsidRDefault="002617EB" w:rsidP="00B75220">
            <w:pPr>
              <w:spacing w:after="0" w:line="240" w:lineRule="auto"/>
              <w:jc w:val="center"/>
              <w:rPr>
                <w:rFonts w:ascii="Times New Roman" w:eastAsia="Times New Roman" w:hAnsi="Times New Roman" w:cs="Times New Roman"/>
              </w:rPr>
            </w:pPr>
            <w:r w:rsidRPr="002B5BF5">
              <w:rPr>
                <w:rFonts w:ascii="Times New Roman" w:eastAsia="Times New Roman" w:hAnsi="Times New Roman" w:cs="Times New Roman"/>
              </w:rPr>
              <w:t>Risk Ratios</w:t>
            </w:r>
          </w:p>
          <w:p w14:paraId="60B52762" w14:textId="1BD709FF" w:rsidR="002617EB" w:rsidRPr="002B5BF5" w:rsidRDefault="002617EB" w:rsidP="00B75220">
            <w:pPr>
              <w:spacing w:after="0" w:line="240" w:lineRule="auto"/>
              <w:jc w:val="center"/>
              <w:rPr>
                <w:rFonts w:ascii="Times New Roman" w:eastAsia="Times New Roman" w:hAnsi="Times New Roman" w:cs="Times New Roman"/>
              </w:rPr>
            </w:pPr>
            <w:r w:rsidRPr="002B5BF5">
              <w:rPr>
                <w:rFonts w:ascii="Times New Roman" w:eastAsia="Times New Roman" w:hAnsi="Times New Roman" w:cs="Times New Roman"/>
              </w:rPr>
              <w:t>(95% CI)</w:t>
            </w:r>
          </w:p>
        </w:tc>
      </w:tr>
      <w:tr w:rsidR="002B5BF5" w:rsidRPr="002B5BF5" w14:paraId="1997268C" w14:textId="5E4036BB" w:rsidTr="008D1819">
        <w:trPr>
          <w:trHeight w:val="210"/>
        </w:trPr>
        <w:tc>
          <w:tcPr>
            <w:tcW w:w="3690" w:type="dxa"/>
            <w:tcBorders>
              <w:top w:val="single" w:sz="4" w:space="0" w:color="auto"/>
              <w:left w:val="nil"/>
              <w:bottom w:val="single" w:sz="4" w:space="0" w:color="auto"/>
              <w:right w:val="nil"/>
            </w:tcBorders>
            <w:shd w:val="clear" w:color="auto" w:fill="auto"/>
            <w:noWrap/>
            <w:hideMark/>
          </w:tcPr>
          <w:p w14:paraId="52EABD26" w14:textId="77777777" w:rsidR="002617EB" w:rsidRPr="002B5BF5" w:rsidRDefault="002617EB" w:rsidP="00676AD6">
            <w:pPr>
              <w:spacing w:after="0" w:line="276" w:lineRule="auto"/>
              <w:jc w:val="both"/>
              <w:rPr>
                <w:rFonts w:ascii="Times New Roman" w:eastAsia="Times New Roman" w:hAnsi="Times New Roman" w:cs="Times New Roman"/>
              </w:rPr>
            </w:pPr>
          </w:p>
        </w:tc>
        <w:tc>
          <w:tcPr>
            <w:tcW w:w="1440" w:type="dxa"/>
            <w:tcBorders>
              <w:top w:val="single" w:sz="4" w:space="0" w:color="auto"/>
              <w:left w:val="nil"/>
              <w:bottom w:val="single" w:sz="4" w:space="0" w:color="auto"/>
              <w:right w:val="nil"/>
            </w:tcBorders>
            <w:shd w:val="clear" w:color="auto" w:fill="auto"/>
            <w:hideMark/>
          </w:tcPr>
          <w:p w14:paraId="12673924" w14:textId="4CC4B7BC" w:rsidR="002617EB" w:rsidRPr="002B5BF5" w:rsidRDefault="00E612F6" w:rsidP="00C04A8B">
            <w:pPr>
              <w:spacing w:after="0" w:line="276" w:lineRule="auto"/>
              <w:jc w:val="center"/>
              <w:rPr>
                <w:rFonts w:ascii="Times New Roman" w:eastAsia="Times New Roman" w:hAnsi="Times New Roman" w:cs="Times New Roman"/>
              </w:rPr>
            </w:pPr>
            <w:r w:rsidRPr="002B5BF5">
              <w:rPr>
                <w:rFonts w:ascii="Times New Roman" w:eastAsia="Times New Roman" w:hAnsi="Times New Roman" w:cs="Times New Roman"/>
              </w:rPr>
              <w:t>N=13,838</w:t>
            </w:r>
          </w:p>
        </w:tc>
        <w:tc>
          <w:tcPr>
            <w:tcW w:w="1530" w:type="dxa"/>
            <w:tcBorders>
              <w:top w:val="single" w:sz="4" w:space="0" w:color="auto"/>
              <w:left w:val="nil"/>
              <w:bottom w:val="single" w:sz="4" w:space="0" w:color="auto"/>
              <w:right w:val="nil"/>
            </w:tcBorders>
            <w:shd w:val="clear" w:color="auto" w:fill="auto"/>
            <w:hideMark/>
          </w:tcPr>
          <w:p w14:paraId="1D07E7DB" w14:textId="400D904B" w:rsidR="002617EB" w:rsidRPr="002B5BF5" w:rsidRDefault="00E612F6" w:rsidP="00F10B91">
            <w:pPr>
              <w:spacing w:after="0" w:line="276" w:lineRule="auto"/>
              <w:jc w:val="center"/>
              <w:rPr>
                <w:rFonts w:ascii="Times New Roman" w:eastAsia="Times New Roman" w:hAnsi="Times New Roman" w:cs="Times New Roman"/>
              </w:rPr>
            </w:pPr>
            <w:r w:rsidRPr="002B5BF5">
              <w:rPr>
                <w:rFonts w:ascii="Times New Roman" w:eastAsia="Times New Roman" w:hAnsi="Times New Roman" w:cs="Times New Roman"/>
              </w:rPr>
              <w:t>N=1,759</w:t>
            </w:r>
          </w:p>
        </w:tc>
        <w:tc>
          <w:tcPr>
            <w:tcW w:w="1620" w:type="dxa"/>
            <w:tcBorders>
              <w:top w:val="single" w:sz="4" w:space="0" w:color="auto"/>
              <w:left w:val="nil"/>
              <w:bottom w:val="single" w:sz="4" w:space="0" w:color="auto"/>
              <w:right w:val="nil"/>
            </w:tcBorders>
            <w:shd w:val="clear" w:color="auto" w:fill="auto"/>
            <w:hideMark/>
          </w:tcPr>
          <w:p w14:paraId="535684DD" w14:textId="2C5596C7" w:rsidR="002617EB" w:rsidRPr="002B5BF5" w:rsidRDefault="00E612F6" w:rsidP="00F10B91">
            <w:pPr>
              <w:spacing w:after="0" w:line="276" w:lineRule="auto"/>
              <w:jc w:val="center"/>
              <w:rPr>
                <w:rFonts w:ascii="Times New Roman" w:eastAsia="Times New Roman" w:hAnsi="Times New Roman" w:cs="Times New Roman"/>
              </w:rPr>
            </w:pPr>
            <w:r w:rsidRPr="002B5BF5">
              <w:rPr>
                <w:rFonts w:ascii="Times New Roman" w:eastAsia="Times New Roman" w:hAnsi="Times New Roman" w:cs="Times New Roman"/>
              </w:rPr>
              <w:t>N=2,865</w:t>
            </w:r>
          </w:p>
        </w:tc>
        <w:tc>
          <w:tcPr>
            <w:tcW w:w="1710" w:type="dxa"/>
            <w:tcBorders>
              <w:top w:val="single" w:sz="4" w:space="0" w:color="auto"/>
              <w:left w:val="nil"/>
              <w:bottom w:val="single" w:sz="4" w:space="0" w:color="auto"/>
              <w:right w:val="nil"/>
            </w:tcBorders>
            <w:shd w:val="clear" w:color="auto" w:fill="auto"/>
            <w:hideMark/>
          </w:tcPr>
          <w:p w14:paraId="3933F6FD" w14:textId="77777777" w:rsidR="002617EB" w:rsidRPr="002B5BF5" w:rsidRDefault="002617EB" w:rsidP="00676AD6">
            <w:pPr>
              <w:spacing w:after="0" w:line="276" w:lineRule="auto"/>
              <w:jc w:val="both"/>
              <w:rPr>
                <w:rFonts w:ascii="Times New Roman" w:eastAsia="Times New Roman" w:hAnsi="Times New Roman" w:cs="Times New Roman"/>
              </w:rPr>
            </w:pPr>
          </w:p>
        </w:tc>
      </w:tr>
      <w:tr w:rsidR="002B5BF5" w:rsidRPr="002B5BF5" w14:paraId="46AA9A07" w14:textId="4090569F" w:rsidTr="008D1819">
        <w:trPr>
          <w:trHeight w:val="323"/>
        </w:trPr>
        <w:tc>
          <w:tcPr>
            <w:tcW w:w="3690" w:type="dxa"/>
            <w:tcBorders>
              <w:top w:val="single" w:sz="4" w:space="0" w:color="auto"/>
              <w:left w:val="nil"/>
              <w:bottom w:val="nil"/>
              <w:right w:val="nil"/>
            </w:tcBorders>
            <w:shd w:val="clear" w:color="auto" w:fill="auto"/>
            <w:noWrap/>
            <w:vAlign w:val="bottom"/>
            <w:hideMark/>
          </w:tcPr>
          <w:p w14:paraId="56AE8C25" w14:textId="77777777" w:rsidR="002617EB" w:rsidRPr="002B5BF5" w:rsidRDefault="002617EB" w:rsidP="00676AD6">
            <w:pPr>
              <w:spacing w:after="0" w:line="276" w:lineRule="auto"/>
              <w:jc w:val="both"/>
              <w:rPr>
                <w:rFonts w:ascii="Times New Roman" w:eastAsia="Times New Roman" w:hAnsi="Times New Roman" w:cs="Times New Roman"/>
                <w:b/>
                <w:bCs/>
              </w:rPr>
            </w:pPr>
            <w:r w:rsidRPr="002B5BF5">
              <w:rPr>
                <w:rFonts w:ascii="Times New Roman" w:eastAsia="Times New Roman" w:hAnsi="Times New Roman" w:cs="Times New Roman"/>
                <w:b/>
                <w:bCs/>
              </w:rPr>
              <w:t>Intervention group analysis</w:t>
            </w:r>
          </w:p>
        </w:tc>
        <w:tc>
          <w:tcPr>
            <w:tcW w:w="1440" w:type="dxa"/>
            <w:tcBorders>
              <w:top w:val="single" w:sz="4" w:space="0" w:color="auto"/>
              <w:left w:val="nil"/>
              <w:bottom w:val="nil"/>
              <w:right w:val="nil"/>
            </w:tcBorders>
            <w:shd w:val="clear" w:color="auto" w:fill="auto"/>
            <w:noWrap/>
            <w:vAlign w:val="bottom"/>
            <w:hideMark/>
          </w:tcPr>
          <w:p w14:paraId="014345A1" w14:textId="2272EAB9" w:rsidR="002617EB" w:rsidRPr="002B5BF5" w:rsidRDefault="002617EB" w:rsidP="00676AD6">
            <w:pPr>
              <w:spacing w:after="0" w:line="276" w:lineRule="auto"/>
              <w:jc w:val="both"/>
              <w:rPr>
                <w:rFonts w:ascii="Times New Roman" w:eastAsia="Times New Roman" w:hAnsi="Times New Roman" w:cs="Times New Roman"/>
              </w:rPr>
            </w:pPr>
          </w:p>
        </w:tc>
        <w:tc>
          <w:tcPr>
            <w:tcW w:w="1530" w:type="dxa"/>
            <w:tcBorders>
              <w:top w:val="single" w:sz="4" w:space="0" w:color="auto"/>
              <w:left w:val="nil"/>
              <w:bottom w:val="nil"/>
              <w:right w:val="nil"/>
            </w:tcBorders>
            <w:shd w:val="clear" w:color="auto" w:fill="auto"/>
            <w:noWrap/>
            <w:vAlign w:val="bottom"/>
            <w:hideMark/>
          </w:tcPr>
          <w:p w14:paraId="0CD2F155" w14:textId="3695AC74" w:rsidR="002617EB" w:rsidRPr="002B5BF5" w:rsidRDefault="00E612F6" w:rsidP="00F10B91">
            <w:pPr>
              <w:spacing w:after="0" w:line="276" w:lineRule="auto"/>
              <w:jc w:val="center"/>
              <w:rPr>
                <w:rFonts w:ascii="Times New Roman" w:eastAsia="Times New Roman" w:hAnsi="Times New Roman" w:cs="Times New Roman"/>
              </w:rPr>
            </w:pPr>
            <w:r w:rsidRPr="002B5BF5">
              <w:rPr>
                <w:rFonts w:ascii="Times New Roman" w:eastAsia="Times New Roman" w:hAnsi="Times New Roman" w:cs="Times New Roman"/>
              </w:rPr>
              <w:t>No. (%)</w:t>
            </w:r>
          </w:p>
        </w:tc>
        <w:tc>
          <w:tcPr>
            <w:tcW w:w="1620" w:type="dxa"/>
            <w:tcBorders>
              <w:top w:val="single" w:sz="4" w:space="0" w:color="auto"/>
              <w:left w:val="nil"/>
              <w:bottom w:val="nil"/>
              <w:right w:val="nil"/>
            </w:tcBorders>
            <w:shd w:val="clear" w:color="auto" w:fill="auto"/>
            <w:noWrap/>
            <w:vAlign w:val="bottom"/>
            <w:hideMark/>
          </w:tcPr>
          <w:p w14:paraId="1380F411" w14:textId="0AD32D0F" w:rsidR="002617EB" w:rsidRPr="002B5BF5" w:rsidRDefault="00E612F6" w:rsidP="00F10B91">
            <w:pPr>
              <w:spacing w:after="0" w:line="276" w:lineRule="auto"/>
              <w:jc w:val="center"/>
              <w:rPr>
                <w:rFonts w:ascii="Times New Roman" w:eastAsia="Times New Roman" w:hAnsi="Times New Roman" w:cs="Times New Roman"/>
              </w:rPr>
            </w:pPr>
            <w:r w:rsidRPr="002B5BF5">
              <w:rPr>
                <w:rFonts w:ascii="Times New Roman" w:eastAsia="Times New Roman" w:hAnsi="Times New Roman" w:cs="Times New Roman"/>
              </w:rPr>
              <w:t>No. (%)</w:t>
            </w:r>
          </w:p>
        </w:tc>
        <w:tc>
          <w:tcPr>
            <w:tcW w:w="1710" w:type="dxa"/>
            <w:tcBorders>
              <w:top w:val="single" w:sz="4" w:space="0" w:color="auto"/>
              <w:left w:val="nil"/>
              <w:bottom w:val="nil"/>
              <w:right w:val="nil"/>
            </w:tcBorders>
            <w:shd w:val="clear" w:color="auto" w:fill="auto"/>
            <w:noWrap/>
            <w:vAlign w:val="bottom"/>
            <w:hideMark/>
          </w:tcPr>
          <w:p w14:paraId="551FF944" w14:textId="77777777" w:rsidR="002617EB" w:rsidRPr="002B5BF5" w:rsidRDefault="002617EB" w:rsidP="00676AD6">
            <w:pPr>
              <w:spacing w:after="0" w:line="276" w:lineRule="auto"/>
              <w:jc w:val="both"/>
              <w:rPr>
                <w:rFonts w:ascii="Times New Roman" w:eastAsia="Times New Roman" w:hAnsi="Times New Roman" w:cs="Times New Roman"/>
              </w:rPr>
            </w:pPr>
          </w:p>
        </w:tc>
      </w:tr>
      <w:tr w:rsidR="002B5BF5" w:rsidRPr="002B5BF5" w14:paraId="3AABE4E0" w14:textId="54BC9BB1" w:rsidTr="008D1819">
        <w:trPr>
          <w:trHeight w:val="210"/>
        </w:trPr>
        <w:tc>
          <w:tcPr>
            <w:tcW w:w="3690" w:type="dxa"/>
            <w:tcBorders>
              <w:top w:val="nil"/>
              <w:left w:val="nil"/>
              <w:bottom w:val="nil"/>
              <w:right w:val="nil"/>
            </w:tcBorders>
            <w:shd w:val="clear" w:color="auto" w:fill="auto"/>
            <w:noWrap/>
            <w:vAlign w:val="bottom"/>
            <w:hideMark/>
          </w:tcPr>
          <w:p w14:paraId="19E3EB7E" w14:textId="224A9BFA" w:rsidR="00287E52" w:rsidRPr="002B5BF5" w:rsidRDefault="00287E52" w:rsidP="00287E52">
            <w:pPr>
              <w:spacing w:after="0" w:line="276"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Financial incentives</w:t>
            </w:r>
            <w:r w:rsidR="00BC52F0" w:rsidRPr="002B5BF5">
              <w:rPr>
                <w:rFonts w:ascii="Times New Roman" w:eastAsia="Times New Roman" w:hAnsi="Times New Roman" w:cs="Times New Roman"/>
              </w:rPr>
              <w:t xml:space="preserve"> only</w:t>
            </w:r>
          </w:p>
        </w:tc>
        <w:tc>
          <w:tcPr>
            <w:tcW w:w="1440" w:type="dxa"/>
            <w:tcBorders>
              <w:top w:val="nil"/>
              <w:left w:val="nil"/>
              <w:bottom w:val="nil"/>
              <w:right w:val="nil"/>
            </w:tcBorders>
            <w:shd w:val="clear" w:color="auto" w:fill="auto"/>
            <w:noWrap/>
            <w:hideMark/>
          </w:tcPr>
          <w:p w14:paraId="57CDF84B" w14:textId="56E96B39"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2481</w:t>
            </w:r>
          </w:p>
        </w:tc>
        <w:tc>
          <w:tcPr>
            <w:tcW w:w="1530" w:type="dxa"/>
            <w:tcBorders>
              <w:top w:val="nil"/>
              <w:left w:val="nil"/>
              <w:bottom w:val="nil"/>
              <w:right w:val="nil"/>
            </w:tcBorders>
            <w:shd w:val="clear" w:color="auto" w:fill="auto"/>
            <w:noWrap/>
            <w:hideMark/>
          </w:tcPr>
          <w:p w14:paraId="13BB45F1" w14:textId="05B27BA5"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686 (27.7)</w:t>
            </w:r>
          </w:p>
        </w:tc>
        <w:tc>
          <w:tcPr>
            <w:tcW w:w="1620" w:type="dxa"/>
            <w:tcBorders>
              <w:top w:val="nil"/>
              <w:left w:val="nil"/>
              <w:bottom w:val="nil"/>
              <w:right w:val="nil"/>
            </w:tcBorders>
            <w:shd w:val="clear" w:color="auto" w:fill="auto"/>
            <w:noWrap/>
            <w:hideMark/>
          </w:tcPr>
          <w:p w14:paraId="1276E939" w14:textId="0B5609B5"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680 (27.4)</w:t>
            </w:r>
          </w:p>
        </w:tc>
        <w:tc>
          <w:tcPr>
            <w:tcW w:w="1710" w:type="dxa"/>
            <w:tcBorders>
              <w:top w:val="nil"/>
              <w:left w:val="nil"/>
              <w:bottom w:val="nil"/>
              <w:right w:val="nil"/>
            </w:tcBorders>
            <w:shd w:val="clear" w:color="auto" w:fill="auto"/>
            <w:noWrap/>
            <w:hideMark/>
          </w:tcPr>
          <w:p w14:paraId="76DDEBCC" w14:textId="04423EE9"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1.55 (1.31-1.82)</w:t>
            </w:r>
          </w:p>
        </w:tc>
      </w:tr>
      <w:tr w:rsidR="002B5BF5" w:rsidRPr="002B5BF5" w14:paraId="2076AC38" w14:textId="3F77A378" w:rsidTr="008D1819">
        <w:trPr>
          <w:trHeight w:val="210"/>
        </w:trPr>
        <w:tc>
          <w:tcPr>
            <w:tcW w:w="3690" w:type="dxa"/>
            <w:tcBorders>
              <w:top w:val="nil"/>
              <w:left w:val="nil"/>
              <w:bottom w:val="nil"/>
              <w:right w:val="nil"/>
            </w:tcBorders>
            <w:shd w:val="clear" w:color="auto" w:fill="auto"/>
            <w:noWrap/>
            <w:vAlign w:val="bottom"/>
            <w:hideMark/>
          </w:tcPr>
          <w:p w14:paraId="6F783146" w14:textId="71039228" w:rsidR="00287E52" w:rsidRPr="002B5BF5" w:rsidRDefault="00287E52" w:rsidP="00287E52">
            <w:pPr>
              <w:spacing w:after="0" w:line="276"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Financial incentives plus EPIC-HIV</w:t>
            </w:r>
          </w:p>
        </w:tc>
        <w:tc>
          <w:tcPr>
            <w:tcW w:w="1440" w:type="dxa"/>
            <w:tcBorders>
              <w:top w:val="nil"/>
              <w:left w:val="nil"/>
              <w:bottom w:val="nil"/>
              <w:right w:val="nil"/>
            </w:tcBorders>
            <w:shd w:val="clear" w:color="auto" w:fill="auto"/>
            <w:noWrap/>
            <w:hideMark/>
          </w:tcPr>
          <w:p w14:paraId="71074AB4" w14:textId="0F8C0013"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2120</w:t>
            </w:r>
          </w:p>
        </w:tc>
        <w:tc>
          <w:tcPr>
            <w:tcW w:w="1530" w:type="dxa"/>
            <w:tcBorders>
              <w:top w:val="nil"/>
              <w:left w:val="nil"/>
              <w:bottom w:val="nil"/>
              <w:right w:val="nil"/>
            </w:tcBorders>
            <w:shd w:val="clear" w:color="auto" w:fill="auto"/>
            <w:noWrap/>
            <w:hideMark/>
          </w:tcPr>
          <w:p w14:paraId="3FC9DA65" w14:textId="4F4738FB"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605 (28.5)</w:t>
            </w:r>
          </w:p>
        </w:tc>
        <w:tc>
          <w:tcPr>
            <w:tcW w:w="1620" w:type="dxa"/>
            <w:tcBorders>
              <w:top w:val="nil"/>
              <w:left w:val="nil"/>
              <w:bottom w:val="nil"/>
              <w:right w:val="nil"/>
            </w:tcBorders>
            <w:shd w:val="clear" w:color="auto" w:fill="auto"/>
            <w:noWrap/>
            <w:hideMark/>
          </w:tcPr>
          <w:p w14:paraId="3DCC2A09" w14:textId="13A0BE41"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566 (26.7)</w:t>
            </w:r>
          </w:p>
        </w:tc>
        <w:tc>
          <w:tcPr>
            <w:tcW w:w="1710" w:type="dxa"/>
            <w:tcBorders>
              <w:top w:val="nil"/>
              <w:left w:val="nil"/>
              <w:bottom w:val="nil"/>
              <w:right w:val="nil"/>
            </w:tcBorders>
            <w:shd w:val="clear" w:color="auto" w:fill="auto"/>
            <w:noWrap/>
            <w:hideMark/>
          </w:tcPr>
          <w:p w14:paraId="5C7570D6" w14:textId="1F0DF84E"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1.51 (1.21-1.87)</w:t>
            </w:r>
          </w:p>
        </w:tc>
      </w:tr>
      <w:tr w:rsidR="002B5BF5" w:rsidRPr="002B5BF5" w14:paraId="05AB6463" w14:textId="4F4E8352" w:rsidTr="008D1819">
        <w:trPr>
          <w:trHeight w:val="210"/>
        </w:trPr>
        <w:tc>
          <w:tcPr>
            <w:tcW w:w="3690" w:type="dxa"/>
            <w:tcBorders>
              <w:top w:val="nil"/>
              <w:left w:val="nil"/>
              <w:bottom w:val="nil"/>
              <w:right w:val="nil"/>
            </w:tcBorders>
            <w:shd w:val="clear" w:color="auto" w:fill="auto"/>
            <w:noWrap/>
            <w:vAlign w:val="bottom"/>
            <w:hideMark/>
          </w:tcPr>
          <w:p w14:paraId="03B99818" w14:textId="310AFD6C" w:rsidR="00287E52" w:rsidRPr="002B5BF5" w:rsidRDefault="00287E52" w:rsidP="00287E52">
            <w:pPr>
              <w:spacing w:after="0" w:line="276"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EPIC-HIV</w:t>
            </w:r>
            <w:r w:rsidR="00BC52F0" w:rsidRPr="002B5BF5">
              <w:rPr>
                <w:rFonts w:ascii="Times New Roman" w:eastAsia="Times New Roman" w:hAnsi="Times New Roman" w:cs="Times New Roman"/>
              </w:rPr>
              <w:t xml:space="preserve"> only</w:t>
            </w:r>
          </w:p>
        </w:tc>
        <w:tc>
          <w:tcPr>
            <w:tcW w:w="1440" w:type="dxa"/>
            <w:tcBorders>
              <w:top w:val="nil"/>
              <w:left w:val="nil"/>
              <w:bottom w:val="nil"/>
              <w:right w:val="nil"/>
            </w:tcBorders>
            <w:shd w:val="clear" w:color="auto" w:fill="auto"/>
            <w:noWrap/>
            <w:hideMark/>
          </w:tcPr>
          <w:p w14:paraId="020C8998" w14:textId="4E19D198"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2534</w:t>
            </w:r>
          </w:p>
        </w:tc>
        <w:tc>
          <w:tcPr>
            <w:tcW w:w="1530" w:type="dxa"/>
            <w:tcBorders>
              <w:top w:val="nil"/>
              <w:left w:val="nil"/>
              <w:bottom w:val="nil"/>
              <w:right w:val="nil"/>
            </w:tcBorders>
            <w:shd w:val="clear" w:color="auto" w:fill="auto"/>
            <w:noWrap/>
            <w:hideMark/>
          </w:tcPr>
          <w:p w14:paraId="36073A86" w14:textId="10A9B070"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468 (18.5)</w:t>
            </w:r>
          </w:p>
        </w:tc>
        <w:tc>
          <w:tcPr>
            <w:tcW w:w="1620" w:type="dxa"/>
            <w:tcBorders>
              <w:top w:val="nil"/>
              <w:left w:val="nil"/>
              <w:bottom w:val="nil"/>
              <w:right w:val="nil"/>
            </w:tcBorders>
            <w:shd w:val="clear" w:color="auto" w:fill="auto"/>
            <w:noWrap/>
            <w:hideMark/>
          </w:tcPr>
          <w:p w14:paraId="4E5D0A43" w14:textId="7FC42B4A"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430 (17.0)</w:t>
            </w:r>
          </w:p>
        </w:tc>
        <w:tc>
          <w:tcPr>
            <w:tcW w:w="1710" w:type="dxa"/>
            <w:tcBorders>
              <w:top w:val="nil"/>
              <w:left w:val="nil"/>
              <w:bottom w:val="nil"/>
              <w:right w:val="nil"/>
            </w:tcBorders>
            <w:shd w:val="clear" w:color="auto" w:fill="auto"/>
            <w:noWrap/>
            <w:hideMark/>
          </w:tcPr>
          <w:p w14:paraId="625F862D" w14:textId="4163ABB4"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0.96 (0.76-1.20)</w:t>
            </w:r>
          </w:p>
        </w:tc>
      </w:tr>
      <w:tr w:rsidR="002B5BF5" w:rsidRPr="002B5BF5" w14:paraId="5B2E6141" w14:textId="297AE5A4" w:rsidTr="008D1819">
        <w:trPr>
          <w:trHeight w:val="210"/>
        </w:trPr>
        <w:tc>
          <w:tcPr>
            <w:tcW w:w="3690" w:type="dxa"/>
            <w:tcBorders>
              <w:top w:val="nil"/>
              <w:left w:val="nil"/>
              <w:bottom w:val="nil"/>
              <w:right w:val="nil"/>
            </w:tcBorders>
            <w:shd w:val="clear" w:color="auto" w:fill="auto"/>
            <w:noWrap/>
            <w:vAlign w:val="bottom"/>
            <w:hideMark/>
          </w:tcPr>
          <w:p w14:paraId="1B36DCFE" w14:textId="4D9FAC9F" w:rsidR="00287E52" w:rsidRPr="002B5BF5" w:rsidRDefault="00287E52" w:rsidP="00287E52">
            <w:pPr>
              <w:spacing w:after="0" w:line="276"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S</w:t>
            </w:r>
            <w:r w:rsidR="00F10B91" w:rsidRPr="002B5BF5">
              <w:rPr>
                <w:rFonts w:ascii="Times New Roman" w:eastAsia="Times New Roman" w:hAnsi="Times New Roman" w:cs="Times New Roman"/>
              </w:rPr>
              <w:t>tandard of care</w:t>
            </w:r>
          </w:p>
        </w:tc>
        <w:tc>
          <w:tcPr>
            <w:tcW w:w="1440" w:type="dxa"/>
            <w:tcBorders>
              <w:top w:val="nil"/>
              <w:left w:val="nil"/>
              <w:bottom w:val="nil"/>
              <w:right w:val="nil"/>
            </w:tcBorders>
            <w:shd w:val="clear" w:color="auto" w:fill="auto"/>
            <w:noWrap/>
            <w:hideMark/>
          </w:tcPr>
          <w:p w14:paraId="22C8CA80" w14:textId="62823D10"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6703</w:t>
            </w:r>
          </w:p>
        </w:tc>
        <w:tc>
          <w:tcPr>
            <w:tcW w:w="1530" w:type="dxa"/>
            <w:tcBorders>
              <w:top w:val="nil"/>
              <w:left w:val="nil"/>
              <w:bottom w:val="nil"/>
              <w:right w:val="nil"/>
            </w:tcBorders>
            <w:shd w:val="clear" w:color="auto" w:fill="auto"/>
            <w:noWrap/>
            <w:hideMark/>
          </w:tcPr>
          <w:p w14:paraId="0C0D5C42" w14:textId="36D2EF24"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n/a</w:t>
            </w:r>
          </w:p>
        </w:tc>
        <w:tc>
          <w:tcPr>
            <w:tcW w:w="1620" w:type="dxa"/>
            <w:tcBorders>
              <w:top w:val="nil"/>
              <w:left w:val="nil"/>
              <w:bottom w:val="nil"/>
              <w:right w:val="nil"/>
            </w:tcBorders>
            <w:shd w:val="clear" w:color="auto" w:fill="auto"/>
            <w:noWrap/>
            <w:hideMark/>
          </w:tcPr>
          <w:p w14:paraId="7798F596" w14:textId="3B5D69D5"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1189 (17.7)</w:t>
            </w:r>
          </w:p>
        </w:tc>
        <w:tc>
          <w:tcPr>
            <w:tcW w:w="1710" w:type="dxa"/>
            <w:tcBorders>
              <w:top w:val="nil"/>
              <w:left w:val="nil"/>
              <w:bottom w:val="nil"/>
              <w:right w:val="nil"/>
            </w:tcBorders>
            <w:shd w:val="clear" w:color="auto" w:fill="auto"/>
            <w:noWrap/>
            <w:hideMark/>
          </w:tcPr>
          <w:p w14:paraId="421282BD" w14:textId="496A3E3A"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Ref</w:t>
            </w:r>
            <w:r w:rsidR="00304248" w:rsidRPr="002B5BF5">
              <w:rPr>
                <w:rFonts w:ascii="Times New Roman" w:hAnsi="Times New Roman" w:cs="Times New Roman"/>
              </w:rPr>
              <w:t>erence</w:t>
            </w:r>
          </w:p>
        </w:tc>
      </w:tr>
      <w:tr w:rsidR="002B5BF5" w:rsidRPr="002B5BF5" w14:paraId="61340BF6" w14:textId="2B5B9899" w:rsidTr="008D1819">
        <w:trPr>
          <w:trHeight w:val="405"/>
        </w:trPr>
        <w:tc>
          <w:tcPr>
            <w:tcW w:w="3690" w:type="dxa"/>
            <w:tcBorders>
              <w:top w:val="nil"/>
              <w:left w:val="nil"/>
              <w:bottom w:val="nil"/>
              <w:right w:val="nil"/>
            </w:tcBorders>
            <w:shd w:val="clear" w:color="auto" w:fill="auto"/>
            <w:noWrap/>
            <w:vAlign w:val="bottom"/>
            <w:hideMark/>
          </w:tcPr>
          <w:p w14:paraId="1D55D73A" w14:textId="77777777" w:rsidR="00287E52" w:rsidRPr="002B5BF5" w:rsidRDefault="00287E52" w:rsidP="00287E52">
            <w:pPr>
              <w:spacing w:after="0" w:line="276" w:lineRule="auto"/>
              <w:jc w:val="both"/>
              <w:rPr>
                <w:rFonts w:ascii="Times New Roman" w:eastAsia="Times New Roman" w:hAnsi="Times New Roman" w:cs="Times New Roman"/>
              </w:rPr>
            </w:pPr>
          </w:p>
        </w:tc>
        <w:tc>
          <w:tcPr>
            <w:tcW w:w="1440" w:type="dxa"/>
            <w:tcBorders>
              <w:top w:val="nil"/>
              <w:left w:val="nil"/>
              <w:bottom w:val="nil"/>
              <w:right w:val="nil"/>
            </w:tcBorders>
            <w:shd w:val="clear" w:color="auto" w:fill="auto"/>
            <w:noWrap/>
            <w:hideMark/>
          </w:tcPr>
          <w:p w14:paraId="012E9308" w14:textId="77777777" w:rsidR="00287E52" w:rsidRPr="002B5BF5" w:rsidRDefault="00287E52" w:rsidP="00287E52">
            <w:pPr>
              <w:spacing w:after="0" w:line="276" w:lineRule="auto"/>
              <w:jc w:val="center"/>
              <w:rPr>
                <w:rFonts w:ascii="Times New Roman" w:eastAsia="Times New Roman" w:hAnsi="Times New Roman" w:cs="Times New Roman"/>
              </w:rPr>
            </w:pPr>
          </w:p>
        </w:tc>
        <w:tc>
          <w:tcPr>
            <w:tcW w:w="1530" w:type="dxa"/>
            <w:tcBorders>
              <w:top w:val="nil"/>
              <w:left w:val="nil"/>
              <w:bottom w:val="nil"/>
              <w:right w:val="nil"/>
            </w:tcBorders>
            <w:shd w:val="clear" w:color="auto" w:fill="auto"/>
            <w:noWrap/>
            <w:hideMark/>
          </w:tcPr>
          <w:p w14:paraId="72CB4DE7" w14:textId="77777777" w:rsidR="00287E52" w:rsidRPr="002B5BF5" w:rsidRDefault="00287E52" w:rsidP="00287E52">
            <w:pPr>
              <w:spacing w:after="0" w:line="276" w:lineRule="auto"/>
              <w:jc w:val="center"/>
              <w:rPr>
                <w:rFonts w:ascii="Times New Roman" w:eastAsia="Times New Roman" w:hAnsi="Times New Roman" w:cs="Times New Roman"/>
              </w:rPr>
            </w:pPr>
          </w:p>
        </w:tc>
        <w:tc>
          <w:tcPr>
            <w:tcW w:w="1620" w:type="dxa"/>
            <w:tcBorders>
              <w:top w:val="nil"/>
              <w:left w:val="nil"/>
              <w:bottom w:val="nil"/>
              <w:right w:val="nil"/>
            </w:tcBorders>
            <w:shd w:val="clear" w:color="auto" w:fill="auto"/>
            <w:noWrap/>
            <w:hideMark/>
          </w:tcPr>
          <w:p w14:paraId="7C78995E" w14:textId="77777777" w:rsidR="00287E52" w:rsidRPr="002B5BF5" w:rsidRDefault="00287E52" w:rsidP="00287E52">
            <w:pPr>
              <w:spacing w:after="0" w:line="276" w:lineRule="auto"/>
              <w:jc w:val="center"/>
              <w:rPr>
                <w:rFonts w:ascii="Times New Roman" w:eastAsia="Times New Roman" w:hAnsi="Times New Roman" w:cs="Times New Roman"/>
              </w:rPr>
            </w:pPr>
          </w:p>
        </w:tc>
        <w:tc>
          <w:tcPr>
            <w:tcW w:w="1710" w:type="dxa"/>
            <w:tcBorders>
              <w:top w:val="nil"/>
              <w:left w:val="nil"/>
              <w:bottom w:val="nil"/>
              <w:right w:val="nil"/>
            </w:tcBorders>
            <w:shd w:val="clear" w:color="auto" w:fill="auto"/>
            <w:noWrap/>
            <w:hideMark/>
          </w:tcPr>
          <w:p w14:paraId="39A099AB" w14:textId="77777777" w:rsidR="00287E52" w:rsidRPr="002B5BF5" w:rsidRDefault="00287E52" w:rsidP="00287E52">
            <w:pPr>
              <w:spacing w:after="0" w:line="276" w:lineRule="auto"/>
              <w:jc w:val="center"/>
              <w:rPr>
                <w:rFonts w:ascii="Times New Roman" w:eastAsia="Times New Roman" w:hAnsi="Times New Roman" w:cs="Times New Roman"/>
              </w:rPr>
            </w:pPr>
          </w:p>
        </w:tc>
      </w:tr>
      <w:tr w:rsidR="002B5BF5" w:rsidRPr="002B5BF5" w14:paraId="08A05818" w14:textId="589AA5F9" w:rsidTr="008D1819">
        <w:trPr>
          <w:trHeight w:val="168"/>
        </w:trPr>
        <w:tc>
          <w:tcPr>
            <w:tcW w:w="3690" w:type="dxa"/>
            <w:tcBorders>
              <w:top w:val="nil"/>
              <w:left w:val="nil"/>
              <w:bottom w:val="nil"/>
              <w:right w:val="nil"/>
            </w:tcBorders>
            <w:shd w:val="clear" w:color="auto" w:fill="auto"/>
            <w:vAlign w:val="bottom"/>
            <w:hideMark/>
          </w:tcPr>
          <w:p w14:paraId="24BBCA37" w14:textId="542A8760" w:rsidR="00287E52" w:rsidRPr="002B5BF5" w:rsidRDefault="00287E52" w:rsidP="00287E52">
            <w:pPr>
              <w:spacing w:after="0" w:line="276" w:lineRule="auto"/>
              <w:jc w:val="both"/>
              <w:rPr>
                <w:rFonts w:ascii="Times New Roman" w:eastAsia="Times New Roman" w:hAnsi="Times New Roman" w:cs="Times New Roman"/>
                <w:b/>
                <w:bCs/>
              </w:rPr>
            </w:pPr>
            <w:r w:rsidRPr="002B5BF5">
              <w:rPr>
                <w:rFonts w:ascii="Times New Roman" w:eastAsia="Times New Roman" w:hAnsi="Times New Roman" w:cs="Times New Roman"/>
                <w:b/>
                <w:bCs/>
              </w:rPr>
              <w:t xml:space="preserve">Factorial analysis </w:t>
            </w:r>
          </w:p>
        </w:tc>
        <w:tc>
          <w:tcPr>
            <w:tcW w:w="1440" w:type="dxa"/>
            <w:tcBorders>
              <w:top w:val="nil"/>
              <w:left w:val="nil"/>
              <w:bottom w:val="nil"/>
              <w:right w:val="nil"/>
            </w:tcBorders>
            <w:shd w:val="clear" w:color="auto" w:fill="auto"/>
            <w:noWrap/>
            <w:hideMark/>
          </w:tcPr>
          <w:p w14:paraId="53495E65" w14:textId="77777777" w:rsidR="00287E52" w:rsidRPr="002B5BF5" w:rsidRDefault="00287E52" w:rsidP="00287E52">
            <w:pPr>
              <w:spacing w:after="0" w:line="276" w:lineRule="auto"/>
              <w:jc w:val="center"/>
              <w:rPr>
                <w:rFonts w:ascii="Times New Roman" w:eastAsia="Times New Roman" w:hAnsi="Times New Roman" w:cs="Times New Roman"/>
                <w:b/>
                <w:bCs/>
              </w:rPr>
            </w:pPr>
          </w:p>
        </w:tc>
        <w:tc>
          <w:tcPr>
            <w:tcW w:w="1530" w:type="dxa"/>
            <w:tcBorders>
              <w:top w:val="nil"/>
              <w:left w:val="nil"/>
              <w:bottom w:val="nil"/>
              <w:right w:val="nil"/>
            </w:tcBorders>
            <w:shd w:val="clear" w:color="auto" w:fill="auto"/>
            <w:noWrap/>
            <w:hideMark/>
          </w:tcPr>
          <w:p w14:paraId="40B72E4B" w14:textId="77777777" w:rsidR="00287E52" w:rsidRPr="002B5BF5" w:rsidRDefault="00287E52" w:rsidP="00287E52">
            <w:pPr>
              <w:spacing w:after="0" w:line="276" w:lineRule="auto"/>
              <w:jc w:val="center"/>
              <w:rPr>
                <w:rFonts w:ascii="Times New Roman" w:eastAsia="Times New Roman" w:hAnsi="Times New Roman" w:cs="Times New Roman"/>
              </w:rPr>
            </w:pPr>
          </w:p>
        </w:tc>
        <w:tc>
          <w:tcPr>
            <w:tcW w:w="1620" w:type="dxa"/>
            <w:tcBorders>
              <w:top w:val="nil"/>
              <w:left w:val="nil"/>
              <w:bottom w:val="nil"/>
              <w:right w:val="nil"/>
            </w:tcBorders>
            <w:shd w:val="clear" w:color="auto" w:fill="auto"/>
            <w:noWrap/>
            <w:hideMark/>
          </w:tcPr>
          <w:p w14:paraId="4E77D8C6" w14:textId="77777777" w:rsidR="00287E52" w:rsidRPr="002B5BF5" w:rsidRDefault="00287E52" w:rsidP="00287E52">
            <w:pPr>
              <w:spacing w:after="0" w:line="276" w:lineRule="auto"/>
              <w:jc w:val="center"/>
              <w:rPr>
                <w:rFonts w:ascii="Times New Roman" w:eastAsia="Times New Roman" w:hAnsi="Times New Roman" w:cs="Times New Roman"/>
              </w:rPr>
            </w:pPr>
          </w:p>
        </w:tc>
        <w:tc>
          <w:tcPr>
            <w:tcW w:w="1710" w:type="dxa"/>
            <w:tcBorders>
              <w:top w:val="nil"/>
              <w:left w:val="nil"/>
              <w:bottom w:val="nil"/>
              <w:right w:val="nil"/>
            </w:tcBorders>
            <w:shd w:val="clear" w:color="auto" w:fill="auto"/>
            <w:noWrap/>
            <w:hideMark/>
          </w:tcPr>
          <w:p w14:paraId="66C4027D" w14:textId="77777777" w:rsidR="00287E52" w:rsidRPr="002B5BF5" w:rsidRDefault="00287E52" w:rsidP="00287E52">
            <w:pPr>
              <w:spacing w:after="0" w:line="276" w:lineRule="auto"/>
              <w:jc w:val="center"/>
              <w:rPr>
                <w:rFonts w:ascii="Times New Roman" w:eastAsia="Times New Roman" w:hAnsi="Times New Roman" w:cs="Times New Roman"/>
              </w:rPr>
            </w:pPr>
          </w:p>
        </w:tc>
      </w:tr>
      <w:tr w:rsidR="002B5BF5" w:rsidRPr="002B5BF5" w14:paraId="2BAF57B9" w14:textId="4AE05535" w:rsidTr="008D1819">
        <w:trPr>
          <w:trHeight w:val="210"/>
        </w:trPr>
        <w:tc>
          <w:tcPr>
            <w:tcW w:w="3690" w:type="dxa"/>
            <w:tcBorders>
              <w:top w:val="nil"/>
              <w:left w:val="nil"/>
              <w:bottom w:val="nil"/>
              <w:right w:val="nil"/>
            </w:tcBorders>
            <w:shd w:val="clear" w:color="auto" w:fill="auto"/>
            <w:noWrap/>
            <w:vAlign w:val="bottom"/>
            <w:hideMark/>
          </w:tcPr>
          <w:p w14:paraId="0A604CAA" w14:textId="2AE99191" w:rsidR="00287E52" w:rsidRPr="002B5BF5" w:rsidRDefault="00287E52" w:rsidP="00287E52">
            <w:pPr>
              <w:spacing w:after="0" w:line="276" w:lineRule="auto"/>
              <w:jc w:val="both"/>
              <w:rPr>
                <w:rFonts w:ascii="Times New Roman" w:eastAsia="Times New Roman" w:hAnsi="Times New Roman" w:cs="Times New Roman"/>
              </w:rPr>
            </w:pPr>
            <w:bookmarkStart w:id="24" w:name="_Hlk1393020"/>
            <w:r w:rsidRPr="002B5BF5">
              <w:rPr>
                <w:rFonts w:ascii="Times New Roman" w:eastAsia="Times New Roman" w:hAnsi="Times New Roman" w:cs="Times New Roman"/>
              </w:rPr>
              <w:t xml:space="preserve">   Financial incentives</w:t>
            </w:r>
          </w:p>
        </w:tc>
        <w:tc>
          <w:tcPr>
            <w:tcW w:w="1440" w:type="dxa"/>
            <w:tcBorders>
              <w:top w:val="nil"/>
              <w:left w:val="nil"/>
              <w:bottom w:val="nil"/>
              <w:right w:val="nil"/>
            </w:tcBorders>
            <w:shd w:val="clear" w:color="auto" w:fill="auto"/>
            <w:noWrap/>
            <w:hideMark/>
          </w:tcPr>
          <w:p w14:paraId="2B69D539" w14:textId="64DA22E0"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4601</w:t>
            </w:r>
          </w:p>
        </w:tc>
        <w:tc>
          <w:tcPr>
            <w:tcW w:w="1530" w:type="dxa"/>
            <w:tcBorders>
              <w:top w:val="nil"/>
              <w:left w:val="nil"/>
              <w:bottom w:val="nil"/>
              <w:right w:val="nil"/>
            </w:tcBorders>
            <w:shd w:val="clear" w:color="auto" w:fill="auto"/>
            <w:noWrap/>
            <w:hideMark/>
          </w:tcPr>
          <w:p w14:paraId="1625BFC8" w14:textId="7B4BD172"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1252 (27.2)</w:t>
            </w:r>
          </w:p>
        </w:tc>
        <w:tc>
          <w:tcPr>
            <w:tcW w:w="1620" w:type="dxa"/>
            <w:tcBorders>
              <w:top w:val="nil"/>
              <w:left w:val="nil"/>
              <w:bottom w:val="nil"/>
              <w:right w:val="nil"/>
            </w:tcBorders>
            <w:shd w:val="clear" w:color="auto" w:fill="auto"/>
            <w:noWrap/>
            <w:hideMark/>
          </w:tcPr>
          <w:p w14:paraId="413B077D" w14:textId="3598C67F"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1246 (2</w:t>
            </w:r>
            <w:r w:rsidR="002E1E19" w:rsidRPr="002B5BF5">
              <w:rPr>
                <w:rFonts w:ascii="Times New Roman" w:hAnsi="Times New Roman" w:cs="Times New Roman"/>
              </w:rPr>
              <w:t>7</w:t>
            </w:r>
            <w:r w:rsidRPr="002B5BF5">
              <w:rPr>
                <w:rFonts w:ascii="Times New Roman" w:hAnsi="Times New Roman" w:cs="Times New Roman"/>
              </w:rPr>
              <w:t>.1)</w:t>
            </w:r>
          </w:p>
        </w:tc>
        <w:tc>
          <w:tcPr>
            <w:tcW w:w="1710" w:type="dxa"/>
            <w:tcBorders>
              <w:top w:val="nil"/>
              <w:left w:val="nil"/>
              <w:bottom w:val="nil"/>
              <w:right w:val="nil"/>
            </w:tcBorders>
            <w:shd w:val="clear" w:color="auto" w:fill="auto"/>
            <w:noWrap/>
            <w:hideMark/>
          </w:tcPr>
          <w:p w14:paraId="109B2A38" w14:textId="49BB258E"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1.55 (1.34-1.79)</w:t>
            </w:r>
          </w:p>
        </w:tc>
      </w:tr>
      <w:tr w:rsidR="002B5BF5" w:rsidRPr="002B5BF5" w14:paraId="13FAE7B0" w14:textId="5AFD2DE4" w:rsidTr="008D1819">
        <w:trPr>
          <w:trHeight w:val="210"/>
        </w:trPr>
        <w:tc>
          <w:tcPr>
            <w:tcW w:w="3690" w:type="dxa"/>
            <w:tcBorders>
              <w:top w:val="nil"/>
              <w:left w:val="nil"/>
              <w:bottom w:val="nil"/>
              <w:right w:val="nil"/>
            </w:tcBorders>
            <w:shd w:val="clear" w:color="auto" w:fill="auto"/>
            <w:noWrap/>
            <w:vAlign w:val="bottom"/>
            <w:hideMark/>
          </w:tcPr>
          <w:p w14:paraId="00C52296" w14:textId="5733C2FB" w:rsidR="00287E52" w:rsidRPr="002B5BF5" w:rsidRDefault="00287E52" w:rsidP="00287E52">
            <w:pPr>
              <w:spacing w:after="0" w:line="276"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No financial incentives </w:t>
            </w:r>
          </w:p>
        </w:tc>
        <w:tc>
          <w:tcPr>
            <w:tcW w:w="1440" w:type="dxa"/>
            <w:tcBorders>
              <w:top w:val="nil"/>
              <w:left w:val="nil"/>
              <w:bottom w:val="nil"/>
              <w:right w:val="nil"/>
            </w:tcBorders>
            <w:shd w:val="clear" w:color="auto" w:fill="auto"/>
            <w:noWrap/>
            <w:hideMark/>
          </w:tcPr>
          <w:p w14:paraId="25CC87D2" w14:textId="30CF8F97"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9237</w:t>
            </w:r>
          </w:p>
        </w:tc>
        <w:tc>
          <w:tcPr>
            <w:tcW w:w="1530" w:type="dxa"/>
            <w:tcBorders>
              <w:top w:val="nil"/>
              <w:left w:val="nil"/>
              <w:bottom w:val="nil"/>
              <w:right w:val="nil"/>
            </w:tcBorders>
            <w:shd w:val="clear" w:color="auto" w:fill="auto"/>
            <w:noWrap/>
            <w:hideMark/>
          </w:tcPr>
          <w:p w14:paraId="32834707" w14:textId="7958525D"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n/a</w:t>
            </w:r>
          </w:p>
        </w:tc>
        <w:tc>
          <w:tcPr>
            <w:tcW w:w="1620" w:type="dxa"/>
            <w:tcBorders>
              <w:top w:val="nil"/>
              <w:left w:val="nil"/>
              <w:bottom w:val="nil"/>
              <w:right w:val="nil"/>
            </w:tcBorders>
            <w:shd w:val="clear" w:color="auto" w:fill="auto"/>
            <w:noWrap/>
            <w:hideMark/>
          </w:tcPr>
          <w:p w14:paraId="71489E4F" w14:textId="191EF5B4"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1619 (17.5)</w:t>
            </w:r>
          </w:p>
        </w:tc>
        <w:tc>
          <w:tcPr>
            <w:tcW w:w="1710" w:type="dxa"/>
            <w:tcBorders>
              <w:top w:val="nil"/>
              <w:left w:val="nil"/>
              <w:bottom w:val="nil"/>
              <w:right w:val="nil"/>
            </w:tcBorders>
            <w:shd w:val="clear" w:color="auto" w:fill="auto"/>
            <w:noWrap/>
            <w:hideMark/>
          </w:tcPr>
          <w:p w14:paraId="09EE3F31" w14:textId="5B1F1512"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Ref</w:t>
            </w:r>
            <w:r w:rsidR="00304248" w:rsidRPr="002B5BF5">
              <w:rPr>
                <w:rFonts w:ascii="Times New Roman" w:hAnsi="Times New Roman" w:cs="Times New Roman"/>
              </w:rPr>
              <w:t>erence</w:t>
            </w:r>
          </w:p>
        </w:tc>
      </w:tr>
      <w:tr w:rsidR="002B5BF5" w:rsidRPr="002B5BF5" w14:paraId="10AEEF97" w14:textId="65162C4E" w:rsidTr="008D1819">
        <w:trPr>
          <w:trHeight w:val="210"/>
        </w:trPr>
        <w:tc>
          <w:tcPr>
            <w:tcW w:w="3690" w:type="dxa"/>
            <w:tcBorders>
              <w:top w:val="nil"/>
              <w:left w:val="nil"/>
              <w:bottom w:val="nil"/>
              <w:right w:val="nil"/>
            </w:tcBorders>
            <w:shd w:val="clear" w:color="auto" w:fill="auto"/>
            <w:noWrap/>
            <w:vAlign w:val="bottom"/>
            <w:hideMark/>
          </w:tcPr>
          <w:p w14:paraId="1B96F6D9" w14:textId="77777777" w:rsidR="00287E52" w:rsidRPr="002B5BF5" w:rsidRDefault="00287E52" w:rsidP="00287E52">
            <w:pPr>
              <w:spacing w:after="0" w:line="276" w:lineRule="auto"/>
              <w:jc w:val="both"/>
              <w:rPr>
                <w:rFonts w:ascii="Times New Roman" w:eastAsia="Times New Roman" w:hAnsi="Times New Roman" w:cs="Times New Roman"/>
              </w:rPr>
            </w:pPr>
          </w:p>
        </w:tc>
        <w:tc>
          <w:tcPr>
            <w:tcW w:w="1440" w:type="dxa"/>
            <w:tcBorders>
              <w:top w:val="nil"/>
              <w:left w:val="nil"/>
              <w:bottom w:val="nil"/>
              <w:right w:val="nil"/>
            </w:tcBorders>
            <w:shd w:val="clear" w:color="auto" w:fill="auto"/>
            <w:noWrap/>
            <w:hideMark/>
          </w:tcPr>
          <w:p w14:paraId="0988A73F" w14:textId="77777777" w:rsidR="00287E52" w:rsidRPr="002B5BF5" w:rsidRDefault="00287E52" w:rsidP="00287E52">
            <w:pPr>
              <w:spacing w:after="0" w:line="276" w:lineRule="auto"/>
              <w:jc w:val="center"/>
              <w:rPr>
                <w:rFonts w:ascii="Times New Roman" w:eastAsia="Times New Roman" w:hAnsi="Times New Roman" w:cs="Times New Roman"/>
              </w:rPr>
            </w:pPr>
          </w:p>
        </w:tc>
        <w:tc>
          <w:tcPr>
            <w:tcW w:w="1530" w:type="dxa"/>
            <w:tcBorders>
              <w:top w:val="nil"/>
              <w:left w:val="nil"/>
              <w:bottom w:val="nil"/>
              <w:right w:val="nil"/>
            </w:tcBorders>
            <w:shd w:val="clear" w:color="auto" w:fill="auto"/>
            <w:noWrap/>
            <w:hideMark/>
          </w:tcPr>
          <w:p w14:paraId="5A84C924" w14:textId="77777777" w:rsidR="00287E52" w:rsidRPr="002B5BF5" w:rsidRDefault="00287E52" w:rsidP="00287E52">
            <w:pPr>
              <w:spacing w:after="0" w:line="276" w:lineRule="auto"/>
              <w:jc w:val="center"/>
              <w:rPr>
                <w:rFonts w:ascii="Times New Roman" w:eastAsia="Times New Roman" w:hAnsi="Times New Roman" w:cs="Times New Roman"/>
              </w:rPr>
            </w:pPr>
          </w:p>
        </w:tc>
        <w:tc>
          <w:tcPr>
            <w:tcW w:w="1620" w:type="dxa"/>
            <w:tcBorders>
              <w:top w:val="nil"/>
              <w:left w:val="nil"/>
              <w:bottom w:val="nil"/>
              <w:right w:val="nil"/>
            </w:tcBorders>
            <w:shd w:val="clear" w:color="auto" w:fill="auto"/>
            <w:noWrap/>
            <w:hideMark/>
          </w:tcPr>
          <w:p w14:paraId="33255F31" w14:textId="77777777" w:rsidR="00287E52" w:rsidRPr="002B5BF5" w:rsidRDefault="00287E52" w:rsidP="00287E52">
            <w:pPr>
              <w:spacing w:after="0" w:line="276" w:lineRule="auto"/>
              <w:jc w:val="center"/>
              <w:rPr>
                <w:rFonts w:ascii="Times New Roman" w:eastAsia="Times New Roman" w:hAnsi="Times New Roman" w:cs="Times New Roman"/>
              </w:rPr>
            </w:pPr>
          </w:p>
        </w:tc>
        <w:tc>
          <w:tcPr>
            <w:tcW w:w="1710" w:type="dxa"/>
            <w:tcBorders>
              <w:top w:val="nil"/>
              <w:left w:val="nil"/>
              <w:bottom w:val="nil"/>
              <w:right w:val="nil"/>
            </w:tcBorders>
            <w:shd w:val="clear" w:color="auto" w:fill="auto"/>
            <w:noWrap/>
            <w:hideMark/>
          </w:tcPr>
          <w:p w14:paraId="3BC1B0F8" w14:textId="77777777" w:rsidR="00287E52" w:rsidRPr="002B5BF5" w:rsidRDefault="00287E52" w:rsidP="00287E52">
            <w:pPr>
              <w:spacing w:after="0" w:line="276" w:lineRule="auto"/>
              <w:jc w:val="center"/>
              <w:rPr>
                <w:rFonts w:ascii="Times New Roman" w:eastAsia="Times New Roman" w:hAnsi="Times New Roman" w:cs="Times New Roman"/>
              </w:rPr>
            </w:pPr>
          </w:p>
        </w:tc>
      </w:tr>
      <w:tr w:rsidR="002B5BF5" w:rsidRPr="002B5BF5" w14:paraId="3F9281A1" w14:textId="2DDEBEA7" w:rsidTr="008D1819">
        <w:trPr>
          <w:trHeight w:val="210"/>
        </w:trPr>
        <w:tc>
          <w:tcPr>
            <w:tcW w:w="3690" w:type="dxa"/>
            <w:tcBorders>
              <w:top w:val="nil"/>
              <w:left w:val="nil"/>
              <w:bottom w:val="nil"/>
              <w:right w:val="nil"/>
            </w:tcBorders>
            <w:shd w:val="clear" w:color="auto" w:fill="auto"/>
            <w:noWrap/>
            <w:vAlign w:val="bottom"/>
            <w:hideMark/>
          </w:tcPr>
          <w:p w14:paraId="222A3100" w14:textId="60D3F0ED" w:rsidR="00287E52" w:rsidRPr="002B5BF5" w:rsidRDefault="00287E52" w:rsidP="00287E52">
            <w:pPr>
              <w:spacing w:after="0" w:line="276" w:lineRule="auto"/>
              <w:jc w:val="both"/>
              <w:rPr>
                <w:rFonts w:ascii="Times New Roman" w:eastAsia="Times New Roman" w:hAnsi="Times New Roman" w:cs="Times New Roman"/>
                <w:b/>
                <w:bCs/>
              </w:rPr>
            </w:pPr>
            <w:r w:rsidRPr="002B5BF5">
              <w:rPr>
                <w:rFonts w:ascii="Times New Roman" w:eastAsia="Times New Roman" w:hAnsi="Times New Roman" w:cs="Times New Roman"/>
                <w:b/>
                <w:bCs/>
              </w:rPr>
              <w:t xml:space="preserve">Factorial analysis </w:t>
            </w:r>
          </w:p>
        </w:tc>
        <w:tc>
          <w:tcPr>
            <w:tcW w:w="1440" w:type="dxa"/>
            <w:tcBorders>
              <w:top w:val="nil"/>
              <w:left w:val="nil"/>
              <w:bottom w:val="nil"/>
              <w:right w:val="nil"/>
            </w:tcBorders>
            <w:shd w:val="clear" w:color="auto" w:fill="auto"/>
            <w:noWrap/>
            <w:hideMark/>
          </w:tcPr>
          <w:p w14:paraId="47A688DE" w14:textId="77777777" w:rsidR="00287E52" w:rsidRPr="002B5BF5" w:rsidRDefault="00287E52" w:rsidP="00287E52">
            <w:pPr>
              <w:spacing w:after="0" w:line="276" w:lineRule="auto"/>
              <w:jc w:val="center"/>
              <w:rPr>
                <w:rFonts w:ascii="Times New Roman" w:eastAsia="Times New Roman" w:hAnsi="Times New Roman" w:cs="Times New Roman"/>
                <w:b/>
                <w:bCs/>
              </w:rPr>
            </w:pPr>
          </w:p>
        </w:tc>
        <w:tc>
          <w:tcPr>
            <w:tcW w:w="1530" w:type="dxa"/>
            <w:tcBorders>
              <w:top w:val="nil"/>
              <w:left w:val="nil"/>
              <w:bottom w:val="nil"/>
              <w:right w:val="nil"/>
            </w:tcBorders>
            <w:shd w:val="clear" w:color="auto" w:fill="auto"/>
            <w:noWrap/>
            <w:hideMark/>
          </w:tcPr>
          <w:p w14:paraId="5ADD8B82" w14:textId="77777777" w:rsidR="00287E52" w:rsidRPr="002B5BF5" w:rsidRDefault="00287E52" w:rsidP="00287E52">
            <w:pPr>
              <w:spacing w:after="0" w:line="276" w:lineRule="auto"/>
              <w:jc w:val="center"/>
              <w:rPr>
                <w:rFonts w:ascii="Times New Roman" w:eastAsia="Times New Roman" w:hAnsi="Times New Roman" w:cs="Times New Roman"/>
              </w:rPr>
            </w:pPr>
          </w:p>
        </w:tc>
        <w:tc>
          <w:tcPr>
            <w:tcW w:w="1620" w:type="dxa"/>
            <w:tcBorders>
              <w:top w:val="nil"/>
              <w:left w:val="nil"/>
              <w:bottom w:val="nil"/>
              <w:right w:val="nil"/>
            </w:tcBorders>
            <w:shd w:val="clear" w:color="auto" w:fill="auto"/>
            <w:noWrap/>
            <w:hideMark/>
          </w:tcPr>
          <w:p w14:paraId="003DD26C" w14:textId="77777777" w:rsidR="00287E52" w:rsidRPr="002B5BF5" w:rsidRDefault="00287E52" w:rsidP="00287E52">
            <w:pPr>
              <w:spacing w:after="0" w:line="276" w:lineRule="auto"/>
              <w:jc w:val="center"/>
              <w:rPr>
                <w:rFonts w:ascii="Times New Roman" w:eastAsia="Times New Roman" w:hAnsi="Times New Roman" w:cs="Times New Roman"/>
              </w:rPr>
            </w:pPr>
          </w:p>
        </w:tc>
        <w:tc>
          <w:tcPr>
            <w:tcW w:w="1710" w:type="dxa"/>
            <w:tcBorders>
              <w:top w:val="nil"/>
              <w:left w:val="nil"/>
              <w:bottom w:val="nil"/>
              <w:right w:val="nil"/>
            </w:tcBorders>
            <w:shd w:val="clear" w:color="auto" w:fill="auto"/>
            <w:noWrap/>
            <w:hideMark/>
          </w:tcPr>
          <w:p w14:paraId="5EBE24B1" w14:textId="77777777" w:rsidR="00287E52" w:rsidRPr="002B5BF5" w:rsidRDefault="00287E52" w:rsidP="00287E52">
            <w:pPr>
              <w:spacing w:after="0" w:line="276" w:lineRule="auto"/>
              <w:jc w:val="center"/>
              <w:rPr>
                <w:rFonts w:ascii="Times New Roman" w:eastAsia="Times New Roman" w:hAnsi="Times New Roman" w:cs="Times New Roman"/>
              </w:rPr>
            </w:pPr>
          </w:p>
        </w:tc>
      </w:tr>
      <w:tr w:rsidR="002B5BF5" w:rsidRPr="002B5BF5" w14:paraId="40C739CE" w14:textId="4B9185D6" w:rsidTr="008D1819">
        <w:trPr>
          <w:trHeight w:val="210"/>
        </w:trPr>
        <w:tc>
          <w:tcPr>
            <w:tcW w:w="3690" w:type="dxa"/>
            <w:tcBorders>
              <w:top w:val="nil"/>
              <w:left w:val="nil"/>
              <w:bottom w:val="nil"/>
              <w:right w:val="nil"/>
            </w:tcBorders>
            <w:shd w:val="clear" w:color="auto" w:fill="auto"/>
            <w:noWrap/>
            <w:vAlign w:val="bottom"/>
            <w:hideMark/>
          </w:tcPr>
          <w:p w14:paraId="7283D1DB" w14:textId="364E4AD2" w:rsidR="00287E52" w:rsidRPr="002B5BF5" w:rsidRDefault="00287E52" w:rsidP="00287E52">
            <w:pPr>
              <w:spacing w:after="0" w:line="276"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EPIC-HIV</w:t>
            </w:r>
          </w:p>
        </w:tc>
        <w:tc>
          <w:tcPr>
            <w:tcW w:w="1440" w:type="dxa"/>
            <w:tcBorders>
              <w:top w:val="nil"/>
              <w:left w:val="nil"/>
              <w:bottom w:val="nil"/>
              <w:right w:val="nil"/>
            </w:tcBorders>
            <w:shd w:val="clear" w:color="auto" w:fill="auto"/>
            <w:noWrap/>
            <w:hideMark/>
          </w:tcPr>
          <w:p w14:paraId="4616ACA1" w14:textId="241AEE15"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4654</w:t>
            </w:r>
          </w:p>
        </w:tc>
        <w:tc>
          <w:tcPr>
            <w:tcW w:w="1530" w:type="dxa"/>
            <w:tcBorders>
              <w:top w:val="nil"/>
              <w:left w:val="nil"/>
              <w:bottom w:val="nil"/>
              <w:right w:val="nil"/>
            </w:tcBorders>
            <w:shd w:val="clear" w:color="auto" w:fill="auto"/>
            <w:noWrap/>
            <w:hideMark/>
          </w:tcPr>
          <w:p w14:paraId="6EE96FE2" w14:textId="17DDA53B"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1037 (22.3)</w:t>
            </w:r>
          </w:p>
        </w:tc>
        <w:tc>
          <w:tcPr>
            <w:tcW w:w="1620" w:type="dxa"/>
            <w:tcBorders>
              <w:top w:val="nil"/>
              <w:left w:val="nil"/>
              <w:bottom w:val="nil"/>
              <w:right w:val="nil"/>
            </w:tcBorders>
            <w:shd w:val="clear" w:color="auto" w:fill="auto"/>
            <w:noWrap/>
            <w:hideMark/>
          </w:tcPr>
          <w:p w14:paraId="0C761150" w14:textId="230820C5"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996 (21.4)</w:t>
            </w:r>
          </w:p>
        </w:tc>
        <w:tc>
          <w:tcPr>
            <w:tcW w:w="1710" w:type="dxa"/>
            <w:tcBorders>
              <w:top w:val="nil"/>
              <w:left w:val="nil"/>
              <w:bottom w:val="nil"/>
              <w:right w:val="nil"/>
            </w:tcBorders>
            <w:shd w:val="clear" w:color="auto" w:fill="auto"/>
            <w:noWrap/>
            <w:hideMark/>
          </w:tcPr>
          <w:p w14:paraId="2882E63B" w14:textId="2293C1DD"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1.05 (0.85-1.30)</w:t>
            </w:r>
          </w:p>
        </w:tc>
      </w:tr>
      <w:bookmarkEnd w:id="24"/>
      <w:tr w:rsidR="002B5BF5" w:rsidRPr="002B5BF5" w14:paraId="5F6AB4B2" w14:textId="22C948D3" w:rsidTr="008D1819">
        <w:trPr>
          <w:trHeight w:val="210"/>
        </w:trPr>
        <w:tc>
          <w:tcPr>
            <w:tcW w:w="3690" w:type="dxa"/>
            <w:tcBorders>
              <w:top w:val="nil"/>
              <w:left w:val="nil"/>
              <w:bottom w:val="single" w:sz="4" w:space="0" w:color="auto"/>
              <w:right w:val="nil"/>
            </w:tcBorders>
            <w:shd w:val="clear" w:color="auto" w:fill="auto"/>
            <w:noWrap/>
            <w:vAlign w:val="bottom"/>
            <w:hideMark/>
          </w:tcPr>
          <w:p w14:paraId="36015B8B" w14:textId="57C9580B" w:rsidR="00287E52" w:rsidRPr="002B5BF5" w:rsidRDefault="00287E52" w:rsidP="00287E52">
            <w:pPr>
              <w:spacing w:after="0" w:line="276" w:lineRule="auto"/>
              <w:jc w:val="both"/>
              <w:rPr>
                <w:rFonts w:ascii="Times New Roman" w:eastAsia="Times New Roman" w:hAnsi="Times New Roman" w:cs="Times New Roman"/>
              </w:rPr>
            </w:pPr>
            <w:r w:rsidRPr="002B5BF5">
              <w:rPr>
                <w:rFonts w:ascii="Times New Roman" w:eastAsia="Times New Roman" w:hAnsi="Times New Roman" w:cs="Times New Roman"/>
              </w:rPr>
              <w:t xml:space="preserve">   No EPIC-HIV</w:t>
            </w:r>
          </w:p>
        </w:tc>
        <w:tc>
          <w:tcPr>
            <w:tcW w:w="1440" w:type="dxa"/>
            <w:tcBorders>
              <w:top w:val="nil"/>
              <w:left w:val="nil"/>
              <w:bottom w:val="single" w:sz="4" w:space="0" w:color="auto"/>
              <w:right w:val="nil"/>
            </w:tcBorders>
            <w:shd w:val="clear" w:color="auto" w:fill="auto"/>
            <w:noWrap/>
            <w:hideMark/>
          </w:tcPr>
          <w:p w14:paraId="6D21B6D0" w14:textId="04CFC3EF"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9184</w:t>
            </w:r>
          </w:p>
        </w:tc>
        <w:tc>
          <w:tcPr>
            <w:tcW w:w="1530" w:type="dxa"/>
            <w:tcBorders>
              <w:top w:val="nil"/>
              <w:left w:val="nil"/>
              <w:bottom w:val="single" w:sz="4" w:space="0" w:color="auto"/>
              <w:right w:val="nil"/>
            </w:tcBorders>
            <w:shd w:val="clear" w:color="auto" w:fill="auto"/>
            <w:noWrap/>
            <w:hideMark/>
          </w:tcPr>
          <w:p w14:paraId="416F492A" w14:textId="57D47A38"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n/a</w:t>
            </w:r>
          </w:p>
        </w:tc>
        <w:tc>
          <w:tcPr>
            <w:tcW w:w="1620" w:type="dxa"/>
            <w:tcBorders>
              <w:top w:val="nil"/>
              <w:left w:val="nil"/>
              <w:bottom w:val="single" w:sz="4" w:space="0" w:color="auto"/>
              <w:right w:val="nil"/>
            </w:tcBorders>
            <w:shd w:val="clear" w:color="auto" w:fill="auto"/>
            <w:noWrap/>
            <w:hideMark/>
          </w:tcPr>
          <w:p w14:paraId="6556B6FC" w14:textId="74E1F5DA"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1869 (20.4)</w:t>
            </w:r>
          </w:p>
        </w:tc>
        <w:tc>
          <w:tcPr>
            <w:tcW w:w="1710" w:type="dxa"/>
            <w:tcBorders>
              <w:top w:val="nil"/>
              <w:left w:val="nil"/>
              <w:bottom w:val="single" w:sz="4" w:space="0" w:color="auto"/>
              <w:right w:val="nil"/>
            </w:tcBorders>
            <w:shd w:val="clear" w:color="auto" w:fill="auto"/>
            <w:noWrap/>
            <w:hideMark/>
          </w:tcPr>
          <w:p w14:paraId="4AB6BC82" w14:textId="1A0C70C9" w:rsidR="00287E52" w:rsidRPr="002B5BF5" w:rsidRDefault="00287E52" w:rsidP="00287E52">
            <w:pPr>
              <w:spacing w:after="0" w:line="276" w:lineRule="auto"/>
              <w:jc w:val="center"/>
              <w:rPr>
                <w:rFonts w:ascii="Times New Roman" w:eastAsia="Times New Roman" w:hAnsi="Times New Roman" w:cs="Times New Roman"/>
              </w:rPr>
            </w:pPr>
            <w:r w:rsidRPr="002B5BF5">
              <w:rPr>
                <w:rFonts w:ascii="Times New Roman" w:hAnsi="Times New Roman" w:cs="Times New Roman"/>
              </w:rPr>
              <w:t>Ref</w:t>
            </w:r>
            <w:r w:rsidR="00304248" w:rsidRPr="002B5BF5">
              <w:rPr>
                <w:rFonts w:ascii="Times New Roman" w:hAnsi="Times New Roman" w:cs="Times New Roman"/>
              </w:rPr>
              <w:t>erence</w:t>
            </w:r>
          </w:p>
        </w:tc>
      </w:tr>
    </w:tbl>
    <w:p w14:paraId="2A7C05F6" w14:textId="226E9B94" w:rsidR="00344FC2" w:rsidRPr="002B5BF5" w:rsidRDefault="002617EB" w:rsidP="009F7816">
      <w:pPr>
        <w:spacing w:line="360" w:lineRule="auto"/>
        <w:jc w:val="both"/>
        <w:rPr>
          <w:rFonts w:ascii="Times New Roman" w:hAnsi="Times New Roman" w:cs="Times New Roman"/>
        </w:rPr>
        <w:sectPr w:rsidR="00344FC2" w:rsidRPr="002B5BF5" w:rsidSect="00344FC2">
          <w:pgSz w:w="11906" w:h="16838"/>
          <w:pgMar w:top="1440" w:right="1440" w:bottom="1440" w:left="1440" w:header="720" w:footer="720" w:gutter="0"/>
          <w:cols w:space="720"/>
          <w:docGrid w:linePitch="360"/>
        </w:sectPr>
      </w:pPr>
      <w:r w:rsidRPr="002B5BF5">
        <w:rPr>
          <w:rFonts w:ascii="Times New Roman" w:hAnsi="Times New Roman" w:cs="Times New Roman"/>
          <w:bCs/>
        </w:rPr>
        <w:t xml:space="preserve">Abbreviation: EPIC, </w:t>
      </w:r>
      <w:r w:rsidRPr="002B5BF5">
        <w:rPr>
          <w:rFonts w:ascii="Times New Roman" w:hAnsi="Times New Roman" w:cs="Times New Roman"/>
        </w:rPr>
        <w:t>Empowering People through Informed Choices for HIV</w:t>
      </w:r>
    </w:p>
    <w:p w14:paraId="34F7CC60" w14:textId="3889ADB6" w:rsidR="009F7816" w:rsidRPr="002B5BF5" w:rsidRDefault="00E72A19" w:rsidP="00F10B91">
      <w:pPr>
        <w:spacing w:line="240" w:lineRule="auto"/>
        <w:jc w:val="both"/>
        <w:rPr>
          <w:rFonts w:ascii="Times New Roman" w:hAnsi="Times New Roman" w:cs="Times New Roman"/>
          <w:noProof/>
        </w:rPr>
      </w:pPr>
      <w:r w:rsidRPr="002B5BF5">
        <w:rPr>
          <w:rFonts w:ascii="Times New Roman" w:hAnsi="Times New Roman" w:cs="Times New Roman"/>
          <w:noProof/>
        </w:rPr>
        <w:object w:dxaOrig="14818" w:dyaOrig="7510" w14:anchorId="21684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25pt;height:410.25pt" o:ole="">
            <v:imagedata r:id="rId12" o:title=""/>
          </v:shape>
          <o:OLEObject Type="Embed" ProgID="Visio.Drawing.11" ShapeID="_x0000_i1025" DrawAspect="Content" ObjectID="_1671872309" r:id="rId13"/>
        </w:object>
      </w:r>
    </w:p>
    <w:p w14:paraId="37D77CDA" w14:textId="150326E5" w:rsidR="00F10B91" w:rsidRPr="002B5BF5" w:rsidRDefault="00F10B91" w:rsidP="00F10B91">
      <w:pPr>
        <w:spacing w:line="240" w:lineRule="auto"/>
        <w:jc w:val="both"/>
        <w:rPr>
          <w:rFonts w:ascii="Times New Roman" w:hAnsi="Times New Roman" w:cs="Times New Roman"/>
          <w:b/>
          <w:bCs/>
        </w:rPr>
        <w:sectPr w:rsidR="00F10B91" w:rsidRPr="002B5BF5" w:rsidSect="00344FC2">
          <w:pgSz w:w="16838" w:h="11906" w:orient="landscape"/>
          <w:pgMar w:top="1440" w:right="1440" w:bottom="1440" w:left="1440" w:header="720" w:footer="720" w:gutter="0"/>
          <w:cols w:space="720"/>
          <w:docGrid w:linePitch="360"/>
        </w:sectPr>
      </w:pPr>
      <w:r w:rsidRPr="002B5BF5">
        <w:rPr>
          <w:rFonts w:ascii="Times New Roman" w:hAnsi="Times New Roman" w:cs="Times New Roman"/>
          <w:b/>
        </w:rPr>
        <w:t>Figure 1.</w:t>
      </w:r>
      <w:r w:rsidR="00A74856" w:rsidRPr="002B5BF5">
        <w:rPr>
          <w:rFonts w:ascii="Times New Roman" w:hAnsi="Times New Roman" w:cs="Times New Roman"/>
          <w:b/>
        </w:rPr>
        <w:t xml:space="preserve"> F</w:t>
      </w:r>
      <w:r w:rsidRPr="002B5BF5">
        <w:rPr>
          <w:rFonts w:ascii="Times New Roman" w:hAnsi="Times New Roman" w:cs="Times New Roman"/>
          <w:b/>
        </w:rPr>
        <w:t>low diagra</w:t>
      </w:r>
      <w:r w:rsidR="00057FF7" w:rsidRPr="002B5BF5">
        <w:rPr>
          <w:rFonts w:ascii="Times New Roman" w:hAnsi="Times New Roman" w:cs="Times New Roman"/>
          <w:b/>
        </w:rPr>
        <w:t xml:space="preserve">m for HITS trial. </w:t>
      </w:r>
      <w:r w:rsidR="00057FF7" w:rsidRPr="002B5BF5">
        <w:rPr>
          <w:rFonts w:ascii="Times New Roman" w:hAnsi="Times New Roman" w:cs="Times New Roman"/>
          <w:bCs/>
        </w:rPr>
        <w:t>Flow diagram shows in</w:t>
      </w:r>
      <w:r w:rsidR="00A74856" w:rsidRPr="002B5BF5">
        <w:rPr>
          <w:rFonts w:ascii="Times New Roman" w:hAnsi="Times New Roman" w:cs="Times New Roman"/>
          <w:bCs/>
        </w:rPr>
        <w:t>dividual</w:t>
      </w:r>
      <w:r w:rsidR="00057FF7" w:rsidRPr="002B5BF5">
        <w:rPr>
          <w:rFonts w:ascii="Times New Roman" w:hAnsi="Times New Roman" w:cs="Times New Roman"/>
          <w:bCs/>
        </w:rPr>
        <w:t xml:space="preserve"> flow</w:t>
      </w:r>
      <w:r w:rsidR="00A74856" w:rsidRPr="002B5BF5">
        <w:rPr>
          <w:rFonts w:ascii="Times New Roman" w:hAnsi="Times New Roman" w:cs="Times New Roman"/>
          <w:bCs/>
        </w:rPr>
        <w:t xml:space="preserve"> </w:t>
      </w:r>
      <w:r w:rsidRPr="002B5BF5">
        <w:rPr>
          <w:rFonts w:ascii="Times New Roman" w:hAnsi="Times New Roman" w:cs="Times New Roman"/>
          <w:bCs/>
        </w:rPr>
        <w:t xml:space="preserve">through </w:t>
      </w:r>
      <w:r w:rsidR="00057FF7" w:rsidRPr="002B5BF5">
        <w:rPr>
          <w:rFonts w:ascii="Times New Roman" w:hAnsi="Times New Roman" w:cs="Times New Roman"/>
          <w:bCs/>
        </w:rPr>
        <w:t>each stage of</w:t>
      </w:r>
      <w:r w:rsidRPr="002B5BF5">
        <w:rPr>
          <w:rFonts w:ascii="Times New Roman" w:hAnsi="Times New Roman" w:cs="Times New Roman"/>
          <w:bCs/>
        </w:rPr>
        <w:t xml:space="preserve"> the cluster randomized controlled trial</w:t>
      </w:r>
      <w:r w:rsidR="00E06386" w:rsidRPr="002B5BF5">
        <w:rPr>
          <w:rFonts w:ascii="Times New Roman" w:hAnsi="Times New Roman" w:cs="Times New Roman"/>
          <w:bCs/>
        </w:rPr>
        <w:t xml:space="preserve"> by intervention arms</w:t>
      </w:r>
      <w:r w:rsidRPr="002B5BF5">
        <w:rPr>
          <w:rFonts w:ascii="Times New Roman" w:hAnsi="Times New Roman" w:cs="Times New Roman"/>
          <w:bCs/>
        </w:rPr>
        <w:t xml:space="preserve">. Abbreviation: EPIC, </w:t>
      </w:r>
      <w:r w:rsidRPr="002B5BF5">
        <w:rPr>
          <w:rFonts w:ascii="Times New Roman" w:hAnsi="Times New Roman" w:cs="Times New Roman"/>
        </w:rPr>
        <w:t>Empowering People through Informed Choices for HIV.</w:t>
      </w:r>
      <w:r w:rsidRPr="002B5BF5">
        <w:rPr>
          <w:rFonts w:ascii="Times New Roman" w:hAnsi="Times New Roman" w:cs="Times New Roman"/>
          <w:b/>
          <w:bCs/>
        </w:rPr>
        <w:t xml:space="preserve"> </w:t>
      </w:r>
    </w:p>
    <w:p w14:paraId="46314DAB" w14:textId="4514B735" w:rsidR="00F10B91" w:rsidRPr="002B5BF5" w:rsidRDefault="00F10B91" w:rsidP="00F10B91">
      <w:pPr>
        <w:spacing w:line="360" w:lineRule="auto"/>
        <w:jc w:val="both"/>
        <w:rPr>
          <w:rFonts w:ascii="Times New Roman" w:hAnsi="Times New Roman" w:cs="Times New Roman"/>
        </w:rPr>
      </w:pPr>
    </w:p>
    <w:p w14:paraId="6C7D6206" w14:textId="46C54F62" w:rsidR="00F10B91" w:rsidRPr="002B5BF5" w:rsidRDefault="00B1102A" w:rsidP="00F10B91">
      <w:pPr>
        <w:spacing w:line="360" w:lineRule="auto"/>
        <w:jc w:val="both"/>
        <w:rPr>
          <w:rFonts w:ascii="Times New Roman" w:hAnsi="Times New Roman" w:cs="Times New Roman"/>
          <w:noProof/>
          <w:lang w:val="en-GB" w:eastAsia="en-GB"/>
        </w:rPr>
      </w:pPr>
      <w:r w:rsidRPr="002B5BF5">
        <w:rPr>
          <w:rFonts w:ascii="Times New Roman" w:hAnsi="Times New Roman" w:cs="Times New Roman"/>
          <w:noProof/>
          <w:lang w:val="en-GB" w:eastAsia="en-GB"/>
        </w:rPr>
        <w:drawing>
          <wp:anchor distT="0" distB="0" distL="114300" distR="114300" simplePos="0" relativeHeight="251659264" behindDoc="1" locked="0" layoutInCell="1" allowOverlap="1" wp14:anchorId="4413D030" wp14:editId="6F3FF159">
            <wp:simplePos x="0" y="0"/>
            <wp:positionH relativeFrom="column">
              <wp:posOffset>723996</wp:posOffset>
            </wp:positionH>
            <wp:positionV relativeFrom="paragraph">
              <wp:posOffset>10795</wp:posOffset>
            </wp:positionV>
            <wp:extent cx="4732020" cy="3108960"/>
            <wp:effectExtent l="0" t="0" r="0" b="0"/>
            <wp:wrapThrough wrapText="bothSides">
              <wp:wrapPolygon edited="0">
                <wp:start x="0" y="0"/>
                <wp:lineTo x="0" y="21441"/>
                <wp:lineTo x="21478" y="21441"/>
                <wp:lineTo x="2147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732020" cy="3108960"/>
                    </a:xfrm>
                    <a:prstGeom prst="rect">
                      <a:avLst/>
                    </a:prstGeom>
                  </pic:spPr>
                </pic:pic>
              </a:graphicData>
            </a:graphic>
            <wp14:sizeRelH relativeFrom="margin">
              <wp14:pctWidth>0</wp14:pctWidth>
            </wp14:sizeRelH>
            <wp14:sizeRelV relativeFrom="margin">
              <wp14:pctHeight>0</wp14:pctHeight>
            </wp14:sizeRelV>
          </wp:anchor>
        </w:drawing>
      </w:r>
      <w:r w:rsidR="00F10B91" w:rsidRPr="002B5BF5">
        <w:rPr>
          <w:rFonts w:ascii="Times New Roman" w:hAnsi="Times New Roman" w:cs="Times New Roman"/>
          <w:noProof/>
        </w:rPr>
        <w:t xml:space="preserve"> </w:t>
      </w:r>
    </w:p>
    <w:p w14:paraId="21267645" w14:textId="1DA0D41E" w:rsidR="00F10B91" w:rsidRPr="002B5BF5" w:rsidRDefault="00DC43F6" w:rsidP="00F10B91">
      <w:pPr>
        <w:spacing w:line="360" w:lineRule="auto"/>
        <w:jc w:val="both"/>
        <w:rPr>
          <w:rFonts w:ascii="Times New Roman" w:hAnsi="Times New Roman" w:cs="Times New Roman"/>
          <w:noProof/>
          <w:lang w:val="en-GB" w:eastAsia="en-GB"/>
        </w:rPr>
      </w:pPr>
      <w:r w:rsidRPr="002B5BF5">
        <w:rPr>
          <w:rFonts w:ascii="Times New Roman" w:hAnsi="Times New Roman" w:cs="Times New Roman"/>
          <w:noProof/>
          <w:lang w:val="en-GB" w:eastAsia="en-GB"/>
        </w:rPr>
        <mc:AlternateContent>
          <mc:Choice Requires="wps">
            <w:drawing>
              <wp:anchor distT="0" distB="0" distL="114300" distR="114300" simplePos="0" relativeHeight="251656191" behindDoc="0" locked="0" layoutInCell="1" allowOverlap="1" wp14:anchorId="56F68E14" wp14:editId="63DF26EA">
                <wp:simplePos x="0" y="0"/>
                <wp:positionH relativeFrom="margin">
                  <wp:posOffset>-719538</wp:posOffset>
                </wp:positionH>
                <wp:positionV relativeFrom="paragraph">
                  <wp:posOffset>382905</wp:posOffset>
                </wp:positionV>
                <wp:extent cx="2594444" cy="634949"/>
                <wp:effectExtent l="8255" t="0" r="5080" b="5080"/>
                <wp:wrapNone/>
                <wp:docPr id="39" name="Text Box 39"/>
                <wp:cNvGraphicFramePr/>
                <a:graphic xmlns:a="http://schemas.openxmlformats.org/drawingml/2006/main">
                  <a:graphicData uri="http://schemas.microsoft.com/office/word/2010/wordprocessingShape">
                    <wps:wsp>
                      <wps:cNvSpPr txBox="1"/>
                      <wps:spPr>
                        <a:xfrm rot="16200000">
                          <a:off x="0" y="0"/>
                          <a:ext cx="2594444" cy="634949"/>
                        </a:xfrm>
                        <a:prstGeom prst="rect">
                          <a:avLst/>
                        </a:prstGeom>
                        <a:solidFill>
                          <a:schemeClr val="lt1"/>
                        </a:solidFill>
                        <a:ln w="6350">
                          <a:noFill/>
                        </a:ln>
                      </wps:spPr>
                      <wps:txbx>
                        <w:txbxContent>
                          <w:p w14:paraId="3909C0AC" w14:textId="77777777" w:rsidR="00022C8C" w:rsidRPr="00DC43F6" w:rsidRDefault="00022C8C" w:rsidP="00F10B91">
                            <w:pPr>
                              <w:spacing w:after="0" w:line="240" w:lineRule="auto"/>
                              <w:contextualSpacing/>
                              <w:jc w:val="center"/>
                              <w:rPr>
                                <w:sz w:val="24"/>
                                <w:szCs w:val="24"/>
                              </w:rPr>
                            </w:pPr>
                            <w:r w:rsidRPr="00DC43F6">
                              <w:rPr>
                                <w:sz w:val="24"/>
                                <w:szCs w:val="24"/>
                              </w:rPr>
                              <w:t>Risk Ratio with 95% Confidence Interval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F68E14" id="_x0000_t202" coordsize="21600,21600" o:spt="202" path="m,l,21600r21600,l21600,xe">
                <v:stroke joinstyle="miter"/>
                <v:path gradientshapeok="t" o:connecttype="rect"/>
              </v:shapetype>
              <v:shape id="Text Box 39" o:spid="_x0000_s1026" type="#_x0000_t202" style="position:absolute;left:0;text-align:left;margin-left:-56.65pt;margin-top:30.15pt;width:204.3pt;height:50pt;rotation:-90;z-index:25165619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" fillcolor="white [3201]" stroked="f" strokeweight=".5pt">
                <v:textbox>
                  <w:txbxContent>
                    <w:p w14:paraId="3909C0AC" w14:textId="77777777" w:rsidR="00022C8C" w:rsidRPr="00DC43F6" w:rsidRDefault="00022C8C" w:rsidP="00F10B91">
                      <w:pPr>
                        <w:spacing w:after="0" w:line="240" w:lineRule="auto"/>
                        <w:contextualSpacing/>
                        <w:jc w:val="center"/>
                        <w:rPr>
                          <w:sz w:val="24"/>
                          <w:szCs w:val="24"/>
                        </w:rPr>
                      </w:pPr>
                      <w:r w:rsidRPr="00DC43F6">
                        <w:rPr>
                          <w:sz w:val="24"/>
                          <w:szCs w:val="24"/>
                        </w:rPr>
                        <w:t>Risk Ratio with 95% Confidence Interval</w:t>
                      </w:r>
                    </w:p>
                  </w:txbxContent>
                </v:textbox>
                <w10:wrap anchorx="margin"/>
              </v:shape>
            </w:pict>
          </mc:Fallback>
        </mc:AlternateContent>
      </w:r>
    </w:p>
    <w:p w14:paraId="5B93F2BB" w14:textId="34D9ABCE" w:rsidR="00F10B91" w:rsidRPr="002B5BF5" w:rsidRDefault="00F10B91" w:rsidP="00F10B91">
      <w:pPr>
        <w:spacing w:line="360" w:lineRule="auto"/>
        <w:jc w:val="both"/>
        <w:rPr>
          <w:rFonts w:ascii="Times New Roman" w:hAnsi="Times New Roman" w:cs="Times New Roman"/>
          <w:noProof/>
          <w:lang w:val="en-GB" w:eastAsia="en-GB"/>
        </w:rPr>
      </w:pPr>
    </w:p>
    <w:p w14:paraId="55D3DC94" w14:textId="1999D53E" w:rsidR="00F10B91" w:rsidRPr="002B5BF5" w:rsidRDefault="00F10B91" w:rsidP="00F10B91">
      <w:pPr>
        <w:spacing w:line="360" w:lineRule="auto"/>
        <w:jc w:val="both"/>
        <w:rPr>
          <w:rFonts w:ascii="Times New Roman" w:hAnsi="Times New Roman" w:cs="Times New Roman"/>
          <w:i/>
          <w:iCs/>
          <w:noProof/>
          <w:lang w:val="en-GB" w:eastAsia="en-GB"/>
        </w:rPr>
      </w:pPr>
    </w:p>
    <w:p w14:paraId="3BC20224" w14:textId="77777777" w:rsidR="00F10B91" w:rsidRPr="002B5BF5" w:rsidRDefault="00F10B91" w:rsidP="00F10B91">
      <w:pPr>
        <w:spacing w:line="360" w:lineRule="auto"/>
        <w:jc w:val="both"/>
        <w:rPr>
          <w:rFonts w:ascii="Times New Roman" w:hAnsi="Times New Roman" w:cs="Times New Roman"/>
          <w:noProof/>
          <w:lang w:val="en-GB" w:eastAsia="en-GB"/>
        </w:rPr>
      </w:pPr>
    </w:p>
    <w:p w14:paraId="1CD8F9E5" w14:textId="77777777" w:rsidR="00F10B91" w:rsidRPr="002B5BF5" w:rsidRDefault="00F10B91" w:rsidP="00F10B91">
      <w:pPr>
        <w:spacing w:line="360" w:lineRule="auto"/>
        <w:jc w:val="both"/>
        <w:rPr>
          <w:rFonts w:ascii="Times New Roman" w:hAnsi="Times New Roman" w:cs="Times New Roman"/>
          <w:noProof/>
          <w:lang w:val="en-GB" w:eastAsia="en-GB"/>
        </w:rPr>
      </w:pPr>
    </w:p>
    <w:p w14:paraId="4AF77F5D" w14:textId="77777777" w:rsidR="00F10B91" w:rsidRPr="002B5BF5" w:rsidRDefault="00F10B91" w:rsidP="00F10B91">
      <w:pPr>
        <w:spacing w:line="360" w:lineRule="auto"/>
        <w:jc w:val="both"/>
        <w:rPr>
          <w:rFonts w:ascii="Times New Roman" w:hAnsi="Times New Roman" w:cs="Times New Roman"/>
          <w:noProof/>
          <w:lang w:val="en-GB" w:eastAsia="en-GB"/>
        </w:rPr>
      </w:pPr>
    </w:p>
    <w:p w14:paraId="13DDDCF8" w14:textId="1A83485B" w:rsidR="00F10B91" w:rsidRPr="002B5BF5" w:rsidRDefault="00F10B91" w:rsidP="00F10B91">
      <w:pPr>
        <w:spacing w:line="360" w:lineRule="auto"/>
        <w:jc w:val="both"/>
        <w:rPr>
          <w:rFonts w:ascii="Times New Roman" w:hAnsi="Times New Roman" w:cs="Times New Roman"/>
          <w:noProof/>
          <w:lang w:val="en-GB" w:eastAsia="en-GB"/>
        </w:rPr>
      </w:pPr>
    </w:p>
    <w:p w14:paraId="397B9829" w14:textId="77777777" w:rsidR="00B1102A" w:rsidRPr="002B5BF5" w:rsidRDefault="00B1102A" w:rsidP="00F10B91">
      <w:pPr>
        <w:spacing w:line="360" w:lineRule="auto"/>
        <w:jc w:val="both"/>
        <w:rPr>
          <w:rFonts w:ascii="Times New Roman" w:hAnsi="Times New Roman" w:cs="Times New Roman"/>
          <w:noProof/>
          <w:lang w:val="en-GB" w:eastAsia="en-GB"/>
        </w:rPr>
      </w:pPr>
    </w:p>
    <w:tbl>
      <w:tblPr>
        <w:tblStyle w:val="TableGrid"/>
        <w:tblpPr w:leftFromText="180" w:rightFromText="180" w:vertAnchor="text" w:horzAnchor="margin" w:tblpY="479"/>
        <w:tblW w:w="9291" w:type="dxa"/>
        <w:tblLook w:val="04A0" w:firstRow="1" w:lastRow="0" w:firstColumn="1" w:lastColumn="0" w:noHBand="0" w:noVBand="1"/>
      </w:tblPr>
      <w:tblGrid>
        <w:gridCol w:w="2520"/>
        <w:gridCol w:w="1710"/>
        <w:gridCol w:w="2070"/>
        <w:gridCol w:w="1710"/>
        <w:gridCol w:w="1281"/>
      </w:tblGrid>
      <w:tr w:rsidR="002B5BF5" w:rsidRPr="002B5BF5" w14:paraId="2873AD28" w14:textId="77777777" w:rsidTr="00DC43F6">
        <w:tc>
          <w:tcPr>
            <w:tcW w:w="2520" w:type="dxa"/>
          </w:tcPr>
          <w:p w14:paraId="3AE5E679" w14:textId="77777777" w:rsidR="00DC43F6" w:rsidRPr="002B5BF5" w:rsidRDefault="00DC43F6" w:rsidP="00DC43F6">
            <w:pPr>
              <w:rPr>
                <w:rFonts w:ascii="Times New Roman" w:hAnsi="Times New Roman" w:cs="Times New Roman"/>
                <w:b/>
                <w:bCs/>
                <w:noProof/>
                <w:lang w:val="en-GB" w:eastAsia="en-GB"/>
              </w:rPr>
            </w:pPr>
            <w:r w:rsidRPr="002B5BF5">
              <w:rPr>
                <w:rFonts w:ascii="Times New Roman" w:hAnsi="Times New Roman" w:cs="Times New Roman"/>
                <w:b/>
                <w:bCs/>
                <w:noProof/>
                <w:lang w:val="en-GB" w:eastAsia="en-GB"/>
              </w:rPr>
              <w:t>HIV testing uptake</w:t>
            </w:r>
          </w:p>
        </w:tc>
        <w:tc>
          <w:tcPr>
            <w:tcW w:w="1710" w:type="dxa"/>
          </w:tcPr>
          <w:p w14:paraId="20C784B4" w14:textId="77777777" w:rsidR="00DC43F6" w:rsidRPr="002B5BF5" w:rsidRDefault="00DC43F6" w:rsidP="00DC43F6">
            <w:pPr>
              <w:jc w:val="center"/>
              <w:rPr>
                <w:rFonts w:ascii="Times New Roman" w:hAnsi="Times New Roman" w:cs="Times New Roman"/>
                <w:b/>
                <w:bCs/>
                <w:noProof/>
                <w:lang w:val="en-GB" w:eastAsia="en-GB"/>
              </w:rPr>
            </w:pPr>
            <w:r w:rsidRPr="002B5BF5">
              <w:rPr>
                <w:rFonts w:ascii="Times New Roman" w:hAnsi="Times New Roman" w:cs="Times New Roman"/>
                <w:b/>
                <w:bCs/>
                <w:noProof/>
                <w:lang w:val="en-GB" w:eastAsia="en-GB"/>
              </w:rPr>
              <w:t xml:space="preserve">Financial incentives only </w:t>
            </w:r>
          </w:p>
        </w:tc>
        <w:tc>
          <w:tcPr>
            <w:tcW w:w="2070" w:type="dxa"/>
          </w:tcPr>
          <w:p w14:paraId="213AB194" w14:textId="7B27F8A7" w:rsidR="00DC43F6" w:rsidRPr="002B5BF5" w:rsidRDefault="00DC43F6" w:rsidP="00DC43F6">
            <w:pPr>
              <w:jc w:val="center"/>
              <w:rPr>
                <w:rFonts w:ascii="Times New Roman" w:hAnsi="Times New Roman" w:cs="Times New Roman"/>
                <w:b/>
                <w:bCs/>
                <w:noProof/>
                <w:lang w:val="en-GB" w:eastAsia="en-GB"/>
              </w:rPr>
            </w:pPr>
            <w:r w:rsidRPr="002B5BF5">
              <w:rPr>
                <w:rFonts w:ascii="Times New Roman" w:hAnsi="Times New Roman" w:cs="Times New Roman"/>
                <w:b/>
                <w:bCs/>
                <w:noProof/>
                <w:lang w:val="en-GB" w:eastAsia="en-GB"/>
              </w:rPr>
              <w:t>Financial incentives plus EPIC-HIV</w:t>
            </w:r>
          </w:p>
        </w:tc>
        <w:tc>
          <w:tcPr>
            <w:tcW w:w="1710" w:type="dxa"/>
          </w:tcPr>
          <w:p w14:paraId="63BB397B" w14:textId="62438B51" w:rsidR="00DC43F6" w:rsidRPr="002B5BF5" w:rsidRDefault="00DC43F6" w:rsidP="00DC43F6">
            <w:pPr>
              <w:jc w:val="center"/>
              <w:rPr>
                <w:rFonts w:ascii="Times New Roman" w:hAnsi="Times New Roman" w:cs="Times New Roman"/>
                <w:b/>
                <w:bCs/>
                <w:noProof/>
                <w:lang w:val="en-GB" w:eastAsia="en-GB"/>
              </w:rPr>
            </w:pPr>
            <w:r w:rsidRPr="002B5BF5">
              <w:rPr>
                <w:rFonts w:ascii="Times New Roman" w:hAnsi="Times New Roman" w:cs="Times New Roman"/>
                <w:b/>
                <w:bCs/>
                <w:noProof/>
                <w:lang w:val="en-GB" w:eastAsia="en-GB"/>
              </w:rPr>
              <w:t xml:space="preserve">EPIC-HIVonly </w:t>
            </w:r>
          </w:p>
        </w:tc>
        <w:tc>
          <w:tcPr>
            <w:tcW w:w="1281" w:type="dxa"/>
          </w:tcPr>
          <w:p w14:paraId="2098FECC" w14:textId="1C68E4F0" w:rsidR="00DC43F6" w:rsidRPr="002B5BF5" w:rsidRDefault="00DC43F6" w:rsidP="00DC43F6">
            <w:pPr>
              <w:jc w:val="center"/>
              <w:rPr>
                <w:rFonts w:ascii="Times New Roman" w:hAnsi="Times New Roman" w:cs="Times New Roman"/>
                <w:b/>
                <w:bCs/>
                <w:noProof/>
                <w:lang w:val="en-GB" w:eastAsia="en-GB"/>
              </w:rPr>
            </w:pPr>
            <w:r w:rsidRPr="002B5BF5">
              <w:rPr>
                <w:rFonts w:ascii="Times New Roman" w:hAnsi="Times New Roman" w:cs="Times New Roman"/>
                <w:b/>
                <w:bCs/>
                <w:noProof/>
                <w:lang w:val="en-GB" w:eastAsia="en-GB"/>
              </w:rPr>
              <w:t xml:space="preserve">Standard of </w:t>
            </w:r>
            <w:r w:rsidR="006B00B2" w:rsidRPr="002B5BF5">
              <w:rPr>
                <w:rFonts w:ascii="Times New Roman" w:hAnsi="Times New Roman" w:cs="Times New Roman"/>
                <w:b/>
                <w:bCs/>
                <w:noProof/>
                <w:lang w:val="en-GB" w:eastAsia="en-GB"/>
              </w:rPr>
              <w:t>c</w:t>
            </w:r>
            <w:r w:rsidRPr="002B5BF5">
              <w:rPr>
                <w:rFonts w:ascii="Times New Roman" w:hAnsi="Times New Roman" w:cs="Times New Roman"/>
                <w:b/>
                <w:bCs/>
                <w:noProof/>
                <w:lang w:val="en-GB" w:eastAsia="en-GB"/>
              </w:rPr>
              <w:t>are</w:t>
            </w:r>
          </w:p>
        </w:tc>
      </w:tr>
      <w:tr w:rsidR="002B5BF5" w:rsidRPr="002B5BF5" w14:paraId="6356892F" w14:textId="77777777" w:rsidTr="00DC43F6">
        <w:tc>
          <w:tcPr>
            <w:tcW w:w="2520" w:type="dxa"/>
          </w:tcPr>
          <w:p w14:paraId="78C69139" w14:textId="77777777" w:rsidR="00DC43F6" w:rsidRPr="002B5BF5" w:rsidRDefault="00DC43F6" w:rsidP="00DC43F6">
            <w:pPr>
              <w:jc w:val="both"/>
              <w:rPr>
                <w:rFonts w:ascii="Times New Roman" w:hAnsi="Times New Roman" w:cs="Times New Roman"/>
                <w:noProof/>
                <w:lang w:val="en-GB" w:eastAsia="en-GB"/>
              </w:rPr>
            </w:pPr>
            <w:r w:rsidRPr="002B5BF5">
              <w:rPr>
                <w:rFonts w:ascii="Times New Roman" w:hAnsi="Times New Roman" w:cs="Times New Roman"/>
                <w:noProof/>
                <w:lang w:val="en-GB" w:eastAsia="en-GB"/>
              </w:rPr>
              <w:t>Number</w:t>
            </w:r>
          </w:p>
        </w:tc>
        <w:tc>
          <w:tcPr>
            <w:tcW w:w="1710" w:type="dxa"/>
          </w:tcPr>
          <w:p w14:paraId="74BE32A9" w14:textId="77777777" w:rsidR="00DC43F6" w:rsidRPr="002B5BF5" w:rsidRDefault="00DC43F6" w:rsidP="00DC43F6">
            <w:pPr>
              <w:jc w:val="center"/>
              <w:rPr>
                <w:rFonts w:ascii="Times New Roman" w:hAnsi="Times New Roman" w:cs="Times New Roman"/>
                <w:noProof/>
                <w:lang w:val="en-GB" w:eastAsia="en-GB"/>
              </w:rPr>
            </w:pPr>
            <w:r w:rsidRPr="002B5BF5">
              <w:rPr>
                <w:rFonts w:ascii="Times New Roman" w:hAnsi="Times New Roman" w:cs="Times New Roman"/>
                <w:noProof/>
                <w:lang w:val="en-GB" w:eastAsia="en-GB"/>
              </w:rPr>
              <w:t>680/2481</w:t>
            </w:r>
          </w:p>
        </w:tc>
        <w:tc>
          <w:tcPr>
            <w:tcW w:w="2070" w:type="dxa"/>
          </w:tcPr>
          <w:p w14:paraId="3FAA8072" w14:textId="77777777" w:rsidR="00DC43F6" w:rsidRPr="002B5BF5" w:rsidRDefault="00DC43F6" w:rsidP="00DC43F6">
            <w:pPr>
              <w:jc w:val="center"/>
              <w:rPr>
                <w:rFonts w:ascii="Times New Roman" w:hAnsi="Times New Roman" w:cs="Times New Roman"/>
                <w:noProof/>
                <w:lang w:val="en-GB" w:eastAsia="en-GB"/>
              </w:rPr>
            </w:pPr>
            <w:r w:rsidRPr="002B5BF5">
              <w:rPr>
                <w:rFonts w:ascii="Times New Roman" w:hAnsi="Times New Roman" w:cs="Times New Roman"/>
                <w:noProof/>
                <w:lang w:val="en-GB" w:eastAsia="en-GB"/>
              </w:rPr>
              <w:t>430/2534</w:t>
            </w:r>
          </w:p>
        </w:tc>
        <w:tc>
          <w:tcPr>
            <w:tcW w:w="1710" w:type="dxa"/>
          </w:tcPr>
          <w:p w14:paraId="0B0E636B" w14:textId="77777777" w:rsidR="00DC43F6" w:rsidRPr="002B5BF5" w:rsidRDefault="00DC43F6" w:rsidP="00DC43F6">
            <w:pPr>
              <w:jc w:val="center"/>
              <w:rPr>
                <w:rFonts w:ascii="Times New Roman" w:hAnsi="Times New Roman" w:cs="Times New Roman"/>
                <w:noProof/>
                <w:lang w:val="en-GB" w:eastAsia="en-GB"/>
              </w:rPr>
            </w:pPr>
            <w:r w:rsidRPr="002B5BF5">
              <w:rPr>
                <w:rFonts w:ascii="Times New Roman" w:hAnsi="Times New Roman" w:cs="Times New Roman"/>
                <w:noProof/>
                <w:lang w:val="en-GB" w:eastAsia="en-GB"/>
              </w:rPr>
              <w:t>566/2120</w:t>
            </w:r>
          </w:p>
        </w:tc>
        <w:tc>
          <w:tcPr>
            <w:tcW w:w="1281" w:type="dxa"/>
          </w:tcPr>
          <w:p w14:paraId="4208B6B8" w14:textId="77777777" w:rsidR="00DC43F6" w:rsidRPr="002B5BF5" w:rsidRDefault="00DC43F6" w:rsidP="00DC43F6">
            <w:pPr>
              <w:jc w:val="center"/>
              <w:rPr>
                <w:rFonts w:ascii="Times New Roman" w:hAnsi="Times New Roman" w:cs="Times New Roman"/>
                <w:noProof/>
                <w:lang w:val="en-GB" w:eastAsia="en-GB"/>
              </w:rPr>
            </w:pPr>
            <w:r w:rsidRPr="002B5BF5">
              <w:rPr>
                <w:rFonts w:ascii="Times New Roman" w:hAnsi="Times New Roman" w:cs="Times New Roman"/>
                <w:noProof/>
                <w:lang w:val="en-GB" w:eastAsia="en-GB"/>
              </w:rPr>
              <w:t>1189/6703</w:t>
            </w:r>
          </w:p>
        </w:tc>
      </w:tr>
      <w:tr w:rsidR="002B5BF5" w:rsidRPr="002B5BF5" w14:paraId="1340C040" w14:textId="77777777" w:rsidTr="00DC43F6">
        <w:trPr>
          <w:trHeight w:val="158"/>
        </w:trPr>
        <w:tc>
          <w:tcPr>
            <w:tcW w:w="2520" w:type="dxa"/>
          </w:tcPr>
          <w:p w14:paraId="09D9AFD6" w14:textId="77777777" w:rsidR="00DC43F6" w:rsidRPr="002B5BF5" w:rsidRDefault="00DC43F6" w:rsidP="00DC43F6">
            <w:pPr>
              <w:rPr>
                <w:rFonts w:ascii="Times New Roman" w:hAnsi="Times New Roman" w:cs="Times New Roman"/>
                <w:noProof/>
                <w:lang w:val="en-GB" w:eastAsia="en-GB"/>
              </w:rPr>
            </w:pPr>
            <w:r w:rsidRPr="002B5BF5">
              <w:rPr>
                <w:rFonts w:ascii="Times New Roman" w:hAnsi="Times New Roman" w:cs="Times New Roman"/>
                <w:noProof/>
                <w:lang w:val="en-GB" w:eastAsia="en-GB"/>
              </w:rPr>
              <w:t>Percentage</w:t>
            </w:r>
          </w:p>
        </w:tc>
        <w:tc>
          <w:tcPr>
            <w:tcW w:w="1710" w:type="dxa"/>
          </w:tcPr>
          <w:p w14:paraId="7F3B5D76" w14:textId="77777777" w:rsidR="00DC43F6" w:rsidRPr="002B5BF5" w:rsidRDefault="00DC43F6" w:rsidP="00DC43F6">
            <w:pPr>
              <w:jc w:val="center"/>
              <w:rPr>
                <w:rFonts w:ascii="Times New Roman" w:hAnsi="Times New Roman" w:cs="Times New Roman"/>
                <w:noProof/>
                <w:lang w:val="en-GB" w:eastAsia="en-GB"/>
              </w:rPr>
            </w:pPr>
            <w:r w:rsidRPr="002B5BF5">
              <w:rPr>
                <w:rFonts w:ascii="Times New Roman" w:hAnsi="Times New Roman" w:cs="Times New Roman"/>
                <w:noProof/>
                <w:lang w:val="en-GB" w:eastAsia="en-GB"/>
              </w:rPr>
              <w:t>27.4%</w:t>
            </w:r>
          </w:p>
        </w:tc>
        <w:tc>
          <w:tcPr>
            <w:tcW w:w="2070" w:type="dxa"/>
          </w:tcPr>
          <w:p w14:paraId="237D64F7" w14:textId="77777777" w:rsidR="00DC43F6" w:rsidRPr="002B5BF5" w:rsidRDefault="00DC43F6" w:rsidP="00DC43F6">
            <w:pPr>
              <w:jc w:val="center"/>
              <w:rPr>
                <w:rFonts w:ascii="Times New Roman" w:hAnsi="Times New Roman" w:cs="Times New Roman"/>
                <w:noProof/>
                <w:lang w:val="en-GB" w:eastAsia="en-GB"/>
              </w:rPr>
            </w:pPr>
            <w:r w:rsidRPr="002B5BF5">
              <w:rPr>
                <w:rFonts w:ascii="Times New Roman" w:hAnsi="Times New Roman" w:cs="Times New Roman"/>
                <w:noProof/>
                <w:lang w:val="en-GB" w:eastAsia="en-GB"/>
              </w:rPr>
              <w:t>26.7%</w:t>
            </w:r>
          </w:p>
        </w:tc>
        <w:tc>
          <w:tcPr>
            <w:tcW w:w="1710" w:type="dxa"/>
          </w:tcPr>
          <w:p w14:paraId="1C971D31" w14:textId="77777777" w:rsidR="00DC43F6" w:rsidRPr="002B5BF5" w:rsidRDefault="00DC43F6" w:rsidP="00DC43F6">
            <w:pPr>
              <w:jc w:val="center"/>
              <w:rPr>
                <w:rFonts w:ascii="Times New Roman" w:hAnsi="Times New Roman" w:cs="Times New Roman"/>
                <w:noProof/>
                <w:lang w:val="en-GB" w:eastAsia="en-GB"/>
              </w:rPr>
            </w:pPr>
            <w:r w:rsidRPr="002B5BF5">
              <w:rPr>
                <w:rFonts w:ascii="Times New Roman" w:hAnsi="Times New Roman" w:cs="Times New Roman"/>
                <w:noProof/>
                <w:lang w:val="en-GB" w:eastAsia="en-GB"/>
              </w:rPr>
              <w:t>17.0%</w:t>
            </w:r>
          </w:p>
        </w:tc>
        <w:tc>
          <w:tcPr>
            <w:tcW w:w="1281" w:type="dxa"/>
          </w:tcPr>
          <w:p w14:paraId="6C47A2E3" w14:textId="77777777" w:rsidR="00DC43F6" w:rsidRPr="002B5BF5" w:rsidRDefault="00DC43F6" w:rsidP="00DC43F6">
            <w:pPr>
              <w:jc w:val="center"/>
              <w:rPr>
                <w:rFonts w:ascii="Times New Roman" w:hAnsi="Times New Roman" w:cs="Times New Roman"/>
                <w:noProof/>
                <w:lang w:val="en-GB" w:eastAsia="en-GB"/>
              </w:rPr>
            </w:pPr>
            <w:r w:rsidRPr="002B5BF5">
              <w:rPr>
                <w:rFonts w:ascii="Times New Roman" w:hAnsi="Times New Roman" w:cs="Times New Roman"/>
                <w:noProof/>
                <w:lang w:val="en-GB" w:eastAsia="en-GB"/>
              </w:rPr>
              <w:t>17.7%</w:t>
            </w:r>
          </w:p>
        </w:tc>
      </w:tr>
      <w:tr w:rsidR="002B5BF5" w:rsidRPr="002B5BF5" w14:paraId="38AEA508" w14:textId="77777777" w:rsidTr="00DC43F6">
        <w:trPr>
          <w:trHeight w:val="158"/>
        </w:trPr>
        <w:tc>
          <w:tcPr>
            <w:tcW w:w="2520" w:type="dxa"/>
          </w:tcPr>
          <w:p w14:paraId="361C0C60" w14:textId="77777777" w:rsidR="00DC43F6" w:rsidRPr="002B5BF5" w:rsidRDefault="00DC43F6" w:rsidP="00DC43F6">
            <w:pPr>
              <w:rPr>
                <w:rFonts w:ascii="Times New Roman" w:hAnsi="Times New Roman" w:cs="Times New Roman"/>
                <w:noProof/>
                <w:lang w:val="en-GB" w:eastAsia="en-GB"/>
              </w:rPr>
            </w:pPr>
            <w:r w:rsidRPr="002B5BF5">
              <w:rPr>
                <w:rFonts w:ascii="Times New Roman" w:hAnsi="Times New Roman" w:cs="Times New Roman"/>
                <w:noProof/>
                <w:lang w:val="en-GB" w:eastAsia="en-GB"/>
              </w:rPr>
              <w:t>Risk ratio of HIV testing uptake (95% CI)</w:t>
            </w:r>
          </w:p>
        </w:tc>
        <w:tc>
          <w:tcPr>
            <w:tcW w:w="1710" w:type="dxa"/>
          </w:tcPr>
          <w:p w14:paraId="6D139065" w14:textId="77777777" w:rsidR="00DC43F6" w:rsidRPr="002B5BF5" w:rsidRDefault="00DC43F6" w:rsidP="00DC43F6">
            <w:pPr>
              <w:jc w:val="center"/>
              <w:rPr>
                <w:rFonts w:ascii="Times New Roman" w:hAnsi="Times New Roman" w:cs="Times New Roman"/>
                <w:noProof/>
                <w:lang w:val="en-GB" w:eastAsia="en-GB"/>
              </w:rPr>
            </w:pPr>
            <w:r w:rsidRPr="002B5BF5">
              <w:rPr>
                <w:rFonts w:ascii="Times New Roman" w:hAnsi="Times New Roman" w:cs="Times New Roman"/>
                <w:noProof/>
                <w:lang w:val="en-GB" w:eastAsia="en-GB"/>
              </w:rPr>
              <w:t>1.55 (1.31, 1.82)</w:t>
            </w:r>
          </w:p>
        </w:tc>
        <w:tc>
          <w:tcPr>
            <w:tcW w:w="2070" w:type="dxa"/>
          </w:tcPr>
          <w:p w14:paraId="22976482" w14:textId="77777777" w:rsidR="00DC43F6" w:rsidRPr="002B5BF5" w:rsidRDefault="00DC43F6" w:rsidP="00DC43F6">
            <w:pPr>
              <w:jc w:val="center"/>
              <w:rPr>
                <w:rFonts w:ascii="Times New Roman" w:hAnsi="Times New Roman" w:cs="Times New Roman"/>
                <w:noProof/>
                <w:lang w:val="en-GB" w:eastAsia="en-GB"/>
              </w:rPr>
            </w:pPr>
            <w:r w:rsidRPr="002B5BF5">
              <w:rPr>
                <w:rFonts w:ascii="Times New Roman" w:hAnsi="Times New Roman" w:cs="Times New Roman"/>
                <w:noProof/>
                <w:lang w:val="en-GB" w:eastAsia="en-GB"/>
              </w:rPr>
              <w:t>1.51 (1.21, 1.87)</w:t>
            </w:r>
          </w:p>
        </w:tc>
        <w:tc>
          <w:tcPr>
            <w:tcW w:w="1710" w:type="dxa"/>
          </w:tcPr>
          <w:p w14:paraId="24F7A5C5" w14:textId="77777777" w:rsidR="00DC43F6" w:rsidRPr="002B5BF5" w:rsidRDefault="00DC43F6" w:rsidP="00DC43F6">
            <w:pPr>
              <w:jc w:val="center"/>
              <w:rPr>
                <w:rFonts w:ascii="Times New Roman" w:hAnsi="Times New Roman" w:cs="Times New Roman"/>
                <w:noProof/>
                <w:lang w:val="en-GB" w:eastAsia="en-GB"/>
              </w:rPr>
            </w:pPr>
            <w:r w:rsidRPr="002B5BF5">
              <w:rPr>
                <w:rFonts w:ascii="Times New Roman" w:hAnsi="Times New Roman" w:cs="Times New Roman"/>
                <w:noProof/>
                <w:lang w:val="en-GB" w:eastAsia="en-GB"/>
              </w:rPr>
              <w:t>0.96 (0.76, 1.20)</w:t>
            </w:r>
          </w:p>
        </w:tc>
        <w:tc>
          <w:tcPr>
            <w:tcW w:w="1281" w:type="dxa"/>
          </w:tcPr>
          <w:p w14:paraId="4B9F488A" w14:textId="1037C001" w:rsidR="00DC43F6" w:rsidRPr="002B5BF5" w:rsidRDefault="00DC43F6" w:rsidP="00DC43F6">
            <w:pPr>
              <w:jc w:val="center"/>
              <w:rPr>
                <w:rFonts w:ascii="Times New Roman" w:hAnsi="Times New Roman" w:cs="Times New Roman"/>
                <w:noProof/>
                <w:lang w:val="en-GB" w:eastAsia="en-GB"/>
              </w:rPr>
            </w:pPr>
            <w:r w:rsidRPr="002B5BF5">
              <w:rPr>
                <w:rFonts w:ascii="Times New Roman" w:hAnsi="Times New Roman" w:cs="Times New Roman"/>
                <w:noProof/>
                <w:lang w:val="en-GB" w:eastAsia="en-GB"/>
              </w:rPr>
              <w:t>Ref</w:t>
            </w:r>
            <w:r w:rsidR="00304248" w:rsidRPr="002B5BF5">
              <w:rPr>
                <w:rFonts w:ascii="Times New Roman" w:hAnsi="Times New Roman" w:cs="Times New Roman"/>
                <w:noProof/>
                <w:lang w:val="en-GB" w:eastAsia="en-GB"/>
              </w:rPr>
              <w:t>erence</w:t>
            </w:r>
          </w:p>
        </w:tc>
      </w:tr>
    </w:tbl>
    <w:p w14:paraId="4172C2D4" w14:textId="77777777" w:rsidR="00F10B91" w:rsidRPr="002B5BF5" w:rsidRDefault="00F10B91" w:rsidP="00F10B91">
      <w:pPr>
        <w:spacing w:line="360" w:lineRule="auto"/>
        <w:jc w:val="both"/>
        <w:rPr>
          <w:rFonts w:ascii="Times New Roman" w:hAnsi="Times New Roman" w:cs="Times New Roman"/>
          <w:noProof/>
          <w:lang w:val="en-GB" w:eastAsia="en-GB"/>
        </w:rPr>
      </w:pPr>
    </w:p>
    <w:p w14:paraId="3FC675DC" w14:textId="77777777" w:rsidR="00DC43F6" w:rsidRPr="002B5BF5" w:rsidRDefault="00DC43F6" w:rsidP="00F10B91">
      <w:pPr>
        <w:spacing w:line="276" w:lineRule="auto"/>
        <w:jc w:val="both"/>
        <w:rPr>
          <w:rFonts w:ascii="Times New Roman" w:hAnsi="Times New Roman" w:cs="Times New Roman"/>
          <w:noProof/>
          <w:lang w:val="en-GB" w:eastAsia="en-GB"/>
        </w:rPr>
      </w:pPr>
    </w:p>
    <w:p w14:paraId="7ECA72CA" w14:textId="1A072D0B" w:rsidR="00F91AB0" w:rsidRPr="002B5BF5" w:rsidRDefault="00F10B91" w:rsidP="00F536C3">
      <w:pPr>
        <w:spacing w:line="276" w:lineRule="auto"/>
        <w:jc w:val="both"/>
        <w:rPr>
          <w:rFonts w:ascii="Times New Roman" w:hAnsi="Times New Roman" w:cs="Times New Roman"/>
          <w:b/>
          <w:bCs/>
        </w:rPr>
        <w:sectPr w:rsidR="00F91AB0" w:rsidRPr="002B5BF5" w:rsidSect="00F10B91">
          <w:pgSz w:w="11906" w:h="16838"/>
          <w:pgMar w:top="1440" w:right="1440" w:bottom="1440" w:left="1440" w:header="720" w:footer="720" w:gutter="0"/>
          <w:cols w:space="720"/>
          <w:docGrid w:linePitch="360"/>
        </w:sectPr>
      </w:pPr>
      <w:r w:rsidRPr="002B5BF5">
        <w:rPr>
          <w:rFonts w:ascii="Times New Roman" w:hAnsi="Times New Roman" w:cs="Times New Roman"/>
          <w:b/>
          <w:bCs/>
        </w:rPr>
        <w:t>Figure 2.</w:t>
      </w:r>
      <w:r w:rsidRPr="002B5BF5">
        <w:rPr>
          <w:rFonts w:ascii="Times New Roman" w:hAnsi="Times New Roman" w:cs="Times New Roman"/>
        </w:rPr>
        <w:t xml:space="preserve">  Risk ratio (RR) of HIV testing uptake in the full intent to treat analysis among all eligible men. The circle symbol with the error bar represents the RR with 95% confidence interval in each arm compared to the standard of care arm.  Percentage (%) indicates the percentage of HIV testing uptake.</w:t>
      </w:r>
      <w:r w:rsidR="00425FEF" w:rsidRPr="002B5BF5">
        <w:rPr>
          <w:rFonts w:ascii="Times New Roman" w:hAnsi="Times New Roman" w:cs="Times New Roman"/>
          <w:b/>
          <w:bCs/>
        </w:rPr>
        <w:t xml:space="preserve"> </w:t>
      </w:r>
    </w:p>
    <w:p w14:paraId="0BBA8273" w14:textId="46F6A6AB" w:rsidR="00795419" w:rsidRPr="002B5BF5" w:rsidRDefault="00F91AB0" w:rsidP="00676AD6">
      <w:pPr>
        <w:spacing w:line="360" w:lineRule="auto"/>
        <w:jc w:val="both"/>
        <w:rPr>
          <w:rFonts w:ascii="Times New Roman" w:hAnsi="Times New Roman" w:cs="Times New Roman"/>
          <w:b/>
          <w:bCs/>
        </w:rPr>
      </w:pPr>
      <w:r w:rsidRPr="002B5BF5">
        <w:rPr>
          <w:rFonts w:ascii="Times New Roman" w:hAnsi="Times New Roman" w:cs="Times New Roman"/>
          <w:b/>
          <w:bCs/>
        </w:rPr>
        <w:lastRenderedPageBreak/>
        <w:t>References</w:t>
      </w:r>
    </w:p>
    <w:p w14:paraId="32F0F384" w14:textId="44CC3C87" w:rsidR="002422E5" w:rsidRPr="002B5BF5" w:rsidRDefault="00795419"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rPr>
        <w:fldChar w:fldCharType="begin" w:fldLock="1"/>
      </w:r>
      <w:r w:rsidRPr="002B5BF5">
        <w:rPr>
          <w:rFonts w:ascii="Times New Roman" w:hAnsi="Times New Roman" w:cs="Times New Roman"/>
        </w:rPr>
        <w:instrText xml:space="preserve">ADDIN Mendeley Bibliography CSL_BIBLIOGRAPHY </w:instrText>
      </w:r>
      <w:r w:rsidRPr="002B5BF5">
        <w:rPr>
          <w:rFonts w:ascii="Times New Roman" w:hAnsi="Times New Roman" w:cs="Times New Roman"/>
        </w:rPr>
        <w:fldChar w:fldCharType="separate"/>
      </w:r>
      <w:r w:rsidR="002422E5" w:rsidRPr="002B5BF5">
        <w:rPr>
          <w:rFonts w:ascii="Times New Roman" w:hAnsi="Times New Roman" w:cs="Times New Roman"/>
          <w:noProof/>
          <w:szCs w:val="24"/>
        </w:rPr>
        <w:t>1</w:t>
      </w:r>
      <w:r w:rsidR="002422E5" w:rsidRPr="002B5BF5">
        <w:rPr>
          <w:rFonts w:ascii="Times New Roman" w:hAnsi="Times New Roman" w:cs="Times New Roman"/>
          <w:noProof/>
          <w:szCs w:val="24"/>
        </w:rPr>
        <w:tab/>
        <w:t xml:space="preserve">Bor J, Herbst AJ, Newell M-L, Bärnighausen T. Increases in adult life expectancy in rural South Africa: valuing the scale-up of HIV treatment. </w:t>
      </w:r>
      <w:r w:rsidR="002422E5" w:rsidRPr="002B5BF5">
        <w:rPr>
          <w:rFonts w:ascii="Times New Roman" w:hAnsi="Times New Roman" w:cs="Times New Roman"/>
          <w:i/>
          <w:iCs/>
          <w:noProof/>
          <w:szCs w:val="24"/>
        </w:rPr>
        <w:t>Science</w:t>
      </w:r>
      <w:r w:rsidR="002422E5" w:rsidRPr="002B5BF5">
        <w:rPr>
          <w:rFonts w:ascii="Times New Roman" w:hAnsi="Times New Roman" w:cs="Times New Roman"/>
          <w:noProof/>
          <w:szCs w:val="24"/>
        </w:rPr>
        <w:t xml:space="preserve"> 2013; </w:t>
      </w:r>
      <w:r w:rsidR="002422E5" w:rsidRPr="002B5BF5">
        <w:rPr>
          <w:rFonts w:ascii="Times New Roman" w:hAnsi="Times New Roman" w:cs="Times New Roman"/>
          <w:b/>
          <w:bCs/>
          <w:noProof/>
          <w:szCs w:val="24"/>
        </w:rPr>
        <w:t>339</w:t>
      </w:r>
      <w:r w:rsidR="002422E5" w:rsidRPr="002B5BF5">
        <w:rPr>
          <w:rFonts w:ascii="Times New Roman" w:hAnsi="Times New Roman" w:cs="Times New Roman"/>
          <w:noProof/>
          <w:szCs w:val="24"/>
        </w:rPr>
        <w:t>: 961–5.</w:t>
      </w:r>
    </w:p>
    <w:p w14:paraId="60BAE6B1"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2</w:t>
      </w:r>
      <w:r w:rsidRPr="002B5BF5">
        <w:rPr>
          <w:rFonts w:ascii="Times New Roman" w:hAnsi="Times New Roman" w:cs="Times New Roman"/>
          <w:noProof/>
          <w:szCs w:val="24"/>
        </w:rPr>
        <w:tab/>
        <w:t xml:space="preserve">Tanser F, Bärnighausen T, Grapsa E, Zaidi J, Newell M-L. High coverage of ART associated with decline in risk of HIV acquisition in rural KwaZulu-Natal, South Africa. </w:t>
      </w:r>
      <w:r w:rsidRPr="002B5BF5">
        <w:rPr>
          <w:rFonts w:ascii="Times New Roman" w:hAnsi="Times New Roman" w:cs="Times New Roman"/>
          <w:i/>
          <w:iCs/>
          <w:noProof/>
          <w:szCs w:val="24"/>
        </w:rPr>
        <w:t>Science</w:t>
      </w:r>
      <w:r w:rsidRPr="002B5BF5">
        <w:rPr>
          <w:rFonts w:ascii="Times New Roman" w:hAnsi="Times New Roman" w:cs="Times New Roman"/>
          <w:noProof/>
          <w:szCs w:val="24"/>
        </w:rPr>
        <w:t xml:space="preserve"> 2013; </w:t>
      </w:r>
      <w:r w:rsidRPr="002B5BF5">
        <w:rPr>
          <w:rFonts w:ascii="Times New Roman" w:hAnsi="Times New Roman" w:cs="Times New Roman"/>
          <w:b/>
          <w:bCs/>
          <w:noProof/>
          <w:szCs w:val="24"/>
        </w:rPr>
        <w:t>339</w:t>
      </w:r>
      <w:r w:rsidRPr="002B5BF5">
        <w:rPr>
          <w:rFonts w:ascii="Times New Roman" w:hAnsi="Times New Roman" w:cs="Times New Roman"/>
          <w:noProof/>
          <w:szCs w:val="24"/>
        </w:rPr>
        <w:t>: 966–71.</w:t>
      </w:r>
    </w:p>
    <w:p w14:paraId="7D310909"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3</w:t>
      </w:r>
      <w:r w:rsidRPr="002B5BF5">
        <w:rPr>
          <w:rFonts w:ascii="Times New Roman" w:hAnsi="Times New Roman" w:cs="Times New Roman"/>
          <w:noProof/>
          <w:szCs w:val="24"/>
        </w:rPr>
        <w:tab/>
        <w:t xml:space="preserve">Tanser F, Bärnighausen T, Dobra A, Sartorius B. Identifying ‘corridors of HIV transmission’ in a severely affected rural South African population: A case for a shift toward targeted prevention strategies. </w:t>
      </w:r>
      <w:r w:rsidRPr="002B5BF5">
        <w:rPr>
          <w:rFonts w:ascii="Times New Roman" w:hAnsi="Times New Roman" w:cs="Times New Roman"/>
          <w:i/>
          <w:iCs/>
          <w:noProof/>
          <w:szCs w:val="24"/>
        </w:rPr>
        <w:t>Int J Epidemiol</w:t>
      </w:r>
      <w:r w:rsidRPr="002B5BF5">
        <w:rPr>
          <w:rFonts w:ascii="Times New Roman" w:hAnsi="Times New Roman" w:cs="Times New Roman"/>
          <w:noProof/>
          <w:szCs w:val="24"/>
        </w:rPr>
        <w:t xml:space="preserve"> 2018; </w:t>
      </w:r>
      <w:r w:rsidRPr="002B5BF5">
        <w:rPr>
          <w:rFonts w:ascii="Times New Roman" w:hAnsi="Times New Roman" w:cs="Times New Roman"/>
          <w:b/>
          <w:bCs/>
          <w:noProof/>
          <w:szCs w:val="24"/>
        </w:rPr>
        <w:t>47</w:t>
      </w:r>
      <w:r w:rsidRPr="002B5BF5">
        <w:rPr>
          <w:rFonts w:ascii="Times New Roman" w:hAnsi="Times New Roman" w:cs="Times New Roman"/>
          <w:noProof/>
          <w:szCs w:val="24"/>
        </w:rPr>
        <w:t>: 537–49.</w:t>
      </w:r>
    </w:p>
    <w:p w14:paraId="5D349E52"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4</w:t>
      </w:r>
      <w:r w:rsidRPr="002B5BF5">
        <w:rPr>
          <w:rFonts w:ascii="Times New Roman" w:hAnsi="Times New Roman" w:cs="Times New Roman"/>
          <w:noProof/>
          <w:szCs w:val="24"/>
        </w:rPr>
        <w:tab/>
        <w:t xml:space="preserve">Chimbindi N, Mthiyane N, Birdthistle I,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Persistently high incidence of HIV and poor service uptake in adolescent girls and young women in rural KwaZulu-Natal, South Africa prior to DREAMS. </w:t>
      </w:r>
      <w:r w:rsidRPr="002B5BF5">
        <w:rPr>
          <w:rFonts w:ascii="Times New Roman" w:hAnsi="Times New Roman" w:cs="Times New Roman"/>
          <w:i/>
          <w:iCs/>
          <w:noProof/>
          <w:szCs w:val="24"/>
        </w:rPr>
        <w:t>PLoS One</w:t>
      </w:r>
      <w:r w:rsidRPr="002B5BF5">
        <w:rPr>
          <w:rFonts w:ascii="Times New Roman" w:hAnsi="Times New Roman" w:cs="Times New Roman"/>
          <w:noProof/>
          <w:szCs w:val="24"/>
        </w:rPr>
        <w:t xml:space="preserve"> 2018; </w:t>
      </w:r>
      <w:r w:rsidRPr="002B5BF5">
        <w:rPr>
          <w:rFonts w:ascii="Times New Roman" w:hAnsi="Times New Roman" w:cs="Times New Roman"/>
          <w:b/>
          <w:bCs/>
          <w:noProof/>
          <w:szCs w:val="24"/>
        </w:rPr>
        <w:t>13</w:t>
      </w:r>
      <w:r w:rsidRPr="002B5BF5">
        <w:rPr>
          <w:rFonts w:ascii="Times New Roman" w:hAnsi="Times New Roman" w:cs="Times New Roman"/>
          <w:noProof/>
          <w:szCs w:val="24"/>
        </w:rPr>
        <w:t>: e0203193.</w:t>
      </w:r>
    </w:p>
    <w:p w14:paraId="46AA99F6"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5</w:t>
      </w:r>
      <w:r w:rsidRPr="002B5BF5">
        <w:rPr>
          <w:rFonts w:ascii="Times New Roman" w:hAnsi="Times New Roman" w:cs="Times New Roman"/>
          <w:noProof/>
          <w:szCs w:val="24"/>
        </w:rPr>
        <w:tab/>
        <w:t xml:space="preserve">Birdthistle I, Tanton C, Tomita A,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Recent levels and trends in HIV incidence rates among adolescent girls and young women in high-prevalence countries: A systematic review and meta-analysis. </w:t>
      </w:r>
      <w:r w:rsidRPr="002B5BF5">
        <w:rPr>
          <w:rFonts w:ascii="Times New Roman" w:hAnsi="Times New Roman" w:cs="Times New Roman"/>
          <w:i/>
          <w:iCs/>
          <w:noProof/>
          <w:szCs w:val="24"/>
        </w:rPr>
        <w:t>Lancet Glob Heal</w:t>
      </w:r>
      <w:r w:rsidRPr="002B5BF5">
        <w:rPr>
          <w:rFonts w:ascii="Times New Roman" w:hAnsi="Times New Roman" w:cs="Times New Roman"/>
          <w:noProof/>
          <w:szCs w:val="24"/>
        </w:rPr>
        <w:t xml:space="preserve"> 2019; </w:t>
      </w:r>
      <w:r w:rsidRPr="002B5BF5">
        <w:rPr>
          <w:rFonts w:ascii="Times New Roman" w:hAnsi="Times New Roman" w:cs="Times New Roman"/>
          <w:b/>
          <w:bCs/>
          <w:noProof/>
          <w:szCs w:val="24"/>
        </w:rPr>
        <w:t>7</w:t>
      </w:r>
      <w:r w:rsidRPr="002B5BF5">
        <w:rPr>
          <w:rFonts w:ascii="Times New Roman" w:hAnsi="Times New Roman" w:cs="Times New Roman"/>
          <w:noProof/>
          <w:szCs w:val="24"/>
        </w:rPr>
        <w:t>: E1521-1540.</w:t>
      </w:r>
    </w:p>
    <w:p w14:paraId="19E15AF8"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6</w:t>
      </w:r>
      <w:r w:rsidRPr="002B5BF5">
        <w:rPr>
          <w:rFonts w:ascii="Times New Roman" w:hAnsi="Times New Roman" w:cs="Times New Roman"/>
          <w:noProof/>
          <w:szCs w:val="24"/>
        </w:rPr>
        <w:tab/>
        <w:t xml:space="preserve">Bor J, Rosen S, Chimbindi N,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Mass HIV Treatment and Sex Disparities in Life Expectancy: Demographic Surveillance in Rural South Africa. </w:t>
      </w:r>
      <w:r w:rsidRPr="002B5BF5">
        <w:rPr>
          <w:rFonts w:ascii="Times New Roman" w:hAnsi="Times New Roman" w:cs="Times New Roman"/>
          <w:i/>
          <w:iCs/>
          <w:noProof/>
          <w:szCs w:val="24"/>
        </w:rPr>
        <w:t>PLOS Med</w:t>
      </w:r>
      <w:r w:rsidRPr="002B5BF5">
        <w:rPr>
          <w:rFonts w:ascii="Times New Roman" w:hAnsi="Times New Roman" w:cs="Times New Roman"/>
          <w:noProof/>
          <w:szCs w:val="24"/>
        </w:rPr>
        <w:t xml:space="preserve"> 2015; </w:t>
      </w:r>
      <w:r w:rsidRPr="002B5BF5">
        <w:rPr>
          <w:rFonts w:ascii="Times New Roman" w:hAnsi="Times New Roman" w:cs="Times New Roman"/>
          <w:b/>
          <w:bCs/>
          <w:noProof/>
          <w:szCs w:val="24"/>
        </w:rPr>
        <w:t>12</w:t>
      </w:r>
      <w:r w:rsidRPr="002B5BF5">
        <w:rPr>
          <w:rFonts w:ascii="Times New Roman" w:hAnsi="Times New Roman" w:cs="Times New Roman"/>
          <w:noProof/>
          <w:szCs w:val="24"/>
        </w:rPr>
        <w:t>: e1001905.</w:t>
      </w:r>
    </w:p>
    <w:p w14:paraId="756BA572"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7</w:t>
      </w:r>
      <w:r w:rsidRPr="002B5BF5">
        <w:rPr>
          <w:rFonts w:ascii="Times New Roman" w:hAnsi="Times New Roman" w:cs="Times New Roman"/>
          <w:noProof/>
          <w:szCs w:val="24"/>
        </w:rPr>
        <w:tab/>
        <w:t xml:space="preserve">Hensen B, Lewis JJ, Schaap A,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Factors Associated with HIV-Testing and Acceptance of an Offer of Home-Based Testing by Men in Rural Zambia. </w:t>
      </w:r>
      <w:r w:rsidRPr="002B5BF5">
        <w:rPr>
          <w:rFonts w:ascii="Times New Roman" w:hAnsi="Times New Roman" w:cs="Times New Roman"/>
          <w:i/>
          <w:iCs/>
          <w:noProof/>
          <w:szCs w:val="24"/>
        </w:rPr>
        <w:t>AIDS Behav</w:t>
      </w:r>
      <w:r w:rsidRPr="002B5BF5">
        <w:rPr>
          <w:rFonts w:ascii="Times New Roman" w:hAnsi="Times New Roman" w:cs="Times New Roman"/>
          <w:noProof/>
          <w:szCs w:val="24"/>
        </w:rPr>
        <w:t xml:space="preserve"> 2015; </w:t>
      </w:r>
      <w:r w:rsidRPr="002B5BF5">
        <w:rPr>
          <w:rFonts w:ascii="Times New Roman" w:hAnsi="Times New Roman" w:cs="Times New Roman"/>
          <w:b/>
          <w:bCs/>
          <w:noProof/>
          <w:szCs w:val="24"/>
        </w:rPr>
        <w:t>19</w:t>
      </w:r>
      <w:r w:rsidRPr="002B5BF5">
        <w:rPr>
          <w:rFonts w:ascii="Times New Roman" w:hAnsi="Times New Roman" w:cs="Times New Roman"/>
          <w:noProof/>
          <w:szCs w:val="24"/>
        </w:rPr>
        <w:t>: 492–504.</w:t>
      </w:r>
    </w:p>
    <w:p w14:paraId="3DB6FFF3"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8</w:t>
      </w:r>
      <w:r w:rsidRPr="002B5BF5">
        <w:rPr>
          <w:rFonts w:ascii="Times New Roman" w:hAnsi="Times New Roman" w:cs="Times New Roman"/>
          <w:noProof/>
          <w:szCs w:val="24"/>
        </w:rPr>
        <w:tab/>
        <w:t xml:space="preserve">Vandormael A, Akullian A, Siedner M, Bärnighausen T, de Oliveira T, Tanser F. Declines in HIV incidence among men and women in a South African population-based cohort. </w:t>
      </w:r>
      <w:r w:rsidRPr="002B5BF5">
        <w:rPr>
          <w:rFonts w:ascii="Times New Roman" w:hAnsi="Times New Roman" w:cs="Times New Roman"/>
          <w:i/>
          <w:iCs/>
          <w:noProof/>
          <w:szCs w:val="24"/>
        </w:rPr>
        <w:t>Nat Commun</w:t>
      </w:r>
      <w:r w:rsidRPr="002B5BF5">
        <w:rPr>
          <w:rFonts w:ascii="Times New Roman" w:hAnsi="Times New Roman" w:cs="Times New Roman"/>
          <w:noProof/>
          <w:szCs w:val="24"/>
        </w:rPr>
        <w:t xml:space="preserve"> 2019; </w:t>
      </w:r>
      <w:r w:rsidRPr="002B5BF5">
        <w:rPr>
          <w:rFonts w:ascii="Times New Roman" w:hAnsi="Times New Roman" w:cs="Times New Roman"/>
          <w:b/>
          <w:bCs/>
          <w:noProof/>
          <w:szCs w:val="24"/>
        </w:rPr>
        <w:t>10</w:t>
      </w:r>
      <w:r w:rsidRPr="002B5BF5">
        <w:rPr>
          <w:rFonts w:ascii="Times New Roman" w:hAnsi="Times New Roman" w:cs="Times New Roman"/>
          <w:noProof/>
          <w:szCs w:val="24"/>
        </w:rPr>
        <w:t>: 5482.</w:t>
      </w:r>
    </w:p>
    <w:p w14:paraId="3085D8BB"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9</w:t>
      </w:r>
      <w:r w:rsidRPr="002B5BF5">
        <w:rPr>
          <w:rFonts w:ascii="Times New Roman" w:hAnsi="Times New Roman" w:cs="Times New Roman"/>
          <w:noProof/>
          <w:szCs w:val="24"/>
        </w:rPr>
        <w:tab/>
        <w:t xml:space="preserve">Havlir D V., Balzer LB, Charlebois ED,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HIV Testing and Treatment with the Use of a Community Health Approach in Rural Africa. </w:t>
      </w:r>
      <w:r w:rsidRPr="002B5BF5">
        <w:rPr>
          <w:rFonts w:ascii="Times New Roman" w:hAnsi="Times New Roman" w:cs="Times New Roman"/>
          <w:i/>
          <w:iCs/>
          <w:noProof/>
          <w:szCs w:val="24"/>
        </w:rPr>
        <w:t>N Engl J Med</w:t>
      </w:r>
      <w:r w:rsidRPr="002B5BF5">
        <w:rPr>
          <w:rFonts w:ascii="Times New Roman" w:hAnsi="Times New Roman" w:cs="Times New Roman"/>
          <w:noProof/>
          <w:szCs w:val="24"/>
        </w:rPr>
        <w:t xml:space="preserve"> 2019; </w:t>
      </w:r>
      <w:r w:rsidRPr="002B5BF5">
        <w:rPr>
          <w:rFonts w:ascii="Times New Roman" w:hAnsi="Times New Roman" w:cs="Times New Roman"/>
          <w:b/>
          <w:bCs/>
          <w:noProof/>
          <w:szCs w:val="24"/>
        </w:rPr>
        <w:t>381</w:t>
      </w:r>
      <w:r w:rsidRPr="002B5BF5">
        <w:rPr>
          <w:rFonts w:ascii="Times New Roman" w:hAnsi="Times New Roman" w:cs="Times New Roman"/>
          <w:noProof/>
          <w:szCs w:val="24"/>
        </w:rPr>
        <w:t>: 219–29.</w:t>
      </w:r>
    </w:p>
    <w:p w14:paraId="19D85467"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10</w:t>
      </w:r>
      <w:r w:rsidRPr="002B5BF5">
        <w:rPr>
          <w:rFonts w:ascii="Times New Roman" w:hAnsi="Times New Roman" w:cs="Times New Roman"/>
          <w:noProof/>
          <w:szCs w:val="24"/>
        </w:rPr>
        <w:tab/>
        <w:t xml:space="preserve">Makhema J, Wirth KE, Pretorius Holme M,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Universal Testing, Expanded Treatment, and Incidence of HIV Infection in Botswana. </w:t>
      </w:r>
      <w:r w:rsidRPr="002B5BF5">
        <w:rPr>
          <w:rFonts w:ascii="Times New Roman" w:hAnsi="Times New Roman" w:cs="Times New Roman"/>
          <w:i/>
          <w:iCs/>
          <w:noProof/>
          <w:szCs w:val="24"/>
        </w:rPr>
        <w:t>N Engl J Med</w:t>
      </w:r>
      <w:r w:rsidRPr="002B5BF5">
        <w:rPr>
          <w:rFonts w:ascii="Times New Roman" w:hAnsi="Times New Roman" w:cs="Times New Roman"/>
          <w:noProof/>
          <w:szCs w:val="24"/>
        </w:rPr>
        <w:t xml:space="preserve"> 2019; </w:t>
      </w:r>
      <w:r w:rsidRPr="002B5BF5">
        <w:rPr>
          <w:rFonts w:ascii="Times New Roman" w:hAnsi="Times New Roman" w:cs="Times New Roman"/>
          <w:b/>
          <w:bCs/>
          <w:noProof/>
          <w:szCs w:val="24"/>
        </w:rPr>
        <w:t>381</w:t>
      </w:r>
      <w:r w:rsidRPr="002B5BF5">
        <w:rPr>
          <w:rFonts w:ascii="Times New Roman" w:hAnsi="Times New Roman" w:cs="Times New Roman"/>
          <w:noProof/>
          <w:szCs w:val="24"/>
        </w:rPr>
        <w:t>: 230–42.</w:t>
      </w:r>
    </w:p>
    <w:p w14:paraId="1B2ABE6C"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11</w:t>
      </w:r>
      <w:r w:rsidRPr="002B5BF5">
        <w:rPr>
          <w:rFonts w:ascii="Times New Roman" w:hAnsi="Times New Roman" w:cs="Times New Roman"/>
          <w:noProof/>
          <w:szCs w:val="24"/>
        </w:rPr>
        <w:tab/>
        <w:t xml:space="preserve">Hayes RJ, Donnell D, Floyd S,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Effect of Universal Testing and Treatment on HIV Incidence — HPTN 071 (PopART). </w:t>
      </w:r>
      <w:r w:rsidRPr="002B5BF5">
        <w:rPr>
          <w:rFonts w:ascii="Times New Roman" w:hAnsi="Times New Roman" w:cs="Times New Roman"/>
          <w:i/>
          <w:iCs/>
          <w:noProof/>
          <w:szCs w:val="24"/>
        </w:rPr>
        <w:t>N Engl J Med</w:t>
      </w:r>
      <w:r w:rsidRPr="002B5BF5">
        <w:rPr>
          <w:rFonts w:ascii="Times New Roman" w:hAnsi="Times New Roman" w:cs="Times New Roman"/>
          <w:noProof/>
          <w:szCs w:val="24"/>
        </w:rPr>
        <w:t xml:space="preserve"> 2019; </w:t>
      </w:r>
      <w:r w:rsidRPr="002B5BF5">
        <w:rPr>
          <w:rFonts w:ascii="Times New Roman" w:hAnsi="Times New Roman" w:cs="Times New Roman"/>
          <w:b/>
          <w:bCs/>
          <w:noProof/>
          <w:szCs w:val="24"/>
        </w:rPr>
        <w:t>381</w:t>
      </w:r>
      <w:r w:rsidRPr="002B5BF5">
        <w:rPr>
          <w:rFonts w:ascii="Times New Roman" w:hAnsi="Times New Roman" w:cs="Times New Roman"/>
          <w:noProof/>
          <w:szCs w:val="24"/>
        </w:rPr>
        <w:t>: 207–18.</w:t>
      </w:r>
    </w:p>
    <w:p w14:paraId="51D80841"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12</w:t>
      </w:r>
      <w:r w:rsidRPr="002B5BF5">
        <w:rPr>
          <w:rFonts w:ascii="Times New Roman" w:hAnsi="Times New Roman" w:cs="Times New Roman"/>
          <w:noProof/>
          <w:szCs w:val="24"/>
        </w:rPr>
        <w:tab/>
        <w:t xml:space="preserve">Iwuji CC, Orne-Gliemann J, Larmarange J,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Universal test and treat and the HIV epidemic in rural South Africa: a phase 4, open-label, community cluster randomised trial. </w:t>
      </w:r>
      <w:r w:rsidRPr="002B5BF5">
        <w:rPr>
          <w:rFonts w:ascii="Times New Roman" w:hAnsi="Times New Roman" w:cs="Times New Roman"/>
          <w:i/>
          <w:iCs/>
          <w:noProof/>
          <w:szCs w:val="24"/>
        </w:rPr>
        <w:t>Lancet HIV</w:t>
      </w:r>
      <w:r w:rsidRPr="002B5BF5">
        <w:rPr>
          <w:rFonts w:ascii="Times New Roman" w:hAnsi="Times New Roman" w:cs="Times New Roman"/>
          <w:noProof/>
          <w:szCs w:val="24"/>
        </w:rPr>
        <w:t xml:space="preserve"> 2018; </w:t>
      </w:r>
      <w:r w:rsidRPr="002B5BF5">
        <w:rPr>
          <w:rFonts w:ascii="Times New Roman" w:hAnsi="Times New Roman" w:cs="Times New Roman"/>
          <w:b/>
          <w:bCs/>
          <w:noProof/>
          <w:szCs w:val="24"/>
        </w:rPr>
        <w:t>5</w:t>
      </w:r>
      <w:r w:rsidRPr="002B5BF5">
        <w:rPr>
          <w:rFonts w:ascii="Times New Roman" w:hAnsi="Times New Roman" w:cs="Times New Roman"/>
          <w:noProof/>
          <w:szCs w:val="24"/>
        </w:rPr>
        <w:t>: e116–25.</w:t>
      </w:r>
    </w:p>
    <w:p w14:paraId="67C18957"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lastRenderedPageBreak/>
        <w:t>13</w:t>
      </w:r>
      <w:r w:rsidRPr="002B5BF5">
        <w:rPr>
          <w:rFonts w:ascii="Times New Roman" w:hAnsi="Times New Roman" w:cs="Times New Roman"/>
          <w:noProof/>
          <w:szCs w:val="24"/>
        </w:rPr>
        <w:tab/>
        <w:t xml:space="preserve">Galárraga O, Genberg BL, Martin RA, Barton Laws M, Wilson IB. Conditional Economic Incentives to Improve HIV Treatment Adherence: Literature Review and Theoretical Considerations. </w:t>
      </w:r>
      <w:r w:rsidRPr="002B5BF5">
        <w:rPr>
          <w:rFonts w:ascii="Times New Roman" w:hAnsi="Times New Roman" w:cs="Times New Roman"/>
          <w:i/>
          <w:iCs/>
          <w:noProof/>
          <w:szCs w:val="24"/>
        </w:rPr>
        <w:t>AIDS Behav</w:t>
      </w:r>
      <w:r w:rsidRPr="002B5BF5">
        <w:rPr>
          <w:rFonts w:ascii="Times New Roman" w:hAnsi="Times New Roman" w:cs="Times New Roman"/>
          <w:noProof/>
          <w:szCs w:val="24"/>
        </w:rPr>
        <w:t xml:space="preserve"> 2013; </w:t>
      </w:r>
      <w:r w:rsidRPr="002B5BF5">
        <w:rPr>
          <w:rFonts w:ascii="Times New Roman" w:hAnsi="Times New Roman" w:cs="Times New Roman"/>
          <w:b/>
          <w:bCs/>
          <w:noProof/>
          <w:szCs w:val="24"/>
        </w:rPr>
        <w:t>17</w:t>
      </w:r>
      <w:r w:rsidRPr="002B5BF5">
        <w:rPr>
          <w:rFonts w:ascii="Times New Roman" w:hAnsi="Times New Roman" w:cs="Times New Roman"/>
          <w:noProof/>
          <w:szCs w:val="24"/>
        </w:rPr>
        <w:t>: 2283–92.</w:t>
      </w:r>
    </w:p>
    <w:p w14:paraId="06BEC5BF"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14</w:t>
      </w:r>
      <w:r w:rsidRPr="002B5BF5">
        <w:rPr>
          <w:rFonts w:ascii="Times New Roman" w:hAnsi="Times New Roman" w:cs="Times New Roman"/>
          <w:noProof/>
          <w:szCs w:val="24"/>
        </w:rPr>
        <w:tab/>
        <w:t xml:space="preserve">Metsch LR, Feaster DJ, Gooden L,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Effect of Patient Navigation With or Without Financial Incentives on Viral Suppression Among Hospitalized Patients With HIV Infection and Substance Use: A Randomized Clinical Trial. </w:t>
      </w:r>
      <w:r w:rsidRPr="002B5BF5">
        <w:rPr>
          <w:rFonts w:ascii="Times New Roman" w:hAnsi="Times New Roman" w:cs="Times New Roman"/>
          <w:i/>
          <w:iCs/>
          <w:noProof/>
          <w:szCs w:val="24"/>
        </w:rPr>
        <w:t>JAMA</w:t>
      </w:r>
      <w:r w:rsidRPr="002B5BF5">
        <w:rPr>
          <w:rFonts w:ascii="Times New Roman" w:hAnsi="Times New Roman" w:cs="Times New Roman"/>
          <w:noProof/>
          <w:szCs w:val="24"/>
        </w:rPr>
        <w:t xml:space="preserve"> 2016; </w:t>
      </w:r>
      <w:r w:rsidRPr="002B5BF5">
        <w:rPr>
          <w:rFonts w:ascii="Times New Roman" w:hAnsi="Times New Roman" w:cs="Times New Roman"/>
          <w:b/>
          <w:bCs/>
          <w:noProof/>
          <w:szCs w:val="24"/>
        </w:rPr>
        <w:t>316</w:t>
      </w:r>
      <w:r w:rsidRPr="002B5BF5">
        <w:rPr>
          <w:rFonts w:ascii="Times New Roman" w:hAnsi="Times New Roman" w:cs="Times New Roman"/>
          <w:noProof/>
          <w:szCs w:val="24"/>
        </w:rPr>
        <w:t>: 156–70.</w:t>
      </w:r>
    </w:p>
    <w:p w14:paraId="5FB4DC85"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15</w:t>
      </w:r>
      <w:r w:rsidRPr="002B5BF5">
        <w:rPr>
          <w:rFonts w:ascii="Times New Roman" w:hAnsi="Times New Roman" w:cs="Times New Roman"/>
          <w:noProof/>
          <w:szCs w:val="24"/>
        </w:rPr>
        <w:tab/>
        <w:t xml:space="preserve">Thirumurthy H, Masters SH, Rao S,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Effect of providing conditional economic compensation on uptake of voluntary medical male circumcision in Kenya: a randomized clinical trial. </w:t>
      </w:r>
      <w:r w:rsidRPr="002B5BF5">
        <w:rPr>
          <w:rFonts w:ascii="Times New Roman" w:hAnsi="Times New Roman" w:cs="Times New Roman"/>
          <w:i/>
          <w:iCs/>
          <w:noProof/>
          <w:szCs w:val="24"/>
        </w:rPr>
        <w:t>JAMA</w:t>
      </w:r>
      <w:r w:rsidRPr="002B5BF5">
        <w:rPr>
          <w:rFonts w:ascii="Times New Roman" w:hAnsi="Times New Roman" w:cs="Times New Roman"/>
          <w:noProof/>
          <w:szCs w:val="24"/>
        </w:rPr>
        <w:t xml:space="preserve"> 2014; </w:t>
      </w:r>
      <w:r w:rsidRPr="002B5BF5">
        <w:rPr>
          <w:rFonts w:ascii="Times New Roman" w:hAnsi="Times New Roman" w:cs="Times New Roman"/>
          <w:b/>
          <w:bCs/>
          <w:noProof/>
          <w:szCs w:val="24"/>
        </w:rPr>
        <w:t>312</w:t>
      </w:r>
      <w:r w:rsidRPr="002B5BF5">
        <w:rPr>
          <w:rFonts w:ascii="Times New Roman" w:hAnsi="Times New Roman" w:cs="Times New Roman"/>
          <w:noProof/>
          <w:szCs w:val="24"/>
        </w:rPr>
        <w:t>: 703–11.</w:t>
      </w:r>
    </w:p>
    <w:p w14:paraId="387CB3A2"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16</w:t>
      </w:r>
      <w:r w:rsidRPr="002B5BF5">
        <w:rPr>
          <w:rFonts w:ascii="Times New Roman" w:hAnsi="Times New Roman" w:cs="Times New Roman"/>
          <w:noProof/>
          <w:szCs w:val="24"/>
        </w:rPr>
        <w:tab/>
        <w:t xml:space="preserve">Gaarder MM, Glassman A, Todd JE. Conditional cash transfers and health: unpacking the causal chain. </w:t>
      </w:r>
      <w:r w:rsidRPr="002B5BF5">
        <w:rPr>
          <w:rFonts w:ascii="Times New Roman" w:hAnsi="Times New Roman" w:cs="Times New Roman"/>
          <w:i/>
          <w:iCs/>
          <w:noProof/>
          <w:szCs w:val="24"/>
        </w:rPr>
        <w:t>J Dev Eff</w:t>
      </w:r>
      <w:r w:rsidRPr="002B5BF5">
        <w:rPr>
          <w:rFonts w:ascii="Times New Roman" w:hAnsi="Times New Roman" w:cs="Times New Roman"/>
          <w:noProof/>
          <w:szCs w:val="24"/>
        </w:rPr>
        <w:t xml:space="preserve"> 2010; </w:t>
      </w:r>
      <w:r w:rsidRPr="002B5BF5">
        <w:rPr>
          <w:rFonts w:ascii="Times New Roman" w:hAnsi="Times New Roman" w:cs="Times New Roman"/>
          <w:b/>
          <w:bCs/>
          <w:noProof/>
          <w:szCs w:val="24"/>
        </w:rPr>
        <w:t>2</w:t>
      </w:r>
      <w:r w:rsidRPr="002B5BF5">
        <w:rPr>
          <w:rFonts w:ascii="Times New Roman" w:hAnsi="Times New Roman" w:cs="Times New Roman"/>
          <w:noProof/>
          <w:szCs w:val="24"/>
        </w:rPr>
        <w:t>: 6–50.</w:t>
      </w:r>
    </w:p>
    <w:p w14:paraId="2304151C"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17</w:t>
      </w:r>
      <w:r w:rsidRPr="002B5BF5">
        <w:rPr>
          <w:rFonts w:ascii="Times New Roman" w:hAnsi="Times New Roman" w:cs="Times New Roman"/>
          <w:noProof/>
          <w:szCs w:val="24"/>
        </w:rPr>
        <w:tab/>
        <w:t xml:space="preserve">Lagarde M, Haines A, Palmer N. Conditional cash transfers for improving uptake of health interventions in low- and middle-income countries: A systematic review. JAMA. 2007; </w:t>
      </w:r>
      <w:r w:rsidRPr="002B5BF5">
        <w:rPr>
          <w:rFonts w:ascii="Times New Roman" w:hAnsi="Times New Roman" w:cs="Times New Roman"/>
          <w:b/>
          <w:bCs/>
          <w:noProof/>
          <w:szCs w:val="24"/>
        </w:rPr>
        <w:t>298</w:t>
      </w:r>
      <w:r w:rsidRPr="002B5BF5">
        <w:rPr>
          <w:rFonts w:ascii="Times New Roman" w:hAnsi="Times New Roman" w:cs="Times New Roman"/>
          <w:noProof/>
          <w:szCs w:val="24"/>
        </w:rPr>
        <w:t>: 1900–10.</w:t>
      </w:r>
    </w:p>
    <w:p w14:paraId="6EAAA30B"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18</w:t>
      </w:r>
      <w:r w:rsidRPr="002B5BF5">
        <w:rPr>
          <w:rFonts w:ascii="Times New Roman" w:hAnsi="Times New Roman" w:cs="Times New Roman"/>
          <w:noProof/>
          <w:szCs w:val="24"/>
        </w:rPr>
        <w:tab/>
        <w:t xml:space="preserve">Bassett I V, Wilson D, Taaffe J, Freedberg KA. Financial incentives to improve progression through the HIV treatment cascade. </w:t>
      </w:r>
      <w:r w:rsidRPr="002B5BF5">
        <w:rPr>
          <w:rFonts w:ascii="Times New Roman" w:hAnsi="Times New Roman" w:cs="Times New Roman"/>
          <w:i/>
          <w:iCs/>
          <w:noProof/>
          <w:szCs w:val="24"/>
        </w:rPr>
        <w:t>Curr Opin HIV AIDS</w:t>
      </w:r>
      <w:r w:rsidRPr="002B5BF5">
        <w:rPr>
          <w:rFonts w:ascii="Times New Roman" w:hAnsi="Times New Roman" w:cs="Times New Roman"/>
          <w:noProof/>
          <w:szCs w:val="24"/>
        </w:rPr>
        <w:t xml:space="preserve"> 2015; </w:t>
      </w:r>
      <w:r w:rsidRPr="002B5BF5">
        <w:rPr>
          <w:rFonts w:ascii="Times New Roman" w:hAnsi="Times New Roman" w:cs="Times New Roman"/>
          <w:b/>
          <w:bCs/>
          <w:noProof/>
          <w:szCs w:val="24"/>
        </w:rPr>
        <w:t>10</w:t>
      </w:r>
      <w:r w:rsidRPr="002B5BF5">
        <w:rPr>
          <w:rFonts w:ascii="Times New Roman" w:hAnsi="Times New Roman" w:cs="Times New Roman"/>
          <w:noProof/>
          <w:szCs w:val="24"/>
        </w:rPr>
        <w:t>: 451–63.</w:t>
      </w:r>
    </w:p>
    <w:p w14:paraId="233DCEF7"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19</w:t>
      </w:r>
      <w:r w:rsidRPr="002B5BF5">
        <w:rPr>
          <w:rFonts w:ascii="Times New Roman" w:hAnsi="Times New Roman" w:cs="Times New Roman"/>
          <w:noProof/>
          <w:szCs w:val="24"/>
        </w:rPr>
        <w:tab/>
        <w:t xml:space="preserve">Choko AT, Corbett EL, Stallard N,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HIV self-testing alone or with additional interventions, including financial incentives, and linkage to care or prevention among male partners of antenatal care clinic attendees in Malawi: An adaptive multi-arm, multi-stage cluster randomised trial. </w:t>
      </w:r>
      <w:r w:rsidRPr="002B5BF5">
        <w:rPr>
          <w:rFonts w:ascii="Times New Roman" w:hAnsi="Times New Roman" w:cs="Times New Roman"/>
          <w:i/>
          <w:iCs/>
          <w:noProof/>
          <w:szCs w:val="24"/>
        </w:rPr>
        <w:t>PLoS Med</w:t>
      </w:r>
      <w:r w:rsidRPr="002B5BF5">
        <w:rPr>
          <w:rFonts w:ascii="Times New Roman" w:hAnsi="Times New Roman" w:cs="Times New Roman"/>
          <w:noProof/>
          <w:szCs w:val="24"/>
        </w:rPr>
        <w:t xml:space="preserve"> 2019; </w:t>
      </w:r>
      <w:r w:rsidRPr="002B5BF5">
        <w:rPr>
          <w:rFonts w:ascii="Times New Roman" w:hAnsi="Times New Roman" w:cs="Times New Roman"/>
          <w:b/>
          <w:bCs/>
          <w:noProof/>
          <w:szCs w:val="24"/>
        </w:rPr>
        <w:t>16</w:t>
      </w:r>
      <w:r w:rsidRPr="002B5BF5">
        <w:rPr>
          <w:rFonts w:ascii="Times New Roman" w:hAnsi="Times New Roman" w:cs="Times New Roman"/>
          <w:noProof/>
          <w:szCs w:val="24"/>
        </w:rPr>
        <w:t>: e1002719.</w:t>
      </w:r>
    </w:p>
    <w:p w14:paraId="153997D9"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20</w:t>
      </w:r>
      <w:r w:rsidRPr="002B5BF5">
        <w:rPr>
          <w:rFonts w:ascii="Times New Roman" w:hAnsi="Times New Roman" w:cs="Times New Roman"/>
          <w:noProof/>
          <w:szCs w:val="24"/>
        </w:rPr>
        <w:tab/>
        <w:t xml:space="preserve">Kranzer K, Simms V, Bandason T,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Economic incentives for HIV testing by adolescents in Zimbabwe: a randomised controlled trial. </w:t>
      </w:r>
      <w:r w:rsidRPr="002B5BF5">
        <w:rPr>
          <w:rFonts w:ascii="Times New Roman" w:hAnsi="Times New Roman" w:cs="Times New Roman"/>
          <w:i/>
          <w:iCs/>
          <w:noProof/>
          <w:szCs w:val="24"/>
        </w:rPr>
        <w:t>lancet HIV</w:t>
      </w:r>
      <w:r w:rsidRPr="002B5BF5">
        <w:rPr>
          <w:rFonts w:ascii="Times New Roman" w:hAnsi="Times New Roman" w:cs="Times New Roman"/>
          <w:noProof/>
          <w:szCs w:val="24"/>
        </w:rPr>
        <w:t xml:space="preserve"> 2018; </w:t>
      </w:r>
      <w:r w:rsidRPr="002B5BF5">
        <w:rPr>
          <w:rFonts w:ascii="Times New Roman" w:hAnsi="Times New Roman" w:cs="Times New Roman"/>
          <w:b/>
          <w:bCs/>
          <w:noProof/>
          <w:szCs w:val="24"/>
        </w:rPr>
        <w:t>5</w:t>
      </w:r>
      <w:r w:rsidRPr="002B5BF5">
        <w:rPr>
          <w:rFonts w:ascii="Times New Roman" w:hAnsi="Times New Roman" w:cs="Times New Roman"/>
          <w:noProof/>
          <w:szCs w:val="24"/>
        </w:rPr>
        <w:t>: e79–86.</w:t>
      </w:r>
    </w:p>
    <w:p w14:paraId="5D83298F"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21</w:t>
      </w:r>
      <w:r w:rsidRPr="002B5BF5">
        <w:rPr>
          <w:rFonts w:ascii="Times New Roman" w:hAnsi="Times New Roman" w:cs="Times New Roman"/>
          <w:noProof/>
          <w:szCs w:val="24"/>
        </w:rPr>
        <w:tab/>
        <w:t xml:space="preserve">McNairy ML, Lamb MR, Gachuhi AB,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Effectiveness of a combination strategy for linkage and retention in adult HIV care in Swaziland: The Link4Health cluster randomized trial. </w:t>
      </w:r>
      <w:r w:rsidRPr="002B5BF5">
        <w:rPr>
          <w:rFonts w:ascii="Times New Roman" w:hAnsi="Times New Roman" w:cs="Times New Roman"/>
          <w:i/>
          <w:iCs/>
          <w:noProof/>
          <w:szCs w:val="24"/>
        </w:rPr>
        <w:t>PLoS Med</w:t>
      </w:r>
      <w:r w:rsidRPr="002B5BF5">
        <w:rPr>
          <w:rFonts w:ascii="Times New Roman" w:hAnsi="Times New Roman" w:cs="Times New Roman"/>
          <w:noProof/>
          <w:szCs w:val="24"/>
        </w:rPr>
        <w:t xml:space="preserve"> 2017; </w:t>
      </w:r>
      <w:r w:rsidRPr="002B5BF5">
        <w:rPr>
          <w:rFonts w:ascii="Times New Roman" w:hAnsi="Times New Roman" w:cs="Times New Roman"/>
          <w:b/>
          <w:bCs/>
          <w:noProof/>
          <w:szCs w:val="24"/>
        </w:rPr>
        <w:t>14</w:t>
      </w:r>
      <w:r w:rsidRPr="002B5BF5">
        <w:rPr>
          <w:rFonts w:ascii="Times New Roman" w:hAnsi="Times New Roman" w:cs="Times New Roman"/>
          <w:noProof/>
          <w:szCs w:val="24"/>
        </w:rPr>
        <w:t>.</w:t>
      </w:r>
    </w:p>
    <w:p w14:paraId="0BDE48F7"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22</w:t>
      </w:r>
      <w:r w:rsidRPr="002B5BF5">
        <w:rPr>
          <w:rFonts w:ascii="Times New Roman" w:hAnsi="Times New Roman" w:cs="Times New Roman"/>
          <w:noProof/>
          <w:szCs w:val="24"/>
        </w:rPr>
        <w:tab/>
        <w:t xml:space="preserve">Elul B, Lamb MR, Lahuerta M,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A combination intervention strategy to improve linkage to and retention in HIV care following diagnosis in Mozambique: A cluster-randomized study. </w:t>
      </w:r>
      <w:r w:rsidRPr="002B5BF5">
        <w:rPr>
          <w:rFonts w:ascii="Times New Roman" w:hAnsi="Times New Roman" w:cs="Times New Roman"/>
          <w:i/>
          <w:iCs/>
          <w:noProof/>
          <w:szCs w:val="24"/>
        </w:rPr>
        <w:t>PLOS Med</w:t>
      </w:r>
      <w:r w:rsidRPr="002B5BF5">
        <w:rPr>
          <w:rFonts w:ascii="Times New Roman" w:hAnsi="Times New Roman" w:cs="Times New Roman"/>
          <w:noProof/>
          <w:szCs w:val="24"/>
        </w:rPr>
        <w:t xml:space="preserve"> 2017; </w:t>
      </w:r>
      <w:r w:rsidRPr="002B5BF5">
        <w:rPr>
          <w:rFonts w:ascii="Times New Roman" w:hAnsi="Times New Roman" w:cs="Times New Roman"/>
          <w:b/>
          <w:bCs/>
          <w:noProof/>
          <w:szCs w:val="24"/>
        </w:rPr>
        <w:t>14</w:t>
      </w:r>
      <w:r w:rsidRPr="002B5BF5">
        <w:rPr>
          <w:rFonts w:ascii="Times New Roman" w:hAnsi="Times New Roman" w:cs="Times New Roman"/>
          <w:noProof/>
          <w:szCs w:val="24"/>
        </w:rPr>
        <w:t>: e1002433.</w:t>
      </w:r>
    </w:p>
    <w:p w14:paraId="69A1E26D"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23</w:t>
      </w:r>
      <w:r w:rsidRPr="002B5BF5">
        <w:rPr>
          <w:rFonts w:ascii="Times New Roman" w:hAnsi="Times New Roman" w:cs="Times New Roman"/>
          <w:noProof/>
          <w:szCs w:val="24"/>
        </w:rPr>
        <w:tab/>
        <w:t xml:space="preserve">El-Sadr WM, Donnell D, Beauchamp G,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Financial Incentives for Linkage to Care and Viral Suppression Among HIV-Positive Patients. </w:t>
      </w:r>
      <w:r w:rsidRPr="002B5BF5">
        <w:rPr>
          <w:rFonts w:ascii="Times New Roman" w:hAnsi="Times New Roman" w:cs="Times New Roman"/>
          <w:i/>
          <w:iCs/>
          <w:noProof/>
          <w:szCs w:val="24"/>
        </w:rPr>
        <w:t>JAMA Intern Med</w:t>
      </w:r>
      <w:r w:rsidRPr="002B5BF5">
        <w:rPr>
          <w:rFonts w:ascii="Times New Roman" w:hAnsi="Times New Roman" w:cs="Times New Roman"/>
          <w:noProof/>
          <w:szCs w:val="24"/>
        </w:rPr>
        <w:t xml:space="preserve"> 2017; </w:t>
      </w:r>
      <w:r w:rsidRPr="002B5BF5">
        <w:rPr>
          <w:rFonts w:ascii="Times New Roman" w:hAnsi="Times New Roman" w:cs="Times New Roman"/>
          <w:b/>
          <w:bCs/>
          <w:noProof/>
          <w:szCs w:val="24"/>
        </w:rPr>
        <w:t>177</w:t>
      </w:r>
      <w:r w:rsidRPr="002B5BF5">
        <w:rPr>
          <w:rFonts w:ascii="Times New Roman" w:hAnsi="Times New Roman" w:cs="Times New Roman"/>
          <w:noProof/>
          <w:szCs w:val="24"/>
        </w:rPr>
        <w:t>: 1083.</w:t>
      </w:r>
    </w:p>
    <w:p w14:paraId="0278605E"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24</w:t>
      </w:r>
      <w:r w:rsidRPr="002B5BF5">
        <w:rPr>
          <w:rFonts w:ascii="Times New Roman" w:hAnsi="Times New Roman" w:cs="Times New Roman"/>
          <w:noProof/>
          <w:szCs w:val="24"/>
        </w:rPr>
        <w:tab/>
        <w:t xml:space="preserve">Adamson B, El-Sadr W, Dimitrov D,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The Cost-Effectiveness of Financial Incentives for Viral Suppression: HPTN 065 Study. </w:t>
      </w:r>
      <w:r w:rsidRPr="002B5BF5">
        <w:rPr>
          <w:rFonts w:ascii="Times New Roman" w:hAnsi="Times New Roman" w:cs="Times New Roman"/>
          <w:i/>
          <w:iCs/>
          <w:noProof/>
          <w:szCs w:val="24"/>
        </w:rPr>
        <w:t>Value Heal</w:t>
      </w:r>
      <w:r w:rsidRPr="002B5BF5">
        <w:rPr>
          <w:rFonts w:ascii="Times New Roman" w:hAnsi="Times New Roman" w:cs="Times New Roman"/>
          <w:noProof/>
          <w:szCs w:val="24"/>
        </w:rPr>
        <w:t xml:space="preserve"> 2019; </w:t>
      </w:r>
      <w:r w:rsidRPr="002B5BF5">
        <w:rPr>
          <w:rFonts w:ascii="Times New Roman" w:hAnsi="Times New Roman" w:cs="Times New Roman"/>
          <w:b/>
          <w:bCs/>
          <w:noProof/>
          <w:szCs w:val="24"/>
        </w:rPr>
        <w:t>22</w:t>
      </w:r>
      <w:r w:rsidRPr="002B5BF5">
        <w:rPr>
          <w:rFonts w:ascii="Times New Roman" w:hAnsi="Times New Roman" w:cs="Times New Roman"/>
          <w:noProof/>
          <w:szCs w:val="24"/>
        </w:rPr>
        <w:t>: 194–202.</w:t>
      </w:r>
    </w:p>
    <w:p w14:paraId="5F15B7C9"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lastRenderedPageBreak/>
        <w:t>25</w:t>
      </w:r>
      <w:r w:rsidRPr="002B5BF5">
        <w:rPr>
          <w:rFonts w:ascii="Times New Roman" w:hAnsi="Times New Roman" w:cs="Times New Roman"/>
          <w:noProof/>
          <w:szCs w:val="24"/>
        </w:rPr>
        <w:tab/>
        <w:t xml:space="preserve">Maughan-Brown B, Smith P, Kuo C,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A Conditional Economic Incentive Fails to Improve Linkage to Care and Antiretroviral Therapy Initiation Among HIV-Positive Adults in Cape Town, South Africa. </w:t>
      </w:r>
      <w:r w:rsidRPr="002B5BF5">
        <w:rPr>
          <w:rFonts w:ascii="Times New Roman" w:hAnsi="Times New Roman" w:cs="Times New Roman"/>
          <w:i/>
          <w:iCs/>
          <w:noProof/>
          <w:szCs w:val="24"/>
        </w:rPr>
        <w:t>AIDS Patient Care STDS</w:t>
      </w:r>
      <w:r w:rsidRPr="002B5BF5">
        <w:rPr>
          <w:rFonts w:ascii="Times New Roman" w:hAnsi="Times New Roman" w:cs="Times New Roman"/>
          <w:noProof/>
          <w:szCs w:val="24"/>
        </w:rPr>
        <w:t xml:space="preserve"> 2018; </w:t>
      </w:r>
      <w:r w:rsidRPr="002B5BF5">
        <w:rPr>
          <w:rFonts w:ascii="Times New Roman" w:hAnsi="Times New Roman" w:cs="Times New Roman"/>
          <w:b/>
          <w:bCs/>
          <w:noProof/>
          <w:szCs w:val="24"/>
        </w:rPr>
        <w:t>32</w:t>
      </w:r>
      <w:r w:rsidRPr="002B5BF5">
        <w:rPr>
          <w:rFonts w:ascii="Times New Roman" w:hAnsi="Times New Roman" w:cs="Times New Roman"/>
          <w:noProof/>
          <w:szCs w:val="24"/>
        </w:rPr>
        <w:t>: 70–8.</w:t>
      </w:r>
    </w:p>
    <w:p w14:paraId="5F38785B"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26</w:t>
      </w:r>
      <w:r w:rsidRPr="002B5BF5">
        <w:rPr>
          <w:rFonts w:ascii="Times New Roman" w:hAnsi="Times New Roman" w:cs="Times New Roman"/>
          <w:noProof/>
          <w:szCs w:val="24"/>
        </w:rPr>
        <w:tab/>
        <w:t xml:space="preserve">Galarraga O, Sosa-Rubi SG, Kuo C,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Punto Seguro: A Randomized Controlled Pilot Using Conditional Economic Incentives to Reduce Sexually Transmitted Infection Risks in Mexico. </w:t>
      </w:r>
      <w:r w:rsidRPr="002B5BF5">
        <w:rPr>
          <w:rFonts w:ascii="Times New Roman" w:hAnsi="Times New Roman" w:cs="Times New Roman"/>
          <w:i/>
          <w:iCs/>
          <w:noProof/>
          <w:szCs w:val="24"/>
        </w:rPr>
        <w:t>AIDS Behav</w:t>
      </w:r>
      <w:r w:rsidRPr="002B5BF5">
        <w:rPr>
          <w:rFonts w:ascii="Times New Roman" w:hAnsi="Times New Roman" w:cs="Times New Roman"/>
          <w:noProof/>
          <w:szCs w:val="24"/>
        </w:rPr>
        <w:t xml:space="preserve"> 2017; </w:t>
      </w:r>
      <w:r w:rsidRPr="002B5BF5">
        <w:rPr>
          <w:rFonts w:ascii="Times New Roman" w:hAnsi="Times New Roman" w:cs="Times New Roman"/>
          <w:b/>
          <w:bCs/>
          <w:noProof/>
          <w:szCs w:val="24"/>
        </w:rPr>
        <w:t>21</w:t>
      </w:r>
      <w:r w:rsidRPr="002B5BF5">
        <w:rPr>
          <w:rFonts w:ascii="Times New Roman" w:hAnsi="Times New Roman" w:cs="Times New Roman"/>
          <w:noProof/>
          <w:szCs w:val="24"/>
        </w:rPr>
        <w:t>: 3440–56.</w:t>
      </w:r>
    </w:p>
    <w:p w14:paraId="146E1FD7"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27</w:t>
      </w:r>
      <w:r w:rsidRPr="002B5BF5">
        <w:rPr>
          <w:rFonts w:ascii="Times New Roman" w:hAnsi="Times New Roman" w:cs="Times New Roman"/>
          <w:noProof/>
          <w:szCs w:val="24"/>
        </w:rPr>
        <w:tab/>
        <w:t xml:space="preserve">Camlin CS, Ssemmondo E, Chamie G,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Men &amp;quot;missing&amp;quot; from population-based HIV testing: insights from qualitative research. </w:t>
      </w:r>
      <w:r w:rsidRPr="002B5BF5">
        <w:rPr>
          <w:rFonts w:ascii="Times New Roman" w:hAnsi="Times New Roman" w:cs="Times New Roman"/>
          <w:i/>
          <w:iCs/>
          <w:noProof/>
          <w:szCs w:val="24"/>
        </w:rPr>
        <w:t>AIDS Care</w:t>
      </w:r>
      <w:r w:rsidRPr="002B5BF5">
        <w:rPr>
          <w:rFonts w:ascii="Times New Roman" w:hAnsi="Times New Roman" w:cs="Times New Roman"/>
          <w:noProof/>
          <w:szCs w:val="24"/>
        </w:rPr>
        <w:t xml:space="preserve"> 2016; </w:t>
      </w:r>
      <w:r w:rsidRPr="002B5BF5">
        <w:rPr>
          <w:rFonts w:ascii="Times New Roman" w:hAnsi="Times New Roman" w:cs="Times New Roman"/>
          <w:b/>
          <w:bCs/>
          <w:noProof/>
          <w:szCs w:val="24"/>
        </w:rPr>
        <w:t>28 Suppl 3</w:t>
      </w:r>
      <w:r w:rsidRPr="002B5BF5">
        <w:rPr>
          <w:rFonts w:ascii="Times New Roman" w:hAnsi="Times New Roman" w:cs="Times New Roman"/>
          <w:noProof/>
          <w:szCs w:val="24"/>
        </w:rPr>
        <w:t>: 67–73.</w:t>
      </w:r>
    </w:p>
    <w:p w14:paraId="5FC83A58"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28</w:t>
      </w:r>
      <w:r w:rsidRPr="002B5BF5">
        <w:rPr>
          <w:rFonts w:ascii="Times New Roman" w:hAnsi="Times New Roman" w:cs="Times New Roman"/>
          <w:noProof/>
          <w:szCs w:val="24"/>
        </w:rPr>
        <w:tab/>
        <w:t xml:space="preserve">Rhead R, Skovdal M, Takaruza A, Maswera R, Nyamukapa C, Gregson S. The multidimensionality of masculine norms in east Zimbabwe. </w:t>
      </w:r>
      <w:r w:rsidRPr="002B5BF5">
        <w:rPr>
          <w:rFonts w:ascii="Times New Roman" w:hAnsi="Times New Roman" w:cs="Times New Roman"/>
          <w:i/>
          <w:iCs/>
          <w:noProof/>
          <w:szCs w:val="24"/>
        </w:rPr>
        <w:t>AIDS</w:t>
      </w:r>
      <w:r w:rsidRPr="002B5BF5">
        <w:rPr>
          <w:rFonts w:ascii="Times New Roman" w:hAnsi="Times New Roman" w:cs="Times New Roman"/>
          <w:noProof/>
          <w:szCs w:val="24"/>
        </w:rPr>
        <w:t xml:space="preserve"> 2019; </w:t>
      </w:r>
      <w:r w:rsidRPr="002B5BF5">
        <w:rPr>
          <w:rFonts w:ascii="Times New Roman" w:hAnsi="Times New Roman" w:cs="Times New Roman"/>
          <w:b/>
          <w:bCs/>
          <w:noProof/>
          <w:szCs w:val="24"/>
        </w:rPr>
        <w:t>33</w:t>
      </w:r>
      <w:r w:rsidRPr="002B5BF5">
        <w:rPr>
          <w:rFonts w:ascii="Times New Roman" w:hAnsi="Times New Roman" w:cs="Times New Roman"/>
          <w:noProof/>
          <w:szCs w:val="24"/>
        </w:rPr>
        <w:t>: 537–46.</w:t>
      </w:r>
    </w:p>
    <w:p w14:paraId="1F732780"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29</w:t>
      </w:r>
      <w:r w:rsidRPr="002B5BF5">
        <w:rPr>
          <w:rFonts w:ascii="Times New Roman" w:hAnsi="Times New Roman" w:cs="Times New Roman"/>
          <w:noProof/>
          <w:szCs w:val="24"/>
        </w:rPr>
        <w:tab/>
        <w:t xml:space="preserve">Baisley KJ, Seeley J, Siedner MJ,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Findings from home-based HIV testing and facilitated linkage after scale-up of test and treat in rural South Africa: young people still missing. </w:t>
      </w:r>
      <w:r w:rsidRPr="002B5BF5">
        <w:rPr>
          <w:rFonts w:ascii="Times New Roman" w:hAnsi="Times New Roman" w:cs="Times New Roman"/>
          <w:i/>
          <w:iCs/>
          <w:noProof/>
          <w:szCs w:val="24"/>
        </w:rPr>
        <w:t>HIV Med</w:t>
      </w:r>
      <w:r w:rsidRPr="002B5BF5">
        <w:rPr>
          <w:rFonts w:ascii="Times New Roman" w:hAnsi="Times New Roman" w:cs="Times New Roman"/>
          <w:noProof/>
          <w:szCs w:val="24"/>
        </w:rPr>
        <w:t xml:space="preserve"> 2019; </w:t>
      </w:r>
      <w:r w:rsidRPr="002B5BF5">
        <w:rPr>
          <w:rFonts w:ascii="Times New Roman" w:hAnsi="Times New Roman" w:cs="Times New Roman"/>
          <w:b/>
          <w:bCs/>
          <w:noProof/>
          <w:szCs w:val="24"/>
        </w:rPr>
        <w:t>20</w:t>
      </w:r>
      <w:r w:rsidRPr="002B5BF5">
        <w:rPr>
          <w:rFonts w:ascii="Times New Roman" w:hAnsi="Times New Roman" w:cs="Times New Roman"/>
          <w:noProof/>
          <w:szCs w:val="24"/>
        </w:rPr>
        <w:t>: 704–8.</w:t>
      </w:r>
    </w:p>
    <w:p w14:paraId="1FBF11B3"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30</w:t>
      </w:r>
      <w:r w:rsidRPr="002B5BF5">
        <w:rPr>
          <w:rFonts w:ascii="Times New Roman" w:hAnsi="Times New Roman" w:cs="Times New Roman"/>
          <w:noProof/>
          <w:szCs w:val="24"/>
        </w:rPr>
        <w:tab/>
        <w:t xml:space="preserve">Tanser F, Hosegood V, Bärnighausen T,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Cohort Profile: Africa Centre Demographic Information System (ACDIS) and population-based HIV survey. </w:t>
      </w:r>
      <w:r w:rsidRPr="002B5BF5">
        <w:rPr>
          <w:rFonts w:ascii="Times New Roman" w:hAnsi="Times New Roman" w:cs="Times New Roman"/>
          <w:i/>
          <w:iCs/>
          <w:noProof/>
          <w:szCs w:val="24"/>
        </w:rPr>
        <w:t>Int J Epidemiol</w:t>
      </w:r>
      <w:r w:rsidRPr="002B5BF5">
        <w:rPr>
          <w:rFonts w:ascii="Times New Roman" w:hAnsi="Times New Roman" w:cs="Times New Roman"/>
          <w:noProof/>
          <w:szCs w:val="24"/>
        </w:rPr>
        <w:t xml:space="preserve"> 2008; </w:t>
      </w:r>
      <w:r w:rsidRPr="002B5BF5">
        <w:rPr>
          <w:rFonts w:ascii="Times New Roman" w:hAnsi="Times New Roman" w:cs="Times New Roman"/>
          <w:b/>
          <w:bCs/>
          <w:noProof/>
          <w:szCs w:val="24"/>
        </w:rPr>
        <w:t>37</w:t>
      </w:r>
      <w:r w:rsidRPr="002B5BF5">
        <w:rPr>
          <w:rFonts w:ascii="Times New Roman" w:hAnsi="Times New Roman" w:cs="Times New Roman"/>
          <w:noProof/>
          <w:szCs w:val="24"/>
        </w:rPr>
        <w:t>: 956–62.</w:t>
      </w:r>
    </w:p>
    <w:p w14:paraId="0016BC59"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31</w:t>
      </w:r>
      <w:r w:rsidRPr="002B5BF5">
        <w:rPr>
          <w:rFonts w:ascii="Times New Roman" w:hAnsi="Times New Roman" w:cs="Times New Roman"/>
          <w:noProof/>
          <w:szCs w:val="24"/>
        </w:rPr>
        <w:tab/>
        <w:t xml:space="preserve">Vandormael A, De Oliveira T, Tanser F, Bärnighausen T, Herbeck JT. High percentage of undiagnosed HIV cases within a hyperendemic South African community: A population-based study. </w:t>
      </w:r>
      <w:r w:rsidRPr="002B5BF5">
        <w:rPr>
          <w:rFonts w:ascii="Times New Roman" w:hAnsi="Times New Roman" w:cs="Times New Roman"/>
          <w:i/>
          <w:iCs/>
          <w:noProof/>
          <w:szCs w:val="24"/>
        </w:rPr>
        <w:t>J Epidemiol Community Health</w:t>
      </w:r>
      <w:r w:rsidRPr="002B5BF5">
        <w:rPr>
          <w:rFonts w:ascii="Times New Roman" w:hAnsi="Times New Roman" w:cs="Times New Roman"/>
          <w:noProof/>
          <w:szCs w:val="24"/>
        </w:rPr>
        <w:t xml:space="preserve"> 2018; </w:t>
      </w:r>
      <w:r w:rsidRPr="002B5BF5">
        <w:rPr>
          <w:rFonts w:ascii="Times New Roman" w:hAnsi="Times New Roman" w:cs="Times New Roman"/>
          <w:b/>
          <w:bCs/>
          <w:noProof/>
          <w:szCs w:val="24"/>
        </w:rPr>
        <w:t>72</w:t>
      </w:r>
      <w:r w:rsidRPr="002B5BF5">
        <w:rPr>
          <w:rFonts w:ascii="Times New Roman" w:hAnsi="Times New Roman" w:cs="Times New Roman"/>
          <w:noProof/>
          <w:szCs w:val="24"/>
        </w:rPr>
        <w:t>: 168–72.</w:t>
      </w:r>
    </w:p>
    <w:p w14:paraId="03445E47"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32</w:t>
      </w:r>
      <w:r w:rsidRPr="002B5BF5">
        <w:rPr>
          <w:rFonts w:ascii="Times New Roman" w:hAnsi="Times New Roman" w:cs="Times New Roman"/>
          <w:noProof/>
          <w:szCs w:val="24"/>
        </w:rPr>
        <w:tab/>
        <w:t>Muhwava W, Nyirenda M, Mutevedzi T, Herbst A, Hosegood V. Operational and Methodological Procedures of the Africa Centre Demographic Information System. 2007.</w:t>
      </w:r>
    </w:p>
    <w:p w14:paraId="70E18942"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33</w:t>
      </w:r>
      <w:r w:rsidRPr="002B5BF5">
        <w:rPr>
          <w:rFonts w:ascii="Times New Roman" w:hAnsi="Times New Roman" w:cs="Times New Roman"/>
          <w:noProof/>
          <w:szCs w:val="24"/>
        </w:rPr>
        <w:tab/>
        <w:t xml:space="preserve">Osler M, Hilderbrand K, Hennessey C,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A three-tier framework for monitoring antiretroviral therapy in high HIV burden settings. </w:t>
      </w:r>
      <w:r w:rsidRPr="002B5BF5">
        <w:rPr>
          <w:rFonts w:ascii="Times New Roman" w:hAnsi="Times New Roman" w:cs="Times New Roman"/>
          <w:i/>
          <w:iCs/>
          <w:noProof/>
          <w:szCs w:val="24"/>
        </w:rPr>
        <w:t>J Int AIDS Soc</w:t>
      </w:r>
      <w:r w:rsidRPr="002B5BF5">
        <w:rPr>
          <w:rFonts w:ascii="Times New Roman" w:hAnsi="Times New Roman" w:cs="Times New Roman"/>
          <w:noProof/>
          <w:szCs w:val="24"/>
        </w:rPr>
        <w:t xml:space="preserve"> 2014; </w:t>
      </w:r>
      <w:r w:rsidRPr="002B5BF5">
        <w:rPr>
          <w:rFonts w:ascii="Times New Roman" w:hAnsi="Times New Roman" w:cs="Times New Roman"/>
          <w:b/>
          <w:bCs/>
          <w:noProof/>
          <w:szCs w:val="24"/>
        </w:rPr>
        <w:t>17</w:t>
      </w:r>
      <w:r w:rsidRPr="002B5BF5">
        <w:rPr>
          <w:rFonts w:ascii="Times New Roman" w:hAnsi="Times New Roman" w:cs="Times New Roman"/>
          <w:noProof/>
          <w:szCs w:val="24"/>
        </w:rPr>
        <w:t>: 18908.</w:t>
      </w:r>
    </w:p>
    <w:p w14:paraId="175B8AB4"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34</w:t>
      </w:r>
      <w:r w:rsidRPr="002B5BF5">
        <w:rPr>
          <w:rFonts w:ascii="Times New Roman" w:hAnsi="Times New Roman" w:cs="Times New Roman"/>
          <w:noProof/>
          <w:szCs w:val="24"/>
        </w:rPr>
        <w:tab/>
        <w:t xml:space="preserve">Mathenjwa T, Kim H-Y, Zuma T,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Home-based intervention to test and start (HITS) protocol: a cluster-randomized controlled trial to reduce HIV-related mortality in men and HIV incidence in women through increased coverage of HIV treatment. </w:t>
      </w:r>
      <w:r w:rsidRPr="002B5BF5">
        <w:rPr>
          <w:rFonts w:ascii="Times New Roman" w:hAnsi="Times New Roman" w:cs="Times New Roman"/>
          <w:i/>
          <w:iCs/>
          <w:noProof/>
          <w:szCs w:val="24"/>
        </w:rPr>
        <w:t>BMC Public Health</w:t>
      </w:r>
      <w:r w:rsidRPr="002B5BF5">
        <w:rPr>
          <w:rFonts w:ascii="Times New Roman" w:hAnsi="Times New Roman" w:cs="Times New Roman"/>
          <w:noProof/>
          <w:szCs w:val="24"/>
        </w:rPr>
        <w:t xml:space="preserve"> 2019; </w:t>
      </w:r>
      <w:r w:rsidRPr="002B5BF5">
        <w:rPr>
          <w:rFonts w:ascii="Times New Roman" w:hAnsi="Times New Roman" w:cs="Times New Roman"/>
          <w:b/>
          <w:bCs/>
          <w:noProof/>
          <w:szCs w:val="24"/>
        </w:rPr>
        <w:t>19</w:t>
      </w:r>
      <w:r w:rsidRPr="002B5BF5">
        <w:rPr>
          <w:rFonts w:ascii="Times New Roman" w:hAnsi="Times New Roman" w:cs="Times New Roman"/>
          <w:noProof/>
          <w:szCs w:val="24"/>
        </w:rPr>
        <w:t>: 969.</w:t>
      </w:r>
    </w:p>
    <w:p w14:paraId="2DE4E80B"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35</w:t>
      </w:r>
      <w:r w:rsidRPr="002B5BF5">
        <w:rPr>
          <w:rFonts w:ascii="Times New Roman" w:hAnsi="Times New Roman" w:cs="Times New Roman"/>
          <w:noProof/>
          <w:szCs w:val="24"/>
        </w:rPr>
        <w:tab/>
        <w:t xml:space="preserve">Tanser FC. The application of GIS technology to equitably distribute fieldworker workload in a large, rural South African health survey. </w:t>
      </w:r>
      <w:r w:rsidRPr="002B5BF5">
        <w:rPr>
          <w:rFonts w:ascii="Times New Roman" w:hAnsi="Times New Roman" w:cs="Times New Roman"/>
          <w:i/>
          <w:iCs/>
          <w:noProof/>
          <w:szCs w:val="24"/>
        </w:rPr>
        <w:t>Trop Med Int Heal</w:t>
      </w:r>
      <w:r w:rsidRPr="002B5BF5">
        <w:rPr>
          <w:rFonts w:ascii="Times New Roman" w:hAnsi="Times New Roman" w:cs="Times New Roman"/>
          <w:noProof/>
          <w:szCs w:val="24"/>
        </w:rPr>
        <w:t xml:space="preserve"> 2002; </w:t>
      </w:r>
      <w:r w:rsidRPr="002B5BF5">
        <w:rPr>
          <w:rFonts w:ascii="Times New Roman" w:hAnsi="Times New Roman" w:cs="Times New Roman"/>
          <w:b/>
          <w:bCs/>
          <w:noProof/>
          <w:szCs w:val="24"/>
        </w:rPr>
        <w:t>7</w:t>
      </w:r>
      <w:r w:rsidRPr="002B5BF5">
        <w:rPr>
          <w:rFonts w:ascii="Times New Roman" w:hAnsi="Times New Roman" w:cs="Times New Roman"/>
          <w:noProof/>
          <w:szCs w:val="24"/>
        </w:rPr>
        <w:t>: 80–90.</w:t>
      </w:r>
    </w:p>
    <w:p w14:paraId="41A6C0DE"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36</w:t>
      </w:r>
      <w:r w:rsidRPr="002B5BF5">
        <w:rPr>
          <w:rFonts w:ascii="Times New Roman" w:hAnsi="Times New Roman" w:cs="Times New Roman"/>
          <w:noProof/>
          <w:szCs w:val="24"/>
        </w:rPr>
        <w:tab/>
        <w:t xml:space="preserve">Yardley L, Morrison L, Bradbury K, Muller I. The Person-Based Approach to Intervention Development: Application to Digital Health-Related Behavior Change Interventions. </w:t>
      </w:r>
      <w:r w:rsidRPr="002B5BF5">
        <w:rPr>
          <w:rFonts w:ascii="Times New Roman" w:hAnsi="Times New Roman" w:cs="Times New Roman"/>
          <w:i/>
          <w:iCs/>
          <w:noProof/>
          <w:szCs w:val="24"/>
        </w:rPr>
        <w:t>J Med Internet Res</w:t>
      </w:r>
      <w:r w:rsidRPr="002B5BF5">
        <w:rPr>
          <w:rFonts w:ascii="Times New Roman" w:hAnsi="Times New Roman" w:cs="Times New Roman"/>
          <w:noProof/>
          <w:szCs w:val="24"/>
        </w:rPr>
        <w:t xml:space="preserve"> 2015; </w:t>
      </w:r>
      <w:r w:rsidRPr="002B5BF5">
        <w:rPr>
          <w:rFonts w:ascii="Times New Roman" w:hAnsi="Times New Roman" w:cs="Times New Roman"/>
          <w:b/>
          <w:bCs/>
          <w:noProof/>
          <w:szCs w:val="24"/>
        </w:rPr>
        <w:t>17</w:t>
      </w:r>
      <w:r w:rsidRPr="002B5BF5">
        <w:rPr>
          <w:rFonts w:ascii="Times New Roman" w:hAnsi="Times New Roman" w:cs="Times New Roman"/>
          <w:noProof/>
          <w:szCs w:val="24"/>
        </w:rPr>
        <w:t>: e30.</w:t>
      </w:r>
    </w:p>
    <w:p w14:paraId="3541DA71"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lastRenderedPageBreak/>
        <w:t>37</w:t>
      </w:r>
      <w:r w:rsidRPr="002B5BF5">
        <w:rPr>
          <w:rFonts w:ascii="Times New Roman" w:hAnsi="Times New Roman" w:cs="Times New Roman"/>
          <w:noProof/>
          <w:szCs w:val="24"/>
        </w:rPr>
        <w:tab/>
        <w:t xml:space="preserve">Pettifor A, MacPhail C, Hughes JP,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The effect of a conditional cash transfer on HIV incidence in young women in rural South Africa (HPTN 068): a phase 3, randomised controlled trial. </w:t>
      </w:r>
      <w:r w:rsidRPr="002B5BF5">
        <w:rPr>
          <w:rFonts w:ascii="Times New Roman" w:hAnsi="Times New Roman" w:cs="Times New Roman"/>
          <w:i/>
          <w:iCs/>
          <w:noProof/>
          <w:szCs w:val="24"/>
        </w:rPr>
        <w:t>Lancet Glob Heal</w:t>
      </w:r>
      <w:r w:rsidRPr="002B5BF5">
        <w:rPr>
          <w:rFonts w:ascii="Times New Roman" w:hAnsi="Times New Roman" w:cs="Times New Roman"/>
          <w:noProof/>
          <w:szCs w:val="24"/>
        </w:rPr>
        <w:t xml:space="preserve"> 2016; </w:t>
      </w:r>
      <w:r w:rsidRPr="002B5BF5">
        <w:rPr>
          <w:rFonts w:ascii="Times New Roman" w:hAnsi="Times New Roman" w:cs="Times New Roman"/>
          <w:b/>
          <w:bCs/>
          <w:noProof/>
          <w:szCs w:val="24"/>
        </w:rPr>
        <w:t>4</w:t>
      </w:r>
      <w:r w:rsidRPr="002B5BF5">
        <w:rPr>
          <w:rFonts w:ascii="Times New Roman" w:hAnsi="Times New Roman" w:cs="Times New Roman"/>
          <w:noProof/>
          <w:szCs w:val="24"/>
        </w:rPr>
        <w:t>: e978–88.</w:t>
      </w:r>
    </w:p>
    <w:p w14:paraId="3A65FA11"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38</w:t>
      </w:r>
      <w:r w:rsidRPr="002B5BF5">
        <w:rPr>
          <w:rFonts w:ascii="Times New Roman" w:hAnsi="Times New Roman" w:cs="Times New Roman"/>
          <w:noProof/>
          <w:szCs w:val="24"/>
        </w:rPr>
        <w:tab/>
        <w:t xml:space="preserve">Armstrong-Hough M, Ggita J, Ayakaka I,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‘Give me some time’: Facilitators of and barriers to uptake of home-based HIV testing during household contact investigation for tuberculosis in Kampala, Uganda. </w:t>
      </w:r>
      <w:r w:rsidRPr="002B5BF5">
        <w:rPr>
          <w:rFonts w:ascii="Times New Roman" w:hAnsi="Times New Roman" w:cs="Times New Roman"/>
          <w:i/>
          <w:iCs/>
          <w:noProof/>
          <w:szCs w:val="24"/>
        </w:rPr>
        <w:t>J Acquir Immune Defic Syndr</w:t>
      </w:r>
      <w:r w:rsidRPr="002B5BF5">
        <w:rPr>
          <w:rFonts w:ascii="Times New Roman" w:hAnsi="Times New Roman" w:cs="Times New Roman"/>
          <w:noProof/>
          <w:szCs w:val="24"/>
        </w:rPr>
        <w:t xml:space="preserve"> 2018; </w:t>
      </w:r>
      <w:r w:rsidRPr="002B5BF5">
        <w:rPr>
          <w:rFonts w:ascii="Times New Roman" w:hAnsi="Times New Roman" w:cs="Times New Roman"/>
          <w:b/>
          <w:bCs/>
          <w:noProof/>
          <w:szCs w:val="24"/>
        </w:rPr>
        <w:t>77</w:t>
      </w:r>
      <w:r w:rsidRPr="002B5BF5">
        <w:rPr>
          <w:rFonts w:ascii="Times New Roman" w:hAnsi="Times New Roman" w:cs="Times New Roman"/>
          <w:noProof/>
          <w:szCs w:val="24"/>
        </w:rPr>
        <w:t>: 400–4.</w:t>
      </w:r>
    </w:p>
    <w:p w14:paraId="75372FEB"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39</w:t>
      </w:r>
      <w:r w:rsidRPr="002B5BF5">
        <w:rPr>
          <w:rFonts w:ascii="Times New Roman" w:hAnsi="Times New Roman" w:cs="Times New Roman"/>
          <w:noProof/>
          <w:szCs w:val="24"/>
        </w:rPr>
        <w:tab/>
        <w:t xml:space="preserve">Berendes S, Rimal RN. Addressing the Slow Uptake of HIV Testing in Malawi: The Role of Stigma, Self-efficacy, and Knowledge in the Malawi BRIDGE Project. </w:t>
      </w:r>
      <w:r w:rsidRPr="002B5BF5">
        <w:rPr>
          <w:rFonts w:ascii="Times New Roman" w:hAnsi="Times New Roman" w:cs="Times New Roman"/>
          <w:i/>
          <w:iCs/>
          <w:noProof/>
          <w:szCs w:val="24"/>
        </w:rPr>
        <w:t>J Assoc Nurses AIDS Care</w:t>
      </w:r>
      <w:r w:rsidRPr="002B5BF5">
        <w:rPr>
          <w:rFonts w:ascii="Times New Roman" w:hAnsi="Times New Roman" w:cs="Times New Roman"/>
          <w:noProof/>
          <w:szCs w:val="24"/>
        </w:rPr>
        <w:t xml:space="preserve"> 2011; </w:t>
      </w:r>
      <w:r w:rsidRPr="002B5BF5">
        <w:rPr>
          <w:rFonts w:ascii="Times New Roman" w:hAnsi="Times New Roman" w:cs="Times New Roman"/>
          <w:b/>
          <w:bCs/>
          <w:noProof/>
          <w:szCs w:val="24"/>
        </w:rPr>
        <w:t>22</w:t>
      </w:r>
      <w:r w:rsidRPr="002B5BF5">
        <w:rPr>
          <w:rFonts w:ascii="Times New Roman" w:hAnsi="Times New Roman" w:cs="Times New Roman"/>
          <w:noProof/>
          <w:szCs w:val="24"/>
        </w:rPr>
        <w:t>: 215–28.</w:t>
      </w:r>
    </w:p>
    <w:p w14:paraId="61365117"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40</w:t>
      </w:r>
      <w:r w:rsidRPr="002B5BF5">
        <w:rPr>
          <w:rFonts w:ascii="Times New Roman" w:hAnsi="Times New Roman" w:cs="Times New Roman"/>
          <w:noProof/>
          <w:szCs w:val="24"/>
        </w:rPr>
        <w:tab/>
        <w:t xml:space="preserve">Adeagbo O, Tanser F, Gumede V,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A Process Evaluation of an Incentivised Home-based Intervention to Test and Start (HITS) in an HIV Hyperendemic setting in rural KwaZulu-Natal, South Africa. </w:t>
      </w:r>
      <w:r w:rsidRPr="002B5BF5">
        <w:rPr>
          <w:rFonts w:ascii="Times New Roman" w:hAnsi="Times New Roman" w:cs="Times New Roman"/>
          <w:i/>
          <w:iCs/>
          <w:noProof/>
          <w:szCs w:val="24"/>
        </w:rPr>
        <w:t>Sex Transm Infect</w:t>
      </w:r>
      <w:r w:rsidRPr="002B5BF5">
        <w:rPr>
          <w:rFonts w:ascii="Times New Roman" w:hAnsi="Times New Roman" w:cs="Times New Roman"/>
          <w:noProof/>
          <w:szCs w:val="24"/>
        </w:rPr>
        <w:t xml:space="preserve"> 2019; </w:t>
      </w:r>
      <w:r w:rsidRPr="002B5BF5">
        <w:rPr>
          <w:rFonts w:ascii="Times New Roman" w:hAnsi="Times New Roman" w:cs="Times New Roman"/>
          <w:b/>
          <w:bCs/>
          <w:noProof/>
          <w:szCs w:val="24"/>
        </w:rPr>
        <w:t>95</w:t>
      </w:r>
      <w:r w:rsidRPr="002B5BF5">
        <w:rPr>
          <w:rFonts w:ascii="Times New Roman" w:hAnsi="Times New Roman" w:cs="Times New Roman"/>
          <w:noProof/>
          <w:szCs w:val="24"/>
        </w:rPr>
        <w:t>.</w:t>
      </w:r>
    </w:p>
    <w:p w14:paraId="7BD1CFF8"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41</w:t>
      </w:r>
      <w:r w:rsidRPr="002B5BF5">
        <w:rPr>
          <w:rFonts w:ascii="Times New Roman" w:hAnsi="Times New Roman" w:cs="Times New Roman"/>
          <w:noProof/>
          <w:szCs w:val="24"/>
        </w:rPr>
        <w:tab/>
        <w:t xml:space="preserve">Adeagbo O, Kim H-Y, Tanser F,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Acceptability of a tablet-based application to support early HIV testing among men in rural KwaZulu-Natal, South Africa: a mixed method study. </w:t>
      </w:r>
      <w:r w:rsidRPr="002B5BF5">
        <w:rPr>
          <w:rFonts w:ascii="Times New Roman" w:hAnsi="Times New Roman" w:cs="Times New Roman"/>
          <w:i/>
          <w:iCs/>
          <w:noProof/>
          <w:szCs w:val="24"/>
        </w:rPr>
        <w:t>AIDS Care</w:t>
      </w:r>
      <w:r w:rsidRPr="002B5BF5">
        <w:rPr>
          <w:rFonts w:ascii="Times New Roman" w:hAnsi="Times New Roman" w:cs="Times New Roman"/>
          <w:noProof/>
          <w:szCs w:val="24"/>
        </w:rPr>
        <w:t xml:space="preserve"> 2020; </w:t>
      </w:r>
      <w:r w:rsidRPr="002B5BF5">
        <w:rPr>
          <w:rFonts w:ascii="Times New Roman" w:hAnsi="Times New Roman" w:cs="Times New Roman"/>
          <w:b/>
          <w:bCs/>
          <w:noProof/>
          <w:szCs w:val="24"/>
        </w:rPr>
        <w:t>March 15</w:t>
      </w:r>
      <w:r w:rsidRPr="002B5BF5">
        <w:rPr>
          <w:rFonts w:ascii="Times New Roman" w:hAnsi="Times New Roman" w:cs="Times New Roman"/>
          <w:noProof/>
          <w:szCs w:val="24"/>
        </w:rPr>
        <w:t>: 1–8.</w:t>
      </w:r>
    </w:p>
    <w:p w14:paraId="3B245D85"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42</w:t>
      </w:r>
      <w:r w:rsidRPr="002B5BF5">
        <w:rPr>
          <w:rFonts w:ascii="Times New Roman" w:hAnsi="Times New Roman" w:cs="Times New Roman"/>
          <w:noProof/>
          <w:szCs w:val="24"/>
        </w:rPr>
        <w:tab/>
        <w:t xml:space="preserve">Larmarange J, Mossong J, Bärnighausen T, Newell ML. Participation dynamics in population-based longitudinal HIV surveillance in rural South Africa. </w:t>
      </w:r>
      <w:r w:rsidRPr="002B5BF5">
        <w:rPr>
          <w:rFonts w:ascii="Times New Roman" w:hAnsi="Times New Roman" w:cs="Times New Roman"/>
          <w:i/>
          <w:iCs/>
          <w:noProof/>
          <w:szCs w:val="24"/>
        </w:rPr>
        <w:t>PLoS One</w:t>
      </w:r>
      <w:r w:rsidRPr="002B5BF5">
        <w:rPr>
          <w:rFonts w:ascii="Times New Roman" w:hAnsi="Times New Roman" w:cs="Times New Roman"/>
          <w:noProof/>
          <w:szCs w:val="24"/>
        </w:rPr>
        <w:t xml:space="preserve"> 2015; </w:t>
      </w:r>
      <w:r w:rsidRPr="002B5BF5">
        <w:rPr>
          <w:rFonts w:ascii="Times New Roman" w:hAnsi="Times New Roman" w:cs="Times New Roman"/>
          <w:b/>
          <w:bCs/>
          <w:noProof/>
          <w:szCs w:val="24"/>
        </w:rPr>
        <w:t>10</w:t>
      </w:r>
      <w:r w:rsidRPr="002B5BF5">
        <w:rPr>
          <w:rFonts w:ascii="Times New Roman" w:hAnsi="Times New Roman" w:cs="Times New Roman"/>
          <w:noProof/>
          <w:szCs w:val="24"/>
        </w:rPr>
        <w:t>: 1–16.</w:t>
      </w:r>
    </w:p>
    <w:p w14:paraId="7D249E0A"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43</w:t>
      </w:r>
      <w:r w:rsidRPr="002B5BF5">
        <w:rPr>
          <w:rFonts w:ascii="Times New Roman" w:hAnsi="Times New Roman" w:cs="Times New Roman"/>
          <w:noProof/>
          <w:szCs w:val="24"/>
        </w:rPr>
        <w:tab/>
        <w:t xml:space="preserve">Thirumurthy H, Ndyabakira A, Marson K,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Financial incentives for achieving and maintaining viral suppression among HIV-positive adults in Uganda: a randomised controlled trial. </w:t>
      </w:r>
      <w:r w:rsidRPr="002B5BF5">
        <w:rPr>
          <w:rFonts w:ascii="Times New Roman" w:hAnsi="Times New Roman" w:cs="Times New Roman"/>
          <w:i/>
          <w:iCs/>
          <w:noProof/>
          <w:szCs w:val="24"/>
        </w:rPr>
        <w:t>Lancet HIV</w:t>
      </w:r>
      <w:r w:rsidRPr="002B5BF5">
        <w:rPr>
          <w:rFonts w:ascii="Times New Roman" w:hAnsi="Times New Roman" w:cs="Times New Roman"/>
          <w:noProof/>
          <w:szCs w:val="24"/>
        </w:rPr>
        <w:t xml:space="preserve"> 2019; </w:t>
      </w:r>
      <w:r w:rsidRPr="002B5BF5">
        <w:rPr>
          <w:rFonts w:ascii="Times New Roman" w:hAnsi="Times New Roman" w:cs="Times New Roman"/>
          <w:b/>
          <w:bCs/>
          <w:noProof/>
          <w:szCs w:val="24"/>
        </w:rPr>
        <w:t>6</w:t>
      </w:r>
      <w:r w:rsidRPr="002B5BF5">
        <w:rPr>
          <w:rFonts w:ascii="Times New Roman" w:hAnsi="Times New Roman" w:cs="Times New Roman"/>
          <w:noProof/>
          <w:szCs w:val="24"/>
        </w:rPr>
        <w:t>: e155–63.</w:t>
      </w:r>
    </w:p>
    <w:p w14:paraId="00CFE6F7"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44</w:t>
      </w:r>
      <w:r w:rsidRPr="002B5BF5">
        <w:rPr>
          <w:rFonts w:ascii="Times New Roman" w:hAnsi="Times New Roman" w:cs="Times New Roman"/>
          <w:noProof/>
          <w:szCs w:val="24"/>
        </w:rPr>
        <w:tab/>
        <w:t xml:space="preserve">Sabapathy K, Van den Bergh R, Fidler S, Hayes R, Ford N. Uptake of Home-Based Voluntary HIV Testing in Sub-Saharan Africa: A Systematic Review and Meta-Analysis. </w:t>
      </w:r>
      <w:r w:rsidRPr="002B5BF5">
        <w:rPr>
          <w:rFonts w:ascii="Times New Roman" w:hAnsi="Times New Roman" w:cs="Times New Roman"/>
          <w:i/>
          <w:iCs/>
          <w:noProof/>
          <w:szCs w:val="24"/>
        </w:rPr>
        <w:t>PLoS Med</w:t>
      </w:r>
      <w:r w:rsidRPr="002B5BF5">
        <w:rPr>
          <w:rFonts w:ascii="Times New Roman" w:hAnsi="Times New Roman" w:cs="Times New Roman"/>
          <w:noProof/>
          <w:szCs w:val="24"/>
        </w:rPr>
        <w:t xml:space="preserve"> 2012; </w:t>
      </w:r>
      <w:r w:rsidRPr="002B5BF5">
        <w:rPr>
          <w:rFonts w:ascii="Times New Roman" w:hAnsi="Times New Roman" w:cs="Times New Roman"/>
          <w:b/>
          <w:bCs/>
          <w:noProof/>
          <w:szCs w:val="24"/>
        </w:rPr>
        <w:t>9</w:t>
      </w:r>
      <w:r w:rsidRPr="002B5BF5">
        <w:rPr>
          <w:rFonts w:ascii="Times New Roman" w:hAnsi="Times New Roman" w:cs="Times New Roman"/>
          <w:noProof/>
          <w:szCs w:val="24"/>
        </w:rPr>
        <w:t>: e1001351.</w:t>
      </w:r>
    </w:p>
    <w:p w14:paraId="42DC32A0"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45</w:t>
      </w:r>
      <w:r w:rsidRPr="002B5BF5">
        <w:rPr>
          <w:rFonts w:ascii="Times New Roman" w:hAnsi="Times New Roman" w:cs="Times New Roman"/>
          <w:noProof/>
          <w:szCs w:val="24"/>
        </w:rPr>
        <w:tab/>
        <w:t xml:space="preserve">Dobra A, Bärnighausen T, Vandormael A, Tanser F. Space-time migration patterns and risk of HIV acquisition in rural South Africa. </w:t>
      </w:r>
      <w:r w:rsidRPr="002B5BF5">
        <w:rPr>
          <w:rFonts w:ascii="Times New Roman" w:hAnsi="Times New Roman" w:cs="Times New Roman"/>
          <w:i/>
          <w:iCs/>
          <w:noProof/>
          <w:szCs w:val="24"/>
        </w:rPr>
        <w:t>AIDS</w:t>
      </w:r>
      <w:r w:rsidRPr="002B5BF5">
        <w:rPr>
          <w:rFonts w:ascii="Times New Roman" w:hAnsi="Times New Roman" w:cs="Times New Roman"/>
          <w:noProof/>
          <w:szCs w:val="24"/>
        </w:rPr>
        <w:t xml:space="preserve"> 2017; </w:t>
      </w:r>
      <w:r w:rsidRPr="002B5BF5">
        <w:rPr>
          <w:rFonts w:ascii="Times New Roman" w:hAnsi="Times New Roman" w:cs="Times New Roman"/>
          <w:b/>
          <w:bCs/>
          <w:noProof/>
          <w:szCs w:val="24"/>
        </w:rPr>
        <w:t>31</w:t>
      </w:r>
      <w:r w:rsidRPr="002B5BF5">
        <w:rPr>
          <w:rFonts w:ascii="Times New Roman" w:hAnsi="Times New Roman" w:cs="Times New Roman"/>
          <w:noProof/>
          <w:szCs w:val="24"/>
        </w:rPr>
        <w:t>: 137–45.</w:t>
      </w:r>
    </w:p>
    <w:p w14:paraId="148EF401"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46</w:t>
      </w:r>
      <w:r w:rsidRPr="002B5BF5">
        <w:rPr>
          <w:rFonts w:ascii="Times New Roman" w:hAnsi="Times New Roman" w:cs="Times New Roman"/>
          <w:noProof/>
          <w:szCs w:val="24"/>
        </w:rPr>
        <w:tab/>
        <w:t xml:space="preserve">Mulubwa C, Hensen B, Phiri MM,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Community based distribution of oral HIV self-testing kits in Zambia: a cluster-randomised trial nested in four HPTN 071 (PopART) intervention communities. </w:t>
      </w:r>
      <w:r w:rsidRPr="002B5BF5">
        <w:rPr>
          <w:rFonts w:ascii="Times New Roman" w:hAnsi="Times New Roman" w:cs="Times New Roman"/>
          <w:i/>
          <w:iCs/>
          <w:noProof/>
          <w:szCs w:val="24"/>
        </w:rPr>
        <w:t>Lancet HIV</w:t>
      </w:r>
      <w:r w:rsidRPr="002B5BF5">
        <w:rPr>
          <w:rFonts w:ascii="Times New Roman" w:hAnsi="Times New Roman" w:cs="Times New Roman"/>
          <w:noProof/>
          <w:szCs w:val="24"/>
        </w:rPr>
        <w:t xml:space="preserve"> 2019; </w:t>
      </w:r>
      <w:r w:rsidRPr="002B5BF5">
        <w:rPr>
          <w:rFonts w:ascii="Times New Roman" w:hAnsi="Times New Roman" w:cs="Times New Roman"/>
          <w:b/>
          <w:bCs/>
          <w:noProof/>
          <w:szCs w:val="24"/>
        </w:rPr>
        <w:t>6</w:t>
      </w:r>
      <w:r w:rsidRPr="002B5BF5">
        <w:rPr>
          <w:rFonts w:ascii="Times New Roman" w:hAnsi="Times New Roman" w:cs="Times New Roman"/>
          <w:noProof/>
          <w:szCs w:val="24"/>
        </w:rPr>
        <w:t>: e81–92.</w:t>
      </w:r>
    </w:p>
    <w:p w14:paraId="4B337B11"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47</w:t>
      </w:r>
      <w:r w:rsidRPr="002B5BF5">
        <w:rPr>
          <w:rFonts w:ascii="Times New Roman" w:hAnsi="Times New Roman" w:cs="Times New Roman"/>
          <w:noProof/>
          <w:szCs w:val="24"/>
        </w:rPr>
        <w:tab/>
        <w:t xml:space="preserve">Shapiro AE, Heerden A, Krows M,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An implementation study of oral and blood‐based HIV self‐testing and linkage to care among men in rural and peri‐urban KwaZulu‐Natal, South Africa. </w:t>
      </w:r>
      <w:r w:rsidRPr="002B5BF5">
        <w:rPr>
          <w:rFonts w:ascii="Times New Roman" w:hAnsi="Times New Roman" w:cs="Times New Roman"/>
          <w:i/>
          <w:iCs/>
          <w:noProof/>
          <w:szCs w:val="24"/>
        </w:rPr>
        <w:t>J Int AIDS Soc</w:t>
      </w:r>
      <w:r w:rsidRPr="002B5BF5">
        <w:rPr>
          <w:rFonts w:ascii="Times New Roman" w:hAnsi="Times New Roman" w:cs="Times New Roman"/>
          <w:noProof/>
          <w:szCs w:val="24"/>
        </w:rPr>
        <w:t xml:space="preserve"> 2020; </w:t>
      </w:r>
      <w:r w:rsidRPr="002B5BF5">
        <w:rPr>
          <w:rFonts w:ascii="Times New Roman" w:hAnsi="Times New Roman" w:cs="Times New Roman"/>
          <w:b/>
          <w:bCs/>
          <w:noProof/>
          <w:szCs w:val="24"/>
        </w:rPr>
        <w:t>23</w:t>
      </w:r>
      <w:r w:rsidRPr="002B5BF5">
        <w:rPr>
          <w:rFonts w:ascii="Times New Roman" w:hAnsi="Times New Roman" w:cs="Times New Roman"/>
          <w:noProof/>
          <w:szCs w:val="24"/>
        </w:rPr>
        <w:t>. DOI:10.1002/jia2.25514.</w:t>
      </w:r>
    </w:p>
    <w:p w14:paraId="11051791"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48</w:t>
      </w:r>
      <w:r w:rsidRPr="002B5BF5">
        <w:rPr>
          <w:rFonts w:ascii="Times New Roman" w:hAnsi="Times New Roman" w:cs="Times New Roman"/>
          <w:noProof/>
          <w:szCs w:val="24"/>
        </w:rPr>
        <w:tab/>
        <w:t xml:space="preserve">Corbett EL, Dauya E, Matambo R,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Uptake of workplace HIV counselling and testing: A </w:t>
      </w:r>
      <w:r w:rsidRPr="002B5BF5">
        <w:rPr>
          <w:rFonts w:ascii="Times New Roman" w:hAnsi="Times New Roman" w:cs="Times New Roman"/>
          <w:noProof/>
          <w:szCs w:val="24"/>
        </w:rPr>
        <w:lastRenderedPageBreak/>
        <w:t xml:space="preserve">cluster-randomised trial in Zimbabwe. </w:t>
      </w:r>
      <w:r w:rsidRPr="002B5BF5">
        <w:rPr>
          <w:rFonts w:ascii="Times New Roman" w:hAnsi="Times New Roman" w:cs="Times New Roman"/>
          <w:i/>
          <w:iCs/>
          <w:noProof/>
          <w:szCs w:val="24"/>
        </w:rPr>
        <w:t>PLoS Med</w:t>
      </w:r>
      <w:r w:rsidRPr="002B5BF5">
        <w:rPr>
          <w:rFonts w:ascii="Times New Roman" w:hAnsi="Times New Roman" w:cs="Times New Roman"/>
          <w:noProof/>
          <w:szCs w:val="24"/>
        </w:rPr>
        <w:t xml:space="preserve"> 2006; </w:t>
      </w:r>
      <w:r w:rsidRPr="002B5BF5">
        <w:rPr>
          <w:rFonts w:ascii="Times New Roman" w:hAnsi="Times New Roman" w:cs="Times New Roman"/>
          <w:b/>
          <w:bCs/>
          <w:noProof/>
          <w:szCs w:val="24"/>
        </w:rPr>
        <w:t>3</w:t>
      </w:r>
      <w:r w:rsidRPr="002B5BF5">
        <w:rPr>
          <w:rFonts w:ascii="Times New Roman" w:hAnsi="Times New Roman" w:cs="Times New Roman"/>
          <w:noProof/>
          <w:szCs w:val="24"/>
        </w:rPr>
        <w:t>: 1005–12.</w:t>
      </w:r>
    </w:p>
    <w:p w14:paraId="0B65C7BB"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49</w:t>
      </w:r>
      <w:r w:rsidRPr="002B5BF5">
        <w:rPr>
          <w:rFonts w:ascii="Times New Roman" w:hAnsi="Times New Roman" w:cs="Times New Roman"/>
          <w:noProof/>
          <w:szCs w:val="24"/>
        </w:rPr>
        <w:tab/>
        <w:t xml:space="preserve">Van Rooyen H, McGrath N, Chirowodza A, </w:t>
      </w:r>
      <w:r w:rsidRPr="002B5BF5">
        <w:rPr>
          <w:rFonts w:ascii="Times New Roman" w:hAnsi="Times New Roman" w:cs="Times New Roman"/>
          <w:i/>
          <w:iCs/>
          <w:noProof/>
          <w:szCs w:val="24"/>
        </w:rPr>
        <w:t>et al.</w:t>
      </w:r>
      <w:r w:rsidRPr="002B5BF5">
        <w:rPr>
          <w:rFonts w:ascii="Times New Roman" w:hAnsi="Times New Roman" w:cs="Times New Roman"/>
          <w:noProof/>
          <w:szCs w:val="24"/>
        </w:rPr>
        <w:t xml:space="preserve"> Mobile VCT: Reaching men and young people in urban and rural South African pilot studies (NIMH Project Accept, HPTN 043). </w:t>
      </w:r>
      <w:r w:rsidRPr="002B5BF5">
        <w:rPr>
          <w:rFonts w:ascii="Times New Roman" w:hAnsi="Times New Roman" w:cs="Times New Roman"/>
          <w:i/>
          <w:iCs/>
          <w:noProof/>
          <w:szCs w:val="24"/>
        </w:rPr>
        <w:t>AIDS Behav</w:t>
      </w:r>
      <w:r w:rsidRPr="002B5BF5">
        <w:rPr>
          <w:rFonts w:ascii="Times New Roman" w:hAnsi="Times New Roman" w:cs="Times New Roman"/>
          <w:noProof/>
          <w:szCs w:val="24"/>
        </w:rPr>
        <w:t xml:space="preserve"> 2013; </w:t>
      </w:r>
      <w:r w:rsidRPr="002B5BF5">
        <w:rPr>
          <w:rFonts w:ascii="Times New Roman" w:hAnsi="Times New Roman" w:cs="Times New Roman"/>
          <w:b/>
          <w:bCs/>
          <w:noProof/>
          <w:szCs w:val="24"/>
        </w:rPr>
        <w:t>17</w:t>
      </w:r>
      <w:r w:rsidRPr="002B5BF5">
        <w:rPr>
          <w:rFonts w:ascii="Times New Roman" w:hAnsi="Times New Roman" w:cs="Times New Roman"/>
          <w:noProof/>
          <w:szCs w:val="24"/>
        </w:rPr>
        <w:t>: 2946–53.</w:t>
      </w:r>
    </w:p>
    <w:p w14:paraId="5AAC114C"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szCs w:val="24"/>
        </w:rPr>
      </w:pPr>
      <w:r w:rsidRPr="002B5BF5">
        <w:rPr>
          <w:rFonts w:ascii="Times New Roman" w:hAnsi="Times New Roman" w:cs="Times New Roman"/>
          <w:noProof/>
          <w:szCs w:val="24"/>
        </w:rPr>
        <w:t>50</w:t>
      </w:r>
      <w:r w:rsidRPr="002B5BF5">
        <w:rPr>
          <w:rFonts w:ascii="Times New Roman" w:hAnsi="Times New Roman" w:cs="Times New Roman"/>
          <w:noProof/>
          <w:szCs w:val="24"/>
        </w:rPr>
        <w:tab/>
        <w:t xml:space="preserve">Ostermann J, Brown DS, Mühlbacher A, Njau B, Thielman N. Would you test for 5000 Shillings? HIV risk and willingness to accept HIV testing in Tanzania. </w:t>
      </w:r>
      <w:r w:rsidRPr="002B5BF5">
        <w:rPr>
          <w:rFonts w:ascii="Times New Roman" w:hAnsi="Times New Roman" w:cs="Times New Roman"/>
          <w:i/>
          <w:iCs/>
          <w:noProof/>
          <w:szCs w:val="24"/>
        </w:rPr>
        <w:t>Health Econ Rev</w:t>
      </w:r>
      <w:r w:rsidRPr="002B5BF5">
        <w:rPr>
          <w:rFonts w:ascii="Times New Roman" w:hAnsi="Times New Roman" w:cs="Times New Roman"/>
          <w:noProof/>
          <w:szCs w:val="24"/>
        </w:rPr>
        <w:t xml:space="preserve"> 2015; </w:t>
      </w:r>
      <w:r w:rsidRPr="002B5BF5">
        <w:rPr>
          <w:rFonts w:ascii="Times New Roman" w:hAnsi="Times New Roman" w:cs="Times New Roman"/>
          <w:b/>
          <w:bCs/>
          <w:noProof/>
          <w:szCs w:val="24"/>
        </w:rPr>
        <w:t>5</w:t>
      </w:r>
      <w:r w:rsidRPr="002B5BF5">
        <w:rPr>
          <w:rFonts w:ascii="Times New Roman" w:hAnsi="Times New Roman" w:cs="Times New Roman"/>
          <w:noProof/>
          <w:szCs w:val="24"/>
        </w:rPr>
        <w:t>. DOI:10.1186/s13561-015-0060-8.</w:t>
      </w:r>
    </w:p>
    <w:p w14:paraId="16206B93" w14:textId="77777777" w:rsidR="002422E5" w:rsidRPr="002B5BF5" w:rsidRDefault="002422E5" w:rsidP="002422E5">
      <w:pPr>
        <w:widowControl w:val="0"/>
        <w:autoSpaceDE w:val="0"/>
        <w:autoSpaceDN w:val="0"/>
        <w:adjustRightInd w:val="0"/>
        <w:spacing w:line="360" w:lineRule="auto"/>
        <w:ind w:left="640" w:hanging="640"/>
        <w:rPr>
          <w:rFonts w:ascii="Times New Roman" w:hAnsi="Times New Roman" w:cs="Times New Roman"/>
          <w:noProof/>
        </w:rPr>
      </w:pPr>
      <w:r w:rsidRPr="002B5BF5">
        <w:rPr>
          <w:rFonts w:ascii="Times New Roman" w:hAnsi="Times New Roman" w:cs="Times New Roman"/>
          <w:noProof/>
          <w:szCs w:val="24"/>
        </w:rPr>
        <w:t>51</w:t>
      </w:r>
      <w:r w:rsidRPr="002B5BF5">
        <w:rPr>
          <w:rFonts w:ascii="Times New Roman" w:hAnsi="Times New Roman" w:cs="Times New Roman"/>
          <w:noProof/>
          <w:szCs w:val="24"/>
        </w:rPr>
        <w:tab/>
        <w:t xml:space="preserve">Sussman JB, Hayward RA. An IV for the RCT: using instrumental variables to adjust for treatment contamination in randomised controlled trials. </w:t>
      </w:r>
      <w:r w:rsidRPr="002B5BF5">
        <w:rPr>
          <w:rFonts w:ascii="Times New Roman" w:hAnsi="Times New Roman" w:cs="Times New Roman"/>
          <w:i/>
          <w:iCs/>
          <w:noProof/>
          <w:szCs w:val="24"/>
        </w:rPr>
        <w:t>BMJ</w:t>
      </w:r>
      <w:r w:rsidRPr="002B5BF5">
        <w:rPr>
          <w:rFonts w:ascii="Times New Roman" w:hAnsi="Times New Roman" w:cs="Times New Roman"/>
          <w:noProof/>
          <w:szCs w:val="24"/>
        </w:rPr>
        <w:t xml:space="preserve"> 2010; </w:t>
      </w:r>
      <w:r w:rsidRPr="002B5BF5">
        <w:rPr>
          <w:rFonts w:ascii="Times New Roman" w:hAnsi="Times New Roman" w:cs="Times New Roman"/>
          <w:b/>
          <w:bCs/>
          <w:noProof/>
          <w:szCs w:val="24"/>
        </w:rPr>
        <w:t>340</w:t>
      </w:r>
      <w:r w:rsidRPr="002B5BF5">
        <w:rPr>
          <w:rFonts w:ascii="Times New Roman" w:hAnsi="Times New Roman" w:cs="Times New Roman"/>
          <w:noProof/>
          <w:szCs w:val="24"/>
        </w:rPr>
        <w:t>: 1181–4.</w:t>
      </w:r>
    </w:p>
    <w:p w14:paraId="0499D213" w14:textId="76EB0C11" w:rsidR="00FF1568" w:rsidRPr="002B5BF5" w:rsidRDefault="00795419" w:rsidP="00F52C8A">
      <w:pPr>
        <w:spacing w:line="360" w:lineRule="auto"/>
        <w:jc w:val="both"/>
        <w:rPr>
          <w:rFonts w:ascii="Times New Roman" w:hAnsi="Times New Roman" w:cs="Times New Roman"/>
        </w:rPr>
      </w:pPr>
      <w:r w:rsidRPr="002B5BF5">
        <w:rPr>
          <w:rFonts w:ascii="Times New Roman" w:hAnsi="Times New Roman" w:cs="Times New Roman"/>
        </w:rPr>
        <w:fldChar w:fldCharType="end"/>
      </w:r>
    </w:p>
    <w:sectPr w:rsidR="00FF1568" w:rsidRPr="002B5BF5" w:rsidSect="00F91AB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B0891" w14:textId="77777777" w:rsidR="004C7659" w:rsidRDefault="004C7659" w:rsidP="00DE24CF">
      <w:pPr>
        <w:spacing w:after="0" w:line="240" w:lineRule="auto"/>
      </w:pPr>
      <w:r>
        <w:separator/>
      </w:r>
    </w:p>
  </w:endnote>
  <w:endnote w:type="continuationSeparator" w:id="0">
    <w:p w14:paraId="6D5D01DF" w14:textId="77777777" w:rsidR="004C7659" w:rsidRDefault="004C7659" w:rsidP="00DE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78672"/>
      <w:docPartObj>
        <w:docPartGallery w:val="Page Numbers (Bottom of Page)"/>
        <w:docPartUnique/>
      </w:docPartObj>
    </w:sdtPr>
    <w:sdtEndPr>
      <w:rPr>
        <w:noProof/>
      </w:rPr>
    </w:sdtEndPr>
    <w:sdtContent>
      <w:p w14:paraId="0B175DD6" w14:textId="27C0D442" w:rsidR="00022C8C" w:rsidRDefault="00022C8C">
        <w:pPr>
          <w:pStyle w:val="Footer"/>
          <w:jc w:val="right"/>
        </w:pPr>
        <w:r>
          <w:fldChar w:fldCharType="begin"/>
        </w:r>
        <w:r>
          <w:instrText xml:space="preserve"> PAGE   \* MERGEFORMAT </w:instrText>
        </w:r>
        <w:r>
          <w:fldChar w:fldCharType="separate"/>
        </w:r>
        <w:r w:rsidR="009A5D92">
          <w:rPr>
            <w:noProof/>
          </w:rPr>
          <w:t>22</w:t>
        </w:r>
        <w:r>
          <w:rPr>
            <w:noProof/>
          </w:rPr>
          <w:fldChar w:fldCharType="end"/>
        </w:r>
      </w:p>
    </w:sdtContent>
  </w:sdt>
  <w:p w14:paraId="67578CA5" w14:textId="77777777" w:rsidR="00022C8C" w:rsidRDefault="00022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5437D" w14:textId="77777777" w:rsidR="004C7659" w:rsidRDefault="004C7659" w:rsidP="00DE24CF">
      <w:pPr>
        <w:spacing w:after="0" w:line="240" w:lineRule="auto"/>
      </w:pPr>
      <w:r>
        <w:separator/>
      </w:r>
    </w:p>
  </w:footnote>
  <w:footnote w:type="continuationSeparator" w:id="0">
    <w:p w14:paraId="221F4FA5" w14:textId="77777777" w:rsidR="004C7659" w:rsidRDefault="004C7659" w:rsidP="00DE2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E4B93"/>
    <w:multiLevelType w:val="hybridMultilevel"/>
    <w:tmpl w:val="97041A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21B1096"/>
    <w:multiLevelType w:val="hybridMultilevel"/>
    <w:tmpl w:val="FF48FA50"/>
    <w:lvl w:ilvl="0" w:tplc="A426E6E2">
      <w:start w:val="2"/>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0105D5"/>
    <w:multiLevelType w:val="hybridMultilevel"/>
    <w:tmpl w:val="3C4A4CDC"/>
    <w:lvl w:ilvl="0" w:tplc="D4FEC59A">
      <w:start w:val="2"/>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471719F"/>
    <w:multiLevelType w:val="hybridMultilevel"/>
    <w:tmpl w:val="75246B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xNDAwMjO0NLAwMjRU0lEKTi0uzszPAykwNK0FACt7RFotAAAA"/>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FF1568"/>
    <w:rsid w:val="000007D2"/>
    <w:rsid w:val="00001260"/>
    <w:rsid w:val="0000491D"/>
    <w:rsid w:val="00005742"/>
    <w:rsid w:val="000069C7"/>
    <w:rsid w:val="00006A58"/>
    <w:rsid w:val="0001615B"/>
    <w:rsid w:val="00020509"/>
    <w:rsid w:val="00022C8C"/>
    <w:rsid w:val="00023623"/>
    <w:rsid w:val="00023EFA"/>
    <w:rsid w:val="00024CA6"/>
    <w:rsid w:val="000258FC"/>
    <w:rsid w:val="00030611"/>
    <w:rsid w:val="00030D20"/>
    <w:rsid w:val="0003234F"/>
    <w:rsid w:val="0003261B"/>
    <w:rsid w:val="0003509E"/>
    <w:rsid w:val="0003799D"/>
    <w:rsid w:val="00040689"/>
    <w:rsid w:val="00040750"/>
    <w:rsid w:val="00041336"/>
    <w:rsid w:val="00043E3D"/>
    <w:rsid w:val="0005306F"/>
    <w:rsid w:val="000539A1"/>
    <w:rsid w:val="00057FF7"/>
    <w:rsid w:val="0006665E"/>
    <w:rsid w:val="000667DA"/>
    <w:rsid w:val="0006744F"/>
    <w:rsid w:val="0007451C"/>
    <w:rsid w:val="00074B6B"/>
    <w:rsid w:val="000836D9"/>
    <w:rsid w:val="000839C4"/>
    <w:rsid w:val="00085760"/>
    <w:rsid w:val="00086C72"/>
    <w:rsid w:val="00087332"/>
    <w:rsid w:val="00087DC1"/>
    <w:rsid w:val="000919C4"/>
    <w:rsid w:val="00095499"/>
    <w:rsid w:val="0009582E"/>
    <w:rsid w:val="000A008A"/>
    <w:rsid w:val="000A0C59"/>
    <w:rsid w:val="000A10FE"/>
    <w:rsid w:val="000A565B"/>
    <w:rsid w:val="000B0854"/>
    <w:rsid w:val="000B0A75"/>
    <w:rsid w:val="000B7BFF"/>
    <w:rsid w:val="000C208A"/>
    <w:rsid w:val="000C25B1"/>
    <w:rsid w:val="000C370A"/>
    <w:rsid w:val="000C4A8C"/>
    <w:rsid w:val="000D0661"/>
    <w:rsid w:val="000D6383"/>
    <w:rsid w:val="000D6655"/>
    <w:rsid w:val="000D743E"/>
    <w:rsid w:val="000E011D"/>
    <w:rsid w:val="000E0775"/>
    <w:rsid w:val="000F2ED6"/>
    <w:rsid w:val="000F617B"/>
    <w:rsid w:val="00104481"/>
    <w:rsid w:val="0010598E"/>
    <w:rsid w:val="00105E3A"/>
    <w:rsid w:val="00107810"/>
    <w:rsid w:val="001126EB"/>
    <w:rsid w:val="00113BCE"/>
    <w:rsid w:val="00115FD7"/>
    <w:rsid w:val="00120E4C"/>
    <w:rsid w:val="00123087"/>
    <w:rsid w:val="00124358"/>
    <w:rsid w:val="00124C78"/>
    <w:rsid w:val="00126E0B"/>
    <w:rsid w:val="0012714B"/>
    <w:rsid w:val="00132FE7"/>
    <w:rsid w:val="0013573C"/>
    <w:rsid w:val="00142901"/>
    <w:rsid w:val="00146FEA"/>
    <w:rsid w:val="00147F03"/>
    <w:rsid w:val="0015027E"/>
    <w:rsid w:val="001546AE"/>
    <w:rsid w:val="0016339F"/>
    <w:rsid w:val="00165412"/>
    <w:rsid w:val="00174189"/>
    <w:rsid w:val="00176BAA"/>
    <w:rsid w:val="0018432C"/>
    <w:rsid w:val="001856FD"/>
    <w:rsid w:val="001A0D9B"/>
    <w:rsid w:val="001A157F"/>
    <w:rsid w:val="001A1827"/>
    <w:rsid w:val="001A4DF9"/>
    <w:rsid w:val="001A7BF4"/>
    <w:rsid w:val="001B2115"/>
    <w:rsid w:val="001B6CC4"/>
    <w:rsid w:val="001B75BE"/>
    <w:rsid w:val="001C01F6"/>
    <w:rsid w:val="001C6BFE"/>
    <w:rsid w:val="001D3167"/>
    <w:rsid w:val="001D59C6"/>
    <w:rsid w:val="001D5C4A"/>
    <w:rsid w:val="001D65BB"/>
    <w:rsid w:val="001D6A3A"/>
    <w:rsid w:val="001E14E4"/>
    <w:rsid w:val="001F36FB"/>
    <w:rsid w:val="001F3CBC"/>
    <w:rsid w:val="001F6F51"/>
    <w:rsid w:val="00200BF2"/>
    <w:rsid w:val="00200DB8"/>
    <w:rsid w:val="0020635B"/>
    <w:rsid w:val="00206D28"/>
    <w:rsid w:val="00213E99"/>
    <w:rsid w:val="0021476D"/>
    <w:rsid w:val="00216D27"/>
    <w:rsid w:val="00221750"/>
    <w:rsid w:val="00221BFC"/>
    <w:rsid w:val="00222731"/>
    <w:rsid w:val="002228D9"/>
    <w:rsid w:val="00225036"/>
    <w:rsid w:val="002254E3"/>
    <w:rsid w:val="00226CB5"/>
    <w:rsid w:val="00232661"/>
    <w:rsid w:val="002422E5"/>
    <w:rsid w:val="00242301"/>
    <w:rsid w:val="002429CF"/>
    <w:rsid w:val="002469DF"/>
    <w:rsid w:val="00250825"/>
    <w:rsid w:val="00252B6B"/>
    <w:rsid w:val="0025315F"/>
    <w:rsid w:val="002617EB"/>
    <w:rsid w:val="00262C68"/>
    <w:rsid w:val="0026436A"/>
    <w:rsid w:val="00274D44"/>
    <w:rsid w:val="00275D9B"/>
    <w:rsid w:val="00277AE7"/>
    <w:rsid w:val="00280618"/>
    <w:rsid w:val="0028138B"/>
    <w:rsid w:val="00287CFA"/>
    <w:rsid w:val="00287E52"/>
    <w:rsid w:val="00287E6C"/>
    <w:rsid w:val="0029202E"/>
    <w:rsid w:val="00292790"/>
    <w:rsid w:val="002A2880"/>
    <w:rsid w:val="002A4881"/>
    <w:rsid w:val="002A681B"/>
    <w:rsid w:val="002B100B"/>
    <w:rsid w:val="002B30DD"/>
    <w:rsid w:val="002B5BF5"/>
    <w:rsid w:val="002B7FC6"/>
    <w:rsid w:val="002C181F"/>
    <w:rsid w:val="002C232E"/>
    <w:rsid w:val="002C3EFD"/>
    <w:rsid w:val="002C52B0"/>
    <w:rsid w:val="002C54CD"/>
    <w:rsid w:val="002D00B1"/>
    <w:rsid w:val="002D162D"/>
    <w:rsid w:val="002D26EA"/>
    <w:rsid w:val="002E172F"/>
    <w:rsid w:val="002E1E19"/>
    <w:rsid w:val="002E25C0"/>
    <w:rsid w:val="002E2FC7"/>
    <w:rsid w:val="002E6771"/>
    <w:rsid w:val="002F11FC"/>
    <w:rsid w:val="002F5409"/>
    <w:rsid w:val="002F597A"/>
    <w:rsid w:val="002F5ECD"/>
    <w:rsid w:val="00301EBC"/>
    <w:rsid w:val="00304248"/>
    <w:rsid w:val="00305F12"/>
    <w:rsid w:val="00306919"/>
    <w:rsid w:val="00310C74"/>
    <w:rsid w:val="00314FA4"/>
    <w:rsid w:val="0031592F"/>
    <w:rsid w:val="0032045E"/>
    <w:rsid w:val="00320487"/>
    <w:rsid w:val="00324F4C"/>
    <w:rsid w:val="00326338"/>
    <w:rsid w:val="00330139"/>
    <w:rsid w:val="00333203"/>
    <w:rsid w:val="00335592"/>
    <w:rsid w:val="003438D8"/>
    <w:rsid w:val="00344FC2"/>
    <w:rsid w:val="0035238C"/>
    <w:rsid w:val="00355C2E"/>
    <w:rsid w:val="00356181"/>
    <w:rsid w:val="003578F8"/>
    <w:rsid w:val="00362F70"/>
    <w:rsid w:val="0036551A"/>
    <w:rsid w:val="00365887"/>
    <w:rsid w:val="00370703"/>
    <w:rsid w:val="00375152"/>
    <w:rsid w:val="00380A6D"/>
    <w:rsid w:val="00382640"/>
    <w:rsid w:val="00384E0A"/>
    <w:rsid w:val="003926A8"/>
    <w:rsid w:val="003A11FB"/>
    <w:rsid w:val="003A1A17"/>
    <w:rsid w:val="003A386D"/>
    <w:rsid w:val="003A5088"/>
    <w:rsid w:val="003B3495"/>
    <w:rsid w:val="003B71A6"/>
    <w:rsid w:val="003C1F2F"/>
    <w:rsid w:val="003C3462"/>
    <w:rsid w:val="003C658C"/>
    <w:rsid w:val="003C7030"/>
    <w:rsid w:val="003C7696"/>
    <w:rsid w:val="003D1ACA"/>
    <w:rsid w:val="003D311C"/>
    <w:rsid w:val="003D5896"/>
    <w:rsid w:val="003D6FA8"/>
    <w:rsid w:val="003E35E7"/>
    <w:rsid w:val="003E6A93"/>
    <w:rsid w:val="003F1ECC"/>
    <w:rsid w:val="003F7BEE"/>
    <w:rsid w:val="00403F49"/>
    <w:rsid w:val="00405802"/>
    <w:rsid w:val="004119D1"/>
    <w:rsid w:val="00417DE1"/>
    <w:rsid w:val="00421F7E"/>
    <w:rsid w:val="00425FEF"/>
    <w:rsid w:val="00426670"/>
    <w:rsid w:val="004267F5"/>
    <w:rsid w:val="004309CD"/>
    <w:rsid w:val="00430C85"/>
    <w:rsid w:val="00434EA7"/>
    <w:rsid w:val="0043603D"/>
    <w:rsid w:val="00440C11"/>
    <w:rsid w:val="00446C47"/>
    <w:rsid w:val="0045338D"/>
    <w:rsid w:val="00461BBE"/>
    <w:rsid w:val="0046455B"/>
    <w:rsid w:val="00471AAA"/>
    <w:rsid w:val="00471EAC"/>
    <w:rsid w:val="0047417D"/>
    <w:rsid w:val="00475A56"/>
    <w:rsid w:val="00484D5E"/>
    <w:rsid w:val="00485938"/>
    <w:rsid w:val="00491012"/>
    <w:rsid w:val="00491EAB"/>
    <w:rsid w:val="00493A99"/>
    <w:rsid w:val="00493ACA"/>
    <w:rsid w:val="00494901"/>
    <w:rsid w:val="004A0351"/>
    <w:rsid w:val="004A3B66"/>
    <w:rsid w:val="004A49C1"/>
    <w:rsid w:val="004A566C"/>
    <w:rsid w:val="004A675F"/>
    <w:rsid w:val="004A67AD"/>
    <w:rsid w:val="004A6831"/>
    <w:rsid w:val="004B1675"/>
    <w:rsid w:val="004B16A1"/>
    <w:rsid w:val="004B1C55"/>
    <w:rsid w:val="004C051E"/>
    <w:rsid w:val="004C1130"/>
    <w:rsid w:val="004C2B8B"/>
    <w:rsid w:val="004C32E3"/>
    <w:rsid w:val="004C3E2B"/>
    <w:rsid w:val="004C7659"/>
    <w:rsid w:val="004D165B"/>
    <w:rsid w:val="004D4615"/>
    <w:rsid w:val="004D4867"/>
    <w:rsid w:val="004D65BF"/>
    <w:rsid w:val="004E0EF8"/>
    <w:rsid w:val="004E69FB"/>
    <w:rsid w:val="004F4831"/>
    <w:rsid w:val="004F5C5E"/>
    <w:rsid w:val="005007D9"/>
    <w:rsid w:val="0050346B"/>
    <w:rsid w:val="00506621"/>
    <w:rsid w:val="00507317"/>
    <w:rsid w:val="00510628"/>
    <w:rsid w:val="00510C7F"/>
    <w:rsid w:val="00514037"/>
    <w:rsid w:val="005171C0"/>
    <w:rsid w:val="00521982"/>
    <w:rsid w:val="00522637"/>
    <w:rsid w:val="005246A3"/>
    <w:rsid w:val="00531BEA"/>
    <w:rsid w:val="00540ACC"/>
    <w:rsid w:val="00544213"/>
    <w:rsid w:val="00544352"/>
    <w:rsid w:val="00546F45"/>
    <w:rsid w:val="00556C2A"/>
    <w:rsid w:val="00557CFD"/>
    <w:rsid w:val="00567299"/>
    <w:rsid w:val="005706D7"/>
    <w:rsid w:val="00570DBC"/>
    <w:rsid w:val="00573ABE"/>
    <w:rsid w:val="00574BDC"/>
    <w:rsid w:val="005758EB"/>
    <w:rsid w:val="00575986"/>
    <w:rsid w:val="00576FF8"/>
    <w:rsid w:val="00577C69"/>
    <w:rsid w:val="0058067F"/>
    <w:rsid w:val="00582985"/>
    <w:rsid w:val="00582A7F"/>
    <w:rsid w:val="005847FC"/>
    <w:rsid w:val="005848B0"/>
    <w:rsid w:val="005861AE"/>
    <w:rsid w:val="00587C93"/>
    <w:rsid w:val="00593AC7"/>
    <w:rsid w:val="00594528"/>
    <w:rsid w:val="00596988"/>
    <w:rsid w:val="00596F71"/>
    <w:rsid w:val="005A043E"/>
    <w:rsid w:val="005A2CC8"/>
    <w:rsid w:val="005A4845"/>
    <w:rsid w:val="005A54FA"/>
    <w:rsid w:val="005A554C"/>
    <w:rsid w:val="005A6A00"/>
    <w:rsid w:val="005B11F5"/>
    <w:rsid w:val="005B5030"/>
    <w:rsid w:val="005B61A3"/>
    <w:rsid w:val="005B751B"/>
    <w:rsid w:val="005C0731"/>
    <w:rsid w:val="005C154E"/>
    <w:rsid w:val="005C2506"/>
    <w:rsid w:val="005C6357"/>
    <w:rsid w:val="005C7658"/>
    <w:rsid w:val="005D0682"/>
    <w:rsid w:val="005D0C80"/>
    <w:rsid w:val="005D2078"/>
    <w:rsid w:val="005D2D81"/>
    <w:rsid w:val="005D47AE"/>
    <w:rsid w:val="005E2324"/>
    <w:rsid w:val="005F14BC"/>
    <w:rsid w:val="005F24D8"/>
    <w:rsid w:val="005F5FA3"/>
    <w:rsid w:val="005F7CA5"/>
    <w:rsid w:val="006011E7"/>
    <w:rsid w:val="00610D24"/>
    <w:rsid w:val="00613974"/>
    <w:rsid w:val="00613B7F"/>
    <w:rsid w:val="006150F4"/>
    <w:rsid w:val="00625D24"/>
    <w:rsid w:val="00626548"/>
    <w:rsid w:val="00630B74"/>
    <w:rsid w:val="0063364C"/>
    <w:rsid w:val="00635045"/>
    <w:rsid w:val="006421D3"/>
    <w:rsid w:val="0064494B"/>
    <w:rsid w:val="0064558D"/>
    <w:rsid w:val="006473E5"/>
    <w:rsid w:val="00652595"/>
    <w:rsid w:val="00656D0F"/>
    <w:rsid w:val="00667154"/>
    <w:rsid w:val="00670717"/>
    <w:rsid w:val="00674046"/>
    <w:rsid w:val="006745D1"/>
    <w:rsid w:val="00676AD6"/>
    <w:rsid w:val="006811BB"/>
    <w:rsid w:val="006819E3"/>
    <w:rsid w:val="00683476"/>
    <w:rsid w:val="00683E49"/>
    <w:rsid w:val="00685051"/>
    <w:rsid w:val="00690230"/>
    <w:rsid w:val="006904E7"/>
    <w:rsid w:val="00691F73"/>
    <w:rsid w:val="00692F61"/>
    <w:rsid w:val="006933D1"/>
    <w:rsid w:val="006A09DD"/>
    <w:rsid w:val="006A470E"/>
    <w:rsid w:val="006B00B2"/>
    <w:rsid w:val="006B06FE"/>
    <w:rsid w:val="006B61C0"/>
    <w:rsid w:val="006C0959"/>
    <w:rsid w:val="006C0AF3"/>
    <w:rsid w:val="006C1031"/>
    <w:rsid w:val="006C169C"/>
    <w:rsid w:val="006C762C"/>
    <w:rsid w:val="006D074D"/>
    <w:rsid w:val="006D32E2"/>
    <w:rsid w:val="006D5BB8"/>
    <w:rsid w:val="006D7E53"/>
    <w:rsid w:val="006E101A"/>
    <w:rsid w:val="006E1ACC"/>
    <w:rsid w:val="006F57C7"/>
    <w:rsid w:val="006F6E2B"/>
    <w:rsid w:val="00702816"/>
    <w:rsid w:val="00703EE8"/>
    <w:rsid w:val="007049FC"/>
    <w:rsid w:val="007104DE"/>
    <w:rsid w:val="00713600"/>
    <w:rsid w:val="00716F9D"/>
    <w:rsid w:val="00717431"/>
    <w:rsid w:val="00720BEA"/>
    <w:rsid w:val="007214C9"/>
    <w:rsid w:val="00723B76"/>
    <w:rsid w:val="00726A3D"/>
    <w:rsid w:val="007311E7"/>
    <w:rsid w:val="007325F4"/>
    <w:rsid w:val="00733B9A"/>
    <w:rsid w:val="00736D5D"/>
    <w:rsid w:val="007440ED"/>
    <w:rsid w:val="007473E9"/>
    <w:rsid w:val="0075389B"/>
    <w:rsid w:val="00754042"/>
    <w:rsid w:val="00754049"/>
    <w:rsid w:val="007567C6"/>
    <w:rsid w:val="00757B74"/>
    <w:rsid w:val="007635A9"/>
    <w:rsid w:val="0076488C"/>
    <w:rsid w:val="00771692"/>
    <w:rsid w:val="00771C5B"/>
    <w:rsid w:val="00777746"/>
    <w:rsid w:val="007802B5"/>
    <w:rsid w:val="00782B2F"/>
    <w:rsid w:val="0078436E"/>
    <w:rsid w:val="00792748"/>
    <w:rsid w:val="00793831"/>
    <w:rsid w:val="00794335"/>
    <w:rsid w:val="00795419"/>
    <w:rsid w:val="0079551B"/>
    <w:rsid w:val="007A0A7F"/>
    <w:rsid w:val="007A0D40"/>
    <w:rsid w:val="007A18FA"/>
    <w:rsid w:val="007A3291"/>
    <w:rsid w:val="007A3E9A"/>
    <w:rsid w:val="007B0681"/>
    <w:rsid w:val="007B1FC7"/>
    <w:rsid w:val="007B590C"/>
    <w:rsid w:val="007C1054"/>
    <w:rsid w:val="007C1E3F"/>
    <w:rsid w:val="007C357A"/>
    <w:rsid w:val="007F0EF6"/>
    <w:rsid w:val="007F2F13"/>
    <w:rsid w:val="007F34A5"/>
    <w:rsid w:val="007F34DE"/>
    <w:rsid w:val="007F442E"/>
    <w:rsid w:val="00803377"/>
    <w:rsid w:val="00807433"/>
    <w:rsid w:val="00807E9E"/>
    <w:rsid w:val="008116BB"/>
    <w:rsid w:val="008131F5"/>
    <w:rsid w:val="00813CFB"/>
    <w:rsid w:val="0082056A"/>
    <w:rsid w:val="00821942"/>
    <w:rsid w:val="0082499F"/>
    <w:rsid w:val="00825DA3"/>
    <w:rsid w:val="0082718A"/>
    <w:rsid w:val="008312DB"/>
    <w:rsid w:val="00831B54"/>
    <w:rsid w:val="0083360F"/>
    <w:rsid w:val="00836FAA"/>
    <w:rsid w:val="008401FA"/>
    <w:rsid w:val="008410F7"/>
    <w:rsid w:val="00845099"/>
    <w:rsid w:val="00847B0D"/>
    <w:rsid w:val="008539BE"/>
    <w:rsid w:val="0086023D"/>
    <w:rsid w:val="0086062F"/>
    <w:rsid w:val="00865EFD"/>
    <w:rsid w:val="00867A1D"/>
    <w:rsid w:val="00872E9A"/>
    <w:rsid w:val="0087314F"/>
    <w:rsid w:val="00874154"/>
    <w:rsid w:val="008755F4"/>
    <w:rsid w:val="00876598"/>
    <w:rsid w:val="00876664"/>
    <w:rsid w:val="00877602"/>
    <w:rsid w:val="00877D90"/>
    <w:rsid w:val="0088041C"/>
    <w:rsid w:val="00880609"/>
    <w:rsid w:val="00881AC3"/>
    <w:rsid w:val="0088245A"/>
    <w:rsid w:val="00882680"/>
    <w:rsid w:val="0089368F"/>
    <w:rsid w:val="00893DB2"/>
    <w:rsid w:val="00895F9C"/>
    <w:rsid w:val="00896D92"/>
    <w:rsid w:val="008A163C"/>
    <w:rsid w:val="008A2DE3"/>
    <w:rsid w:val="008A6532"/>
    <w:rsid w:val="008B12AC"/>
    <w:rsid w:val="008B5255"/>
    <w:rsid w:val="008C056F"/>
    <w:rsid w:val="008C2142"/>
    <w:rsid w:val="008C3CF6"/>
    <w:rsid w:val="008D0FE8"/>
    <w:rsid w:val="008D126A"/>
    <w:rsid w:val="008D1819"/>
    <w:rsid w:val="008D1918"/>
    <w:rsid w:val="008D1AF4"/>
    <w:rsid w:val="008D79CD"/>
    <w:rsid w:val="008E0DF8"/>
    <w:rsid w:val="008E1664"/>
    <w:rsid w:val="008E2296"/>
    <w:rsid w:val="008E25F9"/>
    <w:rsid w:val="008E68BC"/>
    <w:rsid w:val="008E75CD"/>
    <w:rsid w:val="008F34D9"/>
    <w:rsid w:val="008F4CCF"/>
    <w:rsid w:val="008F507E"/>
    <w:rsid w:val="008F5770"/>
    <w:rsid w:val="008F6D09"/>
    <w:rsid w:val="008F7717"/>
    <w:rsid w:val="009008A3"/>
    <w:rsid w:val="00900D71"/>
    <w:rsid w:val="00903AE0"/>
    <w:rsid w:val="0090615E"/>
    <w:rsid w:val="009062B9"/>
    <w:rsid w:val="009062F3"/>
    <w:rsid w:val="009067F4"/>
    <w:rsid w:val="009209A8"/>
    <w:rsid w:val="00922308"/>
    <w:rsid w:val="009246B5"/>
    <w:rsid w:val="0092552A"/>
    <w:rsid w:val="00927F2B"/>
    <w:rsid w:val="0093414E"/>
    <w:rsid w:val="009357A7"/>
    <w:rsid w:val="009422EC"/>
    <w:rsid w:val="00942CAE"/>
    <w:rsid w:val="00945FAF"/>
    <w:rsid w:val="00951D03"/>
    <w:rsid w:val="00952E71"/>
    <w:rsid w:val="009545E7"/>
    <w:rsid w:val="009563C6"/>
    <w:rsid w:val="00962613"/>
    <w:rsid w:val="00970B37"/>
    <w:rsid w:val="00975248"/>
    <w:rsid w:val="009779E9"/>
    <w:rsid w:val="00981366"/>
    <w:rsid w:val="0098151F"/>
    <w:rsid w:val="0098164E"/>
    <w:rsid w:val="00983284"/>
    <w:rsid w:val="00986123"/>
    <w:rsid w:val="00991535"/>
    <w:rsid w:val="00993D93"/>
    <w:rsid w:val="00994E28"/>
    <w:rsid w:val="009956D3"/>
    <w:rsid w:val="00996303"/>
    <w:rsid w:val="009A5D92"/>
    <w:rsid w:val="009B0032"/>
    <w:rsid w:val="009B5FB2"/>
    <w:rsid w:val="009B79DC"/>
    <w:rsid w:val="009C1C67"/>
    <w:rsid w:val="009C3F98"/>
    <w:rsid w:val="009C51D6"/>
    <w:rsid w:val="009D14AB"/>
    <w:rsid w:val="009D2EF3"/>
    <w:rsid w:val="009D41CF"/>
    <w:rsid w:val="009D60B9"/>
    <w:rsid w:val="009E1CD5"/>
    <w:rsid w:val="009E28E5"/>
    <w:rsid w:val="009E4F2D"/>
    <w:rsid w:val="009E5C47"/>
    <w:rsid w:val="009E61B8"/>
    <w:rsid w:val="009E6F2B"/>
    <w:rsid w:val="009E6F96"/>
    <w:rsid w:val="009F014B"/>
    <w:rsid w:val="009F023B"/>
    <w:rsid w:val="009F16C6"/>
    <w:rsid w:val="009F2E22"/>
    <w:rsid w:val="009F5337"/>
    <w:rsid w:val="009F5917"/>
    <w:rsid w:val="009F7816"/>
    <w:rsid w:val="00A005DA"/>
    <w:rsid w:val="00A02260"/>
    <w:rsid w:val="00A0377C"/>
    <w:rsid w:val="00A05CF3"/>
    <w:rsid w:val="00A126D1"/>
    <w:rsid w:val="00A12C18"/>
    <w:rsid w:val="00A14A4C"/>
    <w:rsid w:val="00A1553A"/>
    <w:rsid w:val="00A163DD"/>
    <w:rsid w:val="00A16D5B"/>
    <w:rsid w:val="00A20DCC"/>
    <w:rsid w:val="00A31601"/>
    <w:rsid w:val="00A339FC"/>
    <w:rsid w:val="00A353B2"/>
    <w:rsid w:val="00A35F93"/>
    <w:rsid w:val="00A36BAB"/>
    <w:rsid w:val="00A3795B"/>
    <w:rsid w:val="00A40C1D"/>
    <w:rsid w:val="00A415E8"/>
    <w:rsid w:val="00A41F0D"/>
    <w:rsid w:val="00A45066"/>
    <w:rsid w:val="00A50B67"/>
    <w:rsid w:val="00A50F3C"/>
    <w:rsid w:val="00A529EB"/>
    <w:rsid w:val="00A5450A"/>
    <w:rsid w:val="00A61A4B"/>
    <w:rsid w:val="00A6357D"/>
    <w:rsid w:val="00A647A0"/>
    <w:rsid w:val="00A64A3B"/>
    <w:rsid w:val="00A677DF"/>
    <w:rsid w:val="00A739E0"/>
    <w:rsid w:val="00A74856"/>
    <w:rsid w:val="00A75CDF"/>
    <w:rsid w:val="00A75F6E"/>
    <w:rsid w:val="00A8026E"/>
    <w:rsid w:val="00A82D33"/>
    <w:rsid w:val="00A87FD6"/>
    <w:rsid w:val="00A90590"/>
    <w:rsid w:val="00A92188"/>
    <w:rsid w:val="00A93142"/>
    <w:rsid w:val="00A93BCF"/>
    <w:rsid w:val="00AA0C8C"/>
    <w:rsid w:val="00AA1D59"/>
    <w:rsid w:val="00AA2CCC"/>
    <w:rsid w:val="00AA5579"/>
    <w:rsid w:val="00AA5C23"/>
    <w:rsid w:val="00AA785D"/>
    <w:rsid w:val="00AA7A1A"/>
    <w:rsid w:val="00AA7E1E"/>
    <w:rsid w:val="00AB159B"/>
    <w:rsid w:val="00AB1EFF"/>
    <w:rsid w:val="00AB60A9"/>
    <w:rsid w:val="00AC07DB"/>
    <w:rsid w:val="00AC137F"/>
    <w:rsid w:val="00AC23EF"/>
    <w:rsid w:val="00AC6015"/>
    <w:rsid w:val="00AC74FB"/>
    <w:rsid w:val="00AC7772"/>
    <w:rsid w:val="00AD324F"/>
    <w:rsid w:val="00AD41A2"/>
    <w:rsid w:val="00AD68AA"/>
    <w:rsid w:val="00AE0FA2"/>
    <w:rsid w:val="00AE0FEE"/>
    <w:rsid w:val="00AE1DA9"/>
    <w:rsid w:val="00AE3C1E"/>
    <w:rsid w:val="00AE7FF0"/>
    <w:rsid w:val="00AF0AA4"/>
    <w:rsid w:val="00AF2C85"/>
    <w:rsid w:val="00AF4B39"/>
    <w:rsid w:val="00AF6933"/>
    <w:rsid w:val="00B02083"/>
    <w:rsid w:val="00B10133"/>
    <w:rsid w:val="00B1102A"/>
    <w:rsid w:val="00B15A6A"/>
    <w:rsid w:val="00B200F5"/>
    <w:rsid w:val="00B20A92"/>
    <w:rsid w:val="00B232EF"/>
    <w:rsid w:val="00B23F4E"/>
    <w:rsid w:val="00B252DE"/>
    <w:rsid w:val="00B26856"/>
    <w:rsid w:val="00B30333"/>
    <w:rsid w:val="00B31AB5"/>
    <w:rsid w:val="00B34D20"/>
    <w:rsid w:val="00B36D7B"/>
    <w:rsid w:val="00B40DD0"/>
    <w:rsid w:val="00B440DF"/>
    <w:rsid w:val="00B50684"/>
    <w:rsid w:val="00B52020"/>
    <w:rsid w:val="00B61D65"/>
    <w:rsid w:val="00B63240"/>
    <w:rsid w:val="00B64342"/>
    <w:rsid w:val="00B64AFF"/>
    <w:rsid w:val="00B75220"/>
    <w:rsid w:val="00B761A3"/>
    <w:rsid w:val="00B76AEA"/>
    <w:rsid w:val="00B81D4D"/>
    <w:rsid w:val="00B8327B"/>
    <w:rsid w:val="00B83501"/>
    <w:rsid w:val="00B879D4"/>
    <w:rsid w:val="00B95BF9"/>
    <w:rsid w:val="00B96FBD"/>
    <w:rsid w:val="00B97975"/>
    <w:rsid w:val="00BA1E6A"/>
    <w:rsid w:val="00BA5F3E"/>
    <w:rsid w:val="00BA758E"/>
    <w:rsid w:val="00BA7C87"/>
    <w:rsid w:val="00BB396A"/>
    <w:rsid w:val="00BB65BF"/>
    <w:rsid w:val="00BC2659"/>
    <w:rsid w:val="00BC2A03"/>
    <w:rsid w:val="00BC526C"/>
    <w:rsid w:val="00BC52F0"/>
    <w:rsid w:val="00BC5FEA"/>
    <w:rsid w:val="00BC6550"/>
    <w:rsid w:val="00BD07AD"/>
    <w:rsid w:val="00BD0DAD"/>
    <w:rsid w:val="00BD14B4"/>
    <w:rsid w:val="00BD1579"/>
    <w:rsid w:val="00BD257B"/>
    <w:rsid w:val="00BD37BF"/>
    <w:rsid w:val="00BD525B"/>
    <w:rsid w:val="00BD623B"/>
    <w:rsid w:val="00BD6794"/>
    <w:rsid w:val="00BD71C0"/>
    <w:rsid w:val="00BD7ACA"/>
    <w:rsid w:val="00BE1815"/>
    <w:rsid w:val="00BE2408"/>
    <w:rsid w:val="00BE3590"/>
    <w:rsid w:val="00BE42E6"/>
    <w:rsid w:val="00BE5D7F"/>
    <w:rsid w:val="00BF1A25"/>
    <w:rsid w:val="00BF6CA5"/>
    <w:rsid w:val="00C02D8F"/>
    <w:rsid w:val="00C03030"/>
    <w:rsid w:val="00C031FB"/>
    <w:rsid w:val="00C04A8B"/>
    <w:rsid w:val="00C06270"/>
    <w:rsid w:val="00C10704"/>
    <w:rsid w:val="00C109C5"/>
    <w:rsid w:val="00C11EF4"/>
    <w:rsid w:val="00C1756F"/>
    <w:rsid w:val="00C277F6"/>
    <w:rsid w:val="00C30C25"/>
    <w:rsid w:val="00C33351"/>
    <w:rsid w:val="00C35128"/>
    <w:rsid w:val="00C41FBD"/>
    <w:rsid w:val="00C44B6F"/>
    <w:rsid w:val="00C45EDF"/>
    <w:rsid w:val="00C5003A"/>
    <w:rsid w:val="00C5029A"/>
    <w:rsid w:val="00C513AB"/>
    <w:rsid w:val="00C54FF7"/>
    <w:rsid w:val="00C55C39"/>
    <w:rsid w:val="00C61D91"/>
    <w:rsid w:val="00C63565"/>
    <w:rsid w:val="00C64095"/>
    <w:rsid w:val="00C65288"/>
    <w:rsid w:val="00C727C6"/>
    <w:rsid w:val="00C7479A"/>
    <w:rsid w:val="00C75768"/>
    <w:rsid w:val="00C770E7"/>
    <w:rsid w:val="00C80A6E"/>
    <w:rsid w:val="00C84646"/>
    <w:rsid w:val="00C85D1B"/>
    <w:rsid w:val="00C9206B"/>
    <w:rsid w:val="00C94545"/>
    <w:rsid w:val="00C95D84"/>
    <w:rsid w:val="00C97D45"/>
    <w:rsid w:val="00CB2E7F"/>
    <w:rsid w:val="00CB657B"/>
    <w:rsid w:val="00CC2675"/>
    <w:rsid w:val="00CC5B2D"/>
    <w:rsid w:val="00CC6BF6"/>
    <w:rsid w:val="00CC6C1C"/>
    <w:rsid w:val="00CD78BD"/>
    <w:rsid w:val="00CE0DF7"/>
    <w:rsid w:val="00CE35E8"/>
    <w:rsid w:val="00CE689D"/>
    <w:rsid w:val="00CF174F"/>
    <w:rsid w:val="00CF1EC6"/>
    <w:rsid w:val="00CF329E"/>
    <w:rsid w:val="00CF54BA"/>
    <w:rsid w:val="00CF7A49"/>
    <w:rsid w:val="00D01D06"/>
    <w:rsid w:val="00D10714"/>
    <w:rsid w:val="00D138DF"/>
    <w:rsid w:val="00D157B9"/>
    <w:rsid w:val="00D162E1"/>
    <w:rsid w:val="00D16513"/>
    <w:rsid w:val="00D168E4"/>
    <w:rsid w:val="00D16ED7"/>
    <w:rsid w:val="00D30FC5"/>
    <w:rsid w:val="00D37811"/>
    <w:rsid w:val="00D413C2"/>
    <w:rsid w:val="00D42915"/>
    <w:rsid w:val="00D51447"/>
    <w:rsid w:val="00D51726"/>
    <w:rsid w:val="00D529EF"/>
    <w:rsid w:val="00D53B9C"/>
    <w:rsid w:val="00D53FCB"/>
    <w:rsid w:val="00D55E02"/>
    <w:rsid w:val="00D60772"/>
    <w:rsid w:val="00D60CA9"/>
    <w:rsid w:val="00D61891"/>
    <w:rsid w:val="00D62952"/>
    <w:rsid w:val="00D63E35"/>
    <w:rsid w:val="00D7037B"/>
    <w:rsid w:val="00D70A38"/>
    <w:rsid w:val="00D72CB9"/>
    <w:rsid w:val="00D73319"/>
    <w:rsid w:val="00D80B49"/>
    <w:rsid w:val="00D85DE9"/>
    <w:rsid w:val="00D905CC"/>
    <w:rsid w:val="00D91658"/>
    <w:rsid w:val="00D9361A"/>
    <w:rsid w:val="00DA1285"/>
    <w:rsid w:val="00DA1D36"/>
    <w:rsid w:val="00DA509B"/>
    <w:rsid w:val="00DA6A06"/>
    <w:rsid w:val="00DB0ABD"/>
    <w:rsid w:val="00DB617A"/>
    <w:rsid w:val="00DC0430"/>
    <w:rsid w:val="00DC1C3A"/>
    <w:rsid w:val="00DC43F6"/>
    <w:rsid w:val="00DD27AA"/>
    <w:rsid w:val="00DD299F"/>
    <w:rsid w:val="00DD2C89"/>
    <w:rsid w:val="00DD35F4"/>
    <w:rsid w:val="00DE24CF"/>
    <w:rsid w:val="00DE6E70"/>
    <w:rsid w:val="00DF4457"/>
    <w:rsid w:val="00DF4523"/>
    <w:rsid w:val="00DF4F86"/>
    <w:rsid w:val="00DF5B04"/>
    <w:rsid w:val="00DF61BB"/>
    <w:rsid w:val="00E02C92"/>
    <w:rsid w:val="00E04234"/>
    <w:rsid w:val="00E062C7"/>
    <w:rsid w:val="00E06386"/>
    <w:rsid w:val="00E11395"/>
    <w:rsid w:val="00E11641"/>
    <w:rsid w:val="00E12050"/>
    <w:rsid w:val="00E156A6"/>
    <w:rsid w:val="00E172A9"/>
    <w:rsid w:val="00E203ED"/>
    <w:rsid w:val="00E2168A"/>
    <w:rsid w:val="00E21FF8"/>
    <w:rsid w:val="00E25F75"/>
    <w:rsid w:val="00E30024"/>
    <w:rsid w:val="00E328BC"/>
    <w:rsid w:val="00E3358E"/>
    <w:rsid w:val="00E34166"/>
    <w:rsid w:val="00E3624A"/>
    <w:rsid w:val="00E36729"/>
    <w:rsid w:val="00E40E5B"/>
    <w:rsid w:val="00E410E4"/>
    <w:rsid w:val="00E415E0"/>
    <w:rsid w:val="00E4187F"/>
    <w:rsid w:val="00E42730"/>
    <w:rsid w:val="00E433B5"/>
    <w:rsid w:val="00E43B8C"/>
    <w:rsid w:val="00E43D3A"/>
    <w:rsid w:val="00E444F4"/>
    <w:rsid w:val="00E47293"/>
    <w:rsid w:val="00E5048D"/>
    <w:rsid w:val="00E513A0"/>
    <w:rsid w:val="00E51786"/>
    <w:rsid w:val="00E566C8"/>
    <w:rsid w:val="00E60768"/>
    <w:rsid w:val="00E612F6"/>
    <w:rsid w:val="00E615A4"/>
    <w:rsid w:val="00E64ACD"/>
    <w:rsid w:val="00E70292"/>
    <w:rsid w:val="00E7096A"/>
    <w:rsid w:val="00E72A19"/>
    <w:rsid w:val="00E83378"/>
    <w:rsid w:val="00E83E0A"/>
    <w:rsid w:val="00EA0637"/>
    <w:rsid w:val="00EA2953"/>
    <w:rsid w:val="00EA304B"/>
    <w:rsid w:val="00EA47AC"/>
    <w:rsid w:val="00EB3977"/>
    <w:rsid w:val="00EB7FE7"/>
    <w:rsid w:val="00EC123B"/>
    <w:rsid w:val="00EC1D1E"/>
    <w:rsid w:val="00EC2151"/>
    <w:rsid w:val="00EC61D6"/>
    <w:rsid w:val="00EC7FCA"/>
    <w:rsid w:val="00EE04FF"/>
    <w:rsid w:val="00EE1669"/>
    <w:rsid w:val="00EE3BA6"/>
    <w:rsid w:val="00EE5587"/>
    <w:rsid w:val="00EF0014"/>
    <w:rsid w:val="00EF0565"/>
    <w:rsid w:val="00EF06AA"/>
    <w:rsid w:val="00EF1C20"/>
    <w:rsid w:val="00EF2F0C"/>
    <w:rsid w:val="00EF53EF"/>
    <w:rsid w:val="00EF69B1"/>
    <w:rsid w:val="00F03F03"/>
    <w:rsid w:val="00F0608B"/>
    <w:rsid w:val="00F0631F"/>
    <w:rsid w:val="00F10B91"/>
    <w:rsid w:val="00F11EF5"/>
    <w:rsid w:val="00F132B8"/>
    <w:rsid w:val="00F147A1"/>
    <w:rsid w:val="00F14B75"/>
    <w:rsid w:val="00F173C7"/>
    <w:rsid w:val="00F223DC"/>
    <w:rsid w:val="00F22C47"/>
    <w:rsid w:val="00F24100"/>
    <w:rsid w:val="00F27B53"/>
    <w:rsid w:val="00F34607"/>
    <w:rsid w:val="00F34DBC"/>
    <w:rsid w:val="00F356A9"/>
    <w:rsid w:val="00F45ACA"/>
    <w:rsid w:val="00F46FE9"/>
    <w:rsid w:val="00F50DA6"/>
    <w:rsid w:val="00F51011"/>
    <w:rsid w:val="00F52C8A"/>
    <w:rsid w:val="00F52F1D"/>
    <w:rsid w:val="00F531E3"/>
    <w:rsid w:val="00F536C3"/>
    <w:rsid w:val="00F5532D"/>
    <w:rsid w:val="00F57C3F"/>
    <w:rsid w:val="00F67028"/>
    <w:rsid w:val="00F7143D"/>
    <w:rsid w:val="00F73292"/>
    <w:rsid w:val="00F75FEB"/>
    <w:rsid w:val="00F7702D"/>
    <w:rsid w:val="00F83AA1"/>
    <w:rsid w:val="00F84DA6"/>
    <w:rsid w:val="00F874C7"/>
    <w:rsid w:val="00F901B7"/>
    <w:rsid w:val="00F91AB0"/>
    <w:rsid w:val="00F93062"/>
    <w:rsid w:val="00F94A72"/>
    <w:rsid w:val="00F96B92"/>
    <w:rsid w:val="00FB13EC"/>
    <w:rsid w:val="00FB2D74"/>
    <w:rsid w:val="00FB3FC6"/>
    <w:rsid w:val="00FB6774"/>
    <w:rsid w:val="00FC1450"/>
    <w:rsid w:val="00FC4AFD"/>
    <w:rsid w:val="00FC5DBC"/>
    <w:rsid w:val="00FD1F23"/>
    <w:rsid w:val="00FD2500"/>
    <w:rsid w:val="00FD44FD"/>
    <w:rsid w:val="00FD4F05"/>
    <w:rsid w:val="00FD4F65"/>
    <w:rsid w:val="00FD54FD"/>
    <w:rsid w:val="00FD65DA"/>
    <w:rsid w:val="00FD6ABA"/>
    <w:rsid w:val="00FE5E34"/>
    <w:rsid w:val="00FE6090"/>
    <w:rsid w:val="00FF1568"/>
    <w:rsid w:val="00FF17BB"/>
    <w:rsid w:val="00FF1D37"/>
    <w:rsid w:val="00FF5204"/>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C5212"/>
  <w15:chartTrackingRefBased/>
  <w15:docId w15:val="{34AFBC93-AC0D-4320-BD3E-EAF75E8C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6C72"/>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87332"/>
    <w:pPr>
      <w:keepNext/>
      <w:keepLines/>
      <w:spacing w:before="200" w:after="0" w:line="276" w:lineRule="auto"/>
      <w:outlineLvl w:val="1"/>
    </w:pPr>
    <w:rPr>
      <w:rFonts w:ascii="Cambria" w:eastAsia="Times New Roman" w:hAnsi="Cambria" w:cs="Times New Roman"/>
      <w:b/>
      <w:bCs/>
      <w:color w:val="4F81BD"/>
      <w:sz w:val="26"/>
      <w:szCs w:val="26"/>
      <w:lang w:val="en-US" w:eastAsia="en-US"/>
    </w:rPr>
  </w:style>
  <w:style w:type="paragraph" w:styleId="Heading3">
    <w:name w:val="heading 3"/>
    <w:basedOn w:val="Normal"/>
    <w:next w:val="Normal"/>
    <w:link w:val="Heading3Char"/>
    <w:uiPriority w:val="9"/>
    <w:semiHidden/>
    <w:unhideWhenUsed/>
    <w:qFormat/>
    <w:rsid w:val="007C10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EA0637"/>
    <w:rPr>
      <w:sz w:val="18"/>
      <w:szCs w:val="18"/>
    </w:rPr>
  </w:style>
  <w:style w:type="paragraph" w:styleId="CommentText">
    <w:name w:val="annotation text"/>
    <w:basedOn w:val="Normal"/>
    <w:link w:val="CommentTextChar"/>
    <w:uiPriority w:val="99"/>
    <w:semiHidden/>
    <w:rsid w:val="00EA0637"/>
    <w:pPr>
      <w:spacing w:before="60" w:after="60" w:line="240" w:lineRule="auto"/>
    </w:pPr>
    <w:rPr>
      <w:rFonts w:ascii="Times New Roman" w:eastAsia="Times New Roman" w:hAnsi="Times New Roman" w:cs="Times New Roman"/>
      <w:sz w:val="24"/>
      <w:szCs w:val="24"/>
      <w:lang w:val="en-AU" w:eastAsia="en-AU"/>
    </w:rPr>
  </w:style>
  <w:style w:type="character" w:customStyle="1" w:styleId="CommentTextChar">
    <w:name w:val="Comment Text Char"/>
    <w:basedOn w:val="DefaultParagraphFont"/>
    <w:link w:val="CommentText"/>
    <w:uiPriority w:val="99"/>
    <w:semiHidden/>
    <w:rsid w:val="00EA0637"/>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EA0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63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34607"/>
    <w:pPr>
      <w:spacing w:before="0" w:after="160"/>
    </w:pPr>
    <w:rPr>
      <w:rFonts w:asciiTheme="minorHAnsi" w:eastAsiaTheme="minorEastAsia" w:hAnsiTheme="minorHAnsi" w:cstheme="minorBidi"/>
      <w:b/>
      <w:bCs/>
      <w:sz w:val="20"/>
      <w:szCs w:val="20"/>
      <w:lang w:val="en-ZA" w:eastAsia="ko-KR"/>
    </w:rPr>
  </w:style>
  <w:style w:type="character" w:customStyle="1" w:styleId="CommentSubjectChar">
    <w:name w:val="Comment Subject Char"/>
    <w:basedOn w:val="CommentTextChar"/>
    <w:link w:val="CommentSubject"/>
    <w:uiPriority w:val="99"/>
    <w:semiHidden/>
    <w:rsid w:val="00F34607"/>
    <w:rPr>
      <w:rFonts w:ascii="Times New Roman" w:eastAsia="Times New Roman" w:hAnsi="Times New Roman" w:cs="Times New Roman"/>
      <w:b/>
      <w:bCs/>
      <w:sz w:val="20"/>
      <w:szCs w:val="20"/>
      <w:lang w:val="en-AU" w:eastAsia="en-AU"/>
    </w:rPr>
  </w:style>
  <w:style w:type="character" w:styleId="Hyperlink">
    <w:name w:val="Hyperlink"/>
    <w:basedOn w:val="DefaultParagraphFont"/>
    <w:uiPriority w:val="99"/>
    <w:unhideWhenUsed/>
    <w:rsid w:val="00E04234"/>
    <w:rPr>
      <w:color w:val="0563C1" w:themeColor="hyperlink"/>
      <w:u w:val="single"/>
    </w:rPr>
  </w:style>
  <w:style w:type="paragraph" w:styleId="ListParagraph">
    <w:name w:val="List Paragraph"/>
    <w:basedOn w:val="Normal"/>
    <w:uiPriority w:val="34"/>
    <w:qFormat/>
    <w:rsid w:val="00D529EF"/>
    <w:pPr>
      <w:ind w:left="720"/>
      <w:contextualSpacing/>
    </w:pPr>
  </w:style>
  <w:style w:type="paragraph" w:styleId="Header">
    <w:name w:val="header"/>
    <w:basedOn w:val="Normal"/>
    <w:link w:val="HeaderChar"/>
    <w:uiPriority w:val="99"/>
    <w:unhideWhenUsed/>
    <w:rsid w:val="00DE2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4CF"/>
  </w:style>
  <w:style w:type="paragraph" w:styleId="Footer">
    <w:name w:val="footer"/>
    <w:basedOn w:val="Normal"/>
    <w:link w:val="FooterChar"/>
    <w:uiPriority w:val="99"/>
    <w:unhideWhenUsed/>
    <w:rsid w:val="00DE2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4CF"/>
  </w:style>
  <w:style w:type="character" w:customStyle="1" w:styleId="Heading2Char">
    <w:name w:val="Heading 2 Char"/>
    <w:basedOn w:val="DefaultParagraphFont"/>
    <w:link w:val="Heading2"/>
    <w:uiPriority w:val="9"/>
    <w:semiHidden/>
    <w:rsid w:val="00087332"/>
    <w:rPr>
      <w:rFonts w:ascii="Cambria" w:eastAsia="Times New Roman" w:hAnsi="Cambria" w:cs="Times New Roman"/>
      <w:b/>
      <w:bCs/>
      <w:color w:val="4F81BD"/>
      <w:sz w:val="26"/>
      <w:szCs w:val="26"/>
      <w:lang w:val="en-US" w:eastAsia="en-US"/>
    </w:rPr>
  </w:style>
  <w:style w:type="character" w:styleId="FollowedHyperlink">
    <w:name w:val="FollowedHyperlink"/>
    <w:basedOn w:val="DefaultParagraphFont"/>
    <w:uiPriority w:val="99"/>
    <w:semiHidden/>
    <w:unhideWhenUsed/>
    <w:rsid w:val="00D85DE9"/>
    <w:rPr>
      <w:color w:val="954F72" w:themeColor="followedHyperlink"/>
      <w:u w:val="single"/>
    </w:rPr>
  </w:style>
  <w:style w:type="paragraph" w:styleId="Revision">
    <w:name w:val="Revision"/>
    <w:hidden/>
    <w:uiPriority w:val="99"/>
    <w:semiHidden/>
    <w:rsid w:val="00676AD6"/>
    <w:pPr>
      <w:spacing w:after="0" w:line="240" w:lineRule="auto"/>
    </w:pPr>
  </w:style>
  <w:style w:type="character" w:customStyle="1" w:styleId="Heading1Char">
    <w:name w:val="Heading 1 Char"/>
    <w:basedOn w:val="DefaultParagraphFont"/>
    <w:link w:val="Heading1"/>
    <w:uiPriority w:val="9"/>
    <w:rsid w:val="00086C72"/>
    <w:rPr>
      <w:rFonts w:asciiTheme="majorHAnsi" w:eastAsiaTheme="majorEastAsia" w:hAnsiTheme="majorHAnsi" w:cstheme="majorBidi"/>
      <w:color w:val="2F5496" w:themeColor="accent1" w:themeShade="BF"/>
      <w:sz w:val="32"/>
      <w:szCs w:val="32"/>
    </w:rPr>
  </w:style>
  <w:style w:type="character" w:customStyle="1" w:styleId="highwire-cite-journal">
    <w:name w:val="highwire-cite-journal"/>
    <w:basedOn w:val="DefaultParagraphFont"/>
    <w:rsid w:val="00086C72"/>
  </w:style>
  <w:style w:type="character" w:customStyle="1" w:styleId="apple-converted-space">
    <w:name w:val="apple-converted-space"/>
    <w:basedOn w:val="DefaultParagraphFont"/>
    <w:rsid w:val="00086C72"/>
  </w:style>
  <w:style w:type="character" w:customStyle="1" w:styleId="highwire-cite-published-year">
    <w:name w:val="highwire-cite-published-year"/>
    <w:basedOn w:val="DefaultParagraphFont"/>
    <w:rsid w:val="00086C72"/>
  </w:style>
  <w:style w:type="character" w:customStyle="1" w:styleId="highwire-cite-volume-issue">
    <w:name w:val="highwire-cite-volume-issue"/>
    <w:basedOn w:val="DefaultParagraphFont"/>
    <w:rsid w:val="00086C72"/>
  </w:style>
  <w:style w:type="character" w:customStyle="1" w:styleId="highwire-cite-doi">
    <w:name w:val="highwire-cite-doi"/>
    <w:basedOn w:val="DefaultParagraphFont"/>
    <w:rsid w:val="00086C72"/>
  </w:style>
  <w:style w:type="character" w:styleId="PlaceholderText">
    <w:name w:val="Placeholder Text"/>
    <w:basedOn w:val="DefaultParagraphFont"/>
    <w:uiPriority w:val="99"/>
    <w:semiHidden/>
    <w:rsid w:val="005C6357"/>
    <w:rPr>
      <w:color w:val="808080"/>
    </w:rPr>
  </w:style>
  <w:style w:type="character" w:styleId="LineNumber">
    <w:name w:val="line number"/>
    <w:basedOn w:val="DefaultParagraphFont"/>
    <w:uiPriority w:val="99"/>
    <w:semiHidden/>
    <w:unhideWhenUsed/>
    <w:rsid w:val="005C6357"/>
  </w:style>
  <w:style w:type="table" w:styleId="TableGrid">
    <w:name w:val="Table Grid"/>
    <w:basedOn w:val="TableNormal"/>
    <w:uiPriority w:val="39"/>
    <w:rsid w:val="00C54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C1054"/>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DefaultParagraphFont"/>
    <w:uiPriority w:val="99"/>
    <w:semiHidden/>
    <w:unhideWhenUsed/>
    <w:rsid w:val="00AA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887710">
      <w:bodyDiv w:val="1"/>
      <w:marLeft w:val="0"/>
      <w:marRight w:val="0"/>
      <w:marTop w:val="0"/>
      <w:marBottom w:val="0"/>
      <w:divBdr>
        <w:top w:val="none" w:sz="0" w:space="0" w:color="auto"/>
        <w:left w:val="none" w:sz="0" w:space="0" w:color="auto"/>
        <w:bottom w:val="none" w:sz="0" w:space="0" w:color="auto"/>
        <w:right w:val="none" w:sz="0" w:space="0" w:color="auto"/>
      </w:divBdr>
    </w:div>
    <w:div w:id="452138237">
      <w:bodyDiv w:val="1"/>
      <w:marLeft w:val="0"/>
      <w:marRight w:val="0"/>
      <w:marTop w:val="0"/>
      <w:marBottom w:val="0"/>
      <w:divBdr>
        <w:top w:val="none" w:sz="0" w:space="0" w:color="auto"/>
        <w:left w:val="none" w:sz="0" w:space="0" w:color="auto"/>
        <w:bottom w:val="none" w:sz="0" w:space="0" w:color="auto"/>
        <w:right w:val="none" w:sz="0" w:space="0" w:color="auto"/>
      </w:divBdr>
    </w:div>
    <w:div w:id="519508695">
      <w:bodyDiv w:val="1"/>
      <w:marLeft w:val="0"/>
      <w:marRight w:val="0"/>
      <w:marTop w:val="0"/>
      <w:marBottom w:val="0"/>
      <w:divBdr>
        <w:top w:val="none" w:sz="0" w:space="0" w:color="auto"/>
        <w:left w:val="none" w:sz="0" w:space="0" w:color="auto"/>
        <w:bottom w:val="none" w:sz="0" w:space="0" w:color="auto"/>
        <w:right w:val="none" w:sz="0" w:space="0" w:color="auto"/>
      </w:divBdr>
    </w:div>
    <w:div w:id="538662565">
      <w:bodyDiv w:val="1"/>
      <w:marLeft w:val="0"/>
      <w:marRight w:val="0"/>
      <w:marTop w:val="0"/>
      <w:marBottom w:val="0"/>
      <w:divBdr>
        <w:top w:val="none" w:sz="0" w:space="0" w:color="auto"/>
        <w:left w:val="none" w:sz="0" w:space="0" w:color="auto"/>
        <w:bottom w:val="none" w:sz="0" w:space="0" w:color="auto"/>
        <w:right w:val="none" w:sz="0" w:space="0" w:color="auto"/>
      </w:divBdr>
    </w:div>
    <w:div w:id="560407346">
      <w:bodyDiv w:val="1"/>
      <w:marLeft w:val="0"/>
      <w:marRight w:val="0"/>
      <w:marTop w:val="0"/>
      <w:marBottom w:val="0"/>
      <w:divBdr>
        <w:top w:val="none" w:sz="0" w:space="0" w:color="auto"/>
        <w:left w:val="none" w:sz="0" w:space="0" w:color="auto"/>
        <w:bottom w:val="none" w:sz="0" w:space="0" w:color="auto"/>
        <w:right w:val="none" w:sz="0" w:space="0" w:color="auto"/>
      </w:divBdr>
    </w:div>
    <w:div w:id="586965992">
      <w:bodyDiv w:val="1"/>
      <w:marLeft w:val="0"/>
      <w:marRight w:val="0"/>
      <w:marTop w:val="0"/>
      <w:marBottom w:val="0"/>
      <w:divBdr>
        <w:top w:val="none" w:sz="0" w:space="0" w:color="auto"/>
        <w:left w:val="none" w:sz="0" w:space="0" w:color="auto"/>
        <w:bottom w:val="none" w:sz="0" w:space="0" w:color="auto"/>
        <w:right w:val="none" w:sz="0" w:space="0" w:color="auto"/>
      </w:divBdr>
    </w:div>
    <w:div w:id="701323627">
      <w:bodyDiv w:val="1"/>
      <w:marLeft w:val="0"/>
      <w:marRight w:val="0"/>
      <w:marTop w:val="0"/>
      <w:marBottom w:val="0"/>
      <w:divBdr>
        <w:top w:val="none" w:sz="0" w:space="0" w:color="auto"/>
        <w:left w:val="none" w:sz="0" w:space="0" w:color="auto"/>
        <w:bottom w:val="none" w:sz="0" w:space="0" w:color="auto"/>
        <w:right w:val="none" w:sz="0" w:space="0" w:color="auto"/>
      </w:divBdr>
    </w:div>
    <w:div w:id="710887211">
      <w:bodyDiv w:val="1"/>
      <w:marLeft w:val="0"/>
      <w:marRight w:val="0"/>
      <w:marTop w:val="0"/>
      <w:marBottom w:val="0"/>
      <w:divBdr>
        <w:top w:val="none" w:sz="0" w:space="0" w:color="auto"/>
        <w:left w:val="none" w:sz="0" w:space="0" w:color="auto"/>
        <w:bottom w:val="none" w:sz="0" w:space="0" w:color="auto"/>
        <w:right w:val="none" w:sz="0" w:space="0" w:color="auto"/>
      </w:divBdr>
    </w:div>
    <w:div w:id="738132195">
      <w:bodyDiv w:val="1"/>
      <w:marLeft w:val="0"/>
      <w:marRight w:val="0"/>
      <w:marTop w:val="0"/>
      <w:marBottom w:val="0"/>
      <w:divBdr>
        <w:top w:val="none" w:sz="0" w:space="0" w:color="auto"/>
        <w:left w:val="none" w:sz="0" w:space="0" w:color="auto"/>
        <w:bottom w:val="none" w:sz="0" w:space="0" w:color="auto"/>
        <w:right w:val="none" w:sz="0" w:space="0" w:color="auto"/>
      </w:divBdr>
    </w:div>
    <w:div w:id="767580959">
      <w:bodyDiv w:val="1"/>
      <w:marLeft w:val="0"/>
      <w:marRight w:val="0"/>
      <w:marTop w:val="0"/>
      <w:marBottom w:val="0"/>
      <w:divBdr>
        <w:top w:val="none" w:sz="0" w:space="0" w:color="auto"/>
        <w:left w:val="none" w:sz="0" w:space="0" w:color="auto"/>
        <w:bottom w:val="none" w:sz="0" w:space="0" w:color="auto"/>
        <w:right w:val="none" w:sz="0" w:space="0" w:color="auto"/>
      </w:divBdr>
    </w:div>
    <w:div w:id="857547560">
      <w:bodyDiv w:val="1"/>
      <w:marLeft w:val="0"/>
      <w:marRight w:val="0"/>
      <w:marTop w:val="0"/>
      <w:marBottom w:val="0"/>
      <w:divBdr>
        <w:top w:val="none" w:sz="0" w:space="0" w:color="auto"/>
        <w:left w:val="none" w:sz="0" w:space="0" w:color="auto"/>
        <w:bottom w:val="none" w:sz="0" w:space="0" w:color="auto"/>
        <w:right w:val="none" w:sz="0" w:space="0" w:color="auto"/>
      </w:divBdr>
    </w:div>
    <w:div w:id="954748846">
      <w:bodyDiv w:val="1"/>
      <w:marLeft w:val="0"/>
      <w:marRight w:val="0"/>
      <w:marTop w:val="0"/>
      <w:marBottom w:val="0"/>
      <w:divBdr>
        <w:top w:val="none" w:sz="0" w:space="0" w:color="auto"/>
        <w:left w:val="none" w:sz="0" w:space="0" w:color="auto"/>
        <w:bottom w:val="none" w:sz="0" w:space="0" w:color="auto"/>
        <w:right w:val="none" w:sz="0" w:space="0" w:color="auto"/>
      </w:divBdr>
    </w:div>
    <w:div w:id="1006908729">
      <w:bodyDiv w:val="1"/>
      <w:marLeft w:val="0"/>
      <w:marRight w:val="0"/>
      <w:marTop w:val="0"/>
      <w:marBottom w:val="0"/>
      <w:divBdr>
        <w:top w:val="none" w:sz="0" w:space="0" w:color="auto"/>
        <w:left w:val="none" w:sz="0" w:space="0" w:color="auto"/>
        <w:bottom w:val="none" w:sz="0" w:space="0" w:color="auto"/>
        <w:right w:val="none" w:sz="0" w:space="0" w:color="auto"/>
      </w:divBdr>
      <w:divsChild>
        <w:div w:id="219874936">
          <w:marLeft w:val="0"/>
          <w:marRight w:val="0"/>
          <w:marTop w:val="0"/>
          <w:marBottom w:val="0"/>
          <w:divBdr>
            <w:top w:val="none" w:sz="0" w:space="0" w:color="auto"/>
            <w:left w:val="none" w:sz="0" w:space="0" w:color="auto"/>
            <w:bottom w:val="none" w:sz="0" w:space="0" w:color="auto"/>
            <w:right w:val="none" w:sz="0" w:space="0" w:color="auto"/>
          </w:divBdr>
        </w:div>
      </w:divsChild>
    </w:div>
    <w:div w:id="1117066837">
      <w:bodyDiv w:val="1"/>
      <w:marLeft w:val="0"/>
      <w:marRight w:val="0"/>
      <w:marTop w:val="0"/>
      <w:marBottom w:val="0"/>
      <w:divBdr>
        <w:top w:val="none" w:sz="0" w:space="0" w:color="auto"/>
        <w:left w:val="none" w:sz="0" w:space="0" w:color="auto"/>
        <w:bottom w:val="none" w:sz="0" w:space="0" w:color="auto"/>
        <w:right w:val="none" w:sz="0" w:space="0" w:color="auto"/>
      </w:divBdr>
    </w:div>
    <w:div w:id="1126696601">
      <w:bodyDiv w:val="1"/>
      <w:marLeft w:val="0"/>
      <w:marRight w:val="0"/>
      <w:marTop w:val="0"/>
      <w:marBottom w:val="0"/>
      <w:divBdr>
        <w:top w:val="none" w:sz="0" w:space="0" w:color="auto"/>
        <w:left w:val="none" w:sz="0" w:space="0" w:color="auto"/>
        <w:bottom w:val="none" w:sz="0" w:space="0" w:color="auto"/>
        <w:right w:val="none" w:sz="0" w:space="0" w:color="auto"/>
      </w:divBdr>
      <w:divsChild>
        <w:div w:id="1022827857">
          <w:marLeft w:val="0"/>
          <w:marRight w:val="0"/>
          <w:marTop w:val="0"/>
          <w:marBottom w:val="0"/>
          <w:divBdr>
            <w:top w:val="none" w:sz="0" w:space="0" w:color="auto"/>
            <w:left w:val="none" w:sz="0" w:space="0" w:color="auto"/>
            <w:bottom w:val="none" w:sz="0" w:space="0" w:color="auto"/>
            <w:right w:val="none" w:sz="0" w:space="0" w:color="auto"/>
          </w:divBdr>
        </w:div>
      </w:divsChild>
    </w:div>
    <w:div w:id="1388332452">
      <w:bodyDiv w:val="1"/>
      <w:marLeft w:val="0"/>
      <w:marRight w:val="0"/>
      <w:marTop w:val="0"/>
      <w:marBottom w:val="0"/>
      <w:divBdr>
        <w:top w:val="none" w:sz="0" w:space="0" w:color="auto"/>
        <w:left w:val="none" w:sz="0" w:space="0" w:color="auto"/>
        <w:bottom w:val="none" w:sz="0" w:space="0" w:color="auto"/>
        <w:right w:val="none" w:sz="0" w:space="0" w:color="auto"/>
      </w:divBdr>
    </w:div>
    <w:div w:id="1418212824">
      <w:bodyDiv w:val="1"/>
      <w:marLeft w:val="0"/>
      <w:marRight w:val="0"/>
      <w:marTop w:val="0"/>
      <w:marBottom w:val="0"/>
      <w:divBdr>
        <w:top w:val="none" w:sz="0" w:space="0" w:color="auto"/>
        <w:left w:val="none" w:sz="0" w:space="0" w:color="auto"/>
        <w:bottom w:val="none" w:sz="0" w:space="0" w:color="auto"/>
        <w:right w:val="none" w:sz="0" w:space="0" w:color="auto"/>
      </w:divBdr>
    </w:div>
    <w:div w:id="1456021912">
      <w:bodyDiv w:val="1"/>
      <w:marLeft w:val="0"/>
      <w:marRight w:val="0"/>
      <w:marTop w:val="0"/>
      <w:marBottom w:val="0"/>
      <w:divBdr>
        <w:top w:val="none" w:sz="0" w:space="0" w:color="auto"/>
        <w:left w:val="none" w:sz="0" w:space="0" w:color="auto"/>
        <w:bottom w:val="none" w:sz="0" w:space="0" w:color="auto"/>
        <w:right w:val="none" w:sz="0" w:space="0" w:color="auto"/>
      </w:divBdr>
    </w:div>
    <w:div w:id="1528758986">
      <w:bodyDiv w:val="1"/>
      <w:marLeft w:val="0"/>
      <w:marRight w:val="0"/>
      <w:marTop w:val="0"/>
      <w:marBottom w:val="0"/>
      <w:divBdr>
        <w:top w:val="none" w:sz="0" w:space="0" w:color="auto"/>
        <w:left w:val="none" w:sz="0" w:space="0" w:color="auto"/>
        <w:bottom w:val="none" w:sz="0" w:space="0" w:color="auto"/>
        <w:right w:val="none" w:sz="0" w:space="0" w:color="auto"/>
      </w:divBdr>
    </w:div>
    <w:div w:id="1777362832">
      <w:bodyDiv w:val="1"/>
      <w:marLeft w:val="0"/>
      <w:marRight w:val="0"/>
      <w:marTop w:val="0"/>
      <w:marBottom w:val="0"/>
      <w:divBdr>
        <w:top w:val="none" w:sz="0" w:space="0" w:color="auto"/>
        <w:left w:val="none" w:sz="0" w:space="0" w:color="auto"/>
        <w:bottom w:val="none" w:sz="0" w:space="0" w:color="auto"/>
        <w:right w:val="none" w:sz="0" w:space="0" w:color="auto"/>
      </w:divBdr>
    </w:div>
    <w:div w:id="1779790469">
      <w:bodyDiv w:val="1"/>
      <w:marLeft w:val="0"/>
      <w:marRight w:val="0"/>
      <w:marTop w:val="0"/>
      <w:marBottom w:val="0"/>
      <w:divBdr>
        <w:top w:val="none" w:sz="0" w:space="0" w:color="auto"/>
        <w:left w:val="none" w:sz="0" w:space="0" w:color="auto"/>
        <w:bottom w:val="none" w:sz="0" w:space="0" w:color="auto"/>
        <w:right w:val="none" w:sz="0" w:space="0" w:color="auto"/>
      </w:divBdr>
    </w:div>
    <w:div w:id="1790002604">
      <w:bodyDiv w:val="1"/>
      <w:marLeft w:val="0"/>
      <w:marRight w:val="0"/>
      <w:marTop w:val="0"/>
      <w:marBottom w:val="0"/>
      <w:divBdr>
        <w:top w:val="none" w:sz="0" w:space="0" w:color="auto"/>
        <w:left w:val="none" w:sz="0" w:space="0" w:color="auto"/>
        <w:bottom w:val="none" w:sz="0" w:space="0" w:color="auto"/>
        <w:right w:val="none" w:sz="0" w:space="0" w:color="auto"/>
      </w:divBdr>
    </w:div>
    <w:div w:id="1816096344">
      <w:bodyDiv w:val="1"/>
      <w:marLeft w:val="0"/>
      <w:marRight w:val="0"/>
      <w:marTop w:val="0"/>
      <w:marBottom w:val="0"/>
      <w:divBdr>
        <w:top w:val="none" w:sz="0" w:space="0" w:color="auto"/>
        <w:left w:val="none" w:sz="0" w:space="0" w:color="auto"/>
        <w:bottom w:val="none" w:sz="0" w:space="0" w:color="auto"/>
        <w:right w:val="none" w:sz="0" w:space="0" w:color="auto"/>
      </w:divBdr>
    </w:div>
    <w:div w:id="1819031086">
      <w:bodyDiv w:val="1"/>
      <w:marLeft w:val="0"/>
      <w:marRight w:val="0"/>
      <w:marTop w:val="0"/>
      <w:marBottom w:val="0"/>
      <w:divBdr>
        <w:top w:val="none" w:sz="0" w:space="0" w:color="auto"/>
        <w:left w:val="none" w:sz="0" w:space="0" w:color="auto"/>
        <w:bottom w:val="none" w:sz="0" w:space="0" w:color="auto"/>
        <w:right w:val="none" w:sz="0" w:space="0" w:color="auto"/>
      </w:divBdr>
    </w:div>
    <w:div w:id="196314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4D29AB32C06B40BD61BDFC4B8FCBE2" ma:contentTypeVersion="13" ma:contentTypeDescription="Create a new document." ma:contentTypeScope="" ma:versionID="82d65b9eb125cbbdb85b87519edc5771">
  <xsd:schema xmlns:xsd="http://www.w3.org/2001/XMLSchema" xmlns:xs="http://www.w3.org/2001/XMLSchema" xmlns:p="http://schemas.microsoft.com/office/2006/metadata/properties" xmlns:ns2="250929fa-9806-4449-af20-7947085fa170" xmlns:ns3="3ae47d09-05f2-458d-b8bf-286e9f6a56e4" targetNamespace="http://schemas.microsoft.com/office/2006/metadata/properties" ma:root="true" ma:fieldsID="a37d111322f93e519ea5b8a44938e8f2" ns2:_="" ns3:_="">
    <xsd:import namespace="250929fa-9806-4449-af20-7947085fa170"/>
    <xsd:import namespace="3ae47d09-05f2-458d-b8bf-286e9f6a56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929fa-9806-4449-af20-7947085fa1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e47d09-05f2-458d-b8bf-286e9f6a56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ize" ma:index="20" nillable="true" ma:displayName="Size" ma:format="Dropdown" ma:internalNam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3ae47d09-05f2-458d-b8bf-286e9f6a56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72E4E-D738-4307-B603-8CDC027A3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929fa-9806-4449-af20-7947085fa170"/>
    <ds:schemaRef ds:uri="3ae47d09-05f2-458d-b8bf-286e9f6a5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60879-7FC1-4345-8CED-A8AE95A58269}">
  <ds:schemaRefs>
    <ds:schemaRef ds:uri="http://schemas.microsoft.com/office/2006/metadata/properties"/>
    <ds:schemaRef ds:uri="http://schemas.microsoft.com/office/infopath/2007/PartnerControls"/>
    <ds:schemaRef ds:uri="3ae47d09-05f2-458d-b8bf-286e9f6a56e4"/>
  </ds:schemaRefs>
</ds:datastoreItem>
</file>

<file path=customXml/itemProps3.xml><?xml version="1.0" encoding="utf-8"?>
<ds:datastoreItem xmlns:ds="http://schemas.openxmlformats.org/officeDocument/2006/customXml" ds:itemID="{578FBD6C-CFD6-408F-9520-776B93BA896B}">
  <ds:schemaRefs>
    <ds:schemaRef ds:uri="http://schemas.microsoft.com/sharepoint/v3/contenttype/forms"/>
  </ds:schemaRefs>
</ds:datastoreItem>
</file>

<file path=customXml/itemProps4.xml><?xml version="1.0" encoding="utf-8"?>
<ds:datastoreItem xmlns:ds="http://schemas.openxmlformats.org/officeDocument/2006/customXml" ds:itemID="{058B4ED8-3EC0-4762-8F07-884457EC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43577</Words>
  <Characters>248389</Characters>
  <Application>Microsoft Office Word</Application>
  <DocSecurity>0</DocSecurity>
  <Lines>2069</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Hae-Young Kim</dc:creator>
  <cp:keywords/>
  <dc:description/>
  <cp:lastModifiedBy>Nuala Mcgrath</cp:lastModifiedBy>
  <cp:revision>3</cp:revision>
  <cp:lastPrinted>2020-06-26T15:59:00Z</cp:lastPrinted>
  <dcterms:created xsi:type="dcterms:W3CDTF">2021-01-11T12:10:00Z</dcterms:created>
  <dcterms:modified xsi:type="dcterms:W3CDTF">2021-01-11T12:12:00Z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http://www.zotero.org/styles/clinical-infectious-diseases</vt:lpwstr>
  </property>
  <property fmtid="{D5CDD505-2E9C-101B-9397-08002B2CF9AE}" pid="7" name="Mendeley Recent Style Name 2_1">
    <vt:lpwstr>Clinical Infectious Diseases</vt:lpwstr>
  </property>
  <property fmtid="{D5CDD505-2E9C-101B-9397-08002B2CF9AE}" pid="8" name="Mendeley Recent Style Id 3_1">
    <vt:lpwstr>http://csl.mendeley.com/styles/324173421/clinical-infectious-diseases</vt:lpwstr>
  </property>
  <property fmtid="{D5CDD505-2E9C-101B-9397-08002B2CF9AE}" pid="9" name="Mendeley Recent Style Name 3_1">
    <vt:lpwstr>Clinical Infectious Diseases - Hae-Young Kim, Ms</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http://csl.mendeley.com/styles/324173421/plos</vt:lpwstr>
  </property>
  <property fmtid="{D5CDD505-2E9C-101B-9397-08002B2CF9AE}" pid="15" name="Mendeley Recent Style Name 6_1">
    <vt:lpwstr>Public Library of Science - Hae-Young Kim, Ms</vt:lpwstr>
  </property>
  <property fmtid="{D5CDD505-2E9C-101B-9397-08002B2CF9AE}" pid="16" name="Mendeley Recent Style Id 7_1">
    <vt:lpwstr>http://csl.mendeley.com/styles/324173421/plos-2</vt:lpwstr>
  </property>
  <property fmtid="{D5CDD505-2E9C-101B-9397-08002B2CF9AE}" pid="17" name="Mendeley Recent Style Name 7_1">
    <vt:lpwstr>Public Library of Science - Hae-Young Kim, Ms</vt:lpwstr>
  </property>
  <property fmtid="{D5CDD505-2E9C-101B-9397-08002B2CF9AE}" pid="18" name="Mendeley Recent Style Id 8_1">
    <vt:lpwstr>http://www.zotero.org/styles/the-lancet-infectious-diseases</vt:lpwstr>
  </property>
  <property fmtid="{D5CDD505-2E9C-101B-9397-08002B2CF9AE}" pid="19" name="Mendeley Recent Style Name 8_1">
    <vt:lpwstr>The Lancet Infectious Diseases</vt:lpwstr>
  </property>
  <property fmtid="{D5CDD505-2E9C-101B-9397-08002B2CF9AE}" pid="20" name="Mendeley Recent Style Id 9_1">
    <vt:lpwstr>http://csl.mendeley.com/styles/324173421/vancouver</vt:lpwstr>
  </property>
  <property fmtid="{D5CDD505-2E9C-101B-9397-08002B2CF9AE}" pid="21" name="Mendeley Recent Style Name 9_1">
    <vt:lpwstr>Vancouver - Hae-Young Kim - Hae-Young Kim, Ms</vt:lpwstr>
  </property>
  <property fmtid="{D5CDD505-2E9C-101B-9397-08002B2CF9AE}" pid="22" name="Mendeley Document_1">
    <vt:lpwstr>True</vt:lpwstr>
  </property>
  <property fmtid="{D5CDD505-2E9C-101B-9397-08002B2CF9AE}" pid="23" name="Mendeley Unique User Id_1">
    <vt:lpwstr>7896b0d9-bb69-3482-97fe-7e9039652562</vt:lpwstr>
  </property>
  <property fmtid="{D5CDD505-2E9C-101B-9397-08002B2CF9AE}" pid="24" name="Mendeley Citation Style_1">
    <vt:lpwstr>http://www.zotero.org/styles/the-lancet-infectious-diseases</vt:lpwstr>
  </property>
  <property fmtid="{D5CDD505-2E9C-101B-9397-08002B2CF9AE}" pid="25" name="ContentTypeId">
    <vt:lpwstr>0x010100114D29AB32C06B40BD61BDFC4B8FCBE2</vt:lpwstr>
  </property>
</Properties>
</file>